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368FA9" w14:textId="77777777" w:rsidR="00A5585C" w:rsidRPr="00E4520B" w:rsidRDefault="00A5585C" w:rsidP="00E4520B">
      <w:pPr>
        <w:pStyle w:val="Title"/>
      </w:pPr>
      <w:bookmarkStart w:id="0" w:name="_Hlk151905685"/>
      <w:bookmarkEnd w:id="0"/>
      <w:r w:rsidRPr="00E4520B">
        <w:rPr>
          <w:noProof/>
        </w:rPr>
        <w:drawing>
          <wp:anchor distT="0" distB="0" distL="114300" distR="114300" simplePos="0" relativeHeight="251658240" behindDoc="1" locked="0" layoutInCell="1" allowOverlap="1" wp14:anchorId="2279DC03" wp14:editId="166FCA9E">
            <wp:simplePos x="0" y="0"/>
            <wp:positionH relativeFrom="column">
              <wp:posOffset>-715645</wp:posOffset>
            </wp:positionH>
            <wp:positionV relativeFrom="paragraph">
              <wp:posOffset>-731618</wp:posOffset>
            </wp:positionV>
            <wp:extent cx="7563485" cy="10690225"/>
            <wp:effectExtent l="0" t="0" r="0" b="0"/>
            <wp:wrapNone/>
            <wp:docPr id="1474354992" name="Picture 14743549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474354992" name="Picture 1474354992">
                      <a:extLst>
                        <a:ext uri="{C183D7F6-B498-43B3-948B-1728B52AA6E4}">
                          <adec:decorative xmlns:adec="http://schemas.microsoft.com/office/drawing/2017/decorative" val="1"/>
                        </a:ext>
                      </a:extLst>
                    </pic:cNvPr>
                    <pic:cNvPicPr/>
                  </pic:nvPicPr>
                  <pic:blipFill>
                    <a:blip r:embed="rId12" cstate="screen">
                      <a:extLst>
                        <a:ext uri="{28A0092B-C50C-407E-A947-70E740481C1C}">
                          <a14:useLocalDpi xmlns:a14="http://schemas.microsoft.com/office/drawing/2010/main"/>
                        </a:ext>
                      </a:extLst>
                    </a:blip>
                    <a:srcRect/>
                    <a:stretch>
                      <a:fillRect/>
                    </a:stretch>
                  </pic:blipFill>
                  <pic:spPr>
                    <a:xfrm>
                      <a:off x="0" y="0"/>
                      <a:ext cx="7563485" cy="10690225"/>
                    </a:xfrm>
                    <a:prstGeom prst="rect">
                      <a:avLst/>
                    </a:prstGeom>
                    <a:ln/>
                  </pic:spPr>
                </pic:pic>
              </a:graphicData>
            </a:graphic>
          </wp:anchor>
        </w:drawing>
      </w:r>
      <w:bookmarkStart w:id="1" w:name="_Hlk145095209"/>
      <w:r w:rsidRPr="00E4520B">
        <w:t xml:space="preserve">Review of sector funding arrangements and service provider capability for Aboriginal and Torres Strait Islander mental health and suicide prevention services and the Integrated Team Care (ITC) </w:t>
      </w:r>
      <w:r w:rsidR="00A67732" w:rsidRPr="00E4520B">
        <w:t>p</w:t>
      </w:r>
      <w:r w:rsidRPr="00E4520B">
        <w:t>rogram</w:t>
      </w:r>
    </w:p>
    <w:bookmarkEnd w:id="1"/>
    <w:p w14:paraId="7E3202B5" w14:textId="77777777" w:rsidR="00A5585C" w:rsidRPr="00A5585C" w:rsidRDefault="00A5585C" w:rsidP="00E4520B"/>
    <w:p w14:paraId="5F9EE26C" w14:textId="77777777" w:rsidR="00A5585C" w:rsidRDefault="00A5585C" w:rsidP="00E4520B"/>
    <w:p w14:paraId="77F80192" w14:textId="77777777" w:rsidR="00E4520B" w:rsidRPr="00A5585C" w:rsidRDefault="00E4520B" w:rsidP="00E4520B"/>
    <w:p w14:paraId="6D612F0F" w14:textId="77777777" w:rsidR="00A5585C" w:rsidRPr="00A5585C" w:rsidRDefault="00A5585C" w:rsidP="00E4520B"/>
    <w:p w14:paraId="44574CE2" w14:textId="77777777" w:rsidR="00A5585C" w:rsidRPr="00E4520B" w:rsidRDefault="00A5585C" w:rsidP="00E4520B">
      <w:pPr>
        <w:pStyle w:val="Title"/>
      </w:pPr>
      <w:r w:rsidRPr="00E4520B">
        <w:t>Final Report</w:t>
      </w:r>
    </w:p>
    <w:p w14:paraId="642D4C4C" w14:textId="77777777" w:rsidR="00A05139" w:rsidRPr="00A5585C" w:rsidRDefault="00A05139" w:rsidP="00E4520B"/>
    <w:p w14:paraId="38D4E36A" w14:textId="77777777" w:rsidR="00A05139" w:rsidRDefault="00A05139" w:rsidP="00E4520B">
      <w:pPr>
        <w:rPr>
          <w:rFonts w:ascii="Calibri" w:eastAsia="Calibri" w:hAnsi="Calibri" w:cs="Calibri"/>
          <w:color w:val="FFFFFF"/>
        </w:rPr>
      </w:pPr>
    </w:p>
    <w:p w14:paraId="5A25313F" w14:textId="77777777" w:rsidR="00AD2409" w:rsidRDefault="00AD2409" w:rsidP="00E4520B">
      <w:pPr>
        <w:rPr>
          <w:rFonts w:ascii="Calibri" w:eastAsia="Calibri" w:hAnsi="Calibri" w:cs="Calibri"/>
          <w:color w:val="FFFFFF"/>
        </w:rPr>
      </w:pPr>
    </w:p>
    <w:p w14:paraId="5FDF32A0" w14:textId="77777777" w:rsidR="00AD2409" w:rsidRDefault="00AD2409" w:rsidP="00E4520B">
      <w:pPr>
        <w:rPr>
          <w:rFonts w:ascii="Calibri" w:eastAsia="Calibri" w:hAnsi="Calibri" w:cs="Calibri"/>
          <w:color w:val="FFFFFF"/>
        </w:rPr>
      </w:pPr>
    </w:p>
    <w:p w14:paraId="10A5FDD1" w14:textId="77777777" w:rsidR="0010008B" w:rsidRDefault="0010008B" w:rsidP="00E4520B">
      <w:pPr>
        <w:rPr>
          <w:rFonts w:ascii="Calibri" w:eastAsia="Calibri" w:hAnsi="Calibri" w:cs="Calibri"/>
          <w:color w:val="FFFFFF"/>
        </w:rPr>
      </w:pPr>
    </w:p>
    <w:p w14:paraId="4AC5D5D7" w14:textId="77777777" w:rsidR="00E4520B" w:rsidRDefault="00E4520B" w:rsidP="00E4520B">
      <w:pPr>
        <w:rPr>
          <w:rFonts w:ascii="Calibri" w:eastAsia="Calibri" w:hAnsi="Calibri" w:cs="Calibri"/>
          <w:color w:val="FFFFFF"/>
        </w:rPr>
      </w:pPr>
    </w:p>
    <w:p w14:paraId="599D203B" w14:textId="77777777" w:rsidR="00E4520B" w:rsidRDefault="00E4520B" w:rsidP="00E4520B">
      <w:pPr>
        <w:rPr>
          <w:rFonts w:ascii="Calibri" w:eastAsia="Calibri" w:hAnsi="Calibri" w:cs="Calibri"/>
          <w:color w:val="FFFFFF"/>
        </w:rPr>
      </w:pPr>
    </w:p>
    <w:p w14:paraId="4B06FEA9" w14:textId="77777777" w:rsidR="0010008B" w:rsidRDefault="0010008B" w:rsidP="00E4520B">
      <w:pPr>
        <w:rPr>
          <w:rFonts w:ascii="Calibri" w:eastAsia="Calibri" w:hAnsi="Calibri" w:cs="Calibri"/>
          <w:color w:val="FFFFFF"/>
        </w:rPr>
      </w:pPr>
    </w:p>
    <w:p w14:paraId="66647B06" w14:textId="77777777" w:rsidR="0010008B" w:rsidRDefault="0010008B" w:rsidP="00E4520B">
      <w:pPr>
        <w:rPr>
          <w:rFonts w:ascii="Calibri" w:eastAsia="Calibri" w:hAnsi="Calibri" w:cs="Calibri"/>
          <w:color w:val="FFFFFF"/>
        </w:rPr>
      </w:pPr>
    </w:p>
    <w:p w14:paraId="37D08905" w14:textId="77777777" w:rsidR="0010008B" w:rsidRDefault="0010008B" w:rsidP="00E4520B">
      <w:pPr>
        <w:rPr>
          <w:rFonts w:ascii="Calibri" w:eastAsia="Calibri" w:hAnsi="Calibri" w:cs="Calibri"/>
          <w:color w:val="FFFFFF"/>
        </w:rPr>
      </w:pPr>
    </w:p>
    <w:p w14:paraId="5625579C" w14:textId="161B2754" w:rsidR="0010008B" w:rsidRDefault="008B7F47">
      <w:pPr>
        <w:pBdr>
          <w:top w:val="nil"/>
          <w:left w:val="nil"/>
          <w:bottom w:val="nil"/>
          <w:right w:val="nil"/>
          <w:between w:val="nil"/>
        </w:pBdr>
        <w:spacing w:line="264" w:lineRule="auto"/>
        <w:rPr>
          <w:rFonts w:ascii="Calibri" w:eastAsia="Calibri" w:hAnsi="Calibri" w:cs="Calibri"/>
          <w:color w:val="FFFFFF"/>
          <w:sz w:val="40"/>
          <w:szCs w:val="40"/>
        </w:rPr>
      </w:pPr>
      <w:r>
        <w:rPr>
          <w:noProof/>
        </w:rPr>
        <w:drawing>
          <wp:anchor distT="0" distB="0" distL="114300" distR="114300" simplePos="0" relativeHeight="251661315" behindDoc="0" locked="0" layoutInCell="1" allowOverlap="1" wp14:anchorId="19DD17E3" wp14:editId="6CD6E7E5">
            <wp:simplePos x="0" y="0"/>
            <wp:positionH relativeFrom="column">
              <wp:posOffset>4760595</wp:posOffset>
            </wp:positionH>
            <wp:positionV relativeFrom="paragraph">
              <wp:posOffset>1271905</wp:posOffset>
            </wp:positionV>
            <wp:extent cx="1699260" cy="793750"/>
            <wp:effectExtent l="0" t="0" r="0" b="0"/>
            <wp:wrapNone/>
            <wp:docPr id="613261802" name="Picture 613261802" descr="First Nations Co. logo &#10;&#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261802" name="Picture 613261802" descr="First Nations Co. logo &#10;&#10;">
                      <a:extLst>
                        <a:ext uri="{C183D7F6-B498-43B3-948B-1728B52AA6E4}">
                          <adec:decorative xmlns:adec="http://schemas.microsoft.com/office/drawing/2017/decorative" val="0"/>
                        </a:ext>
                      </a:extLst>
                    </pic:cNvPr>
                    <pic:cNvPicPr>
                      <a:picLocks noChangeAspect="1"/>
                    </pic:cNvPicPr>
                  </pic:nvPicPr>
                  <pic:blipFill>
                    <a:blip r:embed="rId13">
                      <a:extLst>
                        <a:ext uri="{28A0092B-C50C-407E-A947-70E740481C1C}">
                          <a14:useLocalDpi xmlns:a14="http://schemas.microsoft.com/office/drawing/2010/main"/>
                        </a:ext>
                      </a:extLst>
                    </a:blip>
                    <a:stretch>
                      <a:fillRect/>
                    </a:stretch>
                  </pic:blipFill>
                  <pic:spPr bwMode="auto">
                    <a:xfrm>
                      <a:off x="0" y="0"/>
                      <a:ext cx="1699260" cy="793750"/>
                    </a:xfrm>
                    <a:prstGeom prst="rect">
                      <a:avLst/>
                    </a:prstGeom>
                    <a:noFill/>
                    <a:ln>
                      <a:noFill/>
                    </a:ln>
                  </pic:spPr>
                </pic:pic>
              </a:graphicData>
            </a:graphic>
          </wp:anchor>
        </w:drawing>
      </w:r>
      <w:r>
        <w:rPr>
          <w:noProof/>
        </w:rPr>
        <w:drawing>
          <wp:anchor distT="0" distB="0" distL="114300" distR="114300" simplePos="0" relativeHeight="251662339" behindDoc="0" locked="0" layoutInCell="1" allowOverlap="1" wp14:anchorId="1C3315BC" wp14:editId="100C6906">
            <wp:simplePos x="0" y="0"/>
            <wp:positionH relativeFrom="column">
              <wp:posOffset>4699000</wp:posOffset>
            </wp:positionH>
            <wp:positionV relativeFrom="paragraph">
              <wp:posOffset>2240280</wp:posOffset>
            </wp:positionV>
            <wp:extent cx="1793875" cy="974090"/>
            <wp:effectExtent l="0" t="0" r="0" b="0"/>
            <wp:wrapNone/>
            <wp:docPr id="441252518" name="Picture 441252518" descr="Ninti One Limited logo">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441252518" name="Picture 441252518" descr="Ninti One Limited logo">
                      <a:extLst>
                        <a:ext uri="{C183D7F6-B498-43B3-948B-1728B52AA6E4}">
                          <adec:decorative xmlns:adec="http://schemas.microsoft.com/office/drawing/2017/decorative" val="0"/>
                        </a:ext>
                      </a:extLst>
                    </pic:cNvPr>
                    <pic:cNvPicPr/>
                  </pic:nvPicPr>
                  <pic:blipFill rotWithShape="1">
                    <a:blip r:embed="rId14" cstate="hqprint">
                      <a:extLst>
                        <a:ext uri="{28A0092B-C50C-407E-A947-70E740481C1C}">
                          <a14:useLocalDpi xmlns:a14="http://schemas.microsoft.com/office/drawing/2010/main"/>
                        </a:ext>
                      </a:extLst>
                    </a:blip>
                    <a:srcRect/>
                    <a:stretch/>
                  </pic:blipFill>
                  <pic:spPr bwMode="auto">
                    <a:xfrm>
                      <a:off x="0" y="0"/>
                      <a:ext cx="1793875" cy="974090"/>
                    </a:xfrm>
                    <a:prstGeom prst="rect">
                      <a:avLst/>
                    </a:prstGeom>
                    <a:ln>
                      <a:noFill/>
                    </a:ln>
                    <a:extLst>
                      <a:ext uri="{53640926-AAD7-44D8-BBD7-CCE9431645EC}">
                        <a14:shadowObscured xmlns:a14="http://schemas.microsoft.com/office/drawing/2010/main"/>
                      </a:ext>
                    </a:extLst>
                  </pic:spPr>
                </pic:pic>
              </a:graphicData>
            </a:graphic>
          </wp:anchor>
        </w:drawing>
      </w:r>
      <w:r>
        <w:rPr>
          <w:rFonts w:ascii="Calibri" w:eastAsia="Calibri" w:hAnsi="Calibri" w:cs="Calibri"/>
          <w:noProof/>
          <w:color w:val="FFFFFF"/>
          <w:sz w:val="40"/>
          <w:szCs w:val="40"/>
        </w:rPr>
        <mc:AlternateContent>
          <mc:Choice Requires="wps">
            <w:drawing>
              <wp:anchor distT="0" distB="0" distL="114300" distR="114300" simplePos="0" relativeHeight="251660291" behindDoc="0" locked="0" layoutInCell="1" allowOverlap="1" wp14:anchorId="103B57C9" wp14:editId="4FA3737D">
                <wp:simplePos x="0" y="0"/>
                <wp:positionH relativeFrom="column">
                  <wp:posOffset>4290695</wp:posOffset>
                </wp:positionH>
                <wp:positionV relativeFrom="paragraph">
                  <wp:posOffset>1011018</wp:posOffset>
                </wp:positionV>
                <wp:extent cx="2526030" cy="2538095"/>
                <wp:effectExtent l="0" t="0" r="7620" b="0"/>
                <wp:wrapNone/>
                <wp:docPr id="1850321928" name="Rectangle 18503219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26030" cy="2538095"/>
                        </a:xfrm>
                        <a:prstGeom prst="rect">
                          <a:avLst/>
                        </a:prstGeom>
                        <a:ln>
                          <a:noFill/>
                        </a:ln>
                      </wps:spPr>
                      <wps:style>
                        <a:lnRef idx="2">
                          <a:schemeClr val="accent6">
                            <a:shade val="15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DE9515" id="Rectangle 1850321928" o:spid="_x0000_s1026" alt="&quot;&quot;" style="position:absolute;margin-left:337.85pt;margin-top:79.6pt;width:198.9pt;height:199.85pt;z-index:25166029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" fillcolor="white [3209]" stroked="f" strokeweight="2pt"/>
            </w:pict>
          </mc:Fallback>
        </mc:AlternateContent>
      </w:r>
      <w:r>
        <w:rPr>
          <w:rFonts w:ascii="Calibri" w:eastAsia="Calibri" w:hAnsi="Calibri" w:cs="Calibri"/>
          <w:color w:val="FFFFFF"/>
          <w:sz w:val="40"/>
          <w:szCs w:val="40"/>
        </w:rPr>
        <w:t>January</w:t>
      </w:r>
      <w:r w:rsidRPr="00C315AE">
        <w:rPr>
          <w:rFonts w:ascii="Calibri" w:eastAsia="Calibri" w:hAnsi="Calibri" w:cs="Calibri"/>
          <w:color w:val="FFFFFF"/>
          <w:sz w:val="40"/>
          <w:szCs w:val="40"/>
        </w:rPr>
        <w:t xml:space="preserve"> </w:t>
      </w:r>
      <w:r w:rsidR="00C315AE" w:rsidRPr="00C315AE">
        <w:rPr>
          <w:rFonts w:ascii="Calibri" w:eastAsia="Calibri" w:hAnsi="Calibri" w:cs="Calibri"/>
          <w:color w:val="FFFFFF"/>
          <w:sz w:val="40"/>
          <w:szCs w:val="40"/>
        </w:rPr>
        <w:t>202</w:t>
      </w:r>
      <w:r w:rsidR="001F52A9">
        <w:rPr>
          <w:rFonts w:ascii="Calibri" w:eastAsia="Calibri" w:hAnsi="Calibri" w:cs="Calibri"/>
          <w:color w:val="FFFFFF"/>
          <w:sz w:val="40"/>
          <w:szCs w:val="40"/>
        </w:rPr>
        <w:t>4</w:t>
      </w:r>
    </w:p>
    <w:p w14:paraId="719EF0DB" w14:textId="77777777" w:rsidR="00462F88" w:rsidRPr="00C315AE" w:rsidRDefault="00462F88">
      <w:pPr>
        <w:pBdr>
          <w:top w:val="nil"/>
          <w:left w:val="nil"/>
          <w:bottom w:val="nil"/>
          <w:right w:val="nil"/>
          <w:between w:val="nil"/>
        </w:pBdr>
        <w:spacing w:line="264" w:lineRule="auto"/>
        <w:rPr>
          <w:rFonts w:ascii="Calibri" w:eastAsia="Calibri" w:hAnsi="Calibri" w:cs="Calibri"/>
          <w:color w:val="FFFFFF"/>
          <w:sz w:val="40"/>
          <w:szCs w:val="40"/>
        </w:rPr>
        <w:sectPr w:rsidR="00462F88" w:rsidRPr="00C315AE" w:rsidSect="002B05C0">
          <w:headerReference w:type="even" r:id="rId15"/>
          <w:headerReference w:type="default" r:id="rId16"/>
          <w:footerReference w:type="even" r:id="rId17"/>
          <w:headerReference w:type="first" r:id="rId18"/>
          <w:footerReference w:type="first" r:id="rId19"/>
          <w:pgSz w:w="11906" w:h="16838"/>
          <w:pgMar w:top="1134" w:right="4253" w:bottom="1134" w:left="1134" w:header="902" w:footer="833" w:gutter="0"/>
          <w:pgNumType w:start="1"/>
          <w:cols w:space="720"/>
          <w:titlePg/>
        </w:sectPr>
      </w:pPr>
    </w:p>
    <w:p w14:paraId="798B050E" w14:textId="77777777" w:rsidR="00A05139" w:rsidRPr="00B65F7F" w:rsidRDefault="0057510C" w:rsidP="00E4520B">
      <w:pPr>
        <w:pStyle w:val="HeadingLevel2NoNumber"/>
        <w:rPr>
          <w:lang w:val="en-AU"/>
        </w:rPr>
      </w:pPr>
      <w:bookmarkStart w:id="2" w:name="_heading=h.gjdgxs" w:colFirst="0" w:colLast="0"/>
      <w:bookmarkEnd w:id="2"/>
      <w:r w:rsidRPr="00B65F7F">
        <w:rPr>
          <w:lang w:val="en-AU"/>
        </w:rPr>
        <w:lastRenderedPageBreak/>
        <w:t>Acknowledgements</w:t>
      </w:r>
    </w:p>
    <w:p w14:paraId="654DE1E5" w14:textId="77777777" w:rsidR="00A05139" w:rsidRPr="00B65F7F" w:rsidRDefault="004D488B" w:rsidP="003A7DB3">
      <w:pPr>
        <w:pStyle w:val="BodyText"/>
      </w:pPr>
      <w:r w:rsidRPr="00B65F7F">
        <w:t xml:space="preserve">We acknowledge Aboriginal and/or Torres Strait Islander Peoples as the Traditional Custodians of our land and its waters. Ninti One, First Nations Co and the </w:t>
      </w:r>
      <w:r w:rsidRPr="38899E12">
        <w:t>Department</w:t>
      </w:r>
      <w:r w:rsidRPr="00B65F7F">
        <w:t xml:space="preserve"> of Health </w:t>
      </w:r>
      <w:r w:rsidR="0009669B" w:rsidRPr="00B65F7F">
        <w:t xml:space="preserve">and Aged Care </w:t>
      </w:r>
      <w:r w:rsidRPr="00B65F7F">
        <w:t>wish to pay their respects to Elders, past and present, and to the youth, for the future. We extend this to all Aboriginal and/or Torres Strait Islander people reading this report.</w:t>
      </w:r>
    </w:p>
    <w:p w14:paraId="77DFF91C" w14:textId="77777777" w:rsidR="00A05139" w:rsidRPr="00B65F7F" w:rsidRDefault="004D488B" w:rsidP="003A7DB3">
      <w:pPr>
        <w:pStyle w:val="BodyText"/>
      </w:pPr>
      <w:r w:rsidRPr="00B65F7F">
        <w:t xml:space="preserve">The Review was commissioned by the </w:t>
      </w:r>
      <w:r w:rsidR="0009669B" w:rsidRPr="00B65F7F">
        <w:t>Department of Health and Aged Care</w:t>
      </w:r>
      <w:r w:rsidRPr="00B65F7F">
        <w:t xml:space="preserve">. </w:t>
      </w:r>
    </w:p>
    <w:p w14:paraId="6664AF17" w14:textId="34F5FEB4" w:rsidR="00A05139" w:rsidRPr="00B65F7F" w:rsidRDefault="004D488B" w:rsidP="003A7DB3">
      <w:pPr>
        <w:pStyle w:val="BodyText"/>
      </w:pPr>
      <w:r w:rsidRPr="00B65F7F">
        <w:t xml:space="preserve">Ninti One and First Nations Co gratefully acknowledge the assistance and support provided by the </w:t>
      </w:r>
      <w:r w:rsidR="0009669B" w:rsidRPr="00B65F7F">
        <w:t>Department of Health and Aged Care</w:t>
      </w:r>
      <w:r w:rsidRPr="00B65F7F">
        <w:t xml:space="preserve"> during the development of the</w:t>
      </w:r>
      <w:r w:rsidR="00791FF2">
        <w:t xml:space="preserve"> Final Report and to members of the Expert Advisory Group who shared their knowledge and provided advice throughout the </w:t>
      </w:r>
      <w:r w:rsidR="002B031B">
        <w:t>R</w:t>
      </w:r>
      <w:r w:rsidR="00791FF2">
        <w:t>eview process</w:t>
      </w:r>
      <w:r w:rsidR="00791FF2" w:rsidRPr="00B65F7F">
        <w:t>.</w:t>
      </w:r>
      <w:r w:rsidR="000B479E">
        <w:t xml:space="preserve"> </w:t>
      </w:r>
    </w:p>
    <w:p w14:paraId="3F9DF23A" w14:textId="77777777" w:rsidR="00A05139" w:rsidRPr="00B65F7F" w:rsidRDefault="004D488B" w:rsidP="0057510C">
      <w:pPr>
        <w:pStyle w:val="HeadingLevel2NoNumber"/>
        <w:rPr>
          <w:lang w:val="en-AU"/>
        </w:rPr>
      </w:pPr>
      <w:r w:rsidRPr="00B65F7F">
        <w:rPr>
          <w:lang w:val="en-AU"/>
        </w:rPr>
        <w:t>Disclaimers</w:t>
      </w:r>
    </w:p>
    <w:p w14:paraId="296271FD" w14:textId="77777777" w:rsidR="00E24194" w:rsidRPr="00B65F7F" w:rsidRDefault="004D488B" w:rsidP="003A7DB3">
      <w:pPr>
        <w:pStyle w:val="BodyText"/>
      </w:pPr>
      <w:r w:rsidRPr="00B65F7F">
        <w:t xml:space="preserve">The </w:t>
      </w:r>
      <w:r w:rsidR="00856839" w:rsidRPr="00B65F7F">
        <w:t>Final</w:t>
      </w:r>
      <w:r w:rsidRPr="00B65F7F">
        <w:t xml:space="preserve"> Report has been compiled using a range of materials and while care has been taken in its compilation, the organisations and individuals involved with the compilation of this document (including the Commonwealth, represented by the </w:t>
      </w:r>
      <w:r w:rsidR="0009669B" w:rsidRPr="00B65F7F">
        <w:t>Department of Health and Aged Care</w:t>
      </w:r>
      <w:r w:rsidRPr="00B65F7F">
        <w:t>), accept no responsibility for the accuracy or completeness of any material contained in this document. Additionally, the organisations and individuals involved with the compilation of this document (including Ninti One, First Nations Co and the Commonwealth) disclaim all liability to any person in respect of anything, and of the consequences of anything done or omitted to be done by any such person in reliance (whether wholly or partially) upon any information presented in this document.</w:t>
      </w:r>
    </w:p>
    <w:p w14:paraId="40BBC55C" w14:textId="77777777" w:rsidR="00A05139" w:rsidRPr="00B65F7F" w:rsidRDefault="00A05139">
      <w:pPr>
        <w:pBdr>
          <w:top w:val="nil"/>
          <w:left w:val="nil"/>
          <w:bottom w:val="nil"/>
          <w:right w:val="nil"/>
          <w:between w:val="nil"/>
        </w:pBdr>
        <w:spacing w:before="120" w:after="120"/>
        <w:rPr>
          <w:rFonts w:ascii="Calibri" w:eastAsia="Calibri" w:hAnsi="Calibri" w:cs="Calibri"/>
          <w:color w:val="000000"/>
          <w:sz w:val="22"/>
        </w:rPr>
      </w:pPr>
    </w:p>
    <w:p w14:paraId="7E8F3B13" w14:textId="77777777" w:rsidR="006E4C8D" w:rsidRPr="00B65F7F" w:rsidRDefault="006E4C8D" w:rsidP="005C3ED6">
      <w:pPr>
        <w:pBdr>
          <w:top w:val="nil"/>
          <w:left w:val="nil"/>
          <w:bottom w:val="nil"/>
          <w:right w:val="nil"/>
          <w:between w:val="nil"/>
        </w:pBdr>
        <w:spacing w:before="240" w:after="120"/>
        <w:rPr>
          <w:rFonts w:ascii="Calibri" w:eastAsia="Calibri" w:hAnsi="Calibri" w:cs="Calibri"/>
          <w:color w:val="000000"/>
          <w:sz w:val="22"/>
        </w:rPr>
      </w:pPr>
    </w:p>
    <w:p w14:paraId="57DA543E" w14:textId="77777777" w:rsidR="00856839" w:rsidRPr="00B65F7F" w:rsidRDefault="00856839">
      <w:pPr>
        <w:pBdr>
          <w:top w:val="nil"/>
          <w:left w:val="nil"/>
          <w:bottom w:val="nil"/>
          <w:right w:val="nil"/>
          <w:between w:val="nil"/>
        </w:pBdr>
        <w:spacing w:before="120" w:after="120"/>
        <w:rPr>
          <w:rFonts w:ascii="Calibri" w:eastAsia="Calibri" w:hAnsi="Calibri" w:cs="Calibri"/>
          <w:color w:val="000000"/>
          <w:sz w:val="22"/>
        </w:rPr>
      </w:pPr>
    </w:p>
    <w:p w14:paraId="1329FB3C" w14:textId="77777777" w:rsidR="006E4C8D" w:rsidRPr="00B65F7F" w:rsidRDefault="00791FF2" w:rsidP="0057510C">
      <w:pPr>
        <w:pStyle w:val="HeadingLevel2NoNumber"/>
        <w:textDirection w:val="btLr"/>
        <w:rPr>
          <w:lang w:val="en-AU"/>
        </w:rPr>
      </w:pPr>
      <w:r>
        <w:rPr>
          <w:lang w:val="en-AU"/>
        </w:rPr>
        <w:t>Ninti One Limited</w:t>
      </w:r>
      <w:r w:rsidR="006E4C8D" w:rsidRPr="00B65F7F">
        <w:rPr>
          <w:lang w:val="en-AU"/>
        </w:rPr>
        <w:t xml:space="preserve"> logo story</w:t>
      </w:r>
    </w:p>
    <w:p w14:paraId="4C97E6DE" w14:textId="77777777" w:rsidR="006E4C8D" w:rsidRPr="00B65F7F" w:rsidRDefault="006E4C8D" w:rsidP="003A7DB3">
      <w:pPr>
        <w:pStyle w:val="BodyText"/>
      </w:pPr>
      <w:r w:rsidRPr="00B65F7F">
        <w:t xml:space="preserve">Our logo is based on the painting ‘Two Women Learning’, created by Aboriginal artist </w:t>
      </w:r>
      <w:r w:rsidR="004A58FA">
        <w:t xml:space="preserve">Dr </w:t>
      </w:r>
      <w:r w:rsidRPr="00B65F7F">
        <w:t>Kathleen Wallace. Kathleen was born and raised at Uyetye, on the Todd River – her father’s homeland. Her mother is from Therirrerte. Her grandfather taught her stories of her culture and land from an early age. ‘Two Women Learning’ illustrates how different people hold different knowledge, different parts of the story, and how they are responsible for keeping that story safe and passing on the knowledge.</w:t>
      </w:r>
    </w:p>
    <w:p w14:paraId="7A80A3B8" w14:textId="77777777" w:rsidR="006E4C8D" w:rsidRPr="00B65F7F" w:rsidRDefault="006E4C8D">
      <w:pPr>
        <w:pBdr>
          <w:top w:val="nil"/>
          <w:left w:val="nil"/>
          <w:bottom w:val="nil"/>
          <w:right w:val="nil"/>
          <w:between w:val="nil"/>
        </w:pBdr>
        <w:spacing w:before="120" w:after="120"/>
        <w:rPr>
          <w:rFonts w:ascii="Calibri" w:eastAsia="Calibri" w:hAnsi="Calibri" w:cs="Calibri"/>
          <w:color w:val="000000"/>
          <w:sz w:val="22"/>
        </w:rPr>
        <w:sectPr w:rsidR="006E4C8D" w:rsidRPr="00B65F7F" w:rsidSect="002B05C0">
          <w:footerReference w:type="default" r:id="rId20"/>
          <w:headerReference w:type="first" r:id="rId21"/>
          <w:footerReference w:type="first" r:id="rId22"/>
          <w:pgSz w:w="11906" w:h="16838"/>
          <w:pgMar w:top="2268" w:right="4536" w:bottom="567" w:left="1134" w:header="902" w:footer="205" w:gutter="0"/>
          <w:pgNumType w:start="1"/>
          <w:cols w:space="720"/>
          <w:titlePg/>
        </w:sectPr>
      </w:pPr>
    </w:p>
    <w:p w14:paraId="3415B837" w14:textId="77777777" w:rsidR="008C6D05" w:rsidRPr="00A83CC8" w:rsidRDefault="00951A3E" w:rsidP="007A68C5">
      <w:pPr>
        <w:pStyle w:val="HeadingLevel2NoNumber"/>
        <w:spacing w:before="0"/>
        <w:rPr>
          <w:lang w:val="en-AU"/>
        </w:rPr>
      </w:pPr>
      <w:bookmarkStart w:id="3" w:name="_heading=h.30j0zll" w:colFirst="0" w:colLast="0"/>
      <w:bookmarkEnd w:id="3"/>
      <w:r w:rsidRPr="00B65F7F">
        <w:rPr>
          <w:lang w:val="en-AU"/>
        </w:rPr>
        <w:lastRenderedPageBreak/>
        <w:t>Contents</w:t>
      </w:r>
    </w:p>
    <w:sdt>
      <w:sdtPr>
        <w:rPr>
          <w:shd w:val="clear" w:color="auto" w:fill="E6E6E6"/>
        </w:rPr>
        <w:id w:val="-1303542272"/>
        <w:docPartObj>
          <w:docPartGallery w:val="Table of Contents"/>
          <w:docPartUnique/>
        </w:docPartObj>
      </w:sdtPr>
      <w:sdtEndPr>
        <w:rPr>
          <w:color w:val="2B579A"/>
        </w:rPr>
      </w:sdtEndPr>
      <w:sdtContent>
        <w:p w14:paraId="4D6C370E" w14:textId="22F87083" w:rsidR="00617740" w:rsidRDefault="001611E1">
          <w:pPr>
            <w:pStyle w:val="TOC1"/>
            <w:rPr>
              <w:rFonts w:asciiTheme="minorHAnsi" w:eastAsiaTheme="minorEastAsia" w:hAnsiTheme="minorHAnsi" w:cstheme="minorBidi"/>
              <w:b w:val="0"/>
              <w:bCs w:val="0"/>
              <w:noProof/>
              <w:kern w:val="2"/>
              <w:szCs w:val="24"/>
              <w:lang w:eastAsia="en-AU"/>
              <w14:ligatures w14:val="standardContextual"/>
            </w:rPr>
          </w:pPr>
          <w:r>
            <w:rPr>
              <w:shd w:val="clear" w:color="auto" w:fill="E6E6E6"/>
            </w:rPr>
            <w:fldChar w:fldCharType="begin"/>
          </w:r>
          <w:r>
            <w:rPr>
              <w:shd w:val="clear" w:color="auto" w:fill="E6E6E6"/>
            </w:rPr>
            <w:instrText xml:space="preserve"> TOC \h \z \t "Heading 1,1,Heading 2,2,Heading 1 App,1" </w:instrText>
          </w:r>
          <w:r>
            <w:rPr>
              <w:shd w:val="clear" w:color="auto" w:fill="E6E6E6"/>
            </w:rPr>
            <w:fldChar w:fldCharType="separate"/>
          </w:r>
          <w:hyperlink w:anchor="_Toc156931995" w:history="1">
            <w:r w:rsidR="00617740" w:rsidRPr="00352838">
              <w:rPr>
                <w:rStyle w:val="Hyperlink"/>
                <w:noProof/>
              </w:rPr>
              <w:t>Chapter 1 – Purpose of the Review</w:t>
            </w:r>
            <w:r w:rsidR="00617740">
              <w:rPr>
                <w:noProof/>
                <w:webHidden/>
              </w:rPr>
              <w:tab/>
            </w:r>
            <w:r w:rsidR="00617740">
              <w:rPr>
                <w:noProof/>
                <w:webHidden/>
              </w:rPr>
              <w:fldChar w:fldCharType="begin"/>
            </w:r>
            <w:r w:rsidR="00617740">
              <w:rPr>
                <w:noProof/>
                <w:webHidden/>
              </w:rPr>
              <w:instrText xml:space="preserve"> PAGEREF _Toc156931995 \h </w:instrText>
            </w:r>
            <w:r w:rsidR="00617740">
              <w:rPr>
                <w:noProof/>
                <w:webHidden/>
              </w:rPr>
            </w:r>
            <w:r w:rsidR="00617740">
              <w:rPr>
                <w:noProof/>
                <w:webHidden/>
              </w:rPr>
              <w:fldChar w:fldCharType="separate"/>
            </w:r>
            <w:r w:rsidR="00934D5E">
              <w:rPr>
                <w:noProof/>
                <w:webHidden/>
              </w:rPr>
              <w:t>1</w:t>
            </w:r>
            <w:r w:rsidR="00617740">
              <w:rPr>
                <w:noProof/>
                <w:webHidden/>
              </w:rPr>
              <w:fldChar w:fldCharType="end"/>
            </w:r>
          </w:hyperlink>
        </w:p>
        <w:p w14:paraId="4B88FDA9" w14:textId="29BDE898" w:rsidR="00617740" w:rsidRDefault="00380CE9">
          <w:pPr>
            <w:pStyle w:val="TOC2"/>
            <w:rPr>
              <w:rFonts w:asciiTheme="minorHAnsi" w:eastAsiaTheme="minorEastAsia" w:hAnsiTheme="minorHAnsi" w:cstheme="minorBidi"/>
              <w:noProof/>
              <w:kern w:val="2"/>
              <w:sz w:val="24"/>
              <w:szCs w:val="24"/>
              <w:lang w:eastAsia="en-AU"/>
              <w14:ligatures w14:val="standardContextual"/>
            </w:rPr>
          </w:pPr>
          <w:hyperlink w:anchor="_Toc156931996" w:history="1">
            <w:r w:rsidR="00617740" w:rsidRPr="00352838">
              <w:rPr>
                <w:rStyle w:val="Hyperlink"/>
                <w:noProof/>
              </w:rPr>
              <w:t>1.1</w:t>
            </w:r>
            <w:r w:rsidR="00617740">
              <w:rPr>
                <w:rFonts w:asciiTheme="minorHAnsi" w:eastAsiaTheme="minorEastAsia" w:hAnsiTheme="minorHAnsi" w:cstheme="minorBidi"/>
                <w:noProof/>
                <w:kern w:val="2"/>
                <w:sz w:val="24"/>
                <w:szCs w:val="24"/>
                <w:lang w:eastAsia="en-AU"/>
                <w14:ligatures w14:val="standardContextual"/>
              </w:rPr>
              <w:tab/>
            </w:r>
            <w:r w:rsidR="00617740" w:rsidRPr="00352838">
              <w:rPr>
                <w:rStyle w:val="Hyperlink"/>
                <w:noProof/>
              </w:rPr>
              <w:t>Purpose of this report</w:t>
            </w:r>
            <w:r w:rsidR="00617740">
              <w:rPr>
                <w:noProof/>
                <w:webHidden/>
              </w:rPr>
              <w:tab/>
            </w:r>
            <w:r w:rsidR="00617740">
              <w:rPr>
                <w:noProof/>
                <w:webHidden/>
              </w:rPr>
              <w:fldChar w:fldCharType="begin"/>
            </w:r>
            <w:r w:rsidR="00617740">
              <w:rPr>
                <w:noProof/>
                <w:webHidden/>
              </w:rPr>
              <w:instrText xml:space="preserve"> PAGEREF _Toc156931996 \h </w:instrText>
            </w:r>
            <w:r w:rsidR="00617740">
              <w:rPr>
                <w:noProof/>
                <w:webHidden/>
              </w:rPr>
            </w:r>
            <w:r w:rsidR="00617740">
              <w:rPr>
                <w:noProof/>
                <w:webHidden/>
              </w:rPr>
              <w:fldChar w:fldCharType="separate"/>
            </w:r>
            <w:r w:rsidR="00934D5E">
              <w:rPr>
                <w:noProof/>
                <w:webHidden/>
              </w:rPr>
              <w:t>2</w:t>
            </w:r>
            <w:r w:rsidR="00617740">
              <w:rPr>
                <w:noProof/>
                <w:webHidden/>
              </w:rPr>
              <w:fldChar w:fldCharType="end"/>
            </w:r>
          </w:hyperlink>
        </w:p>
        <w:p w14:paraId="6178139C" w14:textId="50BA539B" w:rsidR="00617740" w:rsidRDefault="00380CE9">
          <w:pPr>
            <w:pStyle w:val="TOC1"/>
            <w:rPr>
              <w:rFonts w:asciiTheme="minorHAnsi" w:eastAsiaTheme="minorEastAsia" w:hAnsiTheme="minorHAnsi" w:cstheme="minorBidi"/>
              <w:b w:val="0"/>
              <w:bCs w:val="0"/>
              <w:noProof/>
              <w:kern w:val="2"/>
              <w:szCs w:val="24"/>
              <w:lang w:eastAsia="en-AU"/>
              <w14:ligatures w14:val="standardContextual"/>
            </w:rPr>
          </w:pPr>
          <w:hyperlink w:anchor="_Toc156931997" w:history="1">
            <w:r w:rsidR="00617740" w:rsidRPr="00352838">
              <w:rPr>
                <w:rStyle w:val="Hyperlink"/>
                <w:noProof/>
              </w:rPr>
              <w:t>Chapter 2 – Methodology</w:t>
            </w:r>
            <w:r w:rsidR="00617740">
              <w:rPr>
                <w:noProof/>
                <w:webHidden/>
              </w:rPr>
              <w:tab/>
            </w:r>
            <w:r w:rsidR="00617740">
              <w:rPr>
                <w:noProof/>
                <w:webHidden/>
              </w:rPr>
              <w:fldChar w:fldCharType="begin"/>
            </w:r>
            <w:r w:rsidR="00617740">
              <w:rPr>
                <w:noProof/>
                <w:webHidden/>
              </w:rPr>
              <w:instrText xml:space="preserve"> PAGEREF _Toc156931997 \h </w:instrText>
            </w:r>
            <w:r w:rsidR="00617740">
              <w:rPr>
                <w:noProof/>
                <w:webHidden/>
              </w:rPr>
            </w:r>
            <w:r w:rsidR="00617740">
              <w:rPr>
                <w:noProof/>
                <w:webHidden/>
              </w:rPr>
              <w:fldChar w:fldCharType="separate"/>
            </w:r>
            <w:r w:rsidR="00934D5E">
              <w:rPr>
                <w:noProof/>
                <w:webHidden/>
              </w:rPr>
              <w:t>3</w:t>
            </w:r>
            <w:r w:rsidR="00617740">
              <w:rPr>
                <w:noProof/>
                <w:webHidden/>
              </w:rPr>
              <w:fldChar w:fldCharType="end"/>
            </w:r>
          </w:hyperlink>
        </w:p>
        <w:p w14:paraId="569531FE" w14:textId="3380D268" w:rsidR="00617740" w:rsidRDefault="00380CE9">
          <w:pPr>
            <w:pStyle w:val="TOC2"/>
            <w:rPr>
              <w:rFonts w:asciiTheme="minorHAnsi" w:eastAsiaTheme="minorEastAsia" w:hAnsiTheme="minorHAnsi" w:cstheme="minorBidi"/>
              <w:noProof/>
              <w:kern w:val="2"/>
              <w:sz w:val="24"/>
              <w:szCs w:val="24"/>
              <w:lang w:eastAsia="en-AU"/>
              <w14:ligatures w14:val="standardContextual"/>
            </w:rPr>
          </w:pPr>
          <w:hyperlink w:anchor="_Toc156931998" w:history="1">
            <w:r w:rsidR="00617740" w:rsidRPr="00352838">
              <w:rPr>
                <w:rStyle w:val="Hyperlink"/>
                <w:noProof/>
              </w:rPr>
              <w:t>2.1</w:t>
            </w:r>
            <w:r w:rsidR="00617740">
              <w:rPr>
                <w:rFonts w:asciiTheme="minorHAnsi" w:eastAsiaTheme="minorEastAsia" w:hAnsiTheme="minorHAnsi" w:cstheme="minorBidi"/>
                <w:noProof/>
                <w:kern w:val="2"/>
                <w:sz w:val="24"/>
                <w:szCs w:val="24"/>
                <w:lang w:eastAsia="en-AU"/>
                <w14:ligatures w14:val="standardContextual"/>
              </w:rPr>
              <w:tab/>
            </w:r>
            <w:r w:rsidR="00617740" w:rsidRPr="00352838">
              <w:rPr>
                <w:rStyle w:val="Hyperlink"/>
                <w:noProof/>
              </w:rPr>
              <w:t>Key questions</w:t>
            </w:r>
            <w:r w:rsidR="00617740">
              <w:rPr>
                <w:noProof/>
                <w:webHidden/>
              </w:rPr>
              <w:tab/>
            </w:r>
            <w:r w:rsidR="00617740">
              <w:rPr>
                <w:noProof/>
                <w:webHidden/>
              </w:rPr>
              <w:fldChar w:fldCharType="begin"/>
            </w:r>
            <w:r w:rsidR="00617740">
              <w:rPr>
                <w:noProof/>
                <w:webHidden/>
              </w:rPr>
              <w:instrText xml:space="preserve"> PAGEREF _Toc156931998 \h </w:instrText>
            </w:r>
            <w:r w:rsidR="00617740">
              <w:rPr>
                <w:noProof/>
                <w:webHidden/>
              </w:rPr>
            </w:r>
            <w:r w:rsidR="00617740">
              <w:rPr>
                <w:noProof/>
                <w:webHidden/>
              </w:rPr>
              <w:fldChar w:fldCharType="separate"/>
            </w:r>
            <w:r w:rsidR="00934D5E">
              <w:rPr>
                <w:noProof/>
                <w:webHidden/>
              </w:rPr>
              <w:t>3</w:t>
            </w:r>
            <w:r w:rsidR="00617740">
              <w:rPr>
                <w:noProof/>
                <w:webHidden/>
              </w:rPr>
              <w:fldChar w:fldCharType="end"/>
            </w:r>
          </w:hyperlink>
        </w:p>
        <w:p w14:paraId="34ABD3D0" w14:textId="6261C5A0" w:rsidR="00617740" w:rsidRDefault="00380CE9">
          <w:pPr>
            <w:pStyle w:val="TOC2"/>
            <w:rPr>
              <w:rFonts w:asciiTheme="minorHAnsi" w:eastAsiaTheme="minorEastAsia" w:hAnsiTheme="minorHAnsi" w:cstheme="minorBidi"/>
              <w:noProof/>
              <w:kern w:val="2"/>
              <w:sz w:val="24"/>
              <w:szCs w:val="24"/>
              <w:lang w:eastAsia="en-AU"/>
              <w14:ligatures w14:val="standardContextual"/>
            </w:rPr>
          </w:pPr>
          <w:hyperlink w:anchor="_Toc156931999" w:history="1">
            <w:r w:rsidR="00617740" w:rsidRPr="00352838">
              <w:rPr>
                <w:rStyle w:val="Hyperlink"/>
                <w:noProof/>
              </w:rPr>
              <w:t>2.2</w:t>
            </w:r>
            <w:r w:rsidR="00617740">
              <w:rPr>
                <w:rFonts w:asciiTheme="minorHAnsi" w:eastAsiaTheme="minorEastAsia" w:hAnsiTheme="minorHAnsi" w:cstheme="minorBidi"/>
                <w:noProof/>
                <w:kern w:val="2"/>
                <w:sz w:val="24"/>
                <w:szCs w:val="24"/>
                <w:lang w:eastAsia="en-AU"/>
                <w14:ligatures w14:val="standardContextual"/>
              </w:rPr>
              <w:tab/>
            </w:r>
            <w:r w:rsidR="00617740" w:rsidRPr="00352838">
              <w:rPr>
                <w:rStyle w:val="Hyperlink"/>
                <w:noProof/>
              </w:rPr>
              <w:t>Cultural credibility and protocols</w:t>
            </w:r>
            <w:r w:rsidR="00617740">
              <w:rPr>
                <w:noProof/>
                <w:webHidden/>
              </w:rPr>
              <w:tab/>
            </w:r>
            <w:r w:rsidR="00617740">
              <w:rPr>
                <w:noProof/>
                <w:webHidden/>
              </w:rPr>
              <w:fldChar w:fldCharType="begin"/>
            </w:r>
            <w:r w:rsidR="00617740">
              <w:rPr>
                <w:noProof/>
                <w:webHidden/>
              </w:rPr>
              <w:instrText xml:space="preserve"> PAGEREF _Toc156931999 \h </w:instrText>
            </w:r>
            <w:r w:rsidR="00617740">
              <w:rPr>
                <w:noProof/>
                <w:webHidden/>
              </w:rPr>
            </w:r>
            <w:r w:rsidR="00617740">
              <w:rPr>
                <w:noProof/>
                <w:webHidden/>
              </w:rPr>
              <w:fldChar w:fldCharType="separate"/>
            </w:r>
            <w:r w:rsidR="00934D5E">
              <w:rPr>
                <w:noProof/>
                <w:webHidden/>
              </w:rPr>
              <w:t>4</w:t>
            </w:r>
            <w:r w:rsidR="00617740">
              <w:rPr>
                <w:noProof/>
                <w:webHidden/>
              </w:rPr>
              <w:fldChar w:fldCharType="end"/>
            </w:r>
          </w:hyperlink>
        </w:p>
        <w:p w14:paraId="3EE993AD" w14:textId="5C156FFB" w:rsidR="00617740" w:rsidRDefault="00380CE9">
          <w:pPr>
            <w:pStyle w:val="TOC2"/>
            <w:rPr>
              <w:rFonts w:asciiTheme="minorHAnsi" w:eastAsiaTheme="minorEastAsia" w:hAnsiTheme="minorHAnsi" w:cstheme="minorBidi"/>
              <w:noProof/>
              <w:kern w:val="2"/>
              <w:sz w:val="24"/>
              <w:szCs w:val="24"/>
              <w:lang w:eastAsia="en-AU"/>
              <w14:ligatures w14:val="standardContextual"/>
            </w:rPr>
          </w:pPr>
          <w:hyperlink w:anchor="_Toc156932000" w:history="1">
            <w:r w:rsidR="00617740" w:rsidRPr="00352838">
              <w:rPr>
                <w:rStyle w:val="Hyperlink"/>
                <w:noProof/>
              </w:rPr>
              <w:t>2.3</w:t>
            </w:r>
            <w:r w:rsidR="00617740">
              <w:rPr>
                <w:rFonts w:asciiTheme="minorHAnsi" w:eastAsiaTheme="minorEastAsia" w:hAnsiTheme="minorHAnsi" w:cstheme="minorBidi"/>
                <w:noProof/>
                <w:kern w:val="2"/>
                <w:sz w:val="24"/>
                <w:szCs w:val="24"/>
                <w:lang w:eastAsia="en-AU"/>
                <w14:ligatures w14:val="standardContextual"/>
              </w:rPr>
              <w:tab/>
            </w:r>
            <w:r w:rsidR="00617740" w:rsidRPr="00352838">
              <w:rPr>
                <w:rStyle w:val="Hyperlink"/>
                <w:noProof/>
              </w:rPr>
              <w:t>An iterative review process: 3 stages</w:t>
            </w:r>
            <w:r w:rsidR="00617740">
              <w:rPr>
                <w:noProof/>
                <w:webHidden/>
              </w:rPr>
              <w:tab/>
            </w:r>
            <w:r w:rsidR="00617740">
              <w:rPr>
                <w:noProof/>
                <w:webHidden/>
              </w:rPr>
              <w:fldChar w:fldCharType="begin"/>
            </w:r>
            <w:r w:rsidR="00617740">
              <w:rPr>
                <w:noProof/>
                <w:webHidden/>
              </w:rPr>
              <w:instrText xml:space="preserve"> PAGEREF _Toc156932000 \h </w:instrText>
            </w:r>
            <w:r w:rsidR="00617740">
              <w:rPr>
                <w:noProof/>
                <w:webHidden/>
              </w:rPr>
            </w:r>
            <w:r w:rsidR="00617740">
              <w:rPr>
                <w:noProof/>
                <w:webHidden/>
              </w:rPr>
              <w:fldChar w:fldCharType="separate"/>
            </w:r>
            <w:r w:rsidR="00934D5E">
              <w:rPr>
                <w:noProof/>
                <w:webHidden/>
              </w:rPr>
              <w:t>5</w:t>
            </w:r>
            <w:r w:rsidR="00617740">
              <w:rPr>
                <w:noProof/>
                <w:webHidden/>
              </w:rPr>
              <w:fldChar w:fldCharType="end"/>
            </w:r>
          </w:hyperlink>
        </w:p>
        <w:p w14:paraId="21D327C5" w14:textId="6C834673" w:rsidR="00617740" w:rsidRDefault="00380CE9">
          <w:pPr>
            <w:pStyle w:val="TOC1"/>
            <w:rPr>
              <w:rFonts w:asciiTheme="minorHAnsi" w:eastAsiaTheme="minorEastAsia" w:hAnsiTheme="minorHAnsi" w:cstheme="minorBidi"/>
              <w:b w:val="0"/>
              <w:bCs w:val="0"/>
              <w:noProof/>
              <w:kern w:val="2"/>
              <w:szCs w:val="24"/>
              <w:lang w:eastAsia="en-AU"/>
              <w14:ligatures w14:val="standardContextual"/>
            </w:rPr>
          </w:pPr>
          <w:hyperlink w:anchor="_Toc156932001" w:history="1">
            <w:r w:rsidR="00617740" w:rsidRPr="00352838">
              <w:rPr>
                <w:rStyle w:val="Hyperlink"/>
                <w:noProof/>
              </w:rPr>
              <w:t>Chapter 3 – Recommendations for future state funding arrangements</w:t>
            </w:r>
            <w:r w:rsidR="00617740">
              <w:rPr>
                <w:noProof/>
                <w:webHidden/>
              </w:rPr>
              <w:tab/>
            </w:r>
            <w:r w:rsidR="00617740">
              <w:rPr>
                <w:noProof/>
                <w:webHidden/>
              </w:rPr>
              <w:fldChar w:fldCharType="begin"/>
            </w:r>
            <w:r w:rsidR="00617740">
              <w:rPr>
                <w:noProof/>
                <w:webHidden/>
              </w:rPr>
              <w:instrText xml:space="preserve"> PAGEREF _Toc156932001 \h </w:instrText>
            </w:r>
            <w:r w:rsidR="00617740">
              <w:rPr>
                <w:noProof/>
                <w:webHidden/>
              </w:rPr>
            </w:r>
            <w:r w:rsidR="00617740">
              <w:rPr>
                <w:noProof/>
                <w:webHidden/>
              </w:rPr>
              <w:fldChar w:fldCharType="separate"/>
            </w:r>
            <w:r w:rsidR="00934D5E">
              <w:rPr>
                <w:noProof/>
                <w:webHidden/>
              </w:rPr>
              <w:t>10</w:t>
            </w:r>
            <w:r w:rsidR="00617740">
              <w:rPr>
                <w:noProof/>
                <w:webHidden/>
              </w:rPr>
              <w:fldChar w:fldCharType="end"/>
            </w:r>
          </w:hyperlink>
        </w:p>
        <w:p w14:paraId="3CA974D4" w14:textId="48F7DC35" w:rsidR="00617740" w:rsidRDefault="00380CE9">
          <w:pPr>
            <w:pStyle w:val="TOC2"/>
            <w:rPr>
              <w:rFonts w:asciiTheme="minorHAnsi" w:eastAsiaTheme="minorEastAsia" w:hAnsiTheme="minorHAnsi" w:cstheme="minorBidi"/>
              <w:noProof/>
              <w:kern w:val="2"/>
              <w:sz w:val="24"/>
              <w:szCs w:val="24"/>
              <w:lang w:eastAsia="en-AU"/>
              <w14:ligatures w14:val="standardContextual"/>
            </w:rPr>
          </w:pPr>
          <w:hyperlink w:anchor="_Toc156932002" w:history="1">
            <w:r w:rsidR="00617740" w:rsidRPr="00352838">
              <w:rPr>
                <w:rStyle w:val="Hyperlink"/>
                <w:noProof/>
              </w:rPr>
              <w:t>3.1</w:t>
            </w:r>
            <w:r w:rsidR="00617740">
              <w:rPr>
                <w:rFonts w:asciiTheme="minorHAnsi" w:eastAsiaTheme="minorEastAsia" w:hAnsiTheme="minorHAnsi" w:cstheme="minorBidi"/>
                <w:noProof/>
                <w:kern w:val="2"/>
                <w:sz w:val="24"/>
                <w:szCs w:val="24"/>
                <w:lang w:eastAsia="en-AU"/>
                <w14:ligatures w14:val="standardContextual"/>
              </w:rPr>
              <w:tab/>
            </w:r>
            <w:r w:rsidR="00617740" w:rsidRPr="00352838">
              <w:rPr>
                <w:rStyle w:val="Hyperlink"/>
                <w:noProof/>
              </w:rPr>
              <w:t>Overview</w:t>
            </w:r>
            <w:r w:rsidR="00617740">
              <w:rPr>
                <w:noProof/>
                <w:webHidden/>
              </w:rPr>
              <w:tab/>
            </w:r>
            <w:r w:rsidR="00617740">
              <w:rPr>
                <w:noProof/>
                <w:webHidden/>
              </w:rPr>
              <w:fldChar w:fldCharType="begin"/>
            </w:r>
            <w:r w:rsidR="00617740">
              <w:rPr>
                <w:noProof/>
                <w:webHidden/>
              </w:rPr>
              <w:instrText xml:space="preserve"> PAGEREF _Toc156932002 \h </w:instrText>
            </w:r>
            <w:r w:rsidR="00617740">
              <w:rPr>
                <w:noProof/>
                <w:webHidden/>
              </w:rPr>
            </w:r>
            <w:r w:rsidR="00617740">
              <w:rPr>
                <w:noProof/>
                <w:webHidden/>
              </w:rPr>
              <w:fldChar w:fldCharType="separate"/>
            </w:r>
            <w:r w:rsidR="00934D5E">
              <w:rPr>
                <w:noProof/>
                <w:webHidden/>
              </w:rPr>
              <w:t>10</w:t>
            </w:r>
            <w:r w:rsidR="00617740">
              <w:rPr>
                <w:noProof/>
                <w:webHidden/>
              </w:rPr>
              <w:fldChar w:fldCharType="end"/>
            </w:r>
          </w:hyperlink>
        </w:p>
        <w:p w14:paraId="4BF3AEB3" w14:textId="740A196B" w:rsidR="00617740" w:rsidRDefault="00380CE9">
          <w:pPr>
            <w:pStyle w:val="TOC2"/>
            <w:rPr>
              <w:rFonts w:asciiTheme="minorHAnsi" w:eastAsiaTheme="minorEastAsia" w:hAnsiTheme="minorHAnsi" w:cstheme="minorBidi"/>
              <w:noProof/>
              <w:kern w:val="2"/>
              <w:sz w:val="24"/>
              <w:szCs w:val="24"/>
              <w:lang w:eastAsia="en-AU"/>
              <w14:ligatures w14:val="standardContextual"/>
            </w:rPr>
          </w:pPr>
          <w:hyperlink w:anchor="_Toc156932003" w:history="1">
            <w:r w:rsidR="00617740" w:rsidRPr="00352838">
              <w:rPr>
                <w:rStyle w:val="Hyperlink"/>
                <w:noProof/>
              </w:rPr>
              <w:t>3.2</w:t>
            </w:r>
            <w:r w:rsidR="00617740">
              <w:rPr>
                <w:rFonts w:asciiTheme="minorHAnsi" w:eastAsiaTheme="minorEastAsia" w:hAnsiTheme="minorHAnsi" w:cstheme="minorBidi"/>
                <w:noProof/>
                <w:kern w:val="2"/>
                <w:sz w:val="24"/>
                <w:szCs w:val="24"/>
                <w:lang w:eastAsia="en-AU"/>
                <w14:ligatures w14:val="standardContextual"/>
              </w:rPr>
              <w:tab/>
            </w:r>
            <w:r w:rsidR="00617740" w:rsidRPr="00352838">
              <w:rPr>
                <w:rStyle w:val="Hyperlink"/>
                <w:noProof/>
              </w:rPr>
              <w:t>Summary of future-state funding arrangements</w:t>
            </w:r>
            <w:r w:rsidR="00617740">
              <w:rPr>
                <w:noProof/>
                <w:webHidden/>
              </w:rPr>
              <w:tab/>
            </w:r>
            <w:r w:rsidR="00617740">
              <w:rPr>
                <w:noProof/>
                <w:webHidden/>
              </w:rPr>
              <w:fldChar w:fldCharType="begin"/>
            </w:r>
            <w:r w:rsidR="00617740">
              <w:rPr>
                <w:noProof/>
                <w:webHidden/>
              </w:rPr>
              <w:instrText xml:space="preserve"> PAGEREF _Toc156932003 \h </w:instrText>
            </w:r>
            <w:r w:rsidR="00617740">
              <w:rPr>
                <w:noProof/>
                <w:webHidden/>
              </w:rPr>
            </w:r>
            <w:r w:rsidR="00617740">
              <w:rPr>
                <w:noProof/>
                <w:webHidden/>
              </w:rPr>
              <w:fldChar w:fldCharType="separate"/>
            </w:r>
            <w:r w:rsidR="00934D5E">
              <w:rPr>
                <w:noProof/>
                <w:webHidden/>
              </w:rPr>
              <w:t>10</w:t>
            </w:r>
            <w:r w:rsidR="00617740">
              <w:rPr>
                <w:noProof/>
                <w:webHidden/>
              </w:rPr>
              <w:fldChar w:fldCharType="end"/>
            </w:r>
          </w:hyperlink>
        </w:p>
        <w:p w14:paraId="5E81E004" w14:textId="7732C03D" w:rsidR="00617740" w:rsidRDefault="00380CE9">
          <w:pPr>
            <w:pStyle w:val="TOC2"/>
            <w:rPr>
              <w:rFonts w:asciiTheme="minorHAnsi" w:eastAsiaTheme="minorEastAsia" w:hAnsiTheme="minorHAnsi" w:cstheme="minorBidi"/>
              <w:noProof/>
              <w:kern w:val="2"/>
              <w:sz w:val="24"/>
              <w:szCs w:val="24"/>
              <w:lang w:eastAsia="en-AU"/>
              <w14:ligatures w14:val="standardContextual"/>
            </w:rPr>
          </w:pPr>
          <w:hyperlink w:anchor="_Toc156932004" w:history="1">
            <w:r w:rsidR="00617740" w:rsidRPr="00352838">
              <w:rPr>
                <w:rStyle w:val="Hyperlink"/>
                <w:noProof/>
              </w:rPr>
              <w:t>3.3</w:t>
            </w:r>
            <w:r w:rsidR="00617740">
              <w:rPr>
                <w:rFonts w:asciiTheme="minorHAnsi" w:eastAsiaTheme="minorEastAsia" w:hAnsiTheme="minorHAnsi" w:cstheme="minorBidi"/>
                <w:noProof/>
                <w:kern w:val="2"/>
                <w:sz w:val="24"/>
                <w:szCs w:val="24"/>
                <w:lang w:eastAsia="en-AU"/>
                <w14:ligatures w14:val="standardContextual"/>
              </w:rPr>
              <w:tab/>
            </w:r>
            <w:r w:rsidR="00617740" w:rsidRPr="00352838">
              <w:rPr>
                <w:rStyle w:val="Hyperlink"/>
                <w:noProof/>
              </w:rPr>
              <w:t>Recommended future-state funding arrangements</w:t>
            </w:r>
            <w:r w:rsidR="00617740">
              <w:rPr>
                <w:noProof/>
                <w:webHidden/>
              </w:rPr>
              <w:tab/>
            </w:r>
            <w:r w:rsidR="00617740">
              <w:rPr>
                <w:noProof/>
                <w:webHidden/>
              </w:rPr>
              <w:fldChar w:fldCharType="begin"/>
            </w:r>
            <w:r w:rsidR="00617740">
              <w:rPr>
                <w:noProof/>
                <w:webHidden/>
              </w:rPr>
              <w:instrText xml:space="preserve"> PAGEREF _Toc156932004 \h </w:instrText>
            </w:r>
            <w:r w:rsidR="00617740">
              <w:rPr>
                <w:noProof/>
                <w:webHidden/>
              </w:rPr>
            </w:r>
            <w:r w:rsidR="00617740">
              <w:rPr>
                <w:noProof/>
                <w:webHidden/>
              </w:rPr>
              <w:fldChar w:fldCharType="separate"/>
            </w:r>
            <w:r w:rsidR="00934D5E">
              <w:rPr>
                <w:noProof/>
                <w:webHidden/>
              </w:rPr>
              <w:t>14</w:t>
            </w:r>
            <w:r w:rsidR="00617740">
              <w:rPr>
                <w:noProof/>
                <w:webHidden/>
              </w:rPr>
              <w:fldChar w:fldCharType="end"/>
            </w:r>
          </w:hyperlink>
        </w:p>
        <w:p w14:paraId="377BF53C" w14:textId="085EC966" w:rsidR="00617740" w:rsidRDefault="00380CE9">
          <w:pPr>
            <w:pStyle w:val="TOC2"/>
            <w:rPr>
              <w:rFonts w:asciiTheme="minorHAnsi" w:eastAsiaTheme="minorEastAsia" w:hAnsiTheme="minorHAnsi" w:cstheme="minorBidi"/>
              <w:noProof/>
              <w:kern w:val="2"/>
              <w:sz w:val="24"/>
              <w:szCs w:val="24"/>
              <w:lang w:eastAsia="en-AU"/>
              <w14:ligatures w14:val="standardContextual"/>
            </w:rPr>
          </w:pPr>
          <w:hyperlink w:anchor="_Toc156932005" w:history="1">
            <w:r w:rsidR="00617740" w:rsidRPr="00352838">
              <w:rPr>
                <w:rStyle w:val="Hyperlink"/>
                <w:noProof/>
              </w:rPr>
              <w:t>3.4</w:t>
            </w:r>
            <w:r w:rsidR="00617740">
              <w:rPr>
                <w:rFonts w:asciiTheme="minorHAnsi" w:eastAsiaTheme="minorEastAsia" w:hAnsiTheme="minorHAnsi" w:cstheme="minorBidi"/>
                <w:noProof/>
                <w:kern w:val="2"/>
                <w:sz w:val="24"/>
                <w:szCs w:val="24"/>
                <w:lang w:eastAsia="en-AU"/>
                <w14:ligatures w14:val="standardContextual"/>
              </w:rPr>
              <w:tab/>
            </w:r>
            <w:r w:rsidR="00617740" w:rsidRPr="00352838">
              <w:rPr>
                <w:rStyle w:val="Hyperlink"/>
                <w:noProof/>
              </w:rPr>
              <w:t>Additional future-state funding arrangements considered</w:t>
            </w:r>
            <w:r w:rsidR="00617740">
              <w:rPr>
                <w:noProof/>
                <w:webHidden/>
              </w:rPr>
              <w:tab/>
            </w:r>
            <w:r w:rsidR="00617740">
              <w:rPr>
                <w:noProof/>
                <w:webHidden/>
              </w:rPr>
              <w:fldChar w:fldCharType="begin"/>
            </w:r>
            <w:r w:rsidR="00617740">
              <w:rPr>
                <w:noProof/>
                <w:webHidden/>
              </w:rPr>
              <w:instrText xml:space="preserve"> PAGEREF _Toc156932005 \h </w:instrText>
            </w:r>
            <w:r w:rsidR="00617740">
              <w:rPr>
                <w:noProof/>
                <w:webHidden/>
              </w:rPr>
            </w:r>
            <w:r w:rsidR="00617740">
              <w:rPr>
                <w:noProof/>
                <w:webHidden/>
              </w:rPr>
              <w:fldChar w:fldCharType="separate"/>
            </w:r>
            <w:r w:rsidR="00934D5E">
              <w:rPr>
                <w:noProof/>
                <w:webHidden/>
              </w:rPr>
              <w:t>18</w:t>
            </w:r>
            <w:r w:rsidR="00617740">
              <w:rPr>
                <w:noProof/>
                <w:webHidden/>
              </w:rPr>
              <w:fldChar w:fldCharType="end"/>
            </w:r>
          </w:hyperlink>
        </w:p>
        <w:p w14:paraId="297BDB56" w14:textId="1E4E1E0C" w:rsidR="00617740" w:rsidRDefault="00380CE9">
          <w:pPr>
            <w:pStyle w:val="TOC1"/>
            <w:rPr>
              <w:rFonts w:asciiTheme="minorHAnsi" w:eastAsiaTheme="minorEastAsia" w:hAnsiTheme="minorHAnsi" w:cstheme="minorBidi"/>
              <w:b w:val="0"/>
              <w:bCs w:val="0"/>
              <w:noProof/>
              <w:kern w:val="2"/>
              <w:szCs w:val="24"/>
              <w:lang w:eastAsia="en-AU"/>
              <w14:ligatures w14:val="standardContextual"/>
            </w:rPr>
          </w:pPr>
          <w:hyperlink w:anchor="_Toc156932006" w:history="1">
            <w:r w:rsidR="00617740" w:rsidRPr="00352838">
              <w:rPr>
                <w:rStyle w:val="Hyperlink"/>
                <w:noProof/>
              </w:rPr>
              <w:t>Chapter 4 – Planning for transformation</w:t>
            </w:r>
            <w:r w:rsidR="00617740">
              <w:rPr>
                <w:noProof/>
                <w:webHidden/>
              </w:rPr>
              <w:tab/>
            </w:r>
            <w:r w:rsidR="00617740">
              <w:rPr>
                <w:noProof/>
                <w:webHidden/>
              </w:rPr>
              <w:fldChar w:fldCharType="begin"/>
            </w:r>
            <w:r w:rsidR="00617740">
              <w:rPr>
                <w:noProof/>
                <w:webHidden/>
              </w:rPr>
              <w:instrText xml:space="preserve"> PAGEREF _Toc156932006 \h </w:instrText>
            </w:r>
            <w:r w:rsidR="00617740">
              <w:rPr>
                <w:noProof/>
                <w:webHidden/>
              </w:rPr>
            </w:r>
            <w:r w:rsidR="00617740">
              <w:rPr>
                <w:noProof/>
                <w:webHidden/>
              </w:rPr>
              <w:fldChar w:fldCharType="separate"/>
            </w:r>
            <w:r w:rsidR="00934D5E">
              <w:rPr>
                <w:noProof/>
                <w:webHidden/>
              </w:rPr>
              <w:t>26</w:t>
            </w:r>
            <w:r w:rsidR="00617740">
              <w:rPr>
                <w:noProof/>
                <w:webHidden/>
              </w:rPr>
              <w:fldChar w:fldCharType="end"/>
            </w:r>
          </w:hyperlink>
        </w:p>
        <w:p w14:paraId="0F9A323C" w14:textId="732AAD5B" w:rsidR="00617740" w:rsidRDefault="00380CE9">
          <w:pPr>
            <w:pStyle w:val="TOC2"/>
            <w:rPr>
              <w:rFonts w:asciiTheme="minorHAnsi" w:eastAsiaTheme="minorEastAsia" w:hAnsiTheme="minorHAnsi" w:cstheme="minorBidi"/>
              <w:noProof/>
              <w:kern w:val="2"/>
              <w:sz w:val="24"/>
              <w:szCs w:val="24"/>
              <w:lang w:eastAsia="en-AU"/>
              <w14:ligatures w14:val="standardContextual"/>
            </w:rPr>
          </w:pPr>
          <w:hyperlink w:anchor="_Toc156932007" w:history="1">
            <w:r w:rsidR="00617740" w:rsidRPr="00352838">
              <w:rPr>
                <w:rStyle w:val="Hyperlink"/>
                <w:noProof/>
              </w:rPr>
              <w:t>4.1</w:t>
            </w:r>
            <w:r w:rsidR="00617740">
              <w:rPr>
                <w:rFonts w:asciiTheme="minorHAnsi" w:eastAsiaTheme="minorEastAsia" w:hAnsiTheme="minorHAnsi" w:cstheme="minorBidi"/>
                <w:noProof/>
                <w:kern w:val="2"/>
                <w:sz w:val="24"/>
                <w:szCs w:val="24"/>
                <w:lang w:eastAsia="en-AU"/>
                <w14:ligatures w14:val="standardContextual"/>
              </w:rPr>
              <w:tab/>
            </w:r>
            <w:r w:rsidR="00617740" w:rsidRPr="00352838">
              <w:rPr>
                <w:rStyle w:val="Hyperlink"/>
                <w:noProof/>
              </w:rPr>
              <w:t>Overview</w:t>
            </w:r>
            <w:r w:rsidR="00617740">
              <w:rPr>
                <w:noProof/>
                <w:webHidden/>
              </w:rPr>
              <w:tab/>
            </w:r>
            <w:r w:rsidR="00617740">
              <w:rPr>
                <w:noProof/>
                <w:webHidden/>
              </w:rPr>
              <w:fldChar w:fldCharType="begin"/>
            </w:r>
            <w:r w:rsidR="00617740">
              <w:rPr>
                <w:noProof/>
                <w:webHidden/>
              </w:rPr>
              <w:instrText xml:space="preserve"> PAGEREF _Toc156932007 \h </w:instrText>
            </w:r>
            <w:r w:rsidR="00617740">
              <w:rPr>
                <w:noProof/>
                <w:webHidden/>
              </w:rPr>
            </w:r>
            <w:r w:rsidR="00617740">
              <w:rPr>
                <w:noProof/>
                <w:webHidden/>
              </w:rPr>
              <w:fldChar w:fldCharType="separate"/>
            </w:r>
            <w:r w:rsidR="00934D5E">
              <w:rPr>
                <w:noProof/>
                <w:webHidden/>
              </w:rPr>
              <w:t>26</w:t>
            </w:r>
            <w:r w:rsidR="00617740">
              <w:rPr>
                <w:noProof/>
                <w:webHidden/>
              </w:rPr>
              <w:fldChar w:fldCharType="end"/>
            </w:r>
          </w:hyperlink>
        </w:p>
        <w:p w14:paraId="2985DFEB" w14:textId="66960617" w:rsidR="00617740" w:rsidRDefault="00380CE9">
          <w:pPr>
            <w:pStyle w:val="TOC2"/>
            <w:rPr>
              <w:rFonts w:asciiTheme="minorHAnsi" w:eastAsiaTheme="minorEastAsia" w:hAnsiTheme="minorHAnsi" w:cstheme="minorBidi"/>
              <w:noProof/>
              <w:kern w:val="2"/>
              <w:sz w:val="24"/>
              <w:szCs w:val="24"/>
              <w:lang w:eastAsia="en-AU"/>
              <w14:ligatures w14:val="standardContextual"/>
            </w:rPr>
          </w:pPr>
          <w:hyperlink w:anchor="_Toc156932008" w:history="1">
            <w:r w:rsidR="00617740" w:rsidRPr="00352838">
              <w:rPr>
                <w:rStyle w:val="Hyperlink"/>
                <w:noProof/>
              </w:rPr>
              <w:t>4.2</w:t>
            </w:r>
            <w:r w:rsidR="00617740">
              <w:rPr>
                <w:rFonts w:asciiTheme="minorHAnsi" w:eastAsiaTheme="minorEastAsia" w:hAnsiTheme="minorHAnsi" w:cstheme="minorBidi"/>
                <w:noProof/>
                <w:kern w:val="2"/>
                <w:sz w:val="24"/>
                <w:szCs w:val="24"/>
                <w:lang w:eastAsia="en-AU"/>
                <w14:ligatures w14:val="standardContextual"/>
              </w:rPr>
              <w:tab/>
            </w:r>
            <w:r w:rsidR="00617740" w:rsidRPr="00352838">
              <w:rPr>
                <w:rStyle w:val="Hyperlink"/>
                <w:noProof/>
              </w:rPr>
              <w:t>Transformation features</w:t>
            </w:r>
            <w:r w:rsidR="00617740">
              <w:rPr>
                <w:noProof/>
                <w:webHidden/>
              </w:rPr>
              <w:tab/>
            </w:r>
            <w:r w:rsidR="00617740">
              <w:rPr>
                <w:noProof/>
                <w:webHidden/>
              </w:rPr>
              <w:fldChar w:fldCharType="begin"/>
            </w:r>
            <w:r w:rsidR="00617740">
              <w:rPr>
                <w:noProof/>
                <w:webHidden/>
              </w:rPr>
              <w:instrText xml:space="preserve"> PAGEREF _Toc156932008 \h </w:instrText>
            </w:r>
            <w:r w:rsidR="00617740">
              <w:rPr>
                <w:noProof/>
                <w:webHidden/>
              </w:rPr>
            </w:r>
            <w:r w:rsidR="00617740">
              <w:rPr>
                <w:noProof/>
                <w:webHidden/>
              </w:rPr>
              <w:fldChar w:fldCharType="separate"/>
            </w:r>
            <w:r w:rsidR="00934D5E">
              <w:rPr>
                <w:noProof/>
                <w:webHidden/>
              </w:rPr>
              <w:t>28</w:t>
            </w:r>
            <w:r w:rsidR="00617740">
              <w:rPr>
                <w:noProof/>
                <w:webHidden/>
              </w:rPr>
              <w:fldChar w:fldCharType="end"/>
            </w:r>
          </w:hyperlink>
        </w:p>
        <w:p w14:paraId="0FEC1616" w14:textId="2407BBC2" w:rsidR="00617740" w:rsidRDefault="00380CE9">
          <w:pPr>
            <w:pStyle w:val="TOC2"/>
            <w:rPr>
              <w:rFonts w:asciiTheme="minorHAnsi" w:eastAsiaTheme="minorEastAsia" w:hAnsiTheme="minorHAnsi" w:cstheme="minorBidi"/>
              <w:noProof/>
              <w:kern w:val="2"/>
              <w:sz w:val="24"/>
              <w:szCs w:val="24"/>
              <w:lang w:eastAsia="en-AU"/>
              <w14:ligatures w14:val="standardContextual"/>
            </w:rPr>
          </w:pPr>
          <w:hyperlink w:anchor="_Toc156932009" w:history="1">
            <w:r w:rsidR="00617740" w:rsidRPr="00352838">
              <w:rPr>
                <w:rStyle w:val="Hyperlink"/>
                <w:noProof/>
              </w:rPr>
              <w:t>4.3</w:t>
            </w:r>
            <w:r w:rsidR="00617740">
              <w:rPr>
                <w:rFonts w:asciiTheme="minorHAnsi" w:eastAsiaTheme="minorEastAsia" w:hAnsiTheme="minorHAnsi" w:cstheme="minorBidi"/>
                <w:noProof/>
                <w:kern w:val="2"/>
                <w:sz w:val="24"/>
                <w:szCs w:val="24"/>
                <w:lang w:eastAsia="en-AU"/>
                <w14:ligatures w14:val="standardContextual"/>
              </w:rPr>
              <w:tab/>
            </w:r>
            <w:r w:rsidR="00617740" w:rsidRPr="00352838">
              <w:rPr>
                <w:rStyle w:val="Hyperlink"/>
                <w:noProof/>
              </w:rPr>
              <w:t>A Roadmap for transformation</w:t>
            </w:r>
            <w:r w:rsidR="00617740">
              <w:rPr>
                <w:noProof/>
                <w:webHidden/>
              </w:rPr>
              <w:tab/>
            </w:r>
            <w:r w:rsidR="00617740">
              <w:rPr>
                <w:noProof/>
                <w:webHidden/>
              </w:rPr>
              <w:fldChar w:fldCharType="begin"/>
            </w:r>
            <w:r w:rsidR="00617740">
              <w:rPr>
                <w:noProof/>
                <w:webHidden/>
              </w:rPr>
              <w:instrText xml:space="preserve"> PAGEREF _Toc156932009 \h </w:instrText>
            </w:r>
            <w:r w:rsidR="00617740">
              <w:rPr>
                <w:noProof/>
                <w:webHidden/>
              </w:rPr>
            </w:r>
            <w:r w:rsidR="00617740">
              <w:rPr>
                <w:noProof/>
                <w:webHidden/>
              </w:rPr>
              <w:fldChar w:fldCharType="separate"/>
            </w:r>
            <w:r w:rsidR="00934D5E">
              <w:rPr>
                <w:noProof/>
                <w:webHidden/>
              </w:rPr>
              <w:t>32</w:t>
            </w:r>
            <w:r w:rsidR="00617740">
              <w:rPr>
                <w:noProof/>
                <w:webHidden/>
              </w:rPr>
              <w:fldChar w:fldCharType="end"/>
            </w:r>
          </w:hyperlink>
        </w:p>
        <w:p w14:paraId="6F180A0E" w14:textId="3623681C" w:rsidR="00617740" w:rsidRDefault="00380CE9">
          <w:pPr>
            <w:pStyle w:val="TOC2"/>
            <w:rPr>
              <w:rFonts w:asciiTheme="minorHAnsi" w:eastAsiaTheme="minorEastAsia" w:hAnsiTheme="minorHAnsi" w:cstheme="minorBidi"/>
              <w:noProof/>
              <w:kern w:val="2"/>
              <w:sz w:val="24"/>
              <w:szCs w:val="24"/>
              <w:lang w:eastAsia="en-AU"/>
              <w14:ligatures w14:val="standardContextual"/>
            </w:rPr>
          </w:pPr>
          <w:hyperlink w:anchor="_Toc156932010" w:history="1">
            <w:r w:rsidR="00617740" w:rsidRPr="00352838">
              <w:rPr>
                <w:rStyle w:val="Hyperlink"/>
                <w:noProof/>
              </w:rPr>
              <w:t>4.4</w:t>
            </w:r>
            <w:r w:rsidR="00617740">
              <w:rPr>
                <w:rFonts w:asciiTheme="minorHAnsi" w:eastAsiaTheme="minorEastAsia" w:hAnsiTheme="minorHAnsi" w:cstheme="minorBidi"/>
                <w:noProof/>
                <w:kern w:val="2"/>
                <w:sz w:val="24"/>
                <w:szCs w:val="24"/>
                <w:lang w:eastAsia="en-AU"/>
                <w14:ligatures w14:val="standardContextual"/>
              </w:rPr>
              <w:tab/>
            </w:r>
            <w:r w:rsidR="00617740" w:rsidRPr="00352838">
              <w:rPr>
                <w:rStyle w:val="Hyperlink"/>
                <w:noProof/>
              </w:rPr>
              <w:t>Next steps</w:t>
            </w:r>
            <w:r w:rsidR="00617740">
              <w:rPr>
                <w:noProof/>
                <w:webHidden/>
              </w:rPr>
              <w:tab/>
            </w:r>
            <w:r w:rsidR="00617740">
              <w:rPr>
                <w:noProof/>
                <w:webHidden/>
              </w:rPr>
              <w:fldChar w:fldCharType="begin"/>
            </w:r>
            <w:r w:rsidR="00617740">
              <w:rPr>
                <w:noProof/>
                <w:webHidden/>
              </w:rPr>
              <w:instrText xml:space="preserve"> PAGEREF _Toc156932010 \h </w:instrText>
            </w:r>
            <w:r w:rsidR="00617740">
              <w:rPr>
                <w:noProof/>
                <w:webHidden/>
              </w:rPr>
            </w:r>
            <w:r w:rsidR="00617740">
              <w:rPr>
                <w:noProof/>
                <w:webHidden/>
              </w:rPr>
              <w:fldChar w:fldCharType="separate"/>
            </w:r>
            <w:r w:rsidR="00934D5E">
              <w:rPr>
                <w:noProof/>
                <w:webHidden/>
              </w:rPr>
              <w:t>46</w:t>
            </w:r>
            <w:r w:rsidR="00617740">
              <w:rPr>
                <w:noProof/>
                <w:webHidden/>
              </w:rPr>
              <w:fldChar w:fldCharType="end"/>
            </w:r>
          </w:hyperlink>
        </w:p>
        <w:p w14:paraId="0846A08B" w14:textId="31B015E6" w:rsidR="00617740" w:rsidRDefault="00380CE9">
          <w:pPr>
            <w:pStyle w:val="TOC2"/>
            <w:rPr>
              <w:rFonts w:asciiTheme="minorHAnsi" w:eastAsiaTheme="minorEastAsia" w:hAnsiTheme="minorHAnsi" w:cstheme="minorBidi"/>
              <w:noProof/>
              <w:kern w:val="2"/>
              <w:sz w:val="24"/>
              <w:szCs w:val="24"/>
              <w:lang w:eastAsia="en-AU"/>
              <w14:ligatures w14:val="standardContextual"/>
            </w:rPr>
          </w:pPr>
          <w:hyperlink w:anchor="_Toc156932011" w:history="1">
            <w:r w:rsidR="00617740" w:rsidRPr="00352838">
              <w:rPr>
                <w:rStyle w:val="Hyperlink"/>
                <w:noProof/>
              </w:rPr>
              <w:t>4.5</w:t>
            </w:r>
            <w:r w:rsidR="00617740">
              <w:rPr>
                <w:rFonts w:asciiTheme="minorHAnsi" w:eastAsiaTheme="minorEastAsia" w:hAnsiTheme="minorHAnsi" w:cstheme="minorBidi"/>
                <w:noProof/>
                <w:kern w:val="2"/>
                <w:sz w:val="24"/>
                <w:szCs w:val="24"/>
                <w:lang w:eastAsia="en-AU"/>
                <w14:ligatures w14:val="standardContextual"/>
              </w:rPr>
              <w:tab/>
            </w:r>
            <w:r w:rsidR="00617740" w:rsidRPr="00352838">
              <w:rPr>
                <w:rStyle w:val="Hyperlink"/>
                <w:noProof/>
              </w:rPr>
              <w:t>References</w:t>
            </w:r>
            <w:r w:rsidR="00617740">
              <w:rPr>
                <w:noProof/>
                <w:webHidden/>
              </w:rPr>
              <w:tab/>
            </w:r>
            <w:r w:rsidR="00617740">
              <w:rPr>
                <w:noProof/>
                <w:webHidden/>
              </w:rPr>
              <w:fldChar w:fldCharType="begin"/>
            </w:r>
            <w:r w:rsidR="00617740">
              <w:rPr>
                <w:noProof/>
                <w:webHidden/>
              </w:rPr>
              <w:instrText xml:space="preserve"> PAGEREF _Toc156932011 \h </w:instrText>
            </w:r>
            <w:r w:rsidR="00617740">
              <w:rPr>
                <w:noProof/>
                <w:webHidden/>
              </w:rPr>
            </w:r>
            <w:r w:rsidR="00617740">
              <w:rPr>
                <w:noProof/>
                <w:webHidden/>
              </w:rPr>
              <w:fldChar w:fldCharType="separate"/>
            </w:r>
            <w:r w:rsidR="00934D5E">
              <w:rPr>
                <w:noProof/>
                <w:webHidden/>
              </w:rPr>
              <w:t>47</w:t>
            </w:r>
            <w:r w:rsidR="00617740">
              <w:rPr>
                <w:noProof/>
                <w:webHidden/>
              </w:rPr>
              <w:fldChar w:fldCharType="end"/>
            </w:r>
          </w:hyperlink>
        </w:p>
        <w:p w14:paraId="1889A5E0" w14:textId="2C1460E5" w:rsidR="00617740" w:rsidRDefault="00380CE9">
          <w:pPr>
            <w:pStyle w:val="TOC1"/>
            <w:rPr>
              <w:rFonts w:asciiTheme="minorHAnsi" w:eastAsiaTheme="minorEastAsia" w:hAnsiTheme="minorHAnsi" w:cstheme="minorBidi"/>
              <w:b w:val="0"/>
              <w:bCs w:val="0"/>
              <w:noProof/>
              <w:kern w:val="2"/>
              <w:szCs w:val="24"/>
              <w:lang w:eastAsia="en-AU"/>
              <w14:ligatures w14:val="standardContextual"/>
            </w:rPr>
          </w:pPr>
          <w:hyperlink w:anchor="_Toc156932012" w:history="1">
            <w:r w:rsidR="00617740" w:rsidRPr="00352838">
              <w:rPr>
                <w:rStyle w:val="Hyperlink"/>
                <w:noProof/>
              </w:rPr>
              <w:t>Appendix 1 – Towards self-determination</w:t>
            </w:r>
            <w:r w:rsidR="00617740">
              <w:rPr>
                <w:noProof/>
                <w:webHidden/>
              </w:rPr>
              <w:tab/>
            </w:r>
            <w:r w:rsidR="00617740">
              <w:rPr>
                <w:noProof/>
                <w:webHidden/>
              </w:rPr>
              <w:fldChar w:fldCharType="begin"/>
            </w:r>
            <w:r w:rsidR="00617740">
              <w:rPr>
                <w:noProof/>
                <w:webHidden/>
              </w:rPr>
              <w:instrText xml:space="preserve"> PAGEREF _Toc156932012 \h </w:instrText>
            </w:r>
            <w:r w:rsidR="00617740">
              <w:rPr>
                <w:noProof/>
                <w:webHidden/>
              </w:rPr>
            </w:r>
            <w:r w:rsidR="00617740">
              <w:rPr>
                <w:noProof/>
                <w:webHidden/>
              </w:rPr>
              <w:fldChar w:fldCharType="separate"/>
            </w:r>
            <w:r w:rsidR="00934D5E">
              <w:rPr>
                <w:noProof/>
                <w:webHidden/>
              </w:rPr>
              <w:t>48</w:t>
            </w:r>
            <w:r w:rsidR="00617740">
              <w:rPr>
                <w:noProof/>
                <w:webHidden/>
              </w:rPr>
              <w:fldChar w:fldCharType="end"/>
            </w:r>
          </w:hyperlink>
        </w:p>
        <w:p w14:paraId="73AD50BF" w14:textId="408C396F" w:rsidR="00617740" w:rsidRDefault="00380CE9">
          <w:pPr>
            <w:pStyle w:val="TOC1"/>
            <w:rPr>
              <w:rFonts w:asciiTheme="minorHAnsi" w:eastAsiaTheme="minorEastAsia" w:hAnsiTheme="minorHAnsi" w:cstheme="minorBidi"/>
              <w:b w:val="0"/>
              <w:bCs w:val="0"/>
              <w:noProof/>
              <w:kern w:val="2"/>
              <w:szCs w:val="24"/>
              <w:lang w:eastAsia="en-AU"/>
              <w14:ligatures w14:val="standardContextual"/>
            </w:rPr>
          </w:pPr>
          <w:hyperlink w:anchor="_Toc156932013" w:history="1">
            <w:r w:rsidR="00617740" w:rsidRPr="00352838">
              <w:rPr>
                <w:rStyle w:val="Hyperlink"/>
                <w:noProof/>
              </w:rPr>
              <w:t>Appendix 2 – The Relevant Health Programs administered by Primary Health Networks</w:t>
            </w:r>
            <w:r w:rsidR="00617740">
              <w:rPr>
                <w:noProof/>
                <w:webHidden/>
              </w:rPr>
              <w:tab/>
            </w:r>
            <w:r w:rsidR="00617740">
              <w:rPr>
                <w:noProof/>
                <w:webHidden/>
              </w:rPr>
              <w:fldChar w:fldCharType="begin"/>
            </w:r>
            <w:r w:rsidR="00617740">
              <w:rPr>
                <w:noProof/>
                <w:webHidden/>
              </w:rPr>
              <w:instrText xml:space="preserve"> PAGEREF _Toc156932013 \h </w:instrText>
            </w:r>
            <w:r w:rsidR="00617740">
              <w:rPr>
                <w:noProof/>
                <w:webHidden/>
              </w:rPr>
            </w:r>
            <w:r w:rsidR="00617740">
              <w:rPr>
                <w:noProof/>
                <w:webHidden/>
              </w:rPr>
              <w:fldChar w:fldCharType="separate"/>
            </w:r>
            <w:r w:rsidR="00934D5E">
              <w:rPr>
                <w:noProof/>
                <w:webHidden/>
              </w:rPr>
              <w:t>55</w:t>
            </w:r>
            <w:r w:rsidR="00617740">
              <w:rPr>
                <w:noProof/>
                <w:webHidden/>
              </w:rPr>
              <w:fldChar w:fldCharType="end"/>
            </w:r>
          </w:hyperlink>
        </w:p>
        <w:p w14:paraId="5AFFAF70" w14:textId="1130C07E" w:rsidR="00617740" w:rsidRDefault="00380CE9">
          <w:pPr>
            <w:pStyle w:val="TOC1"/>
            <w:rPr>
              <w:rFonts w:asciiTheme="minorHAnsi" w:eastAsiaTheme="minorEastAsia" w:hAnsiTheme="minorHAnsi" w:cstheme="minorBidi"/>
              <w:b w:val="0"/>
              <w:bCs w:val="0"/>
              <w:noProof/>
              <w:kern w:val="2"/>
              <w:szCs w:val="24"/>
              <w:lang w:eastAsia="en-AU"/>
              <w14:ligatures w14:val="standardContextual"/>
            </w:rPr>
          </w:pPr>
          <w:hyperlink w:anchor="_Toc156932014" w:history="1">
            <w:r w:rsidR="00617740" w:rsidRPr="00352838">
              <w:rPr>
                <w:rStyle w:val="Hyperlink"/>
                <w:noProof/>
              </w:rPr>
              <w:t>Appendix 3 – Cultural credibility and protocols</w:t>
            </w:r>
            <w:r w:rsidR="00617740">
              <w:rPr>
                <w:noProof/>
                <w:webHidden/>
              </w:rPr>
              <w:tab/>
            </w:r>
            <w:r w:rsidR="00617740">
              <w:rPr>
                <w:noProof/>
                <w:webHidden/>
              </w:rPr>
              <w:fldChar w:fldCharType="begin"/>
            </w:r>
            <w:r w:rsidR="00617740">
              <w:rPr>
                <w:noProof/>
                <w:webHidden/>
              </w:rPr>
              <w:instrText xml:space="preserve"> PAGEREF _Toc156932014 \h </w:instrText>
            </w:r>
            <w:r w:rsidR="00617740">
              <w:rPr>
                <w:noProof/>
                <w:webHidden/>
              </w:rPr>
            </w:r>
            <w:r w:rsidR="00617740">
              <w:rPr>
                <w:noProof/>
                <w:webHidden/>
              </w:rPr>
              <w:fldChar w:fldCharType="separate"/>
            </w:r>
            <w:r w:rsidR="00934D5E">
              <w:rPr>
                <w:noProof/>
                <w:webHidden/>
              </w:rPr>
              <w:t>60</w:t>
            </w:r>
            <w:r w:rsidR="00617740">
              <w:rPr>
                <w:noProof/>
                <w:webHidden/>
              </w:rPr>
              <w:fldChar w:fldCharType="end"/>
            </w:r>
          </w:hyperlink>
        </w:p>
        <w:p w14:paraId="1DFA45DD" w14:textId="638BE038" w:rsidR="00617740" w:rsidRDefault="00380CE9">
          <w:pPr>
            <w:pStyle w:val="TOC1"/>
            <w:rPr>
              <w:rFonts w:asciiTheme="minorHAnsi" w:eastAsiaTheme="minorEastAsia" w:hAnsiTheme="minorHAnsi" w:cstheme="minorBidi"/>
              <w:b w:val="0"/>
              <w:bCs w:val="0"/>
              <w:noProof/>
              <w:kern w:val="2"/>
              <w:szCs w:val="24"/>
              <w:lang w:eastAsia="en-AU"/>
              <w14:ligatures w14:val="standardContextual"/>
            </w:rPr>
          </w:pPr>
          <w:hyperlink w:anchor="_Toc156932015" w:history="1">
            <w:r w:rsidR="00617740" w:rsidRPr="00352838">
              <w:rPr>
                <w:rStyle w:val="Hyperlink"/>
                <w:noProof/>
              </w:rPr>
              <w:t>Appendix 4 – Findings and insights from Phase 2 activities</w:t>
            </w:r>
            <w:r w:rsidR="00617740">
              <w:rPr>
                <w:noProof/>
                <w:webHidden/>
              </w:rPr>
              <w:tab/>
            </w:r>
            <w:r w:rsidR="00617740">
              <w:rPr>
                <w:noProof/>
                <w:webHidden/>
              </w:rPr>
              <w:fldChar w:fldCharType="begin"/>
            </w:r>
            <w:r w:rsidR="00617740">
              <w:rPr>
                <w:noProof/>
                <w:webHidden/>
              </w:rPr>
              <w:instrText xml:space="preserve"> PAGEREF _Toc156932015 \h </w:instrText>
            </w:r>
            <w:r w:rsidR="00617740">
              <w:rPr>
                <w:noProof/>
                <w:webHidden/>
              </w:rPr>
            </w:r>
            <w:r w:rsidR="00617740">
              <w:rPr>
                <w:noProof/>
                <w:webHidden/>
              </w:rPr>
              <w:fldChar w:fldCharType="separate"/>
            </w:r>
            <w:r w:rsidR="00934D5E">
              <w:rPr>
                <w:noProof/>
                <w:webHidden/>
              </w:rPr>
              <w:t>61</w:t>
            </w:r>
            <w:r w:rsidR="00617740">
              <w:rPr>
                <w:noProof/>
                <w:webHidden/>
              </w:rPr>
              <w:fldChar w:fldCharType="end"/>
            </w:r>
          </w:hyperlink>
        </w:p>
        <w:p w14:paraId="2556F186" w14:textId="2B8D650F" w:rsidR="00617740" w:rsidRDefault="00380CE9">
          <w:pPr>
            <w:pStyle w:val="TOC1"/>
            <w:rPr>
              <w:rFonts w:asciiTheme="minorHAnsi" w:eastAsiaTheme="minorEastAsia" w:hAnsiTheme="minorHAnsi" w:cstheme="minorBidi"/>
              <w:b w:val="0"/>
              <w:bCs w:val="0"/>
              <w:noProof/>
              <w:kern w:val="2"/>
              <w:szCs w:val="24"/>
              <w:lang w:eastAsia="en-AU"/>
              <w14:ligatures w14:val="standardContextual"/>
            </w:rPr>
          </w:pPr>
          <w:hyperlink w:anchor="_Toc156932016" w:history="1">
            <w:r w:rsidR="00617740" w:rsidRPr="00352838">
              <w:rPr>
                <w:rStyle w:val="Hyperlink"/>
                <w:noProof/>
              </w:rPr>
              <w:t>Appendix 5 – Stakeholders engaged</w:t>
            </w:r>
            <w:r w:rsidR="00617740">
              <w:rPr>
                <w:noProof/>
                <w:webHidden/>
              </w:rPr>
              <w:tab/>
            </w:r>
            <w:r w:rsidR="00617740">
              <w:rPr>
                <w:noProof/>
                <w:webHidden/>
              </w:rPr>
              <w:fldChar w:fldCharType="begin"/>
            </w:r>
            <w:r w:rsidR="00617740">
              <w:rPr>
                <w:noProof/>
                <w:webHidden/>
              </w:rPr>
              <w:instrText xml:space="preserve"> PAGEREF _Toc156932016 \h </w:instrText>
            </w:r>
            <w:r w:rsidR="00617740">
              <w:rPr>
                <w:noProof/>
                <w:webHidden/>
              </w:rPr>
            </w:r>
            <w:r w:rsidR="00617740">
              <w:rPr>
                <w:noProof/>
                <w:webHidden/>
              </w:rPr>
              <w:fldChar w:fldCharType="separate"/>
            </w:r>
            <w:r w:rsidR="00934D5E">
              <w:rPr>
                <w:noProof/>
                <w:webHidden/>
              </w:rPr>
              <w:t>94</w:t>
            </w:r>
            <w:r w:rsidR="00617740">
              <w:rPr>
                <w:noProof/>
                <w:webHidden/>
              </w:rPr>
              <w:fldChar w:fldCharType="end"/>
            </w:r>
          </w:hyperlink>
        </w:p>
        <w:p w14:paraId="137C6B0A" w14:textId="1C6C7B3D" w:rsidR="00617740" w:rsidRDefault="00380CE9">
          <w:pPr>
            <w:pStyle w:val="TOC1"/>
            <w:rPr>
              <w:rFonts w:asciiTheme="minorHAnsi" w:eastAsiaTheme="minorEastAsia" w:hAnsiTheme="minorHAnsi" w:cstheme="minorBidi"/>
              <w:b w:val="0"/>
              <w:bCs w:val="0"/>
              <w:noProof/>
              <w:kern w:val="2"/>
              <w:szCs w:val="24"/>
              <w:lang w:eastAsia="en-AU"/>
              <w14:ligatures w14:val="standardContextual"/>
            </w:rPr>
          </w:pPr>
          <w:hyperlink w:anchor="_Toc156932017" w:history="1">
            <w:r w:rsidR="00617740" w:rsidRPr="00352838">
              <w:rPr>
                <w:rStyle w:val="Hyperlink"/>
                <w:noProof/>
              </w:rPr>
              <w:t>Appendix 6 – Future roles and responsibilities under each arrangement</w:t>
            </w:r>
            <w:r w:rsidR="00617740">
              <w:rPr>
                <w:noProof/>
                <w:webHidden/>
              </w:rPr>
              <w:tab/>
            </w:r>
            <w:r w:rsidR="00617740">
              <w:rPr>
                <w:noProof/>
                <w:webHidden/>
              </w:rPr>
              <w:fldChar w:fldCharType="begin"/>
            </w:r>
            <w:r w:rsidR="00617740">
              <w:rPr>
                <w:noProof/>
                <w:webHidden/>
              </w:rPr>
              <w:instrText xml:space="preserve"> PAGEREF _Toc156932017 \h </w:instrText>
            </w:r>
            <w:r w:rsidR="00617740">
              <w:rPr>
                <w:noProof/>
                <w:webHidden/>
              </w:rPr>
            </w:r>
            <w:r w:rsidR="00617740">
              <w:rPr>
                <w:noProof/>
                <w:webHidden/>
              </w:rPr>
              <w:fldChar w:fldCharType="separate"/>
            </w:r>
            <w:r w:rsidR="00934D5E">
              <w:rPr>
                <w:noProof/>
                <w:webHidden/>
              </w:rPr>
              <w:t>107</w:t>
            </w:r>
            <w:r w:rsidR="00617740">
              <w:rPr>
                <w:noProof/>
                <w:webHidden/>
              </w:rPr>
              <w:fldChar w:fldCharType="end"/>
            </w:r>
          </w:hyperlink>
        </w:p>
        <w:p w14:paraId="27230B71" w14:textId="61D694E3" w:rsidR="00617740" w:rsidRDefault="00380CE9">
          <w:pPr>
            <w:pStyle w:val="TOC1"/>
            <w:rPr>
              <w:rFonts w:asciiTheme="minorHAnsi" w:eastAsiaTheme="minorEastAsia" w:hAnsiTheme="minorHAnsi" w:cstheme="minorBidi"/>
              <w:b w:val="0"/>
              <w:bCs w:val="0"/>
              <w:noProof/>
              <w:kern w:val="2"/>
              <w:szCs w:val="24"/>
              <w:lang w:eastAsia="en-AU"/>
              <w14:ligatures w14:val="standardContextual"/>
            </w:rPr>
          </w:pPr>
          <w:hyperlink w:anchor="_Toc156932018" w:history="1">
            <w:r w:rsidR="00617740" w:rsidRPr="00352838">
              <w:rPr>
                <w:rStyle w:val="Hyperlink"/>
                <w:noProof/>
              </w:rPr>
              <w:t>Appendix 7 – Details about potential roles and responsibilities</w:t>
            </w:r>
            <w:r w:rsidR="00617740">
              <w:rPr>
                <w:noProof/>
                <w:webHidden/>
              </w:rPr>
              <w:tab/>
            </w:r>
            <w:r w:rsidR="00617740">
              <w:rPr>
                <w:noProof/>
                <w:webHidden/>
              </w:rPr>
              <w:fldChar w:fldCharType="begin"/>
            </w:r>
            <w:r w:rsidR="00617740">
              <w:rPr>
                <w:noProof/>
                <w:webHidden/>
              </w:rPr>
              <w:instrText xml:space="preserve"> PAGEREF _Toc156932018 \h </w:instrText>
            </w:r>
            <w:r w:rsidR="00617740">
              <w:rPr>
                <w:noProof/>
                <w:webHidden/>
              </w:rPr>
            </w:r>
            <w:r w:rsidR="00617740">
              <w:rPr>
                <w:noProof/>
                <w:webHidden/>
              </w:rPr>
              <w:fldChar w:fldCharType="separate"/>
            </w:r>
            <w:r w:rsidR="00934D5E">
              <w:rPr>
                <w:noProof/>
                <w:webHidden/>
              </w:rPr>
              <w:t>113</w:t>
            </w:r>
            <w:r w:rsidR="00617740">
              <w:rPr>
                <w:noProof/>
                <w:webHidden/>
              </w:rPr>
              <w:fldChar w:fldCharType="end"/>
            </w:r>
          </w:hyperlink>
        </w:p>
        <w:p w14:paraId="067AB95C" w14:textId="1B8BDC96" w:rsidR="00617740" w:rsidRDefault="00380CE9">
          <w:pPr>
            <w:pStyle w:val="TOC1"/>
            <w:rPr>
              <w:rFonts w:asciiTheme="minorHAnsi" w:eastAsiaTheme="minorEastAsia" w:hAnsiTheme="minorHAnsi" w:cstheme="minorBidi"/>
              <w:b w:val="0"/>
              <w:bCs w:val="0"/>
              <w:noProof/>
              <w:kern w:val="2"/>
              <w:szCs w:val="24"/>
              <w:lang w:eastAsia="en-AU"/>
              <w14:ligatures w14:val="standardContextual"/>
            </w:rPr>
          </w:pPr>
          <w:hyperlink w:anchor="_Toc156932019" w:history="1">
            <w:r w:rsidR="00617740" w:rsidRPr="00352838">
              <w:rPr>
                <w:rStyle w:val="Hyperlink"/>
                <w:noProof/>
              </w:rPr>
              <w:t>Appendix 8 – Enablers to support future state funding arrangements</w:t>
            </w:r>
            <w:r w:rsidR="00617740">
              <w:rPr>
                <w:noProof/>
                <w:webHidden/>
              </w:rPr>
              <w:tab/>
            </w:r>
            <w:r w:rsidR="00617740">
              <w:rPr>
                <w:noProof/>
                <w:webHidden/>
              </w:rPr>
              <w:fldChar w:fldCharType="begin"/>
            </w:r>
            <w:r w:rsidR="00617740">
              <w:rPr>
                <w:noProof/>
                <w:webHidden/>
              </w:rPr>
              <w:instrText xml:space="preserve"> PAGEREF _Toc156932019 \h </w:instrText>
            </w:r>
            <w:r w:rsidR="00617740">
              <w:rPr>
                <w:noProof/>
                <w:webHidden/>
              </w:rPr>
            </w:r>
            <w:r w:rsidR="00617740">
              <w:rPr>
                <w:noProof/>
                <w:webHidden/>
              </w:rPr>
              <w:fldChar w:fldCharType="separate"/>
            </w:r>
            <w:r w:rsidR="00934D5E">
              <w:rPr>
                <w:noProof/>
                <w:webHidden/>
              </w:rPr>
              <w:t>117</w:t>
            </w:r>
            <w:r w:rsidR="00617740">
              <w:rPr>
                <w:noProof/>
                <w:webHidden/>
              </w:rPr>
              <w:fldChar w:fldCharType="end"/>
            </w:r>
          </w:hyperlink>
        </w:p>
        <w:p w14:paraId="2D25A097" w14:textId="353986C8" w:rsidR="00617740" w:rsidRDefault="00380CE9">
          <w:pPr>
            <w:pStyle w:val="TOC1"/>
            <w:rPr>
              <w:rFonts w:asciiTheme="minorHAnsi" w:eastAsiaTheme="minorEastAsia" w:hAnsiTheme="minorHAnsi" w:cstheme="minorBidi"/>
              <w:b w:val="0"/>
              <w:bCs w:val="0"/>
              <w:noProof/>
              <w:kern w:val="2"/>
              <w:szCs w:val="24"/>
              <w:lang w:eastAsia="en-AU"/>
              <w14:ligatures w14:val="standardContextual"/>
            </w:rPr>
          </w:pPr>
          <w:hyperlink w:anchor="_Toc156932020" w:history="1">
            <w:r w:rsidR="00617740" w:rsidRPr="00352838">
              <w:rPr>
                <w:rStyle w:val="Hyperlink"/>
                <w:noProof/>
              </w:rPr>
              <w:t>Appendix 9 – Literature review</w:t>
            </w:r>
            <w:r w:rsidR="00617740">
              <w:rPr>
                <w:noProof/>
                <w:webHidden/>
              </w:rPr>
              <w:tab/>
            </w:r>
            <w:r w:rsidR="00617740">
              <w:rPr>
                <w:noProof/>
                <w:webHidden/>
              </w:rPr>
              <w:fldChar w:fldCharType="begin"/>
            </w:r>
            <w:r w:rsidR="00617740">
              <w:rPr>
                <w:noProof/>
                <w:webHidden/>
              </w:rPr>
              <w:instrText xml:space="preserve"> PAGEREF _Toc156932020 \h </w:instrText>
            </w:r>
            <w:r w:rsidR="00617740">
              <w:rPr>
                <w:noProof/>
                <w:webHidden/>
              </w:rPr>
            </w:r>
            <w:r w:rsidR="00617740">
              <w:rPr>
                <w:noProof/>
                <w:webHidden/>
              </w:rPr>
              <w:fldChar w:fldCharType="separate"/>
            </w:r>
            <w:r w:rsidR="00934D5E">
              <w:rPr>
                <w:noProof/>
                <w:webHidden/>
              </w:rPr>
              <w:t>121</w:t>
            </w:r>
            <w:r w:rsidR="00617740">
              <w:rPr>
                <w:noProof/>
                <w:webHidden/>
              </w:rPr>
              <w:fldChar w:fldCharType="end"/>
            </w:r>
          </w:hyperlink>
        </w:p>
        <w:p w14:paraId="178E941B" w14:textId="121A6C7E" w:rsidR="00617740" w:rsidRDefault="00380CE9">
          <w:pPr>
            <w:pStyle w:val="TOC1"/>
            <w:rPr>
              <w:rFonts w:asciiTheme="minorHAnsi" w:eastAsiaTheme="minorEastAsia" w:hAnsiTheme="minorHAnsi" w:cstheme="minorBidi"/>
              <w:b w:val="0"/>
              <w:bCs w:val="0"/>
              <w:noProof/>
              <w:kern w:val="2"/>
              <w:szCs w:val="24"/>
              <w:lang w:eastAsia="en-AU"/>
              <w14:ligatures w14:val="standardContextual"/>
            </w:rPr>
          </w:pPr>
          <w:hyperlink w:anchor="_Toc156932021" w:history="1">
            <w:r w:rsidR="00617740" w:rsidRPr="00352838">
              <w:rPr>
                <w:rStyle w:val="Hyperlink"/>
                <w:noProof/>
              </w:rPr>
              <w:t>Appendix 10 – Commissioned service methodology and limitations</w:t>
            </w:r>
            <w:r w:rsidR="00617740">
              <w:rPr>
                <w:noProof/>
                <w:webHidden/>
              </w:rPr>
              <w:tab/>
            </w:r>
            <w:r w:rsidR="00617740">
              <w:rPr>
                <w:noProof/>
                <w:webHidden/>
              </w:rPr>
              <w:fldChar w:fldCharType="begin"/>
            </w:r>
            <w:r w:rsidR="00617740">
              <w:rPr>
                <w:noProof/>
                <w:webHidden/>
              </w:rPr>
              <w:instrText xml:space="preserve"> PAGEREF _Toc156932021 \h </w:instrText>
            </w:r>
            <w:r w:rsidR="00617740">
              <w:rPr>
                <w:noProof/>
                <w:webHidden/>
              </w:rPr>
            </w:r>
            <w:r w:rsidR="00617740">
              <w:rPr>
                <w:noProof/>
                <w:webHidden/>
              </w:rPr>
              <w:fldChar w:fldCharType="separate"/>
            </w:r>
            <w:r w:rsidR="00934D5E">
              <w:rPr>
                <w:noProof/>
                <w:webHidden/>
              </w:rPr>
              <w:t>171</w:t>
            </w:r>
            <w:r w:rsidR="00617740">
              <w:rPr>
                <w:noProof/>
                <w:webHidden/>
              </w:rPr>
              <w:fldChar w:fldCharType="end"/>
            </w:r>
          </w:hyperlink>
        </w:p>
        <w:p w14:paraId="53D47BB7" w14:textId="71BB1AD5" w:rsidR="00617740" w:rsidRDefault="00380CE9">
          <w:pPr>
            <w:pStyle w:val="TOC1"/>
            <w:rPr>
              <w:rFonts w:asciiTheme="minorHAnsi" w:eastAsiaTheme="minorEastAsia" w:hAnsiTheme="minorHAnsi" w:cstheme="minorBidi"/>
              <w:b w:val="0"/>
              <w:bCs w:val="0"/>
              <w:noProof/>
              <w:kern w:val="2"/>
              <w:szCs w:val="24"/>
              <w:lang w:eastAsia="en-AU"/>
              <w14:ligatures w14:val="standardContextual"/>
            </w:rPr>
          </w:pPr>
          <w:hyperlink w:anchor="_Toc156932022" w:history="1">
            <w:r w:rsidR="00617740" w:rsidRPr="00352838">
              <w:rPr>
                <w:rStyle w:val="Hyperlink"/>
                <w:noProof/>
              </w:rPr>
              <w:t>Appendix 11 – Framework for the Early Adopter Period</w:t>
            </w:r>
            <w:r w:rsidR="00617740">
              <w:rPr>
                <w:noProof/>
                <w:webHidden/>
              </w:rPr>
              <w:tab/>
            </w:r>
            <w:r w:rsidR="00617740">
              <w:rPr>
                <w:noProof/>
                <w:webHidden/>
              </w:rPr>
              <w:fldChar w:fldCharType="begin"/>
            </w:r>
            <w:r w:rsidR="00617740">
              <w:rPr>
                <w:noProof/>
                <w:webHidden/>
              </w:rPr>
              <w:instrText xml:space="preserve"> PAGEREF _Toc156932022 \h </w:instrText>
            </w:r>
            <w:r w:rsidR="00617740">
              <w:rPr>
                <w:noProof/>
                <w:webHidden/>
              </w:rPr>
            </w:r>
            <w:r w:rsidR="00617740">
              <w:rPr>
                <w:noProof/>
                <w:webHidden/>
              </w:rPr>
              <w:fldChar w:fldCharType="separate"/>
            </w:r>
            <w:r w:rsidR="00934D5E">
              <w:rPr>
                <w:noProof/>
                <w:webHidden/>
              </w:rPr>
              <w:t>174</w:t>
            </w:r>
            <w:r w:rsidR="00617740">
              <w:rPr>
                <w:noProof/>
                <w:webHidden/>
              </w:rPr>
              <w:fldChar w:fldCharType="end"/>
            </w:r>
          </w:hyperlink>
        </w:p>
        <w:p w14:paraId="199B0642" w14:textId="79D76A37" w:rsidR="00617740" w:rsidRDefault="00380CE9">
          <w:pPr>
            <w:pStyle w:val="TOC1"/>
            <w:rPr>
              <w:rFonts w:asciiTheme="minorHAnsi" w:eastAsiaTheme="minorEastAsia" w:hAnsiTheme="minorHAnsi" w:cstheme="minorBidi"/>
              <w:b w:val="0"/>
              <w:bCs w:val="0"/>
              <w:noProof/>
              <w:kern w:val="2"/>
              <w:szCs w:val="24"/>
              <w:lang w:eastAsia="en-AU"/>
              <w14:ligatures w14:val="standardContextual"/>
            </w:rPr>
          </w:pPr>
          <w:hyperlink w:anchor="_Toc156932023" w:history="1">
            <w:r w:rsidR="00617740" w:rsidRPr="00352838">
              <w:rPr>
                <w:rStyle w:val="Hyperlink"/>
                <w:noProof/>
              </w:rPr>
              <w:t>Appendix 12 – Assessments of arrangements</w:t>
            </w:r>
            <w:r w:rsidR="00617740">
              <w:rPr>
                <w:noProof/>
                <w:webHidden/>
              </w:rPr>
              <w:tab/>
            </w:r>
            <w:r w:rsidR="00617740">
              <w:rPr>
                <w:noProof/>
                <w:webHidden/>
              </w:rPr>
              <w:fldChar w:fldCharType="begin"/>
            </w:r>
            <w:r w:rsidR="00617740">
              <w:rPr>
                <w:noProof/>
                <w:webHidden/>
              </w:rPr>
              <w:instrText xml:space="preserve"> PAGEREF _Toc156932023 \h </w:instrText>
            </w:r>
            <w:r w:rsidR="00617740">
              <w:rPr>
                <w:noProof/>
                <w:webHidden/>
              </w:rPr>
            </w:r>
            <w:r w:rsidR="00617740">
              <w:rPr>
                <w:noProof/>
                <w:webHidden/>
              </w:rPr>
              <w:fldChar w:fldCharType="separate"/>
            </w:r>
            <w:r w:rsidR="00934D5E">
              <w:rPr>
                <w:noProof/>
                <w:webHidden/>
              </w:rPr>
              <w:t>179</w:t>
            </w:r>
            <w:r w:rsidR="00617740">
              <w:rPr>
                <w:noProof/>
                <w:webHidden/>
              </w:rPr>
              <w:fldChar w:fldCharType="end"/>
            </w:r>
          </w:hyperlink>
        </w:p>
        <w:p w14:paraId="1FA26879" w14:textId="6B4BBF3B" w:rsidR="00BD0313" w:rsidRPr="00B65F7F" w:rsidRDefault="001611E1" w:rsidP="001611E1">
          <w:pPr>
            <w:pStyle w:val="TOC1"/>
            <w:tabs>
              <w:tab w:val="left" w:pos="1400"/>
            </w:tabs>
            <w:rPr>
              <w:i/>
              <w:iCs/>
              <w:caps/>
            </w:rPr>
          </w:pPr>
          <w:r>
            <w:rPr>
              <w:shd w:val="clear" w:color="auto" w:fill="E6E6E6"/>
            </w:rPr>
            <w:fldChar w:fldCharType="end"/>
          </w:r>
        </w:p>
      </w:sdtContent>
    </w:sdt>
    <w:p w14:paraId="348E9DCF" w14:textId="77777777" w:rsidR="00C028B7" w:rsidRDefault="00C028B7">
      <w:pPr>
        <w:rPr>
          <w:rFonts w:ascii="Calibri" w:hAnsi="Calibri"/>
          <w:bCs/>
          <w:color w:val="0196A7" w:themeColor="accent3"/>
          <w:sz w:val="48"/>
          <w:szCs w:val="26"/>
          <w:lang w:eastAsia="en-US" w:bidi="en-US"/>
        </w:rPr>
      </w:pPr>
      <w:r>
        <w:br w:type="page"/>
      </w:r>
    </w:p>
    <w:p w14:paraId="5E48DC59" w14:textId="77777777" w:rsidR="0057510C" w:rsidRPr="00B65F7F" w:rsidRDefault="0057510C" w:rsidP="007A68C5">
      <w:pPr>
        <w:pStyle w:val="HeadingLevel2NoNumber"/>
        <w:spacing w:before="0"/>
        <w:rPr>
          <w:lang w:val="en-AU"/>
        </w:rPr>
      </w:pPr>
      <w:r w:rsidRPr="00B65F7F">
        <w:rPr>
          <w:lang w:val="en-AU"/>
        </w:rPr>
        <w:lastRenderedPageBreak/>
        <w:t>Figures</w:t>
      </w:r>
    </w:p>
    <w:p w14:paraId="3CC280A8" w14:textId="1475ACEA" w:rsidR="00617740" w:rsidRDefault="009C3202">
      <w:pPr>
        <w:pStyle w:val="TableofFigures"/>
        <w:rPr>
          <w:rFonts w:eastAsiaTheme="minorEastAsia" w:cstheme="minorBidi"/>
          <w:iCs w:val="0"/>
          <w:noProof/>
          <w:kern w:val="2"/>
          <w:sz w:val="24"/>
          <w:szCs w:val="24"/>
          <w:lang w:eastAsia="en-AU"/>
          <w14:ligatures w14:val="standardContextual"/>
        </w:rPr>
      </w:pPr>
      <w:r>
        <w:rPr>
          <w:rStyle w:val="Hyperlink"/>
        </w:rPr>
        <w:fldChar w:fldCharType="begin"/>
      </w:r>
      <w:r>
        <w:rPr>
          <w:rStyle w:val="Hyperlink"/>
        </w:rPr>
        <w:instrText xml:space="preserve"> TOC \h \z \t "Caption Figure" \c </w:instrText>
      </w:r>
      <w:r>
        <w:rPr>
          <w:rStyle w:val="Hyperlink"/>
        </w:rPr>
        <w:fldChar w:fldCharType="separate"/>
      </w:r>
      <w:hyperlink w:anchor="_Toc156932024" w:history="1">
        <w:r w:rsidR="00617740" w:rsidRPr="005766BB">
          <w:rPr>
            <w:rStyle w:val="Hyperlink"/>
            <w:noProof/>
            <w:lang w:bidi="en-US"/>
          </w:rPr>
          <w:t>Figure ES1: Artwork of principles and enablers, designed by Gerard Black (Worimi)</w:t>
        </w:r>
        <w:r w:rsidR="00617740">
          <w:rPr>
            <w:noProof/>
            <w:webHidden/>
          </w:rPr>
          <w:tab/>
        </w:r>
        <w:r w:rsidR="00617740">
          <w:rPr>
            <w:noProof/>
            <w:webHidden/>
          </w:rPr>
          <w:fldChar w:fldCharType="begin"/>
        </w:r>
        <w:r w:rsidR="00617740">
          <w:rPr>
            <w:noProof/>
            <w:webHidden/>
          </w:rPr>
          <w:instrText xml:space="preserve"> PAGEREF _Toc156932024 \h </w:instrText>
        </w:r>
        <w:r w:rsidR="00617740">
          <w:rPr>
            <w:noProof/>
            <w:webHidden/>
          </w:rPr>
        </w:r>
        <w:r w:rsidR="00617740">
          <w:rPr>
            <w:noProof/>
            <w:webHidden/>
          </w:rPr>
          <w:fldChar w:fldCharType="separate"/>
        </w:r>
        <w:r w:rsidR="00934D5E">
          <w:rPr>
            <w:noProof/>
            <w:webHidden/>
          </w:rPr>
          <w:t>x</w:t>
        </w:r>
        <w:r w:rsidR="00617740">
          <w:rPr>
            <w:noProof/>
            <w:webHidden/>
          </w:rPr>
          <w:fldChar w:fldCharType="end"/>
        </w:r>
      </w:hyperlink>
    </w:p>
    <w:p w14:paraId="0CCE8813" w14:textId="55AFB534"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25" w:history="1">
        <w:r w:rsidR="00617740" w:rsidRPr="005766BB">
          <w:rPr>
            <w:rStyle w:val="Hyperlink"/>
            <w:noProof/>
            <w:lang w:bidi="en-US"/>
          </w:rPr>
          <w:t>Figure ES2: Simple diagram of Arrangements A1 and A2</w:t>
        </w:r>
        <w:r w:rsidR="00617740">
          <w:rPr>
            <w:noProof/>
            <w:webHidden/>
          </w:rPr>
          <w:tab/>
        </w:r>
        <w:r w:rsidR="00617740">
          <w:rPr>
            <w:noProof/>
            <w:webHidden/>
          </w:rPr>
          <w:fldChar w:fldCharType="begin"/>
        </w:r>
        <w:r w:rsidR="00617740">
          <w:rPr>
            <w:noProof/>
            <w:webHidden/>
          </w:rPr>
          <w:instrText xml:space="preserve"> PAGEREF _Toc156932025 \h </w:instrText>
        </w:r>
        <w:r w:rsidR="00617740">
          <w:rPr>
            <w:noProof/>
            <w:webHidden/>
          </w:rPr>
        </w:r>
        <w:r w:rsidR="00617740">
          <w:rPr>
            <w:noProof/>
            <w:webHidden/>
          </w:rPr>
          <w:fldChar w:fldCharType="separate"/>
        </w:r>
        <w:r w:rsidR="00934D5E">
          <w:rPr>
            <w:noProof/>
            <w:webHidden/>
          </w:rPr>
          <w:t>xi</w:t>
        </w:r>
        <w:r w:rsidR="00617740">
          <w:rPr>
            <w:noProof/>
            <w:webHidden/>
          </w:rPr>
          <w:fldChar w:fldCharType="end"/>
        </w:r>
      </w:hyperlink>
    </w:p>
    <w:p w14:paraId="6A46E89D" w14:textId="0CB352C8"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26" w:history="1">
        <w:r w:rsidR="00617740" w:rsidRPr="005766BB">
          <w:rPr>
            <w:rStyle w:val="Hyperlink"/>
            <w:noProof/>
            <w:lang w:bidi="en-US"/>
          </w:rPr>
          <w:t>Figure ES3: The 6 transformation features</w:t>
        </w:r>
        <w:r w:rsidR="00617740">
          <w:rPr>
            <w:noProof/>
            <w:webHidden/>
          </w:rPr>
          <w:tab/>
        </w:r>
        <w:r w:rsidR="00617740">
          <w:rPr>
            <w:noProof/>
            <w:webHidden/>
          </w:rPr>
          <w:fldChar w:fldCharType="begin"/>
        </w:r>
        <w:r w:rsidR="00617740">
          <w:rPr>
            <w:noProof/>
            <w:webHidden/>
          </w:rPr>
          <w:instrText xml:space="preserve"> PAGEREF _Toc156932026 \h </w:instrText>
        </w:r>
        <w:r w:rsidR="00617740">
          <w:rPr>
            <w:noProof/>
            <w:webHidden/>
          </w:rPr>
        </w:r>
        <w:r w:rsidR="00617740">
          <w:rPr>
            <w:noProof/>
            <w:webHidden/>
          </w:rPr>
          <w:fldChar w:fldCharType="separate"/>
        </w:r>
        <w:r w:rsidR="00934D5E">
          <w:rPr>
            <w:noProof/>
            <w:webHidden/>
          </w:rPr>
          <w:t>xiii</w:t>
        </w:r>
        <w:r w:rsidR="00617740">
          <w:rPr>
            <w:noProof/>
            <w:webHidden/>
          </w:rPr>
          <w:fldChar w:fldCharType="end"/>
        </w:r>
      </w:hyperlink>
    </w:p>
    <w:p w14:paraId="3D56B337" w14:textId="57BDBB8D"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27" w:history="1">
        <w:r w:rsidR="00617740" w:rsidRPr="005766BB">
          <w:rPr>
            <w:rStyle w:val="Hyperlink"/>
            <w:noProof/>
            <w:lang w:bidi="en-US"/>
          </w:rPr>
          <w:t>Figure ES4: Overview of the 6-phased Transformation Roadmap</w:t>
        </w:r>
        <w:r w:rsidR="00617740">
          <w:rPr>
            <w:noProof/>
            <w:webHidden/>
          </w:rPr>
          <w:tab/>
        </w:r>
        <w:r w:rsidR="00617740">
          <w:rPr>
            <w:noProof/>
            <w:webHidden/>
          </w:rPr>
          <w:fldChar w:fldCharType="begin"/>
        </w:r>
        <w:r w:rsidR="00617740">
          <w:rPr>
            <w:noProof/>
            <w:webHidden/>
          </w:rPr>
          <w:instrText xml:space="preserve"> PAGEREF _Toc156932027 \h </w:instrText>
        </w:r>
        <w:r w:rsidR="00617740">
          <w:rPr>
            <w:noProof/>
            <w:webHidden/>
          </w:rPr>
        </w:r>
        <w:r w:rsidR="00617740">
          <w:rPr>
            <w:noProof/>
            <w:webHidden/>
          </w:rPr>
          <w:fldChar w:fldCharType="separate"/>
        </w:r>
        <w:r w:rsidR="00934D5E">
          <w:rPr>
            <w:noProof/>
            <w:webHidden/>
          </w:rPr>
          <w:t>xiv</w:t>
        </w:r>
        <w:r w:rsidR="00617740">
          <w:rPr>
            <w:noProof/>
            <w:webHidden/>
          </w:rPr>
          <w:fldChar w:fldCharType="end"/>
        </w:r>
      </w:hyperlink>
    </w:p>
    <w:p w14:paraId="42261933" w14:textId="7EE3CBA5"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28" w:history="1">
        <w:r w:rsidR="00617740" w:rsidRPr="005766BB">
          <w:rPr>
            <w:rStyle w:val="Hyperlink"/>
            <w:noProof/>
            <w:lang w:bidi="en-US"/>
          </w:rPr>
          <w:t>Figure 1: Review methodology Stage 1 – Planning, preparing and initial research; Stage 2 – Stakeholder research; and Stage 3 – Yarning and reporting</w:t>
        </w:r>
        <w:r w:rsidR="00617740">
          <w:rPr>
            <w:noProof/>
            <w:webHidden/>
          </w:rPr>
          <w:tab/>
        </w:r>
        <w:r w:rsidR="00617740">
          <w:rPr>
            <w:noProof/>
            <w:webHidden/>
          </w:rPr>
          <w:fldChar w:fldCharType="begin"/>
        </w:r>
        <w:r w:rsidR="00617740">
          <w:rPr>
            <w:noProof/>
            <w:webHidden/>
          </w:rPr>
          <w:instrText xml:space="preserve"> PAGEREF _Toc156932028 \h </w:instrText>
        </w:r>
        <w:r w:rsidR="00617740">
          <w:rPr>
            <w:noProof/>
            <w:webHidden/>
          </w:rPr>
        </w:r>
        <w:r w:rsidR="00617740">
          <w:rPr>
            <w:noProof/>
            <w:webHidden/>
          </w:rPr>
          <w:fldChar w:fldCharType="separate"/>
        </w:r>
        <w:r w:rsidR="00934D5E">
          <w:rPr>
            <w:noProof/>
            <w:webHidden/>
          </w:rPr>
          <w:t>6</w:t>
        </w:r>
        <w:r w:rsidR="00617740">
          <w:rPr>
            <w:noProof/>
            <w:webHidden/>
          </w:rPr>
          <w:fldChar w:fldCharType="end"/>
        </w:r>
      </w:hyperlink>
    </w:p>
    <w:p w14:paraId="4AA199A9" w14:textId="5133D39C"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29" w:history="1">
        <w:r w:rsidR="00617740" w:rsidRPr="005766BB">
          <w:rPr>
            <w:rStyle w:val="Hyperlink"/>
            <w:noProof/>
            <w:lang w:bidi="en-US"/>
          </w:rPr>
          <w:t>Figure 2: Map of Australia with locations of engagement throughout the Review</w:t>
        </w:r>
        <w:r w:rsidR="00617740">
          <w:rPr>
            <w:noProof/>
            <w:webHidden/>
          </w:rPr>
          <w:tab/>
        </w:r>
        <w:r w:rsidR="00617740">
          <w:rPr>
            <w:noProof/>
            <w:webHidden/>
          </w:rPr>
          <w:fldChar w:fldCharType="begin"/>
        </w:r>
        <w:r w:rsidR="00617740">
          <w:rPr>
            <w:noProof/>
            <w:webHidden/>
          </w:rPr>
          <w:instrText xml:space="preserve"> PAGEREF _Toc156932029 \h </w:instrText>
        </w:r>
        <w:r w:rsidR="00617740">
          <w:rPr>
            <w:noProof/>
            <w:webHidden/>
          </w:rPr>
        </w:r>
        <w:r w:rsidR="00617740">
          <w:rPr>
            <w:noProof/>
            <w:webHidden/>
          </w:rPr>
          <w:fldChar w:fldCharType="separate"/>
        </w:r>
        <w:r w:rsidR="00934D5E">
          <w:rPr>
            <w:noProof/>
            <w:webHidden/>
          </w:rPr>
          <w:t>9</w:t>
        </w:r>
        <w:r w:rsidR="00617740">
          <w:rPr>
            <w:noProof/>
            <w:webHidden/>
          </w:rPr>
          <w:fldChar w:fldCharType="end"/>
        </w:r>
      </w:hyperlink>
    </w:p>
    <w:p w14:paraId="3490C3F5" w14:textId="48465CCE"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30" w:history="1">
        <w:r w:rsidR="00617740" w:rsidRPr="005766BB">
          <w:rPr>
            <w:rStyle w:val="Hyperlink"/>
            <w:noProof/>
            <w:lang w:bidi="en-US"/>
          </w:rPr>
          <w:t>Figure 3: Artwork of principles and enablers, designed by Gerard Black (Worimi)</w:t>
        </w:r>
        <w:r w:rsidR="00617740">
          <w:rPr>
            <w:noProof/>
            <w:webHidden/>
          </w:rPr>
          <w:tab/>
        </w:r>
        <w:r w:rsidR="00617740">
          <w:rPr>
            <w:noProof/>
            <w:webHidden/>
          </w:rPr>
          <w:fldChar w:fldCharType="begin"/>
        </w:r>
        <w:r w:rsidR="00617740">
          <w:rPr>
            <w:noProof/>
            <w:webHidden/>
          </w:rPr>
          <w:instrText xml:space="preserve"> PAGEREF _Toc156932030 \h </w:instrText>
        </w:r>
        <w:r w:rsidR="00617740">
          <w:rPr>
            <w:noProof/>
            <w:webHidden/>
          </w:rPr>
        </w:r>
        <w:r w:rsidR="00617740">
          <w:rPr>
            <w:noProof/>
            <w:webHidden/>
          </w:rPr>
          <w:fldChar w:fldCharType="separate"/>
        </w:r>
        <w:r w:rsidR="00934D5E">
          <w:rPr>
            <w:noProof/>
            <w:webHidden/>
          </w:rPr>
          <w:t>12</w:t>
        </w:r>
        <w:r w:rsidR="00617740">
          <w:rPr>
            <w:noProof/>
            <w:webHidden/>
          </w:rPr>
          <w:fldChar w:fldCharType="end"/>
        </w:r>
      </w:hyperlink>
    </w:p>
    <w:p w14:paraId="30BA667F" w14:textId="4EDB977D"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31" w:history="1">
        <w:r w:rsidR="00617740" w:rsidRPr="005766BB">
          <w:rPr>
            <w:rStyle w:val="Hyperlink"/>
            <w:noProof/>
            <w:lang w:bidi="en-US"/>
          </w:rPr>
          <w:t>Figure 4: Simple diagram of Arrangements A1 and A2</w:t>
        </w:r>
        <w:r w:rsidR="00617740">
          <w:rPr>
            <w:noProof/>
            <w:webHidden/>
          </w:rPr>
          <w:tab/>
        </w:r>
        <w:r w:rsidR="00617740">
          <w:rPr>
            <w:noProof/>
            <w:webHidden/>
          </w:rPr>
          <w:fldChar w:fldCharType="begin"/>
        </w:r>
        <w:r w:rsidR="00617740">
          <w:rPr>
            <w:noProof/>
            <w:webHidden/>
          </w:rPr>
          <w:instrText xml:space="preserve"> PAGEREF _Toc156932031 \h </w:instrText>
        </w:r>
        <w:r w:rsidR="00617740">
          <w:rPr>
            <w:noProof/>
            <w:webHidden/>
          </w:rPr>
        </w:r>
        <w:r w:rsidR="00617740">
          <w:rPr>
            <w:noProof/>
            <w:webHidden/>
          </w:rPr>
          <w:fldChar w:fldCharType="separate"/>
        </w:r>
        <w:r w:rsidR="00934D5E">
          <w:rPr>
            <w:noProof/>
            <w:webHidden/>
          </w:rPr>
          <w:t>15</w:t>
        </w:r>
        <w:r w:rsidR="00617740">
          <w:rPr>
            <w:noProof/>
            <w:webHidden/>
          </w:rPr>
          <w:fldChar w:fldCharType="end"/>
        </w:r>
      </w:hyperlink>
    </w:p>
    <w:p w14:paraId="79FADD77" w14:textId="5AA8955B"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32" w:history="1">
        <w:r w:rsidR="00617740" w:rsidRPr="005766BB">
          <w:rPr>
            <w:rStyle w:val="Hyperlink"/>
            <w:noProof/>
            <w:lang w:bidi="en-US"/>
          </w:rPr>
          <w:t>Figure 5: Simple diagram of Arrangement B</w:t>
        </w:r>
        <w:r w:rsidR="00617740">
          <w:rPr>
            <w:noProof/>
            <w:webHidden/>
          </w:rPr>
          <w:tab/>
        </w:r>
        <w:r w:rsidR="00617740">
          <w:rPr>
            <w:noProof/>
            <w:webHidden/>
          </w:rPr>
          <w:fldChar w:fldCharType="begin"/>
        </w:r>
        <w:r w:rsidR="00617740">
          <w:rPr>
            <w:noProof/>
            <w:webHidden/>
          </w:rPr>
          <w:instrText xml:space="preserve"> PAGEREF _Toc156932032 \h </w:instrText>
        </w:r>
        <w:r w:rsidR="00617740">
          <w:rPr>
            <w:noProof/>
            <w:webHidden/>
          </w:rPr>
        </w:r>
        <w:r w:rsidR="00617740">
          <w:rPr>
            <w:noProof/>
            <w:webHidden/>
          </w:rPr>
          <w:fldChar w:fldCharType="separate"/>
        </w:r>
        <w:r w:rsidR="00934D5E">
          <w:rPr>
            <w:noProof/>
            <w:webHidden/>
          </w:rPr>
          <w:t>19</w:t>
        </w:r>
        <w:r w:rsidR="00617740">
          <w:rPr>
            <w:noProof/>
            <w:webHidden/>
          </w:rPr>
          <w:fldChar w:fldCharType="end"/>
        </w:r>
      </w:hyperlink>
    </w:p>
    <w:p w14:paraId="280F1B70" w14:textId="3426949D"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33" w:history="1">
        <w:r w:rsidR="00617740" w:rsidRPr="005766BB">
          <w:rPr>
            <w:rStyle w:val="Hyperlink"/>
            <w:noProof/>
            <w:lang w:bidi="en-US"/>
          </w:rPr>
          <w:t>Figure 6: Simple diagram of Arrangement C</w:t>
        </w:r>
        <w:r w:rsidR="00617740">
          <w:rPr>
            <w:noProof/>
            <w:webHidden/>
          </w:rPr>
          <w:tab/>
        </w:r>
        <w:r w:rsidR="00617740">
          <w:rPr>
            <w:noProof/>
            <w:webHidden/>
          </w:rPr>
          <w:fldChar w:fldCharType="begin"/>
        </w:r>
        <w:r w:rsidR="00617740">
          <w:rPr>
            <w:noProof/>
            <w:webHidden/>
          </w:rPr>
          <w:instrText xml:space="preserve"> PAGEREF _Toc156932033 \h </w:instrText>
        </w:r>
        <w:r w:rsidR="00617740">
          <w:rPr>
            <w:noProof/>
            <w:webHidden/>
          </w:rPr>
        </w:r>
        <w:r w:rsidR="00617740">
          <w:rPr>
            <w:noProof/>
            <w:webHidden/>
          </w:rPr>
          <w:fldChar w:fldCharType="separate"/>
        </w:r>
        <w:r w:rsidR="00934D5E">
          <w:rPr>
            <w:noProof/>
            <w:webHidden/>
          </w:rPr>
          <w:t>20</w:t>
        </w:r>
        <w:r w:rsidR="00617740">
          <w:rPr>
            <w:noProof/>
            <w:webHidden/>
          </w:rPr>
          <w:fldChar w:fldCharType="end"/>
        </w:r>
      </w:hyperlink>
    </w:p>
    <w:p w14:paraId="669C5F3E" w14:textId="33AFBF87"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34" w:history="1">
        <w:r w:rsidR="00617740" w:rsidRPr="005766BB">
          <w:rPr>
            <w:rStyle w:val="Hyperlink"/>
            <w:noProof/>
            <w:lang w:bidi="en-US"/>
          </w:rPr>
          <w:t>Figure 7: Summary of the 6 transformation features and sub-features</w:t>
        </w:r>
        <w:r w:rsidR="00617740">
          <w:rPr>
            <w:noProof/>
            <w:webHidden/>
          </w:rPr>
          <w:tab/>
        </w:r>
        <w:r w:rsidR="00617740">
          <w:rPr>
            <w:noProof/>
            <w:webHidden/>
          </w:rPr>
          <w:fldChar w:fldCharType="begin"/>
        </w:r>
        <w:r w:rsidR="00617740">
          <w:rPr>
            <w:noProof/>
            <w:webHidden/>
          </w:rPr>
          <w:instrText xml:space="preserve"> PAGEREF _Toc156932034 \h </w:instrText>
        </w:r>
        <w:r w:rsidR="00617740">
          <w:rPr>
            <w:noProof/>
            <w:webHidden/>
          </w:rPr>
        </w:r>
        <w:r w:rsidR="00617740">
          <w:rPr>
            <w:noProof/>
            <w:webHidden/>
          </w:rPr>
          <w:fldChar w:fldCharType="separate"/>
        </w:r>
        <w:r w:rsidR="00934D5E">
          <w:rPr>
            <w:noProof/>
            <w:webHidden/>
          </w:rPr>
          <w:t>28</w:t>
        </w:r>
        <w:r w:rsidR="00617740">
          <w:rPr>
            <w:noProof/>
            <w:webHidden/>
          </w:rPr>
          <w:fldChar w:fldCharType="end"/>
        </w:r>
      </w:hyperlink>
    </w:p>
    <w:p w14:paraId="17FEB946" w14:textId="32EEE483"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35" w:history="1">
        <w:r w:rsidR="00617740" w:rsidRPr="005766BB">
          <w:rPr>
            <w:rStyle w:val="Hyperlink"/>
            <w:noProof/>
            <w:lang w:bidi="en-US"/>
          </w:rPr>
          <w:t>Figure 8: Overview of the 6-phased Transformation Roadmap</w:t>
        </w:r>
        <w:r w:rsidR="00617740">
          <w:rPr>
            <w:noProof/>
            <w:webHidden/>
          </w:rPr>
          <w:tab/>
        </w:r>
        <w:r w:rsidR="00617740">
          <w:rPr>
            <w:noProof/>
            <w:webHidden/>
          </w:rPr>
          <w:fldChar w:fldCharType="begin"/>
        </w:r>
        <w:r w:rsidR="00617740">
          <w:rPr>
            <w:noProof/>
            <w:webHidden/>
          </w:rPr>
          <w:instrText xml:space="preserve"> PAGEREF _Toc156932035 \h </w:instrText>
        </w:r>
        <w:r w:rsidR="00617740">
          <w:rPr>
            <w:noProof/>
            <w:webHidden/>
          </w:rPr>
        </w:r>
        <w:r w:rsidR="00617740">
          <w:rPr>
            <w:noProof/>
            <w:webHidden/>
          </w:rPr>
          <w:fldChar w:fldCharType="separate"/>
        </w:r>
        <w:r w:rsidR="00934D5E">
          <w:rPr>
            <w:noProof/>
            <w:webHidden/>
          </w:rPr>
          <w:t>33</w:t>
        </w:r>
        <w:r w:rsidR="00617740">
          <w:rPr>
            <w:noProof/>
            <w:webHidden/>
          </w:rPr>
          <w:fldChar w:fldCharType="end"/>
        </w:r>
      </w:hyperlink>
    </w:p>
    <w:p w14:paraId="22166D8D" w14:textId="3C6DAA89"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36" w:history="1">
        <w:r w:rsidR="00617740" w:rsidRPr="005766BB">
          <w:rPr>
            <w:rStyle w:val="Hyperlink"/>
            <w:noProof/>
            <w:lang w:bidi="en-US"/>
          </w:rPr>
          <w:t>Figure A4.1: Principles for funding of Indigenous health and wellbeing initiatives</w:t>
        </w:r>
        <w:r w:rsidR="00617740">
          <w:rPr>
            <w:noProof/>
            <w:webHidden/>
          </w:rPr>
          <w:tab/>
        </w:r>
        <w:r w:rsidR="00617740">
          <w:rPr>
            <w:noProof/>
            <w:webHidden/>
          </w:rPr>
          <w:fldChar w:fldCharType="begin"/>
        </w:r>
        <w:r w:rsidR="00617740">
          <w:rPr>
            <w:noProof/>
            <w:webHidden/>
          </w:rPr>
          <w:instrText xml:space="preserve"> PAGEREF _Toc156932036 \h </w:instrText>
        </w:r>
        <w:r w:rsidR="00617740">
          <w:rPr>
            <w:noProof/>
            <w:webHidden/>
          </w:rPr>
        </w:r>
        <w:r w:rsidR="00617740">
          <w:rPr>
            <w:noProof/>
            <w:webHidden/>
          </w:rPr>
          <w:fldChar w:fldCharType="separate"/>
        </w:r>
        <w:r w:rsidR="00934D5E">
          <w:rPr>
            <w:noProof/>
            <w:webHidden/>
          </w:rPr>
          <w:t>65</w:t>
        </w:r>
        <w:r w:rsidR="00617740">
          <w:rPr>
            <w:noProof/>
            <w:webHidden/>
          </w:rPr>
          <w:fldChar w:fldCharType="end"/>
        </w:r>
      </w:hyperlink>
    </w:p>
    <w:p w14:paraId="517579C3" w14:textId="2816370E"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37" w:history="1">
        <w:r w:rsidR="00617740" w:rsidRPr="005766BB">
          <w:rPr>
            <w:rStyle w:val="Hyperlink"/>
            <w:noProof/>
            <w:lang w:bidi="en-US"/>
          </w:rPr>
          <w:t>Figure A4.2: Number of mental health and suicide prevention and ITC contracts in New South Wales PHN regions, 1 July 2016 to 30 June 2022, by service provider type</w:t>
        </w:r>
        <w:r w:rsidR="00617740">
          <w:rPr>
            <w:noProof/>
            <w:webHidden/>
          </w:rPr>
          <w:tab/>
        </w:r>
        <w:r w:rsidR="00617740">
          <w:rPr>
            <w:noProof/>
            <w:webHidden/>
          </w:rPr>
          <w:fldChar w:fldCharType="begin"/>
        </w:r>
        <w:r w:rsidR="00617740">
          <w:rPr>
            <w:noProof/>
            <w:webHidden/>
          </w:rPr>
          <w:instrText xml:space="preserve"> PAGEREF _Toc156932037 \h </w:instrText>
        </w:r>
        <w:r w:rsidR="00617740">
          <w:rPr>
            <w:noProof/>
            <w:webHidden/>
          </w:rPr>
        </w:r>
        <w:r w:rsidR="00617740">
          <w:rPr>
            <w:noProof/>
            <w:webHidden/>
          </w:rPr>
          <w:fldChar w:fldCharType="separate"/>
        </w:r>
        <w:r w:rsidR="00934D5E">
          <w:rPr>
            <w:noProof/>
            <w:webHidden/>
          </w:rPr>
          <w:t>69</w:t>
        </w:r>
        <w:r w:rsidR="00617740">
          <w:rPr>
            <w:noProof/>
            <w:webHidden/>
          </w:rPr>
          <w:fldChar w:fldCharType="end"/>
        </w:r>
      </w:hyperlink>
    </w:p>
    <w:p w14:paraId="22CD08E1" w14:textId="0CFE9828"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38" w:history="1">
        <w:r w:rsidR="00617740" w:rsidRPr="005766BB">
          <w:rPr>
            <w:rStyle w:val="Hyperlink"/>
            <w:noProof/>
            <w:lang w:bidi="en-US"/>
          </w:rPr>
          <w:t>Figure A4.3: Number of mental health and suicide prevention and ITC contracts in Victorian PHN regions, 1 July 2016 to 30 June 2022, by service provider type</w:t>
        </w:r>
        <w:r w:rsidR="00617740">
          <w:rPr>
            <w:noProof/>
            <w:webHidden/>
          </w:rPr>
          <w:tab/>
        </w:r>
        <w:r w:rsidR="00617740">
          <w:rPr>
            <w:noProof/>
            <w:webHidden/>
          </w:rPr>
          <w:fldChar w:fldCharType="begin"/>
        </w:r>
        <w:r w:rsidR="00617740">
          <w:rPr>
            <w:noProof/>
            <w:webHidden/>
          </w:rPr>
          <w:instrText xml:space="preserve"> PAGEREF _Toc156932038 \h </w:instrText>
        </w:r>
        <w:r w:rsidR="00617740">
          <w:rPr>
            <w:noProof/>
            <w:webHidden/>
          </w:rPr>
        </w:r>
        <w:r w:rsidR="00617740">
          <w:rPr>
            <w:noProof/>
            <w:webHidden/>
          </w:rPr>
          <w:fldChar w:fldCharType="separate"/>
        </w:r>
        <w:r w:rsidR="00934D5E">
          <w:rPr>
            <w:noProof/>
            <w:webHidden/>
          </w:rPr>
          <w:t>69</w:t>
        </w:r>
        <w:r w:rsidR="00617740">
          <w:rPr>
            <w:noProof/>
            <w:webHidden/>
          </w:rPr>
          <w:fldChar w:fldCharType="end"/>
        </w:r>
      </w:hyperlink>
    </w:p>
    <w:p w14:paraId="2EDA6DD1" w14:textId="4B7D8816"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39" w:history="1">
        <w:r w:rsidR="00617740" w:rsidRPr="005766BB">
          <w:rPr>
            <w:rStyle w:val="Hyperlink"/>
            <w:noProof/>
            <w:lang w:bidi="en-US"/>
          </w:rPr>
          <w:t>Figure A4.4: Number of mental health and suicide prevention and ITC contracts in Queensland PHN regions, 1 July 2016 to 30 June 2022, by service provider type</w:t>
        </w:r>
        <w:r w:rsidR="00617740">
          <w:rPr>
            <w:noProof/>
            <w:webHidden/>
          </w:rPr>
          <w:tab/>
        </w:r>
        <w:r w:rsidR="00617740">
          <w:rPr>
            <w:noProof/>
            <w:webHidden/>
          </w:rPr>
          <w:fldChar w:fldCharType="begin"/>
        </w:r>
        <w:r w:rsidR="00617740">
          <w:rPr>
            <w:noProof/>
            <w:webHidden/>
          </w:rPr>
          <w:instrText xml:space="preserve"> PAGEREF _Toc156932039 \h </w:instrText>
        </w:r>
        <w:r w:rsidR="00617740">
          <w:rPr>
            <w:noProof/>
            <w:webHidden/>
          </w:rPr>
        </w:r>
        <w:r w:rsidR="00617740">
          <w:rPr>
            <w:noProof/>
            <w:webHidden/>
          </w:rPr>
          <w:fldChar w:fldCharType="separate"/>
        </w:r>
        <w:r w:rsidR="00934D5E">
          <w:rPr>
            <w:noProof/>
            <w:webHidden/>
          </w:rPr>
          <w:t>70</w:t>
        </w:r>
        <w:r w:rsidR="00617740">
          <w:rPr>
            <w:noProof/>
            <w:webHidden/>
          </w:rPr>
          <w:fldChar w:fldCharType="end"/>
        </w:r>
      </w:hyperlink>
    </w:p>
    <w:p w14:paraId="0CB3A8BF" w14:textId="3F4F43C2"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40" w:history="1">
        <w:r w:rsidR="00617740" w:rsidRPr="005766BB">
          <w:rPr>
            <w:rStyle w:val="Hyperlink"/>
            <w:noProof/>
            <w:lang w:bidi="en-US"/>
          </w:rPr>
          <w:t>Figure A4.5: Number of mental health and suicide prevention and ITC contracts in South Australian PHN regions, 1 July 2016 to 30 June 2022, by service provider type</w:t>
        </w:r>
        <w:r w:rsidR="00617740">
          <w:rPr>
            <w:noProof/>
            <w:webHidden/>
          </w:rPr>
          <w:tab/>
        </w:r>
        <w:r w:rsidR="00617740">
          <w:rPr>
            <w:noProof/>
            <w:webHidden/>
          </w:rPr>
          <w:fldChar w:fldCharType="begin"/>
        </w:r>
        <w:r w:rsidR="00617740">
          <w:rPr>
            <w:noProof/>
            <w:webHidden/>
          </w:rPr>
          <w:instrText xml:space="preserve"> PAGEREF _Toc156932040 \h </w:instrText>
        </w:r>
        <w:r w:rsidR="00617740">
          <w:rPr>
            <w:noProof/>
            <w:webHidden/>
          </w:rPr>
        </w:r>
        <w:r w:rsidR="00617740">
          <w:rPr>
            <w:noProof/>
            <w:webHidden/>
          </w:rPr>
          <w:fldChar w:fldCharType="separate"/>
        </w:r>
        <w:r w:rsidR="00934D5E">
          <w:rPr>
            <w:noProof/>
            <w:webHidden/>
          </w:rPr>
          <w:t>70</w:t>
        </w:r>
        <w:r w:rsidR="00617740">
          <w:rPr>
            <w:noProof/>
            <w:webHidden/>
          </w:rPr>
          <w:fldChar w:fldCharType="end"/>
        </w:r>
      </w:hyperlink>
    </w:p>
    <w:p w14:paraId="635D553E" w14:textId="6B363344"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41" w:history="1">
        <w:r w:rsidR="00617740" w:rsidRPr="005766BB">
          <w:rPr>
            <w:rStyle w:val="Hyperlink"/>
            <w:noProof/>
            <w:lang w:bidi="en-US"/>
          </w:rPr>
          <w:t>Figure A4.6: Number of mental health and suicide prevention and ITC contracts in Western Australian PHN regions, 1 July 2016 to 30 June 2022, by service provider type</w:t>
        </w:r>
        <w:r w:rsidR="00617740">
          <w:rPr>
            <w:noProof/>
            <w:webHidden/>
          </w:rPr>
          <w:tab/>
        </w:r>
        <w:r w:rsidR="00617740">
          <w:rPr>
            <w:noProof/>
            <w:webHidden/>
          </w:rPr>
          <w:fldChar w:fldCharType="begin"/>
        </w:r>
        <w:r w:rsidR="00617740">
          <w:rPr>
            <w:noProof/>
            <w:webHidden/>
          </w:rPr>
          <w:instrText xml:space="preserve"> PAGEREF _Toc156932041 \h </w:instrText>
        </w:r>
        <w:r w:rsidR="00617740">
          <w:rPr>
            <w:noProof/>
            <w:webHidden/>
          </w:rPr>
        </w:r>
        <w:r w:rsidR="00617740">
          <w:rPr>
            <w:noProof/>
            <w:webHidden/>
          </w:rPr>
          <w:fldChar w:fldCharType="separate"/>
        </w:r>
        <w:r w:rsidR="00934D5E">
          <w:rPr>
            <w:noProof/>
            <w:webHidden/>
          </w:rPr>
          <w:t>71</w:t>
        </w:r>
        <w:r w:rsidR="00617740">
          <w:rPr>
            <w:noProof/>
            <w:webHidden/>
          </w:rPr>
          <w:fldChar w:fldCharType="end"/>
        </w:r>
      </w:hyperlink>
    </w:p>
    <w:p w14:paraId="0E9C0BA9" w14:textId="1E47FB31"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42" w:history="1">
        <w:r w:rsidR="00617740" w:rsidRPr="005766BB">
          <w:rPr>
            <w:rStyle w:val="Hyperlink"/>
            <w:noProof/>
            <w:lang w:bidi="en-US"/>
          </w:rPr>
          <w:t>Figure A4.7: Number of mental health and suicide prevention and ITC contracts in the Northern Territory, Australian Capital Territory and Tasmanian PHN regions, 1 July 2016 to 30 June 2022, by service provider type</w:t>
        </w:r>
        <w:r w:rsidR="00617740">
          <w:rPr>
            <w:noProof/>
            <w:webHidden/>
          </w:rPr>
          <w:tab/>
        </w:r>
        <w:r w:rsidR="00617740">
          <w:rPr>
            <w:noProof/>
            <w:webHidden/>
          </w:rPr>
          <w:fldChar w:fldCharType="begin"/>
        </w:r>
        <w:r w:rsidR="00617740">
          <w:rPr>
            <w:noProof/>
            <w:webHidden/>
          </w:rPr>
          <w:instrText xml:space="preserve"> PAGEREF _Toc156932042 \h </w:instrText>
        </w:r>
        <w:r w:rsidR="00617740">
          <w:rPr>
            <w:noProof/>
            <w:webHidden/>
          </w:rPr>
        </w:r>
        <w:r w:rsidR="00617740">
          <w:rPr>
            <w:noProof/>
            <w:webHidden/>
          </w:rPr>
          <w:fldChar w:fldCharType="separate"/>
        </w:r>
        <w:r w:rsidR="00934D5E">
          <w:rPr>
            <w:noProof/>
            <w:webHidden/>
          </w:rPr>
          <w:t>71</w:t>
        </w:r>
        <w:r w:rsidR="00617740">
          <w:rPr>
            <w:noProof/>
            <w:webHidden/>
          </w:rPr>
          <w:fldChar w:fldCharType="end"/>
        </w:r>
      </w:hyperlink>
    </w:p>
    <w:p w14:paraId="13780799" w14:textId="1BEB5AEC"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43" w:history="1">
        <w:r w:rsidR="00617740" w:rsidRPr="005766BB">
          <w:rPr>
            <w:rStyle w:val="Hyperlink"/>
            <w:noProof/>
            <w:lang w:bidi="en-US"/>
          </w:rPr>
          <w:t>Figure A9.1: Overview of commissioning approaches</w:t>
        </w:r>
        <w:r w:rsidR="00617740">
          <w:rPr>
            <w:noProof/>
            <w:webHidden/>
          </w:rPr>
          <w:tab/>
        </w:r>
        <w:r w:rsidR="00617740">
          <w:rPr>
            <w:noProof/>
            <w:webHidden/>
          </w:rPr>
          <w:fldChar w:fldCharType="begin"/>
        </w:r>
        <w:r w:rsidR="00617740">
          <w:rPr>
            <w:noProof/>
            <w:webHidden/>
          </w:rPr>
          <w:instrText xml:space="preserve"> PAGEREF _Toc156932043 \h </w:instrText>
        </w:r>
        <w:r w:rsidR="00617740">
          <w:rPr>
            <w:noProof/>
            <w:webHidden/>
          </w:rPr>
        </w:r>
        <w:r w:rsidR="00617740">
          <w:rPr>
            <w:noProof/>
            <w:webHidden/>
          </w:rPr>
          <w:fldChar w:fldCharType="separate"/>
        </w:r>
        <w:r w:rsidR="00934D5E">
          <w:rPr>
            <w:noProof/>
            <w:webHidden/>
          </w:rPr>
          <w:t>125</w:t>
        </w:r>
        <w:r w:rsidR="00617740">
          <w:rPr>
            <w:noProof/>
            <w:webHidden/>
          </w:rPr>
          <w:fldChar w:fldCharType="end"/>
        </w:r>
      </w:hyperlink>
    </w:p>
    <w:p w14:paraId="7EC82AB5" w14:textId="74913AA7"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44" w:history="1">
        <w:r w:rsidR="00617740" w:rsidRPr="005766BB">
          <w:rPr>
            <w:rStyle w:val="Hyperlink"/>
            <w:noProof/>
            <w:lang w:bidi="en-US"/>
          </w:rPr>
          <w:t>Figure A9.2: PHN Commissioning Framework</w:t>
        </w:r>
        <w:r w:rsidR="00617740">
          <w:rPr>
            <w:noProof/>
            <w:webHidden/>
          </w:rPr>
          <w:tab/>
        </w:r>
        <w:r w:rsidR="00617740">
          <w:rPr>
            <w:noProof/>
            <w:webHidden/>
          </w:rPr>
          <w:fldChar w:fldCharType="begin"/>
        </w:r>
        <w:r w:rsidR="00617740">
          <w:rPr>
            <w:noProof/>
            <w:webHidden/>
          </w:rPr>
          <w:instrText xml:space="preserve"> PAGEREF _Toc156932044 \h </w:instrText>
        </w:r>
        <w:r w:rsidR="00617740">
          <w:rPr>
            <w:noProof/>
            <w:webHidden/>
          </w:rPr>
        </w:r>
        <w:r w:rsidR="00617740">
          <w:rPr>
            <w:noProof/>
            <w:webHidden/>
          </w:rPr>
          <w:fldChar w:fldCharType="separate"/>
        </w:r>
        <w:r w:rsidR="00934D5E">
          <w:rPr>
            <w:noProof/>
            <w:webHidden/>
          </w:rPr>
          <w:t>139</w:t>
        </w:r>
        <w:r w:rsidR="00617740">
          <w:rPr>
            <w:noProof/>
            <w:webHidden/>
          </w:rPr>
          <w:fldChar w:fldCharType="end"/>
        </w:r>
      </w:hyperlink>
    </w:p>
    <w:p w14:paraId="601B4F73" w14:textId="1F2B66AA"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45" w:history="1">
        <w:r w:rsidR="00617740" w:rsidRPr="005766BB">
          <w:rPr>
            <w:rStyle w:val="Hyperlink"/>
            <w:noProof/>
            <w:lang w:bidi="en-US"/>
          </w:rPr>
          <w:t>Figure A9.3: Gurriny Yealamucka Health Service Aboriginal Corporation transition stages</w:t>
        </w:r>
        <w:r w:rsidR="00617740">
          <w:rPr>
            <w:noProof/>
            <w:webHidden/>
          </w:rPr>
          <w:tab/>
        </w:r>
        <w:r w:rsidR="00617740">
          <w:rPr>
            <w:noProof/>
            <w:webHidden/>
          </w:rPr>
          <w:fldChar w:fldCharType="begin"/>
        </w:r>
        <w:r w:rsidR="00617740">
          <w:rPr>
            <w:noProof/>
            <w:webHidden/>
          </w:rPr>
          <w:instrText xml:space="preserve"> PAGEREF _Toc156932045 \h </w:instrText>
        </w:r>
        <w:r w:rsidR="00617740">
          <w:rPr>
            <w:noProof/>
            <w:webHidden/>
          </w:rPr>
        </w:r>
        <w:r w:rsidR="00617740">
          <w:rPr>
            <w:noProof/>
            <w:webHidden/>
          </w:rPr>
          <w:fldChar w:fldCharType="separate"/>
        </w:r>
        <w:r w:rsidR="00934D5E">
          <w:rPr>
            <w:noProof/>
            <w:webHidden/>
          </w:rPr>
          <w:t>147</w:t>
        </w:r>
        <w:r w:rsidR="00617740">
          <w:rPr>
            <w:noProof/>
            <w:webHidden/>
          </w:rPr>
          <w:fldChar w:fldCharType="end"/>
        </w:r>
      </w:hyperlink>
    </w:p>
    <w:p w14:paraId="12C3C59F" w14:textId="3F8D7AC6"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46" w:history="1">
        <w:r w:rsidR="00617740" w:rsidRPr="005766BB">
          <w:rPr>
            <w:rStyle w:val="Hyperlink"/>
            <w:noProof/>
            <w:lang w:bidi="en-US"/>
          </w:rPr>
          <w:t>Figure A9.4: Preventing and Managing Chronic Disease in First Nations Communities: A Guidance Framework</w:t>
        </w:r>
        <w:r w:rsidR="00617740">
          <w:rPr>
            <w:noProof/>
            <w:webHidden/>
          </w:rPr>
          <w:tab/>
        </w:r>
        <w:r w:rsidR="00617740">
          <w:rPr>
            <w:noProof/>
            <w:webHidden/>
          </w:rPr>
          <w:fldChar w:fldCharType="begin"/>
        </w:r>
        <w:r w:rsidR="00617740">
          <w:rPr>
            <w:noProof/>
            <w:webHidden/>
          </w:rPr>
          <w:instrText xml:space="preserve"> PAGEREF _Toc156932046 \h </w:instrText>
        </w:r>
        <w:r w:rsidR="00617740">
          <w:rPr>
            <w:noProof/>
            <w:webHidden/>
          </w:rPr>
        </w:r>
        <w:r w:rsidR="00617740">
          <w:rPr>
            <w:noProof/>
            <w:webHidden/>
          </w:rPr>
          <w:fldChar w:fldCharType="separate"/>
        </w:r>
        <w:r w:rsidR="00934D5E">
          <w:rPr>
            <w:noProof/>
            <w:webHidden/>
          </w:rPr>
          <w:t>156</w:t>
        </w:r>
        <w:r w:rsidR="00617740">
          <w:rPr>
            <w:noProof/>
            <w:webHidden/>
          </w:rPr>
          <w:fldChar w:fldCharType="end"/>
        </w:r>
      </w:hyperlink>
    </w:p>
    <w:p w14:paraId="7B812C3D" w14:textId="296767E5"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47" w:history="1">
        <w:r w:rsidR="00617740" w:rsidRPr="005766BB">
          <w:rPr>
            <w:rStyle w:val="Hyperlink"/>
            <w:noProof/>
            <w:lang w:bidi="en-US"/>
          </w:rPr>
          <w:t xml:space="preserve">Figure A9.5: Three approaches to commissioning: conventional, improved and </w:t>
        </w:r>
        <w:r w:rsidR="00617740" w:rsidRPr="005766BB">
          <w:rPr>
            <w:rStyle w:val="Hyperlink"/>
            <w:i/>
            <w:noProof/>
            <w:lang w:bidi="en-US"/>
          </w:rPr>
          <w:t>whānau-</w:t>
        </w:r>
        <w:r w:rsidR="00617740" w:rsidRPr="005766BB">
          <w:rPr>
            <w:rStyle w:val="Hyperlink"/>
            <w:noProof/>
            <w:lang w:bidi="en-US"/>
          </w:rPr>
          <w:t>led and Māori-led</w:t>
        </w:r>
        <w:r w:rsidR="00617740">
          <w:rPr>
            <w:noProof/>
            <w:webHidden/>
          </w:rPr>
          <w:tab/>
        </w:r>
        <w:r w:rsidR="00617740">
          <w:rPr>
            <w:noProof/>
            <w:webHidden/>
          </w:rPr>
          <w:fldChar w:fldCharType="begin"/>
        </w:r>
        <w:r w:rsidR="00617740">
          <w:rPr>
            <w:noProof/>
            <w:webHidden/>
          </w:rPr>
          <w:instrText xml:space="preserve"> PAGEREF _Toc156932047 \h </w:instrText>
        </w:r>
        <w:r w:rsidR="00617740">
          <w:rPr>
            <w:noProof/>
            <w:webHidden/>
          </w:rPr>
        </w:r>
        <w:r w:rsidR="00617740">
          <w:rPr>
            <w:noProof/>
            <w:webHidden/>
          </w:rPr>
          <w:fldChar w:fldCharType="separate"/>
        </w:r>
        <w:r w:rsidR="00934D5E">
          <w:rPr>
            <w:noProof/>
            <w:webHidden/>
          </w:rPr>
          <w:t>157</w:t>
        </w:r>
        <w:r w:rsidR="00617740">
          <w:rPr>
            <w:noProof/>
            <w:webHidden/>
          </w:rPr>
          <w:fldChar w:fldCharType="end"/>
        </w:r>
      </w:hyperlink>
    </w:p>
    <w:p w14:paraId="7B982D97" w14:textId="258B2B4E" w:rsidR="00AC5AD2" w:rsidRPr="00B65F7F" w:rsidRDefault="009C3202" w:rsidP="00523968">
      <w:pPr>
        <w:pStyle w:val="TableofFigures"/>
      </w:pPr>
      <w:r>
        <w:rPr>
          <w:rStyle w:val="Hyperlink"/>
        </w:rPr>
        <w:fldChar w:fldCharType="end"/>
      </w:r>
    </w:p>
    <w:p w14:paraId="1819F065" w14:textId="77777777" w:rsidR="0057510C" w:rsidRPr="00B65F7F" w:rsidRDefault="00BD135A" w:rsidP="00BD135A">
      <w:pPr>
        <w:pStyle w:val="HeadingLevel2NoNumber"/>
        <w:rPr>
          <w:lang w:val="en-AU"/>
        </w:rPr>
      </w:pPr>
      <w:r w:rsidRPr="00B65F7F">
        <w:rPr>
          <w:lang w:val="en-AU"/>
        </w:rPr>
        <w:t>Boxes</w:t>
      </w:r>
    </w:p>
    <w:p w14:paraId="14F077AD" w14:textId="2A526AAC" w:rsidR="00617740" w:rsidRDefault="009C3202">
      <w:pPr>
        <w:pStyle w:val="TableofFigures"/>
        <w:rPr>
          <w:rFonts w:eastAsiaTheme="minorEastAsia" w:cstheme="minorBidi"/>
          <w:iCs w:val="0"/>
          <w:noProof/>
          <w:kern w:val="2"/>
          <w:sz w:val="24"/>
          <w:szCs w:val="24"/>
          <w:lang w:eastAsia="en-AU"/>
          <w14:ligatures w14:val="standardContextual"/>
        </w:rPr>
      </w:pPr>
      <w:r>
        <w:rPr>
          <w:iCs w:val="0"/>
        </w:rPr>
        <w:fldChar w:fldCharType="begin"/>
      </w:r>
      <w:r>
        <w:rPr>
          <w:iCs w:val="0"/>
        </w:rPr>
        <w:instrText xml:space="preserve"> TOC \h \z \t "Caption Box" \c </w:instrText>
      </w:r>
      <w:r>
        <w:rPr>
          <w:iCs w:val="0"/>
        </w:rPr>
        <w:fldChar w:fldCharType="separate"/>
      </w:r>
      <w:hyperlink w:anchor="_Toc156932048" w:history="1">
        <w:r w:rsidR="00617740" w:rsidRPr="00D42DC6">
          <w:rPr>
            <w:rStyle w:val="Hyperlink"/>
            <w:noProof/>
          </w:rPr>
          <w:t>Box 1: The Relevant Health Programs (in brief)</w:t>
        </w:r>
        <w:r w:rsidR="00617740">
          <w:rPr>
            <w:noProof/>
            <w:webHidden/>
          </w:rPr>
          <w:tab/>
        </w:r>
        <w:r w:rsidR="00617740">
          <w:rPr>
            <w:noProof/>
            <w:webHidden/>
          </w:rPr>
          <w:fldChar w:fldCharType="begin"/>
        </w:r>
        <w:r w:rsidR="00617740">
          <w:rPr>
            <w:noProof/>
            <w:webHidden/>
          </w:rPr>
          <w:instrText xml:space="preserve"> PAGEREF _Toc156932048 \h </w:instrText>
        </w:r>
        <w:r w:rsidR="00617740">
          <w:rPr>
            <w:noProof/>
            <w:webHidden/>
          </w:rPr>
        </w:r>
        <w:r w:rsidR="00617740">
          <w:rPr>
            <w:noProof/>
            <w:webHidden/>
          </w:rPr>
          <w:fldChar w:fldCharType="separate"/>
        </w:r>
        <w:r w:rsidR="00934D5E">
          <w:rPr>
            <w:noProof/>
            <w:webHidden/>
          </w:rPr>
          <w:t>1</w:t>
        </w:r>
        <w:r w:rsidR="00617740">
          <w:rPr>
            <w:noProof/>
            <w:webHidden/>
          </w:rPr>
          <w:fldChar w:fldCharType="end"/>
        </w:r>
      </w:hyperlink>
    </w:p>
    <w:p w14:paraId="682BDB9F" w14:textId="58C24AE6"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49" w:history="1">
        <w:r w:rsidR="00617740" w:rsidRPr="00D42DC6">
          <w:rPr>
            <w:rStyle w:val="Hyperlink"/>
            <w:noProof/>
          </w:rPr>
          <w:t>Box 2: An ambitious vision</w:t>
        </w:r>
        <w:r w:rsidR="00617740">
          <w:rPr>
            <w:noProof/>
            <w:webHidden/>
          </w:rPr>
          <w:tab/>
        </w:r>
        <w:r w:rsidR="00617740">
          <w:rPr>
            <w:noProof/>
            <w:webHidden/>
          </w:rPr>
          <w:fldChar w:fldCharType="begin"/>
        </w:r>
        <w:r w:rsidR="00617740">
          <w:rPr>
            <w:noProof/>
            <w:webHidden/>
          </w:rPr>
          <w:instrText xml:space="preserve"> PAGEREF _Toc156932049 \h </w:instrText>
        </w:r>
        <w:r w:rsidR="00617740">
          <w:rPr>
            <w:noProof/>
            <w:webHidden/>
          </w:rPr>
        </w:r>
        <w:r w:rsidR="00617740">
          <w:rPr>
            <w:noProof/>
            <w:webHidden/>
          </w:rPr>
          <w:fldChar w:fldCharType="separate"/>
        </w:r>
        <w:r w:rsidR="00934D5E">
          <w:rPr>
            <w:noProof/>
            <w:webHidden/>
          </w:rPr>
          <w:t>2</w:t>
        </w:r>
        <w:r w:rsidR="00617740">
          <w:rPr>
            <w:noProof/>
            <w:webHidden/>
          </w:rPr>
          <w:fldChar w:fldCharType="end"/>
        </w:r>
      </w:hyperlink>
    </w:p>
    <w:p w14:paraId="7595504E" w14:textId="5904B56A"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50" w:history="1">
        <w:r w:rsidR="00617740" w:rsidRPr="00D42DC6">
          <w:rPr>
            <w:rStyle w:val="Hyperlink"/>
            <w:noProof/>
          </w:rPr>
          <w:t>Box 3: An integrated approach to documenting the findings and recommendations</w:t>
        </w:r>
        <w:r w:rsidR="00617740">
          <w:rPr>
            <w:noProof/>
            <w:webHidden/>
          </w:rPr>
          <w:tab/>
        </w:r>
        <w:r w:rsidR="00617740">
          <w:rPr>
            <w:noProof/>
            <w:webHidden/>
          </w:rPr>
          <w:fldChar w:fldCharType="begin"/>
        </w:r>
        <w:r w:rsidR="00617740">
          <w:rPr>
            <w:noProof/>
            <w:webHidden/>
          </w:rPr>
          <w:instrText xml:space="preserve"> PAGEREF _Toc156932050 \h </w:instrText>
        </w:r>
        <w:r w:rsidR="00617740">
          <w:rPr>
            <w:noProof/>
            <w:webHidden/>
          </w:rPr>
        </w:r>
        <w:r w:rsidR="00617740">
          <w:rPr>
            <w:noProof/>
            <w:webHidden/>
          </w:rPr>
          <w:fldChar w:fldCharType="separate"/>
        </w:r>
        <w:r w:rsidR="00934D5E">
          <w:rPr>
            <w:noProof/>
            <w:webHidden/>
          </w:rPr>
          <w:t>2</w:t>
        </w:r>
        <w:r w:rsidR="00617740">
          <w:rPr>
            <w:noProof/>
            <w:webHidden/>
          </w:rPr>
          <w:fldChar w:fldCharType="end"/>
        </w:r>
      </w:hyperlink>
    </w:p>
    <w:p w14:paraId="7C36AF9A" w14:textId="220A8DE7"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51" w:history="1">
        <w:r w:rsidR="00617740" w:rsidRPr="00D42DC6">
          <w:rPr>
            <w:rStyle w:val="Hyperlink"/>
            <w:noProof/>
          </w:rPr>
          <w:t>Box 4: Considering sector service capacity</w:t>
        </w:r>
        <w:r w:rsidR="00617740">
          <w:rPr>
            <w:noProof/>
            <w:webHidden/>
          </w:rPr>
          <w:tab/>
        </w:r>
        <w:r w:rsidR="00617740">
          <w:rPr>
            <w:noProof/>
            <w:webHidden/>
          </w:rPr>
          <w:fldChar w:fldCharType="begin"/>
        </w:r>
        <w:r w:rsidR="00617740">
          <w:rPr>
            <w:noProof/>
            <w:webHidden/>
          </w:rPr>
          <w:instrText xml:space="preserve"> PAGEREF _Toc156932051 \h </w:instrText>
        </w:r>
        <w:r w:rsidR="00617740">
          <w:rPr>
            <w:noProof/>
            <w:webHidden/>
          </w:rPr>
        </w:r>
        <w:r w:rsidR="00617740">
          <w:rPr>
            <w:noProof/>
            <w:webHidden/>
          </w:rPr>
          <w:fldChar w:fldCharType="separate"/>
        </w:r>
        <w:r w:rsidR="00934D5E">
          <w:rPr>
            <w:noProof/>
            <w:webHidden/>
          </w:rPr>
          <w:t>3</w:t>
        </w:r>
        <w:r w:rsidR="00617740">
          <w:rPr>
            <w:noProof/>
            <w:webHidden/>
          </w:rPr>
          <w:fldChar w:fldCharType="end"/>
        </w:r>
      </w:hyperlink>
    </w:p>
    <w:p w14:paraId="58FB9D1B" w14:textId="3B0FBB35"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52" w:history="1">
        <w:r w:rsidR="00617740" w:rsidRPr="00D42DC6">
          <w:rPr>
            <w:rStyle w:val="Hyperlink"/>
            <w:noProof/>
          </w:rPr>
          <w:t>Box 5: Self-determination of Aboriginal and/or Torres Strait Islander communities is prioritised</w:t>
        </w:r>
        <w:r w:rsidR="00617740">
          <w:rPr>
            <w:noProof/>
            <w:webHidden/>
          </w:rPr>
          <w:tab/>
        </w:r>
        <w:r w:rsidR="00617740">
          <w:rPr>
            <w:noProof/>
            <w:webHidden/>
          </w:rPr>
          <w:fldChar w:fldCharType="begin"/>
        </w:r>
        <w:r w:rsidR="00617740">
          <w:rPr>
            <w:noProof/>
            <w:webHidden/>
          </w:rPr>
          <w:instrText xml:space="preserve"> PAGEREF _Toc156932052 \h </w:instrText>
        </w:r>
        <w:r w:rsidR="00617740">
          <w:rPr>
            <w:noProof/>
            <w:webHidden/>
          </w:rPr>
        </w:r>
        <w:r w:rsidR="00617740">
          <w:rPr>
            <w:noProof/>
            <w:webHidden/>
          </w:rPr>
          <w:fldChar w:fldCharType="separate"/>
        </w:r>
        <w:r w:rsidR="00934D5E">
          <w:rPr>
            <w:noProof/>
            <w:webHidden/>
          </w:rPr>
          <w:t>10</w:t>
        </w:r>
        <w:r w:rsidR="00617740">
          <w:rPr>
            <w:noProof/>
            <w:webHidden/>
          </w:rPr>
          <w:fldChar w:fldCharType="end"/>
        </w:r>
      </w:hyperlink>
    </w:p>
    <w:p w14:paraId="47C6FFE2" w14:textId="05E1A228"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53" w:history="1">
        <w:r w:rsidR="00617740" w:rsidRPr="00D42DC6">
          <w:rPr>
            <w:rStyle w:val="Hyperlink"/>
            <w:noProof/>
          </w:rPr>
          <w:t>Box 6: Self-determining the application of preferred future-state funding arrangements</w:t>
        </w:r>
        <w:r w:rsidR="00617740">
          <w:rPr>
            <w:noProof/>
            <w:webHidden/>
          </w:rPr>
          <w:tab/>
        </w:r>
        <w:r w:rsidR="00617740">
          <w:rPr>
            <w:noProof/>
            <w:webHidden/>
          </w:rPr>
          <w:fldChar w:fldCharType="begin"/>
        </w:r>
        <w:r w:rsidR="00617740">
          <w:rPr>
            <w:noProof/>
            <w:webHidden/>
          </w:rPr>
          <w:instrText xml:space="preserve"> PAGEREF _Toc156932053 \h </w:instrText>
        </w:r>
        <w:r w:rsidR="00617740">
          <w:rPr>
            <w:noProof/>
            <w:webHidden/>
          </w:rPr>
        </w:r>
        <w:r w:rsidR="00617740">
          <w:rPr>
            <w:noProof/>
            <w:webHidden/>
          </w:rPr>
          <w:fldChar w:fldCharType="separate"/>
        </w:r>
        <w:r w:rsidR="00934D5E">
          <w:rPr>
            <w:noProof/>
            <w:webHidden/>
          </w:rPr>
          <w:t>14</w:t>
        </w:r>
        <w:r w:rsidR="00617740">
          <w:rPr>
            <w:noProof/>
            <w:webHidden/>
          </w:rPr>
          <w:fldChar w:fldCharType="end"/>
        </w:r>
      </w:hyperlink>
    </w:p>
    <w:p w14:paraId="38534A3B" w14:textId="4A1122DC"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54" w:history="1">
        <w:r w:rsidR="00617740" w:rsidRPr="00D42DC6">
          <w:rPr>
            <w:rStyle w:val="Hyperlink"/>
            <w:noProof/>
          </w:rPr>
          <w:t>Box 7: Institute for Urban Indigenous Health case study</w:t>
        </w:r>
        <w:r w:rsidR="00617740">
          <w:rPr>
            <w:noProof/>
            <w:webHidden/>
          </w:rPr>
          <w:tab/>
        </w:r>
        <w:r w:rsidR="00617740">
          <w:rPr>
            <w:noProof/>
            <w:webHidden/>
          </w:rPr>
          <w:fldChar w:fldCharType="begin"/>
        </w:r>
        <w:r w:rsidR="00617740">
          <w:rPr>
            <w:noProof/>
            <w:webHidden/>
          </w:rPr>
          <w:instrText xml:space="preserve"> PAGEREF _Toc156932054 \h </w:instrText>
        </w:r>
        <w:r w:rsidR="00617740">
          <w:rPr>
            <w:noProof/>
            <w:webHidden/>
          </w:rPr>
        </w:r>
        <w:r w:rsidR="00617740">
          <w:rPr>
            <w:noProof/>
            <w:webHidden/>
          </w:rPr>
          <w:fldChar w:fldCharType="separate"/>
        </w:r>
        <w:r w:rsidR="00934D5E">
          <w:rPr>
            <w:noProof/>
            <w:webHidden/>
          </w:rPr>
          <w:t>16</w:t>
        </w:r>
        <w:r w:rsidR="00617740">
          <w:rPr>
            <w:noProof/>
            <w:webHidden/>
          </w:rPr>
          <w:fldChar w:fldCharType="end"/>
        </w:r>
      </w:hyperlink>
    </w:p>
    <w:p w14:paraId="6E539E0F" w14:textId="75E68C8A"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55" w:history="1">
        <w:r w:rsidR="00617740" w:rsidRPr="00D42DC6">
          <w:rPr>
            <w:rStyle w:val="Hyperlink"/>
            <w:noProof/>
          </w:rPr>
          <w:t>Box 8: Nukal Murra case study</w:t>
        </w:r>
        <w:r w:rsidR="00617740">
          <w:rPr>
            <w:noProof/>
            <w:webHidden/>
          </w:rPr>
          <w:tab/>
        </w:r>
        <w:r w:rsidR="00617740">
          <w:rPr>
            <w:noProof/>
            <w:webHidden/>
          </w:rPr>
          <w:fldChar w:fldCharType="begin"/>
        </w:r>
        <w:r w:rsidR="00617740">
          <w:rPr>
            <w:noProof/>
            <w:webHidden/>
          </w:rPr>
          <w:instrText xml:space="preserve"> PAGEREF _Toc156932055 \h </w:instrText>
        </w:r>
        <w:r w:rsidR="00617740">
          <w:rPr>
            <w:noProof/>
            <w:webHidden/>
          </w:rPr>
        </w:r>
        <w:r w:rsidR="00617740">
          <w:rPr>
            <w:noProof/>
            <w:webHidden/>
          </w:rPr>
          <w:fldChar w:fldCharType="separate"/>
        </w:r>
        <w:r w:rsidR="00934D5E">
          <w:rPr>
            <w:noProof/>
            <w:webHidden/>
          </w:rPr>
          <w:t>18</w:t>
        </w:r>
        <w:r w:rsidR="00617740">
          <w:rPr>
            <w:noProof/>
            <w:webHidden/>
          </w:rPr>
          <w:fldChar w:fldCharType="end"/>
        </w:r>
      </w:hyperlink>
    </w:p>
    <w:p w14:paraId="18E3A37B" w14:textId="311C9BE8"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56" w:history="1">
        <w:r w:rsidR="00617740" w:rsidRPr="00D42DC6">
          <w:rPr>
            <w:rStyle w:val="Hyperlink"/>
            <w:noProof/>
          </w:rPr>
          <w:t>Box 9: Approach to developing Arrangement C and opportunity to explore further</w:t>
        </w:r>
        <w:r w:rsidR="00617740">
          <w:rPr>
            <w:noProof/>
            <w:webHidden/>
          </w:rPr>
          <w:tab/>
        </w:r>
        <w:r w:rsidR="00617740">
          <w:rPr>
            <w:noProof/>
            <w:webHidden/>
          </w:rPr>
          <w:fldChar w:fldCharType="begin"/>
        </w:r>
        <w:r w:rsidR="00617740">
          <w:rPr>
            <w:noProof/>
            <w:webHidden/>
          </w:rPr>
          <w:instrText xml:space="preserve"> PAGEREF _Toc156932056 \h </w:instrText>
        </w:r>
        <w:r w:rsidR="00617740">
          <w:rPr>
            <w:noProof/>
            <w:webHidden/>
          </w:rPr>
        </w:r>
        <w:r w:rsidR="00617740">
          <w:rPr>
            <w:noProof/>
            <w:webHidden/>
          </w:rPr>
          <w:fldChar w:fldCharType="separate"/>
        </w:r>
        <w:r w:rsidR="00934D5E">
          <w:rPr>
            <w:noProof/>
            <w:webHidden/>
          </w:rPr>
          <w:t>20</w:t>
        </w:r>
        <w:r w:rsidR="00617740">
          <w:rPr>
            <w:noProof/>
            <w:webHidden/>
          </w:rPr>
          <w:fldChar w:fldCharType="end"/>
        </w:r>
      </w:hyperlink>
    </w:p>
    <w:p w14:paraId="70036D3D" w14:textId="5B69A177"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57" w:history="1">
        <w:r w:rsidR="00617740" w:rsidRPr="00D42DC6">
          <w:rPr>
            <w:rStyle w:val="Hyperlink"/>
            <w:noProof/>
          </w:rPr>
          <w:t>Box 10: Culture Care Connect case study</w:t>
        </w:r>
        <w:r w:rsidR="00617740">
          <w:rPr>
            <w:noProof/>
            <w:webHidden/>
          </w:rPr>
          <w:tab/>
        </w:r>
        <w:r w:rsidR="00617740">
          <w:rPr>
            <w:noProof/>
            <w:webHidden/>
          </w:rPr>
          <w:fldChar w:fldCharType="begin"/>
        </w:r>
        <w:r w:rsidR="00617740">
          <w:rPr>
            <w:noProof/>
            <w:webHidden/>
          </w:rPr>
          <w:instrText xml:space="preserve"> PAGEREF _Toc156932057 \h </w:instrText>
        </w:r>
        <w:r w:rsidR="00617740">
          <w:rPr>
            <w:noProof/>
            <w:webHidden/>
          </w:rPr>
        </w:r>
        <w:r w:rsidR="00617740">
          <w:rPr>
            <w:noProof/>
            <w:webHidden/>
          </w:rPr>
          <w:fldChar w:fldCharType="separate"/>
        </w:r>
        <w:r w:rsidR="00934D5E">
          <w:rPr>
            <w:noProof/>
            <w:webHidden/>
          </w:rPr>
          <w:t>21</w:t>
        </w:r>
        <w:r w:rsidR="00617740">
          <w:rPr>
            <w:noProof/>
            <w:webHidden/>
          </w:rPr>
          <w:fldChar w:fldCharType="end"/>
        </w:r>
      </w:hyperlink>
    </w:p>
    <w:p w14:paraId="4E82A8E8" w14:textId="64BC178B"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58" w:history="1">
        <w:r w:rsidR="00617740" w:rsidRPr="00D42DC6">
          <w:rPr>
            <w:rStyle w:val="Hyperlink"/>
            <w:noProof/>
          </w:rPr>
          <w:t>Box 11: The TORCH project – An emerging approach to funding First Nations health and wellbeing</w:t>
        </w:r>
        <w:r w:rsidR="00617740">
          <w:rPr>
            <w:noProof/>
            <w:webHidden/>
          </w:rPr>
          <w:tab/>
        </w:r>
        <w:r w:rsidR="00617740">
          <w:rPr>
            <w:noProof/>
            <w:webHidden/>
          </w:rPr>
          <w:fldChar w:fldCharType="begin"/>
        </w:r>
        <w:r w:rsidR="00617740">
          <w:rPr>
            <w:noProof/>
            <w:webHidden/>
          </w:rPr>
          <w:instrText xml:space="preserve"> PAGEREF _Toc156932058 \h </w:instrText>
        </w:r>
        <w:r w:rsidR="00617740">
          <w:rPr>
            <w:noProof/>
            <w:webHidden/>
          </w:rPr>
        </w:r>
        <w:r w:rsidR="00617740">
          <w:rPr>
            <w:noProof/>
            <w:webHidden/>
          </w:rPr>
          <w:fldChar w:fldCharType="separate"/>
        </w:r>
        <w:r w:rsidR="00934D5E">
          <w:rPr>
            <w:noProof/>
            <w:webHidden/>
          </w:rPr>
          <w:t>24</w:t>
        </w:r>
        <w:r w:rsidR="00617740">
          <w:rPr>
            <w:noProof/>
            <w:webHidden/>
          </w:rPr>
          <w:fldChar w:fldCharType="end"/>
        </w:r>
      </w:hyperlink>
    </w:p>
    <w:p w14:paraId="0596ADEB" w14:textId="18620569"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59" w:history="1">
        <w:r w:rsidR="00617740" w:rsidRPr="00D42DC6">
          <w:rPr>
            <w:rStyle w:val="Hyperlink"/>
            <w:noProof/>
          </w:rPr>
          <w:t>Box 12: Prioritising transformation of future-state funding arrangements</w:t>
        </w:r>
        <w:r w:rsidR="00617740">
          <w:rPr>
            <w:noProof/>
            <w:webHidden/>
          </w:rPr>
          <w:tab/>
        </w:r>
        <w:r w:rsidR="00617740">
          <w:rPr>
            <w:noProof/>
            <w:webHidden/>
          </w:rPr>
          <w:fldChar w:fldCharType="begin"/>
        </w:r>
        <w:r w:rsidR="00617740">
          <w:rPr>
            <w:noProof/>
            <w:webHidden/>
          </w:rPr>
          <w:instrText xml:space="preserve"> PAGEREF _Toc156932059 \h </w:instrText>
        </w:r>
        <w:r w:rsidR="00617740">
          <w:rPr>
            <w:noProof/>
            <w:webHidden/>
          </w:rPr>
        </w:r>
        <w:r w:rsidR="00617740">
          <w:rPr>
            <w:noProof/>
            <w:webHidden/>
          </w:rPr>
          <w:fldChar w:fldCharType="separate"/>
        </w:r>
        <w:r w:rsidR="00934D5E">
          <w:rPr>
            <w:noProof/>
            <w:webHidden/>
          </w:rPr>
          <w:t>26</w:t>
        </w:r>
        <w:r w:rsidR="00617740">
          <w:rPr>
            <w:noProof/>
            <w:webHidden/>
          </w:rPr>
          <w:fldChar w:fldCharType="end"/>
        </w:r>
      </w:hyperlink>
    </w:p>
    <w:p w14:paraId="009AB77D" w14:textId="6CC1CC9A"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60" w:history="1">
        <w:r w:rsidR="00617740" w:rsidRPr="00D42DC6">
          <w:rPr>
            <w:rStyle w:val="Hyperlink"/>
            <w:noProof/>
          </w:rPr>
          <w:t>Box 13: The Early Adopter Period</w:t>
        </w:r>
        <w:r w:rsidR="00617740">
          <w:rPr>
            <w:noProof/>
            <w:webHidden/>
          </w:rPr>
          <w:tab/>
        </w:r>
        <w:r w:rsidR="00617740">
          <w:rPr>
            <w:noProof/>
            <w:webHidden/>
          </w:rPr>
          <w:fldChar w:fldCharType="begin"/>
        </w:r>
        <w:r w:rsidR="00617740">
          <w:rPr>
            <w:noProof/>
            <w:webHidden/>
          </w:rPr>
          <w:instrText xml:space="preserve"> PAGEREF _Toc156932060 \h </w:instrText>
        </w:r>
        <w:r w:rsidR="00617740">
          <w:rPr>
            <w:noProof/>
            <w:webHidden/>
          </w:rPr>
        </w:r>
        <w:r w:rsidR="00617740">
          <w:rPr>
            <w:noProof/>
            <w:webHidden/>
          </w:rPr>
          <w:fldChar w:fldCharType="separate"/>
        </w:r>
        <w:r w:rsidR="00934D5E">
          <w:rPr>
            <w:noProof/>
            <w:webHidden/>
          </w:rPr>
          <w:t>27</w:t>
        </w:r>
        <w:r w:rsidR="00617740">
          <w:rPr>
            <w:noProof/>
            <w:webHidden/>
          </w:rPr>
          <w:fldChar w:fldCharType="end"/>
        </w:r>
      </w:hyperlink>
    </w:p>
    <w:p w14:paraId="4A7DE2D8" w14:textId="7A41DDB5"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61" w:history="1">
        <w:r w:rsidR="00617740" w:rsidRPr="00D42DC6">
          <w:rPr>
            <w:rStyle w:val="Hyperlink"/>
            <w:noProof/>
          </w:rPr>
          <w:t>Box 14: The Transformation Roadmap in practice</w:t>
        </w:r>
        <w:r w:rsidR="00617740">
          <w:rPr>
            <w:noProof/>
            <w:webHidden/>
          </w:rPr>
          <w:tab/>
        </w:r>
        <w:r w:rsidR="00617740">
          <w:rPr>
            <w:noProof/>
            <w:webHidden/>
          </w:rPr>
          <w:fldChar w:fldCharType="begin"/>
        </w:r>
        <w:r w:rsidR="00617740">
          <w:rPr>
            <w:noProof/>
            <w:webHidden/>
          </w:rPr>
          <w:instrText xml:space="preserve"> PAGEREF _Toc156932061 \h </w:instrText>
        </w:r>
        <w:r w:rsidR="00617740">
          <w:rPr>
            <w:noProof/>
            <w:webHidden/>
          </w:rPr>
        </w:r>
        <w:r w:rsidR="00617740">
          <w:rPr>
            <w:noProof/>
            <w:webHidden/>
          </w:rPr>
          <w:fldChar w:fldCharType="separate"/>
        </w:r>
        <w:r w:rsidR="00934D5E">
          <w:rPr>
            <w:noProof/>
            <w:webHidden/>
          </w:rPr>
          <w:t>33</w:t>
        </w:r>
        <w:r w:rsidR="00617740">
          <w:rPr>
            <w:noProof/>
            <w:webHidden/>
          </w:rPr>
          <w:fldChar w:fldCharType="end"/>
        </w:r>
      </w:hyperlink>
    </w:p>
    <w:p w14:paraId="5A74474B" w14:textId="6F552421"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62" w:history="1">
        <w:r w:rsidR="00617740" w:rsidRPr="00D42DC6">
          <w:rPr>
            <w:rStyle w:val="Hyperlink"/>
            <w:noProof/>
          </w:rPr>
          <w:t>Box A4.1: Procurement compared with commissioning at PHNs</w:t>
        </w:r>
        <w:r w:rsidR="00617740">
          <w:rPr>
            <w:noProof/>
            <w:webHidden/>
          </w:rPr>
          <w:tab/>
        </w:r>
        <w:r w:rsidR="00617740">
          <w:rPr>
            <w:noProof/>
            <w:webHidden/>
          </w:rPr>
          <w:fldChar w:fldCharType="begin"/>
        </w:r>
        <w:r w:rsidR="00617740">
          <w:rPr>
            <w:noProof/>
            <w:webHidden/>
          </w:rPr>
          <w:instrText xml:space="preserve"> PAGEREF _Toc156932062 \h </w:instrText>
        </w:r>
        <w:r w:rsidR="00617740">
          <w:rPr>
            <w:noProof/>
            <w:webHidden/>
          </w:rPr>
        </w:r>
        <w:r w:rsidR="00617740">
          <w:rPr>
            <w:noProof/>
            <w:webHidden/>
          </w:rPr>
          <w:fldChar w:fldCharType="separate"/>
        </w:r>
        <w:r w:rsidR="00934D5E">
          <w:rPr>
            <w:noProof/>
            <w:webHidden/>
          </w:rPr>
          <w:t>62</w:t>
        </w:r>
        <w:r w:rsidR="00617740">
          <w:rPr>
            <w:noProof/>
            <w:webHidden/>
          </w:rPr>
          <w:fldChar w:fldCharType="end"/>
        </w:r>
      </w:hyperlink>
    </w:p>
    <w:p w14:paraId="39DFF0D9" w14:textId="39771434"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63" w:history="1">
        <w:r w:rsidR="00617740" w:rsidRPr="00D42DC6">
          <w:rPr>
            <w:rStyle w:val="Hyperlink"/>
            <w:noProof/>
          </w:rPr>
          <w:t>Box A4.2: Using the insights from the literature review to inform the Review</w:t>
        </w:r>
        <w:r w:rsidR="00617740">
          <w:rPr>
            <w:noProof/>
            <w:webHidden/>
          </w:rPr>
          <w:tab/>
        </w:r>
        <w:r w:rsidR="00617740">
          <w:rPr>
            <w:noProof/>
            <w:webHidden/>
          </w:rPr>
          <w:fldChar w:fldCharType="begin"/>
        </w:r>
        <w:r w:rsidR="00617740">
          <w:rPr>
            <w:noProof/>
            <w:webHidden/>
          </w:rPr>
          <w:instrText xml:space="preserve"> PAGEREF _Toc156932063 \h </w:instrText>
        </w:r>
        <w:r w:rsidR="00617740">
          <w:rPr>
            <w:noProof/>
            <w:webHidden/>
          </w:rPr>
        </w:r>
        <w:r w:rsidR="00617740">
          <w:rPr>
            <w:noProof/>
            <w:webHidden/>
          </w:rPr>
          <w:fldChar w:fldCharType="separate"/>
        </w:r>
        <w:r w:rsidR="00934D5E">
          <w:rPr>
            <w:noProof/>
            <w:webHidden/>
          </w:rPr>
          <w:t>63</w:t>
        </w:r>
        <w:r w:rsidR="00617740">
          <w:rPr>
            <w:noProof/>
            <w:webHidden/>
          </w:rPr>
          <w:fldChar w:fldCharType="end"/>
        </w:r>
      </w:hyperlink>
    </w:p>
    <w:p w14:paraId="5F277E2F" w14:textId="76CA3986"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64" w:history="1">
        <w:r w:rsidR="00617740" w:rsidRPr="00D42DC6">
          <w:rPr>
            <w:rStyle w:val="Hyperlink"/>
            <w:noProof/>
          </w:rPr>
          <w:t>Box A4.3: Healthcare funding approaches in the context of the Review</w:t>
        </w:r>
        <w:r w:rsidR="00617740">
          <w:rPr>
            <w:noProof/>
            <w:webHidden/>
          </w:rPr>
          <w:tab/>
        </w:r>
        <w:r w:rsidR="00617740">
          <w:rPr>
            <w:noProof/>
            <w:webHidden/>
          </w:rPr>
          <w:fldChar w:fldCharType="begin"/>
        </w:r>
        <w:r w:rsidR="00617740">
          <w:rPr>
            <w:noProof/>
            <w:webHidden/>
          </w:rPr>
          <w:instrText xml:space="preserve"> PAGEREF _Toc156932064 \h </w:instrText>
        </w:r>
        <w:r w:rsidR="00617740">
          <w:rPr>
            <w:noProof/>
            <w:webHidden/>
          </w:rPr>
        </w:r>
        <w:r w:rsidR="00617740">
          <w:rPr>
            <w:noProof/>
            <w:webHidden/>
          </w:rPr>
          <w:fldChar w:fldCharType="separate"/>
        </w:r>
        <w:r w:rsidR="00934D5E">
          <w:rPr>
            <w:noProof/>
            <w:webHidden/>
          </w:rPr>
          <w:t>63</w:t>
        </w:r>
        <w:r w:rsidR="00617740">
          <w:rPr>
            <w:noProof/>
            <w:webHidden/>
          </w:rPr>
          <w:fldChar w:fldCharType="end"/>
        </w:r>
      </w:hyperlink>
    </w:p>
    <w:p w14:paraId="0920CA9D" w14:textId="76AD98C8"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65" w:history="1">
        <w:r w:rsidR="00617740" w:rsidRPr="00D42DC6">
          <w:rPr>
            <w:rStyle w:val="Hyperlink"/>
            <w:noProof/>
          </w:rPr>
          <w:t>Box A4.4: Using the insights from the literature review to inform the Review</w:t>
        </w:r>
        <w:r w:rsidR="00617740">
          <w:rPr>
            <w:noProof/>
            <w:webHidden/>
          </w:rPr>
          <w:tab/>
        </w:r>
        <w:r w:rsidR="00617740">
          <w:rPr>
            <w:noProof/>
            <w:webHidden/>
          </w:rPr>
          <w:fldChar w:fldCharType="begin"/>
        </w:r>
        <w:r w:rsidR="00617740">
          <w:rPr>
            <w:noProof/>
            <w:webHidden/>
          </w:rPr>
          <w:instrText xml:space="preserve"> PAGEREF _Toc156932065 \h </w:instrText>
        </w:r>
        <w:r w:rsidR="00617740">
          <w:rPr>
            <w:noProof/>
            <w:webHidden/>
          </w:rPr>
        </w:r>
        <w:r w:rsidR="00617740">
          <w:rPr>
            <w:noProof/>
            <w:webHidden/>
          </w:rPr>
          <w:fldChar w:fldCharType="separate"/>
        </w:r>
        <w:r w:rsidR="00934D5E">
          <w:rPr>
            <w:noProof/>
            <w:webHidden/>
          </w:rPr>
          <w:t>65</w:t>
        </w:r>
        <w:r w:rsidR="00617740">
          <w:rPr>
            <w:noProof/>
            <w:webHidden/>
          </w:rPr>
          <w:fldChar w:fldCharType="end"/>
        </w:r>
      </w:hyperlink>
    </w:p>
    <w:p w14:paraId="4A098DF9" w14:textId="163306E2"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66" w:history="1">
        <w:r w:rsidR="00617740" w:rsidRPr="00D42DC6">
          <w:rPr>
            <w:rStyle w:val="Hyperlink"/>
            <w:noProof/>
          </w:rPr>
          <w:t>Box A4.5: The TORCH project – An emerging approach to funding First Nations health and wellbeing</w:t>
        </w:r>
        <w:r w:rsidR="00617740">
          <w:rPr>
            <w:noProof/>
            <w:webHidden/>
          </w:rPr>
          <w:tab/>
        </w:r>
        <w:r w:rsidR="00617740">
          <w:rPr>
            <w:noProof/>
            <w:webHidden/>
          </w:rPr>
          <w:fldChar w:fldCharType="begin"/>
        </w:r>
        <w:r w:rsidR="00617740">
          <w:rPr>
            <w:noProof/>
            <w:webHidden/>
          </w:rPr>
          <w:instrText xml:space="preserve"> PAGEREF _Toc156932066 \h </w:instrText>
        </w:r>
        <w:r w:rsidR="00617740">
          <w:rPr>
            <w:noProof/>
            <w:webHidden/>
          </w:rPr>
        </w:r>
        <w:r w:rsidR="00617740">
          <w:rPr>
            <w:noProof/>
            <w:webHidden/>
          </w:rPr>
          <w:fldChar w:fldCharType="separate"/>
        </w:r>
        <w:r w:rsidR="00934D5E">
          <w:rPr>
            <w:noProof/>
            <w:webHidden/>
          </w:rPr>
          <w:t>66</w:t>
        </w:r>
        <w:r w:rsidR="00617740">
          <w:rPr>
            <w:noProof/>
            <w:webHidden/>
          </w:rPr>
          <w:fldChar w:fldCharType="end"/>
        </w:r>
      </w:hyperlink>
    </w:p>
    <w:p w14:paraId="6B987859" w14:textId="772B6CC8"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67" w:history="1">
        <w:r w:rsidR="00617740" w:rsidRPr="00D42DC6">
          <w:rPr>
            <w:rStyle w:val="Hyperlink"/>
            <w:noProof/>
          </w:rPr>
          <w:t>Box A4.6: A note on the validation of and errors in the contract data</w:t>
        </w:r>
        <w:r w:rsidR="00617740">
          <w:rPr>
            <w:noProof/>
            <w:webHidden/>
          </w:rPr>
          <w:tab/>
        </w:r>
        <w:r w:rsidR="00617740">
          <w:rPr>
            <w:noProof/>
            <w:webHidden/>
          </w:rPr>
          <w:fldChar w:fldCharType="begin"/>
        </w:r>
        <w:r w:rsidR="00617740">
          <w:rPr>
            <w:noProof/>
            <w:webHidden/>
          </w:rPr>
          <w:instrText xml:space="preserve"> PAGEREF _Toc156932067 \h </w:instrText>
        </w:r>
        <w:r w:rsidR="00617740">
          <w:rPr>
            <w:noProof/>
            <w:webHidden/>
          </w:rPr>
        </w:r>
        <w:r w:rsidR="00617740">
          <w:rPr>
            <w:noProof/>
            <w:webHidden/>
          </w:rPr>
          <w:fldChar w:fldCharType="separate"/>
        </w:r>
        <w:r w:rsidR="00934D5E">
          <w:rPr>
            <w:noProof/>
            <w:webHidden/>
          </w:rPr>
          <w:t>67</w:t>
        </w:r>
        <w:r w:rsidR="00617740">
          <w:rPr>
            <w:noProof/>
            <w:webHidden/>
          </w:rPr>
          <w:fldChar w:fldCharType="end"/>
        </w:r>
      </w:hyperlink>
    </w:p>
    <w:p w14:paraId="534DE7F1" w14:textId="0C068959"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68" w:history="1">
        <w:r w:rsidR="00617740" w:rsidRPr="00D42DC6">
          <w:rPr>
            <w:rStyle w:val="Hyperlink"/>
            <w:noProof/>
          </w:rPr>
          <w:t>Box A4.7: An integrated approach to documenting the findings</w:t>
        </w:r>
        <w:r w:rsidR="00617740">
          <w:rPr>
            <w:noProof/>
            <w:webHidden/>
          </w:rPr>
          <w:tab/>
        </w:r>
        <w:r w:rsidR="00617740">
          <w:rPr>
            <w:noProof/>
            <w:webHidden/>
          </w:rPr>
          <w:fldChar w:fldCharType="begin"/>
        </w:r>
        <w:r w:rsidR="00617740">
          <w:rPr>
            <w:noProof/>
            <w:webHidden/>
          </w:rPr>
          <w:instrText xml:space="preserve"> PAGEREF _Toc156932068 \h </w:instrText>
        </w:r>
        <w:r w:rsidR="00617740">
          <w:rPr>
            <w:noProof/>
            <w:webHidden/>
          </w:rPr>
        </w:r>
        <w:r w:rsidR="00617740">
          <w:rPr>
            <w:noProof/>
            <w:webHidden/>
          </w:rPr>
          <w:fldChar w:fldCharType="separate"/>
        </w:r>
        <w:r w:rsidR="00934D5E">
          <w:rPr>
            <w:noProof/>
            <w:webHidden/>
          </w:rPr>
          <w:t>77</w:t>
        </w:r>
        <w:r w:rsidR="00617740">
          <w:rPr>
            <w:noProof/>
            <w:webHidden/>
          </w:rPr>
          <w:fldChar w:fldCharType="end"/>
        </w:r>
      </w:hyperlink>
    </w:p>
    <w:p w14:paraId="6EC7DAE5" w14:textId="4D268265"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69" w:history="1">
        <w:r w:rsidR="00617740" w:rsidRPr="00D42DC6">
          <w:rPr>
            <w:rStyle w:val="Hyperlink"/>
            <w:noProof/>
          </w:rPr>
          <w:t>Box A4.8: Best practice examples integrated into the findings</w:t>
        </w:r>
        <w:r w:rsidR="00617740">
          <w:rPr>
            <w:noProof/>
            <w:webHidden/>
          </w:rPr>
          <w:tab/>
        </w:r>
        <w:r w:rsidR="00617740">
          <w:rPr>
            <w:noProof/>
            <w:webHidden/>
          </w:rPr>
          <w:fldChar w:fldCharType="begin"/>
        </w:r>
        <w:r w:rsidR="00617740">
          <w:rPr>
            <w:noProof/>
            <w:webHidden/>
          </w:rPr>
          <w:instrText xml:space="preserve"> PAGEREF _Toc156932069 \h </w:instrText>
        </w:r>
        <w:r w:rsidR="00617740">
          <w:rPr>
            <w:noProof/>
            <w:webHidden/>
          </w:rPr>
        </w:r>
        <w:r w:rsidR="00617740">
          <w:rPr>
            <w:noProof/>
            <w:webHidden/>
          </w:rPr>
          <w:fldChar w:fldCharType="separate"/>
        </w:r>
        <w:r w:rsidR="00934D5E">
          <w:rPr>
            <w:noProof/>
            <w:webHidden/>
          </w:rPr>
          <w:t>78</w:t>
        </w:r>
        <w:r w:rsidR="00617740">
          <w:rPr>
            <w:noProof/>
            <w:webHidden/>
          </w:rPr>
          <w:fldChar w:fldCharType="end"/>
        </w:r>
      </w:hyperlink>
    </w:p>
    <w:p w14:paraId="042574F0" w14:textId="1C933DF1"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70" w:history="1">
        <w:r w:rsidR="00617740" w:rsidRPr="00D42DC6">
          <w:rPr>
            <w:rStyle w:val="Hyperlink"/>
            <w:noProof/>
          </w:rPr>
          <w:t>Box A11.1: Testing arrangements A1, A2 and C during the EAP</w:t>
        </w:r>
        <w:r w:rsidR="00617740">
          <w:rPr>
            <w:noProof/>
            <w:webHidden/>
          </w:rPr>
          <w:tab/>
        </w:r>
        <w:r w:rsidR="00617740">
          <w:rPr>
            <w:noProof/>
            <w:webHidden/>
          </w:rPr>
          <w:fldChar w:fldCharType="begin"/>
        </w:r>
        <w:r w:rsidR="00617740">
          <w:rPr>
            <w:noProof/>
            <w:webHidden/>
          </w:rPr>
          <w:instrText xml:space="preserve"> PAGEREF _Toc156932070 \h </w:instrText>
        </w:r>
        <w:r w:rsidR="00617740">
          <w:rPr>
            <w:noProof/>
            <w:webHidden/>
          </w:rPr>
        </w:r>
        <w:r w:rsidR="00617740">
          <w:rPr>
            <w:noProof/>
            <w:webHidden/>
          </w:rPr>
          <w:fldChar w:fldCharType="separate"/>
        </w:r>
        <w:r w:rsidR="00934D5E">
          <w:rPr>
            <w:noProof/>
            <w:webHidden/>
          </w:rPr>
          <w:t>174</w:t>
        </w:r>
        <w:r w:rsidR="00617740">
          <w:rPr>
            <w:noProof/>
            <w:webHidden/>
          </w:rPr>
          <w:fldChar w:fldCharType="end"/>
        </w:r>
      </w:hyperlink>
    </w:p>
    <w:p w14:paraId="55E47CB1" w14:textId="2C03C479" w:rsidR="00BD135A" w:rsidRPr="00B65F7F" w:rsidRDefault="009C3202" w:rsidP="00292E56">
      <w:pPr>
        <w:pStyle w:val="BodyText"/>
      </w:pPr>
      <w:r>
        <w:rPr>
          <w:iCs/>
        </w:rPr>
        <w:fldChar w:fldCharType="end"/>
      </w:r>
    </w:p>
    <w:p w14:paraId="3990676C" w14:textId="77777777" w:rsidR="0057510C" w:rsidRPr="00B65F7F" w:rsidRDefault="0057510C" w:rsidP="0057510C">
      <w:pPr>
        <w:pStyle w:val="HeadingLevel2NoNumber"/>
        <w:rPr>
          <w:lang w:val="en-AU"/>
        </w:rPr>
      </w:pPr>
      <w:r w:rsidRPr="00B65F7F">
        <w:rPr>
          <w:lang w:val="en-AU"/>
        </w:rPr>
        <w:t>Tables</w:t>
      </w:r>
    </w:p>
    <w:p w14:paraId="035F4DBE" w14:textId="61F7EA44" w:rsidR="00617740" w:rsidRDefault="00676316">
      <w:pPr>
        <w:pStyle w:val="TableofFigures"/>
        <w:rPr>
          <w:rFonts w:eastAsiaTheme="minorEastAsia" w:cstheme="minorBidi"/>
          <w:iCs w:val="0"/>
          <w:noProof/>
          <w:kern w:val="2"/>
          <w:sz w:val="24"/>
          <w:szCs w:val="24"/>
          <w:lang w:eastAsia="en-AU"/>
          <w14:ligatures w14:val="standardContextual"/>
        </w:rPr>
      </w:pPr>
      <w:r>
        <w:rPr>
          <w:color w:val="2B579A"/>
          <w:sz w:val="20"/>
          <w:shd w:val="clear" w:color="auto" w:fill="E6E6E6"/>
        </w:rPr>
        <w:fldChar w:fldCharType="begin"/>
      </w:r>
      <w:r>
        <w:rPr>
          <w:color w:val="2B579A"/>
          <w:sz w:val="20"/>
          <w:shd w:val="clear" w:color="auto" w:fill="E6E6E6"/>
        </w:rPr>
        <w:instrText xml:space="preserve"> TOC \h \z \t "Caption Table" \c </w:instrText>
      </w:r>
      <w:r>
        <w:rPr>
          <w:color w:val="2B579A"/>
          <w:sz w:val="20"/>
          <w:shd w:val="clear" w:color="auto" w:fill="E6E6E6"/>
        </w:rPr>
        <w:fldChar w:fldCharType="separate"/>
      </w:r>
      <w:hyperlink w:anchor="_Toc156932071" w:history="1">
        <w:r w:rsidR="00617740" w:rsidRPr="007B1DB1">
          <w:rPr>
            <w:rStyle w:val="Hyperlink"/>
            <w:noProof/>
            <w:lang w:bidi="en-US"/>
          </w:rPr>
          <w:t>Table 1: Key features of Phase 1</w:t>
        </w:r>
        <w:r w:rsidR="00617740">
          <w:rPr>
            <w:noProof/>
            <w:webHidden/>
          </w:rPr>
          <w:tab/>
        </w:r>
        <w:r w:rsidR="00617740">
          <w:rPr>
            <w:noProof/>
            <w:webHidden/>
          </w:rPr>
          <w:fldChar w:fldCharType="begin"/>
        </w:r>
        <w:r w:rsidR="00617740">
          <w:rPr>
            <w:noProof/>
            <w:webHidden/>
          </w:rPr>
          <w:instrText xml:space="preserve"> PAGEREF _Toc156932071 \h </w:instrText>
        </w:r>
        <w:r w:rsidR="00617740">
          <w:rPr>
            <w:noProof/>
            <w:webHidden/>
          </w:rPr>
        </w:r>
        <w:r w:rsidR="00617740">
          <w:rPr>
            <w:noProof/>
            <w:webHidden/>
          </w:rPr>
          <w:fldChar w:fldCharType="separate"/>
        </w:r>
        <w:r w:rsidR="00934D5E">
          <w:rPr>
            <w:noProof/>
            <w:webHidden/>
          </w:rPr>
          <w:t>35</w:t>
        </w:r>
        <w:r w:rsidR="00617740">
          <w:rPr>
            <w:noProof/>
            <w:webHidden/>
          </w:rPr>
          <w:fldChar w:fldCharType="end"/>
        </w:r>
      </w:hyperlink>
    </w:p>
    <w:p w14:paraId="7A3632E9" w14:textId="67A9FF10"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72" w:history="1">
        <w:r w:rsidR="00617740" w:rsidRPr="007B1DB1">
          <w:rPr>
            <w:rStyle w:val="Hyperlink"/>
            <w:noProof/>
            <w:lang w:bidi="en-US"/>
          </w:rPr>
          <w:t>Table 2: Key features of Phase 2</w:t>
        </w:r>
        <w:r w:rsidR="00617740">
          <w:rPr>
            <w:noProof/>
            <w:webHidden/>
          </w:rPr>
          <w:tab/>
        </w:r>
        <w:r w:rsidR="00617740">
          <w:rPr>
            <w:noProof/>
            <w:webHidden/>
          </w:rPr>
          <w:fldChar w:fldCharType="begin"/>
        </w:r>
        <w:r w:rsidR="00617740">
          <w:rPr>
            <w:noProof/>
            <w:webHidden/>
          </w:rPr>
          <w:instrText xml:space="preserve"> PAGEREF _Toc156932072 \h </w:instrText>
        </w:r>
        <w:r w:rsidR="00617740">
          <w:rPr>
            <w:noProof/>
            <w:webHidden/>
          </w:rPr>
        </w:r>
        <w:r w:rsidR="00617740">
          <w:rPr>
            <w:noProof/>
            <w:webHidden/>
          </w:rPr>
          <w:fldChar w:fldCharType="separate"/>
        </w:r>
        <w:r w:rsidR="00934D5E">
          <w:rPr>
            <w:noProof/>
            <w:webHidden/>
          </w:rPr>
          <w:t>38</w:t>
        </w:r>
        <w:r w:rsidR="00617740">
          <w:rPr>
            <w:noProof/>
            <w:webHidden/>
          </w:rPr>
          <w:fldChar w:fldCharType="end"/>
        </w:r>
      </w:hyperlink>
    </w:p>
    <w:p w14:paraId="0C4C1105" w14:textId="5C2756EC"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73" w:history="1">
        <w:r w:rsidR="00617740" w:rsidRPr="007B1DB1">
          <w:rPr>
            <w:rStyle w:val="Hyperlink"/>
            <w:noProof/>
            <w:lang w:bidi="en-US"/>
          </w:rPr>
          <w:t>Table 3: Key features of Phase 3</w:t>
        </w:r>
        <w:r w:rsidR="00617740">
          <w:rPr>
            <w:noProof/>
            <w:webHidden/>
          </w:rPr>
          <w:tab/>
        </w:r>
        <w:r w:rsidR="00617740">
          <w:rPr>
            <w:noProof/>
            <w:webHidden/>
          </w:rPr>
          <w:fldChar w:fldCharType="begin"/>
        </w:r>
        <w:r w:rsidR="00617740">
          <w:rPr>
            <w:noProof/>
            <w:webHidden/>
          </w:rPr>
          <w:instrText xml:space="preserve"> PAGEREF _Toc156932073 \h </w:instrText>
        </w:r>
        <w:r w:rsidR="00617740">
          <w:rPr>
            <w:noProof/>
            <w:webHidden/>
          </w:rPr>
        </w:r>
        <w:r w:rsidR="00617740">
          <w:rPr>
            <w:noProof/>
            <w:webHidden/>
          </w:rPr>
          <w:fldChar w:fldCharType="separate"/>
        </w:r>
        <w:r w:rsidR="00934D5E">
          <w:rPr>
            <w:noProof/>
            <w:webHidden/>
          </w:rPr>
          <w:t>40</w:t>
        </w:r>
        <w:r w:rsidR="00617740">
          <w:rPr>
            <w:noProof/>
            <w:webHidden/>
          </w:rPr>
          <w:fldChar w:fldCharType="end"/>
        </w:r>
      </w:hyperlink>
    </w:p>
    <w:p w14:paraId="5D35A53C" w14:textId="34734B97"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74" w:history="1">
        <w:r w:rsidR="00617740" w:rsidRPr="007B1DB1">
          <w:rPr>
            <w:rStyle w:val="Hyperlink"/>
            <w:noProof/>
            <w:lang w:bidi="en-US"/>
          </w:rPr>
          <w:t>Table 4: Key features of Phase 4</w:t>
        </w:r>
        <w:r w:rsidR="00617740">
          <w:rPr>
            <w:noProof/>
            <w:webHidden/>
          </w:rPr>
          <w:tab/>
        </w:r>
        <w:r w:rsidR="00617740">
          <w:rPr>
            <w:noProof/>
            <w:webHidden/>
          </w:rPr>
          <w:fldChar w:fldCharType="begin"/>
        </w:r>
        <w:r w:rsidR="00617740">
          <w:rPr>
            <w:noProof/>
            <w:webHidden/>
          </w:rPr>
          <w:instrText xml:space="preserve"> PAGEREF _Toc156932074 \h </w:instrText>
        </w:r>
        <w:r w:rsidR="00617740">
          <w:rPr>
            <w:noProof/>
            <w:webHidden/>
          </w:rPr>
        </w:r>
        <w:r w:rsidR="00617740">
          <w:rPr>
            <w:noProof/>
            <w:webHidden/>
          </w:rPr>
          <w:fldChar w:fldCharType="separate"/>
        </w:r>
        <w:r w:rsidR="00934D5E">
          <w:rPr>
            <w:noProof/>
            <w:webHidden/>
          </w:rPr>
          <w:t>41</w:t>
        </w:r>
        <w:r w:rsidR="00617740">
          <w:rPr>
            <w:noProof/>
            <w:webHidden/>
          </w:rPr>
          <w:fldChar w:fldCharType="end"/>
        </w:r>
      </w:hyperlink>
    </w:p>
    <w:p w14:paraId="6E10E661" w14:textId="7CD235EB"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75" w:history="1">
        <w:r w:rsidR="00617740" w:rsidRPr="007B1DB1">
          <w:rPr>
            <w:rStyle w:val="Hyperlink"/>
            <w:noProof/>
            <w:lang w:bidi="en-US"/>
          </w:rPr>
          <w:t>Table 5: Key features of Phase 5</w:t>
        </w:r>
        <w:r w:rsidR="00617740">
          <w:rPr>
            <w:noProof/>
            <w:webHidden/>
          </w:rPr>
          <w:tab/>
        </w:r>
        <w:r w:rsidR="00617740">
          <w:rPr>
            <w:noProof/>
            <w:webHidden/>
          </w:rPr>
          <w:fldChar w:fldCharType="begin"/>
        </w:r>
        <w:r w:rsidR="00617740">
          <w:rPr>
            <w:noProof/>
            <w:webHidden/>
          </w:rPr>
          <w:instrText xml:space="preserve"> PAGEREF _Toc156932075 \h </w:instrText>
        </w:r>
        <w:r w:rsidR="00617740">
          <w:rPr>
            <w:noProof/>
            <w:webHidden/>
          </w:rPr>
        </w:r>
        <w:r w:rsidR="00617740">
          <w:rPr>
            <w:noProof/>
            <w:webHidden/>
          </w:rPr>
          <w:fldChar w:fldCharType="separate"/>
        </w:r>
        <w:r w:rsidR="00934D5E">
          <w:rPr>
            <w:noProof/>
            <w:webHidden/>
          </w:rPr>
          <w:t>43</w:t>
        </w:r>
        <w:r w:rsidR="00617740">
          <w:rPr>
            <w:noProof/>
            <w:webHidden/>
          </w:rPr>
          <w:fldChar w:fldCharType="end"/>
        </w:r>
      </w:hyperlink>
    </w:p>
    <w:p w14:paraId="1963138C" w14:textId="61C6A818"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76" w:history="1">
        <w:r w:rsidR="00617740" w:rsidRPr="007B1DB1">
          <w:rPr>
            <w:rStyle w:val="Hyperlink"/>
            <w:noProof/>
            <w:lang w:bidi="en-US"/>
          </w:rPr>
          <w:t>Table 6: Key features of Phase 6</w:t>
        </w:r>
        <w:r w:rsidR="00617740">
          <w:rPr>
            <w:noProof/>
            <w:webHidden/>
          </w:rPr>
          <w:tab/>
        </w:r>
        <w:r w:rsidR="00617740">
          <w:rPr>
            <w:noProof/>
            <w:webHidden/>
          </w:rPr>
          <w:fldChar w:fldCharType="begin"/>
        </w:r>
        <w:r w:rsidR="00617740">
          <w:rPr>
            <w:noProof/>
            <w:webHidden/>
          </w:rPr>
          <w:instrText xml:space="preserve"> PAGEREF _Toc156932076 \h </w:instrText>
        </w:r>
        <w:r w:rsidR="00617740">
          <w:rPr>
            <w:noProof/>
            <w:webHidden/>
          </w:rPr>
        </w:r>
        <w:r w:rsidR="00617740">
          <w:rPr>
            <w:noProof/>
            <w:webHidden/>
          </w:rPr>
          <w:fldChar w:fldCharType="separate"/>
        </w:r>
        <w:r w:rsidR="00934D5E">
          <w:rPr>
            <w:noProof/>
            <w:webHidden/>
          </w:rPr>
          <w:t>43</w:t>
        </w:r>
        <w:r w:rsidR="00617740">
          <w:rPr>
            <w:noProof/>
            <w:webHidden/>
          </w:rPr>
          <w:fldChar w:fldCharType="end"/>
        </w:r>
      </w:hyperlink>
    </w:p>
    <w:p w14:paraId="08F1A287" w14:textId="2BC6C68F"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77" w:history="1">
        <w:r w:rsidR="00617740" w:rsidRPr="007B1DB1">
          <w:rPr>
            <w:rStyle w:val="Hyperlink"/>
            <w:noProof/>
            <w:lang w:bidi="en-US"/>
          </w:rPr>
          <w:t xml:space="preserve">Table 7: </w:t>
        </w:r>
        <w:r w:rsidR="00617740" w:rsidRPr="007B1DB1">
          <w:rPr>
            <w:rStyle w:val="Hyperlink"/>
            <w:rFonts w:eastAsia="Roboto"/>
            <w:noProof/>
            <w:lang w:bidi="en-US"/>
          </w:rPr>
          <w:t>Activities funded as part of IAHP</w:t>
        </w:r>
        <w:r w:rsidR="00617740">
          <w:rPr>
            <w:noProof/>
            <w:webHidden/>
          </w:rPr>
          <w:tab/>
        </w:r>
        <w:r w:rsidR="00617740">
          <w:rPr>
            <w:noProof/>
            <w:webHidden/>
          </w:rPr>
          <w:fldChar w:fldCharType="begin"/>
        </w:r>
        <w:r w:rsidR="00617740">
          <w:rPr>
            <w:noProof/>
            <w:webHidden/>
          </w:rPr>
          <w:instrText xml:space="preserve"> PAGEREF _Toc156932077 \h </w:instrText>
        </w:r>
        <w:r w:rsidR="00617740">
          <w:rPr>
            <w:noProof/>
            <w:webHidden/>
          </w:rPr>
        </w:r>
        <w:r w:rsidR="00617740">
          <w:rPr>
            <w:noProof/>
            <w:webHidden/>
          </w:rPr>
          <w:fldChar w:fldCharType="separate"/>
        </w:r>
        <w:r w:rsidR="00934D5E">
          <w:rPr>
            <w:noProof/>
            <w:webHidden/>
          </w:rPr>
          <w:t>50</w:t>
        </w:r>
        <w:r w:rsidR="00617740">
          <w:rPr>
            <w:noProof/>
            <w:webHidden/>
          </w:rPr>
          <w:fldChar w:fldCharType="end"/>
        </w:r>
      </w:hyperlink>
    </w:p>
    <w:p w14:paraId="38F4BF27" w14:textId="61E7ABEA"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78" w:history="1">
        <w:r w:rsidR="00617740" w:rsidRPr="007B1DB1">
          <w:rPr>
            <w:rStyle w:val="Hyperlink"/>
            <w:noProof/>
            <w:lang w:bidi="en-US"/>
          </w:rPr>
          <w:t>Table A4.1:Differences between procurement and commissioning of health services</w:t>
        </w:r>
        <w:r w:rsidR="00617740">
          <w:rPr>
            <w:noProof/>
            <w:webHidden/>
          </w:rPr>
          <w:tab/>
        </w:r>
        <w:r w:rsidR="00617740">
          <w:rPr>
            <w:noProof/>
            <w:webHidden/>
          </w:rPr>
          <w:fldChar w:fldCharType="begin"/>
        </w:r>
        <w:r w:rsidR="00617740">
          <w:rPr>
            <w:noProof/>
            <w:webHidden/>
          </w:rPr>
          <w:instrText xml:space="preserve"> PAGEREF _Toc156932078 \h </w:instrText>
        </w:r>
        <w:r w:rsidR="00617740">
          <w:rPr>
            <w:noProof/>
            <w:webHidden/>
          </w:rPr>
        </w:r>
        <w:r w:rsidR="00617740">
          <w:rPr>
            <w:noProof/>
            <w:webHidden/>
          </w:rPr>
          <w:fldChar w:fldCharType="separate"/>
        </w:r>
        <w:r w:rsidR="00934D5E">
          <w:rPr>
            <w:noProof/>
            <w:webHidden/>
          </w:rPr>
          <w:t>61</w:t>
        </w:r>
        <w:r w:rsidR="00617740">
          <w:rPr>
            <w:noProof/>
            <w:webHidden/>
          </w:rPr>
          <w:fldChar w:fldCharType="end"/>
        </w:r>
      </w:hyperlink>
    </w:p>
    <w:p w14:paraId="20561828" w14:textId="15D4773D"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79" w:history="1">
        <w:r w:rsidR="00617740" w:rsidRPr="007B1DB1">
          <w:rPr>
            <w:rStyle w:val="Hyperlink"/>
            <w:noProof/>
            <w:lang w:bidi="en-US"/>
          </w:rPr>
          <w:t>Table A4.2: Total number of mental health and suicide prevention contracts from 1 July 2016 to 30 June 2022, by commissioning body</w:t>
        </w:r>
        <w:r w:rsidR="00617740">
          <w:rPr>
            <w:noProof/>
            <w:webHidden/>
          </w:rPr>
          <w:tab/>
        </w:r>
        <w:r w:rsidR="00617740">
          <w:rPr>
            <w:noProof/>
            <w:webHidden/>
          </w:rPr>
          <w:fldChar w:fldCharType="begin"/>
        </w:r>
        <w:r w:rsidR="00617740">
          <w:rPr>
            <w:noProof/>
            <w:webHidden/>
          </w:rPr>
          <w:instrText xml:space="preserve"> PAGEREF _Toc156932079 \h </w:instrText>
        </w:r>
        <w:r w:rsidR="00617740">
          <w:rPr>
            <w:noProof/>
            <w:webHidden/>
          </w:rPr>
        </w:r>
        <w:r w:rsidR="00617740">
          <w:rPr>
            <w:noProof/>
            <w:webHidden/>
          </w:rPr>
          <w:fldChar w:fldCharType="separate"/>
        </w:r>
        <w:r w:rsidR="00934D5E">
          <w:rPr>
            <w:noProof/>
            <w:webHidden/>
          </w:rPr>
          <w:t>72</w:t>
        </w:r>
        <w:r w:rsidR="00617740">
          <w:rPr>
            <w:noProof/>
            <w:webHidden/>
          </w:rPr>
          <w:fldChar w:fldCharType="end"/>
        </w:r>
      </w:hyperlink>
    </w:p>
    <w:p w14:paraId="21E979F8" w14:textId="7B374B87"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80" w:history="1">
        <w:r w:rsidR="00617740" w:rsidRPr="007B1DB1">
          <w:rPr>
            <w:rStyle w:val="Hyperlink"/>
            <w:noProof/>
            <w:lang w:bidi="en-US"/>
          </w:rPr>
          <w:t>Table A4.3: Total number of ITC contracts from 1 July 2016 to 30 June 2022, by commissioning body</w:t>
        </w:r>
        <w:r w:rsidR="00617740">
          <w:rPr>
            <w:noProof/>
            <w:webHidden/>
          </w:rPr>
          <w:tab/>
        </w:r>
        <w:r w:rsidR="00617740">
          <w:rPr>
            <w:noProof/>
            <w:webHidden/>
          </w:rPr>
          <w:fldChar w:fldCharType="begin"/>
        </w:r>
        <w:r w:rsidR="00617740">
          <w:rPr>
            <w:noProof/>
            <w:webHidden/>
          </w:rPr>
          <w:instrText xml:space="preserve"> PAGEREF _Toc156932080 \h </w:instrText>
        </w:r>
        <w:r w:rsidR="00617740">
          <w:rPr>
            <w:noProof/>
            <w:webHidden/>
          </w:rPr>
        </w:r>
        <w:r w:rsidR="00617740">
          <w:rPr>
            <w:noProof/>
            <w:webHidden/>
          </w:rPr>
          <w:fldChar w:fldCharType="separate"/>
        </w:r>
        <w:r w:rsidR="00934D5E">
          <w:rPr>
            <w:noProof/>
            <w:webHidden/>
          </w:rPr>
          <w:t>73</w:t>
        </w:r>
        <w:r w:rsidR="00617740">
          <w:rPr>
            <w:noProof/>
            <w:webHidden/>
          </w:rPr>
          <w:fldChar w:fldCharType="end"/>
        </w:r>
      </w:hyperlink>
    </w:p>
    <w:p w14:paraId="14F8E4DB" w14:textId="686C0ECF"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81" w:history="1">
        <w:r w:rsidR="00617740" w:rsidRPr="007B1DB1">
          <w:rPr>
            <w:rStyle w:val="Hyperlink"/>
            <w:noProof/>
            <w:lang w:bidi="en-US"/>
          </w:rPr>
          <w:t>Table A4.4: Total value of mental health and suicide prevention contracts from 1 July 2016 to 30 June 2022, by commissioning body</w:t>
        </w:r>
        <w:r w:rsidR="00617740">
          <w:rPr>
            <w:noProof/>
            <w:webHidden/>
          </w:rPr>
          <w:tab/>
        </w:r>
        <w:r w:rsidR="00617740">
          <w:rPr>
            <w:noProof/>
            <w:webHidden/>
          </w:rPr>
          <w:fldChar w:fldCharType="begin"/>
        </w:r>
        <w:r w:rsidR="00617740">
          <w:rPr>
            <w:noProof/>
            <w:webHidden/>
          </w:rPr>
          <w:instrText xml:space="preserve"> PAGEREF _Toc156932081 \h </w:instrText>
        </w:r>
        <w:r w:rsidR="00617740">
          <w:rPr>
            <w:noProof/>
            <w:webHidden/>
          </w:rPr>
        </w:r>
        <w:r w:rsidR="00617740">
          <w:rPr>
            <w:noProof/>
            <w:webHidden/>
          </w:rPr>
          <w:fldChar w:fldCharType="separate"/>
        </w:r>
        <w:r w:rsidR="00934D5E">
          <w:rPr>
            <w:noProof/>
            <w:webHidden/>
          </w:rPr>
          <w:t>75</w:t>
        </w:r>
        <w:r w:rsidR="00617740">
          <w:rPr>
            <w:noProof/>
            <w:webHidden/>
          </w:rPr>
          <w:fldChar w:fldCharType="end"/>
        </w:r>
      </w:hyperlink>
    </w:p>
    <w:p w14:paraId="2B705D28" w14:textId="36D73DAB"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82" w:history="1">
        <w:r w:rsidR="00617740" w:rsidRPr="007B1DB1">
          <w:rPr>
            <w:rStyle w:val="Hyperlink"/>
            <w:noProof/>
            <w:lang w:bidi="en-US"/>
          </w:rPr>
          <w:t>Table A4.5: Total value of ITC contracts from 1 July 2016 to 30 June 2022, by commissioning body</w:t>
        </w:r>
        <w:r w:rsidR="00617740">
          <w:rPr>
            <w:noProof/>
            <w:webHidden/>
          </w:rPr>
          <w:tab/>
        </w:r>
        <w:r w:rsidR="00617740">
          <w:rPr>
            <w:noProof/>
            <w:webHidden/>
          </w:rPr>
          <w:fldChar w:fldCharType="begin"/>
        </w:r>
        <w:r w:rsidR="00617740">
          <w:rPr>
            <w:noProof/>
            <w:webHidden/>
          </w:rPr>
          <w:instrText xml:space="preserve"> PAGEREF _Toc156932082 \h </w:instrText>
        </w:r>
        <w:r w:rsidR="00617740">
          <w:rPr>
            <w:noProof/>
            <w:webHidden/>
          </w:rPr>
        </w:r>
        <w:r w:rsidR="00617740">
          <w:rPr>
            <w:noProof/>
            <w:webHidden/>
          </w:rPr>
          <w:fldChar w:fldCharType="separate"/>
        </w:r>
        <w:r w:rsidR="00934D5E">
          <w:rPr>
            <w:noProof/>
            <w:webHidden/>
          </w:rPr>
          <w:t>76</w:t>
        </w:r>
        <w:r w:rsidR="00617740">
          <w:rPr>
            <w:noProof/>
            <w:webHidden/>
          </w:rPr>
          <w:fldChar w:fldCharType="end"/>
        </w:r>
      </w:hyperlink>
    </w:p>
    <w:p w14:paraId="10B298D5" w14:textId="29B35753"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83" w:history="1">
        <w:r w:rsidR="00617740" w:rsidRPr="007B1DB1">
          <w:rPr>
            <w:rStyle w:val="Hyperlink"/>
            <w:noProof/>
            <w:lang w:bidi="en-US"/>
          </w:rPr>
          <w:t>Table A5.1: Stakeholder engagement activities during review engagement phase</w:t>
        </w:r>
        <w:r w:rsidR="00617740">
          <w:rPr>
            <w:noProof/>
            <w:webHidden/>
          </w:rPr>
          <w:tab/>
        </w:r>
        <w:r w:rsidR="00617740">
          <w:rPr>
            <w:noProof/>
            <w:webHidden/>
          </w:rPr>
          <w:fldChar w:fldCharType="begin"/>
        </w:r>
        <w:r w:rsidR="00617740">
          <w:rPr>
            <w:noProof/>
            <w:webHidden/>
          </w:rPr>
          <w:instrText xml:space="preserve"> PAGEREF _Toc156932083 \h </w:instrText>
        </w:r>
        <w:r w:rsidR="00617740">
          <w:rPr>
            <w:noProof/>
            <w:webHidden/>
          </w:rPr>
        </w:r>
        <w:r w:rsidR="00617740">
          <w:rPr>
            <w:noProof/>
            <w:webHidden/>
          </w:rPr>
          <w:fldChar w:fldCharType="separate"/>
        </w:r>
        <w:r w:rsidR="00934D5E">
          <w:rPr>
            <w:noProof/>
            <w:webHidden/>
          </w:rPr>
          <w:t>94</w:t>
        </w:r>
        <w:r w:rsidR="00617740">
          <w:rPr>
            <w:noProof/>
            <w:webHidden/>
          </w:rPr>
          <w:fldChar w:fldCharType="end"/>
        </w:r>
      </w:hyperlink>
    </w:p>
    <w:p w14:paraId="2E9DD9EE" w14:textId="3E15660E"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84" w:history="1">
        <w:r w:rsidR="00617740" w:rsidRPr="007B1DB1">
          <w:rPr>
            <w:rStyle w:val="Hyperlink"/>
            <w:noProof/>
            <w:lang w:bidi="en-US"/>
          </w:rPr>
          <w:t>Table A5.2: Community yarns held</w:t>
        </w:r>
        <w:r w:rsidR="00617740">
          <w:rPr>
            <w:noProof/>
            <w:webHidden/>
          </w:rPr>
          <w:tab/>
        </w:r>
        <w:r w:rsidR="00617740">
          <w:rPr>
            <w:noProof/>
            <w:webHidden/>
          </w:rPr>
          <w:fldChar w:fldCharType="begin"/>
        </w:r>
        <w:r w:rsidR="00617740">
          <w:rPr>
            <w:noProof/>
            <w:webHidden/>
          </w:rPr>
          <w:instrText xml:space="preserve"> PAGEREF _Toc156932084 \h </w:instrText>
        </w:r>
        <w:r w:rsidR="00617740">
          <w:rPr>
            <w:noProof/>
            <w:webHidden/>
          </w:rPr>
        </w:r>
        <w:r w:rsidR="00617740">
          <w:rPr>
            <w:noProof/>
            <w:webHidden/>
          </w:rPr>
          <w:fldChar w:fldCharType="separate"/>
        </w:r>
        <w:r w:rsidR="00934D5E">
          <w:rPr>
            <w:noProof/>
            <w:webHidden/>
          </w:rPr>
          <w:t>95</w:t>
        </w:r>
        <w:r w:rsidR="00617740">
          <w:rPr>
            <w:noProof/>
            <w:webHidden/>
          </w:rPr>
          <w:fldChar w:fldCharType="end"/>
        </w:r>
      </w:hyperlink>
    </w:p>
    <w:p w14:paraId="78BE3BED" w14:textId="4C5A9922"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85" w:history="1">
        <w:r w:rsidR="00617740" w:rsidRPr="007B1DB1">
          <w:rPr>
            <w:rStyle w:val="Hyperlink"/>
            <w:noProof/>
            <w:lang w:bidi="en-US"/>
          </w:rPr>
          <w:t>Table A5.3: Focus group discussions held</w:t>
        </w:r>
        <w:r w:rsidR="00617740">
          <w:rPr>
            <w:noProof/>
            <w:webHidden/>
          </w:rPr>
          <w:tab/>
        </w:r>
        <w:r w:rsidR="00617740">
          <w:rPr>
            <w:noProof/>
            <w:webHidden/>
          </w:rPr>
          <w:fldChar w:fldCharType="begin"/>
        </w:r>
        <w:r w:rsidR="00617740">
          <w:rPr>
            <w:noProof/>
            <w:webHidden/>
          </w:rPr>
          <w:instrText xml:space="preserve"> PAGEREF _Toc156932085 \h </w:instrText>
        </w:r>
        <w:r w:rsidR="00617740">
          <w:rPr>
            <w:noProof/>
            <w:webHidden/>
          </w:rPr>
        </w:r>
        <w:r w:rsidR="00617740">
          <w:rPr>
            <w:noProof/>
            <w:webHidden/>
          </w:rPr>
          <w:fldChar w:fldCharType="separate"/>
        </w:r>
        <w:r w:rsidR="00934D5E">
          <w:rPr>
            <w:noProof/>
            <w:webHidden/>
          </w:rPr>
          <w:t>96</w:t>
        </w:r>
        <w:r w:rsidR="00617740">
          <w:rPr>
            <w:noProof/>
            <w:webHidden/>
          </w:rPr>
          <w:fldChar w:fldCharType="end"/>
        </w:r>
      </w:hyperlink>
    </w:p>
    <w:p w14:paraId="350DE357" w14:textId="165A42F6"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86" w:history="1">
        <w:r w:rsidR="00617740" w:rsidRPr="007B1DB1">
          <w:rPr>
            <w:rStyle w:val="Hyperlink"/>
            <w:noProof/>
            <w:lang w:bidi="en-US"/>
          </w:rPr>
          <w:t>Table A5.4: Online interviews with Aboriginal and/or Torres Strait Islander community-controlled peak organisations held</w:t>
        </w:r>
        <w:r w:rsidR="00617740">
          <w:rPr>
            <w:noProof/>
            <w:webHidden/>
          </w:rPr>
          <w:tab/>
        </w:r>
        <w:r w:rsidR="00617740">
          <w:rPr>
            <w:noProof/>
            <w:webHidden/>
          </w:rPr>
          <w:fldChar w:fldCharType="begin"/>
        </w:r>
        <w:r w:rsidR="00617740">
          <w:rPr>
            <w:noProof/>
            <w:webHidden/>
          </w:rPr>
          <w:instrText xml:space="preserve"> PAGEREF _Toc156932086 \h </w:instrText>
        </w:r>
        <w:r w:rsidR="00617740">
          <w:rPr>
            <w:noProof/>
            <w:webHidden/>
          </w:rPr>
        </w:r>
        <w:r w:rsidR="00617740">
          <w:rPr>
            <w:noProof/>
            <w:webHidden/>
          </w:rPr>
          <w:fldChar w:fldCharType="separate"/>
        </w:r>
        <w:r w:rsidR="00934D5E">
          <w:rPr>
            <w:noProof/>
            <w:webHidden/>
          </w:rPr>
          <w:t>99</w:t>
        </w:r>
        <w:r w:rsidR="00617740">
          <w:rPr>
            <w:noProof/>
            <w:webHidden/>
          </w:rPr>
          <w:fldChar w:fldCharType="end"/>
        </w:r>
      </w:hyperlink>
    </w:p>
    <w:p w14:paraId="70D75E57" w14:textId="454310D9"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87" w:history="1">
        <w:r w:rsidR="00617740" w:rsidRPr="007B1DB1">
          <w:rPr>
            <w:rStyle w:val="Hyperlink"/>
            <w:noProof/>
            <w:lang w:bidi="en-US"/>
          </w:rPr>
          <w:t>Table A5.5: Online interviews with Primary Health Networks held</w:t>
        </w:r>
        <w:r w:rsidR="00617740">
          <w:rPr>
            <w:noProof/>
            <w:webHidden/>
          </w:rPr>
          <w:tab/>
        </w:r>
        <w:r w:rsidR="00617740">
          <w:rPr>
            <w:noProof/>
            <w:webHidden/>
          </w:rPr>
          <w:fldChar w:fldCharType="begin"/>
        </w:r>
        <w:r w:rsidR="00617740">
          <w:rPr>
            <w:noProof/>
            <w:webHidden/>
          </w:rPr>
          <w:instrText xml:space="preserve"> PAGEREF _Toc156932087 \h </w:instrText>
        </w:r>
        <w:r w:rsidR="00617740">
          <w:rPr>
            <w:noProof/>
            <w:webHidden/>
          </w:rPr>
        </w:r>
        <w:r w:rsidR="00617740">
          <w:rPr>
            <w:noProof/>
            <w:webHidden/>
          </w:rPr>
          <w:fldChar w:fldCharType="separate"/>
        </w:r>
        <w:r w:rsidR="00934D5E">
          <w:rPr>
            <w:noProof/>
            <w:webHidden/>
          </w:rPr>
          <w:t>100</w:t>
        </w:r>
        <w:r w:rsidR="00617740">
          <w:rPr>
            <w:noProof/>
            <w:webHidden/>
          </w:rPr>
          <w:fldChar w:fldCharType="end"/>
        </w:r>
      </w:hyperlink>
    </w:p>
    <w:p w14:paraId="114B125D" w14:textId="0A8ED3DA"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88" w:history="1">
        <w:r w:rsidR="00617740" w:rsidRPr="007B1DB1">
          <w:rPr>
            <w:rStyle w:val="Hyperlink"/>
            <w:noProof/>
            <w:lang w:bidi="en-US"/>
          </w:rPr>
          <w:t>Table A5.6: Co-design yarns held</w:t>
        </w:r>
        <w:r w:rsidR="00617740">
          <w:rPr>
            <w:noProof/>
            <w:webHidden/>
          </w:rPr>
          <w:tab/>
        </w:r>
        <w:r w:rsidR="00617740">
          <w:rPr>
            <w:noProof/>
            <w:webHidden/>
          </w:rPr>
          <w:fldChar w:fldCharType="begin"/>
        </w:r>
        <w:r w:rsidR="00617740">
          <w:rPr>
            <w:noProof/>
            <w:webHidden/>
          </w:rPr>
          <w:instrText xml:space="preserve"> PAGEREF _Toc156932088 \h </w:instrText>
        </w:r>
        <w:r w:rsidR="00617740">
          <w:rPr>
            <w:noProof/>
            <w:webHidden/>
          </w:rPr>
        </w:r>
        <w:r w:rsidR="00617740">
          <w:rPr>
            <w:noProof/>
            <w:webHidden/>
          </w:rPr>
          <w:fldChar w:fldCharType="separate"/>
        </w:r>
        <w:r w:rsidR="00934D5E">
          <w:rPr>
            <w:noProof/>
            <w:webHidden/>
          </w:rPr>
          <w:t>101</w:t>
        </w:r>
        <w:r w:rsidR="00617740">
          <w:rPr>
            <w:noProof/>
            <w:webHidden/>
          </w:rPr>
          <w:fldChar w:fldCharType="end"/>
        </w:r>
      </w:hyperlink>
    </w:p>
    <w:p w14:paraId="080C3CDA" w14:textId="5DDCBC09"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89" w:history="1">
        <w:r w:rsidR="00617740" w:rsidRPr="007B1DB1">
          <w:rPr>
            <w:rStyle w:val="Hyperlink"/>
            <w:noProof/>
            <w:lang w:bidi="en-US"/>
          </w:rPr>
          <w:t>Table A5.7: Interviews with representatives from DoHAC held</w:t>
        </w:r>
        <w:r w:rsidR="00617740">
          <w:rPr>
            <w:noProof/>
            <w:webHidden/>
          </w:rPr>
          <w:tab/>
        </w:r>
        <w:r w:rsidR="00617740">
          <w:rPr>
            <w:noProof/>
            <w:webHidden/>
          </w:rPr>
          <w:fldChar w:fldCharType="begin"/>
        </w:r>
        <w:r w:rsidR="00617740">
          <w:rPr>
            <w:noProof/>
            <w:webHidden/>
          </w:rPr>
          <w:instrText xml:space="preserve"> PAGEREF _Toc156932089 \h </w:instrText>
        </w:r>
        <w:r w:rsidR="00617740">
          <w:rPr>
            <w:noProof/>
            <w:webHidden/>
          </w:rPr>
        </w:r>
        <w:r w:rsidR="00617740">
          <w:rPr>
            <w:noProof/>
            <w:webHidden/>
          </w:rPr>
          <w:fldChar w:fldCharType="separate"/>
        </w:r>
        <w:r w:rsidR="00934D5E">
          <w:rPr>
            <w:noProof/>
            <w:webHidden/>
          </w:rPr>
          <w:t>105</w:t>
        </w:r>
        <w:r w:rsidR="00617740">
          <w:rPr>
            <w:noProof/>
            <w:webHidden/>
          </w:rPr>
          <w:fldChar w:fldCharType="end"/>
        </w:r>
      </w:hyperlink>
    </w:p>
    <w:p w14:paraId="58871A1C" w14:textId="7BC3FA5A"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90" w:history="1">
        <w:r w:rsidR="00617740" w:rsidRPr="007B1DB1">
          <w:rPr>
            <w:rStyle w:val="Hyperlink"/>
            <w:noProof/>
            <w:lang w:bidi="en-US"/>
          </w:rPr>
          <w:t>Table A5.8: Interviews with representatives from state or territory governments held</w:t>
        </w:r>
        <w:r w:rsidR="00617740">
          <w:rPr>
            <w:noProof/>
            <w:webHidden/>
          </w:rPr>
          <w:tab/>
        </w:r>
        <w:r w:rsidR="00617740">
          <w:rPr>
            <w:noProof/>
            <w:webHidden/>
          </w:rPr>
          <w:fldChar w:fldCharType="begin"/>
        </w:r>
        <w:r w:rsidR="00617740">
          <w:rPr>
            <w:noProof/>
            <w:webHidden/>
          </w:rPr>
          <w:instrText xml:space="preserve"> PAGEREF _Toc156932090 \h </w:instrText>
        </w:r>
        <w:r w:rsidR="00617740">
          <w:rPr>
            <w:noProof/>
            <w:webHidden/>
          </w:rPr>
        </w:r>
        <w:r w:rsidR="00617740">
          <w:rPr>
            <w:noProof/>
            <w:webHidden/>
          </w:rPr>
          <w:fldChar w:fldCharType="separate"/>
        </w:r>
        <w:r w:rsidR="00934D5E">
          <w:rPr>
            <w:noProof/>
            <w:webHidden/>
          </w:rPr>
          <w:t>105</w:t>
        </w:r>
        <w:r w:rsidR="00617740">
          <w:rPr>
            <w:noProof/>
            <w:webHidden/>
          </w:rPr>
          <w:fldChar w:fldCharType="end"/>
        </w:r>
      </w:hyperlink>
    </w:p>
    <w:p w14:paraId="520196BD" w14:textId="44E11CB7"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91" w:history="1">
        <w:r w:rsidR="00617740" w:rsidRPr="007B1DB1">
          <w:rPr>
            <w:rStyle w:val="Hyperlink"/>
            <w:noProof/>
            <w:lang w:bidi="en-US"/>
          </w:rPr>
          <w:t>Table A6.1: Funding activities, sub-activities – roles and principles/enablers</w:t>
        </w:r>
        <w:r w:rsidR="00617740">
          <w:rPr>
            <w:noProof/>
            <w:webHidden/>
          </w:rPr>
          <w:tab/>
        </w:r>
        <w:r w:rsidR="00617740">
          <w:rPr>
            <w:noProof/>
            <w:webHidden/>
          </w:rPr>
          <w:fldChar w:fldCharType="begin"/>
        </w:r>
        <w:r w:rsidR="00617740">
          <w:rPr>
            <w:noProof/>
            <w:webHidden/>
          </w:rPr>
          <w:instrText xml:space="preserve"> PAGEREF _Toc156932091 \h </w:instrText>
        </w:r>
        <w:r w:rsidR="00617740">
          <w:rPr>
            <w:noProof/>
            <w:webHidden/>
          </w:rPr>
        </w:r>
        <w:r w:rsidR="00617740">
          <w:rPr>
            <w:noProof/>
            <w:webHidden/>
          </w:rPr>
          <w:fldChar w:fldCharType="separate"/>
        </w:r>
        <w:r w:rsidR="00934D5E">
          <w:rPr>
            <w:noProof/>
            <w:webHidden/>
          </w:rPr>
          <w:t>108</w:t>
        </w:r>
        <w:r w:rsidR="00617740">
          <w:rPr>
            <w:noProof/>
            <w:webHidden/>
          </w:rPr>
          <w:fldChar w:fldCharType="end"/>
        </w:r>
      </w:hyperlink>
    </w:p>
    <w:p w14:paraId="2200A016" w14:textId="1DA9240A"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92" w:history="1">
        <w:r w:rsidR="00617740" w:rsidRPr="007B1DB1">
          <w:rPr>
            <w:rStyle w:val="Hyperlink"/>
            <w:noProof/>
            <w:lang w:bidi="en-US"/>
          </w:rPr>
          <w:t>Table A7.1: Potential future roles and responsibilities of key stakeholders</w:t>
        </w:r>
        <w:r w:rsidR="00617740">
          <w:rPr>
            <w:noProof/>
            <w:webHidden/>
          </w:rPr>
          <w:tab/>
        </w:r>
        <w:r w:rsidR="00617740">
          <w:rPr>
            <w:noProof/>
            <w:webHidden/>
          </w:rPr>
          <w:fldChar w:fldCharType="begin"/>
        </w:r>
        <w:r w:rsidR="00617740">
          <w:rPr>
            <w:noProof/>
            <w:webHidden/>
          </w:rPr>
          <w:instrText xml:space="preserve"> PAGEREF _Toc156932092 \h </w:instrText>
        </w:r>
        <w:r w:rsidR="00617740">
          <w:rPr>
            <w:noProof/>
            <w:webHidden/>
          </w:rPr>
        </w:r>
        <w:r w:rsidR="00617740">
          <w:rPr>
            <w:noProof/>
            <w:webHidden/>
          </w:rPr>
          <w:fldChar w:fldCharType="separate"/>
        </w:r>
        <w:r w:rsidR="00934D5E">
          <w:rPr>
            <w:noProof/>
            <w:webHidden/>
          </w:rPr>
          <w:t>114</w:t>
        </w:r>
        <w:r w:rsidR="00617740">
          <w:rPr>
            <w:noProof/>
            <w:webHidden/>
          </w:rPr>
          <w:fldChar w:fldCharType="end"/>
        </w:r>
      </w:hyperlink>
    </w:p>
    <w:p w14:paraId="0D0A3427" w14:textId="14CFF96F"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93" w:history="1">
        <w:r w:rsidR="00617740" w:rsidRPr="007B1DB1">
          <w:rPr>
            <w:rStyle w:val="Hyperlink"/>
            <w:noProof/>
            <w:lang w:bidi="en-US"/>
          </w:rPr>
          <w:t>Table A8.1: Enablers that ensure that the key principles can be achieved in practice</w:t>
        </w:r>
        <w:r w:rsidR="00617740">
          <w:rPr>
            <w:noProof/>
            <w:webHidden/>
          </w:rPr>
          <w:tab/>
        </w:r>
        <w:r w:rsidR="00617740">
          <w:rPr>
            <w:noProof/>
            <w:webHidden/>
          </w:rPr>
          <w:fldChar w:fldCharType="begin"/>
        </w:r>
        <w:r w:rsidR="00617740">
          <w:rPr>
            <w:noProof/>
            <w:webHidden/>
          </w:rPr>
          <w:instrText xml:space="preserve"> PAGEREF _Toc156932093 \h </w:instrText>
        </w:r>
        <w:r w:rsidR="00617740">
          <w:rPr>
            <w:noProof/>
            <w:webHidden/>
          </w:rPr>
        </w:r>
        <w:r w:rsidR="00617740">
          <w:rPr>
            <w:noProof/>
            <w:webHidden/>
          </w:rPr>
          <w:fldChar w:fldCharType="separate"/>
        </w:r>
        <w:r w:rsidR="00934D5E">
          <w:rPr>
            <w:noProof/>
            <w:webHidden/>
          </w:rPr>
          <w:t>117</w:t>
        </w:r>
        <w:r w:rsidR="00617740">
          <w:rPr>
            <w:noProof/>
            <w:webHidden/>
          </w:rPr>
          <w:fldChar w:fldCharType="end"/>
        </w:r>
      </w:hyperlink>
    </w:p>
    <w:p w14:paraId="5B7F6C92" w14:textId="7C28C2C2"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94" w:history="1">
        <w:r w:rsidR="00617740" w:rsidRPr="007B1DB1">
          <w:rPr>
            <w:rStyle w:val="Hyperlink"/>
            <w:noProof/>
            <w:lang w:bidi="en-US"/>
          </w:rPr>
          <w:t>Table A9.1: Key steps of the procurement process</w:t>
        </w:r>
        <w:r w:rsidR="00617740">
          <w:rPr>
            <w:noProof/>
            <w:webHidden/>
          </w:rPr>
          <w:tab/>
        </w:r>
        <w:r w:rsidR="00617740">
          <w:rPr>
            <w:noProof/>
            <w:webHidden/>
          </w:rPr>
          <w:fldChar w:fldCharType="begin"/>
        </w:r>
        <w:r w:rsidR="00617740">
          <w:rPr>
            <w:noProof/>
            <w:webHidden/>
          </w:rPr>
          <w:instrText xml:space="preserve"> PAGEREF _Toc156932094 \h </w:instrText>
        </w:r>
        <w:r w:rsidR="00617740">
          <w:rPr>
            <w:noProof/>
            <w:webHidden/>
          </w:rPr>
        </w:r>
        <w:r w:rsidR="00617740">
          <w:rPr>
            <w:noProof/>
            <w:webHidden/>
          </w:rPr>
          <w:fldChar w:fldCharType="separate"/>
        </w:r>
        <w:r w:rsidR="00934D5E">
          <w:rPr>
            <w:noProof/>
            <w:webHidden/>
          </w:rPr>
          <w:t>123</w:t>
        </w:r>
        <w:r w:rsidR="00617740">
          <w:rPr>
            <w:noProof/>
            <w:webHidden/>
          </w:rPr>
          <w:fldChar w:fldCharType="end"/>
        </w:r>
      </w:hyperlink>
    </w:p>
    <w:p w14:paraId="427503EA" w14:textId="071C9A91"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95" w:history="1">
        <w:r w:rsidR="00617740" w:rsidRPr="007B1DB1">
          <w:rPr>
            <w:rStyle w:val="Hyperlink"/>
            <w:noProof/>
            <w:lang w:bidi="en-US"/>
          </w:rPr>
          <w:t>Table A9.2: Common primary healthcare funding models</w:t>
        </w:r>
        <w:r w:rsidR="00617740">
          <w:rPr>
            <w:noProof/>
            <w:webHidden/>
          </w:rPr>
          <w:tab/>
        </w:r>
        <w:r w:rsidR="00617740">
          <w:rPr>
            <w:noProof/>
            <w:webHidden/>
          </w:rPr>
          <w:fldChar w:fldCharType="begin"/>
        </w:r>
        <w:r w:rsidR="00617740">
          <w:rPr>
            <w:noProof/>
            <w:webHidden/>
          </w:rPr>
          <w:instrText xml:space="preserve"> PAGEREF _Toc156932095 \h </w:instrText>
        </w:r>
        <w:r w:rsidR="00617740">
          <w:rPr>
            <w:noProof/>
            <w:webHidden/>
          </w:rPr>
        </w:r>
        <w:r w:rsidR="00617740">
          <w:rPr>
            <w:noProof/>
            <w:webHidden/>
          </w:rPr>
          <w:fldChar w:fldCharType="separate"/>
        </w:r>
        <w:r w:rsidR="00934D5E">
          <w:rPr>
            <w:noProof/>
            <w:webHidden/>
          </w:rPr>
          <w:t>127</w:t>
        </w:r>
        <w:r w:rsidR="00617740">
          <w:rPr>
            <w:noProof/>
            <w:webHidden/>
          </w:rPr>
          <w:fldChar w:fldCharType="end"/>
        </w:r>
      </w:hyperlink>
    </w:p>
    <w:p w14:paraId="1E2410E9" w14:textId="2E964CBE"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96" w:history="1">
        <w:r w:rsidR="00617740" w:rsidRPr="007B1DB1">
          <w:rPr>
            <w:rStyle w:val="Hyperlink"/>
            <w:noProof/>
            <w:lang w:bidi="en-US"/>
          </w:rPr>
          <w:t>Table A9.3:</w:t>
        </w:r>
        <w:r w:rsidR="00617740" w:rsidRPr="007B1DB1">
          <w:rPr>
            <w:rStyle w:val="Hyperlink"/>
            <w:rFonts w:eastAsia="Calibri"/>
            <w:noProof/>
            <w:lang w:bidi="en-US"/>
          </w:rPr>
          <w:t xml:space="preserve"> Summary of success factors identified by ATSISPEP</w:t>
        </w:r>
        <w:r w:rsidR="00617740">
          <w:rPr>
            <w:noProof/>
            <w:webHidden/>
          </w:rPr>
          <w:tab/>
        </w:r>
        <w:r w:rsidR="00617740">
          <w:rPr>
            <w:noProof/>
            <w:webHidden/>
          </w:rPr>
          <w:fldChar w:fldCharType="begin"/>
        </w:r>
        <w:r w:rsidR="00617740">
          <w:rPr>
            <w:noProof/>
            <w:webHidden/>
          </w:rPr>
          <w:instrText xml:space="preserve"> PAGEREF _Toc156932096 \h </w:instrText>
        </w:r>
        <w:r w:rsidR="00617740">
          <w:rPr>
            <w:noProof/>
            <w:webHidden/>
          </w:rPr>
        </w:r>
        <w:r w:rsidR="00617740">
          <w:rPr>
            <w:noProof/>
            <w:webHidden/>
          </w:rPr>
          <w:fldChar w:fldCharType="separate"/>
        </w:r>
        <w:r w:rsidR="00934D5E">
          <w:rPr>
            <w:noProof/>
            <w:webHidden/>
          </w:rPr>
          <w:t>137</w:t>
        </w:r>
        <w:r w:rsidR="00617740">
          <w:rPr>
            <w:noProof/>
            <w:webHidden/>
          </w:rPr>
          <w:fldChar w:fldCharType="end"/>
        </w:r>
      </w:hyperlink>
    </w:p>
    <w:p w14:paraId="68A97982" w14:textId="5871F1DB"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97" w:history="1">
        <w:r w:rsidR="00617740" w:rsidRPr="007B1DB1">
          <w:rPr>
            <w:rStyle w:val="Hyperlink"/>
            <w:noProof/>
            <w:lang w:bidi="en-US"/>
          </w:rPr>
          <w:t>Table A9.4: Outcomes for the PHN region, mental health and Aboriginal and/or Torres Strait Islander health</w:t>
        </w:r>
        <w:r w:rsidR="00617740">
          <w:rPr>
            <w:noProof/>
            <w:webHidden/>
          </w:rPr>
          <w:tab/>
        </w:r>
        <w:r w:rsidR="00617740">
          <w:rPr>
            <w:noProof/>
            <w:webHidden/>
          </w:rPr>
          <w:fldChar w:fldCharType="begin"/>
        </w:r>
        <w:r w:rsidR="00617740">
          <w:rPr>
            <w:noProof/>
            <w:webHidden/>
          </w:rPr>
          <w:instrText xml:space="preserve"> PAGEREF _Toc156932097 \h </w:instrText>
        </w:r>
        <w:r w:rsidR="00617740">
          <w:rPr>
            <w:noProof/>
            <w:webHidden/>
          </w:rPr>
        </w:r>
        <w:r w:rsidR="00617740">
          <w:rPr>
            <w:noProof/>
            <w:webHidden/>
          </w:rPr>
          <w:fldChar w:fldCharType="separate"/>
        </w:r>
        <w:r w:rsidR="00934D5E">
          <w:rPr>
            <w:noProof/>
            <w:webHidden/>
          </w:rPr>
          <w:t>140</w:t>
        </w:r>
        <w:r w:rsidR="00617740">
          <w:rPr>
            <w:noProof/>
            <w:webHidden/>
          </w:rPr>
          <w:fldChar w:fldCharType="end"/>
        </w:r>
      </w:hyperlink>
    </w:p>
    <w:p w14:paraId="48A75947" w14:textId="20BABB44"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98" w:history="1">
        <w:r w:rsidR="00617740" w:rsidRPr="007B1DB1">
          <w:rPr>
            <w:rStyle w:val="Hyperlink"/>
            <w:noProof/>
            <w:lang w:bidi="en-US"/>
          </w:rPr>
          <w:t>Table A9.5:</w:t>
        </w:r>
        <w:r w:rsidR="00617740" w:rsidRPr="007B1DB1">
          <w:rPr>
            <w:rStyle w:val="Hyperlink"/>
            <w:rFonts w:eastAsia="Calibri"/>
            <w:noProof/>
            <w:lang w:bidi="en-US"/>
          </w:rPr>
          <w:t xml:space="preserve"> National Empowerment Project alignment with guiding principles</w:t>
        </w:r>
        <w:r w:rsidR="00617740">
          <w:rPr>
            <w:noProof/>
            <w:webHidden/>
          </w:rPr>
          <w:tab/>
        </w:r>
        <w:r w:rsidR="00617740">
          <w:rPr>
            <w:noProof/>
            <w:webHidden/>
          </w:rPr>
          <w:fldChar w:fldCharType="begin"/>
        </w:r>
        <w:r w:rsidR="00617740">
          <w:rPr>
            <w:noProof/>
            <w:webHidden/>
          </w:rPr>
          <w:instrText xml:space="preserve"> PAGEREF _Toc156932098 \h </w:instrText>
        </w:r>
        <w:r w:rsidR="00617740">
          <w:rPr>
            <w:noProof/>
            <w:webHidden/>
          </w:rPr>
        </w:r>
        <w:r w:rsidR="00617740">
          <w:rPr>
            <w:noProof/>
            <w:webHidden/>
          </w:rPr>
          <w:fldChar w:fldCharType="separate"/>
        </w:r>
        <w:r w:rsidR="00934D5E">
          <w:rPr>
            <w:noProof/>
            <w:webHidden/>
          </w:rPr>
          <w:t>142</w:t>
        </w:r>
        <w:r w:rsidR="00617740">
          <w:rPr>
            <w:noProof/>
            <w:webHidden/>
          </w:rPr>
          <w:fldChar w:fldCharType="end"/>
        </w:r>
      </w:hyperlink>
    </w:p>
    <w:p w14:paraId="5718C598" w14:textId="6C5B5835"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099" w:history="1">
        <w:r w:rsidR="00617740" w:rsidRPr="007B1DB1">
          <w:rPr>
            <w:rStyle w:val="Hyperlink"/>
            <w:noProof/>
            <w:lang w:bidi="en-US"/>
          </w:rPr>
          <w:t>Table A9.6:</w:t>
        </w:r>
        <w:r w:rsidR="00617740" w:rsidRPr="007B1DB1">
          <w:rPr>
            <w:rStyle w:val="Hyperlink"/>
            <w:rFonts w:eastAsia="Calibri"/>
            <w:noProof/>
            <w:lang w:bidi="en-US"/>
          </w:rPr>
          <w:t xml:space="preserve"> Kimberley Aboriginal Suicide Prevention Trial alignment with guiding principles</w:t>
        </w:r>
        <w:r w:rsidR="00617740">
          <w:rPr>
            <w:noProof/>
            <w:webHidden/>
          </w:rPr>
          <w:tab/>
        </w:r>
        <w:r w:rsidR="00617740">
          <w:rPr>
            <w:noProof/>
            <w:webHidden/>
          </w:rPr>
          <w:fldChar w:fldCharType="begin"/>
        </w:r>
        <w:r w:rsidR="00617740">
          <w:rPr>
            <w:noProof/>
            <w:webHidden/>
          </w:rPr>
          <w:instrText xml:space="preserve"> PAGEREF _Toc156932099 \h </w:instrText>
        </w:r>
        <w:r w:rsidR="00617740">
          <w:rPr>
            <w:noProof/>
            <w:webHidden/>
          </w:rPr>
        </w:r>
        <w:r w:rsidR="00617740">
          <w:rPr>
            <w:noProof/>
            <w:webHidden/>
          </w:rPr>
          <w:fldChar w:fldCharType="separate"/>
        </w:r>
        <w:r w:rsidR="00934D5E">
          <w:rPr>
            <w:noProof/>
            <w:webHidden/>
          </w:rPr>
          <w:t>143</w:t>
        </w:r>
        <w:r w:rsidR="00617740">
          <w:rPr>
            <w:noProof/>
            <w:webHidden/>
          </w:rPr>
          <w:fldChar w:fldCharType="end"/>
        </w:r>
      </w:hyperlink>
    </w:p>
    <w:p w14:paraId="6C613906" w14:textId="3769D3AF"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100" w:history="1">
        <w:r w:rsidR="00617740" w:rsidRPr="007B1DB1">
          <w:rPr>
            <w:rStyle w:val="Hyperlink"/>
            <w:noProof/>
            <w:lang w:bidi="en-US"/>
          </w:rPr>
          <w:t xml:space="preserve">Table A9.7: </w:t>
        </w:r>
        <w:r w:rsidR="00617740" w:rsidRPr="007B1DB1">
          <w:rPr>
            <w:rStyle w:val="Hyperlink"/>
            <w:rFonts w:eastAsia="Calibri"/>
            <w:noProof/>
            <w:lang w:bidi="en-US"/>
          </w:rPr>
          <w:t>Social and Emotional Wellbeing Model of Service pilot program alignment with guiding principles</w:t>
        </w:r>
        <w:r w:rsidR="00617740">
          <w:rPr>
            <w:noProof/>
            <w:webHidden/>
          </w:rPr>
          <w:tab/>
        </w:r>
        <w:r w:rsidR="00617740">
          <w:rPr>
            <w:noProof/>
            <w:webHidden/>
          </w:rPr>
          <w:fldChar w:fldCharType="begin"/>
        </w:r>
        <w:r w:rsidR="00617740">
          <w:rPr>
            <w:noProof/>
            <w:webHidden/>
          </w:rPr>
          <w:instrText xml:space="preserve"> PAGEREF _Toc156932100 \h </w:instrText>
        </w:r>
        <w:r w:rsidR="00617740">
          <w:rPr>
            <w:noProof/>
            <w:webHidden/>
          </w:rPr>
        </w:r>
        <w:r w:rsidR="00617740">
          <w:rPr>
            <w:noProof/>
            <w:webHidden/>
          </w:rPr>
          <w:fldChar w:fldCharType="separate"/>
        </w:r>
        <w:r w:rsidR="00934D5E">
          <w:rPr>
            <w:noProof/>
            <w:webHidden/>
          </w:rPr>
          <w:t>144</w:t>
        </w:r>
        <w:r w:rsidR="00617740">
          <w:rPr>
            <w:noProof/>
            <w:webHidden/>
          </w:rPr>
          <w:fldChar w:fldCharType="end"/>
        </w:r>
      </w:hyperlink>
    </w:p>
    <w:p w14:paraId="68D58F17" w14:textId="55D01CBD"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101" w:history="1">
        <w:r w:rsidR="00617740" w:rsidRPr="007B1DB1">
          <w:rPr>
            <w:rStyle w:val="Hyperlink"/>
            <w:noProof/>
            <w:lang w:bidi="en-US"/>
          </w:rPr>
          <w:t>Table A9.8: Indigenous Australians’ Health Programme alignment with guiding principles</w:t>
        </w:r>
        <w:r w:rsidR="00617740">
          <w:rPr>
            <w:noProof/>
            <w:webHidden/>
          </w:rPr>
          <w:tab/>
        </w:r>
        <w:r w:rsidR="00617740">
          <w:rPr>
            <w:noProof/>
            <w:webHidden/>
          </w:rPr>
          <w:fldChar w:fldCharType="begin"/>
        </w:r>
        <w:r w:rsidR="00617740">
          <w:rPr>
            <w:noProof/>
            <w:webHidden/>
          </w:rPr>
          <w:instrText xml:space="preserve"> PAGEREF _Toc156932101 \h </w:instrText>
        </w:r>
        <w:r w:rsidR="00617740">
          <w:rPr>
            <w:noProof/>
            <w:webHidden/>
          </w:rPr>
        </w:r>
        <w:r w:rsidR="00617740">
          <w:rPr>
            <w:noProof/>
            <w:webHidden/>
          </w:rPr>
          <w:fldChar w:fldCharType="separate"/>
        </w:r>
        <w:r w:rsidR="00934D5E">
          <w:rPr>
            <w:noProof/>
            <w:webHidden/>
          </w:rPr>
          <w:t>145</w:t>
        </w:r>
        <w:r w:rsidR="00617740">
          <w:rPr>
            <w:noProof/>
            <w:webHidden/>
          </w:rPr>
          <w:fldChar w:fldCharType="end"/>
        </w:r>
      </w:hyperlink>
    </w:p>
    <w:p w14:paraId="63DF658E" w14:textId="7F896E57"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102" w:history="1">
        <w:r w:rsidR="00617740" w:rsidRPr="007B1DB1">
          <w:rPr>
            <w:rStyle w:val="Hyperlink"/>
            <w:noProof/>
            <w:lang w:bidi="en-US"/>
          </w:rPr>
          <w:t>Table A9.9: Gurriny Yealamucka Health Services alignment with guiding principles</w:t>
        </w:r>
        <w:r w:rsidR="00617740">
          <w:rPr>
            <w:noProof/>
            <w:webHidden/>
          </w:rPr>
          <w:tab/>
        </w:r>
        <w:r w:rsidR="00617740">
          <w:rPr>
            <w:noProof/>
            <w:webHidden/>
          </w:rPr>
          <w:fldChar w:fldCharType="begin"/>
        </w:r>
        <w:r w:rsidR="00617740">
          <w:rPr>
            <w:noProof/>
            <w:webHidden/>
          </w:rPr>
          <w:instrText xml:space="preserve"> PAGEREF _Toc156932102 \h </w:instrText>
        </w:r>
        <w:r w:rsidR="00617740">
          <w:rPr>
            <w:noProof/>
            <w:webHidden/>
          </w:rPr>
        </w:r>
        <w:r w:rsidR="00617740">
          <w:rPr>
            <w:noProof/>
            <w:webHidden/>
          </w:rPr>
          <w:fldChar w:fldCharType="separate"/>
        </w:r>
        <w:r w:rsidR="00934D5E">
          <w:rPr>
            <w:noProof/>
            <w:webHidden/>
          </w:rPr>
          <w:t>146</w:t>
        </w:r>
        <w:r w:rsidR="00617740">
          <w:rPr>
            <w:noProof/>
            <w:webHidden/>
          </w:rPr>
          <w:fldChar w:fldCharType="end"/>
        </w:r>
      </w:hyperlink>
    </w:p>
    <w:p w14:paraId="0C47F0A0" w14:textId="7B11C595"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103" w:history="1">
        <w:r w:rsidR="00617740" w:rsidRPr="007B1DB1">
          <w:rPr>
            <w:rStyle w:val="Hyperlink"/>
            <w:noProof/>
            <w:lang w:bidi="en-US"/>
          </w:rPr>
          <w:t>Table A9.10: Barriers and enablers to transitioning primary healthcare services to community control in Yarrabah</w:t>
        </w:r>
        <w:r w:rsidR="00617740">
          <w:rPr>
            <w:noProof/>
            <w:webHidden/>
          </w:rPr>
          <w:tab/>
        </w:r>
        <w:r w:rsidR="00617740">
          <w:rPr>
            <w:noProof/>
            <w:webHidden/>
          </w:rPr>
          <w:fldChar w:fldCharType="begin"/>
        </w:r>
        <w:r w:rsidR="00617740">
          <w:rPr>
            <w:noProof/>
            <w:webHidden/>
          </w:rPr>
          <w:instrText xml:space="preserve"> PAGEREF _Toc156932103 \h </w:instrText>
        </w:r>
        <w:r w:rsidR="00617740">
          <w:rPr>
            <w:noProof/>
            <w:webHidden/>
          </w:rPr>
        </w:r>
        <w:r w:rsidR="00617740">
          <w:rPr>
            <w:noProof/>
            <w:webHidden/>
          </w:rPr>
          <w:fldChar w:fldCharType="separate"/>
        </w:r>
        <w:r w:rsidR="00934D5E">
          <w:rPr>
            <w:noProof/>
            <w:webHidden/>
          </w:rPr>
          <w:t>148</w:t>
        </w:r>
        <w:r w:rsidR="00617740">
          <w:rPr>
            <w:noProof/>
            <w:webHidden/>
          </w:rPr>
          <w:fldChar w:fldCharType="end"/>
        </w:r>
      </w:hyperlink>
    </w:p>
    <w:p w14:paraId="3EE6DD27" w14:textId="6EDD2A48"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104" w:history="1">
        <w:r w:rsidR="00617740" w:rsidRPr="007B1DB1">
          <w:rPr>
            <w:rStyle w:val="Hyperlink"/>
            <w:noProof/>
            <w:lang w:bidi="en-US"/>
          </w:rPr>
          <w:t>Table A9.11: Tackling Indigenous Smoking program alignment with guiding principles</w:t>
        </w:r>
        <w:r w:rsidR="00617740">
          <w:rPr>
            <w:noProof/>
            <w:webHidden/>
          </w:rPr>
          <w:tab/>
        </w:r>
        <w:r w:rsidR="00617740">
          <w:rPr>
            <w:noProof/>
            <w:webHidden/>
          </w:rPr>
          <w:fldChar w:fldCharType="begin"/>
        </w:r>
        <w:r w:rsidR="00617740">
          <w:rPr>
            <w:noProof/>
            <w:webHidden/>
          </w:rPr>
          <w:instrText xml:space="preserve"> PAGEREF _Toc156932104 \h </w:instrText>
        </w:r>
        <w:r w:rsidR="00617740">
          <w:rPr>
            <w:noProof/>
            <w:webHidden/>
          </w:rPr>
        </w:r>
        <w:r w:rsidR="00617740">
          <w:rPr>
            <w:noProof/>
            <w:webHidden/>
          </w:rPr>
          <w:fldChar w:fldCharType="separate"/>
        </w:r>
        <w:r w:rsidR="00934D5E">
          <w:rPr>
            <w:noProof/>
            <w:webHidden/>
          </w:rPr>
          <w:t>148</w:t>
        </w:r>
        <w:r w:rsidR="00617740">
          <w:rPr>
            <w:noProof/>
            <w:webHidden/>
          </w:rPr>
          <w:fldChar w:fldCharType="end"/>
        </w:r>
      </w:hyperlink>
    </w:p>
    <w:p w14:paraId="39BEEF65" w14:textId="23D8FD61"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105" w:history="1">
        <w:r w:rsidR="00617740" w:rsidRPr="007B1DB1">
          <w:rPr>
            <w:rStyle w:val="Hyperlink"/>
            <w:noProof/>
            <w:lang w:bidi="en-US"/>
          </w:rPr>
          <w:t>Table A9.12:</w:t>
        </w:r>
        <w:r w:rsidR="00617740" w:rsidRPr="007B1DB1">
          <w:rPr>
            <w:rStyle w:val="Hyperlink"/>
            <w:rFonts w:eastAsia="Calibri"/>
            <w:noProof/>
            <w:lang w:bidi="en-US"/>
          </w:rPr>
          <w:t xml:space="preserve"> Glossary of relevant terms in Canada</w:t>
        </w:r>
        <w:r w:rsidR="00617740">
          <w:rPr>
            <w:noProof/>
            <w:webHidden/>
          </w:rPr>
          <w:tab/>
        </w:r>
        <w:r w:rsidR="00617740">
          <w:rPr>
            <w:noProof/>
            <w:webHidden/>
          </w:rPr>
          <w:fldChar w:fldCharType="begin"/>
        </w:r>
        <w:r w:rsidR="00617740">
          <w:rPr>
            <w:noProof/>
            <w:webHidden/>
          </w:rPr>
          <w:instrText xml:space="preserve"> PAGEREF _Toc156932105 \h </w:instrText>
        </w:r>
        <w:r w:rsidR="00617740">
          <w:rPr>
            <w:noProof/>
            <w:webHidden/>
          </w:rPr>
        </w:r>
        <w:r w:rsidR="00617740">
          <w:rPr>
            <w:noProof/>
            <w:webHidden/>
          </w:rPr>
          <w:fldChar w:fldCharType="separate"/>
        </w:r>
        <w:r w:rsidR="00934D5E">
          <w:rPr>
            <w:noProof/>
            <w:webHidden/>
          </w:rPr>
          <w:t>149</w:t>
        </w:r>
        <w:r w:rsidR="00617740">
          <w:rPr>
            <w:noProof/>
            <w:webHidden/>
          </w:rPr>
          <w:fldChar w:fldCharType="end"/>
        </w:r>
      </w:hyperlink>
    </w:p>
    <w:p w14:paraId="6CF2C171" w14:textId="1BFCB98F"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106" w:history="1">
        <w:r w:rsidR="00617740" w:rsidRPr="007B1DB1">
          <w:rPr>
            <w:rStyle w:val="Hyperlink"/>
            <w:noProof/>
            <w:lang w:bidi="en-US"/>
          </w:rPr>
          <w:t>Table A9.13:</w:t>
        </w:r>
        <w:r w:rsidR="00617740" w:rsidRPr="007B1DB1">
          <w:rPr>
            <w:rStyle w:val="Hyperlink"/>
            <w:rFonts w:eastAsia="Calibri"/>
            <w:noProof/>
            <w:lang w:bidi="en-US"/>
          </w:rPr>
          <w:t xml:space="preserve"> Tribal Council Funding alignment with guiding principles</w:t>
        </w:r>
        <w:r w:rsidR="00617740">
          <w:rPr>
            <w:noProof/>
            <w:webHidden/>
          </w:rPr>
          <w:tab/>
        </w:r>
        <w:r w:rsidR="00617740">
          <w:rPr>
            <w:noProof/>
            <w:webHidden/>
          </w:rPr>
          <w:fldChar w:fldCharType="begin"/>
        </w:r>
        <w:r w:rsidR="00617740">
          <w:rPr>
            <w:noProof/>
            <w:webHidden/>
          </w:rPr>
          <w:instrText xml:space="preserve"> PAGEREF _Toc156932106 \h </w:instrText>
        </w:r>
        <w:r w:rsidR="00617740">
          <w:rPr>
            <w:noProof/>
            <w:webHidden/>
          </w:rPr>
        </w:r>
        <w:r w:rsidR="00617740">
          <w:rPr>
            <w:noProof/>
            <w:webHidden/>
          </w:rPr>
          <w:fldChar w:fldCharType="separate"/>
        </w:r>
        <w:r w:rsidR="00934D5E">
          <w:rPr>
            <w:noProof/>
            <w:webHidden/>
          </w:rPr>
          <w:t>151</w:t>
        </w:r>
        <w:r w:rsidR="00617740">
          <w:rPr>
            <w:noProof/>
            <w:webHidden/>
          </w:rPr>
          <w:fldChar w:fldCharType="end"/>
        </w:r>
      </w:hyperlink>
    </w:p>
    <w:p w14:paraId="37F3FE64" w14:textId="1CB3420A"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107" w:history="1">
        <w:r w:rsidR="00617740" w:rsidRPr="007B1DB1">
          <w:rPr>
            <w:rStyle w:val="Hyperlink"/>
            <w:noProof/>
            <w:lang w:bidi="en-US"/>
          </w:rPr>
          <w:t xml:space="preserve">Table A9.14: </w:t>
        </w:r>
        <w:r w:rsidR="00617740" w:rsidRPr="007B1DB1">
          <w:rPr>
            <w:rStyle w:val="Hyperlink"/>
            <w:rFonts w:ascii="Calibri" w:eastAsia="Calibri" w:hAnsi="Calibri" w:cs="Calibri"/>
            <w:noProof/>
            <w:lang w:bidi="en-US"/>
          </w:rPr>
          <w:t>Tribal Council Funding tiers</w:t>
        </w:r>
        <w:r w:rsidR="00617740">
          <w:rPr>
            <w:noProof/>
            <w:webHidden/>
          </w:rPr>
          <w:tab/>
        </w:r>
        <w:r w:rsidR="00617740">
          <w:rPr>
            <w:noProof/>
            <w:webHidden/>
          </w:rPr>
          <w:fldChar w:fldCharType="begin"/>
        </w:r>
        <w:r w:rsidR="00617740">
          <w:rPr>
            <w:noProof/>
            <w:webHidden/>
          </w:rPr>
          <w:instrText xml:space="preserve"> PAGEREF _Toc156932107 \h </w:instrText>
        </w:r>
        <w:r w:rsidR="00617740">
          <w:rPr>
            <w:noProof/>
            <w:webHidden/>
          </w:rPr>
        </w:r>
        <w:r w:rsidR="00617740">
          <w:rPr>
            <w:noProof/>
            <w:webHidden/>
          </w:rPr>
          <w:fldChar w:fldCharType="separate"/>
        </w:r>
        <w:r w:rsidR="00934D5E">
          <w:rPr>
            <w:noProof/>
            <w:webHidden/>
          </w:rPr>
          <w:t>151</w:t>
        </w:r>
        <w:r w:rsidR="00617740">
          <w:rPr>
            <w:noProof/>
            <w:webHidden/>
          </w:rPr>
          <w:fldChar w:fldCharType="end"/>
        </w:r>
      </w:hyperlink>
    </w:p>
    <w:p w14:paraId="2673235D" w14:textId="2B01E8CD"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108" w:history="1">
        <w:r w:rsidR="00617740" w:rsidRPr="007B1DB1">
          <w:rPr>
            <w:rStyle w:val="Hyperlink"/>
            <w:noProof/>
            <w:lang w:bidi="en-US"/>
          </w:rPr>
          <w:t xml:space="preserve">Table A9.15: </w:t>
        </w:r>
        <w:r w:rsidR="00617740" w:rsidRPr="007B1DB1">
          <w:rPr>
            <w:rStyle w:val="Hyperlink"/>
            <w:rFonts w:eastAsia="Calibri"/>
            <w:noProof/>
            <w:lang w:bidi="en-US"/>
          </w:rPr>
          <w:t>Roles and responsibilities for the Tribal Council Funding Program</w:t>
        </w:r>
        <w:r w:rsidR="00617740">
          <w:rPr>
            <w:noProof/>
            <w:webHidden/>
          </w:rPr>
          <w:tab/>
        </w:r>
        <w:r w:rsidR="00617740">
          <w:rPr>
            <w:noProof/>
            <w:webHidden/>
          </w:rPr>
          <w:fldChar w:fldCharType="begin"/>
        </w:r>
        <w:r w:rsidR="00617740">
          <w:rPr>
            <w:noProof/>
            <w:webHidden/>
          </w:rPr>
          <w:instrText xml:space="preserve"> PAGEREF _Toc156932108 \h </w:instrText>
        </w:r>
        <w:r w:rsidR="00617740">
          <w:rPr>
            <w:noProof/>
            <w:webHidden/>
          </w:rPr>
        </w:r>
        <w:r w:rsidR="00617740">
          <w:rPr>
            <w:noProof/>
            <w:webHidden/>
          </w:rPr>
          <w:fldChar w:fldCharType="separate"/>
        </w:r>
        <w:r w:rsidR="00934D5E">
          <w:rPr>
            <w:noProof/>
            <w:webHidden/>
          </w:rPr>
          <w:t>152</w:t>
        </w:r>
        <w:r w:rsidR="00617740">
          <w:rPr>
            <w:noProof/>
            <w:webHidden/>
          </w:rPr>
          <w:fldChar w:fldCharType="end"/>
        </w:r>
      </w:hyperlink>
    </w:p>
    <w:p w14:paraId="2A2062E1" w14:textId="32918C94"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109" w:history="1">
        <w:r w:rsidR="00617740" w:rsidRPr="007B1DB1">
          <w:rPr>
            <w:rStyle w:val="Hyperlink"/>
            <w:noProof/>
            <w:lang w:bidi="en-US"/>
          </w:rPr>
          <w:t>Table A9.16</w:t>
        </w:r>
        <w:r w:rsidR="00617740" w:rsidRPr="007B1DB1">
          <w:rPr>
            <w:rStyle w:val="Hyperlink"/>
            <w:rFonts w:eastAsia="Calibri"/>
            <w:noProof/>
            <w:lang w:bidi="en-US"/>
          </w:rPr>
          <w:t>: Indigenous Community Support Fund alignment with guiding principles</w:t>
        </w:r>
        <w:r w:rsidR="00617740">
          <w:rPr>
            <w:noProof/>
            <w:webHidden/>
          </w:rPr>
          <w:tab/>
        </w:r>
        <w:r w:rsidR="00617740">
          <w:rPr>
            <w:noProof/>
            <w:webHidden/>
          </w:rPr>
          <w:fldChar w:fldCharType="begin"/>
        </w:r>
        <w:r w:rsidR="00617740">
          <w:rPr>
            <w:noProof/>
            <w:webHidden/>
          </w:rPr>
          <w:instrText xml:space="preserve"> PAGEREF _Toc156932109 \h </w:instrText>
        </w:r>
        <w:r w:rsidR="00617740">
          <w:rPr>
            <w:noProof/>
            <w:webHidden/>
          </w:rPr>
        </w:r>
        <w:r w:rsidR="00617740">
          <w:rPr>
            <w:noProof/>
            <w:webHidden/>
          </w:rPr>
          <w:fldChar w:fldCharType="separate"/>
        </w:r>
        <w:r w:rsidR="00934D5E">
          <w:rPr>
            <w:noProof/>
            <w:webHidden/>
          </w:rPr>
          <w:t>152</w:t>
        </w:r>
        <w:r w:rsidR="00617740">
          <w:rPr>
            <w:noProof/>
            <w:webHidden/>
          </w:rPr>
          <w:fldChar w:fldCharType="end"/>
        </w:r>
      </w:hyperlink>
    </w:p>
    <w:p w14:paraId="377E1F24" w14:textId="431DE16E"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110" w:history="1">
        <w:r w:rsidR="00617740" w:rsidRPr="007B1DB1">
          <w:rPr>
            <w:rStyle w:val="Hyperlink"/>
            <w:noProof/>
            <w:lang w:bidi="en-US"/>
          </w:rPr>
          <w:t xml:space="preserve">Table A9.17: </w:t>
        </w:r>
        <w:r w:rsidR="00617740" w:rsidRPr="007B1DB1">
          <w:rPr>
            <w:rStyle w:val="Hyperlink"/>
            <w:rFonts w:eastAsia="Calibri"/>
            <w:noProof/>
            <w:lang w:bidi="en-US"/>
          </w:rPr>
          <w:t>British Columbia Tripartite Framework Agreement on First Nation Health Governance alignment with guiding principles</w:t>
        </w:r>
        <w:r w:rsidR="00617740">
          <w:rPr>
            <w:noProof/>
            <w:webHidden/>
          </w:rPr>
          <w:tab/>
        </w:r>
        <w:r w:rsidR="00617740">
          <w:rPr>
            <w:noProof/>
            <w:webHidden/>
          </w:rPr>
          <w:fldChar w:fldCharType="begin"/>
        </w:r>
        <w:r w:rsidR="00617740">
          <w:rPr>
            <w:noProof/>
            <w:webHidden/>
          </w:rPr>
          <w:instrText xml:space="preserve"> PAGEREF _Toc156932110 \h </w:instrText>
        </w:r>
        <w:r w:rsidR="00617740">
          <w:rPr>
            <w:noProof/>
            <w:webHidden/>
          </w:rPr>
        </w:r>
        <w:r w:rsidR="00617740">
          <w:rPr>
            <w:noProof/>
            <w:webHidden/>
          </w:rPr>
          <w:fldChar w:fldCharType="separate"/>
        </w:r>
        <w:r w:rsidR="00934D5E">
          <w:rPr>
            <w:noProof/>
            <w:webHidden/>
          </w:rPr>
          <w:t>154</w:t>
        </w:r>
        <w:r w:rsidR="00617740">
          <w:rPr>
            <w:noProof/>
            <w:webHidden/>
          </w:rPr>
          <w:fldChar w:fldCharType="end"/>
        </w:r>
      </w:hyperlink>
    </w:p>
    <w:p w14:paraId="7C7D73E7" w14:textId="6D3B3437"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111" w:history="1">
        <w:r w:rsidR="00617740" w:rsidRPr="007B1DB1">
          <w:rPr>
            <w:rStyle w:val="Hyperlink"/>
            <w:noProof/>
            <w:lang w:bidi="en-US"/>
          </w:rPr>
          <w:t xml:space="preserve">Table A9.18: </w:t>
        </w:r>
        <w:r w:rsidR="00617740" w:rsidRPr="007B1DB1">
          <w:rPr>
            <w:rStyle w:val="Hyperlink"/>
            <w:rFonts w:eastAsia="Calibri"/>
            <w:noProof/>
            <w:lang w:bidi="en-US"/>
          </w:rPr>
          <w:t>Tripartite Framework Agreement governance structure roles and responsibilities</w:t>
        </w:r>
        <w:r w:rsidR="00617740">
          <w:rPr>
            <w:noProof/>
            <w:webHidden/>
          </w:rPr>
          <w:tab/>
        </w:r>
        <w:r w:rsidR="00617740">
          <w:rPr>
            <w:noProof/>
            <w:webHidden/>
          </w:rPr>
          <w:fldChar w:fldCharType="begin"/>
        </w:r>
        <w:r w:rsidR="00617740">
          <w:rPr>
            <w:noProof/>
            <w:webHidden/>
          </w:rPr>
          <w:instrText xml:space="preserve"> PAGEREF _Toc156932111 \h </w:instrText>
        </w:r>
        <w:r w:rsidR="00617740">
          <w:rPr>
            <w:noProof/>
            <w:webHidden/>
          </w:rPr>
        </w:r>
        <w:r w:rsidR="00617740">
          <w:rPr>
            <w:noProof/>
            <w:webHidden/>
          </w:rPr>
          <w:fldChar w:fldCharType="separate"/>
        </w:r>
        <w:r w:rsidR="00934D5E">
          <w:rPr>
            <w:noProof/>
            <w:webHidden/>
          </w:rPr>
          <w:t>154</w:t>
        </w:r>
        <w:r w:rsidR="00617740">
          <w:rPr>
            <w:noProof/>
            <w:webHidden/>
          </w:rPr>
          <w:fldChar w:fldCharType="end"/>
        </w:r>
      </w:hyperlink>
    </w:p>
    <w:p w14:paraId="73D45E39" w14:textId="5BC2CF22"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112" w:history="1">
        <w:r w:rsidR="00617740" w:rsidRPr="007B1DB1">
          <w:rPr>
            <w:rStyle w:val="Hyperlink"/>
            <w:noProof/>
            <w:lang w:bidi="en-US"/>
          </w:rPr>
          <w:t>Table A9.19: Preventing and Managing Chronic Disease in First Nations Communities Framework alignment with guiding principles</w:t>
        </w:r>
        <w:r w:rsidR="00617740">
          <w:rPr>
            <w:noProof/>
            <w:webHidden/>
          </w:rPr>
          <w:tab/>
        </w:r>
        <w:r w:rsidR="00617740">
          <w:rPr>
            <w:noProof/>
            <w:webHidden/>
          </w:rPr>
          <w:fldChar w:fldCharType="begin"/>
        </w:r>
        <w:r w:rsidR="00617740">
          <w:rPr>
            <w:noProof/>
            <w:webHidden/>
          </w:rPr>
          <w:instrText xml:space="preserve"> PAGEREF _Toc156932112 \h </w:instrText>
        </w:r>
        <w:r w:rsidR="00617740">
          <w:rPr>
            <w:noProof/>
            <w:webHidden/>
          </w:rPr>
        </w:r>
        <w:r w:rsidR="00617740">
          <w:rPr>
            <w:noProof/>
            <w:webHidden/>
          </w:rPr>
          <w:fldChar w:fldCharType="separate"/>
        </w:r>
        <w:r w:rsidR="00934D5E">
          <w:rPr>
            <w:noProof/>
            <w:webHidden/>
          </w:rPr>
          <w:t>155</w:t>
        </w:r>
        <w:r w:rsidR="00617740">
          <w:rPr>
            <w:noProof/>
            <w:webHidden/>
          </w:rPr>
          <w:fldChar w:fldCharType="end"/>
        </w:r>
      </w:hyperlink>
    </w:p>
    <w:p w14:paraId="352FB3E8" w14:textId="6C662249"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113" w:history="1">
        <w:r w:rsidR="00617740" w:rsidRPr="007B1DB1">
          <w:rPr>
            <w:rStyle w:val="Hyperlink"/>
            <w:noProof/>
            <w:lang w:bidi="en-US"/>
          </w:rPr>
          <w:t>Table A9.20</w:t>
        </w:r>
        <w:r w:rsidR="00617740" w:rsidRPr="007B1DB1">
          <w:rPr>
            <w:rStyle w:val="Hyperlink"/>
            <w:rFonts w:eastAsia="Calibri"/>
            <w:noProof/>
            <w:lang w:bidi="en-US"/>
          </w:rPr>
          <w:t>: The New Zealand Public Health System (2001–2022) alignment with guiding principles</w:t>
        </w:r>
        <w:r w:rsidR="00617740">
          <w:rPr>
            <w:noProof/>
            <w:webHidden/>
          </w:rPr>
          <w:tab/>
        </w:r>
        <w:r w:rsidR="00617740">
          <w:rPr>
            <w:noProof/>
            <w:webHidden/>
          </w:rPr>
          <w:fldChar w:fldCharType="begin"/>
        </w:r>
        <w:r w:rsidR="00617740">
          <w:rPr>
            <w:noProof/>
            <w:webHidden/>
          </w:rPr>
          <w:instrText xml:space="preserve"> PAGEREF _Toc156932113 \h </w:instrText>
        </w:r>
        <w:r w:rsidR="00617740">
          <w:rPr>
            <w:noProof/>
            <w:webHidden/>
          </w:rPr>
        </w:r>
        <w:r w:rsidR="00617740">
          <w:rPr>
            <w:noProof/>
            <w:webHidden/>
          </w:rPr>
          <w:fldChar w:fldCharType="separate"/>
        </w:r>
        <w:r w:rsidR="00934D5E">
          <w:rPr>
            <w:noProof/>
            <w:webHidden/>
          </w:rPr>
          <w:t>159</w:t>
        </w:r>
        <w:r w:rsidR="00617740">
          <w:rPr>
            <w:noProof/>
            <w:webHidden/>
          </w:rPr>
          <w:fldChar w:fldCharType="end"/>
        </w:r>
      </w:hyperlink>
    </w:p>
    <w:p w14:paraId="0215A739" w14:textId="6132D379"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114" w:history="1">
        <w:r w:rsidR="00617740" w:rsidRPr="007B1DB1">
          <w:rPr>
            <w:rStyle w:val="Hyperlink"/>
            <w:noProof/>
            <w:lang w:bidi="en-US"/>
          </w:rPr>
          <w:t xml:space="preserve">Table A9.21: </w:t>
        </w:r>
        <w:r w:rsidR="00617740" w:rsidRPr="007B1DB1">
          <w:rPr>
            <w:rStyle w:val="Hyperlink"/>
            <w:rFonts w:eastAsia="Calibri"/>
            <w:noProof/>
            <w:lang w:bidi="en-US"/>
          </w:rPr>
          <w:t>Enrolment as of October 2022, by ethnicity</w:t>
        </w:r>
        <w:r w:rsidR="00617740">
          <w:rPr>
            <w:noProof/>
            <w:webHidden/>
          </w:rPr>
          <w:tab/>
        </w:r>
        <w:r w:rsidR="00617740">
          <w:rPr>
            <w:noProof/>
            <w:webHidden/>
          </w:rPr>
          <w:fldChar w:fldCharType="begin"/>
        </w:r>
        <w:r w:rsidR="00617740">
          <w:rPr>
            <w:noProof/>
            <w:webHidden/>
          </w:rPr>
          <w:instrText xml:space="preserve"> PAGEREF _Toc156932114 \h </w:instrText>
        </w:r>
        <w:r w:rsidR="00617740">
          <w:rPr>
            <w:noProof/>
            <w:webHidden/>
          </w:rPr>
        </w:r>
        <w:r w:rsidR="00617740">
          <w:rPr>
            <w:noProof/>
            <w:webHidden/>
          </w:rPr>
          <w:fldChar w:fldCharType="separate"/>
        </w:r>
        <w:r w:rsidR="00934D5E">
          <w:rPr>
            <w:noProof/>
            <w:webHidden/>
          </w:rPr>
          <w:t>159</w:t>
        </w:r>
        <w:r w:rsidR="00617740">
          <w:rPr>
            <w:noProof/>
            <w:webHidden/>
          </w:rPr>
          <w:fldChar w:fldCharType="end"/>
        </w:r>
      </w:hyperlink>
    </w:p>
    <w:p w14:paraId="13BCE451" w14:textId="550C3EDF"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115" w:history="1">
        <w:r w:rsidR="00617740" w:rsidRPr="007B1DB1">
          <w:rPr>
            <w:rStyle w:val="Hyperlink"/>
            <w:noProof/>
            <w:lang w:bidi="en-US"/>
          </w:rPr>
          <w:t xml:space="preserve">Table A9.22: </w:t>
        </w:r>
        <w:r w:rsidR="00617740" w:rsidRPr="007B1DB1">
          <w:rPr>
            <w:rStyle w:val="Hyperlink"/>
            <w:rFonts w:eastAsia="Calibri"/>
            <w:noProof/>
            <w:lang w:bidi="en-US"/>
          </w:rPr>
          <w:t>Pae Ora (Healthy Futures) alignment with guiding principles</w:t>
        </w:r>
        <w:r w:rsidR="00617740">
          <w:rPr>
            <w:noProof/>
            <w:webHidden/>
          </w:rPr>
          <w:tab/>
        </w:r>
        <w:r w:rsidR="00617740">
          <w:rPr>
            <w:noProof/>
            <w:webHidden/>
          </w:rPr>
          <w:fldChar w:fldCharType="begin"/>
        </w:r>
        <w:r w:rsidR="00617740">
          <w:rPr>
            <w:noProof/>
            <w:webHidden/>
          </w:rPr>
          <w:instrText xml:space="preserve"> PAGEREF _Toc156932115 \h </w:instrText>
        </w:r>
        <w:r w:rsidR="00617740">
          <w:rPr>
            <w:noProof/>
            <w:webHidden/>
          </w:rPr>
        </w:r>
        <w:r w:rsidR="00617740">
          <w:rPr>
            <w:noProof/>
            <w:webHidden/>
          </w:rPr>
          <w:fldChar w:fldCharType="separate"/>
        </w:r>
        <w:r w:rsidR="00934D5E">
          <w:rPr>
            <w:noProof/>
            <w:webHidden/>
          </w:rPr>
          <w:t>160</w:t>
        </w:r>
        <w:r w:rsidR="00617740">
          <w:rPr>
            <w:noProof/>
            <w:webHidden/>
          </w:rPr>
          <w:fldChar w:fldCharType="end"/>
        </w:r>
      </w:hyperlink>
    </w:p>
    <w:p w14:paraId="508FAA27" w14:textId="6D4889EA"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116" w:history="1">
        <w:r w:rsidR="00617740" w:rsidRPr="007B1DB1">
          <w:rPr>
            <w:rStyle w:val="Hyperlink"/>
            <w:noProof/>
            <w:lang w:bidi="en-US"/>
          </w:rPr>
          <w:t xml:space="preserve">Table A9.23: </w:t>
        </w:r>
        <w:r w:rsidR="00617740" w:rsidRPr="007B1DB1">
          <w:rPr>
            <w:rStyle w:val="Hyperlink"/>
            <w:rFonts w:eastAsia="Calibri"/>
            <w:noProof/>
            <w:lang w:bidi="en-US"/>
          </w:rPr>
          <w:t>The Nuka System of Care alignment with guiding principles</w:t>
        </w:r>
        <w:r w:rsidR="00617740">
          <w:rPr>
            <w:noProof/>
            <w:webHidden/>
          </w:rPr>
          <w:tab/>
        </w:r>
        <w:r w:rsidR="00617740">
          <w:rPr>
            <w:noProof/>
            <w:webHidden/>
          </w:rPr>
          <w:fldChar w:fldCharType="begin"/>
        </w:r>
        <w:r w:rsidR="00617740">
          <w:rPr>
            <w:noProof/>
            <w:webHidden/>
          </w:rPr>
          <w:instrText xml:space="preserve"> PAGEREF _Toc156932116 \h </w:instrText>
        </w:r>
        <w:r w:rsidR="00617740">
          <w:rPr>
            <w:noProof/>
            <w:webHidden/>
          </w:rPr>
        </w:r>
        <w:r w:rsidR="00617740">
          <w:rPr>
            <w:noProof/>
            <w:webHidden/>
          </w:rPr>
          <w:fldChar w:fldCharType="separate"/>
        </w:r>
        <w:r w:rsidR="00934D5E">
          <w:rPr>
            <w:noProof/>
            <w:webHidden/>
          </w:rPr>
          <w:t>162</w:t>
        </w:r>
        <w:r w:rsidR="00617740">
          <w:rPr>
            <w:noProof/>
            <w:webHidden/>
          </w:rPr>
          <w:fldChar w:fldCharType="end"/>
        </w:r>
      </w:hyperlink>
    </w:p>
    <w:p w14:paraId="327F89E3" w14:textId="2DC842C8"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117" w:history="1">
        <w:r w:rsidR="00617740" w:rsidRPr="007B1DB1">
          <w:rPr>
            <w:rStyle w:val="Hyperlink"/>
            <w:noProof/>
            <w:lang w:bidi="en-US"/>
          </w:rPr>
          <w:t>Table A9.24: Good Health and Wellness in Indian Country alignment with guiding principles</w:t>
        </w:r>
        <w:r w:rsidR="00617740">
          <w:rPr>
            <w:noProof/>
            <w:webHidden/>
          </w:rPr>
          <w:tab/>
        </w:r>
        <w:r w:rsidR="00617740">
          <w:rPr>
            <w:noProof/>
            <w:webHidden/>
          </w:rPr>
          <w:fldChar w:fldCharType="begin"/>
        </w:r>
        <w:r w:rsidR="00617740">
          <w:rPr>
            <w:noProof/>
            <w:webHidden/>
          </w:rPr>
          <w:instrText xml:space="preserve"> PAGEREF _Toc156932117 \h </w:instrText>
        </w:r>
        <w:r w:rsidR="00617740">
          <w:rPr>
            <w:noProof/>
            <w:webHidden/>
          </w:rPr>
        </w:r>
        <w:r w:rsidR="00617740">
          <w:rPr>
            <w:noProof/>
            <w:webHidden/>
          </w:rPr>
          <w:fldChar w:fldCharType="separate"/>
        </w:r>
        <w:r w:rsidR="00934D5E">
          <w:rPr>
            <w:noProof/>
            <w:webHidden/>
          </w:rPr>
          <w:t>163</w:t>
        </w:r>
        <w:r w:rsidR="00617740">
          <w:rPr>
            <w:noProof/>
            <w:webHidden/>
          </w:rPr>
          <w:fldChar w:fldCharType="end"/>
        </w:r>
      </w:hyperlink>
    </w:p>
    <w:p w14:paraId="61D99CA2" w14:textId="5D7C998F"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118" w:history="1">
        <w:r w:rsidR="00617740" w:rsidRPr="007B1DB1">
          <w:rPr>
            <w:rStyle w:val="Hyperlink"/>
            <w:noProof/>
            <w:lang w:bidi="en-US"/>
          </w:rPr>
          <w:t>Table A12.1: Preferences of stakeholders who participated in the co-design yarns</w:t>
        </w:r>
        <w:r w:rsidR="00617740">
          <w:rPr>
            <w:noProof/>
            <w:webHidden/>
          </w:rPr>
          <w:tab/>
        </w:r>
        <w:r w:rsidR="00617740">
          <w:rPr>
            <w:noProof/>
            <w:webHidden/>
          </w:rPr>
          <w:fldChar w:fldCharType="begin"/>
        </w:r>
        <w:r w:rsidR="00617740">
          <w:rPr>
            <w:noProof/>
            <w:webHidden/>
          </w:rPr>
          <w:instrText xml:space="preserve"> PAGEREF _Toc156932118 \h </w:instrText>
        </w:r>
        <w:r w:rsidR="00617740">
          <w:rPr>
            <w:noProof/>
            <w:webHidden/>
          </w:rPr>
        </w:r>
        <w:r w:rsidR="00617740">
          <w:rPr>
            <w:noProof/>
            <w:webHidden/>
          </w:rPr>
          <w:fldChar w:fldCharType="separate"/>
        </w:r>
        <w:r w:rsidR="00934D5E">
          <w:rPr>
            <w:noProof/>
            <w:webHidden/>
          </w:rPr>
          <w:t>180</w:t>
        </w:r>
        <w:r w:rsidR="00617740">
          <w:rPr>
            <w:noProof/>
            <w:webHidden/>
          </w:rPr>
          <w:fldChar w:fldCharType="end"/>
        </w:r>
      </w:hyperlink>
    </w:p>
    <w:p w14:paraId="745AE484" w14:textId="188D3C13" w:rsidR="00617740" w:rsidRDefault="00380CE9">
      <w:pPr>
        <w:pStyle w:val="TableofFigures"/>
        <w:rPr>
          <w:rFonts w:eastAsiaTheme="minorEastAsia" w:cstheme="minorBidi"/>
          <w:iCs w:val="0"/>
          <w:noProof/>
          <w:kern w:val="2"/>
          <w:sz w:val="24"/>
          <w:szCs w:val="24"/>
          <w:lang w:eastAsia="en-AU"/>
          <w14:ligatures w14:val="standardContextual"/>
        </w:rPr>
      </w:pPr>
      <w:hyperlink w:anchor="_Toc156932119" w:history="1">
        <w:r w:rsidR="00617740" w:rsidRPr="007B1DB1">
          <w:rPr>
            <w:rStyle w:val="Hyperlink"/>
            <w:noProof/>
            <w:lang w:bidi="en-US"/>
          </w:rPr>
          <w:t>Table A12.2: Table of benefit possibility assessment</w:t>
        </w:r>
        <w:r w:rsidR="00617740">
          <w:rPr>
            <w:noProof/>
            <w:webHidden/>
          </w:rPr>
          <w:tab/>
        </w:r>
        <w:r w:rsidR="00617740">
          <w:rPr>
            <w:noProof/>
            <w:webHidden/>
          </w:rPr>
          <w:fldChar w:fldCharType="begin"/>
        </w:r>
        <w:r w:rsidR="00617740">
          <w:rPr>
            <w:noProof/>
            <w:webHidden/>
          </w:rPr>
          <w:instrText xml:space="preserve"> PAGEREF _Toc156932119 \h </w:instrText>
        </w:r>
        <w:r w:rsidR="00617740">
          <w:rPr>
            <w:noProof/>
            <w:webHidden/>
          </w:rPr>
        </w:r>
        <w:r w:rsidR="00617740">
          <w:rPr>
            <w:noProof/>
            <w:webHidden/>
          </w:rPr>
          <w:fldChar w:fldCharType="separate"/>
        </w:r>
        <w:r w:rsidR="00934D5E">
          <w:rPr>
            <w:noProof/>
            <w:webHidden/>
          </w:rPr>
          <w:t>182</w:t>
        </w:r>
        <w:r w:rsidR="00617740">
          <w:rPr>
            <w:noProof/>
            <w:webHidden/>
          </w:rPr>
          <w:fldChar w:fldCharType="end"/>
        </w:r>
      </w:hyperlink>
    </w:p>
    <w:p w14:paraId="5717DD8D" w14:textId="5DFD8AD8" w:rsidR="00DD16D5" w:rsidRDefault="00676316" w:rsidP="00B451AD">
      <w:pPr>
        <w:pStyle w:val="TableofFigures"/>
        <w:rPr>
          <w:rFonts w:ascii="Calibri" w:hAnsi="Calibri"/>
          <w:bCs/>
          <w:color w:val="0196A7" w:themeColor="accent3"/>
          <w:sz w:val="48"/>
          <w:szCs w:val="26"/>
          <w:lang w:eastAsia="en-US" w:bidi="en-US"/>
        </w:rPr>
      </w:pPr>
      <w:r>
        <w:rPr>
          <w:color w:val="2B579A"/>
          <w:sz w:val="20"/>
          <w:shd w:val="clear" w:color="auto" w:fill="E6E6E6"/>
        </w:rPr>
        <w:fldChar w:fldCharType="end"/>
      </w:r>
      <w:r w:rsidR="00DD16D5">
        <w:br w:type="page"/>
      </w:r>
    </w:p>
    <w:p w14:paraId="499B4DA7" w14:textId="77777777" w:rsidR="0057510C" w:rsidRPr="00B65F7F" w:rsidRDefault="0057510C" w:rsidP="007A68C5">
      <w:pPr>
        <w:pStyle w:val="HeadingLevel2NoNumber"/>
        <w:spacing w:before="0"/>
        <w:rPr>
          <w:bCs/>
          <w:lang w:val="en-AU"/>
        </w:rPr>
      </w:pPr>
      <w:r w:rsidRPr="00B65F7F">
        <w:rPr>
          <w:lang w:val="en-AU"/>
        </w:rPr>
        <w:lastRenderedPageBreak/>
        <w:t>Short forms</w:t>
      </w:r>
    </w:p>
    <w:tbl>
      <w:tblPr>
        <w:tblStyle w:val="Newtableforresport"/>
        <w:tblW w:w="9638" w:type="dxa"/>
        <w:tblInd w:w="5" w:type="dxa"/>
        <w:tblLayout w:type="fixed"/>
        <w:tblLook w:val="04A0" w:firstRow="1" w:lastRow="0" w:firstColumn="1" w:lastColumn="0" w:noHBand="0" w:noVBand="1"/>
        <w:tblCaption w:val="Short forms "/>
        <w:tblDescription w:val="The table describes short forms or acronyms used throughout the Review final report. The first column lists the short forms used throughout the report. The second column explains the meaning of the short form. "/>
      </w:tblPr>
      <w:tblGrid>
        <w:gridCol w:w="2438"/>
        <w:gridCol w:w="7200"/>
      </w:tblGrid>
      <w:tr w:rsidR="00A05139" w:rsidRPr="008C468F" w14:paraId="12BA29DF" w14:textId="77777777" w:rsidTr="009B52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8" w:type="dxa"/>
          </w:tcPr>
          <w:p w14:paraId="65FEDAEE" w14:textId="77777777" w:rsidR="00A05139" w:rsidRPr="008C468F" w:rsidRDefault="001F4D46" w:rsidP="008C468F">
            <w:pPr>
              <w:pStyle w:val="TableHeading"/>
            </w:pPr>
            <w:r w:rsidRPr="008C468F">
              <w:t>Short form</w:t>
            </w:r>
          </w:p>
        </w:tc>
        <w:tc>
          <w:tcPr>
            <w:tcW w:w="7200" w:type="dxa"/>
          </w:tcPr>
          <w:p w14:paraId="7D21BF70" w14:textId="77777777" w:rsidR="00A05139" w:rsidRPr="008C468F" w:rsidRDefault="004D488B" w:rsidP="008C468F">
            <w:pPr>
              <w:pStyle w:val="TableHeading"/>
              <w:cnfStyle w:val="100000000000" w:firstRow="1" w:lastRow="0" w:firstColumn="0" w:lastColumn="0" w:oddVBand="0" w:evenVBand="0" w:oddHBand="0" w:evenHBand="0" w:firstRowFirstColumn="0" w:firstRowLastColumn="0" w:lastRowFirstColumn="0" w:lastRowLastColumn="0"/>
            </w:pPr>
            <w:r w:rsidRPr="008C468F">
              <w:t>Meaning</w:t>
            </w:r>
          </w:p>
        </w:tc>
      </w:tr>
      <w:tr w:rsidR="008350D5" w:rsidRPr="00B65F7F" w14:paraId="29F9C195" w14:textId="77777777" w:rsidTr="009B52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8" w:type="dxa"/>
          </w:tcPr>
          <w:p w14:paraId="0AE4FEFF" w14:textId="77777777" w:rsidR="008350D5" w:rsidRPr="008C468F" w:rsidRDefault="008350D5" w:rsidP="008C468F">
            <w:pPr>
              <w:pStyle w:val="TableText"/>
              <w:rPr>
                <w:b w:val="0"/>
                <w:bCs/>
              </w:rPr>
            </w:pPr>
            <w:r w:rsidRPr="008C468F">
              <w:rPr>
                <w:b w:val="0"/>
                <w:bCs/>
              </w:rPr>
              <w:t>ACCHO</w:t>
            </w:r>
          </w:p>
        </w:tc>
        <w:tc>
          <w:tcPr>
            <w:tcW w:w="7200" w:type="dxa"/>
          </w:tcPr>
          <w:p w14:paraId="0E172BD8" w14:textId="77777777" w:rsidR="008350D5" w:rsidRPr="00B65F7F" w:rsidRDefault="008350D5" w:rsidP="008C468F">
            <w:pPr>
              <w:pStyle w:val="TableText"/>
              <w:cnfStyle w:val="000000100000" w:firstRow="0" w:lastRow="0" w:firstColumn="0" w:lastColumn="0" w:oddVBand="0" w:evenVBand="0" w:oddHBand="1" w:evenHBand="0" w:firstRowFirstColumn="0" w:firstRowLastColumn="0" w:lastRowFirstColumn="0" w:lastRowLastColumn="0"/>
            </w:pPr>
            <w:r w:rsidRPr="00B65F7F">
              <w:t>Aboriginal Community Controlled Health Organisation</w:t>
            </w:r>
          </w:p>
        </w:tc>
      </w:tr>
      <w:tr w:rsidR="008350D5" w:rsidRPr="00B65F7F" w14:paraId="45EE4D6A" w14:textId="77777777" w:rsidTr="009B52C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8" w:type="dxa"/>
          </w:tcPr>
          <w:p w14:paraId="6D8428E0" w14:textId="77777777" w:rsidR="008350D5" w:rsidRPr="008C468F" w:rsidRDefault="008350D5" w:rsidP="008C468F">
            <w:pPr>
              <w:pStyle w:val="TableText"/>
              <w:rPr>
                <w:b w:val="0"/>
                <w:bCs/>
              </w:rPr>
            </w:pPr>
            <w:r w:rsidRPr="008C468F">
              <w:rPr>
                <w:b w:val="0"/>
                <w:bCs/>
              </w:rPr>
              <w:t>ACCO</w:t>
            </w:r>
          </w:p>
        </w:tc>
        <w:tc>
          <w:tcPr>
            <w:tcW w:w="7200" w:type="dxa"/>
          </w:tcPr>
          <w:p w14:paraId="0220F89D" w14:textId="77777777" w:rsidR="008350D5" w:rsidRPr="00B65F7F" w:rsidRDefault="008350D5" w:rsidP="008C468F">
            <w:pPr>
              <w:pStyle w:val="TableText"/>
              <w:cnfStyle w:val="000000010000" w:firstRow="0" w:lastRow="0" w:firstColumn="0" w:lastColumn="0" w:oddVBand="0" w:evenVBand="0" w:oddHBand="0" w:evenHBand="1" w:firstRowFirstColumn="0" w:firstRowLastColumn="0" w:lastRowFirstColumn="0" w:lastRowLastColumn="0"/>
            </w:pPr>
            <w:r w:rsidRPr="00B65F7F">
              <w:t xml:space="preserve">Aboriginal Community Controlled Organisation </w:t>
            </w:r>
          </w:p>
        </w:tc>
      </w:tr>
      <w:tr w:rsidR="008350D5" w:rsidRPr="00B65F7F" w14:paraId="2D715AAB" w14:textId="77777777" w:rsidTr="009B52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8" w:type="dxa"/>
          </w:tcPr>
          <w:p w14:paraId="621CC60E" w14:textId="77777777" w:rsidR="008350D5" w:rsidRPr="008C468F" w:rsidRDefault="008350D5" w:rsidP="008C468F">
            <w:pPr>
              <w:pStyle w:val="TableText"/>
              <w:rPr>
                <w:b w:val="0"/>
                <w:bCs/>
              </w:rPr>
            </w:pPr>
            <w:r w:rsidRPr="008C468F">
              <w:rPr>
                <w:b w:val="0"/>
                <w:bCs/>
              </w:rPr>
              <w:t>AES</w:t>
            </w:r>
          </w:p>
        </w:tc>
        <w:tc>
          <w:tcPr>
            <w:tcW w:w="7200" w:type="dxa"/>
          </w:tcPr>
          <w:p w14:paraId="04E7032C" w14:textId="77777777" w:rsidR="008350D5" w:rsidRPr="00B65F7F" w:rsidRDefault="008350D5" w:rsidP="008C468F">
            <w:pPr>
              <w:pStyle w:val="TableText"/>
              <w:cnfStyle w:val="000000100000" w:firstRow="0" w:lastRow="0" w:firstColumn="0" w:lastColumn="0" w:oddVBand="0" w:evenVBand="0" w:oddHBand="1" w:evenHBand="0" w:firstRowFirstColumn="0" w:firstRowLastColumn="0" w:lastRowFirstColumn="0" w:lastRowLastColumn="0"/>
            </w:pPr>
            <w:r w:rsidRPr="00B65F7F">
              <w:t xml:space="preserve">Australian Evaluation Society </w:t>
            </w:r>
          </w:p>
        </w:tc>
      </w:tr>
      <w:tr w:rsidR="008350D5" w:rsidRPr="00B65F7F" w14:paraId="2691C2E5" w14:textId="77777777" w:rsidTr="009B52C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8" w:type="dxa"/>
          </w:tcPr>
          <w:p w14:paraId="70B027FC" w14:textId="77777777" w:rsidR="008350D5" w:rsidRPr="008C468F" w:rsidRDefault="008350D5" w:rsidP="008C468F">
            <w:pPr>
              <w:pStyle w:val="TableText"/>
              <w:rPr>
                <w:b w:val="0"/>
                <w:bCs/>
              </w:rPr>
            </w:pPr>
            <w:r w:rsidRPr="008C468F">
              <w:rPr>
                <w:b w:val="0"/>
                <w:bCs/>
              </w:rPr>
              <w:t>APAR</w:t>
            </w:r>
          </w:p>
        </w:tc>
        <w:tc>
          <w:tcPr>
            <w:tcW w:w="7200" w:type="dxa"/>
          </w:tcPr>
          <w:p w14:paraId="30FAF4E5" w14:textId="77777777" w:rsidR="008350D5" w:rsidRPr="00B65F7F" w:rsidRDefault="008350D5" w:rsidP="008C468F">
            <w:pPr>
              <w:pStyle w:val="TableText"/>
              <w:cnfStyle w:val="000000010000" w:firstRow="0" w:lastRow="0" w:firstColumn="0" w:lastColumn="0" w:oddVBand="0" w:evenVBand="0" w:oddHBand="0" w:evenHBand="1" w:firstRowFirstColumn="0" w:firstRowLastColumn="0" w:lastRowFirstColumn="0" w:lastRowLastColumn="0"/>
            </w:pPr>
            <w:r w:rsidRPr="00B65F7F">
              <w:t>Aboriginal participatory action research</w:t>
            </w:r>
          </w:p>
        </w:tc>
      </w:tr>
      <w:tr w:rsidR="008350D5" w:rsidRPr="00B65F7F" w14:paraId="6E11C5E8" w14:textId="77777777" w:rsidTr="009B52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8" w:type="dxa"/>
          </w:tcPr>
          <w:p w14:paraId="40EE8C87" w14:textId="77777777" w:rsidR="008350D5" w:rsidRPr="008C468F" w:rsidRDefault="008350D5" w:rsidP="008C468F">
            <w:pPr>
              <w:pStyle w:val="TableText"/>
              <w:rPr>
                <w:b w:val="0"/>
                <w:bCs/>
              </w:rPr>
            </w:pPr>
            <w:r w:rsidRPr="008C468F">
              <w:rPr>
                <w:b w:val="0"/>
                <w:bCs/>
              </w:rPr>
              <w:t>ATSIGG</w:t>
            </w:r>
          </w:p>
        </w:tc>
        <w:tc>
          <w:tcPr>
            <w:tcW w:w="7200" w:type="dxa"/>
          </w:tcPr>
          <w:p w14:paraId="1A91FFDF" w14:textId="77777777" w:rsidR="008350D5" w:rsidRPr="00B65F7F" w:rsidRDefault="00C92B46" w:rsidP="008C468F">
            <w:pPr>
              <w:pStyle w:val="TableText"/>
              <w:cnfStyle w:val="000000100000" w:firstRow="0" w:lastRow="0" w:firstColumn="0" w:lastColumn="0" w:oddVBand="0" w:evenVBand="0" w:oddHBand="1" w:evenHBand="0" w:firstRowFirstColumn="0" w:firstRowLastColumn="0" w:lastRowFirstColumn="0" w:lastRowLastColumn="0"/>
            </w:pPr>
            <w:r>
              <w:t>Aboriginal and/or Torres Strait Islander</w:t>
            </w:r>
            <w:r w:rsidR="008350D5" w:rsidRPr="00B65F7F">
              <w:t xml:space="preserve"> Governance Group</w:t>
            </w:r>
          </w:p>
        </w:tc>
      </w:tr>
      <w:tr w:rsidR="008350D5" w:rsidRPr="00B65F7F" w14:paraId="745006DF" w14:textId="77777777" w:rsidTr="009B52C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8" w:type="dxa"/>
          </w:tcPr>
          <w:p w14:paraId="3AE24274" w14:textId="77777777" w:rsidR="008350D5" w:rsidRPr="008C468F" w:rsidRDefault="008350D5" w:rsidP="008C468F">
            <w:pPr>
              <w:pStyle w:val="TableText"/>
              <w:rPr>
                <w:b w:val="0"/>
                <w:bCs/>
              </w:rPr>
            </w:pPr>
            <w:r w:rsidRPr="008C468F">
              <w:rPr>
                <w:b w:val="0"/>
                <w:bCs/>
              </w:rPr>
              <w:t>ATSISPEP</w:t>
            </w:r>
          </w:p>
        </w:tc>
        <w:tc>
          <w:tcPr>
            <w:tcW w:w="7200" w:type="dxa"/>
          </w:tcPr>
          <w:p w14:paraId="151C28A5" w14:textId="77777777" w:rsidR="008350D5" w:rsidRPr="00B65F7F" w:rsidRDefault="00C92B46" w:rsidP="008C468F">
            <w:pPr>
              <w:pStyle w:val="TableText"/>
              <w:cnfStyle w:val="000000010000" w:firstRow="0" w:lastRow="0" w:firstColumn="0" w:lastColumn="0" w:oddVBand="0" w:evenVBand="0" w:oddHBand="0" w:evenHBand="1" w:firstRowFirstColumn="0" w:firstRowLastColumn="0" w:lastRowFirstColumn="0" w:lastRowLastColumn="0"/>
            </w:pPr>
            <w:r>
              <w:t>Aboriginal and/or Torres Strait Islander</w:t>
            </w:r>
            <w:r w:rsidR="008350D5" w:rsidRPr="00B65F7F">
              <w:t xml:space="preserve"> Suicide Prevention Evaluation Project </w:t>
            </w:r>
          </w:p>
        </w:tc>
      </w:tr>
      <w:tr w:rsidR="008350D5" w:rsidRPr="00B65F7F" w14:paraId="5F217DCE" w14:textId="77777777" w:rsidTr="009B52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8" w:type="dxa"/>
          </w:tcPr>
          <w:p w14:paraId="3D249D69" w14:textId="77777777" w:rsidR="008350D5" w:rsidRPr="008C468F" w:rsidRDefault="008350D5" w:rsidP="008C468F">
            <w:pPr>
              <w:pStyle w:val="TableText"/>
              <w:rPr>
                <w:b w:val="0"/>
                <w:bCs/>
              </w:rPr>
            </w:pPr>
            <w:r w:rsidRPr="008C468F">
              <w:rPr>
                <w:b w:val="0"/>
                <w:bCs/>
              </w:rPr>
              <w:t>CBPR</w:t>
            </w:r>
          </w:p>
        </w:tc>
        <w:tc>
          <w:tcPr>
            <w:tcW w:w="7200" w:type="dxa"/>
          </w:tcPr>
          <w:p w14:paraId="40B79D7C" w14:textId="77777777" w:rsidR="008350D5" w:rsidRPr="00B65F7F" w:rsidRDefault="008350D5" w:rsidP="008C468F">
            <w:pPr>
              <w:pStyle w:val="TableText"/>
              <w:cnfStyle w:val="000000100000" w:firstRow="0" w:lastRow="0" w:firstColumn="0" w:lastColumn="0" w:oddVBand="0" w:evenVBand="0" w:oddHBand="1" w:evenHBand="0" w:firstRowFirstColumn="0" w:firstRowLastColumn="0" w:lastRowFirstColumn="0" w:lastRowLastColumn="0"/>
            </w:pPr>
            <w:r w:rsidRPr="00B65F7F">
              <w:t xml:space="preserve">community-based participatory research </w:t>
            </w:r>
          </w:p>
        </w:tc>
      </w:tr>
      <w:tr w:rsidR="00CF6568" w:rsidRPr="00B65F7F" w14:paraId="5023AB0D" w14:textId="77777777" w:rsidTr="006F6D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8" w:type="dxa"/>
          </w:tcPr>
          <w:p w14:paraId="22E426EC" w14:textId="77777777" w:rsidR="00CF6568" w:rsidRPr="008C468F" w:rsidRDefault="00CF6568" w:rsidP="008C468F">
            <w:pPr>
              <w:pStyle w:val="TableText"/>
              <w:rPr>
                <w:b w:val="0"/>
                <w:bCs/>
              </w:rPr>
            </w:pPr>
            <w:r w:rsidRPr="008C468F">
              <w:rPr>
                <w:b w:val="0"/>
                <w:bCs/>
              </w:rPr>
              <w:t>DoHAC</w:t>
            </w:r>
          </w:p>
        </w:tc>
        <w:tc>
          <w:tcPr>
            <w:tcW w:w="7200" w:type="dxa"/>
          </w:tcPr>
          <w:p w14:paraId="25B5F278" w14:textId="77777777" w:rsidR="00CF6568" w:rsidRPr="00B65F7F" w:rsidRDefault="00CF6568" w:rsidP="008C468F">
            <w:pPr>
              <w:pStyle w:val="TableText"/>
              <w:cnfStyle w:val="000000010000" w:firstRow="0" w:lastRow="0" w:firstColumn="0" w:lastColumn="0" w:oddVBand="0" w:evenVBand="0" w:oddHBand="0" w:evenHBand="1" w:firstRowFirstColumn="0" w:firstRowLastColumn="0" w:lastRowFirstColumn="0" w:lastRowLastColumn="0"/>
            </w:pPr>
            <w:r w:rsidRPr="00B65F7F">
              <w:t>Department of Health and Aged Care</w:t>
            </w:r>
          </w:p>
        </w:tc>
      </w:tr>
      <w:tr w:rsidR="008350D5" w:rsidRPr="00B65F7F" w14:paraId="4FD6799D" w14:textId="77777777" w:rsidTr="009B52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8" w:type="dxa"/>
          </w:tcPr>
          <w:p w14:paraId="0365FA2D" w14:textId="77777777" w:rsidR="008350D5" w:rsidRPr="008C468F" w:rsidRDefault="008350D5" w:rsidP="008C468F">
            <w:pPr>
              <w:pStyle w:val="TableText"/>
              <w:rPr>
                <w:b w:val="0"/>
                <w:bCs/>
              </w:rPr>
            </w:pPr>
            <w:r w:rsidRPr="008C468F">
              <w:rPr>
                <w:b w:val="0"/>
                <w:bCs/>
              </w:rPr>
              <w:t>EAG</w:t>
            </w:r>
          </w:p>
        </w:tc>
        <w:tc>
          <w:tcPr>
            <w:tcW w:w="7200" w:type="dxa"/>
          </w:tcPr>
          <w:p w14:paraId="7A3B4BC3" w14:textId="77777777" w:rsidR="008350D5" w:rsidRPr="00B65F7F" w:rsidRDefault="008350D5" w:rsidP="008C468F">
            <w:pPr>
              <w:pStyle w:val="TableText"/>
              <w:cnfStyle w:val="000000100000" w:firstRow="0" w:lastRow="0" w:firstColumn="0" w:lastColumn="0" w:oddVBand="0" w:evenVBand="0" w:oddHBand="1" w:evenHBand="0" w:firstRowFirstColumn="0" w:firstRowLastColumn="0" w:lastRowFirstColumn="0" w:lastRowLastColumn="0"/>
            </w:pPr>
            <w:r w:rsidRPr="00B65F7F">
              <w:t>Expert Advisory Group</w:t>
            </w:r>
          </w:p>
        </w:tc>
      </w:tr>
      <w:tr w:rsidR="008350D5" w:rsidRPr="00B65F7F" w14:paraId="2D79C013" w14:textId="77777777" w:rsidTr="009B52C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8" w:type="dxa"/>
          </w:tcPr>
          <w:p w14:paraId="72046CF3" w14:textId="77777777" w:rsidR="008350D5" w:rsidRPr="008C468F" w:rsidRDefault="008350D5" w:rsidP="008C468F">
            <w:pPr>
              <w:pStyle w:val="TableText"/>
              <w:rPr>
                <w:b w:val="0"/>
                <w:bCs/>
              </w:rPr>
            </w:pPr>
            <w:r w:rsidRPr="008C468F">
              <w:rPr>
                <w:b w:val="0"/>
                <w:bCs/>
              </w:rPr>
              <w:t>EQ</w:t>
            </w:r>
          </w:p>
        </w:tc>
        <w:tc>
          <w:tcPr>
            <w:tcW w:w="7200" w:type="dxa"/>
          </w:tcPr>
          <w:p w14:paraId="2ED49C37" w14:textId="77777777" w:rsidR="008350D5" w:rsidRPr="00B65F7F" w:rsidRDefault="008350D5" w:rsidP="008C468F">
            <w:pPr>
              <w:pStyle w:val="TableText"/>
              <w:cnfStyle w:val="000000010000" w:firstRow="0" w:lastRow="0" w:firstColumn="0" w:lastColumn="0" w:oddVBand="0" w:evenVBand="0" w:oddHBand="0" w:evenHBand="1" w:firstRowFirstColumn="0" w:firstRowLastColumn="0" w:lastRowFirstColumn="0" w:lastRowLastColumn="0"/>
            </w:pPr>
            <w:r w:rsidRPr="00B65F7F">
              <w:t>evaluation questions</w:t>
            </w:r>
          </w:p>
        </w:tc>
      </w:tr>
      <w:tr w:rsidR="008350D5" w:rsidRPr="00B65F7F" w14:paraId="73B87490" w14:textId="77777777" w:rsidTr="009B52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8" w:type="dxa"/>
          </w:tcPr>
          <w:p w14:paraId="32CA676E" w14:textId="77777777" w:rsidR="008350D5" w:rsidRPr="008C468F" w:rsidRDefault="008350D5" w:rsidP="008C468F">
            <w:pPr>
              <w:pStyle w:val="TableText"/>
              <w:rPr>
                <w:b w:val="0"/>
                <w:bCs/>
              </w:rPr>
            </w:pPr>
            <w:r w:rsidRPr="008C468F">
              <w:rPr>
                <w:b w:val="0"/>
                <w:bCs/>
              </w:rPr>
              <w:t>ICIP</w:t>
            </w:r>
          </w:p>
        </w:tc>
        <w:tc>
          <w:tcPr>
            <w:tcW w:w="7200" w:type="dxa"/>
          </w:tcPr>
          <w:p w14:paraId="19EEA83A" w14:textId="77777777" w:rsidR="008350D5" w:rsidRPr="00B65F7F" w:rsidRDefault="008350D5" w:rsidP="008C468F">
            <w:pPr>
              <w:pStyle w:val="TableText"/>
              <w:cnfStyle w:val="000000100000" w:firstRow="0" w:lastRow="0" w:firstColumn="0" w:lastColumn="0" w:oddVBand="0" w:evenVBand="0" w:oddHBand="1" w:evenHBand="0" w:firstRowFirstColumn="0" w:firstRowLastColumn="0" w:lastRowFirstColumn="0" w:lastRowLastColumn="0"/>
            </w:pPr>
            <w:r w:rsidRPr="00B65F7F">
              <w:t xml:space="preserve">Indigenous Cultural and Intellectual Property </w:t>
            </w:r>
          </w:p>
        </w:tc>
      </w:tr>
      <w:tr w:rsidR="008350D5" w:rsidRPr="00B65F7F" w14:paraId="15E11FE7" w14:textId="77777777" w:rsidTr="009B52C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8" w:type="dxa"/>
          </w:tcPr>
          <w:p w14:paraId="065C9AB2" w14:textId="77777777" w:rsidR="008350D5" w:rsidRPr="008C468F" w:rsidRDefault="008350D5" w:rsidP="008C468F">
            <w:pPr>
              <w:pStyle w:val="TableText"/>
              <w:rPr>
                <w:b w:val="0"/>
                <w:bCs/>
              </w:rPr>
            </w:pPr>
            <w:r w:rsidRPr="008C468F">
              <w:rPr>
                <w:b w:val="0"/>
                <w:bCs/>
              </w:rPr>
              <w:t>ITC</w:t>
            </w:r>
          </w:p>
        </w:tc>
        <w:tc>
          <w:tcPr>
            <w:tcW w:w="7200" w:type="dxa"/>
          </w:tcPr>
          <w:p w14:paraId="29A7652C" w14:textId="77777777" w:rsidR="008350D5" w:rsidRPr="00B65F7F" w:rsidRDefault="008350D5" w:rsidP="008C468F">
            <w:pPr>
              <w:pStyle w:val="TableText"/>
              <w:cnfStyle w:val="000000010000" w:firstRow="0" w:lastRow="0" w:firstColumn="0" w:lastColumn="0" w:oddVBand="0" w:evenVBand="0" w:oddHBand="0" w:evenHBand="1" w:firstRowFirstColumn="0" w:firstRowLastColumn="0" w:lastRowFirstColumn="0" w:lastRowLastColumn="0"/>
            </w:pPr>
            <w:r w:rsidRPr="00B65F7F">
              <w:t>Integrated Team Care</w:t>
            </w:r>
            <w:r w:rsidR="00144307" w:rsidRPr="00B65F7F">
              <w:t xml:space="preserve"> program</w:t>
            </w:r>
          </w:p>
        </w:tc>
      </w:tr>
      <w:tr w:rsidR="008350D5" w:rsidRPr="00B65F7F" w14:paraId="3E1089D0" w14:textId="77777777" w:rsidTr="009B52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8" w:type="dxa"/>
          </w:tcPr>
          <w:p w14:paraId="7891AF5D" w14:textId="77777777" w:rsidR="008350D5" w:rsidRPr="008C468F" w:rsidRDefault="008350D5" w:rsidP="008C468F">
            <w:pPr>
              <w:pStyle w:val="TableText"/>
              <w:rPr>
                <w:b w:val="0"/>
                <w:bCs/>
              </w:rPr>
            </w:pPr>
            <w:r w:rsidRPr="008C468F">
              <w:rPr>
                <w:b w:val="0"/>
                <w:bCs/>
              </w:rPr>
              <w:t>NACCHO</w:t>
            </w:r>
          </w:p>
        </w:tc>
        <w:tc>
          <w:tcPr>
            <w:tcW w:w="7200" w:type="dxa"/>
          </w:tcPr>
          <w:p w14:paraId="080189CF" w14:textId="77777777" w:rsidR="008350D5" w:rsidRPr="00B65F7F" w:rsidRDefault="008350D5" w:rsidP="008C468F">
            <w:pPr>
              <w:pStyle w:val="TableText"/>
              <w:cnfStyle w:val="000000100000" w:firstRow="0" w:lastRow="0" w:firstColumn="0" w:lastColumn="0" w:oddVBand="0" w:evenVBand="0" w:oddHBand="1" w:evenHBand="0" w:firstRowFirstColumn="0" w:firstRowLastColumn="0" w:lastRowFirstColumn="0" w:lastRowLastColumn="0"/>
            </w:pPr>
            <w:r w:rsidRPr="00B65F7F">
              <w:t>National Aboriginal Community Controlled Health Organisation</w:t>
            </w:r>
          </w:p>
        </w:tc>
      </w:tr>
      <w:tr w:rsidR="008350D5" w:rsidRPr="00B65F7F" w14:paraId="369098D4" w14:textId="77777777" w:rsidTr="009B52C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8" w:type="dxa"/>
          </w:tcPr>
          <w:p w14:paraId="1B83D292" w14:textId="77777777" w:rsidR="008350D5" w:rsidRPr="008C468F" w:rsidRDefault="008350D5" w:rsidP="008C468F">
            <w:pPr>
              <w:pStyle w:val="TableText"/>
              <w:rPr>
                <w:b w:val="0"/>
                <w:bCs/>
              </w:rPr>
            </w:pPr>
            <w:r w:rsidRPr="008C468F">
              <w:rPr>
                <w:b w:val="0"/>
                <w:bCs/>
              </w:rPr>
              <w:t>National Agreement</w:t>
            </w:r>
          </w:p>
        </w:tc>
        <w:tc>
          <w:tcPr>
            <w:tcW w:w="7200" w:type="dxa"/>
          </w:tcPr>
          <w:p w14:paraId="2B31F4FF" w14:textId="77777777" w:rsidR="008350D5" w:rsidRPr="00B65F7F" w:rsidRDefault="008350D5" w:rsidP="008C468F">
            <w:pPr>
              <w:pStyle w:val="TableText"/>
              <w:cnfStyle w:val="000000010000" w:firstRow="0" w:lastRow="0" w:firstColumn="0" w:lastColumn="0" w:oddVBand="0" w:evenVBand="0" w:oddHBand="0" w:evenHBand="1" w:firstRowFirstColumn="0" w:firstRowLastColumn="0" w:lastRowFirstColumn="0" w:lastRowLastColumn="0"/>
            </w:pPr>
            <w:r w:rsidRPr="00B65F7F">
              <w:t>National Agreement on Closing the Gap</w:t>
            </w:r>
          </w:p>
        </w:tc>
      </w:tr>
      <w:tr w:rsidR="008350D5" w:rsidRPr="00B65F7F" w14:paraId="2B8E772A" w14:textId="77777777" w:rsidTr="009B52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8" w:type="dxa"/>
          </w:tcPr>
          <w:p w14:paraId="6443CDB6" w14:textId="77777777" w:rsidR="008350D5" w:rsidRPr="008C468F" w:rsidRDefault="008350D5" w:rsidP="008C468F">
            <w:pPr>
              <w:pStyle w:val="TableText"/>
              <w:rPr>
                <w:b w:val="0"/>
                <w:bCs/>
              </w:rPr>
            </w:pPr>
            <w:r w:rsidRPr="008C468F">
              <w:rPr>
                <w:b w:val="0"/>
                <w:bCs/>
              </w:rPr>
              <w:t>NHMRC</w:t>
            </w:r>
          </w:p>
        </w:tc>
        <w:tc>
          <w:tcPr>
            <w:tcW w:w="7200" w:type="dxa"/>
          </w:tcPr>
          <w:p w14:paraId="1837B103" w14:textId="77777777" w:rsidR="008350D5" w:rsidRPr="00B65F7F" w:rsidRDefault="008350D5" w:rsidP="008C468F">
            <w:pPr>
              <w:pStyle w:val="TableText"/>
              <w:cnfStyle w:val="000000100000" w:firstRow="0" w:lastRow="0" w:firstColumn="0" w:lastColumn="0" w:oddVBand="0" w:evenVBand="0" w:oddHBand="1" w:evenHBand="0" w:firstRowFirstColumn="0" w:firstRowLastColumn="0" w:lastRowFirstColumn="0" w:lastRowLastColumn="0"/>
            </w:pPr>
            <w:r w:rsidRPr="00B65F7F">
              <w:t>National Health and Medical Research Council</w:t>
            </w:r>
          </w:p>
        </w:tc>
      </w:tr>
      <w:tr w:rsidR="008350D5" w:rsidRPr="00B65F7F" w14:paraId="2510CF2B" w14:textId="77777777" w:rsidTr="009B52C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8" w:type="dxa"/>
          </w:tcPr>
          <w:p w14:paraId="137E4D25" w14:textId="77777777" w:rsidR="008350D5" w:rsidRPr="008C468F" w:rsidRDefault="008350D5" w:rsidP="008C468F">
            <w:pPr>
              <w:pStyle w:val="TableText"/>
              <w:rPr>
                <w:b w:val="0"/>
                <w:bCs/>
              </w:rPr>
            </w:pPr>
            <w:r w:rsidRPr="008C468F">
              <w:rPr>
                <w:b w:val="0"/>
                <w:bCs/>
              </w:rPr>
              <w:t>PHN</w:t>
            </w:r>
          </w:p>
        </w:tc>
        <w:tc>
          <w:tcPr>
            <w:tcW w:w="7200" w:type="dxa"/>
          </w:tcPr>
          <w:p w14:paraId="6F623179" w14:textId="77777777" w:rsidR="008350D5" w:rsidRPr="00B65F7F" w:rsidRDefault="008350D5" w:rsidP="008C468F">
            <w:pPr>
              <w:pStyle w:val="TableText"/>
              <w:cnfStyle w:val="000000010000" w:firstRow="0" w:lastRow="0" w:firstColumn="0" w:lastColumn="0" w:oddVBand="0" w:evenVBand="0" w:oddHBand="0" w:evenHBand="1" w:firstRowFirstColumn="0" w:firstRowLastColumn="0" w:lastRowFirstColumn="0" w:lastRowLastColumn="0"/>
            </w:pPr>
            <w:r w:rsidRPr="00B65F7F">
              <w:t>Primary Health Network</w:t>
            </w:r>
          </w:p>
        </w:tc>
      </w:tr>
      <w:tr w:rsidR="008350D5" w:rsidRPr="00B65F7F" w14:paraId="54DB28D2" w14:textId="77777777" w:rsidTr="009B52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8" w:type="dxa"/>
          </w:tcPr>
          <w:p w14:paraId="10E860CB" w14:textId="77777777" w:rsidR="008350D5" w:rsidRPr="008C468F" w:rsidRDefault="008350D5" w:rsidP="008C468F">
            <w:pPr>
              <w:pStyle w:val="TableText"/>
              <w:rPr>
                <w:b w:val="0"/>
                <w:bCs/>
              </w:rPr>
            </w:pPr>
            <w:r w:rsidRPr="008C468F">
              <w:rPr>
                <w:b w:val="0"/>
                <w:bCs/>
              </w:rPr>
              <w:t xml:space="preserve">Relevant Health </w:t>
            </w:r>
            <w:r w:rsidR="00CC7705" w:rsidRPr="008C468F">
              <w:rPr>
                <w:b w:val="0"/>
                <w:bCs/>
              </w:rPr>
              <w:t>Programs</w:t>
            </w:r>
          </w:p>
        </w:tc>
        <w:tc>
          <w:tcPr>
            <w:tcW w:w="7200" w:type="dxa"/>
          </w:tcPr>
          <w:p w14:paraId="3DD5F9C1" w14:textId="77777777" w:rsidR="008350D5" w:rsidRPr="00B65F7F" w:rsidRDefault="008350D5" w:rsidP="008C468F">
            <w:pPr>
              <w:pStyle w:val="TableText"/>
              <w:cnfStyle w:val="000000100000" w:firstRow="0" w:lastRow="0" w:firstColumn="0" w:lastColumn="0" w:oddVBand="0" w:evenVBand="0" w:oddHBand="1" w:evenHBand="0" w:firstRowFirstColumn="0" w:firstRowLastColumn="0" w:lastRowFirstColumn="0" w:lastRowLastColumn="0"/>
            </w:pPr>
            <w:r w:rsidRPr="00B65F7F">
              <w:t xml:space="preserve">mental health and suicide prevention services and the ITC </w:t>
            </w:r>
            <w:r w:rsidR="00144307" w:rsidRPr="00B65F7F">
              <w:t>p</w:t>
            </w:r>
            <w:r w:rsidRPr="00B65F7F">
              <w:t>rogram</w:t>
            </w:r>
          </w:p>
        </w:tc>
      </w:tr>
    </w:tbl>
    <w:p w14:paraId="76B9D39B" w14:textId="77777777" w:rsidR="009B52C5" w:rsidRDefault="009B52C5" w:rsidP="009B52C5"/>
    <w:p w14:paraId="51F7E0E9" w14:textId="77777777" w:rsidR="009B52C5" w:rsidRDefault="009B52C5" w:rsidP="00DC79BB">
      <w:pPr>
        <w:rPr>
          <w:lang w:eastAsia="en-US" w:bidi="en-US"/>
        </w:rPr>
      </w:pPr>
      <w:r>
        <w:br w:type="page"/>
      </w:r>
    </w:p>
    <w:p w14:paraId="2D7C315F" w14:textId="77777777" w:rsidR="00CC7705" w:rsidRPr="00B65F7F" w:rsidRDefault="00CC7705" w:rsidP="007A68C5">
      <w:pPr>
        <w:pStyle w:val="HeadingLevel2NoNumber"/>
        <w:spacing w:before="0"/>
        <w:rPr>
          <w:bCs/>
          <w:lang w:val="en-AU"/>
        </w:rPr>
      </w:pPr>
      <w:r w:rsidRPr="00B65F7F">
        <w:rPr>
          <w:lang w:val="en-AU"/>
        </w:rPr>
        <w:lastRenderedPageBreak/>
        <w:t>A note on</w:t>
      </w:r>
      <w:r w:rsidR="00912717" w:rsidRPr="00B65F7F">
        <w:rPr>
          <w:lang w:val="en-AU"/>
        </w:rPr>
        <w:t xml:space="preserve"> terminology</w:t>
      </w:r>
    </w:p>
    <w:p w14:paraId="107EE47A" w14:textId="77777777" w:rsidR="00A05139" w:rsidRPr="00DC79BB" w:rsidRDefault="008C781F" w:rsidP="00DC79BB">
      <w:pPr>
        <w:pStyle w:val="BodyText"/>
        <w:rPr>
          <w:b/>
          <w:bCs/>
        </w:rPr>
      </w:pPr>
      <w:r w:rsidRPr="00DC79BB">
        <w:rPr>
          <w:b/>
          <w:bCs/>
        </w:rPr>
        <w:t xml:space="preserve">The use of </w:t>
      </w:r>
      <w:r w:rsidR="005D7DE7" w:rsidRPr="00DC79BB">
        <w:rPr>
          <w:b/>
          <w:bCs/>
        </w:rPr>
        <w:t xml:space="preserve">Indigenous </w:t>
      </w:r>
      <w:r w:rsidR="00066856" w:rsidRPr="00DC79BB">
        <w:rPr>
          <w:b/>
          <w:bCs/>
        </w:rPr>
        <w:t>organisations,</w:t>
      </w:r>
      <w:r w:rsidR="00AD5702" w:rsidRPr="00DC79BB">
        <w:rPr>
          <w:b/>
          <w:bCs/>
        </w:rPr>
        <w:t xml:space="preserve"> ACCOs, ACCHOs</w:t>
      </w:r>
      <w:r w:rsidR="00174260" w:rsidRPr="00DC79BB">
        <w:rPr>
          <w:b/>
          <w:bCs/>
        </w:rPr>
        <w:t xml:space="preserve"> and </w:t>
      </w:r>
      <w:r w:rsidR="00AD5702" w:rsidRPr="00DC79BB">
        <w:rPr>
          <w:b/>
          <w:bCs/>
        </w:rPr>
        <w:t>AMS</w:t>
      </w:r>
      <w:r w:rsidR="00174260" w:rsidRPr="00DC79BB">
        <w:rPr>
          <w:b/>
          <w:bCs/>
        </w:rPr>
        <w:t xml:space="preserve">s </w:t>
      </w:r>
      <w:r w:rsidR="005D7DE7" w:rsidRPr="00DC79BB">
        <w:rPr>
          <w:b/>
          <w:bCs/>
        </w:rPr>
        <w:t>throughout the report</w:t>
      </w:r>
    </w:p>
    <w:p w14:paraId="6F0FE36D" w14:textId="77777777" w:rsidR="00174260" w:rsidRPr="00B65F7F" w:rsidRDefault="00377C02" w:rsidP="00DC79BB">
      <w:pPr>
        <w:pStyle w:val="BodyText"/>
      </w:pPr>
      <w:r w:rsidRPr="00B65F7F">
        <w:t xml:space="preserve">Where the legal structure of the entity is </w:t>
      </w:r>
      <w:r w:rsidR="004C51CB" w:rsidRPr="00B65F7F">
        <w:t>not relevant</w:t>
      </w:r>
      <w:r w:rsidRPr="00B65F7F">
        <w:t xml:space="preserve"> to the topic, </w:t>
      </w:r>
      <w:r w:rsidRPr="00B65F7F">
        <w:rPr>
          <w:b/>
          <w:bCs/>
        </w:rPr>
        <w:t>Indigenous organisations</w:t>
      </w:r>
      <w:r w:rsidRPr="00B65F7F">
        <w:t xml:space="preserve"> will be used. This may include </w:t>
      </w:r>
      <w:r w:rsidR="00B26548" w:rsidRPr="00B65F7F">
        <w:t xml:space="preserve">ACCOs, ACCHOs, AMSs and other Indigenous organisations such as Land </w:t>
      </w:r>
      <w:r w:rsidR="00F34CEC" w:rsidRPr="00B65F7F">
        <w:t xml:space="preserve">Councils. </w:t>
      </w:r>
    </w:p>
    <w:p w14:paraId="4F94B4E6" w14:textId="77777777" w:rsidR="008C781F" w:rsidRPr="00DD16D5" w:rsidRDefault="00D951CB" w:rsidP="00DC79BB">
      <w:pPr>
        <w:pStyle w:val="BodyText"/>
      </w:pPr>
      <w:r w:rsidRPr="00DD16D5">
        <w:t>However, in</w:t>
      </w:r>
      <w:r w:rsidR="00332C1E" w:rsidRPr="00DD16D5">
        <w:t xml:space="preserve"> line with </w:t>
      </w:r>
      <w:r w:rsidR="00AD7AC9">
        <w:t>P</w:t>
      </w:r>
      <w:r w:rsidR="00E35876" w:rsidRPr="00DD16D5">
        <w:t xml:space="preserve">riority </w:t>
      </w:r>
      <w:r w:rsidR="00AD7AC9">
        <w:t>R</w:t>
      </w:r>
      <w:r w:rsidR="00E35876" w:rsidRPr="00DD16D5">
        <w:t xml:space="preserve">eform 2 (Building the </w:t>
      </w:r>
      <w:r w:rsidR="00493BCB" w:rsidRPr="00DD16D5">
        <w:t>c</w:t>
      </w:r>
      <w:r w:rsidR="00E35876" w:rsidRPr="00DD16D5">
        <w:t>ommunity-</w:t>
      </w:r>
      <w:r w:rsidR="00493BCB" w:rsidRPr="00DD16D5">
        <w:t>c</w:t>
      </w:r>
      <w:r w:rsidR="00E35876" w:rsidRPr="00DD16D5">
        <w:t xml:space="preserve">ontrolled </w:t>
      </w:r>
      <w:r w:rsidR="00493BCB" w:rsidRPr="00DD16D5">
        <w:t>s</w:t>
      </w:r>
      <w:r w:rsidR="00E35876" w:rsidRPr="00DD16D5">
        <w:t>ector) of the</w:t>
      </w:r>
      <w:r w:rsidR="00332C1E" w:rsidRPr="00DD16D5">
        <w:t xml:space="preserve"> National Agreement</w:t>
      </w:r>
      <w:r w:rsidR="005B7E5F">
        <w:t xml:space="preserve"> (Australian Government, 2020)</w:t>
      </w:r>
      <w:r w:rsidR="00E35876" w:rsidRPr="00DD16D5">
        <w:t xml:space="preserve">, the </w:t>
      </w:r>
      <w:r w:rsidR="001755CA" w:rsidRPr="00DD16D5">
        <w:t xml:space="preserve">acronym ACCHO </w:t>
      </w:r>
      <w:r w:rsidRPr="00DD16D5">
        <w:t xml:space="preserve">is used </w:t>
      </w:r>
      <w:r w:rsidR="00AD7AC9">
        <w:t xml:space="preserve">principally throughout </w:t>
      </w:r>
      <w:r w:rsidR="00FD3131" w:rsidRPr="00DD16D5">
        <w:t>this report.</w:t>
      </w:r>
      <w:r w:rsidRPr="00DD16D5">
        <w:t xml:space="preserve"> This acknowledges that</w:t>
      </w:r>
      <w:r w:rsidR="00703158" w:rsidRPr="00DD16D5">
        <w:t xml:space="preserve"> </w:t>
      </w:r>
      <w:r w:rsidR="00311450" w:rsidRPr="00DD16D5">
        <w:t xml:space="preserve">ACCHOs </w:t>
      </w:r>
      <w:r w:rsidR="00555F29" w:rsidRPr="00DD16D5">
        <w:t>are</w:t>
      </w:r>
      <w:r w:rsidR="00311450" w:rsidRPr="00DD16D5">
        <w:t xml:space="preserve"> the preferred </w:t>
      </w:r>
      <w:r w:rsidRPr="00DD16D5">
        <w:t xml:space="preserve">organisations to deliver health services to </w:t>
      </w:r>
      <w:r w:rsidR="00C92B46" w:rsidRPr="00DD16D5">
        <w:t>Aboriginal and/or Torres Strait Islander</w:t>
      </w:r>
      <w:r w:rsidRPr="00DD16D5">
        <w:t xml:space="preserve"> people</w:t>
      </w:r>
      <w:r w:rsidR="001A1548" w:rsidRPr="00DD16D5">
        <w:t xml:space="preserve">, followed by other organisational structures (including ACCOs, AMSs and other </w:t>
      </w:r>
      <w:r w:rsidR="00B01127" w:rsidRPr="00DD16D5">
        <w:t>Indigenous</w:t>
      </w:r>
      <w:r w:rsidR="001A1548" w:rsidRPr="00DD16D5">
        <w:t xml:space="preserve"> organisations).</w:t>
      </w:r>
      <w:bookmarkStart w:id="4" w:name="_Toc120206129"/>
      <w:r w:rsidR="0003700D" w:rsidRPr="00DD16D5">
        <w:t xml:space="preserve"> </w:t>
      </w:r>
    </w:p>
    <w:p w14:paraId="16ECAF67" w14:textId="77777777" w:rsidR="003C038A" w:rsidRPr="00197C32" w:rsidRDefault="003C038A" w:rsidP="00197C32">
      <w:pPr>
        <w:pStyle w:val="BodyText1stparaafterlist"/>
        <w:rPr>
          <w:b/>
          <w:bCs/>
        </w:rPr>
      </w:pPr>
      <w:r w:rsidRPr="00197C32">
        <w:rPr>
          <w:b/>
          <w:bCs/>
        </w:rPr>
        <w:t xml:space="preserve">The use of Indigenous, First Nations and Aboriginal and/or Torres Strait Islander </w:t>
      </w:r>
      <w:r w:rsidR="00E80F4F" w:rsidRPr="00197C32">
        <w:rPr>
          <w:b/>
          <w:bCs/>
        </w:rPr>
        <w:t>throughout th</w:t>
      </w:r>
      <w:r w:rsidR="00A67732" w:rsidRPr="00197C32">
        <w:rPr>
          <w:b/>
          <w:bCs/>
        </w:rPr>
        <w:t>e</w:t>
      </w:r>
      <w:r w:rsidR="00E80F4F" w:rsidRPr="00197C32">
        <w:rPr>
          <w:b/>
          <w:bCs/>
        </w:rPr>
        <w:t xml:space="preserve"> report</w:t>
      </w:r>
    </w:p>
    <w:p w14:paraId="1111BFB6" w14:textId="77777777" w:rsidR="00E80F4F" w:rsidRPr="0098050C" w:rsidRDefault="0098050C" w:rsidP="00DC79BB">
      <w:pPr>
        <w:pStyle w:val="BodyText"/>
      </w:pPr>
      <w:bookmarkStart w:id="5" w:name="OLE_LINK1"/>
      <w:bookmarkStart w:id="6" w:name="OLE_LINK2"/>
      <w:r w:rsidRPr="0098050C">
        <w:t xml:space="preserve">The terms ‘Aboriginal and/or Torres Strait Islander’, ‘Aboriginal’, ‘Indigenous’ and ‘First Nations’ may be used interchangeably throughout this document. </w:t>
      </w:r>
      <w:r w:rsidR="00C44EB9" w:rsidRPr="0098050C">
        <w:t>Using</w:t>
      </w:r>
      <w:r w:rsidRPr="0098050C">
        <w:t xml:space="preserve"> these terminologies, we seek to acknowledge and honour diversity, shared </w:t>
      </w:r>
      <w:r w:rsidR="009A752F" w:rsidRPr="0098050C">
        <w:t>knowledge,</w:t>
      </w:r>
      <w:r w:rsidRPr="0098050C">
        <w:t xml:space="preserve"> and experiences as well as the right of people to define their own identities.</w:t>
      </w:r>
    </w:p>
    <w:bookmarkEnd w:id="5"/>
    <w:bookmarkEnd w:id="6"/>
    <w:p w14:paraId="70F472EB" w14:textId="77777777" w:rsidR="00E80F4F" w:rsidRPr="00DC79BB" w:rsidRDefault="00E80F4F" w:rsidP="00DC79BB">
      <w:pPr>
        <w:pStyle w:val="BodyText"/>
        <w:rPr>
          <w:b/>
          <w:bCs/>
        </w:rPr>
      </w:pPr>
      <w:r w:rsidRPr="00DC79BB">
        <w:rPr>
          <w:b/>
          <w:bCs/>
        </w:rPr>
        <w:t>The use of commissioning bodies, entities and PHNs throughout th</w:t>
      </w:r>
      <w:r w:rsidR="00A67732" w:rsidRPr="00DC79BB">
        <w:rPr>
          <w:b/>
          <w:bCs/>
        </w:rPr>
        <w:t>e</w:t>
      </w:r>
      <w:r w:rsidRPr="00DC79BB">
        <w:rPr>
          <w:b/>
          <w:bCs/>
        </w:rPr>
        <w:t xml:space="preserve"> report</w:t>
      </w:r>
    </w:p>
    <w:p w14:paraId="6CE99E59" w14:textId="77777777" w:rsidR="00791FF2" w:rsidRDefault="00717D01" w:rsidP="00DC79BB">
      <w:pPr>
        <w:pStyle w:val="BodyText"/>
      </w:pPr>
      <w:r w:rsidRPr="00717D01">
        <w:t xml:space="preserve">The terms ‘commissioning bodies’, ‘entities’ and </w:t>
      </w:r>
      <w:r w:rsidR="00A67732">
        <w:t>‘Primary Health Networks’ (</w:t>
      </w:r>
      <w:r w:rsidRPr="00717D01">
        <w:t>‘PHNs’</w:t>
      </w:r>
      <w:r w:rsidR="00A67732">
        <w:t>)</w:t>
      </w:r>
      <w:r w:rsidRPr="00717D01">
        <w:t xml:space="preserve"> may be used interchangeably throughout this document.</w:t>
      </w:r>
    </w:p>
    <w:p w14:paraId="596CBBA2" w14:textId="77777777" w:rsidR="00791FF2" w:rsidRPr="00DC79BB" w:rsidRDefault="00791FF2" w:rsidP="00DC79BB">
      <w:pPr>
        <w:pStyle w:val="BodyText"/>
        <w:rPr>
          <w:b/>
          <w:bCs/>
        </w:rPr>
      </w:pPr>
      <w:r w:rsidRPr="00DC79BB">
        <w:rPr>
          <w:b/>
          <w:bCs/>
        </w:rPr>
        <w:t xml:space="preserve">The use of the term Relevant Health Programs </w:t>
      </w:r>
    </w:p>
    <w:p w14:paraId="3B672712" w14:textId="77777777" w:rsidR="00791FF2" w:rsidRPr="00B65F7F" w:rsidRDefault="00791FF2" w:rsidP="00DC79BB">
      <w:pPr>
        <w:pStyle w:val="BodyText"/>
        <w:rPr>
          <w:b/>
        </w:rPr>
      </w:pPr>
      <w:r>
        <w:t xml:space="preserve">This review </w:t>
      </w:r>
      <w:r w:rsidR="00A67732">
        <w:t>focuses</w:t>
      </w:r>
      <w:r>
        <w:t xml:space="preserve"> on Indigenous </w:t>
      </w:r>
      <w:r w:rsidRPr="00B65F7F">
        <w:t xml:space="preserve">mental health and suicide prevention services and the </w:t>
      </w:r>
      <w:r>
        <w:t xml:space="preserve">Integrated </w:t>
      </w:r>
      <w:r w:rsidR="00A34356">
        <w:t>T</w:t>
      </w:r>
      <w:r>
        <w:t>eam Care</w:t>
      </w:r>
      <w:r w:rsidRPr="00B65F7F">
        <w:t xml:space="preserve"> </w:t>
      </w:r>
      <w:r w:rsidR="00A67732">
        <w:t xml:space="preserve">(ITC) </w:t>
      </w:r>
      <w:r w:rsidRPr="00B65F7F">
        <w:t>program</w:t>
      </w:r>
      <w:r>
        <w:t xml:space="preserve"> funding through PHNs. Throughout this report they are referred to as the </w:t>
      </w:r>
      <w:r w:rsidR="00826FFF">
        <w:t>‘</w:t>
      </w:r>
      <w:r>
        <w:t>Relevant Health Programs</w:t>
      </w:r>
      <w:r w:rsidR="00826FFF">
        <w:t>’.</w:t>
      </w:r>
    </w:p>
    <w:p w14:paraId="7F52A29F" w14:textId="77777777" w:rsidR="008C781F" w:rsidRPr="00B65F7F" w:rsidRDefault="008C781F" w:rsidP="00292E56">
      <w:pPr>
        <w:pStyle w:val="BodyText"/>
      </w:pPr>
      <w:r w:rsidRPr="00717D01">
        <w:br w:type="page"/>
      </w:r>
    </w:p>
    <w:p w14:paraId="203599BC" w14:textId="77777777" w:rsidR="003349AD" w:rsidRPr="00B65F7F" w:rsidRDefault="00F37214" w:rsidP="00844472">
      <w:pPr>
        <w:pStyle w:val="HeadingLevel1NoNumber"/>
      </w:pPr>
      <w:r w:rsidRPr="001A701E">
        <w:lastRenderedPageBreak/>
        <w:t xml:space="preserve">Executive </w:t>
      </w:r>
      <w:r w:rsidR="005635CE" w:rsidRPr="001A701E">
        <w:t>s</w:t>
      </w:r>
      <w:r w:rsidRPr="001A701E">
        <w:t>ummary</w:t>
      </w:r>
    </w:p>
    <w:p w14:paraId="43579165" w14:textId="77777777" w:rsidR="00973A43" w:rsidRPr="00B65F7F" w:rsidRDefault="005B4711" w:rsidP="004A3B93">
      <w:pPr>
        <w:pStyle w:val="BodyText"/>
      </w:pPr>
      <w:r w:rsidRPr="00B65F7F">
        <w:t xml:space="preserve">Aboriginal and/or Torres Strait Islander peoples, communities and cultures have continued to thrive </w:t>
      </w:r>
      <w:r w:rsidR="00AC4EF5" w:rsidRPr="00B65F7F">
        <w:t xml:space="preserve">for </w:t>
      </w:r>
      <w:r w:rsidR="00FA76BB" w:rsidRPr="00B65F7F">
        <w:t>more than</w:t>
      </w:r>
      <w:r w:rsidR="00AC4EF5" w:rsidRPr="00B65F7F">
        <w:t xml:space="preserve"> </w:t>
      </w:r>
      <w:r w:rsidR="00717D01">
        <w:t>65</w:t>
      </w:r>
      <w:r w:rsidR="00AC4EF5" w:rsidRPr="00B65F7F">
        <w:t>,000 years</w:t>
      </w:r>
      <w:r w:rsidR="00FA76BB" w:rsidRPr="00B65F7F">
        <w:t>. This has occurred</w:t>
      </w:r>
      <w:r w:rsidRPr="00B65F7F">
        <w:t xml:space="preserve"> despite the profound interpersonal and systemic effects of colonisation, discrimination and intergenerational trauma on individual and collective health and wellbeing. </w:t>
      </w:r>
    </w:p>
    <w:p w14:paraId="1171B034" w14:textId="77777777" w:rsidR="00E523EE" w:rsidRPr="00B65F7F" w:rsidRDefault="00796AD1" w:rsidP="004A3B93">
      <w:pPr>
        <w:pStyle w:val="BodyText"/>
      </w:pPr>
      <w:r w:rsidRPr="00B65F7F">
        <w:t xml:space="preserve">In 2020, all Australian governments, along with the Coalition of </w:t>
      </w:r>
      <w:r w:rsidR="00C92B46">
        <w:t>Aboriginal and/or Torres Strait Islander</w:t>
      </w:r>
      <w:r w:rsidRPr="00B65F7F">
        <w:t xml:space="preserve"> Peak Organisations, signed the National Agreement on Closing the Gap (the National Agreement). Together, these stakeholders committed to </w:t>
      </w:r>
      <w:r w:rsidR="0001792B" w:rsidRPr="00B65F7F">
        <w:t>mobilising all avenues and opportunities available to them to meet the objective of the</w:t>
      </w:r>
      <w:r w:rsidR="006A4785">
        <w:t xml:space="preserve"> National</w:t>
      </w:r>
      <w:r w:rsidR="0001792B" w:rsidRPr="00B65F7F">
        <w:t xml:space="preserve"> Agreement (</w:t>
      </w:r>
      <w:r w:rsidR="00C349CB">
        <w:t>Coalition of Peaks</w:t>
      </w:r>
      <w:r w:rsidR="005B7E5F">
        <w:t>,</w:t>
      </w:r>
      <w:r w:rsidR="00C349CB">
        <w:t xml:space="preserve"> 2</w:t>
      </w:r>
      <w:r w:rsidR="00C349CB" w:rsidRPr="00C349CB">
        <w:t xml:space="preserve">020, </w:t>
      </w:r>
      <w:r w:rsidR="00A431CB">
        <w:t>p. </w:t>
      </w:r>
      <w:r w:rsidR="0001792B" w:rsidRPr="00C349CB">
        <w:t>16)</w:t>
      </w:r>
      <w:r w:rsidR="00326A8A" w:rsidRPr="00C349CB">
        <w:t>,</w:t>
      </w:r>
      <w:r w:rsidRPr="00B65F7F" w:rsidDel="00326A8A">
        <w:t xml:space="preserve"> </w:t>
      </w:r>
      <w:r w:rsidRPr="00B65F7F">
        <w:t>which is to overcome the entrenched inequality faced by too many Aboriginal and</w:t>
      </w:r>
      <w:r w:rsidR="00A92E16" w:rsidRPr="00B65F7F">
        <w:t>/or</w:t>
      </w:r>
      <w:r w:rsidRPr="00B65F7F">
        <w:t xml:space="preserve"> Torres Strait Islander people so that their life outcomes are equal to those of all </w:t>
      </w:r>
      <w:r w:rsidR="00A92E16" w:rsidRPr="00B65F7F">
        <w:t>Australians</w:t>
      </w:r>
      <w:r w:rsidR="00DA4AF8">
        <w:t xml:space="preserve"> (the National Agreement)</w:t>
      </w:r>
      <w:r w:rsidRPr="00B65F7F">
        <w:t xml:space="preserve">. </w:t>
      </w:r>
      <w:r w:rsidR="00E523EE" w:rsidRPr="00B65F7F">
        <w:t xml:space="preserve">This objective includes (but is not limited to) addressing the disproportionate incidence of </w:t>
      </w:r>
      <w:r w:rsidR="00C27E7B">
        <w:t xml:space="preserve">chronic disease, </w:t>
      </w:r>
      <w:r w:rsidR="00E523EE" w:rsidRPr="00B65F7F">
        <w:t>mental ill-health and suicide-related deaths among Aboriginal and/or Torres Strait Islander peoples.</w:t>
      </w:r>
    </w:p>
    <w:p w14:paraId="51816C91" w14:textId="77777777" w:rsidR="00567437" w:rsidRPr="00B65F7F" w:rsidRDefault="00E23465" w:rsidP="004A3B93">
      <w:pPr>
        <w:pStyle w:val="BodyText"/>
      </w:pPr>
      <w:r w:rsidRPr="00B65F7F">
        <w:t xml:space="preserve">With respect to the </w:t>
      </w:r>
      <w:r w:rsidR="00CE06D3" w:rsidRPr="00B65F7F">
        <w:t xml:space="preserve">health </w:t>
      </w:r>
      <w:r w:rsidR="005B4711" w:rsidRPr="00B65F7F">
        <w:t>and wellbeing of Aboriginal and/or Torres Strait Islander peoples</w:t>
      </w:r>
      <w:r w:rsidR="00CE06D3" w:rsidRPr="00B65F7F">
        <w:t>,</w:t>
      </w:r>
      <w:r w:rsidR="005B4711" w:rsidRPr="00B65F7F">
        <w:t xml:space="preserve"> the National Agreement includes a commitment to enabling Aboriginal and/or Torres Strait Islander peoples to enjoy </w:t>
      </w:r>
      <w:r w:rsidR="001C7116" w:rsidRPr="00B65F7F">
        <w:t>‘</w:t>
      </w:r>
      <w:r w:rsidR="005B4711" w:rsidRPr="00B65F7F">
        <w:t>long and healthy lives</w:t>
      </w:r>
      <w:r w:rsidR="001C7116" w:rsidRPr="00B65F7F">
        <w:t>’</w:t>
      </w:r>
      <w:r w:rsidR="005B4711" w:rsidRPr="00B65F7F">
        <w:t xml:space="preserve"> and </w:t>
      </w:r>
      <w:r w:rsidR="001C7116" w:rsidRPr="00B65F7F">
        <w:t>‘</w:t>
      </w:r>
      <w:r w:rsidR="005B4711" w:rsidRPr="00B65F7F">
        <w:t>enjoy high levels of social and emotional wellbeing</w:t>
      </w:r>
      <w:r w:rsidR="001C7116" w:rsidRPr="00B65F7F">
        <w:t>’</w:t>
      </w:r>
      <w:r w:rsidR="005B4711" w:rsidRPr="00B65F7F">
        <w:t xml:space="preserve"> </w:t>
      </w:r>
      <w:r w:rsidR="006A4785">
        <w:t xml:space="preserve">(SEWB) </w:t>
      </w:r>
      <w:r w:rsidR="005B4711" w:rsidRPr="00B65F7F">
        <w:t xml:space="preserve">under </w:t>
      </w:r>
      <w:r w:rsidR="004919FF">
        <w:t>Outcomes</w:t>
      </w:r>
      <w:r w:rsidR="005B4711" w:rsidRPr="00B65F7F">
        <w:t xml:space="preserve"> 1 and 14, respectively.</w:t>
      </w:r>
    </w:p>
    <w:p w14:paraId="6D2EE0EC" w14:textId="77777777" w:rsidR="00AB5229" w:rsidRPr="00B65F7F" w:rsidRDefault="005E01ED" w:rsidP="003A7DB3">
      <w:pPr>
        <w:pStyle w:val="BodyText"/>
      </w:pPr>
      <w:r w:rsidRPr="00B65F7F">
        <w:t>Complementing</w:t>
      </w:r>
      <w:r w:rsidR="00B10984" w:rsidRPr="00B65F7F">
        <w:t xml:space="preserve"> the National Agreement</w:t>
      </w:r>
      <w:r w:rsidR="006234CE" w:rsidRPr="00B65F7F">
        <w:t xml:space="preserve"> are </w:t>
      </w:r>
      <w:r w:rsidR="00142B3D" w:rsidRPr="00B65F7F">
        <w:t xml:space="preserve">several other </w:t>
      </w:r>
      <w:r w:rsidR="00567437" w:rsidRPr="00B65F7F">
        <w:t>commitments</w:t>
      </w:r>
      <w:r w:rsidR="00330179" w:rsidRPr="00B65F7F">
        <w:t>, strategi</w:t>
      </w:r>
      <w:r w:rsidR="00075933" w:rsidRPr="00B65F7F">
        <w:t>es and policies</w:t>
      </w:r>
      <w:r w:rsidR="00567437" w:rsidRPr="00B65F7F">
        <w:t xml:space="preserve"> made by governments to improve the lives of Aboriginal and</w:t>
      </w:r>
      <w:r w:rsidR="00640BDE" w:rsidRPr="00B65F7F">
        <w:t>/or</w:t>
      </w:r>
      <w:r w:rsidR="00567437" w:rsidRPr="00B65F7F">
        <w:t xml:space="preserve"> Torres Strait Islander people. </w:t>
      </w:r>
      <w:r w:rsidR="00874965" w:rsidRPr="00B65F7F">
        <w:t xml:space="preserve">These </w:t>
      </w:r>
      <w:r w:rsidR="00567437" w:rsidRPr="00B65F7F">
        <w:t>include</w:t>
      </w:r>
      <w:r w:rsidR="0030309D" w:rsidRPr="00B65F7F">
        <w:t xml:space="preserve"> (but </w:t>
      </w:r>
      <w:r w:rsidR="004E5FB0">
        <w:t xml:space="preserve">are </w:t>
      </w:r>
      <w:r w:rsidR="0030309D" w:rsidRPr="00B65F7F">
        <w:t>not limited to)</w:t>
      </w:r>
      <w:r w:rsidR="00567437" w:rsidRPr="00B65F7F">
        <w:t xml:space="preserve"> a legislated Indigenous Voice to Parliament in South Australia</w:t>
      </w:r>
      <w:r w:rsidR="000F2E10">
        <w:t xml:space="preserve"> and</w:t>
      </w:r>
      <w:r w:rsidR="00567437" w:rsidRPr="00B65F7F">
        <w:t xml:space="preserve"> </w:t>
      </w:r>
      <w:r w:rsidR="004A6AF9" w:rsidRPr="00B65F7F">
        <w:t xml:space="preserve">a </w:t>
      </w:r>
      <w:r w:rsidR="00567437" w:rsidRPr="00B65F7F">
        <w:t>legislated Treaty and Truth</w:t>
      </w:r>
      <w:r w:rsidR="004A6AF9" w:rsidRPr="00B65F7F">
        <w:t>-telling</w:t>
      </w:r>
      <w:r w:rsidR="00567437" w:rsidRPr="00B65F7F">
        <w:t xml:space="preserve"> processes in Victoria and Queensland. </w:t>
      </w:r>
    </w:p>
    <w:p w14:paraId="3A77AD4E" w14:textId="614720A7" w:rsidR="00F706B3" w:rsidRDefault="000577D5" w:rsidP="003A7DB3">
      <w:pPr>
        <w:pStyle w:val="BodyText"/>
      </w:pPr>
      <w:r>
        <w:t>K</w:t>
      </w:r>
      <w:r w:rsidR="00AB5229" w:rsidRPr="00B65F7F">
        <w:t>ey strategies and policies</w:t>
      </w:r>
      <w:r w:rsidR="0030309D" w:rsidRPr="00B65F7F">
        <w:t xml:space="preserve"> include</w:t>
      </w:r>
      <w:r w:rsidR="00AD5331" w:rsidRPr="00B65F7F">
        <w:t xml:space="preserve"> the </w:t>
      </w:r>
      <w:r w:rsidR="00AD5331" w:rsidRPr="003A7DB3">
        <w:rPr>
          <w:i/>
          <w:iCs/>
        </w:rPr>
        <w:t xml:space="preserve">National Strategic Framework for </w:t>
      </w:r>
      <w:r w:rsidR="00C92B46" w:rsidRPr="003A7DB3">
        <w:rPr>
          <w:i/>
          <w:iCs/>
        </w:rPr>
        <w:t>Aboriginal and/or Torres Strait Islander</w:t>
      </w:r>
      <w:r w:rsidR="00AD5331" w:rsidRPr="003A7DB3">
        <w:rPr>
          <w:i/>
          <w:iCs/>
        </w:rPr>
        <w:t xml:space="preserve"> Peoples’ Mental Health and Social and Emotional Wellbeing 2017-2023</w:t>
      </w:r>
      <w:r w:rsidR="006B7B8F">
        <w:t xml:space="preserve"> (Commonwealth of Australia, 2017),</w:t>
      </w:r>
      <w:r w:rsidR="00AB5229" w:rsidRPr="00B65F7F">
        <w:t xml:space="preserve"> the </w:t>
      </w:r>
      <w:r w:rsidR="002F7197" w:rsidRPr="003A7DB3">
        <w:rPr>
          <w:i/>
          <w:iCs/>
        </w:rPr>
        <w:t xml:space="preserve">National </w:t>
      </w:r>
      <w:r w:rsidR="00C92B46" w:rsidRPr="003A7DB3">
        <w:rPr>
          <w:i/>
          <w:iCs/>
        </w:rPr>
        <w:t>Aboriginal and/or Torres Strait Islander</w:t>
      </w:r>
      <w:r w:rsidR="002F7197" w:rsidRPr="003A7DB3">
        <w:rPr>
          <w:i/>
          <w:iCs/>
        </w:rPr>
        <w:t xml:space="preserve"> Health Plan 2021–2031</w:t>
      </w:r>
      <w:r w:rsidR="006B7B8F">
        <w:t xml:space="preserve"> (Department of Health, 2021)</w:t>
      </w:r>
      <w:r w:rsidR="00373876" w:rsidRPr="00B65F7F">
        <w:t xml:space="preserve"> </w:t>
      </w:r>
      <w:r w:rsidR="00F94B1C" w:rsidRPr="00B65F7F">
        <w:t xml:space="preserve">and the </w:t>
      </w:r>
      <w:r w:rsidR="00F94B1C" w:rsidRPr="003A7DB3">
        <w:rPr>
          <w:i/>
          <w:iCs/>
        </w:rPr>
        <w:t>Gayaa Dhuwi (Proud Spirit)</w:t>
      </w:r>
      <w:r w:rsidR="00075933" w:rsidRPr="003A7DB3">
        <w:rPr>
          <w:i/>
          <w:iCs/>
        </w:rPr>
        <w:t xml:space="preserve"> Declaration</w:t>
      </w:r>
      <w:r w:rsidR="006B7B8F" w:rsidRPr="006B7B8F">
        <w:t xml:space="preserve"> </w:t>
      </w:r>
      <w:r w:rsidR="006B7B8F">
        <w:t>(</w:t>
      </w:r>
      <w:r w:rsidR="006B7B8F" w:rsidRPr="006B7B8F">
        <w:t>National Aboriginal and/or Torres Strait Islander Leadership in Mental Health</w:t>
      </w:r>
      <w:r w:rsidR="006B7B8F">
        <w:t>,</w:t>
      </w:r>
      <w:r w:rsidR="006B7B8F" w:rsidRPr="006B7B8F">
        <w:t xml:space="preserve"> 2015)</w:t>
      </w:r>
      <w:r w:rsidR="006B7B8F">
        <w:t>.</w:t>
      </w:r>
      <w:r w:rsidR="00F94B1C" w:rsidRPr="00B65F7F">
        <w:t xml:space="preserve"> </w:t>
      </w:r>
      <w:r w:rsidR="00467BF1" w:rsidRPr="00B65F7F">
        <w:t>Like</w:t>
      </w:r>
      <w:r w:rsidR="007F6D9E" w:rsidRPr="00B65F7F">
        <w:t xml:space="preserve"> the National Agreement, these </w:t>
      </w:r>
      <w:r w:rsidR="00567437" w:rsidRPr="00B65F7F">
        <w:t>initiatives</w:t>
      </w:r>
      <w:r w:rsidR="00F94B1C" w:rsidRPr="00B65F7F">
        <w:t>, policies and strategies</w:t>
      </w:r>
      <w:r w:rsidR="00567437" w:rsidRPr="00B65F7F">
        <w:t xml:space="preserve"> </w:t>
      </w:r>
      <w:r w:rsidR="00F94B1C" w:rsidRPr="00B65F7F">
        <w:t>are intended</w:t>
      </w:r>
      <w:r w:rsidR="00567437" w:rsidRPr="00B65F7F">
        <w:t xml:space="preserve"> </w:t>
      </w:r>
      <w:r w:rsidR="008943B7" w:rsidRPr="00B65F7F">
        <w:t>to</w:t>
      </w:r>
      <w:r w:rsidR="00567437" w:rsidRPr="00B65F7F">
        <w:t xml:space="preserve"> </w:t>
      </w:r>
      <w:r w:rsidR="00467BF1" w:rsidRPr="00B65F7F">
        <w:t xml:space="preserve">lead to </w:t>
      </w:r>
      <w:r w:rsidR="00567437" w:rsidRPr="00B65F7F">
        <w:t xml:space="preserve">new decision-making and accountability structures that could </w:t>
      </w:r>
      <w:r w:rsidR="00103138">
        <w:t>change</w:t>
      </w:r>
      <w:r w:rsidR="00567437" w:rsidRPr="00B65F7F">
        <w:t xml:space="preserve"> the way governments work with Aboriginal and</w:t>
      </w:r>
      <w:r w:rsidR="00467BF1" w:rsidRPr="00B65F7F">
        <w:t>/or</w:t>
      </w:r>
      <w:r w:rsidR="00567437" w:rsidRPr="00B65F7F">
        <w:t xml:space="preserve"> Torres Strait Islander people. </w:t>
      </w:r>
      <w:r w:rsidR="00E04795" w:rsidRPr="00B65F7F">
        <w:t xml:space="preserve">Further evidence </w:t>
      </w:r>
      <w:r w:rsidR="00F215D8" w:rsidRPr="00B65F7F">
        <w:t>of the</w:t>
      </w:r>
      <w:r w:rsidR="003F3037" w:rsidRPr="00B65F7F">
        <w:t xml:space="preserve"> commitments made by governments to promote Aboriginal and/or Torres Strait Islander self-determination </w:t>
      </w:r>
      <w:r w:rsidR="008651E8">
        <w:t>is</w:t>
      </w:r>
      <w:r w:rsidR="003F3037" w:rsidRPr="00B65F7F">
        <w:t xml:space="preserve"> set out i</w:t>
      </w:r>
      <w:r w:rsidR="003F3037" w:rsidRPr="00743081">
        <w:t xml:space="preserve">n </w:t>
      </w:r>
      <w:r w:rsidR="00825320" w:rsidRPr="00743081">
        <w:fldChar w:fldCharType="begin"/>
      </w:r>
      <w:r w:rsidR="00825320" w:rsidRPr="00743081">
        <w:instrText xml:space="preserve"> REF Appendix1 \h </w:instrText>
      </w:r>
      <w:r w:rsidR="007B3393" w:rsidRPr="00743081">
        <w:instrText xml:space="preserve"> \* MERGEFORMAT </w:instrText>
      </w:r>
      <w:r w:rsidR="00825320" w:rsidRPr="00743081">
        <w:fldChar w:fldCharType="separate"/>
      </w:r>
      <w:r w:rsidR="00934D5E" w:rsidRPr="00B65F7F">
        <w:t>Appendix 1</w:t>
      </w:r>
      <w:r w:rsidR="00825320" w:rsidRPr="00743081">
        <w:fldChar w:fldCharType="end"/>
      </w:r>
      <w:r w:rsidR="003F3037" w:rsidRPr="00743081">
        <w:t>.</w:t>
      </w:r>
    </w:p>
    <w:p w14:paraId="1C404EA6" w14:textId="77777777" w:rsidR="007B3393" w:rsidRPr="00B26D43" w:rsidRDefault="007B3393" w:rsidP="003A7DB3">
      <w:pPr>
        <w:pStyle w:val="BodyText"/>
      </w:pPr>
      <w:r w:rsidRPr="00B26D43">
        <w:t xml:space="preserve">The Review of sector funding arrangements and service provider capability for Aboriginal and Torres Strait Islander mental health and suicide prevention services and the Integrated Team Care (ITC) </w:t>
      </w:r>
      <w:r w:rsidR="000577D5">
        <w:t>p</w:t>
      </w:r>
      <w:r w:rsidRPr="00B26D43">
        <w:t>rogram was commissioned by the Australian Government Department of Health and Aged Care (</w:t>
      </w:r>
      <w:r w:rsidR="00CF6568">
        <w:t>DoHAC</w:t>
      </w:r>
      <w:r w:rsidRPr="00B26D43">
        <w:t>)</w:t>
      </w:r>
      <w:r>
        <w:t>. The Review provides</w:t>
      </w:r>
      <w:r w:rsidRPr="00B26D43">
        <w:t xml:space="preserve"> independent and informed strategic advice and recommendations to </w:t>
      </w:r>
      <w:r w:rsidR="00CF6568">
        <w:t>DoHAC</w:t>
      </w:r>
      <w:r w:rsidRPr="00B26D43">
        <w:t xml:space="preserve"> </w:t>
      </w:r>
      <w:r>
        <w:t xml:space="preserve">on how </w:t>
      </w:r>
      <w:r w:rsidRPr="00B26D43">
        <w:t>to best align and give effect to Priority Reforms and relevant clauses under the National Agreement in the delivery of Aboriginal and</w:t>
      </w:r>
      <w:r w:rsidR="00EC52BB">
        <w:t>/or</w:t>
      </w:r>
      <w:r w:rsidRPr="00B26D43">
        <w:t xml:space="preserve"> Torres Strait Islander mental health and suicide prevention services and the </w:t>
      </w:r>
      <w:r w:rsidR="000577D5">
        <w:t>ITC</w:t>
      </w:r>
      <w:r w:rsidRPr="00B26D43">
        <w:t xml:space="preserve"> program. </w:t>
      </w:r>
    </w:p>
    <w:p w14:paraId="6A15EA74" w14:textId="77777777" w:rsidR="005B4711" w:rsidRPr="00B65F7F" w:rsidRDefault="00103138" w:rsidP="003A7DB3">
      <w:pPr>
        <w:pStyle w:val="BodyText"/>
      </w:pPr>
      <w:r>
        <w:t>T</w:t>
      </w:r>
      <w:r w:rsidR="00675431" w:rsidRPr="00B65F7F">
        <w:t>h</w:t>
      </w:r>
      <w:r w:rsidR="00B7180A">
        <w:t xml:space="preserve">e Review’s </w:t>
      </w:r>
      <w:r w:rsidR="00675431" w:rsidRPr="00B65F7F">
        <w:t xml:space="preserve">recommendations </w:t>
      </w:r>
      <w:r w:rsidR="00B7180A">
        <w:t xml:space="preserve">must be considered in the context of the various </w:t>
      </w:r>
      <w:r w:rsidR="00510C94">
        <w:t xml:space="preserve">commitments, strategies and policies that exist to </w:t>
      </w:r>
      <w:r w:rsidRPr="00B65F7F">
        <w:t>address the impacts of colonisation on Aboriginal and/or Torres Strait Islander people (including by the promotion of self-determination)</w:t>
      </w:r>
      <w:r w:rsidR="00567437" w:rsidRPr="00B65F7F">
        <w:t xml:space="preserve">. </w:t>
      </w:r>
    </w:p>
    <w:p w14:paraId="65D04E2A" w14:textId="77777777" w:rsidR="005D081A" w:rsidRDefault="005D081A" w:rsidP="005D081A">
      <w:bookmarkStart w:id="7" w:name="_Toc120206130"/>
      <w:bookmarkStart w:id="8" w:name="_Toc124427614"/>
      <w:r>
        <w:br w:type="page"/>
      </w:r>
    </w:p>
    <w:p w14:paraId="03537BED" w14:textId="77777777" w:rsidR="005D081A" w:rsidRPr="00C72D61" w:rsidRDefault="005D081A" w:rsidP="00BB7F03">
      <w:pPr>
        <w:pStyle w:val="HeadingLevel2NoNumber"/>
        <w:rPr>
          <w:lang w:val="en-AU"/>
        </w:rPr>
      </w:pPr>
      <w:r w:rsidRPr="00C72D61">
        <w:rPr>
          <w:lang w:val="en-AU"/>
        </w:rPr>
        <w:lastRenderedPageBreak/>
        <w:t>Summary of recommendations</w:t>
      </w:r>
    </w:p>
    <w:p w14:paraId="34C5DE55" w14:textId="77777777" w:rsidR="005D081A" w:rsidRPr="00EA5B06" w:rsidRDefault="00B35751" w:rsidP="001B0732">
      <w:pPr>
        <w:pStyle w:val="HeadingLevel3NoNumber"/>
      </w:pPr>
      <w:r>
        <w:t xml:space="preserve">1. </w:t>
      </w:r>
      <w:r w:rsidR="005D081A" w:rsidRPr="00EA5B06">
        <w:t>Principles and enablers for effective future-state funding arrangements</w:t>
      </w:r>
    </w:p>
    <w:p w14:paraId="25EF354E" w14:textId="77777777" w:rsidR="003A3F54" w:rsidRDefault="005755A1" w:rsidP="003A7DB3">
      <w:pPr>
        <w:pStyle w:val="BodyText"/>
        <w:rPr>
          <w:lang w:val="en-GB"/>
        </w:rPr>
      </w:pPr>
      <w:r>
        <w:rPr>
          <w:lang w:val="en-GB"/>
        </w:rPr>
        <w:t>Stakeholders identified 4</w:t>
      </w:r>
      <w:r w:rsidR="005D081A" w:rsidRPr="478E4403">
        <w:rPr>
          <w:lang w:val="en-GB"/>
        </w:rPr>
        <w:t xml:space="preserve"> key principles </w:t>
      </w:r>
      <w:r>
        <w:rPr>
          <w:lang w:val="en-GB"/>
        </w:rPr>
        <w:t>that must</w:t>
      </w:r>
      <w:r w:rsidR="005D081A" w:rsidRPr="478E4403">
        <w:rPr>
          <w:lang w:val="en-GB"/>
        </w:rPr>
        <w:t xml:space="preserve"> underpin any future-state funding arrangements. These key principles are</w:t>
      </w:r>
      <w:r w:rsidR="003A3F54">
        <w:rPr>
          <w:lang w:val="en-GB"/>
        </w:rPr>
        <w:t>:</w:t>
      </w:r>
    </w:p>
    <w:p w14:paraId="64DCB452" w14:textId="77777777" w:rsidR="003A3F54" w:rsidRPr="003A3F54" w:rsidRDefault="00B536CE" w:rsidP="0066123B">
      <w:pPr>
        <w:pStyle w:val="List1"/>
      </w:pPr>
      <w:r w:rsidRPr="003A3F54">
        <w:rPr>
          <w:lang w:val="en-GB"/>
        </w:rPr>
        <w:t>Aboriginal and/or Torres Strait Islander</w:t>
      </w:r>
      <w:r w:rsidR="005D081A" w:rsidRPr="003A3F54">
        <w:rPr>
          <w:lang w:val="en-GB"/>
        </w:rPr>
        <w:t xml:space="preserve"> leadership and community empowerment </w:t>
      </w:r>
    </w:p>
    <w:p w14:paraId="01FE9678" w14:textId="77777777" w:rsidR="003A3F54" w:rsidRPr="003A3F54" w:rsidRDefault="003A3F54" w:rsidP="0066123B">
      <w:pPr>
        <w:pStyle w:val="List1"/>
      </w:pPr>
      <w:r>
        <w:rPr>
          <w:lang w:val="en-GB"/>
        </w:rPr>
        <w:t>A</w:t>
      </w:r>
      <w:r w:rsidR="005D081A" w:rsidRPr="003A3F54">
        <w:rPr>
          <w:lang w:val="en-GB"/>
        </w:rPr>
        <w:t xml:space="preserve"> First Nation’s holistic model </w:t>
      </w:r>
    </w:p>
    <w:p w14:paraId="1EDF238E" w14:textId="77777777" w:rsidR="00636998" w:rsidRPr="000C0D8B" w:rsidRDefault="003A3F54" w:rsidP="0066123B">
      <w:pPr>
        <w:pStyle w:val="List1"/>
      </w:pPr>
      <w:r>
        <w:rPr>
          <w:lang w:val="en-GB"/>
        </w:rPr>
        <w:t>A</w:t>
      </w:r>
      <w:r w:rsidR="005D081A" w:rsidRPr="003A3F54">
        <w:rPr>
          <w:lang w:val="en-GB"/>
        </w:rPr>
        <w:t xml:space="preserve"> culturally safe and accessible system</w:t>
      </w:r>
    </w:p>
    <w:p w14:paraId="7163CDA3" w14:textId="77777777" w:rsidR="003A3F54" w:rsidRPr="003A3F54" w:rsidRDefault="00636998" w:rsidP="0066123B">
      <w:pPr>
        <w:pStyle w:val="List1"/>
      </w:pPr>
      <w:r>
        <w:rPr>
          <w:lang w:val="en-GB"/>
        </w:rPr>
        <w:t>A</w:t>
      </w:r>
      <w:r w:rsidRPr="003A3F54">
        <w:rPr>
          <w:lang w:val="en-GB"/>
        </w:rPr>
        <w:t xml:space="preserve"> strengths-based approach</w:t>
      </w:r>
      <w:r w:rsidR="005D081A" w:rsidRPr="000C0D8B">
        <w:rPr>
          <w:lang w:val="en-GB"/>
        </w:rPr>
        <w:t xml:space="preserve">. </w:t>
      </w:r>
    </w:p>
    <w:p w14:paraId="1CD4C8E6" w14:textId="77777777" w:rsidR="005D081A" w:rsidRDefault="00F13A5E" w:rsidP="0066123B">
      <w:pPr>
        <w:pStyle w:val="BodyText1stparaafterlist"/>
      </w:pPr>
      <w:r w:rsidRPr="003A3F54">
        <w:rPr>
          <w:lang w:val="en-GB"/>
        </w:rPr>
        <w:t xml:space="preserve">Stakeholders also identified </w:t>
      </w:r>
      <w:r w:rsidR="005D081A" w:rsidRPr="003A3F54">
        <w:rPr>
          <w:lang w:val="en-GB"/>
        </w:rPr>
        <w:t>21 enablers to support these principles.</w:t>
      </w:r>
    </w:p>
    <w:p w14:paraId="2A2BDB93" w14:textId="77777777" w:rsidR="005D081A" w:rsidRDefault="005D081A" w:rsidP="003A7DB3">
      <w:pPr>
        <w:pStyle w:val="BodyText"/>
      </w:pPr>
      <w:r w:rsidRPr="478E4403">
        <w:rPr>
          <w:lang w:val="en-GB"/>
        </w:rPr>
        <w:t>The principles for effective future-state funding arrangements and the corresponding key enablers are designed to ensure that all stakeholders (</w:t>
      </w:r>
      <w:r w:rsidR="005A7833">
        <w:rPr>
          <w:lang w:val="en-GB"/>
        </w:rPr>
        <w:t xml:space="preserve">governments, </w:t>
      </w:r>
      <w:r w:rsidRPr="478E4403">
        <w:rPr>
          <w:lang w:val="en-GB"/>
        </w:rPr>
        <w:t>PHNs, peak bodies and service providers) understand and can adhere to the conceptual foundations for the future-state funding arrangements. This is particularly important</w:t>
      </w:r>
      <w:r w:rsidR="007D107A">
        <w:rPr>
          <w:lang w:val="en-GB"/>
        </w:rPr>
        <w:t>,</w:t>
      </w:r>
      <w:r w:rsidRPr="478E4403">
        <w:rPr>
          <w:lang w:val="en-GB"/>
        </w:rPr>
        <w:t xml:space="preserve"> as the specific design of the future-state funding arrangements </w:t>
      </w:r>
      <w:r w:rsidR="00B42A72">
        <w:rPr>
          <w:lang w:val="en-GB"/>
        </w:rPr>
        <w:t xml:space="preserve">may </w:t>
      </w:r>
      <w:r w:rsidRPr="478E4403">
        <w:rPr>
          <w:lang w:val="en-GB"/>
        </w:rPr>
        <w:t>vary across Australia.</w:t>
      </w:r>
    </w:p>
    <w:p w14:paraId="6F935CD5" w14:textId="1CA18BC4" w:rsidR="009A30C5" w:rsidRPr="008D25BF" w:rsidRDefault="005D081A" w:rsidP="003A7DB3">
      <w:pPr>
        <w:pStyle w:val="BodyText"/>
        <w:rPr>
          <w:lang w:val="en-GB"/>
        </w:rPr>
      </w:pPr>
      <w:r w:rsidRPr="008D25BF">
        <w:rPr>
          <w:lang w:val="en-GB"/>
        </w:rPr>
        <w:t xml:space="preserve">The 4 key principles and the corresponding enablers are depicted in </w:t>
      </w:r>
      <w:r w:rsidR="001D2136">
        <w:rPr>
          <w:lang w:val="en-GB"/>
        </w:rPr>
        <w:fldChar w:fldCharType="begin"/>
      </w:r>
      <w:r w:rsidR="001D2136">
        <w:rPr>
          <w:lang w:val="en-GB"/>
        </w:rPr>
        <w:instrText xml:space="preserve"> REF _Ref151753767 \h  \* MERGEFORMAT </w:instrText>
      </w:r>
      <w:r w:rsidR="001D2136">
        <w:rPr>
          <w:lang w:val="en-GB"/>
        </w:rPr>
      </w:r>
      <w:r w:rsidR="001D2136">
        <w:rPr>
          <w:lang w:val="en-GB"/>
        </w:rPr>
        <w:fldChar w:fldCharType="separate"/>
      </w:r>
      <w:r w:rsidR="00934D5E" w:rsidRPr="00934D5E">
        <w:rPr>
          <w:lang w:val="en-GB"/>
        </w:rPr>
        <w:t>Figure ES1</w:t>
      </w:r>
      <w:r w:rsidR="001D2136">
        <w:rPr>
          <w:lang w:val="en-GB"/>
        </w:rPr>
        <w:fldChar w:fldCharType="end"/>
      </w:r>
      <w:r w:rsidR="00EF53B5" w:rsidRPr="008D25BF">
        <w:rPr>
          <w:lang w:val="en-GB"/>
        </w:rPr>
        <w:t>.</w:t>
      </w:r>
      <w:bookmarkStart w:id="9" w:name="_Ref145499561"/>
      <w:r w:rsidR="009A30C5" w:rsidRPr="008D25BF">
        <w:rPr>
          <w:lang w:val="en-GB"/>
        </w:rPr>
        <w:t xml:space="preserve"> </w:t>
      </w:r>
    </w:p>
    <w:p w14:paraId="035D4DB2" w14:textId="0704D7FC" w:rsidR="00E05CC9" w:rsidRDefault="001D2136" w:rsidP="001D2136">
      <w:pPr>
        <w:pStyle w:val="CaptionFigure"/>
      </w:pPr>
      <w:bookmarkStart w:id="10" w:name="_Ref151753767"/>
      <w:bookmarkStart w:id="11" w:name="_Toc156932024"/>
      <w:r>
        <w:lastRenderedPageBreak/>
        <w:t>Figure ES</w:t>
      </w:r>
      <w:r>
        <w:fldChar w:fldCharType="begin"/>
      </w:r>
      <w:r>
        <w:instrText>SEQ Figure_ES \* ARABIC</w:instrText>
      </w:r>
      <w:r>
        <w:fldChar w:fldCharType="separate"/>
      </w:r>
      <w:r w:rsidR="00934D5E">
        <w:rPr>
          <w:noProof/>
        </w:rPr>
        <w:t>1</w:t>
      </w:r>
      <w:r>
        <w:fldChar w:fldCharType="end"/>
      </w:r>
      <w:bookmarkEnd w:id="10"/>
      <w:r>
        <w:t xml:space="preserve">: </w:t>
      </w:r>
      <w:r w:rsidR="00E05CC9" w:rsidRPr="00801E28">
        <w:t>Artwork of principles and enablers, designed by Gerard Black (Worimi)</w:t>
      </w:r>
      <w:bookmarkEnd w:id="11"/>
    </w:p>
    <w:p w14:paraId="2D7A51F3" w14:textId="77777777" w:rsidR="00E05CC9" w:rsidRDefault="00324FEB" w:rsidP="00292E56">
      <w:pPr>
        <w:pStyle w:val="BodyText"/>
        <w:jc w:val="center"/>
      </w:pPr>
      <w:r w:rsidRPr="004D5828">
        <w:rPr>
          <w:noProof/>
        </w:rPr>
        <w:drawing>
          <wp:inline distT="0" distB="0" distL="0" distR="0" wp14:anchorId="5C3AFDFA" wp14:editId="7CCBDBB7">
            <wp:extent cx="5857336" cy="8292962"/>
            <wp:effectExtent l="0" t="0" r="0" b="635"/>
            <wp:docPr id="425876698" name="Picture 425876698" descr="An artwork painted in the style of Aboriginal art shows a central circle, around which are 4 key principles: A. First Nations leadership and community empowerment, B. A First Nation's holistic model, C. A culturally safe and accessible system and D. A strengths-based approach.  Then there are further designed circles, until another circle of 21 elements is seen, representing the 21 enablers. They are  1 – Aboriginal and/or Torres Strait Islander communities lead the process 2 – Place based governance arrangements 3 – Ongoing and accessible feedback mechanisms 4 – Data sovereignty 5 – A true understanding and use of partnerships/co-design 6 – Longer funding cycles  7 – Universal coverage with no geographical gaps 8 – Consolidated and pooled funding  9 – Using Aboriginal and/or Torres Strait Islander’ approach to health 10 – Needs based funding and distribution 11 – Fair and transparent funding decisions 12 – Inclusive funding processes 13 – Flexibility to meet local and unique needs 14 – Outcome-based reporting and KPIs 15 – Consolidated, streamlined reporting 16 – Transparent reporting 17 – Support for the broader Aboriginal and/or Torres Strait Islander workforce 18 – Interagency and jurisdictional collaboration 19 – Enhance the non-Indigenous service sector with cultural safety 20 – Service coordination 21 – No wrong door pol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876698" name="Picture 1" descr="An artwork painted in the style of Aboriginal art shows a central circle, around which are 4 key principles: A. First Nations leadership and community empowerment, B. A First Nation's holistic model, C. A culturally safe and accessible system and D. A strengths-based approach.  Then there are further designed circles, until another circle of 21 elements is seen, representing the 21 enablers. They are  1 – Aboriginal and/or Torres Strait Islander communities lead the process 2 – Place based governance arrangements 3 – Ongoing and accessible feedback mechanisms 4 – Data sovereignty 5 – A true understanding and use of partnerships/co-design 6 – Longer funding cycles  7 – Universal coverage with no geographical gaps 8 – Consolidated and pooled funding  9 – Using Aboriginal and/or Torres Strait Islander’ approach to health 10 – Needs based funding and distribution 11 – Fair and transparent funding decisions 12 – Inclusive funding processes 13 – Flexibility to meet local and unique needs 14 – Outcome-based reporting and KPIs 15 – Consolidated, streamlined reporting 16 – Transparent reporting 17 – Support for the broader Aboriginal and/or Torres Strait Islander workforce 18 – Interagency and jurisdictional collaboration 19 – Enhance the non-Indigenous service sector with cultural safety 20 – Service coordination 21 – No wrong door policy"/>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5857336" cy="8292962"/>
                    </a:xfrm>
                    <a:prstGeom prst="rect">
                      <a:avLst/>
                    </a:prstGeom>
                    <a:noFill/>
                    <a:ln>
                      <a:noFill/>
                    </a:ln>
                  </pic:spPr>
                </pic:pic>
              </a:graphicData>
            </a:graphic>
          </wp:inline>
        </w:drawing>
      </w:r>
      <w:bookmarkEnd w:id="9"/>
    </w:p>
    <w:p w14:paraId="48A6982A" w14:textId="77777777" w:rsidR="005D081A" w:rsidRPr="00DD16D5" w:rsidRDefault="00EA5B06" w:rsidP="001B0732">
      <w:pPr>
        <w:pStyle w:val="HeadingLevel3NoNumber"/>
      </w:pPr>
      <w:r w:rsidRPr="009F22E8">
        <w:lastRenderedPageBreak/>
        <w:t xml:space="preserve">2. </w:t>
      </w:r>
      <w:r w:rsidR="00261FBF" w:rsidRPr="009F22E8">
        <w:t>Recommended</w:t>
      </w:r>
      <w:r w:rsidR="005D081A" w:rsidRPr="009F22E8">
        <w:t xml:space="preserve"> </w:t>
      </w:r>
      <w:r w:rsidR="007D107A">
        <w:t>f</w:t>
      </w:r>
      <w:r w:rsidR="005D081A" w:rsidRPr="009F22E8">
        <w:t>uture</w:t>
      </w:r>
      <w:r w:rsidR="007D107A">
        <w:t>-s</w:t>
      </w:r>
      <w:r w:rsidR="005D081A" w:rsidRPr="009F22E8">
        <w:t xml:space="preserve">tate </w:t>
      </w:r>
      <w:r w:rsidR="007D107A">
        <w:t>f</w:t>
      </w:r>
      <w:r w:rsidR="005D081A" w:rsidRPr="009F22E8">
        <w:t xml:space="preserve">unding </w:t>
      </w:r>
      <w:r w:rsidR="007D107A">
        <w:t>a</w:t>
      </w:r>
      <w:r w:rsidR="005D081A" w:rsidRPr="009F22E8">
        <w:t>rrangements</w:t>
      </w:r>
    </w:p>
    <w:p w14:paraId="3A2868A3" w14:textId="77777777" w:rsidR="009E05A9" w:rsidRPr="00C200A7" w:rsidRDefault="005D081A" w:rsidP="003A7DB3">
      <w:pPr>
        <w:pStyle w:val="BodyText"/>
        <w:rPr>
          <w:lang w:val="en-GB"/>
        </w:rPr>
      </w:pPr>
      <w:r w:rsidRPr="478E4403">
        <w:rPr>
          <w:lang w:val="en-GB"/>
        </w:rPr>
        <w:t xml:space="preserve">Stakeholders identified that </w:t>
      </w:r>
      <w:r w:rsidR="00636998">
        <w:rPr>
          <w:lang w:val="en-GB"/>
        </w:rPr>
        <w:t>one</w:t>
      </w:r>
      <w:r w:rsidR="009F22E8">
        <w:rPr>
          <w:lang w:val="en-GB"/>
        </w:rPr>
        <w:t xml:space="preserve"> funding</w:t>
      </w:r>
      <w:r w:rsidRPr="478E4403">
        <w:rPr>
          <w:lang w:val="en-GB"/>
        </w:rPr>
        <w:t xml:space="preserve"> arrangement represented the most appropriate approach to give practical effect to the key funding principles</w:t>
      </w:r>
      <w:r w:rsidR="009F22E8">
        <w:rPr>
          <w:lang w:val="en-GB"/>
        </w:rPr>
        <w:t xml:space="preserve"> and enablers</w:t>
      </w:r>
      <w:r w:rsidRPr="478E4403">
        <w:rPr>
          <w:lang w:val="en-GB"/>
        </w:rPr>
        <w:t xml:space="preserve">. </w:t>
      </w:r>
      <w:r w:rsidR="008C63F9">
        <w:rPr>
          <w:lang w:val="en-GB"/>
        </w:rPr>
        <w:t xml:space="preserve">This arrangement – </w:t>
      </w:r>
      <w:r w:rsidRPr="478E4403">
        <w:rPr>
          <w:lang w:val="en-GB"/>
        </w:rPr>
        <w:t>Arrangement A</w:t>
      </w:r>
      <w:r w:rsidR="008C63F9">
        <w:rPr>
          <w:lang w:val="en-GB"/>
        </w:rPr>
        <w:t xml:space="preserve">, which adopts a </w:t>
      </w:r>
      <w:r w:rsidR="003A3F54">
        <w:rPr>
          <w:lang w:val="en-GB"/>
        </w:rPr>
        <w:t>catchment</w:t>
      </w:r>
      <w:r w:rsidR="008C63F9">
        <w:rPr>
          <w:lang w:val="en-GB"/>
        </w:rPr>
        <w:t>-based funding approach</w:t>
      </w:r>
      <w:r w:rsidRPr="478E4403">
        <w:rPr>
          <w:lang w:val="en-GB"/>
        </w:rPr>
        <w:t xml:space="preserve"> </w:t>
      </w:r>
      <w:r w:rsidR="008C63F9">
        <w:rPr>
          <w:lang w:val="en-GB"/>
        </w:rPr>
        <w:t xml:space="preserve">– </w:t>
      </w:r>
      <w:r w:rsidR="009E05A9">
        <w:rPr>
          <w:lang w:val="en-GB"/>
        </w:rPr>
        <w:t xml:space="preserve">has </w:t>
      </w:r>
      <w:r w:rsidRPr="478E4403">
        <w:rPr>
          <w:lang w:val="en-GB"/>
        </w:rPr>
        <w:t>2 variations</w:t>
      </w:r>
      <w:r w:rsidR="00C200A7">
        <w:rPr>
          <w:lang w:val="en-GB"/>
        </w:rPr>
        <w:t>. These variations are summarised below</w:t>
      </w:r>
      <w:r w:rsidR="009E05A9">
        <w:rPr>
          <w:lang w:val="en-GB"/>
        </w:rPr>
        <w:t>:</w:t>
      </w:r>
    </w:p>
    <w:p w14:paraId="3B4305D7" w14:textId="7FB3B181" w:rsidR="009E05A9" w:rsidRDefault="009E05A9" w:rsidP="00292E56">
      <w:pPr>
        <w:pStyle w:val="ListBullet2"/>
        <w:rPr>
          <w:rFonts w:eastAsia="Calibri"/>
        </w:rPr>
      </w:pPr>
      <w:r w:rsidRPr="478E4403">
        <w:rPr>
          <w:rFonts w:eastAsia="Calibri"/>
          <w:b/>
          <w:bCs/>
        </w:rPr>
        <w:t xml:space="preserve">Arrangement A1 – State/territory model: </w:t>
      </w:r>
      <w:r w:rsidR="009F22E8" w:rsidRPr="009F22E8">
        <w:rPr>
          <w:rFonts w:eastAsia="Calibri"/>
        </w:rPr>
        <w:t>Involves a</w:t>
      </w:r>
      <w:r>
        <w:rPr>
          <w:rFonts w:eastAsia="Calibri"/>
        </w:rPr>
        <w:t>n Aboriginal and/or Torres Strait Islander</w:t>
      </w:r>
      <w:r w:rsidRPr="478E4403">
        <w:rPr>
          <w:rFonts w:eastAsia="Calibri"/>
        </w:rPr>
        <w:t xml:space="preserve"> community-controlled body </w:t>
      </w:r>
      <w:r w:rsidR="005C7DD9">
        <w:rPr>
          <w:rFonts w:eastAsia="Calibri" w:cs="Calibri"/>
        </w:rPr>
        <w:t xml:space="preserve">(lead entity) </w:t>
      </w:r>
      <w:r w:rsidRPr="478E4403">
        <w:rPr>
          <w:rFonts w:eastAsia="Calibri"/>
        </w:rPr>
        <w:t xml:space="preserve">at a </w:t>
      </w:r>
      <w:r w:rsidRPr="478E4403">
        <w:rPr>
          <w:rFonts w:eastAsia="Calibri"/>
          <w:b/>
          <w:bCs/>
        </w:rPr>
        <w:t>state/territory level</w:t>
      </w:r>
      <w:r w:rsidRPr="478E4403">
        <w:rPr>
          <w:rFonts w:eastAsia="Calibri"/>
        </w:rPr>
        <w:t xml:space="preserve"> administer</w:t>
      </w:r>
      <w:r w:rsidR="009F22E8">
        <w:rPr>
          <w:rFonts w:eastAsia="Calibri"/>
        </w:rPr>
        <w:t>ing</w:t>
      </w:r>
      <w:r w:rsidRPr="478E4403">
        <w:rPr>
          <w:rFonts w:eastAsia="Calibri"/>
        </w:rPr>
        <w:t xml:space="preserve"> the </w:t>
      </w:r>
      <w:r w:rsidR="002B5174">
        <w:rPr>
          <w:rFonts w:eastAsia="Calibri"/>
        </w:rPr>
        <w:t>Relevant Health Programs</w:t>
      </w:r>
      <w:r w:rsidRPr="478E4403">
        <w:rPr>
          <w:rFonts w:eastAsia="Calibri"/>
        </w:rPr>
        <w:t xml:space="preserve"> as the funding body</w:t>
      </w:r>
      <w:r w:rsidR="003A3F54">
        <w:rPr>
          <w:rFonts w:eastAsia="Calibri"/>
        </w:rPr>
        <w:t xml:space="preserve"> for their state/territory catchment.</w:t>
      </w:r>
    </w:p>
    <w:p w14:paraId="1543CDAB" w14:textId="30ABD983" w:rsidR="009E05A9" w:rsidRPr="009E05A9" w:rsidRDefault="009E05A9" w:rsidP="00292E56">
      <w:pPr>
        <w:pStyle w:val="ListBullet2"/>
        <w:rPr>
          <w:rFonts w:eastAsia="Calibri"/>
        </w:rPr>
      </w:pPr>
      <w:r w:rsidRPr="478E4403">
        <w:rPr>
          <w:rFonts w:eastAsia="Calibri"/>
          <w:b/>
          <w:bCs/>
        </w:rPr>
        <w:t xml:space="preserve">Arrangement A2 – Regional model: </w:t>
      </w:r>
      <w:r w:rsidR="009F22E8" w:rsidRPr="009F22E8">
        <w:rPr>
          <w:rFonts w:eastAsia="Calibri"/>
        </w:rPr>
        <w:t>Involves a</w:t>
      </w:r>
      <w:r>
        <w:rPr>
          <w:rFonts w:eastAsia="Calibri"/>
        </w:rPr>
        <w:t>n Aboriginal and/or Torres Strait Islander</w:t>
      </w:r>
      <w:r w:rsidRPr="478E4403">
        <w:rPr>
          <w:rFonts w:eastAsia="Calibri"/>
        </w:rPr>
        <w:t xml:space="preserve"> community-controlled body </w:t>
      </w:r>
      <w:r w:rsidR="005C7DD9">
        <w:rPr>
          <w:rFonts w:eastAsia="Calibri" w:cs="Calibri"/>
        </w:rPr>
        <w:t xml:space="preserve">(lead entity) </w:t>
      </w:r>
      <w:r w:rsidRPr="478E4403">
        <w:rPr>
          <w:rFonts w:eastAsia="Calibri"/>
        </w:rPr>
        <w:t xml:space="preserve">at the </w:t>
      </w:r>
      <w:r w:rsidRPr="478E4403">
        <w:rPr>
          <w:rFonts w:eastAsia="Calibri"/>
          <w:b/>
          <w:bCs/>
        </w:rPr>
        <w:t>regional level</w:t>
      </w:r>
      <w:r w:rsidRPr="478E4403">
        <w:rPr>
          <w:rFonts w:eastAsia="Calibri"/>
        </w:rPr>
        <w:t xml:space="preserve"> administer</w:t>
      </w:r>
      <w:r w:rsidR="009F22E8">
        <w:rPr>
          <w:rFonts w:eastAsia="Calibri"/>
        </w:rPr>
        <w:t>ing</w:t>
      </w:r>
      <w:r w:rsidRPr="478E4403">
        <w:rPr>
          <w:rFonts w:eastAsia="Calibri"/>
        </w:rPr>
        <w:t xml:space="preserve"> the </w:t>
      </w:r>
      <w:r w:rsidR="002B5174">
        <w:rPr>
          <w:rFonts w:eastAsia="Calibri"/>
        </w:rPr>
        <w:t>Relevant Health Programs</w:t>
      </w:r>
      <w:r w:rsidRPr="478E4403">
        <w:rPr>
          <w:rFonts w:eastAsia="Calibri"/>
        </w:rPr>
        <w:t xml:space="preserve"> as the funding body </w:t>
      </w:r>
      <w:r w:rsidR="003A3F54">
        <w:rPr>
          <w:rFonts w:eastAsia="Calibri"/>
        </w:rPr>
        <w:t>for their regional catchment.</w:t>
      </w:r>
    </w:p>
    <w:p w14:paraId="6535D450" w14:textId="77777777" w:rsidR="005D081A" w:rsidRDefault="005D081A" w:rsidP="003A7DB3">
      <w:pPr>
        <w:pStyle w:val="BodyText"/>
        <w:rPr>
          <w:lang w:val="en-GB"/>
        </w:rPr>
      </w:pPr>
      <w:r w:rsidRPr="478E4403">
        <w:rPr>
          <w:lang w:val="en-GB"/>
        </w:rPr>
        <w:t>Th</w:t>
      </w:r>
      <w:r w:rsidR="009E05A9">
        <w:rPr>
          <w:lang w:val="en-GB"/>
        </w:rPr>
        <w:t>e</w:t>
      </w:r>
      <w:r w:rsidR="008056E0">
        <w:rPr>
          <w:lang w:val="en-GB"/>
        </w:rPr>
        <w:t xml:space="preserve"> reason for the 2 </w:t>
      </w:r>
      <w:r w:rsidR="009E05A9">
        <w:rPr>
          <w:lang w:val="en-GB"/>
        </w:rPr>
        <w:t>variations</w:t>
      </w:r>
      <w:r w:rsidR="008056E0">
        <w:rPr>
          <w:lang w:val="en-GB"/>
        </w:rPr>
        <w:t xml:space="preserve"> forming part of Arrangement A</w:t>
      </w:r>
      <w:r w:rsidR="009E05A9">
        <w:rPr>
          <w:lang w:val="en-GB"/>
        </w:rPr>
        <w:t xml:space="preserve"> </w:t>
      </w:r>
      <w:r w:rsidR="003A3F54">
        <w:rPr>
          <w:lang w:val="en-GB"/>
        </w:rPr>
        <w:t>reflects</w:t>
      </w:r>
      <w:r w:rsidRPr="478E4403">
        <w:rPr>
          <w:lang w:val="en-GB"/>
        </w:rPr>
        <w:t xml:space="preserve"> </w:t>
      </w:r>
      <w:bookmarkStart w:id="12" w:name="_Int_S4eFZUKI"/>
      <w:r w:rsidR="003A3F54">
        <w:rPr>
          <w:lang w:val="en-GB"/>
        </w:rPr>
        <w:t>differences in</w:t>
      </w:r>
      <w:r w:rsidR="00EC3947">
        <w:rPr>
          <w:lang w:val="en-GB"/>
        </w:rPr>
        <w:t xml:space="preserve"> the views of </w:t>
      </w:r>
      <w:r w:rsidR="003A3F54">
        <w:rPr>
          <w:lang w:val="en-GB"/>
        </w:rPr>
        <w:t>stakeholders</w:t>
      </w:r>
      <w:r w:rsidR="00EC3947">
        <w:rPr>
          <w:lang w:val="en-GB"/>
        </w:rPr>
        <w:t xml:space="preserve"> engaged in the Review</w:t>
      </w:r>
      <w:r w:rsidR="004C63B1">
        <w:rPr>
          <w:lang w:val="en-GB"/>
        </w:rPr>
        <w:t xml:space="preserve"> about which type of organisation is best placed to administer funding for the Relevant Health Programs</w:t>
      </w:r>
      <w:r w:rsidR="008C63F9">
        <w:rPr>
          <w:lang w:val="en-GB"/>
        </w:rPr>
        <w:t xml:space="preserve">. </w:t>
      </w:r>
      <w:bookmarkEnd w:id="12"/>
      <w:r w:rsidRPr="478E4403">
        <w:rPr>
          <w:lang w:val="en-GB"/>
        </w:rPr>
        <w:t xml:space="preserve">For example, some stakeholders viewed </w:t>
      </w:r>
      <w:r w:rsidR="00F066C4">
        <w:rPr>
          <w:lang w:val="en-GB"/>
        </w:rPr>
        <w:t>organisations representing</w:t>
      </w:r>
      <w:r w:rsidRPr="478E4403">
        <w:rPr>
          <w:lang w:val="en-GB"/>
        </w:rPr>
        <w:t xml:space="preserve"> entire state</w:t>
      </w:r>
      <w:r w:rsidR="000C200B">
        <w:rPr>
          <w:lang w:val="en-GB"/>
        </w:rPr>
        <w:t>s</w:t>
      </w:r>
      <w:r w:rsidRPr="478E4403">
        <w:rPr>
          <w:lang w:val="en-GB"/>
        </w:rPr>
        <w:t xml:space="preserve"> or territor</w:t>
      </w:r>
      <w:r w:rsidR="00F066C4">
        <w:rPr>
          <w:lang w:val="en-GB"/>
        </w:rPr>
        <w:t>ies</w:t>
      </w:r>
      <w:r w:rsidRPr="478E4403">
        <w:rPr>
          <w:lang w:val="en-GB"/>
        </w:rPr>
        <w:t xml:space="preserve"> </w:t>
      </w:r>
      <w:r w:rsidR="00F066C4">
        <w:rPr>
          <w:lang w:val="en-GB"/>
        </w:rPr>
        <w:t>as appropriate to administer the funding arrangements</w:t>
      </w:r>
      <w:r w:rsidRPr="478E4403">
        <w:rPr>
          <w:lang w:val="en-GB"/>
        </w:rPr>
        <w:t xml:space="preserve"> (A1), while other</w:t>
      </w:r>
      <w:r w:rsidR="008C63F9">
        <w:rPr>
          <w:lang w:val="en-GB"/>
        </w:rPr>
        <w:t xml:space="preserve">s viewed </w:t>
      </w:r>
      <w:r w:rsidR="003953DF">
        <w:rPr>
          <w:lang w:val="en-GB"/>
        </w:rPr>
        <w:t xml:space="preserve">smaller geographic </w:t>
      </w:r>
      <w:r w:rsidR="008C63F9">
        <w:rPr>
          <w:lang w:val="en-GB"/>
        </w:rPr>
        <w:t>regions as being more local</w:t>
      </w:r>
      <w:r w:rsidR="003953DF">
        <w:rPr>
          <w:lang w:val="en-GB"/>
        </w:rPr>
        <w:t>ised</w:t>
      </w:r>
      <w:r w:rsidR="008C63F9">
        <w:rPr>
          <w:lang w:val="en-GB"/>
        </w:rPr>
        <w:t xml:space="preserve">, </w:t>
      </w:r>
      <w:r w:rsidRPr="478E4403">
        <w:rPr>
          <w:lang w:val="en-GB"/>
        </w:rPr>
        <w:t>requiring a more targeted (localised and/or place-based) arrangement (A2)</w:t>
      </w:r>
      <w:r w:rsidR="003953DF">
        <w:rPr>
          <w:lang w:val="en-GB"/>
        </w:rPr>
        <w:t xml:space="preserve">. </w:t>
      </w:r>
    </w:p>
    <w:p w14:paraId="069AC0BF" w14:textId="78A916B6" w:rsidR="2167C479" w:rsidRDefault="000C217F" w:rsidP="00C72D61">
      <w:pPr>
        <w:pStyle w:val="BodyText"/>
        <w:rPr>
          <w:rFonts w:eastAsia="Calibri" w:cs="Calibri"/>
          <w:szCs w:val="22"/>
          <w:lang w:val="en-GB"/>
        </w:rPr>
      </w:pPr>
      <w:r>
        <w:rPr>
          <w:lang w:val="en-GB"/>
        </w:rPr>
        <w:t>Two other future</w:t>
      </w:r>
      <w:r w:rsidR="00743081">
        <w:rPr>
          <w:lang w:val="en-GB"/>
        </w:rPr>
        <w:t>-</w:t>
      </w:r>
      <w:r>
        <w:rPr>
          <w:lang w:val="en-GB"/>
        </w:rPr>
        <w:t xml:space="preserve">state funding arrangements were considered throughout this </w:t>
      </w:r>
      <w:r w:rsidR="00743081">
        <w:rPr>
          <w:lang w:val="en-GB"/>
        </w:rPr>
        <w:t>R</w:t>
      </w:r>
      <w:r>
        <w:rPr>
          <w:lang w:val="en-GB"/>
        </w:rPr>
        <w:t xml:space="preserve">eview and are documented in this report. </w:t>
      </w:r>
      <w:r w:rsidR="004A2D7D">
        <w:rPr>
          <w:lang w:val="en-GB"/>
        </w:rPr>
        <w:t xml:space="preserve">The details for these, including the rationale for recommending Arrangement A, </w:t>
      </w:r>
      <w:r w:rsidR="008757C8">
        <w:rPr>
          <w:lang w:val="en-GB"/>
        </w:rPr>
        <w:t xml:space="preserve">are </w:t>
      </w:r>
      <w:r w:rsidR="004A2D7D">
        <w:rPr>
          <w:lang w:val="en-GB"/>
        </w:rPr>
        <w:t xml:space="preserve">set out in </w:t>
      </w:r>
      <w:r w:rsidR="00FA4DEA">
        <w:rPr>
          <w:lang w:val="en-GB"/>
        </w:rPr>
        <w:fldChar w:fldCharType="begin"/>
      </w:r>
      <w:r w:rsidR="00FA4DEA">
        <w:rPr>
          <w:lang w:val="en-GB"/>
        </w:rPr>
        <w:instrText xml:space="preserve"> REF Chapter3_withtitle \r \h </w:instrText>
      </w:r>
      <w:r w:rsidR="00FA4DEA">
        <w:rPr>
          <w:lang w:val="en-GB"/>
        </w:rPr>
      </w:r>
      <w:r w:rsidR="00FA4DEA">
        <w:rPr>
          <w:lang w:val="en-GB"/>
        </w:rPr>
        <w:fldChar w:fldCharType="separate"/>
      </w:r>
      <w:r w:rsidR="00934D5E">
        <w:rPr>
          <w:lang w:val="en-GB"/>
        </w:rPr>
        <w:t>Chapter 3</w:t>
      </w:r>
      <w:r w:rsidR="00FA4DEA">
        <w:rPr>
          <w:lang w:val="en-GB"/>
        </w:rPr>
        <w:fldChar w:fldCharType="end"/>
      </w:r>
      <w:r w:rsidR="000C200B">
        <w:rPr>
          <w:lang w:val="en-GB"/>
        </w:rPr>
        <w:t>.</w:t>
      </w:r>
      <w:r w:rsidR="00410675">
        <w:rPr>
          <w:lang w:val="en-GB"/>
        </w:rPr>
        <w:t xml:space="preserve"> Despite </w:t>
      </w:r>
      <w:r w:rsidR="00E719E4">
        <w:rPr>
          <w:lang w:val="en-GB"/>
        </w:rPr>
        <w:t xml:space="preserve">them </w:t>
      </w:r>
      <w:r w:rsidR="00410675">
        <w:rPr>
          <w:lang w:val="en-GB"/>
        </w:rPr>
        <w:t>not being recommended as future-state funding arrangement</w:t>
      </w:r>
      <w:r w:rsidR="00E719E4">
        <w:rPr>
          <w:lang w:val="en-GB"/>
        </w:rPr>
        <w:t>s</w:t>
      </w:r>
      <w:r w:rsidR="00410675">
        <w:rPr>
          <w:lang w:val="en-GB"/>
        </w:rPr>
        <w:t xml:space="preserve">, </w:t>
      </w:r>
      <w:r w:rsidR="008757C8">
        <w:rPr>
          <w:lang w:val="en-GB"/>
        </w:rPr>
        <w:t xml:space="preserve">it is recommended that </w:t>
      </w:r>
      <w:r w:rsidR="00B341C7">
        <w:rPr>
          <w:lang w:val="en-GB"/>
        </w:rPr>
        <w:t xml:space="preserve">these arrangements be considered as part of the Early </w:t>
      </w:r>
      <w:r w:rsidR="0043040B">
        <w:rPr>
          <w:lang w:val="en-GB"/>
        </w:rPr>
        <w:t>Adopter</w:t>
      </w:r>
      <w:r w:rsidR="00B341C7">
        <w:rPr>
          <w:lang w:val="en-GB"/>
        </w:rPr>
        <w:t xml:space="preserve"> Period (EAP), which is detailed in the </w:t>
      </w:r>
      <w:r w:rsidR="009E38E1">
        <w:rPr>
          <w:lang w:val="en-GB"/>
        </w:rPr>
        <w:fldChar w:fldCharType="begin"/>
      </w:r>
      <w:r w:rsidR="009E38E1">
        <w:rPr>
          <w:lang w:val="en-GB"/>
        </w:rPr>
        <w:instrText xml:space="preserve"> REF RoadmapXform43_wordsonly \h </w:instrText>
      </w:r>
      <w:r w:rsidR="00E1214E">
        <w:rPr>
          <w:lang w:val="en-GB"/>
        </w:rPr>
        <w:instrText xml:space="preserve"> \* MERGEFORMAT </w:instrText>
      </w:r>
      <w:r w:rsidR="009E38E1">
        <w:rPr>
          <w:lang w:val="en-GB"/>
        </w:rPr>
      </w:r>
      <w:r w:rsidR="009E38E1">
        <w:rPr>
          <w:lang w:val="en-GB"/>
        </w:rPr>
        <w:fldChar w:fldCharType="separate"/>
      </w:r>
      <w:r w:rsidR="00934D5E" w:rsidRPr="00934D5E">
        <w:rPr>
          <w:lang w:val="en-GB"/>
        </w:rPr>
        <w:t>Roadmap for transformation</w:t>
      </w:r>
      <w:r w:rsidR="009E38E1">
        <w:rPr>
          <w:lang w:val="en-GB"/>
        </w:rPr>
        <w:fldChar w:fldCharType="end"/>
      </w:r>
      <w:r w:rsidR="007327AC">
        <w:rPr>
          <w:lang w:val="en-GB"/>
        </w:rPr>
        <w:t>.</w:t>
      </w:r>
    </w:p>
    <w:p w14:paraId="79E10778" w14:textId="77777777" w:rsidR="005D081A" w:rsidRPr="00500A62" w:rsidRDefault="005D081A" w:rsidP="00974A68">
      <w:pPr>
        <w:pStyle w:val="HeadingLevel4NoNumber"/>
      </w:pPr>
      <w:r w:rsidRPr="00500A62">
        <w:t>Arrangements A1 and A2 (state/territory model and/or regional model)</w:t>
      </w:r>
    </w:p>
    <w:p w14:paraId="48E88D9D" w14:textId="23DF5848" w:rsidR="005D081A" w:rsidRDefault="005D081A" w:rsidP="003A7DB3">
      <w:pPr>
        <w:pStyle w:val="BodyText"/>
        <w:rPr>
          <w:lang w:val="en-GB"/>
        </w:rPr>
      </w:pPr>
      <w:r w:rsidRPr="478E4403">
        <w:rPr>
          <w:lang w:val="en-GB"/>
        </w:rPr>
        <w:t xml:space="preserve">Arrangements A1 and A2 have </w:t>
      </w:r>
      <w:r w:rsidR="002F56F7">
        <w:rPr>
          <w:lang w:val="en-GB"/>
        </w:rPr>
        <w:t>a</w:t>
      </w:r>
      <w:r w:rsidR="00791FF2">
        <w:rPr>
          <w:lang w:val="en-GB"/>
        </w:rPr>
        <w:t>n Aboriginal</w:t>
      </w:r>
      <w:r w:rsidR="00845B7E">
        <w:rPr>
          <w:lang w:val="en-GB"/>
        </w:rPr>
        <w:t xml:space="preserve"> and/or Torres Strait Islander</w:t>
      </w:r>
      <w:r w:rsidRPr="478E4403">
        <w:rPr>
          <w:lang w:val="en-GB"/>
        </w:rPr>
        <w:t xml:space="preserve"> community-controlled body </w:t>
      </w:r>
      <w:r w:rsidR="00070C8C">
        <w:rPr>
          <w:lang w:val="en-GB"/>
        </w:rPr>
        <w:t xml:space="preserve">(lead entity) </w:t>
      </w:r>
      <w:r w:rsidRPr="478E4403">
        <w:rPr>
          <w:lang w:val="en-GB"/>
        </w:rPr>
        <w:t xml:space="preserve">at a </w:t>
      </w:r>
      <w:r w:rsidRPr="008056E0">
        <w:rPr>
          <w:b/>
          <w:bCs/>
          <w:lang w:val="en-GB"/>
        </w:rPr>
        <w:t>state/territory</w:t>
      </w:r>
      <w:r w:rsidRPr="478E4403">
        <w:rPr>
          <w:lang w:val="en-GB"/>
        </w:rPr>
        <w:t xml:space="preserve"> or </w:t>
      </w:r>
      <w:r w:rsidRPr="008056E0">
        <w:rPr>
          <w:b/>
          <w:bCs/>
          <w:lang w:val="en-GB"/>
        </w:rPr>
        <w:t>regional</w:t>
      </w:r>
      <w:r w:rsidRPr="478E4403">
        <w:rPr>
          <w:lang w:val="en-GB"/>
        </w:rPr>
        <w:t xml:space="preserve"> level receiving funding from </w:t>
      </w:r>
      <w:r w:rsidR="00CF6568">
        <w:rPr>
          <w:lang w:val="en-GB"/>
        </w:rPr>
        <w:t>DoHAC</w:t>
      </w:r>
      <w:r w:rsidRPr="478E4403">
        <w:rPr>
          <w:lang w:val="en-GB"/>
        </w:rPr>
        <w:t xml:space="preserve"> to administer the </w:t>
      </w:r>
      <w:r w:rsidR="002B5174">
        <w:rPr>
          <w:lang w:val="en-GB"/>
        </w:rPr>
        <w:t>Relevant Health Programs</w:t>
      </w:r>
      <w:r w:rsidRPr="478E4403">
        <w:rPr>
          <w:lang w:val="en-GB"/>
        </w:rPr>
        <w:t>.</w:t>
      </w:r>
    </w:p>
    <w:p w14:paraId="1C8DA604" w14:textId="57ECF23B" w:rsidR="004A2D7D" w:rsidRPr="00E2603A" w:rsidRDefault="004A2D7D" w:rsidP="003A7DB3">
      <w:pPr>
        <w:pStyle w:val="BodyText"/>
        <w:rPr>
          <w:lang w:val="en-GB"/>
        </w:rPr>
      </w:pPr>
      <w:r w:rsidRPr="478E4403">
        <w:rPr>
          <w:lang w:val="en-GB"/>
        </w:rPr>
        <w:t>A visual representation of the arrangement is given in</w:t>
      </w:r>
      <w:r w:rsidR="001D2136">
        <w:rPr>
          <w:lang w:val="en-GB"/>
        </w:rPr>
        <w:t xml:space="preserve"> </w:t>
      </w:r>
      <w:r w:rsidR="001D2136">
        <w:rPr>
          <w:lang w:val="en-GB"/>
        </w:rPr>
        <w:fldChar w:fldCharType="begin"/>
      </w:r>
      <w:r w:rsidR="001D2136">
        <w:rPr>
          <w:lang w:val="en-GB"/>
        </w:rPr>
        <w:instrText xml:space="preserve"> REF _Ref151753814 \h  \* MERGEFORMAT </w:instrText>
      </w:r>
      <w:r w:rsidR="001D2136">
        <w:rPr>
          <w:lang w:val="en-GB"/>
        </w:rPr>
      </w:r>
      <w:r w:rsidR="001D2136">
        <w:rPr>
          <w:lang w:val="en-GB"/>
        </w:rPr>
        <w:fldChar w:fldCharType="separate"/>
      </w:r>
      <w:r w:rsidR="00934D5E" w:rsidRPr="00934D5E">
        <w:rPr>
          <w:lang w:val="en-GB"/>
        </w:rPr>
        <w:t>Figure ES2</w:t>
      </w:r>
      <w:r w:rsidR="001D2136">
        <w:rPr>
          <w:lang w:val="en-GB"/>
        </w:rPr>
        <w:fldChar w:fldCharType="end"/>
      </w:r>
      <w:r w:rsidR="001D2136">
        <w:rPr>
          <w:lang w:val="en-GB"/>
        </w:rPr>
        <w:t>.</w:t>
      </w:r>
    </w:p>
    <w:p w14:paraId="424BC009" w14:textId="29CF901C" w:rsidR="007D107A" w:rsidRDefault="001D2136" w:rsidP="0036618F">
      <w:pPr>
        <w:pStyle w:val="CaptionFigure"/>
      </w:pPr>
      <w:bookmarkStart w:id="13" w:name="_Ref151753814"/>
      <w:bookmarkStart w:id="14" w:name="_Toc156932025"/>
      <w:r>
        <w:t>Figure ES</w:t>
      </w:r>
      <w:r>
        <w:fldChar w:fldCharType="begin"/>
      </w:r>
      <w:r>
        <w:instrText>SEQ Figure_ES \* ARABIC</w:instrText>
      </w:r>
      <w:r>
        <w:fldChar w:fldCharType="separate"/>
      </w:r>
      <w:r w:rsidR="00934D5E">
        <w:rPr>
          <w:noProof/>
        </w:rPr>
        <w:t>2</w:t>
      </w:r>
      <w:r>
        <w:fldChar w:fldCharType="end"/>
      </w:r>
      <w:bookmarkEnd w:id="13"/>
      <w:r>
        <w:t>:</w:t>
      </w:r>
      <w:r w:rsidR="007D107A">
        <w:t xml:space="preserve"> </w:t>
      </w:r>
      <w:r w:rsidR="007D107A" w:rsidRPr="00B41286">
        <w:t>Simple diagram of Arrangements A1 and A2</w:t>
      </w:r>
      <w:bookmarkEnd w:id="14"/>
    </w:p>
    <w:p w14:paraId="6F12FDD2" w14:textId="77777777" w:rsidR="004A2D7D" w:rsidRDefault="004A2D7D" w:rsidP="00292E56">
      <w:pPr>
        <w:pStyle w:val="BodyText"/>
        <w:jc w:val="center"/>
      </w:pPr>
      <w:r>
        <w:rPr>
          <w:noProof/>
        </w:rPr>
        <w:drawing>
          <wp:inline distT="0" distB="0" distL="0" distR="0" wp14:anchorId="34A1EEFB" wp14:editId="1342DD4B">
            <wp:extent cx="5977388" cy="2917104"/>
            <wp:effectExtent l="0" t="0" r="4445" b="0"/>
            <wp:docPr id="1882000614" name="Picture 1882000614" descr="The diagram is a flow chart that uses dark circular and rectangular shapes and colour-coded arrows to illustrate the relationships between the parties in Arrangements A1 and A2. The Australian Government Department of Health and Aged Care provides funding and oversight to the Aboriginal and/or Torres Strait Islander community-controlled body (lead entity) who provides consolidated reporting back to the department. Primary Health Networks support non-Indigenous service providers to deliver services in a culturally safe and appropriate manner. The National Aboriginal Community Controlled Health Organisation supplies peak body advice and support to both the department and the Aboriginal and/or Torres Strait Islander community-controlled body (lead entity). Within the Relevant Health Programs, the Aboriginal and/or Torres Strait Islander community-controlled body (lead entity) partners with service providers, both Aboriginal Community Controlled Health Organisation service providers and non-Indigenous service providers, to understand and meet community needs and to monitor and evaluate the programs. The service providers deliver services to the communities and clients and reports back to the Aboriginal and/or Torres Strait Islander community-controlled body (lead entity) on the services provided and outcome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000614" name="Picture 1882000614" descr="The diagram is a flow chart that uses dark circular and rectangular shapes and colour-coded arrows to illustrate the relationships between the parties in Arrangements A1 and A2. The Australian Government Department of Health and Aged Care provides funding and oversight to the Aboriginal and/or Torres Strait Islander community-controlled body (lead entity) who provides consolidated reporting back to the department. Primary Health Networks support non-Indigenous service providers to deliver services in a culturally safe and appropriate manner. The National Aboriginal Community Controlled Health Organisation supplies peak body advice and support to both the department and the Aboriginal and/or Torres Strait Islander community-controlled body (lead entity). Within the Relevant Health Programs, the Aboriginal and/or Torres Strait Islander community-controlled body (lead entity) partners with service providers, both Aboriginal Community Controlled Health Organisation service providers and non-Indigenous service providers, to understand and meet community needs and to monitor and evaluate the programs. The service providers deliver services to the communities and clients and reports back to the Aboriginal and/or Torres Strait Islander community-controlled body (lead entity) on the services provided and outcomes. &#10;"/>
                    <pic:cNvPicPr/>
                  </pic:nvPicPr>
                  <pic:blipFill rotWithShape="1">
                    <a:blip r:embed="rId24" cstate="print">
                      <a:extLst>
                        <a:ext uri="{28A0092B-C50C-407E-A947-70E740481C1C}">
                          <a14:useLocalDpi xmlns:a14="http://schemas.microsoft.com/office/drawing/2010/main" val="0"/>
                        </a:ext>
                      </a:extLst>
                    </a:blip>
                    <a:srcRect t="18680" b="12287"/>
                    <a:stretch/>
                  </pic:blipFill>
                  <pic:spPr bwMode="auto">
                    <a:xfrm>
                      <a:off x="0" y="0"/>
                      <a:ext cx="5984873" cy="2920757"/>
                    </a:xfrm>
                    <a:prstGeom prst="rect">
                      <a:avLst/>
                    </a:prstGeom>
                    <a:ln>
                      <a:noFill/>
                    </a:ln>
                    <a:extLst>
                      <a:ext uri="{53640926-AAD7-44D8-BBD7-CCE9431645EC}">
                        <a14:shadowObscured xmlns:a14="http://schemas.microsoft.com/office/drawing/2010/main"/>
                      </a:ext>
                    </a:extLst>
                  </pic:spPr>
                </pic:pic>
              </a:graphicData>
            </a:graphic>
          </wp:inline>
        </w:drawing>
      </w:r>
    </w:p>
    <w:p w14:paraId="46A063D0" w14:textId="4ACD1ECD" w:rsidR="004A2D7D" w:rsidRPr="0036618F" w:rsidRDefault="004A2D7D" w:rsidP="0036618F">
      <w:pPr>
        <w:pStyle w:val="BodyText"/>
        <w:rPr>
          <w:b/>
          <w:bCs/>
        </w:rPr>
      </w:pPr>
      <w:r w:rsidRPr="0036618F">
        <w:rPr>
          <w:b/>
          <w:bCs/>
          <w:lang w:val="en-GB"/>
        </w:rPr>
        <w:lastRenderedPageBreak/>
        <w:t>Summary of key functions of a state/territory or regional Aboriginal and/or Torres Strait Islander community-controlled body</w:t>
      </w:r>
      <w:r w:rsidR="00EA4089" w:rsidRPr="0036618F">
        <w:rPr>
          <w:b/>
          <w:bCs/>
          <w:lang w:val="en-GB"/>
        </w:rPr>
        <w:t xml:space="preserve"> (</w:t>
      </w:r>
      <w:r w:rsidR="00874616">
        <w:rPr>
          <w:b/>
          <w:bCs/>
          <w:lang w:val="en-GB"/>
        </w:rPr>
        <w:t>l</w:t>
      </w:r>
      <w:r w:rsidR="00EA4089" w:rsidRPr="0036618F">
        <w:rPr>
          <w:b/>
          <w:bCs/>
          <w:lang w:val="en-GB"/>
        </w:rPr>
        <w:t xml:space="preserve">ead </w:t>
      </w:r>
      <w:r w:rsidR="00874616">
        <w:rPr>
          <w:b/>
          <w:bCs/>
          <w:lang w:val="en-GB"/>
        </w:rPr>
        <w:t>e</w:t>
      </w:r>
      <w:r w:rsidR="00EA4089" w:rsidRPr="0036618F">
        <w:rPr>
          <w:b/>
          <w:bCs/>
          <w:lang w:val="en-GB"/>
        </w:rPr>
        <w:t>ntity)</w:t>
      </w:r>
    </w:p>
    <w:p w14:paraId="12220C70" w14:textId="4DCA9301" w:rsidR="004A2D7D" w:rsidRDefault="004A2D7D" w:rsidP="003A7DB3">
      <w:pPr>
        <w:pStyle w:val="BodyText"/>
      </w:pPr>
      <w:r w:rsidRPr="478E4403">
        <w:rPr>
          <w:lang w:val="en-GB"/>
        </w:rPr>
        <w:t xml:space="preserve">The key functions of </w:t>
      </w:r>
      <w:r>
        <w:rPr>
          <w:lang w:val="en-GB"/>
        </w:rPr>
        <w:t>an Aboriginal and/or Torres Strait Islander</w:t>
      </w:r>
      <w:r w:rsidRPr="478E4403">
        <w:rPr>
          <w:lang w:val="en-GB"/>
        </w:rPr>
        <w:t xml:space="preserve"> community-controlled body </w:t>
      </w:r>
      <w:r w:rsidR="00070C8C">
        <w:rPr>
          <w:lang w:val="en-GB"/>
        </w:rPr>
        <w:t>(</w:t>
      </w:r>
      <w:r w:rsidR="00874616">
        <w:rPr>
          <w:lang w:val="en-GB"/>
        </w:rPr>
        <w:t>l</w:t>
      </w:r>
      <w:r w:rsidR="00070C8C">
        <w:rPr>
          <w:lang w:val="en-GB"/>
        </w:rPr>
        <w:t xml:space="preserve">ead </w:t>
      </w:r>
      <w:r w:rsidR="00874616">
        <w:rPr>
          <w:lang w:val="en-GB"/>
        </w:rPr>
        <w:t>e</w:t>
      </w:r>
      <w:r w:rsidR="00070C8C">
        <w:rPr>
          <w:lang w:val="en-GB"/>
        </w:rPr>
        <w:t xml:space="preserve">ntity) </w:t>
      </w:r>
      <w:r w:rsidRPr="478E4403">
        <w:rPr>
          <w:lang w:val="en-GB"/>
        </w:rPr>
        <w:t xml:space="preserve">at the state/territory or regional level would include (but not be limited to) the following for the </w:t>
      </w:r>
      <w:r w:rsidR="00FC128B">
        <w:rPr>
          <w:lang w:val="en-GB"/>
        </w:rPr>
        <w:t>Relevant Health Programs</w:t>
      </w:r>
      <w:r w:rsidRPr="478E4403">
        <w:rPr>
          <w:lang w:val="en-GB"/>
        </w:rPr>
        <w:t xml:space="preserve">: </w:t>
      </w:r>
    </w:p>
    <w:p w14:paraId="3F43F16A" w14:textId="77777777" w:rsidR="004A2D7D" w:rsidRPr="00CC4877" w:rsidRDefault="004A2D7D" w:rsidP="003B07D3">
      <w:pPr>
        <w:pStyle w:val="List1"/>
        <w:numPr>
          <w:ilvl w:val="0"/>
          <w:numId w:val="18"/>
        </w:numPr>
      </w:pPr>
      <w:r w:rsidRPr="00CC4877">
        <w:t>determine and document community need</w:t>
      </w:r>
      <w:r w:rsidR="005A7833" w:rsidRPr="00CC4877">
        <w:t xml:space="preserve"> and priorities</w:t>
      </w:r>
      <w:r w:rsidRPr="00CC4877">
        <w:t xml:space="preserve"> – this may be done in collaboration with other organisations, such as PHNs, if determined useful by the state/territory </w:t>
      </w:r>
      <w:r w:rsidR="001D5F91" w:rsidRPr="00CC4877">
        <w:t xml:space="preserve">or regional </w:t>
      </w:r>
      <w:r w:rsidRPr="00CC4877">
        <w:t>body</w:t>
      </w:r>
    </w:p>
    <w:p w14:paraId="2C914959" w14:textId="77777777" w:rsidR="004A2D7D" w:rsidRPr="00CC4877" w:rsidRDefault="004A2D7D" w:rsidP="00CC4877">
      <w:pPr>
        <w:pStyle w:val="List1"/>
      </w:pPr>
      <w:r w:rsidRPr="00CC4877">
        <w:t xml:space="preserve">work with </w:t>
      </w:r>
      <w:r w:rsidR="00CF6568" w:rsidRPr="00CC4877">
        <w:t>DoHAC</w:t>
      </w:r>
      <w:r w:rsidRPr="00CC4877">
        <w:t xml:space="preserve"> to determine appropriate funding to meet identified needs and confirm outcome-focused reporting requirements</w:t>
      </w:r>
    </w:p>
    <w:p w14:paraId="5CB7AD01" w14:textId="77777777" w:rsidR="004A2D7D" w:rsidRPr="00CC4877" w:rsidRDefault="004A2D7D" w:rsidP="00CC4877">
      <w:pPr>
        <w:pStyle w:val="List1"/>
      </w:pPr>
      <w:r w:rsidRPr="00CC4877">
        <w:t>administer and govern funding to service providers (Aboriginal and/or Torres Strait Islander and non-Indigenous) via a self-determined funding arrangement.</w:t>
      </w:r>
    </w:p>
    <w:p w14:paraId="0D74D8C2" w14:textId="77777777" w:rsidR="006F4BAA" w:rsidRPr="0036618F" w:rsidRDefault="006F4BAA" w:rsidP="0036618F">
      <w:pPr>
        <w:pStyle w:val="BodyText"/>
        <w:rPr>
          <w:b/>
          <w:bCs/>
        </w:rPr>
      </w:pPr>
      <w:r w:rsidRPr="0036618F">
        <w:rPr>
          <w:b/>
          <w:bCs/>
          <w:lang w:val="en-GB"/>
        </w:rPr>
        <w:t xml:space="preserve">Overview of organisations that could take responsibility for administering the </w:t>
      </w:r>
      <w:r w:rsidR="002B5174" w:rsidRPr="0036618F">
        <w:rPr>
          <w:b/>
          <w:bCs/>
          <w:lang w:val="en-GB"/>
        </w:rPr>
        <w:t>Relevant Health Programs</w:t>
      </w:r>
      <w:r w:rsidRPr="0036618F">
        <w:rPr>
          <w:b/>
          <w:bCs/>
          <w:lang w:val="en-GB"/>
        </w:rPr>
        <w:t xml:space="preserve"> </w:t>
      </w:r>
    </w:p>
    <w:p w14:paraId="56AC3256" w14:textId="77777777" w:rsidR="005D081A" w:rsidRDefault="00E63587" w:rsidP="003A7DB3">
      <w:pPr>
        <w:pStyle w:val="BodyText"/>
      </w:pPr>
      <w:r>
        <w:rPr>
          <w:lang w:val="en-GB"/>
        </w:rPr>
        <w:t>An Aboriginal</w:t>
      </w:r>
      <w:r w:rsidR="00845B7E">
        <w:rPr>
          <w:lang w:val="en-GB"/>
        </w:rPr>
        <w:t xml:space="preserve"> and/or Torres Strait Islander</w:t>
      </w:r>
      <w:r w:rsidR="005D081A" w:rsidRPr="478E4403">
        <w:rPr>
          <w:lang w:val="en-GB"/>
        </w:rPr>
        <w:t xml:space="preserve"> community-controlled body at a </w:t>
      </w:r>
      <w:r w:rsidR="005D081A" w:rsidRPr="004A2D7D">
        <w:rPr>
          <w:b/>
          <w:bCs/>
          <w:lang w:val="en-GB"/>
        </w:rPr>
        <w:t>state/territory</w:t>
      </w:r>
      <w:r w:rsidR="005D081A" w:rsidRPr="478E4403">
        <w:rPr>
          <w:lang w:val="en-GB"/>
        </w:rPr>
        <w:t xml:space="preserve"> level could be:</w:t>
      </w:r>
    </w:p>
    <w:p w14:paraId="2713FF5C" w14:textId="77777777" w:rsidR="005D081A" w:rsidRDefault="005D081A" w:rsidP="00292E56">
      <w:pPr>
        <w:pStyle w:val="ListBullet2"/>
        <w:rPr>
          <w:rFonts w:eastAsia="Calibri"/>
        </w:rPr>
      </w:pPr>
      <w:r w:rsidRPr="478E4403">
        <w:rPr>
          <w:rFonts w:eastAsia="Calibri"/>
        </w:rPr>
        <w:t xml:space="preserve">an established organisation, such as a sector peak, for example a </w:t>
      </w:r>
      <w:r w:rsidR="00E1214E" w:rsidRPr="00E1214E">
        <w:rPr>
          <w:rFonts w:eastAsia="Calibri"/>
        </w:rPr>
        <w:t xml:space="preserve">National Aboriginal Community Controlled Health Organisation </w:t>
      </w:r>
      <w:r w:rsidR="00E1214E">
        <w:rPr>
          <w:rFonts w:eastAsia="Calibri"/>
        </w:rPr>
        <w:t>(</w:t>
      </w:r>
      <w:r w:rsidRPr="478E4403">
        <w:rPr>
          <w:rFonts w:eastAsia="Calibri"/>
        </w:rPr>
        <w:t>NACCHO</w:t>
      </w:r>
      <w:r w:rsidR="00E1214E">
        <w:rPr>
          <w:rFonts w:eastAsia="Calibri"/>
        </w:rPr>
        <w:t>)</w:t>
      </w:r>
      <w:r w:rsidRPr="478E4403">
        <w:rPr>
          <w:rFonts w:eastAsia="Calibri"/>
        </w:rPr>
        <w:t xml:space="preserve"> affiliate </w:t>
      </w:r>
    </w:p>
    <w:p w14:paraId="45383866" w14:textId="77777777" w:rsidR="005D081A" w:rsidRDefault="005D081A" w:rsidP="00292E56">
      <w:pPr>
        <w:pStyle w:val="ListBullet2"/>
        <w:rPr>
          <w:rFonts w:eastAsia="Calibri"/>
        </w:rPr>
      </w:pPr>
      <w:r w:rsidRPr="478E4403">
        <w:rPr>
          <w:rFonts w:eastAsia="Calibri"/>
        </w:rPr>
        <w:t xml:space="preserve">a newly developed organisation. </w:t>
      </w:r>
    </w:p>
    <w:p w14:paraId="18D881F1" w14:textId="77777777" w:rsidR="005D081A" w:rsidRDefault="00E63587" w:rsidP="003A7DB3">
      <w:pPr>
        <w:pStyle w:val="BodyText"/>
      </w:pPr>
      <w:r>
        <w:rPr>
          <w:lang w:val="en-GB"/>
        </w:rPr>
        <w:t>An Aboriginal</w:t>
      </w:r>
      <w:r w:rsidR="00845B7E">
        <w:rPr>
          <w:lang w:val="en-GB"/>
        </w:rPr>
        <w:t xml:space="preserve"> and/or Torres Strait Islander</w:t>
      </w:r>
      <w:r w:rsidR="005D081A" w:rsidRPr="478E4403">
        <w:rPr>
          <w:lang w:val="en-GB"/>
        </w:rPr>
        <w:t xml:space="preserve"> community-controlled body at the </w:t>
      </w:r>
      <w:r w:rsidR="005D081A" w:rsidRPr="004A2D7D">
        <w:rPr>
          <w:b/>
          <w:lang w:val="en-GB"/>
        </w:rPr>
        <w:t>regional</w:t>
      </w:r>
      <w:r w:rsidR="005D081A" w:rsidRPr="478E4403">
        <w:rPr>
          <w:lang w:val="en-GB"/>
        </w:rPr>
        <w:t xml:space="preserve"> level could be:</w:t>
      </w:r>
    </w:p>
    <w:p w14:paraId="44FDA8B5" w14:textId="77777777" w:rsidR="005D081A" w:rsidRDefault="005D081A" w:rsidP="00292E56">
      <w:pPr>
        <w:pStyle w:val="ListBullet2"/>
        <w:rPr>
          <w:rFonts w:eastAsia="Calibri"/>
        </w:rPr>
      </w:pPr>
      <w:r w:rsidRPr="478E4403">
        <w:rPr>
          <w:rFonts w:eastAsia="Calibri"/>
        </w:rPr>
        <w:t>an established regional body, organisation, alliance or consortium</w:t>
      </w:r>
    </w:p>
    <w:p w14:paraId="523DFD65" w14:textId="77777777" w:rsidR="005D081A" w:rsidRDefault="005D081A" w:rsidP="00292E56">
      <w:pPr>
        <w:pStyle w:val="ListBullet2"/>
        <w:rPr>
          <w:rFonts w:eastAsia="Calibri"/>
        </w:rPr>
      </w:pPr>
      <w:r w:rsidRPr="478E4403">
        <w:rPr>
          <w:rFonts w:eastAsia="Calibri"/>
        </w:rPr>
        <w:t>a newly developed regional body, organisation, alliance or consortium</w:t>
      </w:r>
    </w:p>
    <w:p w14:paraId="2F2EFD22" w14:textId="77777777" w:rsidR="005D081A" w:rsidRDefault="005D081A" w:rsidP="00292E56">
      <w:pPr>
        <w:pStyle w:val="ListBullet2"/>
        <w:rPr>
          <w:rFonts w:eastAsia="Calibri"/>
        </w:rPr>
      </w:pPr>
      <w:r w:rsidRPr="478E4403">
        <w:rPr>
          <w:rFonts w:eastAsia="Calibri"/>
        </w:rPr>
        <w:t>a yet-to-be-established organisation.</w:t>
      </w:r>
    </w:p>
    <w:p w14:paraId="38B1DB57" w14:textId="77777777" w:rsidR="005D081A" w:rsidRDefault="005D081A" w:rsidP="003A7DB3">
      <w:pPr>
        <w:pStyle w:val="BodyText"/>
      </w:pPr>
      <w:r w:rsidRPr="478E4403">
        <w:rPr>
          <w:lang w:val="en-GB"/>
        </w:rPr>
        <w:t xml:space="preserve">The designation of the state, territory or regional body would be informed by factors such as the </w:t>
      </w:r>
      <w:r w:rsidR="008056E0">
        <w:rPr>
          <w:lang w:val="en-GB"/>
        </w:rPr>
        <w:t>self-determined</w:t>
      </w:r>
      <w:r w:rsidR="001D5F91">
        <w:rPr>
          <w:lang w:val="en-GB"/>
        </w:rPr>
        <w:t xml:space="preserve"> capability,</w:t>
      </w:r>
      <w:r w:rsidR="008056E0">
        <w:rPr>
          <w:lang w:val="en-GB"/>
        </w:rPr>
        <w:t xml:space="preserve"> </w:t>
      </w:r>
      <w:r w:rsidRPr="478E4403">
        <w:rPr>
          <w:lang w:val="en-GB"/>
        </w:rPr>
        <w:t xml:space="preserve">capacity and willingness of an organisation to take on this role, and the alignment between local </w:t>
      </w:r>
      <w:r w:rsidR="00845B7E">
        <w:rPr>
          <w:lang w:val="en-GB"/>
        </w:rPr>
        <w:t>Aboriginal and/or Torres Strait Islander</w:t>
      </w:r>
      <w:r w:rsidRPr="478E4403">
        <w:rPr>
          <w:lang w:val="en-GB"/>
        </w:rPr>
        <w:t xml:space="preserve"> communities and the established state/territory or regional organisation self-determining their roles. </w:t>
      </w:r>
    </w:p>
    <w:p w14:paraId="1A387837" w14:textId="77777777" w:rsidR="005D081A" w:rsidRPr="00EA5B06" w:rsidRDefault="00B35751" w:rsidP="001B0732">
      <w:pPr>
        <w:pStyle w:val="HeadingLevel3NoNumber"/>
      </w:pPr>
      <w:r>
        <w:t xml:space="preserve">3. </w:t>
      </w:r>
      <w:r w:rsidR="005D081A" w:rsidRPr="00EA5B06">
        <w:t xml:space="preserve">Towards the </w:t>
      </w:r>
      <w:r w:rsidR="00FA330B">
        <w:t xml:space="preserve">recommended </w:t>
      </w:r>
      <w:r w:rsidR="005D081A" w:rsidRPr="00EA5B06">
        <w:t>future-state funding arrangements</w:t>
      </w:r>
    </w:p>
    <w:p w14:paraId="0368A722" w14:textId="77777777" w:rsidR="00774F0E" w:rsidRPr="00B65F7F" w:rsidRDefault="00AA5467" w:rsidP="0036618F">
      <w:pPr>
        <w:pStyle w:val="BodyText"/>
      </w:pPr>
      <w:r>
        <w:rPr>
          <w:lang w:val="en-GB"/>
        </w:rPr>
        <w:t xml:space="preserve">Moving </w:t>
      </w:r>
      <w:r w:rsidR="00FA330B">
        <w:rPr>
          <w:lang w:val="en-GB"/>
        </w:rPr>
        <w:t>towards the recommended future</w:t>
      </w:r>
      <w:r w:rsidR="0043040B">
        <w:rPr>
          <w:lang w:val="en-GB"/>
        </w:rPr>
        <w:t>-</w:t>
      </w:r>
      <w:r w:rsidR="00FA330B">
        <w:rPr>
          <w:lang w:val="en-GB"/>
        </w:rPr>
        <w:t>state funding arrangements</w:t>
      </w:r>
      <w:r w:rsidR="005D081A" w:rsidRPr="478E4403">
        <w:rPr>
          <w:lang w:val="en-GB"/>
        </w:rPr>
        <w:t xml:space="preserve"> </w:t>
      </w:r>
      <w:r w:rsidR="0043040B">
        <w:rPr>
          <w:lang w:val="en-GB"/>
        </w:rPr>
        <w:t>is</w:t>
      </w:r>
      <w:r w:rsidR="005D081A" w:rsidRPr="478E4403">
        <w:rPr>
          <w:lang w:val="en-GB"/>
        </w:rPr>
        <w:t xml:space="preserve"> a complex and challenging </w:t>
      </w:r>
      <w:r w:rsidR="0043040B">
        <w:rPr>
          <w:lang w:val="en-GB"/>
        </w:rPr>
        <w:t>transformation requiring</w:t>
      </w:r>
      <w:r w:rsidR="00887001">
        <w:rPr>
          <w:lang w:val="en-GB"/>
        </w:rPr>
        <w:t xml:space="preserve"> a process centred around 6 transformation features and delivered across </w:t>
      </w:r>
      <w:r w:rsidR="009F4C8B">
        <w:rPr>
          <w:lang w:val="en-GB"/>
        </w:rPr>
        <w:t>6</w:t>
      </w:r>
      <w:r w:rsidR="0043040B">
        <w:rPr>
          <w:lang w:val="en-GB"/>
        </w:rPr>
        <w:t xml:space="preserve"> </w:t>
      </w:r>
      <w:r w:rsidR="00887001">
        <w:rPr>
          <w:lang w:val="en-GB"/>
        </w:rPr>
        <w:t>phases</w:t>
      </w:r>
      <w:r w:rsidR="00774F0E">
        <w:rPr>
          <w:lang w:val="en-GB"/>
        </w:rPr>
        <w:t>:</w:t>
      </w:r>
    </w:p>
    <w:p w14:paraId="60E06BF6" w14:textId="77777777" w:rsidR="00774F0E" w:rsidRPr="00CC4877" w:rsidRDefault="00774F0E" w:rsidP="003B07D3">
      <w:pPr>
        <w:pStyle w:val="List1"/>
        <w:numPr>
          <w:ilvl w:val="0"/>
          <w:numId w:val="19"/>
        </w:numPr>
      </w:pPr>
      <w:r w:rsidRPr="00CC4877">
        <w:t xml:space="preserve">proactive </w:t>
      </w:r>
      <w:r w:rsidR="00B264B5" w:rsidRPr="00CC4877">
        <w:t>preparation, planning,</w:t>
      </w:r>
      <w:r w:rsidRPr="00CC4877">
        <w:t xml:space="preserve"> </w:t>
      </w:r>
      <w:r w:rsidR="00581368" w:rsidRPr="00CC4877">
        <w:t xml:space="preserve">market stabilisation </w:t>
      </w:r>
      <w:r w:rsidRPr="00CC4877">
        <w:t xml:space="preserve">and risk management (Phase </w:t>
      </w:r>
      <w:r w:rsidR="00173776" w:rsidRPr="00CC4877">
        <w:t>1</w:t>
      </w:r>
      <w:r w:rsidRPr="00CC4877">
        <w:t xml:space="preserve">: Pre-transition) </w:t>
      </w:r>
    </w:p>
    <w:p w14:paraId="1C9AA771" w14:textId="77777777" w:rsidR="00774F0E" w:rsidRPr="00CC4877" w:rsidRDefault="00774F0E" w:rsidP="00CC4877">
      <w:pPr>
        <w:pStyle w:val="List1"/>
      </w:pPr>
      <w:r w:rsidRPr="00CC4877">
        <w:t xml:space="preserve">identifying and engaging early adopters (Phase </w:t>
      </w:r>
      <w:r w:rsidR="00173776" w:rsidRPr="00CC4877">
        <w:t>2</w:t>
      </w:r>
      <w:r w:rsidRPr="00CC4877">
        <w:t>: Establish EAP)</w:t>
      </w:r>
    </w:p>
    <w:p w14:paraId="7416632E" w14:textId="77777777" w:rsidR="00774F0E" w:rsidRPr="00CC4877" w:rsidRDefault="00774F0E" w:rsidP="00CC4877">
      <w:pPr>
        <w:pStyle w:val="List1"/>
      </w:pPr>
      <w:r w:rsidRPr="00CC4877">
        <w:t xml:space="preserve">the transition of Relevant Health Programs from PHNs to the selected early adopter </w:t>
      </w:r>
      <w:r w:rsidR="00B67260" w:rsidRPr="00CC4877">
        <w:t>organisations</w:t>
      </w:r>
      <w:r w:rsidRPr="00CC4877">
        <w:t xml:space="preserve"> (Phase </w:t>
      </w:r>
      <w:r w:rsidR="00173776" w:rsidRPr="00CC4877">
        <w:t>3</w:t>
      </w:r>
      <w:r w:rsidRPr="00CC4877">
        <w:t>: EAP Transition)</w:t>
      </w:r>
    </w:p>
    <w:p w14:paraId="19E7C058" w14:textId="77777777" w:rsidR="00774F0E" w:rsidRPr="00CC4877" w:rsidRDefault="00164D65" w:rsidP="00CC4877">
      <w:pPr>
        <w:pStyle w:val="List1"/>
      </w:pPr>
      <w:r w:rsidRPr="00CC4877">
        <w:t>n</w:t>
      </w:r>
      <w:r w:rsidR="00774F0E" w:rsidRPr="00CC4877">
        <w:t xml:space="preserve">ational transition service and sector planning (Phase </w:t>
      </w:r>
      <w:r w:rsidR="00173776" w:rsidRPr="00CC4877">
        <w:t>4</w:t>
      </w:r>
      <w:r w:rsidR="00774F0E" w:rsidRPr="00CC4877">
        <w:t xml:space="preserve">: Establish National Transition) </w:t>
      </w:r>
    </w:p>
    <w:p w14:paraId="6ACAA158" w14:textId="77777777" w:rsidR="00774F0E" w:rsidRPr="00CC4877" w:rsidRDefault="00774F0E" w:rsidP="00CC4877">
      <w:pPr>
        <w:pStyle w:val="List1"/>
      </w:pPr>
      <w:r w:rsidRPr="00CC4877">
        <w:t xml:space="preserve">the transition of Relevant Health Programs from all PHNs to the ACCHO sector (Phase </w:t>
      </w:r>
      <w:r w:rsidR="00173776" w:rsidRPr="00CC4877">
        <w:t>5</w:t>
      </w:r>
      <w:r w:rsidRPr="00CC4877">
        <w:t xml:space="preserve">: National Transition) </w:t>
      </w:r>
    </w:p>
    <w:p w14:paraId="7A9CA1B4" w14:textId="77777777" w:rsidR="00774F0E" w:rsidRPr="00CC4877" w:rsidRDefault="00774F0E" w:rsidP="00CC4877">
      <w:pPr>
        <w:pStyle w:val="List1"/>
      </w:pPr>
      <w:r w:rsidRPr="00CC4877">
        <w:t>the ambitious (yet necessary) transformation of funding arrangements for all Australian Government–funded programs directed to the Aboriginal and/or Torres Strait Islander community-controlled sector (Phase </w:t>
      </w:r>
      <w:r w:rsidR="00173776" w:rsidRPr="00CC4877">
        <w:t>6</w:t>
      </w:r>
      <w:r w:rsidRPr="00CC4877">
        <w:t xml:space="preserve">: Transform). </w:t>
      </w:r>
    </w:p>
    <w:p w14:paraId="65F47671" w14:textId="77777777" w:rsidR="005D081A" w:rsidRDefault="005D081A" w:rsidP="00974A68">
      <w:pPr>
        <w:pStyle w:val="HeadingLevel4NoNumber"/>
      </w:pPr>
      <w:r w:rsidRPr="478E4403">
        <w:t xml:space="preserve">Transformation features </w:t>
      </w:r>
    </w:p>
    <w:p w14:paraId="6E70B739" w14:textId="09AD92F8" w:rsidR="005D081A" w:rsidRDefault="00791FF2" w:rsidP="003A7DB3">
      <w:pPr>
        <w:pStyle w:val="BodyText"/>
        <w:rPr>
          <w:lang w:val="en-GB"/>
        </w:rPr>
      </w:pPr>
      <w:r>
        <w:rPr>
          <w:lang w:val="en-GB"/>
        </w:rPr>
        <w:t>Stakeholders identified that t</w:t>
      </w:r>
      <w:r w:rsidR="005D081A" w:rsidRPr="478E4403">
        <w:rPr>
          <w:lang w:val="en-GB"/>
        </w:rPr>
        <w:t xml:space="preserve">he transformation process must be underpinned </w:t>
      </w:r>
      <w:r w:rsidR="00797AB7">
        <w:rPr>
          <w:lang w:val="en-GB"/>
        </w:rPr>
        <w:t>by</w:t>
      </w:r>
      <w:r w:rsidR="005D081A" w:rsidRPr="478E4403">
        <w:rPr>
          <w:lang w:val="en-GB"/>
        </w:rPr>
        <w:t xml:space="preserve"> 6 transformation features</w:t>
      </w:r>
      <w:r w:rsidR="00F35F33">
        <w:rPr>
          <w:lang w:val="en-GB"/>
        </w:rPr>
        <w:t xml:space="preserve"> (</w:t>
      </w:r>
      <w:r w:rsidR="001D2136">
        <w:rPr>
          <w:lang w:val="en-GB"/>
        </w:rPr>
        <w:fldChar w:fldCharType="begin"/>
      </w:r>
      <w:r w:rsidR="001D2136">
        <w:rPr>
          <w:lang w:val="en-GB"/>
        </w:rPr>
        <w:instrText xml:space="preserve"> REF _Ref151753862 \h  \* MERGEFORMAT </w:instrText>
      </w:r>
      <w:r w:rsidR="001D2136">
        <w:rPr>
          <w:lang w:val="en-GB"/>
        </w:rPr>
      </w:r>
      <w:r w:rsidR="001D2136">
        <w:rPr>
          <w:lang w:val="en-GB"/>
        </w:rPr>
        <w:fldChar w:fldCharType="separate"/>
      </w:r>
      <w:r w:rsidR="00934D5E" w:rsidRPr="00934D5E">
        <w:rPr>
          <w:lang w:val="en-GB"/>
        </w:rPr>
        <w:t>Figure ES3</w:t>
      </w:r>
      <w:r w:rsidR="001D2136">
        <w:rPr>
          <w:lang w:val="en-GB"/>
        </w:rPr>
        <w:fldChar w:fldCharType="end"/>
      </w:r>
      <w:r w:rsidR="00F35F33">
        <w:rPr>
          <w:lang w:val="en-GB"/>
        </w:rPr>
        <w:t>)</w:t>
      </w:r>
      <w:r w:rsidR="00081332">
        <w:rPr>
          <w:lang w:val="en-GB"/>
        </w:rPr>
        <w:t>.</w:t>
      </w:r>
    </w:p>
    <w:p w14:paraId="7531EE4E" w14:textId="3C0E5E20" w:rsidR="0043040B" w:rsidRDefault="001D2136" w:rsidP="001D2136">
      <w:pPr>
        <w:pStyle w:val="CaptionFigure"/>
        <w:rPr>
          <w:rFonts w:ascii="Calibri" w:eastAsia="Calibri" w:hAnsi="Calibri" w:cs="Calibri"/>
          <w:bCs/>
        </w:rPr>
      </w:pPr>
      <w:bookmarkStart w:id="15" w:name="_Ref151753862"/>
      <w:bookmarkStart w:id="16" w:name="_Toc156932026"/>
      <w:r>
        <w:lastRenderedPageBreak/>
        <w:t>Figure ES</w:t>
      </w:r>
      <w:r>
        <w:fldChar w:fldCharType="begin"/>
      </w:r>
      <w:r>
        <w:instrText>SEQ Figure_ES \* ARABIC</w:instrText>
      </w:r>
      <w:r>
        <w:fldChar w:fldCharType="separate"/>
      </w:r>
      <w:r w:rsidR="00934D5E">
        <w:rPr>
          <w:noProof/>
        </w:rPr>
        <w:t>3</w:t>
      </w:r>
      <w:r>
        <w:fldChar w:fldCharType="end"/>
      </w:r>
      <w:bookmarkEnd w:id="15"/>
      <w:r w:rsidR="0043040B">
        <w:rPr>
          <w:noProof/>
        </w:rPr>
        <w:t>:</w:t>
      </w:r>
      <w:r w:rsidR="0043040B">
        <w:t xml:space="preserve"> The 6 transformation features</w:t>
      </w:r>
      <w:bookmarkEnd w:id="16"/>
    </w:p>
    <w:p w14:paraId="1790160F" w14:textId="77777777" w:rsidR="007B3534" w:rsidRDefault="00EB15DC" w:rsidP="00290DF8">
      <w:pPr>
        <w:pStyle w:val="BodyText"/>
      </w:pPr>
      <w:r>
        <w:rPr>
          <w:noProof/>
        </w:rPr>
        <w:drawing>
          <wp:inline distT="0" distB="0" distL="0" distR="0" wp14:anchorId="76D71060" wp14:editId="6DB9FC5D">
            <wp:extent cx="6153387" cy="4886513"/>
            <wp:effectExtent l="0" t="0" r="6350" b="3175"/>
            <wp:docPr id="884554230" name="Picture 884554230" descr="Each of the 6 transformations is represented by a round grey shape with a separate, tall, red rectangular shape below it. The round grey shape shows the name of the feature in white text, and the red rectangular shape explains the success measures for that transformation feature in white text. The 6 transformations are lined up side by side from left to right across the page, with 2 rows of black dots, in a dot painting style, separating the 2 rows of coloured shapes. The features are: 4.2.1 Feature 1: Clients and the community experience no disadvantage Feature 1.1: Consumers must have continual access Feature 1.2: Consumers must still have choice 4.2.2 Feature 2: Self-determination of Aboriginal and/or Torres Strait Islander communities  Feature 2.1: Each transformation must reflect the local and regional interests Feature 2.2: DoHAC must ensure that communities ready to begin the transformative journey are supported effectively 4.2.3 Feature 3: Sufficient and sustained investment to enable the transformation Feature 3.1: Investment into the organisational capacity Feature 3.2: Investment in the cultivation and enhancement of a local Aboriginal and/or Torres Strait Islander workforce  4.2.4 Feature 4: Genuine and committed partnership Feature 4.1: Equal treatment of the voices of Aboriginal and/or Torres Strait Islander communities and the Aboriginal and/or Torres Strait Islander community-controlled sector Feature 4.2: Time and space are provided  Feature 4.3: Sufficient time is afforded to decision-making and co-designing activities  Feature 4.4: Investment is made in providing the necessary information  Feature 4.5: Clear and transparent communication  4.2.5 Feature 5: Prioritising cultural safety  Feature 5.1: PHNs continue to be funded to ensure a culturally safe mainstream system, Feature 5.2: PHNs continue to prioritise Aboriginal and/or Torres Strait Islander peoples  4.2.6 Feature 6: Strengths-based approach to change Feature 6.1: Working in partnership Feature 6.2: Establishing a national coordination function Feature 6.3: Avoiding imposing burdensome reporting require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554230" name="Picture 3" descr="Each of the 6 transformations is represented by a round grey shape with a separate, tall, red rectangular shape below it. The round grey shape shows the name of the feature in white text, and the red rectangular shape explains the success measures for that transformation feature in white text. The 6 transformations are lined up side by side from left to right across the page, with 2 rows of black dots, in a dot painting style, separating the 2 rows of coloured shapes. The features are: 4.2.1 Feature 1: Clients and the community experience no disadvantage Feature 1.1: Consumers must have continual access Feature 1.2: Consumers must still have choice 4.2.2 Feature 2: Self-determination of Aboriginal and/or Torres Strait Islander communities  Feature 2.1: Each transformation must reflect the local and regional interests Feature 2.2: DoHAC must ensure that communities ready to begin the transformative journey are supported effectively 4.2.3 Feature 3: Sufficient and sustained investment to enable the transformation Feature 3.1: Investment into the organisational capacity Feature 3.2: Investment in the cultivation and enhancement of a local Aboriginal and/or Torres Strait Islander workforce  4.2.4 Feature 4: Genuine and committed partnership Feature 4.1: Equal treatment of the voices of Aboriginal and/or Torres Strait Islander communities and the Aboriginal and/or Torres Strait Islander community-controlled sector Feature 4.2: Time and space are provided  Feature 4.3: Sufficient time is afforded to decision-making and co-designing activities  Feature 4.4: Investment is made in providing the necessary information  Feature 4.5: Clear and transparent communication  4.2.5 Feature 5: Prioritising cultural safety  Feature 5.1: PHNs continue to be funded to ensure a culturally safe mainstream system, Feature 5.2: PHNs continue to prioritise Aboriginal and/or Torres Strait Islander peoples  4.2.6 Feature 6: Strengths-based approach to change Feature 6.1: Working in partnership Feature 6.2: Establishing a national coordination function Feature 6.3: Avoiding imposing burdensome reporting requirements "/>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53387" cy="4886513"/>
                    </a:xfrm>
                    <a:prstGeom prst="rect">
                      <a:avLst/>
                    </a:prstGeom>
                  </pic:spPr>
                </pic:pic>
              </a:graphicData>
            </a:graphic>
          </wp:inline>
        </w:drawing>
      </w:r>
    </w:p>
    <w:p w14:paraId="0DAAEA56" w14:textId="77777777" w:rsidR="00EC6DAF" w:rsidRDefault="00EC6DAF" w:rsidP="00974A68">
      <w:pPr>
        <w:pStyle w:val="HeadingLevel4NoNumber"/>
      </w:pPr>
      <w:r w:rsidRPr="478E4403">
        <w:t xml:space="preserve">Transformation </w:t>
      </w:r>
      <w:r w:rsidR="005B2CAA">
        <w:t>roadmap</w:t>
      </w:r>
    </w:p>
    <w:p w14:paraId="70EC9126" w14:textId="77777777" w:rsidR="004715E0" w:rsidRDefault="00081332" w:rsidP="003A7DB3">
      <w:pPr>
        <w:pStyle w:val="BodyText"/>
        <w:rPr>
          <w:lang w:val="en-GB"/>
        </w:rPr>
      </w:pPr>
      <w:r>
        <w:rPr>
          <w:lang w:val="en-GB"/>
        </w:rPr>
        <w:t xml:space="preserve">To give practical effect to </w:t>
      </w:r>
      <w:r w:rsidR="005D081A" w:rsidRPr="478E4403">
        <w:rPr>
          <w:lang w:val="en-GB"/>
        </w:rPr>
        <w:t>the transformation</w:t>
      </w:r>
      <w:r>
        <w:rPr>
          <w:lang w:val="en-GB"/>
        </w:rPr>
        <w:t>,</w:t>
      </w:r>
      <w:r w:rsidR="005D081A" w:rsidRPr="478E4403">
        <w:rPr>
          <w:lang w:val="en-GB"/>
        </w:rPr>
        <w:t xml:space="preserve"> a</w:t>
      </w:r>
      <w:r w:rsidR="00700BF9">
        <w:rPr>
          <w:lang w:val="en-GB"/>
        </w:rPr>
        <w:t xml:space="preserve"> </w:t>
      </w:r>
      <w:r w:rsidR="009F4C8B">
        <w:rPr>
          <w:lang w:val="en-GB"/>
        </w:rPr>
        <w:t>6</w:t>
      </w:r>
      <w:r w:rsidR="00700BF9">
        <w:rPr>
          <w:lang w:val="en-GB"/>
        </w:rPr>
        <w:t>-phased</w:t>
      </w:r>
      <w:r w:rsidR="005D081A" w:rsidRPr="478E4403">
        <w:rPr>
          <w:lang w:val="en-GB"/>
        </w:rPr>
        <w:t xml:space="preserve"> Transformation Roadmap</w:t>
      </w:r>
      <w:r w:rsidR="0086383C">
        <w:rPr>
          <w:lang w:val="en-GB"/>
        </w:rPr>
        <w:t xml:space="preserve"> has been proposed</w:t>
      </w:r>
      <w:r w:rsidR="005D081A" w:rsidRPr="478E4403">
        <w:rPr>
          <w:lang w:val="en-GB"/>
        </w:rPr>
        <w:t>. This roadmap sets out a pathway</w:t>
      </w:r>
      <w:r w:rsidR="00DE2339">
        <w:rPr>
          <w:lang w:val="en-GB"/>
        </w:rPr>
        <w:t xml:space="preserve"> –</w:t>
      </w:r>
      <w:r w:rsidR="005D081A" w:rsidRPr="478E4403">
        <w:rPr>
          <w:lang w:val="en-GB"/>
        </w:rPr>
        <w:t xml:space="preserve"> including the key parameters, activities and roles required </w:t>
      </w:r>
      <w:r w:rsidR="00DE2339">
        <w:rPr>
          <w:lang w:val="en-GB"/>
        </w:rPr>
        <w:t xml:space="preserve">– </w:t>
      </w:r>
      <w:r w:rsidR="005D081A" w:rsidRPr="478E4403">
        <w:rPr>
          <w:lang w:val="en-GB"/>
        </w:rPr>
        <w:t>to progress towards the future-state funding arrangements.</w:t>
      </w:r>
      <w:r w:rsidR="000268CA">
        <w:rPr>
          <w:lang w:val="en-GB"/>
        </w:rPr>
        <w:t xml:space="preserve"> </w:t>
      </w:r>
    </w:p>
    <w:p w14:paraId="3E894994" w14:textId="22C15F39" w:rsidR="005D081A" w:rsidRDefault="004715E0" w:rsidP="003A7DB3">
      <w:pPr>
        <w:pStyle w:val="BodyText"/>
      </w:pPr>
      <w:r>
        <w:rPr>
          <w:lang w:val="en-GB"/>
        </w:rPr>
        <w:t xml:space="preserve">The </w:t>
      </w:r>
      <w:r w:rsidR="000268CA">
        <w:rPr>
          <w:lang w:val="en-GB"/>
        </w:rPr>
        <w:t xml:space="preserve">roadmap </w:t>
      </w:r>
      <w:r w:rsidR="009F4C8B">
        <w:rPr>
          <w:lang w:val="en-GB"/>
        </w:rPr>
        <w:t>includes an E</w:t>
      </w:r>
      <w:r w:rsidR="00C77CC0">
        <w:rPr>
          <w:lang w:val="en-GB"/>
        </w:rPr>
        <w:t>AP</w:t>
      </w:r>
      <w:r w:rsidR="009F4C8B">
        <w:rPr>
          <w:lang w:val="en-GB"/>
        </w:rPr>
        <w:t xml:space="preserve"> (Phases </w:t>
      </w:r>
      <w:r w:rsidR="007D5461">
        <w:rPr>
          <w:lang w:val="en-GB"/>
        </w:rPr>
        <w:t>2</w:t>
      </w:r>
      <w:r w:rsidR="009F4C8B">
        <w:rPr>
          <w:lang w:val="en-GB"/>
        </w:rPr>
        <w:t xml:space="preserve"> and </w:t>
      </w:r>
      <w:r w:rsidR="007D5461">
        <w:rPr>
          <w:lang w:val="en-GB"/>
        </w:rPr>
        <w:t>3</w:t>
      </w:r>
      <w:r w:rsidR="009F4C8B">
        <w:rPr>
          <w:lang w:val="en-GB"/>
        </w:rPr>
        <w:t xml:space="preserve">), supported by </w:t>
      </w:r>
      <w:r>
        <w:rPr>
          <w:lang w:val="en-GB"/>
        </w:rPr>
        <w:t>an Early Adopter F</w:t>
      </w:r>
      <w:r w:rsidR="000268CA">
        <w:rPr>
          <w:lang w:val="en-GB"/>
        </w:rPr>
        <w:t>ram</w:t>
      </w:r>
      <w:r w:rsidR="000268CA" w:rsidRPr="006D09E5">
        <w:rPr>
          <w:lang w:val="en-GB"/>
        </w:rPr>
        <w:t xml:space="preserve">ework </w:t>
      </w:r>
      <w:r w:rsidRPr="006D09E5">
        <w:rPr>
          <w:lang w:val="en-GB"/>
        </w:rPr>
        <w:t>(</w:t>
      </w:r>
      <w:r w:rsidR="006D09E5">
        <w:rPr>
          <w:lang w:val="en-GB"/>
        </w:rPr>
        <w:fldChar w:fldCharType="begin"/>
      </w:r>
      <w:r w:rsidR="006D09E5">
        <w:rPr>
          <w:lang w:val="en-GB"/>
        </w:rPr>
        <w:instrText xml:space="preserve"> REF App11_notitle \h  \* MERGEFORMAT </w:instrText>
      </w:r>
      <w:r w:rsidR="006D09E5">
        <w:rPr>
          <w:lang w:val="en-GB"/>
        </w:rPr>
      </w:r>
      <w:r w:rsidR="006D09E5">
        <w:rPr>
          <w:lang w:val="en-GB"/>
        </w:rPr>
        <w:fldChar w:fldCharType="separate"/>
      </w:r>
      <w:r w:rsidR="00934D5E" w:rsidRPr="00934D5E">
        <w:rPr>
          <w:lang w:val="en-GB"/>
        </w:rPr>
        <w:t>Appendix 11</w:t>
      </w:r>
      <w:r w:rsidR="006D09E5">
        <w:rPr>
          <w:lang w:val="en-GB"/>
        </w:rPr>
        <w:fldChar w:fldCharType="end"/>
      </w:r>
      <w:r w:rsidRPr="006D09E5">
        <w:rPr>
          <w:lang w:val="en-GB"/>
        </w:rPr>
        <w:t>)</w:t>
      </w:r>
      <w:r w:rsidR="009F4C8B" w:rsidRPr="006D09E5">
        <w:rPr>
          <w:lang w:val="en-GB"/>
        </w:rPr>
        <w:t>.</w:t>
      </w:r>
      <w:r w:rsidR="009F4C8B">
        <w:rPr>
          <w:lang w:val="en-GB"/>
        </w:rPr>
        <w:t xml:space="preserve"> The </w:t>
      </w:r>
      <w:r w:rsidRPr="004715E0">
        <w:rPr>
          <w:lang w:val="en-GB"/>
        </w:rPr>
        <w:t>E</w:t>
      </w:r>
      <w:r w:rsidR="00C77CC0">
        <w:rPr>
          <w:lang w:val="en-GB"/>
        </w:rPr>
        <w:t>AP</w:t>
      </w:r>
      <w:r w:rsidRPr="004715E0">
        <w:rPr>
          <w:lang w:val="en-GB"/>
        </w:rPr>
        <w:t xml:space="preserve"> </w:t>
      </w:r>
      <w:r w:rsidR="00B9101C">
        <w:rPr>
          <w:lang w:val="en-GB"/>
        </w:rPr>
        <w:t>give</w:t>
      </w:r>
      <w:r w:rsidRPr="004715E0">
        <w:rPr>
          <w:lang w:val="en-GB"/>
        </w:rPr>
        <w:t xml:space="preserve"> organisations</w:t>
      </w:r>
      <w:r w:rsidR="009F4C8B">
        <w:rPr>
          <w:lang w:val="en-GB"/>
        </w:rPr>
        <w:t xml:space="preserve"> an opportunity</w:t>
      </w:r>
      <w:r w:rsidRPr="004715E0">
        <w:rPr>
          <w:lang w:val="en-GB"/>
        </w:rPr>
        <w:t xml:space="preserve"> to opt</w:t>
      </w:r>
      <w:r w:rsidR="00B9101C">
        <w:rPr>
          <w:lang w:val="en-GB"/>
        </w:rPr>
        <w:t xml:space="preserve"> </w:t>
      </w:r>
      <w:r w:rsidRPr="004715E0">
        <w:rPr>
          <w:lang w:val="en-GB"/>
        </w:rPr>
        <w:t xml:space="preserve">in as </w:t>
      </w:r>
      <w:r w:rsidR="0054606C">
        <w:rPr>
          <w:lang w:val="en-GB"/>
        </w:rPr>
        <w:t xml:space="preserve">an </w:t>
      </w:r>
      <w:r w:rsidR="000467D9">
        <w:rPr>
          <w:lang w:val="en-GB"/>
        </w:rPr>
        <w:t>e</w:t>
      </w:r>
      <w:r w:rsidRPr="004715E0">
        <w:rPr>
          <w:lang w:val="en-GB"/>
        </w:rPr>
        <w:t>ntit</w:t>
      </w:r>
      <w:r w:rsidR="0054606C">
        <w:rPr>
          <w:lang w:val="en-GB"/>
        </w:rPr>
        <w:t>y</w:t>
      </w:r>
      <w:r w:rsidRPr="004715E0">
        <w:rPr>
          <w:lang w:val="en-GB"/>
        </w:rPr>
        <w:t xml:space="preserve"> for the transition</w:t>
      </w:r>
      <w:r w:rsidR="009F4C8B">
        <w:rPr>
          <w:lang w:val="en-GB"/>
        </w:rPr>
        <w:t xml:space="preserve">, giving </w:t>
      </w:r>
      <w:r w:rsidR="00CF6568">
        <w:rPr>
          <w:lang w:val="en-GB"/>
        </w:rPr>
        <w:t>DoHAC</w:t>
      </w:r>
      <w:r w:rsidR="009F4C8B">
        <w:rPr>
          <w:lang w:val="en-GB"/>
        </w:rPr>
        <w:t xml:space="preserve"> the opportunity to learn, test and ultimately make informed decisions on how </w:t>
      </w:r>
      <w:r w:rsidR="00BC18E3">
        <w:rPr>
          <w:lang w:val="en-GB"/>
        </w:rPr>
        <w:t>to best</w:t>
      </w:r>
      <w:r w:rsidR="009F4C8B">
        <w:rPr>
          <w:lang w:val="en-GB"/>
        </w:rPr>
        <w:t xml:space="preserve"> </w:t>
      </w:r>
      <w:r w:rsidR="00D81D9B">
        <w:rPr>
          <w:lang w:val="en-GB"/>
        </w:rPr>
        <w:t>implement</w:t>
      </w:r>
      <w:r w:rsidR="009F4C8B">
        <w:rPr>
          <w:lang w:val="en-GB"/>
        </w:rPr>
        <w:t xml:space="preserve"> a national rollout (</w:t>
      </w:r>
      <w:r w:rsidR="00D81D9B">
        <w:rPr>
          <w:lang w:val="en-GB"/>
        </w:rPr>
        <w:t>P</w:t>
      </w:r>
      <w:r w:rsidR="009F4C8B">
        <w:rPr>
          <w:lang w:val="en-GB"/>
        </w:rPr>
        <w:t>hase</w:t>
      </w:r>
      <w:r w:rsidR="00D81D9B">
        <w:rPr>
          <w:lang w:val="en-GB"/>
        </w:rPr>
        <w:t>s</w:t>
      </w:r>
      <w:r w:rsidR="009F4C8B">
        <w:rPr>
          <w:lang w:val="en-GB"/>
        </w:rPr>
        <w:t xml:space="preserve"> </w:t>
      </w:r>
      <w:r w:rsidR="007D5461">
        <w:rPr>
          <w:lang w:val="en-GB"/>
        </w:rPr>
        <w:t>4</w:t>
      </w:r>
      <w:r w:rsidR="009F4C8B">
        <w:rPr>
          <w:lang w:val="en-GB"/>
        </w:rPr>
        <w:t xml:space="preserve"> and </w:t>
      </w:r>
      <w:r w:rsidR="007D5461">
        <w:rPr>
          <w:lang w:val="en-GB"/>
        </w:rPr>
        <w:t>5</w:t>
      </w:r>
      <w:r w:rsidR="009F4C8B">
        <w:rPr>
          <w:lang w:val="en-GB"/>
        </w:rPr>
        <w:t>) of</w:t>
      </w:r>
      <w:r w:rsidR="00BC3106">
        <w:rPr>
          <w:lang w:val="en-GB"/>
        </w:rPr>
        <w:t xml:space="preserve"> the</w:t>
      </w:r>
      <w:r w:rsidR="000B479E">
        <w:rPr>
          <w:lang w:val="en-GB"/>
        </w:rPr>
        <w:t xml:space="preserve"> </w:t>
      </w:r>
      <w:r w:rsidR="000268CA">
        <w:rPr>
          <w:lang w:val="en-GB"/>
        </w:rPr>
        <w:t>new funding arrangement</w:t>
      </w:r>
      <w:r w:rsidR="009F4C8B">
        <w:rPr>
          <w:lang w:val="en-GB"/>
        </w:rPr>
        <w:t>(s)</w:t>
      </w:r>
      <w:r w:rsidR="000268CA">
        <w:rPr>
          <w:lang w:val="en-GB"/>
        </w:rPr>
        <w:t xml:space="preserve"> for the Relevant Health Programs (and beyond). </w:t>
      </w:r>
    </w:p>
    <w:p w14:paraId="33D88676" w14:textId="77777777" w:rsidR="005D081A" w:rsidRDefault="005D081A" w:rsidP="003A7DB3">
      <w:pPr>
        <w:pStyle w:val="BodyText"/>
      </w:pPr>
      <w:bookmarkStart w:id="17" w:name="_Hlk152005780"/>
      <w:r w:rsidRPr="478E4403">
        <w:rPr>
          <w:lang w:val="en-GB"/>
        </w:rPr>
        <w:t>The</w:t>
      </w:r>
      <w:r w:rsidR="00700BF9">
        <w:rPr>
          <w:lang w:val="en-GB"/>
        </w:rPr>
        <w:t xml:space="preserve"> key features of the</w:t>
      </w:r>
      <w:r w:rsidRPr="478E4403">
        <w:rPr>
          <w:lang w:val="en-GB"/>
        </w:rPr>
        <w:t xml:space="preserve"> </w:t>
      </w:r>
      <w:r w:rsidR="009F4C8B">
        <w:rPr>
          <w:lang w:val="en-GB"/>
        </w:rPr>
        <w:t>6</w:t>
      </w:r>
      <w:r w:rsidRPr="478E4403">
        <w:rPr>
          <w:lang w:val="en-GB"/>
        </w:rPr>
        <w:t>-phased approach</w:t>
      </w:r>
      <w:r w:rsidR="00700BF9">
        <w:rPr>
          <w:lang w:val="en-GB"/>
        </w:rPr>
        <w:t xml:space="preserve"> are set out below:</w:t>
      </w:r>
    </w:p>
    <w:p w14:paraId="14AB3297" w14:textId="77777777" w:rsidR="009F4C8B" w:rsidRPr="008D25BF" w:rsidRDefault="009F4C8B" w:rsidP="00A4236A">
      <w:pPr>
        <w:pStyle w:val="ListBullet2"/>
        <w:rPr>
          <w:rFonts w:ascii="Times New Roman" w:hAnsi="Times New Roman"/>
        </w:rPr>
      </w:pPr>
      <w:r w:rsidRPr="008D25BF">
        <w:rPr>
          <w:b/>
          <w:bCs/>
        </w:rPr>
        <w:t xml:space="preserve">Phase </w:t>
      </w:r>
      <w:r w:rsidR="00E05CC9">
        <w:rPr>
          <w:b/>
          <w:bCs/>
        </w:rPr>
        <w:t>1</w:t>
      </w:r>
      <w:r w:rsidRPr="008D25BF">
        <w:rPr>
          <w:b/>
          <w:bCs/>
        </w:rPr>
        <w:t>: Pre-transition</w:t>
      </w:r>
      <w:r w:rsidRPr="008D25BF">
        <w:t xml:space="preserve"> – Proactive and collaborative planning and management of the critical risks associated with the transformation of the funding arrangements for the Relevant Health Programs to ensure continuity of services and ongoing promotion of culturally safe and accessible health services.</w:t>
      </w:r>
    </w:p>
    <w:p w14:paraId="06C0768B" w14:textId="77777777" w:rsidR="009F4C8B" w:rsidRPr="008D25BF" w:rsidRDefault="009F4C8B" w:rsidP="00A4236A">
      <w:pPr>
        <w:pStyle w:val="ListBullet2"/>
        <w:rPr>
          <w:rFonts w:ascii="Times New Roman" w:hAnsi="Times New Roman"/>
        </w:rPr>
      </w:pPr>
      <w:r w:rsidRPr="008D25BF">
        <w:rPr>
          <w:b/>
          <w:bCs/>
        </w:rPr>
        <w:t xml:space="preserve">Phase </w:t>
      </w:r>
      <w:r w:rsidR="00E05CC9">
        <w:rPr>
          <w:b/>
          <w:bCs/>
        </w:rPr>
        <w:t>2</w:t>
      </w:r>
      <w:r w:rsidRPr="008D25BF">
        <w:rPr>
          <w:b/>
          <w:bCs/>
        </w:rPr>
        <w:t xml:space="preserve">: Establish EAP </w:t>
      </w:r>
      <w:r w:rsidRPr="007B5936">
        <w:t>–</w:t>
      </w:r>
      <w:r w:rsidRPr="008D25BF">
        <w:t xml:space="preserve"> Identifying early adopters, engaging organisations in the early stages of the transition and creating a more targeted approach to the transition of the Relevant Health Programs</w:t>
      </w:r>
    </w:p>
    <w:p w14:paraId="20906201" w14:textId="77777777" w:rsidR="009F4C8B" w:rsidRPr="008D25BF" w:rsidRDefault="009F4C8B" w:rsidP="00A4236A">
      <w:pPr>
        <w:pStyle w:val="ListBullet2"/>
        <w:rPr>
          <w:rFonts w:ascii="Times New Roman" w:hAnsi="Times New Roman"/>
        </w:rPr>
      </w:pPr>
      <w:r w:rsidRPr="008D25BF">
        <w:rPr>
          <w:b/>
          <w:bCs/>
        </w:rPr>
        <w:lastRenderedPageBreak/>
        <w:t xml:space="preserve">Phase </w:t>
      </w:r>
      <w:r w:rsidR="00E05CC9">
        <w:rPr>
          <w:b/>
          <w:bCs/>
        </w:rPr>
        <w:t>3</w:t>
      </w:r>
      <w:r w:rsidRPr="008D25BF">
        <w:rPr>
          <w:b/>
          <w:bCs/>
        </w:rPr>
        <w:t>: EAP Transition</w:t>
      </w:r>
      <w:r w:rsidR="007B5936">
        <w:rPr>
          <w:b/>
          <w:bCs/>
        </w:rPr>
        <w:t xml:space="preserve"> </w:t>
      </w:r>
      <w:r w:rsidRPr="007B5936">
        <w:t>–</w:t>
      </w:r>
      <w:r w:rsidRPr="008D25BF">
        <w:t xml:space="preserve"> Transition of the funding and governance of the Relevant Health Programs from PHNs to the early adopter </w:t>
      </w:r>
      <w:r w:rsidR="00413FC9">
        <w:t>e</w:t>
      </w:r>
      <w:r w:rsidRPr="008D25BF">
        <w:t xml:space="preserve">ntities. A </w:t>
      </w:r>
      <w:r w:rsidR="00413FC9">
        <w:t>f</w:t>
      </w:r>
      <w:r w:rsidRPr="008D25BF">
        <w:t xml:space="preserve">ormative </w:t>
      </w:r>
      <w:r w:rsidR="00413FC9">
        <w:t>e</w:t>
      </w:r>
      <w:r w:rsidRPr="008D25BF">
        <w:t>valuation will provide the opportunity to make a final decision as to how the national transition should occur.</w:t>
      </w:r>
    </w:p>
    <w:p w14:paraId="5E0C79FB" w14:textId="77777777" w:rsidR="009F4C8B" w:rsidRPr="008D25BF" w:rsidRDefault="009F4C8B" w:rsidP="00A4236A">
      <w:pPr>
        <w:pStyle w:val="ListBullet2"/>
        <w:rPr>
          <w:rFonts w:ascii="Times New Roman" w:hAnsi="Times New Roman"/>
        </w:rPr>
      </w:pPr>
      <w:r w:rsidRPr="008D25BF">
        <w:rPr>
          <w:b/>
          <w:bCs/>
        </w:rPr>
        <w:t xml:space="preserve">Phase </w:t>
      </w:r>
      <w:r w:rsidR="00E05CC9">
        <w:rPr>
          <w:b/>
          <w:bCs/>
        </w:rPr>
        <w:t>4</w:t>
      </w:r>
      <w:r w:rsidRPr="008D25BF">
        <w:rPr>
          <w:b/>
          <w:bCs/>
        </w:rPr>
        <w:t xml:space="preserve">: Establish National Transition </w:t>
      </w:r>
      <w:r w:rsidRPr="007B5936">
        <w:t>–</w:t>
      </w:r>
      <w:r w:rsidR="00E3702A">
        <w:t xml:space="preserve"> </w:t>
      </w:r>
      <w:r w:rsidR="00EB7AEC" w:rsidRPr="00EB7AEC">
        <w:t xml:space="preserve">National Transformation Coordination Office </w:t>
      </w:r>
      <w:r w:rsidR="00EB7AEC">
        <w:t>(</w:t>
      </w:r>
      <w:r w:rsidR="00E3702A" w:rsidRPr="00E3702A">
        <w:t>NTCO</w:t>
      </w:r>
      <w:r w:rsidR="00EB7AEC">
        <w:t>)</w:t>
      </w:r>
      <w:r w:rsidR="00E3702A" w:rsidRPr="00E3702A">
        <w:t xml:space="preserve"> and government to determine what the national rollout will look like, based on the outcomes of the Formative Evaluation of Phase </w:t>
      </w:r>
      <w:r w:rsidR="00173776">
        <w:t>3</w:t>
      </w:r>
      <w:r w:rsidR="00E3702A" w:rsidRPr="00E3702A">
        <w:t xml:space="preserve">. </w:t>
      </w:r>
      <w:r w:rsidR="00E3702A">
        <w:t xml:space="preserve">Phase </w:t>
      </w:r>
      <w:r w:rsidR="00173776">
        <w:t>4</w:t>
      </w:r>
      <w:r w:rsidR="00E3702A">
        <w:t xml:space="preserve"> </w:t>
      </w:r>
      <w:r w:rsidR="00E3702A" w:rsidRPr="00E3702A">
        <w:t xml:space="preserve">will include communicating the </w:t>
      </w:r>
      <w:r w:rsidR="00BC18E3" w:rsidRPr="00E3702A">
        <w:t>outcomes and</w:t>
      </w:r>
      <w:r w:rsidR="00E3702A" w:rsidRPr="00E3702A">
        <w:t xml:space="preserve"> commencing collaborative planning with the lead entity</w:t>
      </w:r>
      <w:r w:rsidR="006C5333">
        <w:t>/s</w:t>
      </w:r>
      <w:r w:rsidR="00E3702A" w:rsidRPr="00E3702A">
        <w:t>, who will be responsible for refining the funding arrangement and leading the transition of funding for the Relevant Health Programs.</w:t>
      </w:r>
    </w:p>
    <w:p w14:paraId="1FB0862D" w14:textId="77777777" w:rsidR="009F4C8B" w:rsidRPr="008D25BF" w:rsidRDefault="009F4C8B" w:rsidP="00A4236A">
      <w:pPr>
        <w:pStyle w:val="ListBullet2"/>
        <w:rPr>
          <w:rFonts w:ascii="Times New Roman" w:hAnsi="Times New Roman"/>
        </w:rPr>
      </w:pPr>
      <w:r w:rsidRPr="008D25BF">
        <w:rPr>
          <w:b/>
          <w:bCs/>
        </w:rPr>
        <w:t xml:space="preserve">Phase </w:t>
      </w:r>
      <w:r w:rsidR="00E05CC9">
        <w:rPr>
          <w:b/>
          <w:bCs/>
        </w:rPr>
        <w:t>5</w:t>
      </w:r>
      <w:r w:rsidRPr="008D25BF">
        <w:rPr>
          <w:b/>
          <w:bCs/>
        </w:rPr>
        <w:t xml:space="preserve">: National Transition </w:t>
      </w:r>
      <w:r w:rsidRPr="007B5936">
        <w:t>–</w:t>
      </w:r>
      <w:r w:rsidRPr="008D25BF">
        <w:t xml:space="preserve"> Transition of the funding and governance of the Relevant Health Programs from PHNs to the </w:t>
      </w:r>
      <w:r w:rsidR="00EB7AEC">
        <w:t>l</w:t>
      </w:r>
      <w:r w:rsidRPr="008D25BF">
        <w:t xml:space="preserve">ead </w:t>
      </w:r>
      <w:r w:rsidR="00EB7AEC">
        <w:t>e</w:t>
      </w:r>
      <w:r w:rsidRPr="008D25BF">
        <w:t>ntity</w:t>
      </w:r>
      <w:r w:rsidR="006C5333">
        <w:t>/s</w:t>
      </w:r>
      <w:r w:rsidRPr="008D25BF">
        <w:t>.</w:t>
      </w:r>
    </w:p>
    <w:p w14:paraId="521826B7" w14:textId="77777777" w:rsidR="009F4C8B" w:rsidRPr="009F4C8B" w:rsidRDefault="009F4C8B" w:rsidP="00A4236A">
      <w:pPr>
        <w:pStyle w:val="ListBullet2"/>
        <w:rPr>
          <w:rFonts w:ascii="Times New Roman" w:hAnsi="Times New Roman"/>
        </w:rPr>
      </w:pPr>
      <w:r w:rsidRPr="008D25BF">
        <w:rPr>
          <w:b/>
          <w:bCs/>
        </w:rPr>
        <w:t xml:space="preserve">Phase </w:t>
      </w:r>
      <w:r w:rsidR="00E05CC9">
        <w:rPr>
          <w:b/>
          <w:bCs/>
        </w:rPr>
        <w:t>6</w:t>
      </w:r>
      <w:r w:rsidRPr="008D25BF">
        <w:rPr>
          <w:b/>
          <w:bCs/>
        </w:rPr>
        <w:t xml:space="preserve">: Transform </w:t>
      </w:r>
      <w:r w:rsidRPr="007B5936">
        <w:t>–</w:t>
      </w:r>
      <w:r w:rsidRPr="008D25BF">
        <w:t xml:space="preserve"> Transformation of Aboriginal and/or Torres Strait Islander–directed funding provided by the Australian Government (beyond the Relevant Health Programs) to the </w:t>
      </w:r>
      <w:r w:rsidR="00EB7AEC">
        <w:t>l</w:t>
      </w:r>
      <w:r w:rsidRPr="008D25BF">
        <w:t xml:space="preserve">ead </w:t>
      </w:r>
      <w:r w:rsidR="00EB7AEC">
        <w:t>e</w:t>
      </w:r>
      <w:r w:rsidRPr="008D25BF">
        <w:t>ntity</w:t>
      </w:r>
      <w:r w:rsidR="006C5333">
        <w:t>/s</w:t>
      </w:r>
      <w:r w:rsidRPr="008D25BF">
        <w:t xml:space="preserve"> to meet the health and wellbeing needs of their communities.</w:t>
      </w:r>
    </w:p>
    <w:bookmarkEnd w:id="17"/>
    <w:p w14:paraId="0392276E" w14:textId="77777777" w:rsidR="005D081A" w:rsidRDefault="005D081A" w:rsidP="003A7DB3">
      <w:pPr>
        <w:pStyle w:val="BodyText"/>
      </w:pPr>
      <w:r w:rsidRPr="478E4403">
        <w:rPr>
          <w:lang w:val="en-GB"/>
        </w:rPr>
        <w:t xml:space="preserve">The Transformation Roadmap </w:t>
      </w:r>
      <w:r w:rsidR="0086383C">
        <w:rPr>
          <w:lang w:val="en-GB"/>
        </w:rPr>
        <w:t>is underpinned by</w:t>
      </w:r>
      <w:r w:rsidRPr="478E4403">
        <w:rPr>
          <w:lang w:val="en-GB"/>
        </w:rPr>
        <w:t xml:space="preserve"> 4 key enablers:</w:t>
      </w:r>
    </w:p>
    <w:p w14:paraId="18FF5E7C" w14:textId="77777777" w:rsidR="005D081A" w:rsidRPr="00CC4877" w:rsidRDefault="005D081A" w:rsidP="003B07D3">
      <w:pPr>
        <w:pStyle w:val="List1"/>
        <w:numPr>
          <w:ilvl w:val="0"/>
          <w:numId w:val="20"/>
        </w:numPr>
      </w:pPr>
      <w:r w:rsidRPr="00CC4877">
        <w:t xml:space="preserve">meaningful investment into the ACCHO sector (Enabler 1) </w:t>
      </w:r>
    </w:p>
    <w:p w14:paraId="17D88561" w14:textId="77777777" w:rsidR="005D081A" w:rsidRPr="00CC4877" w:rsidRDefault="005D081A" w:rsidP="00CC4877">
      <w:pPr>
        <w:pStyle w:val="List1"/>
      </w:pPr>
      <w:r w:rsidRPr="00CC4877">
        <w:t xml:space="preserve">sector and government transformation (Enabler 2) </w:t>
      </w:r>
    </w:p>
    <w:p w14:paraId="688194E8" w14:textId="77777777" w:rsidR="005D081A" w:rsidRPr="00CC4877" w:rsidRDefault="005D081A" w:rsidP="00CC4877">
      <w:pPr>
        <w:pStyle w:val="List1"/>
      </w:pPr>
      <w:r w:rsidRPr="00CC4877">
        <w:t>data collection and sharing (Enabler 3)</w:t>
      </w:r>
    </w:p>
    <w:p w14:paraId="4E3A6ABD" w14:textId="77777777" w:rsidR="005D081A" w:rsidRPr="00CC4877" w:rsidRDefault="005D081A" w:rsidP="00CC4877">
      <w:pPr>
        <w:pStyle w:val="List1"/>
      </w:pPr>
      <w:r w:rsidRPr="00CC4877">
        <w:t>continued promotion of cultural safety across the health system (Enabler 4).</w:t>
      </w:r>
    </w:p>
    <w:p w14:paraId="321DA210" w14:textId="61B505F5" w:rsidR="00236B61" w:rsidRDefault="00E922E7" w:rsidP="00CC4877">
      <w:pPr>
        <w:pStyle w:val="BodyText1stparaafterlist"/>
      </w:pPr>
      <w:r w:rsidRPr="00E922E7">
        <w:fldChar w:fldCharType="begin"/>
      </w:r>
      <w:r>
        <w:instrText xml:space="preserve"> REF _Ref151753905 \h  \* MERGEFORMAT </w:instrText>
      </w:r>
      <w:r w:rsidRPr="00E922E7">
        <w:fldChar w:fldCharType="separate"/>
      </w:r>
      <w:r w:rsidR="00934D5E">
        <w:t>Figure ES4</w:t>
      </w:r>
      <w:r w:rsidRPr="00E922E7">
        <w:fldChar w:fldCharType="end"/>
      </w:r>
      <w:r w:rsidR="00236B61" w:rsidRPr="00B65F7F">
        <w:t xml:space="preserve"> below provides an overview of the </w:t>
      </w:r>
      <w:r w:rsidR="00774F0E">
        <w:t>6</w:t>
      </w:r>
      <w:r w:rsidR="00236B61" w:rsidRPr="00B65F7F">
        <w:t xml:space="preserve">-phased Transformation Roadmap. </w:t>
      </w:r>
    </w:p>
    <w:p w14:paraId="35DF0BA4" w14:textId="3516AC1A" w:rsidR="003C7819" w:rsidRPr="00B65F7F" w:rsidRDefault="001D2136" w:rsidP="001D2136">
      <w:pPr>
        <w:pStyle w:val="CaptionFigure"/>
        <w:rPr>
          <w:rFonts w:ascii="Calibri" w:hAnsi="Calibri" w:cs="Calibri"/>
          <w:szCs w:val="22"/>
        </w:rPr>
      </w:pPr>
      <w:bookmarkStart w:id="18" w:name="_Ref151753905"/>
      <w:bookmarkStart w:id="19" w:name="_Toc145617776"/>
      <w:bookmarkStart w:id="20" w:name="_Toc156932027"/>
      <w:r>
        <w:t>Figure ES</w:t>
      </w:r>
      <w:r>
        <w:fldChar w:fldCharType="begin"/>
      </w:r>
      <w:r>
        <w:instrText>SEQ Figure_ES \* ARABIC</w:instrText>
      </w:r>
      <w:r>
        <w:fldChar w:fldCharType="separate"/>
      </w:r>
      <w:r w:rsidR="00934D5E">
        <w:rPr>
          <w:noProof/>
        </w:rPr>
        <w:t>4</w:t>
      </w:r>
      <w:r>
        <w:fldChar w:fldCharType="end"/>
      </w:r>
      <w:bookmarkEnd w:id="18"/>
      <w:r w:rsidR="003C7819" w:rsidRPr="00B65F7F">
        <w:t xml:space="preserve">: Overview of the </w:t>
      </w:r>
      <w:r w:rsidR="003C7819">
        <w:t>6</w:t>
      </w:r>
      <w:r w:rsidR="003C7819" w:rsidRPr="00B65F7F">
        <w:t>-phas</w:t>
      </w:r>
      <w:r w:rsidR="003C7819" w:rsidRPr="00600C85">
        <w:t>ed Transformation Roadmap</w:t>
      </w:r>
      <w:bookmarkEnd w:id="19"/>
      <w:bookmarkEnd w:id="20"/>
    </w:p>
    <w:p w14:paraId="48CE6586" w14:textId="10D3B450" w:rsidR="007E2BAA" w:rsidRDefault="005B2CAA" w:rsidP="00290DF8">
      <w:pPr>
        <w:pStyle w:val="BodyText"/>
        <w:rPr>
          <w:rFonts w:cs="Calibri"/>
        </w:rPr>
      </w:pPr>
      <w:r>
        <w:rPr>
          <w:rFonts w:cs="Calibri"/>
          <w:noProof/>
        </w:rPr>
        <w:drawing>
          <wp:inline distT="0" distB="0" distL="0" distR="0" wp14:anchorId="6FC8E0B3" wp14:editId="1899AB1D">
            <wp:extent cx="6025991" cy="2955472"/>
            <wp:effectExtent l="0" t="0" r="0" b="0"/>
            <wp:docPr id="1585636354" name="Picture 1585636354" descr="The 6 phases of the proposed pathway to transformation are mapped across 4 stages. Each stage is represented by a rectangle that shows the stage’s name, the phases in the stage, and details of the activities and stakeholders. Phase 1 will occur in the Planning stage. Phases 2 and 3 will occur in the Early Adopter Period stage. Phases 4 and 5 will occur in the National Transition stage. Phase 6 will occur in the Transformation st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636354" name="Picture 1585636354" descr="The 6 phases of the proposed pathway to transformation are mapped across 4 stages. Each stage is represented by a rectangle that shows the stage’s name, the phases in the stage, and details of the activities and stakeholders. Phase 1 will occur in the Planning stage. Phases 2 and 3 will occur in the Early Adopter Period stage. Phases 4 and 5 will occur in the National Transition stage. Phase 6 will occur in the Transformation stage.&#10;"/>
                    <pic:cNvPicPr/>
                  </pic:nvPicPr>
                  <pic:blipFill rotWithShape="1">
                    <a:blip r:embed="rId26" cstate="print">
                      <a:extLst>
                        <a:ext uri="{28A0092B-C50C-407E-A947-70E740481C1C}">
                          <a14:useLocalDpi xmlns:a14="http://schemas.microsoft.com/office/drawing/2010/main" val="0"/>
                        </a:ext>
                      </a:extLst>
                    </a:blip>
                    <a:srcRect t="3156" b="27469"/>
                    <a:stretch/>
                  </pic:blipFill>
                  <pic:spPr bwMode="auto">
                    <a:xfrm>
                      <a:off x="0" y="0"/>
                      <a:ext cx="6027723" cy="2956322"/>
                    </a:xfrm>
                    <a:prstGeom prst="rect">
                      <a:avLst/>
                    </a:prstGeom>
                    <a:ln>
                      <a:noFill/>
                    </a:ln>
                    <a:extLst>
                      <a:ext uri="{53640926-AAD7-44D8-BBD7-CCE9431645EC}">
                        <a14:shadowObscured xmlns:a14="http://schemas.microsoft.com/office/drawing/2010/main"/>
                      </a:ext>
                    </a:extLst>
                  </pic:spPr>
                </pic:pic>
              </a:graphicData>
            </a:graphic>
          </wp:inline>
        </w:drawing>
      </w:r>
      <w:r w:rsidR="007E2BAA">
        <w:rPr>
          <w:rFonts w:cs="Calibri"/>
        </w:rPr>
        <w:br w:type="page"/>
      </w:r>
    </w:p>
    <w:p w14:paraId="3119A271" w14:textId="77777777" w:rsidR="00EB1784" w:rsidRDefault="00CF6568" w:rsidP="00A4236A">
      <w:pPr>
        <w:pStyle w:val="HeadingLevel2NoNumber"/>
      </w:pPr>
      <w:r>
        <w:lastRenderedPageBreak/>
        <w:t>DoHAC</w:t>
      </w:r>
      <w:r w:rsidR="00AF223B">
        <w:t xml:space="preserve"> is well positioned to build on these efforts moving forward</w:t>
      </w:r>
    </w:p>
    <w:p w14:paraId="3F799DF2" w14:textId="77777777" w:rsidR="004817D0" w:rsidRDefault="00AD75CB" w:rsidP="003A7DB3">
      <w:pPr>
        <w:pStyle w:val="BodyText"/>
      </w:pPr>
      <w:r>
        <w:t xml:space="preserve">This report </w:t>
      </w:r>
      <w:r w:rsidR="004A675B">
        <w:t>outlines</w:t>
      </w:r>
      <w:r>
        <w:t xml:space="preserve"> </w:t>
      </w:r>
      <w:r w:rsidR="003A1B0E">
        <w:t xml:space="preserve">an ambitious pathway to </w:t>
      </w:r>
      <w:r w:rsidR="003E3BB7">
        <w:t xml:space="preserve">transform </w:t>
      </w:r>
      <w:r w:rsidR="00AB3E4E">
        <w:t xml:space="preserve">funding arrangements </w:t>
      </w:r>
      <w:r w:rsidR="0069607B">
        <w:t xml:space="preserve">for all </w:t>
      </w:r>
      <w:r w:rsidR="00592FBF" w:rsidRPr="00B65F7F">
        <w:t xml:space="preserve">programs and services designed to support </w:t>
      </w:r>
      <w:r w:rsidR="00592FBF">
        <w:t>Aboriginal and/or Torres Strait Islander</w:t>
      </w:r>
      <w:r w:rsidR="00592FBF" w:rsidRPr="00B65F7F">
        <w:t xml:space="preserve"> people</w:t>
      </w:r>
      <w:r w:rsidR="00CC440E">
        <w:t xml:space="preserve">. </w:t>
      </w:r>
      <w:r w:rsidR="001D5B80">
        <w:t xml:space="preserve">While the </w:t>
      </w:r>
      <w:r w:rsidR="004817D0">
        <w:t xml:space="preserve">scope of the </w:t>
      </w:r>
      <w:r w:rsidR="0041640C">
        <w:t>R</w:t>
      </w:r>
      <w:r w:rsidR="004817D0">
        <w:t xml:space="preserve">eview was limited to the Relevant Health Programs, the </w:t>
      </w:r>
      <w:r w:rsidR="0041640C">
        <w:t>R</w:t>
      </w:r>
      <w:r w:rsidR="004817D0">
        <w:t>eview identified that</w:t>
      </w:r>
      <w:r w:rsidR="004817D0" w:rsidRPr="00B65F7F">
        <w:t xml:space="preserve"> to be truly effective</w:t>
      </w:r>
      <w:r w:rsidR="00C87061">
        <w:t xml:space="preserve"> and to align with the National Agreement</w:t>
      </w:r>
      <w:r w:rsidR="004817D0" w:rsidRPr="00B65F7F">
        <w:t>, the arrangements (including the principles</w:t>
      </w:r>
      <w:r w:rsidR="004817D0">
        <w:t xml:space="preserve"> and enablers that underpin the preferred future-state funding arrangements</w:t>
      </w:r>
      <w:r w:rsidR="004817D0" w:rsidRPr="00B65F7F">
        <w:t>) must apply to all programs and services</w:t>
      </w:r>
      <w:r w:rsidR="0041640C">
        <w:t xml:space="preserve"> that target or involve Aboriginal and/or Torres Strait Islander people</w:t>
      </w:r>
      <w:r w:rsidR="00C87061">
        <w:t xml:space="preserve">. It is only by doing so that </w:t>
      </w:r>
      <w:r w:rsidR="00723C46">
        <w:t xml:space="preserve">genuine progress can be made to </w:t>
      </w:r>
      <w:r w:rsidR="004817D0" w:rsidRPr="00B65F7F">
        <w:t>improve</w:t>
      </w:r>
      <w:r w:rsidR="00723C46">
        <w:t xml:space="preserve"> the</w:t>
      </w:r>
      <w:r w:rsidR="004817D0" w:rsidRPr="00B65F7F">
        <w:t xml:space="preserve"> health and wellbeing</w:t>
      </w:r>
      <w:r w:rsidR="00723C46">
        <w:t xml:space="preserve"> of Aboriginal and/or Torres Strait Islander</w:t>
      </w:r>
      <w:r w:rsidR="00723C46" w:rsidRPr="00B65F7F">
        <w:t xml:space="preserve"> people</w:t>
      </w:r>
      <w:r w:rsidR="00723C46">
        <w:t>.</w:t>
      </w:r>
    </w:p>
    <w:p w14:paraId="37AD1F09" w14:textId="77777777" w:rsidR="00BC18E3" w:rsidRDefault="00EE29B2" w:rsidP="003A7DB3">
      <w:pPr>
        <w:pStyle w:val="BodyText"/>
      </w:pPr>
      <w:r>
        <w:t xml:space="preserve">While the challenges are profound, the opportunities are </w:t>
      </w:r>
      <w:r w:rsidR="000A2325">
        <w:t xml:space="preserve">also </w:t>
      </w:r>
      <w:r>
        <w:t xml:space="preserve">immense. </w:t>
      </w:r>
      <w:r w:rsidR="00631EB2">
        <w:t xml:space="preserve">It is therefore recommended that </w:t>
      </w:r>
      <w:r w:rsidR="00CF6568">
        <w:t>DoHAC</w:t>
      </w:r>
      <w:r w:rsidR="00631EB2">
        <w:t xml:space="preserve"> embrace</w:t>
      </w:r>
      <w:r w:rsidR="000A2325">
        <w:t xml:space="preserve"> both</w:t>
      </w:r>
      <w:r w:rsidR="00631EB2">
        <w:t xml:space="preserve"> </w:t>
      </w:r>
      <w:r w:rsidR="000A2325">
        <w:t>the</w:t>
      </w:r>
      <w:r w:rsidR="00631EB2">
        <w:t xml:space="preserve"> challenge</w:t>
      </w:r>
      <w:r w:rsidR="000A2325">
        <w:t>s and the opportunities to transform</w:t>
      </w:r>
      <w:r w:rsidR="000F0018">
        <w:t xml:space="preserve"> the funding arrangements</w:t>
      </w:r>
      <w:r w:rsidR="000A2325">
        <w:t xml:space="preserve"> for Aboriginal and/or Torres Strait Islander-directed services</w:t>
      </w:r>
      <w:r w:rsidR="00BC18E3">
        <w:t xml:space="preserve">, starting with an </w:t>
      </w:r>
      <w:r w:rsidR="00613BA3">
        <w:t>EAP</w:t>
      </w:r>
      <w:r w:rsidR="00BC18E3">
        <w:t xml:space="preserve"> to provide lessons and clarity around the strengths and weaknesses of each funding arrangement</w:t>
      </w:r>
      <w:r w:rsidR="000A2325">
        <w:t xml:space="preserve">. </w:t>
      </w:r>
    </w:p>
    <w:p w14:paraId="078C791C" w14:textId="77777777" w:rsidR="00EE29B2" w:rsidRPr="00B65F7F" w:rsidRDefault="000A2325" w:rsidP="003A7DB3">
      <w:pPr>
        <w:pStyle w:val="BodyText"/>
      </w:pPr>
      <w:r>
        <w:t>By doing so,</w:t>
      </w:r>
      <w:r w:rsidR="00103138">
        <w:t xml:space="preserve"> </w:t>
      </w:r>
      <w:r w:rsidR="00CF6568">
        <w:t>DoHAC</w:t>
      </w:r>
      <w:r w:rsidR="00103138">
        <w:t xml:space="preserve"> and</w:t>
      </w:r>
      <w:r>
        <w:t xml:space="preserve"> the Australian Government</w:t>
      </w:r>
      <w:r w:rsidR="00103138">
        <w:t xml:space="preserve"> more broadly</w:t>
      </w:r>
      <w:r>
        <w:t xml:space="preserve"> can take a</w:t>
      </w:r>
      <w:r w:rsidR="00AE049A">
        <w:t xml:space="preserve"> significant and meaningful step to</w:t>
      </w:r>
      <w:r w:rsidR="006B6F9C">
        <w:t xml:space="preserve">wards ensuring that </w:t>
      </w:r>
      <w:r w:rsidR="00001BB5" w:rsidRPr="00001BB5">
        <w:t>Aboriginal and</w:t>
      </w:r>
      <w:r w:rsidR="00001BB5">
        <w:t>/or</w:t>
      </w:r>
      <w:r w:rsidR="00001BB5" w:rsidRPr="00001BB5">
        <w:t xml:space="preserve"> Torres Strait Islander people enjoy long and healthy lives</w:t>
      </w:r>
      <w:r w:rsidR="003059AB">
        <w:t xml:space="preserve">, representing a key step </w:t>
      </w:r>
      <w:r w:rsidR="003059AB" w:rsidRPr="003059AB">
        <w:t xml:space="preserve">to </w:t>
      </w:r>
      <w:r w:rsidR="007667CF">
        <w:t xml:space="preserve">ensuring the </w:t>
      </w:r>
      <w:r w:rsidR="003059AB" w:rsidRPr="003059AB">
        <w:t xml:space="preserve">life outcomes </w:t>
      </w:r>
      <w:r w:rsidR="007667CF">
        <w:t xml:space="preserve">of Aboriginal and/or Torres Strait Islander people </w:t>
      </w:r>
      <w:r w:rsidR="003059AB" w:rsidRPr="003059AB">
        <w:t>are equal to those of all Australians</w:t>
      </w:r>
      <w:r w:rsidR="007667CF">
        <w:t>.</w:t>
      </w:r>
    </w:p>
    <w:p w14:paraId="330EDCAC" w14:textId="77777777" w:rsidR="005D081A" w:rsidRDefault="005D081A" w:rsidP="00292E56">
      <w:pPr>
        <w:pStyle w:val="BodyText"/>
      </w:pPr>
    </w:p>
    <w:p w14:paraId="5C34807C" w14:textId="77777777" w:rsidR="00570EC4" w:rsidRPr="00B65F7F" w:rsidRDefault="00570EC4" w:rsidP="00292E56">
      <w:pPr>
        <w:pStyle w:val="BodyText"/>
        <w:rPr>
          <w:rFonts w:eastAsiaTheme="majorEastAsia" w:cs="Arial (Headings CS)"/>
          <w:b/>
          <w:sz w:val="32"/>
          <w:szCs w:val="32"/>
          <w:lang w:eastAsia="en-US"/>
        </w:rPr>
        <w:sectPr w:rsidR="00570EC4" w:rsidRPr="00B65F7F" w:rsidSect="002B05C0">
          <w:headerReference w:type="default" r:id="rId27"/>
          <w:footerReference w:type="default" r:id="rId28"/>
          <w:pgSz w:w="11906" w:h="16838"/>
          <w:pgMar w:top="1701" w:right="1134" w:bottom="1701" w:left="1134" w:header="902" w:footer="834" w:gutter="0"/>
          <w:pgNumType w:fmt="lowerRoman"/>
          <w:cols w:space="720"/>
        </w:sectPr>
      </w:pPr>
    </w:p>
    <w:p w14:paraId="6531F241" w14:textId="6A66FF55" w:rsidR="005B4711" w:rsidRPr="001B0732" w:rsidRDefault="00951422" w:rsidP="003B07D3">
      <w:pPr>
        <w:pStyle w:val="Heading1"/>
        <w:numPr>
          <w:ilvl w:val="0"/>
          <w:numId w:val="8"/>
        </w:numPr>
      </w:pPr>
      <w:bookmarkStart w:id="21" w:name="_Toc156931995"/>
      <w:r w:rsidRPr="001B0732">
        <w:lastRenderedPageBreak/>
        <w:t>–</w:t>
      </w:r>
      <w:r w:rsidR="00BF5658" w:rsidRPr="001B0732">
        <w:t xml:space="preserve"> </w:t>
      </w:r>
      <w:r w:rsidR="005B4711" w:rsidRPr="001B0732">
        <w:t>Purpose</w:t>
      </w:r>
      <w:r w:rsidR="00926180" w:rsidRPr="001B0732">
        <w:t xml:space="preserve"> </w:t>
      </w:r>
      <w:r w:rsidR="005B4711" w:rsidRPr="001B0732">
        <w:t xml:space="preserve">of the </w:t>
      </w:r>
      <w:bookmarkEnd w:id="7"/>
      <w:bookmarkEnd w:id="8"/>
      <w:r w:rsidR="00EB514C" w:rsidRPr="001B0732">
        <w:t>R</w:t>
      </w:r>
      <w:r w:rsidR="005B4711" w:rsidRPr="001B0732">
        <w:t>eview</w:t>
      </w:r>
      <w:bookmarkEnd w:id="21"/>
    </w:p>
    <w:p w14:paraId="4827A651" w14:textId="77777777" w:rsidR="002919A0" w:rsidRDefault="005B4711" w:rsidP="00352467">
      <w:pPr>
        <w:pStyle w:val="BodyText"/>
      </w:pPr>
      <w:r w:rsidRPr="00B65F7F">
        <w:t>The Australian Government Department of Health and Aged Care (</w:t>
      </w:r>
      <w:r w:rsidR="00CF6568">
        <w:t>DoHAC</w:t>
      </w:r>
      <w:r w:rsidRPr="00B65F7F">
        <w:t xml:space="preserve">) currently funds a range of mental health and suicide prevention services that aim to provide culturally appropriate mental health and suicide prevention activities for Aboriginal and/or Torres Strait Islander people. </w:t>
      </w:r>
      <w:r w:rsidR="00CF6568">
        <w:t>DoHAC</w:t>
      </w:r>
      <w:r w:rsidR="004E132B" w:rsidRPr="00B65F7F">
        <w:t xml:space="preserve"> also funds</w:t>
      </w:r>
      <w:r w:rsidRPr="00B65F7F">
        <w:t xml:space="preserve"> the </w:t>
      </w:r>
      <w:r w:rsidR="00EB514C">
        <w:t>Integrated Team Care (</w:t>
      </w:r>
      <w:r w:rsidR="00CC5E59">
        <w:t>ITC</w:t>
      </w:r>
      <w:r w:rsidR="00EB514C">
        <w:t>)</w:t>
      </w:r>
      <w:r w:rsidR="00CC5E59">
        <w:t xml:space="preserve"> </w:t>
      </w:r>
      <w:r w:rsidRPr="00B65F7F">
        <w:t xml:space="preserve">program </w:t>
      </w:r>
      <w:r w:rsidR="004E132B" w:rsidRPr="00B65F7F">
        <w:t xml:space="preserve">for </w:t>
      </w:r>
      <w:r w:rsidRPr="00B65F7F">
        <w:t>Aboriginal and/or Torres Strait Islander people with complex chronic conditions</w:t>
      </w:r>
      <w:r w:rsidR="005E5E7B" w:rsidRPr="00B65F7F">
        <w:t>. T</w:t>
      </w:r>
      <w:r w:rsidR="00165EC0" w:rsidRPr="00B65F7F">
        <w:t>ogether, the</w:t>
      </w:r>
      <w:r w:rsidR="00912717" w:rsidRPr="00B65F7F">
        <w:t>se</w:t>
      </w:r>
      <w:r w:rsidR="00165EC0" w:rsidRPr="00B65F7F">
        <w:t xml:space="preserve"> programs </w:t>
      </w:r>
      <w:r w:rsidR="00912717" w:rsidRPr="00B65F7F">
        <w:t xml:space="preserve">are </w:t>
      </w:r>
      <w:r w:rsidR="00165EC0" w:rsidRPr="00B65F7F">
        <w:t xml:space="preserve">the subject of this </w:t>
      </w:r>
      <w:r w:rsidR="00CC5E59">
        <w:t>R</w:t>
      </w:r>
      <w:r w:rsidR="00165EC0" w:rsidRPr="00B65F7F">
        <w:t xml:space="preserve">eview </w:t>
      </w:r>
      <w:r w:rsidR="00912717" w:rsidRPr="00B65F7F">
        <w:t xml:space="preserve">and will be called </w:t>
      </w:r>
      <w:r w:rsidR="00165EC0" w:rsidRPr="00B65F7F">
        <w:t xml:space="preserve">the Relevant Health </w:t>
      </w:r>
      <w:r w:rsidR="00912717" w:rsidRPr="00B65F7F">
        <w:t>Programs</w:t>
      </w:r>
      <w:r w:rsidR="004E132B" w:rsidRPr="00B65F7F">
        <w:t>.</w:t>
      </w:r>
    </w:p>
    <w:p w14:paraId="3424512F" w14:textId="3B4602A5" w:rsidR="005343E6" w:rsidRPr="00B65F7F" w:rsidRDefault="005343E6" w:rsidP="00352467">
      <w:pPr>
        <w:pStyle w:val="CaptionBox"/>
      </w:pPr>
      <w:bookmarkStart w:id="22" w:name="_Ref152006093"/>
      <w:bookmarkStart w:id="23" w:name="_Toc156932048"/>
      <w:r w:rsidRPr="00B65F7F">
        <w:t xml:space="preserve">Box </w:t>
      </w:r>
      <w:r w:rsidRPr="00B65F7F">
        <w:fldChar w:fldCharType="begin"/>
      </w:r>
      <w:r w:rsidRPr="00B65F7F">
        <w:instrText xml:space="preserve"> SEQ Box \* ARABIC </w:instrText>
      </w:r>
      <w:r w:rsidRPr="00B65F7F">
        <w:fldChar w:fldCharType="separate"/>
      </w:r>
      <w:r w:rsidR="00934D5E">
        <w:rPr>
          <w:noProof/>
        </w:rPr>
        <w:t>1</w:t>
      </w:r>
      <w:r w:rsidRPr="00B65F7F">
        <w:fldChar w:fldCharType="end"/>
      </w:r>
      <w:bookmarkEnd w:id="22"/>
      <w:r w:rsidRPr="00B65F7F">
        <w:t>: The Relevant Health Programs (in brief)</w:t>
      </w:r>
      <w:bookmarkEnd w:id="23"/>
    </w:p>
    <w:tbl>
      <w:tblPr>
        <w:tblStyle w:val="NintiBox"/>
        <w:tblW w:w="9634" w:type="dxa"/>
        <w:tblLook w:val="04A0" w:firstRow="1" w:lastRow="0" w:firstColumn="1" w:lastColumn="0" w:noHBand="0" w:noVBand="1"/>
      </w:tblPr>
      <w:tblGrid>
        <w:gridCol w:w="9634"/>
      </w:tblGrid>
      <w:tr w:rsidR="00A1274E" w:rsidRPr="00B65F7F" w14:paraId="18302D37" w14:textId="77777777" w:rsidTr="00D64E0B">
        <w:tc>
          <w:tcPr>
            <w:tcW w:w="9634" w:type="dxa"/>
          </w:tcPr>
          <w:p w14:paraId="704B5728" w14:textId="77777777" w:rsidR="00915BBE" w:rsidRPr="00D13939" w:rsidRDefault="00915BBE" w:rsidP="00D13939">
            <w:pPr>
              <w:pStyle w:val="BodyText"/>
              <w:rPr>
                <w:b/>
                <w:bCs/>
              </w:rPr>
            </w:pPr>
            <w:r w:rsidRPr="00D13939">
              <w:rPr>
                <w:b/>
                <w:bCs/>
              </w:rPr>
              <w:t xml:space="preserve">The Integrated Team Care program </w:t>
            </w:r>
          </w:p>
          <w:p w14:paraId="155B86A1" w14:textId="77777777" w:rsidR="00915BBE" w:rsidRPr="00B65F7F" w:rsidRDefault="00915BBE" w:rsidP="00D13939">
            <w:pPr>
              <w:pStyle w:val="BodyText"/>
            </w:pPr>
            <w:r w:rsidRPr="00B65F7F">
              <w:t xml:space="preserve">The ITC program was established in 2016 and is a combination of </w:t>
            </w:r>
            <w:r w:rsidR="00EB514C">
              <w:t xml:space="preserve">2 </w:t>
            </w:r>
            <w:r w:rsidRPr="00B65F7F">
              <w:t>predecessor programs</w:t>
            </w:r>
            <w:r w:rsidR="00EB514C">
              <w:t>:</w:t>
            </w:r>
            <w:r w:rsidRPr="00B65F7F">
              <w:t xml:space="preserve"> Improving Indigenous Access to Mainstream Primary Care (IIAMPC) </w:t>
            </w:r>
            <w:r w:rsidR="00912717" w:rsidRPr="00B65F7F">
              <w:t xml:space="preserve">and </w:t>
            </w:r>
            <w:r w:rsidRPr="00B65F7F">
              <w:t>Care Coordination and Supplementary Services (CCSS)</w:t>
            </w:r>
            <w:r w:rsidR="00912717" w:rsidRPr="00B65F7F">
              <w:t>.</w:t>
            </w:r>
            <w:r w:rsidRPr="00B65F7F">
              <w:t xml:space="preserve"> </w:t>
            </w:r>
          </w:p>
          <w:p w14:paraId="734893F2" w14:textId="77777777" w:rsidR="00915BBE" w:rsidRPr="00B65F7F" w:rsidRDefault="00912717" w:rsidP="00D13939">
            <w:pPr>
              <w:pStyle w:val="BodyText"/>
            </w:pPr>
            <w:r w:rsidRPr="00B65F7F">
              <w:t xml:space="preserve">The </w:t>
            </w:r>
            <w:r w:rsidR="00915BBE" w:rsidRPr="00B65F7F">
              <w:t>ITC program sits under the Indigenous Australians</w:t>
            </w:r>
            <w:r w:rsidRPr="00B65F7F">
              <w:t>’</w:t>
            </w:r>
            <w:r w:rsidR="00915BBE" w:rsidRPr="00B65F7F">
              <w:t xml:space="preserve"> Health Programme (IAHP), which is a collection of culturally appropriate initiatives aiming to increase health outcomes and access to healthcare for </w:t>
            </w:r>
            <w:r w:rsidR="00C92B46">
              <w:t>Aboriginal and/or Torres Strait Islander</w:t>
            </w:r>
            <w:r w:rsidR="00915BBE" w:rsidRPr="00B65F7F">
              <w:t xml:space="preserve"> people. The ITC program is one of the few programs in IAHP that is administered through </w:t>
            </w:r>
            <w:r w:rsidR="00825320" w:rsidRPr="00B65F7F">
              <w:t>Primary Health Networks (</w:t>
            </w:r>
            <w:r w:rsidR="00915BBE" w:rsidRPr="00B65F7F">
              <w:t>PHNs</w:t>
            </w:r>
            <w:r w:rsidR="00825320" w:rsidRPr="00B65F7F">
              <w:t>)</w:t>
            </w:r>
            <w:r w:rsidR="00915BBE" w:rsidRPr="00B65F7F">
              <w:t xml:space="preserve">. </w:t>
            </w:r>
          </w:p>
          <w:p w14:paraId="4260935D" w14:textId="77777777" w:rsidR="00D86B76" w:rsidRPr="00B65F7F" w:rsidRDefault="00D86B76" w:rsidP="00D13939">
            <w:pPr>
              <w:pStyle w:val="BodyText"/>
            </w:pPr>
            <w:r w:rsidRPr="00B65F7F">
              <w:t xml:space="preserve">The purpose of the ITC program is to </w:t>
            </w:r>
            <w:r w:rsidR="002B0C9F" w:rsidRPr="002B0C9F">
              <w:t>assist</w:t>
            </w:r>
            <w:r w:rsidRPr="00B65F7F">
              <w:t xml:space="preserve"> Aboriginal and/or Torres Strait Islander people </w:t>
            </w:r>
            <w:r w:rsidR="002B0C9F">
              <w:t>in managing</w:t>
            </w:r>
            <w:r w:rsidR="002B0C9F" w:rsidRPr="002B0C9F">
              <w:t xml:space="preserve"> chronic illness</w:t>
            </w:r>
            <w:r w:rsidRPr="00B65F7F">
              <w:t xml:space="preserve"> to ensure they can obtain the primary health and care they need. The ITC program is also designed to enhance the cultural safety of the primary healthcare system, ensuring that Aboriginal and/or Torres Strait Islander people can access primary healthcare services free from racism.</w:t>
            </w:r>
          </w:p>
          <w:p w14:paraId="0E023892" w14:textId="77777777" w:rsidR="00A1274E" w:rsidRPr="00B65F7F" w:rsidRDefault="00915BBE" w:rsidP="00D13939">
            <w:pPr>
              <w:pStyle w:val="BodyText"/>
            </w:pPr>
            <w:r w:rsidRPr="00B65F7F">
              <w:t xml:space="preserve">The ITC program seeks to address significant inequalities </w:t>
            </w:r>
            <w:r w:rsidR="005A143D" w:rsidRPr="00B65F7F">
              <w:t>in</w:t>
            </w:r>
            <w:r w:rsidRPr="00B65F7F">
              <w:t xml:space="preserve"> the health and wellbeing of </w:t>
            </w:r>
            <w:r w:rsidR="00C92B46">
              <w:t>Aboriginal and/or Torres Strait Islander</w:t>
            </w:r>
            <w:r w:rsidRPr="00B65F7F">
              <w:t xml:space="preserve"> people </w:t>
            </w:r>
            <w:r w:rsidR="00A074DE" w:rsidRPr="00B65F7F">
              <w:t xml:space="preserve">by </w:t>
            </w:r>
            <w:r w:rsidR="00966890" w:rsidRPr="00B65F7F">
              <w:t>enhancing access to care, promoting holistic care</w:t>
            </w:r>
            <w:r w:rsidR="00825320" w:rsidRPr="00B65F7F">
              <w:t xml:space="preserve"> and</w:t>
            </w:r>
            <w:r w:rsidR="00966890" w:rsidRPr="00B65F7F">
              <w:t xml:space="preserve"> supporting care coordination and </w:t>
            </w:r>
            <w:r w:rsidR="00B67A2C" w:rsidRPr="00B65F7F">
              <w:t>chronic disease management.</w:t>
            </w:r>
            <w:r w:rsidR="00856839" w:rsidRPr="00B65F7F">
              <w:t xml:space="preserve"> </w:t>
            </w:r>
          </w:p>
          <w:p w14:paraId="0640EE18" w14:textId="77777777" w:rsidR="005A143D" w:rsidRPr="00D13939" w:rsidRDefault="003A6BB4" w:rsidP="00D13939">
            <w:pPr>
              <w:pStyle w:val="BodyText"/>
              <w:rPr>
                <w:b/>
                <w:bCs/>
              </w:rPr>
            </w:pPr>
            <w:r w:rsidRPr="00D13939">
              <w:rPr>
                <w:b/>
                <w:bCs/>
              </w:rPr>
              <w:t xml:space="preserve">Mental health and suicide prevention programs </w:t>
            </w:r>
          </w:p>
          <w:p w14:paraId="03FAB2EA" w14:textId="77777777" w:rsidR="00103138" w:rsidRPr="00B65F7F" w:rsidRDefault="00103138" w:rsidP="00D13939">
            <w:pPr>
              <w:pStyle w:val="BodyText"/>
            </w:pPr>
            <w:r w:rsidRPr="00B65F7F">
              <w:t xml:space="preserve">Aboriginal and/or Torres Strait Islander mental health and suicide prevention funding was provided in response to the National Mental Health Commission’s </w:t>
            </w:r>
            <w:r w:rsidRPr="00B65F7F">
              <w:rPr>
                <w:i/>
                <w:iCs/>
              </w:rPr>
              <w:t xml:space="preserve">National </w:t>
            </w:r>
            <w:r w:rsidRPr="00F0334E">
              <w:rPr>
                <w:i/>
              </w:rPr>
              <w:t xml:space="preserve">Review of </w:t>
            </w:r>
            <w:r w:rsidRPr="00F0334E">
              <w:rPr>
                <w:i/>
                <w:iCs/>
              </w:rPr>
              <w:t>Mental Health</w:t>
            </w:r>
            <w:r w:rsidRPr="00F0334E">
              <w:rPr>
                <w:i/>
              </w:rPr>
              <w:t xml:space="preserve"> Programmes and </w:t>
            </w:r>
            <w:r w:rsidRPr="00F0334E">
              <w:rPr>
                <w:i/>
                <w:iCs/>
              </w:rPr>
              <w:t>Services</w:t>
            </w:r>
            <w:r w:rsidRPr="00B65F7F">
              <w:t xml:space="preserve"> (2015). The purpose of mental health and suicide prevention funding is to provide </w:t>
            </w:r>
            <w:r w:rsidRPr="6FA587F0">
              <w:t xml:space="preserve">access to </w:t>
            </w:r>
            <w:r w:rsidRPr="00B65F7F">
              <w:t xml:space="preserve">culturally appropriate services to </w:t>
            </w:r>
            <w:r>
              <w:t>Aboriginal and/or Torres Strait Islander</w:t>
            </w:r>
            <w:r w:rsidRPr="00B65F7F">
              <w:t xml:space="preserve"> people. </w:t>
            </w:r>
          </w:p>
          <w:p w14:paraId="43AE6438" w14:textId="77777777" w:rsidR="00103138" w:rsidRPr="00B65F7F" w:rsidRDefault="00103138" w:rsidP="00D13939">
            <w:pPr>
              <w:pStyle w:val="BodyText"/>
            </w:pPr>
            <w:r w:rsidRPr="00B65F7F">
              <w:t xml:space="preserve">Mental health </w:t>
            </w:r>
            <w:r w:rsidRPr="3E83EE75">
              <w:t xml:space="preserve">funding </w:t>
            </w:r>
            <w:r w:rsidRPr="0FC2CA55">
              <w:t xml:space="preserve">is </w:t>
            </w:r>
            <w:r w:rsidRPr="3E83EE75">
              <w:t>provided under</w:t>
            </w:r>
            <w:r w:rsidRPr="0FC2CA55">
              <w:t xml:space="preserve"> the </w:t>
            </w:r>
            <w:r w:rsidRPr="00B65F7F">
              <w:t>IAHP and</w:t>
            </w:r>
            <w:r w:rsidR="00893976">
              <w:t>,</w:t>
            </w:r>
            <w:r w:rsidRPr="00B65F7F">
              <w:t xml:space="preserve"> </w:t>
            </w:r>
            <w:r w:rsidRPr="065F3FD4">
              <w:t xml:space="preserve">along with the ITC program, </w:t>
            </w:r>
            <w:r w:rsidRPr="00B65F7F">
              <w:t xml:space="preserve">is one of the few programs in </w:t>
            </w:r>
            <w:r w:rsidRPr="0FC2CA55">
              <w:t xml:space="preserve">the </w:t>
            </w:r>
            <w:r w:rsidRPr="00B65F7F">
              <w:t xml:space="preserve">IAHP that is administered through PHNs. </w:t>
            </w:r>
            <w:r w:rsidRPr="4DBBB808">
              <w:t>Working</w:t>
            </w:r>
            <w:r w:rsidRPr="435E81DA">
              <w:t xml:space="preserve"> in tandem with state and territory commissioning bodies and existing local services</w:t>
            </w:r>
            <w:r w:rsidRPr="4DBBB808">
              <w:t>,</w:t>
            </w:r>
            <w:r w:rsidRPr="435E81DA">
              <w:t xml:space="preserve"> </w:t>
            </w:r>
            <w:r w:rsidRPr="4DBBB808">
              <w:t>PHN</w:t>
            </w:r>
            <w:r w:rsidRPr="00B65F7F">
              <w:t xml:space="preserve"> commissioning of </w:t>
            </w:r>
            <w:r w:rsidRPr="0FC2CA55">
              <w:t xml:space="preserve">mental health </w:t>
            </w:r>
            <w:r w:rsidRPr="065F3FD4">
              <w:t xml:space="preserve">services </w:t>
            </w:r>
            <w:r w:rsidRPr="38BB8B6F">
              <w:t xml:space="preserve">and suicide prevention </w:t>
            </w:r>
            <w:r w:rsidRPr="6D555BE5">
              <w:t xml:space="preserve">activities </w:t>
            </w:r>
            <w:r w:rsidRPr="383D49BD">
              <w:t>aims</w:t>
            </w:r>
            <w:r w:rsidRPr="00B65F7F">
              <w:t xml:space="preserve"> to </w:t>
            </w:r>
            <w:r w:rsidRPr="5568DE6D">
              <w:t xml:space="preserve">improve access to joined up, integrated, culturally </w:t>
            </w:r>
            <w:r w:rsidRPr="3C98A9E9">
              <w:t xml:space="preserve">appropriate and safe mental health services </w:t>
            </w:r>
            <w:r w:rsidRPr="58ECFE02">
              <w:t>and suicide prevention activities that</w:t>
            </w:r>
            <w:r w:rsidRPr="3C98A9E9">
              <w:t xml:space="preserve"> </w:t>
            </w:r>
            <w:r w:rsidRPr="738A6024">
              <w:t xml:space="preserve">meet the </w:t>
            </w:r>
            <w:r w:rsidRPr="5DCE4FFD">
              <w:t>needs</w:t>
            </w:r>
            <w:r w:rsidRPr="738A6024">
              <w:t xml:space="preserve"> of Aboriginal and Torres Strait Islander people</w:t>
            </w:r>
            <w:r w:rsidRPr="3CB07085">
              <w:t xml:space="preserve">, including </w:t>
            </w:r>
            <w:r w:rsidRPr="79DDAD27">
              <w:t>communities</w:t>
            </w:r>
            <w:r w:rsidRPr="3CB07085">
              <w:t xml:space="preserve"> at </w:t>
            </w:r>
            <w:r w:rsidRPr="79DDAD27">
              <w:t>heightened</w:t>
            </w:r>
            <w:r w:rsidRPr="3CB07085">
              <w:t xml:space="preserve"> risk of suicide</w:t>
            </w:r>
            <w:r w:rsidRPr="67DAD973">
              <w:t>.</w:t>
            </w:r>
          </w:p>
          <w:p w14:paraId="14478E70" w14:textId="77777777" w:rsidR="00D05A9B" w:rsidRPr="00B65F7F" w:rsidRDefault="00A911C0" w:rsidP="00D13939">
            <w:pPr>
              <w:pStyle w:val="BodyText"/>
            </w:pPr>
            <w:r w:rsidRPr="00B65F7F">
              <w:t>Further detail</w:t>
            </w:r>
            <w:r w:rsidR="00103138">
              <w:t>s</w:t>
            </w:r>
            <w:r w:rsidRPr="00B65F7F">
              <w:t xml:space="preserve"> about the</w:t>
            </w:r>
            <w:r w:rsidRPr="00B65F7F" w:rsidDel="00EE5FFF">
              <w:t xml:space="preserve"> </w:t>
            </w:r>
            <w:r w:rsidR="00825320" w:rsidRPr="00B65F7F">
              <w:t>R</w:t>
            </w:r>
            <w:r w:rsidR="00D05A9B" w:rsidRPr="00B65F7F">
              <w:t xml:space="preserve">elevant </w:t>
            </w:r>
            <w:r w:rsidR="00825320" w:rsidRPr="00B65F7F">
              <w:t>H</w:t>
            </w:r>
            <w:r w:rsidR="00D05A9B" w:rsidRPr="00B65F7F">
              <w:t xml:space="preserve">ealth </w:t>
            </w:r>
            <w:r w:rsidR="00825320" w:rsidRPr="00B65F7F">
              <w:t>P</w:t>
            </w:r>
            <w:r w:rsidR="00D05A9B" w:rsidRPr="00B65F7F">
              <w:t>rograms administered by PHNs</w:t>
            </w:r>
            <w:r w:rsidR="006561DA" w:rsidRPr="00B65F7F">
              <w:t xml:space="preserve"> </w:t>
            </w:r>
            <w:r w:rsidR="00103138">
              <w:t>are</w:t>
            </w:r>
            <w:r w:rsidR="006561DA" w:rsidRPr="00B65F7F">
              <w:t xml:space="preserve"> provided in</w:t>
            </w:r>
            <w:r w:rsidR="00D64E0B">
              <w:t xml:space="preserve"> Appendix</w:t>
            </w:r>
            <w:r w:rsidR="00EB514C">
              <w:t> </w:t>
            </w:r>
            <w:r w:rsidR="00D64E0B">
              <w:t>2.</w:t>
            </w:r>
          </w:p>
        </w:tc>
      </w:tr>
    </w:tbl>
    <w:p w14:paraId="0B43583F" w14:textId="77777777" w:rsidR="005B4711" w:rsidRDefault="00CF6568" w:rsidP="00D13939">
      <w:pPr>
        <w:pStyle w:val="BodyText"/>
        <w:keepLines/>
      </w:pPr>
      <w:r>
        <w:lastRenderedPageBreak/>
        <w:t>DoHAC</w:t>
      </w:r>
      <w:r w:rsidR="005B4711" w:rsidRPr="00B65F7F">
        <w:t xml:space="preserve"> commissioned </w:t>
      </w:r>
      <w:r w:rsidR="00AB1B4D" w:rsidRPr="00B65F7F">
        <w:t xml:space="preserve">First Nations Co </w:t>
      </w:r>
      <w:r w:rsidR="005B4711" w:rsidRPr="00B65F7F">
        <w:t xml:space="preserve">and Ninti One (the </w:t>
      </w:r>
      <w:r w:rsidR="00C310A3">
        <w:t>Review</w:t>
      </w:r>
      <w:r w:rsidR="005B4711" w:rsidRPr="00B65F7F">
        <w:t xml:space="preserve"> Team) to </w:t>
      </w:r>
      <w:r w:rsidR="00D86B76" w:rsidRPr="00B65F7F">
        <w:t>r</w:t>
      </w:r>
      <w:r w:rsidR="005B4711" w:rsidRPr="00B65F7F">
        <w:t xml:space="preserve">eview </w:t>
      </w:r>
      <w:r w:rsidR="00D86B76" w:rsidRPr="00B65F7F">
        <w:t>s</w:t>
      </w:r>
      <w:r w:rsidR="005B4711" w:rsidRPr="00B65F7F">
        <w:t xml:space="preserve">ector </w:t>
      </w:r>
      <w:r w:rsidR="00D86B76" w:rsidRPr="00B65F7F">
        <w:t>f</w:t>
      </w:r>
      <w:r w:rsidR="005B4711" w:rsidRPr="00B65F7F">
        <w:t xml:space="preserve">unding </w:t>
      </w:r>
      <w:r w:rsidR="00D86B76" w:rsidRPr="00B65F7F">
        <w:t>a</w:t>
      </w:r>
      <w:r w:rsidR="005B4711" w:rsidRPr="00B65F7F">
        <w:t xml:space="preserve">rrangements and </w:t>
      </w:r>
      <w:r w:rsidR="00D86B76" w:rsidRPr="00B65F7F">
        <w:t>s</w:t>
      </w:r>
      <w:r w:rsidR="005B4711" w:rsidRPr="00B65F7F">
        <w:t xml:space="preserve">ervice </w:t>
      </w:r>
      <w:r w:rsidR="00D86B76" w:rsidRPr="00B65F7F">
        <w:t>p</w:t>
      </w:r>
      <w:r w:rsidR="005B4711" w:rsidRPr="00B65F7F">
        <w:t xml:space="preserve">rovider </w:t>
      </w:r>
      <w:r w:rsidR="00D86B76" w:rsidRPr="00B65F7F">
        <w:t>c</w:t>
      </w:r>
      <w:r w:rsidR="005B4711" w:rsidRPr="00B65F7F">
        <w:t xml:space="preserve">apability for </w:t>
      </w:r>
      <w:r w:rsidR="00C92B46">
        <w:t>Aboriginal and/or Torres Strait Islander</w:t>
      </w:r>
      <w:r w:rsidR="005B4711" w:rsidRPr="00B65F7F">
        <w:t xml:space="preserve"> </w:t>
      </w:r>
      <w:r w:rsidR="00D86B76" w:rsidRPr="00B65F7F">
        <w:t>m</w:t>
      </w:r>
      <w:r w:rsidR="005B4711" w:rsidRPr="00B65F7F">
        <w:t xml:space="preserve">ental </w:t>
      </w:r>
      <w:r w:rsidR="00D86B76" w:rsidRPr="00B65F7F">
        <w:t>h</w:t>
      </w:r>
      <w:r w:rsidR="005B4711" w:rsidRPr="00B65F7F">
        <w:t xml:space="preserve">ealth and </w:t>
      </w:r>
      <w:r w:rsidR="00D86B76" w:rsidRPr="00B65F7F">
        <w:t>s</w:t>
      </w:r>
      <w:r w:rsidR="005B4711" w:rsidRPr="00B65F7F">
        <w:t xml:space="preserve">uicide </w:t>
      </w:r>
      <w:r w:rsidR="00D86B76" w:rsidRPr="00B65F7F">
        <w:t>p</w:t>
      </w:r>
      <w:r w:rsidR="005B4711" w:rsidRPr="00B65F7F">
        <w:t xml:space="preserve">revention </w:t>
      </w:r>
      <w:r w:rsidR="00D86B76" w:rsidRPr="00B65F7F">
        <w:t>s</w:t>
      </w:r>
      <w:r w:rsidR="005B4711" w:rsidRPr="00B65F7F">
        <w:t xml:space="preserve">ervices and the </w:t>
      </w:r>
      <w:r w:rsidR="00D86B76" w:rsidRPr="00B65F7F">
        <w:t xml:space="preserve">ITC </w:t>
      </w:r>
      <w:r w:rsidR="00893976">
        <w:t>p</w:t>
      </w:r>
      <w:r w:rsidR="005B4711" w:rsidRPr="00B65F7F">
        <w:t>rogram</w:t>
      </w:r>
      <w:r w:rsidR="00F837D0" w:rsidRPr="00B65F7F">
        <w:t xml:space="preserve"> (the </w:t>
      </w:r>
      <w:r w:rsidR="00C310A3">
        <w:t>R</w:t>
      </w:r>
      <w:r w:rsidR="00F837D0" w:rsidRPr="00B65F7F">
        <w:t>eview)</w:t>
      </w:r>
      <w:r w:rsidR="005B4711" w:rsidRPr="00B65F7F">
        <w:t>. This follows</w:t>
      </w:r>
      <w:r w:rsidR="00B63B4F" w:rsidRPr="00B65F7F">
        <w:t xml:space="preserve"> the development of the National Agreement and the</w:t>
      </w:r>
      <w:r w:rsidR="005B4711" w:rsidRPr="00B65F7F">
        <w:t xml:space="preserve"> various inquiries and analyses that have found that to achieve the best outcomes in Aboriginal and/or Torres Strait Islander health and wellbeing, services supporting these outcomes must be self-determined and delivered by Aboriginal and/or Torres Strait Islander organisations.</w:t>
      </w:r>
    </w:p>
    <w:p w14:paraId="319D2462" w14:textId="4D4131ED" w:rsidR="005343E6" w:rsidRPr="00B65F7F" w:rsidRDefault="005343E6" w:rsidP="005343E6">
      <w:pPr>
        <w:pStyle w:val="CaptionBox"/>
      </w:pPr>
      <w:bookmarkStart w:id="24" w:name="_Toc156932049"/>
      <w:r w:rsidRPr="00B65F7F">
        <w:t xml:space="preserve">Box </w:t>
      </w:r>
      <w:r w:rsidRPr="00B65F7F">
        <w:fldChar w:fldCharType="begin"/>
      </w:r>
      <w:r w:rsidRPr="00B65F7F">
        <w:instrText xml:space="preserve"> SEQ Box \* ARABIC </w:instrText>
      </w:r>
      <w:r w:rsidRPr="00B65F7F">
        <w:fldChar w:fldCharType="separate"/>
      </w:r>
      <w:r w:rsidR="00934D5E">
        <w:rPr>
          <w:noProof/>
        </w:rPr>
        <w:t>2</w:t>
      </w:r>
      <w:r w:rsidRPr="00B65F7F">
        <w:fldChar w:fldCharType="end"/>
      </w:r>
      <w:r w:rsidRPr="00B65F7F">
        <w:t>: An ambitious vision</w:t>
      </w:r>
      <w:bookmarkEnd w:id="24"/>
      <w:r w:rsidRPr="00B65F7F">
        <w:t xml:space="preserve"> </w:t>
      </w:r>
    </w:p>
    <w:tbl>
      <w:tblPr>
        <w:tblStyle w:val="NintiBox"/>
        <w:tblW w:w="0" w:type="auto"/>
        <w:tblLayout w:type="fixed"/>
        <w:tblLook w:val="04A0" w:firstRow="1" w:lastRow="0" w:firstColumn="1" w:lastColumn="0" w:noHBand="0" w:noVBand="1"/>
      </w:tblPr>
      <w:tblGrid>
        <w:gridCol w:w="9633"/>
      </w:tblGrid>
      <w:tr w:rsidR="00B74E33" w:rsidRPr="00B65F7F" w14:paraId="0F5BE61C" w14:textId="77777777" w:rsidTr="0098562E">
        <w:tc>
          <w:tcPr>
            <w:tcW w:w="9633" w:type="dxa"/>
          </w:tcPr>
          <w:p w14:paraId="74897F9E" w14:textId="635B9E72" w:rsidR="00103138" w:rsidRDefault="00103138" w:rsidP="00D13939">
            <w:pPr>
              <w:pStyle w:val="BodyText"/>
            </w:pPr>
            <w:r w:rsidRPr="00B65F7F">
              <w:t xml:space="preserve">During the term of the </w:t>
            </w:r>
            <w:r w:rsidR="00893976">
              <w:t>R</w:t>
            </w:r>
            <w:r w:rsidRPr="00B65F7F">
              <w:t xml:space="preserve">eview, </w:t>
            </w:r>
            <w:r w:rsidR="00CF6568">
              <w:t>DoHAC</w:t>
            </w:r>
            <w:r w:rsidRPr="00B65F7F">
              <w:t xml:space="preserve"> established the First Nations Health Funding Transition Unit (the Unit) to lead a coordinated approach </w:t>
            </w:r>
            <w:r w:rsidR="00521687">
              <w:t>to identifying programs and sub-programs that explicitly aim to improve First Nations health outcomes that are currently being delivered by non-Indigenous organisations and could be transitioned to First Nations–led</w:t>
            </w:r>
            <w:r w:rsidRPr="005F60A3">
              <w:t xml:space="preserve"> organisations.</w:t>
            </w:r>
            <w:r w:rsidR="000B479E">
              <w:t xml:space="preserve"> </w:t>
            </w:r>
            <w:r>
              <w:t>The Unit will work with policy areas to develop transition plans.</w:t>
            </w:r>
            <w:r w:rsidR="000B479E">
              <w:t xml:space="preserve"> </w:t>
            </w:r>
            <w:r>
              <w:t xml:space="preserve">This work </w:t>
            </w:r>
            <w:r w:rsidRPr="00F830E3">
              <w:t xml:space="preserve">builds on the commitments outlined in the </w:t>
            </w:r>
            <w:r w:rsidR="00893976" w:rsidRPr="0098562E">
              <w:rPr>
                <w:i/>
                <w:iCs/>
              </w:rPr>
              <w:t>National Aboriginal and Torres Strait Islander Health Plan</w:t>
            </w:r>
            <w:r w:rsidR="0002261D">
              <w:rPr>
                <w:i/>
                <w:iCs/>
              </w:rPr>
              <w:t xml:space="preserve"> 2013–2023</w:t>
            </w:r>
            <w:r w:rsidR="00893976" w:rsidRPr="00893976">
              <w:t xml:space="preserve"> </w:t>
            </w:r>
            <w:r w:rsidR="00B85CD0">
              <w:t xml:space="preserve">(Department of Health and Ageing, 2013) </w:t>
            </w:r>
            <w:r>
              <w:t xml:space="preserve">and </w:t>
            </w:r>
            <w:r w:rsidRPr="00F830E3">
              <w:t xml:space="preserve">is an opportunity for </w:t>
            </w:r>
            <w:r w:rsidR="00CF6568">
              <w:t>DoHAC</w:t>
            </w:r>
            <w:r>
              <w:t xml:space="preserve"> </w:t>
            </w:r>
            <w:r w:rsidRPr="00F830E3">
              <w:t>to transform the way it designs and implements whole-of-health system policies and programs to ensure they are responsive to the needs of First Nations peoples.</w:t>
            </w:r>
          </w:p>
          <w:p w14:paraId="59F1BD31" w14:textId="27345CAE" w:rsidR="00103138" w:rsidRPr="00B65F7F" w:rsidRDefault="00103138" w:rsidP="00D13939">
            <w:pPr>
              <w:pStyle w:val="BodyText"/>
            </w:pPr>
            <w:r w:rsidRPr="00B65F7F">
              <w:t xml:space="preserve">While the </w:t>
            </w:r>
            <w:r w:rsidR="00C310A3">
              <w:t>Review</w:t>
            </w:r>
            <w:r w:rsidRPr="00B65F7F">
              <w:t xml:space="preserve"> Team has had minimal interactions with the Unit, the recommendations articulated </w:t>
            </w:r>
            <w:r w:rsidRPr="07654550">
              <w:t xml:space="preserve">in </w:t>
            </w:r>
            <w:r w:rsidR="00893976">
              <w:t xml:space="preserve">this </w:t>
            </w:r>
            <w:r w:rsidRPr="35B350A7">
              <w:t>Final</w:t>
            </w:r>
            <w:r w:rsidRPr="15007534">
              <w:t xml:space="preserve"> Report</w:t>
            </w:r>
            <w:r w:rsidR="00521687">
              <w:t xml:space="preserve"> should be considered by the Unit, and the recommendations should complement and strengthen the Unit’s work.</w:t>
            </w:r>
            <w:r w:rsidRPr="15007534">
              <w:t xml:space="preserve"> </w:t>
            </w:r>
            <w:r w:rsidRPr="00B65F7F">
              <w:t xml:space="preserve"> </w:t>
            </w:r>
          </w:p>
          <w:p w14:paraId="29F3F71D" w14:textId="77777777" w:rsidR="005C3129" w:rsidRPr="00B65F7F" w:rsidRDefault="00103138" w:rsidP="00D13939">
            <w:pPr>
              <w:pStyle w:val="BodyText"/>
            </w:pPr>
            <w:r w:rsidRPr="3F77565E">
              <w:t>W</w:t>
            </w:r>
            <w:r w:rsidRPr="00B65F7F">
              <w:t xml:space="preserve">hile the scope of the </w:t>
            </w:r>
            <w:r w:rsidR="00893976">
              <w:t>R</w:t>
            </w:r>
            <w:r w:rsidRPr="00B65F7F">
              <w:t xml:space="preserve">eview is limited to the Relevant Health Programs, the recommendations are intended to provide </w:t>
            </w:r>
            <w:r w:rsidR="00CF6568">
              <w:t>DoHAC</w:t>
            </w:r>
            <w:r w:rsidRPr="00B65F7F">
              <w:t xml:space="preserve"> (and the Australian Government, more generally) with an ambitious yet practical pathway that can shape the future transition of funding for Aboriginal and/or Torres Strait Islander people in line with the National Agreement.</w:t>
            </w:r>
          </w:p>
        </w:tc>
      </w:tr>
    </w:tbl>
    <w:p w14:paraId="53977A17" w14:textId="2D51F7DD" w:rsidR="005B4711" w:rsidRPr="00B65F7F" w:rsidRDefault="005B4711" w:rsidP="00974A68">
      <w:pPr>
        <w:pStyle w:val="Heading2"/>
      </w:pPr>
      <w:bookmarkStart w:id="25" w:name="_Toc120206131"/>
      <w:bookmarkStart w:id="26" w:name="_Toc124427615"/>
      <w:bookmarkStart w:id="27" w:name="_Toc156931996"/>
      <w:r w:rsidRPr="00B56177">
        <w:t>Purpose of th</w:t>
      </w:r>
      <w:r w:rsidR="0007671B" w:rsidRPr="00B56177">
        <w:t>is</w:t>
      </w:r>
      <w:r w:rsidR="0007671B" w:rsidRPr="00B65F7F">
        <w:t xml:space="preserve"> </w:t>
      </w:r>
      <w:bookmarkEnd w:id="25"/>
      <w:bookmarkEnd w:id="26"/>
      <w:r w:rsidR="00BF5658" w:rsidRPr="00B65F7F">
        <w:t>r</w:t>
      </w:r>
      <w:r w:rsidRPr="00B65F7F">
        <w:t>eport</w:t>
      </w:r>
      <w:bookmarkEnd w:id="27"/>
    </w:p>
    <w:p w14:paraId="7533ADDA" w14:textId="77777777" w:rsidR="005B4711" w:rsidRPr="00B65F7F" w:rsidRDefault="005B4711" w:rsidP="001B0732">
      <w:pPr>
        <w:pStyle w:val="BodyText"/>
        <w:rPr>
          <w:highlight w:val="white"/>
        </w:rPr>
      </w:pPr>
      <w:r w:rsidRPr="00B65F7F">
        <w:rPr>
          <w:highlight w:val="white"/>
        </w:rPr>
        <w:t>Th</w:t>
      </w:r>
      <w:r w:rsidR="00842756" w:rsidRPr="00B65F7F">
        <w:rPr>
          <w:highlight w:val="white"/>
        </w:rPr>
        <w:t>is</w:t>
      </w:r>
      <w:r w:rsidRPr="00B65F7F">
        <w:rPr>
          <w:highlight w:val="white"/>
        </w:rPr>
        <w:t xml:space="preserve"> </w:t>
      </w:r>
      <w:r w:rsidR="00D86B76" w:rsidRPr="00B65F7F">
        <w:rPr>
          <w:highlight w:val="white"/>
        </w:rPr>
        <w:t>r</w:t>
      </w:r>
      <w:r w:rsidRPr="00B65F7F">
        <w:rPr>
          <w:highlight w:val="white"/>
        </w:rPr>
        <w:t xml:space="preserve">eport </w:t>
      </w:r>
      <w:r w:rsidR="00235137" w:rsidRPr="00B65F7F">
        <w:rPr>
          <w:highlight w:val="white"/>
        </w:rPr>
        <w:t>sets out key recommendations for future</w:t>
      </w:r>
      <w:r w:rsidR="00D86B76" w:rsidRPr="00B65F7F">
        <w:rPr>
          <w:highlight w:val="white"/>
        </w:rPr>
        <w:t>-state</w:t>
      </w:r>
      <w:r w:rsidR="00235137" w:rsidRPr="00B65F7F">
        <w:rPr>
          <w:highlight w:val="white"/>
        </w:rPr>
        <w:t xml:space="preserve"> funding arrangements</w:t>
      </w:r>
      <w:r w:rsidR="00F46669">
        <w:rPr>
          <w:highlight w:val="white"/>
        </w:rPr>
        <w:t xml:space="preserve"> and a </w:t>
      </w:r>
      <w:r w:rsidR="00C947C1" w:rsidRPr="00B65F7F">
        <w:rPr>
          <w:highlight w:val="white"/>
        </w:rPr>
        <w:t xml:space="preserve">pathway to move from the current funding arrangements </w:t>
      </w:r>
      <w:r w:rsidR="00191535" w:rsidRPr="00B65F7F">
        <w:rPr>
          <w:highlight w:val="white"/>
        </w:rPr>
        <w:t>to</w:t>
      </w:r>
      <w:r w:rsidR="00C947C1" w:rsidRPr="00B65F7F">
        <w:rPr>
          <w:highlight w:val="white"/>
        </w:rPr>
        <w:t xml:space="preserve"> th</w:t>
      </w:r>
      <w:r w:rsidR="00F46669">
        <w:rPr>
          <w:highlight w:val="white"/>
        </w:rPr>
        <w:t>ose recommended in this report</w:t>
      </w:r>
      <w:r w:rsidR="00E4053C" w:rsidRPr="00B65F7F">
        <w:rPr>
          <w:highlight w:val="white"/>
        </w:rPr>
        <w:t xml:space="preserve">. </w:t>
      </w:r>
    </w:p>
    <w:p w14:paraId="5AA17ACE" w14:textId="77777777" w:rsidR="009E0318" w:rsidRDefault="009E0318" w:rsidP="001B0732">
      <w:pPr>
        <w:pStyle w:val="BodyText"/>
      </w:pPr>
      <w:r w:rsidRPr="00B65F7F">
        <w:t xml:space="preserve">While </w:t>
      </w:r>
      <w:r w:rsidR="00B56177">
        <w:t>the</w:t>
      </w:r>
      <w:r w:rsidRPr="00B65F7F">
        <w:t xml:space="preserve"> </w:t>
      </w:r>
      <w:r w:rsidR="00D86B76" w:rsidRPr="00B65F7F">
        <w:t>r</w:t>
      </w:r>
      <w:r w:rsidRPr="00B65F7F">
        <w:t xml:space="preserve">eport has been prepared following extensive research and engagement – particularly with representatives from the </w:t>
      </w:r>
      <w:r w:rsidR="00D86B76" w:rsidRPr="00B65F7F">
        <w:t>Aboriginal Community Controlled Health Organisation (</w:t>
      </w:r>
      <w:r w:rsidR="001C16D0" w:rsidRPr="00B65F7F">
        <w:t>ACCHO</w:t>
      </w:r>
      <w:r w:rsidR="00D86B76" w:rsidRPr="00B65F7F">
        <w:t>)</w:t>
      </w:r>
      <w:r w:rsidRPr="00B65F7F">
        <w:t xml:space="preserve"> sector, </w:t>
      </w:r>
      <w:r w:rsidR="00EB0541">
        <w:t>Aboriginal and/or Torres Strait Islander</w:t>
      </w:r>
      <w:r w:rsidRPr="00B65F7F">
        <w:t xml:space="preserve"> community members, </w:t>
      </w:r>
      <w:r w:rsidR="00CF6568">
        <w:t>DoHAC</w:t>
      </w:r>
      <w:r w:rsidRPr="00B65F7F">
        <w:t xml:space="preserve"> and PHNs – the </w:t>
      </w:r>
      <w:r w:rsidR="00103138">
        <w:t>Review</w:t>
      </w:r>
      <w:r w:rsidRPr="00B65F7F">
        <w:t xml:space="preserve"> Team acknowledges that further engagement with each of the stakeholder groups </w:t>
      </w:r>
      <w:r w:rsidR="006D440E" w:rsidRPr="00B65F7F">
        <w:t xml:space="preserve">will be essential </w:t>
      </w:r>
      <w:r w:rsidR="002436B9">
        <w:t xml:space="preserve">to </w:t>
      </w:r>
      <w:r w:rsidR="0093749B">
        <w:t>enable effective</w:t>
      </w:r>
      <w:r w:rsidR="00211264" w:rsidRPr="00B65F7F">
        <w:t xml:space="preserve"> implementation</w:t>
      </w:r>
      <w:r w:rsidRPr="00B65F7F">
        <w:t xml:space="preserve">. For this reason, the </w:t>
      </w:r>
      <w:r w:rsidR="00867831">
        <w:t>Review Team</w:t>
      </w:r>
      <w:r w:rsidRPr="00B65F7F">
        <w:t xml:space="preserve"> recommends that </w:t>
      </w:r>
      <w:r w:rsidR="00CF6568">
        <w:t>DoHAC</w:t>
      </w:r>
      <w:r w:rsidRPr="00B65F7F">
        <w:t xml:space="preserve"> should continue to engage and partner with each of the above-named stakeholders to maximise the success of the proposed recommendations.</w:t>
      </w:r>
    </w:p>
    <w:p w14:paraId="7FF11F5A" w14:textId="30C50147" w:rsidR="005343E6" w:rsidRPr="00B65F7F" w:rsidRDefault="005343E6" w:rsidP="005343E6">
      <w:pPr>
        <w:pStyle w:val="CaptionBox"/>
      </w:pPr>
      <w:bookmarkStart w:id="28" w:name="_Toc156932050"/>
      <w:r w:rsidRPr="00B65F7F">
        <w:t xml:space="preserve">Box </w:t>
      </w:r>
      <w:r w:rsidRPr="00B65F7F">
        <w:fldChar w:fldCharType="begin"/>
      </w:r>
      <w:r w:rsidRPr="00B65F7F">
        <w:instrText xml:space="preserve"> SEQ Box \* ARABIC </w:instrText>
      </w:r>
      <w:r w:rsidRPr="00B65F7F">
        <w:fldChar w:fldCharType="separate"/>
      </w:r>
      <w:r w:rsidR="00934D5E">
        <w:rPr>
          <w:noProof/>
        </w:rPr>
        <w:t>3</w:t>
      </w:r>
      <w:r w:rsidRPr="00B65F7F">
        <w:fldChar w:fldCharType="end"/>
      </w:r>
      <w:r w:rsidRPr="00B65F7F">
        <w:t>: An integrated approach to documenting the findings and recommendations</w:t>
      </w:r>
      <w:bookmarkEnd w:id="28"/>
      <w:r w:rsidRPr="00B65F7F">
        <w:t xml:space="preserve"> </w:t>
      </w:r>
    </w:p>
    <w:tbl>
      <w:tblPr>
        <w:tblStyle w:val="NintiBox"/>
        <w:tblW w:w="0" w:type="auto"/>
        <w:tblLayout w:type="fixed"/>
        <w:tblLook w:val="04A0" w:firstRow="1" w:lastRow="0" w:firstColumn="1" w:lastColumn="0" w:noHBand="0" w:noVBand="1"/>
      </w:tblPr>
      <w:tblGrid>
        <w:gridCol w:w="9633"/>
      </w:tblGrid>
      <w:tr w:rsidR="000532BA" w:rsidRPr="00B65F7F" w14:paraId="1D1710F2" w14:textId="77777777" w:rsidTr="00B56177">
        <w:tc>
          <w:tcPr>
            <w:tcW w:w="9633" w:type="dxa"/>
          </w:tcPr>
          <w:p w14:paraId="604CBCD3" w14:textId="77777777" w:rsidR="00BD702D" w:rsidRPr="00B65F7F" w:rsidRDefault="00EC405F" w:rsidP="001B0732">
            <w:pPr>
              <w:pStyle w:val="BodyText"/>
            </w:pPr>
            <w:r w:rsidRPr="00B65F7F">
              <w:t xml:space="preserve">The purpose of the </w:t>
            </w:r>
            <w:r w:rsidR="00B56177">
              <w:t>R</w:t>
            </w:r>
            <w:r w:rsidRPr="00B65F7F">
              <w:t xml:space="preserve">eview has been to undertake </w:t>
            </w:r>
            <w:r w:rsidR="007C6D44" w:rsidRPr="00B65F7F">
              <w:t xml:space="preserve">a </w:t>
            </w:r>
            <w:r w:rsidRPr="00B65F7F">
              <w:t xml:space="preserve">comprehensive analysis </w:t>
            </w:r>
            <w:r w:rsidR="007C6D44" w:rsidRPr="00B65F7F">
              <w:t>of</w:t>
            </w:r>
            <w:r w:rsidRPr="00B65F7F">
              <w:t xml:space="preserve"> the </w:t>
            </w:r>
            <w:r w:rsidR="00D86B76" w:rsidRPr="00B65F7F">
              <w:t>m</w:t>
            </w:r>
            <w:r w:rsidRPr="00B65F7F">
              <w:t xml:space="preserve">ental </w:t>
            </w:r>
            <w:r w:rsidR="00D86B76" w:rsidRPr="00B65F7F">
              <w:t>h</w:t>
            </w:r>
            <w:r w:rsidRPr="00B65F7F">
              <w:t xml:space="preserve">ealth and </w:t>
            </w:r>
            <w:r w:rsidR="00D86B76" w:rsidRPr="00B65F7F">
              <w:t>s</w:t>
            </w:r>
            <w:r w:rsidRPr="00B65F7F">
              <w:t xml:space="preserve">uicide </w:t>
            </w:r>
            <w:r w:rsidR="00D86B76" w:rsidRPr="00B65F7F">
              <w:t>p</w:t>
            </w:r>
            <w:r w:rsidRPr="00B65F7F">
              <w:t xml:space="preserve">revention </w:t>
            </w:r>
            <w:r w:rsidR="00D86B76" w:rsidRPr="00B65F7F">
              <w:t>s</w:t>
            </w:r>
            <w:r w:rsidRPr="00B65F7F">
              <w:t xml:space="preserve">ervices and the </w:t>
            </w:r>
            <w:r w:rsidR="00D86B76" w:rsidRPr="00B65F7F">
              <w:t>ITC</w:t>
            </w:r>
            <w:r w:rsidRPr="00B65F7F">
              <w:t xml:space="preserve"> </w:t>
            </w:r>
            <w:r w:rsidR="00D86B76" w:rsidRPr="00B65F7F">
              <w:t>p</w:t>
            </w:r>
            <w:r w:rsidRPr="00B65F7F">
              <w:t xml:space="preserve">rogram. </w:t>
            </w:r>
            <w:r w:rsidR="007B114C" w:rsidRPr="00B65F7F">
              <w:t>T</w:t>
            </w:r>
            <w:r w:rsidR="007C6D44" w:rsidRPr="00B65F7F">
              <w:t xml:space="preserve">hese programs and services are different, reflecting the </w:t>
            </w:r>
            <w:r w:rsidR="00BF60D6" w:rsidRPr="00B65F7F">
              <w:t xml:space="preserve">different objectives, </w:t>
            </w:r>
            <w:r w:rsidR="00523D0B" w:rsidRPr="00B65F7F">
              <w:t>target cohorts, funding and service delivery models</w:t>
            </w:r>
            <w:r w:rsidR="007B114C" w:rsidRPr="00B65F7F">
              <w:t xml:space="preserve">. </w:t>
            </w:r>
          </w:p>
          <w:p w14:paraId="7AF4D187" w14:textId="77777777" w:rsidR="000532BA" w:rsidRPr="00B65F7F" w:rsidRDefault="004F0C68" w:rsidP="001B0732">
            <w:pPr>
              <w:pStyle w:val="BodyText"/>
            </w:pPr>
            <w:r w:rsidRPr="00B65F7F">
              <w:t xml:space="preserve">Despite these differences, the </w:t>
            </w:r>
            <w:r w:rsidR="0097232D">
              <w:t>R</w:t>
            </w:r>
            <w:r>
              <w:t xml:space="preserve">eview’s </w:t>
            </w:r>
            <w:r w:rsidRPr="00B65F7F">
              <w:t>findings and recommendations indicate that the challenges and opportunities of these services and program are, in fact, very similar. For this reason (and unless otherwise stated), the findings, insights and recommendations set out here are presented in an integrated manner, covering all the Relevant Health Programs.</w:t>
            </w:r>
          </w:p>
        </w:tc>
      </w:tr>
    </w:tbl>
    <w:p w14:paraId="18F1D2C8" w14:textId="723BA718" w:rsidR="006142C0" w:rsidRPr="00B65F7F" w:rsidRDefault="006142C0" w:rsidP="00EF6B9D">
      <w:pPr>
        <w:pStyle w:val="Heading1"/>
      </w:pPr>
      <w:bookmarkStart w:id="29" w:name="Chapter2_withtitle"/>
      <w:bookmarkStart w:id="30" w:name="_Toc156931997"/>
      <w:bookmarkStart w:id="31" w:name="_Toc120206132"/>
      <w:bookmarkEnd w:id="4"/>
      <w:r w:rsidRPr="00B65F7F">
        <w:lastRenderedPageBreak/>
        <w:t xml:space="preserve">– </w:t>
      </w:r>
      <w:r>
        <w:t>Methodology</w:t>
      </w:r>
      <w:bookmarkEnd w:id="29"/>
      <w:bookmarkEnd w:id="30"/>
    </w:p>
    <w:p w14:paraId="10300558" w14:textId="77777777" w:rsidR="004C72F1" w:rsidRDefault="00114CE1" w:rsidP="001B0732">
      <w:pPr>
        <w:pStyle w:val="BodyText"/>
      </w:pPr>
      <w:bookmarkStart w:id="32" w:name="Part2Findings"/>
      <w:bookmarkEnd w:id="31"/>
      <w:r>
        <w:t xml:space="preserve">This </w:t>
      </w:r>
      <w:r w:rsidR="00791FF2">
        <w:t>section</w:t>
      </w:r>
      <w:r>
        <w:t xml:space="preserve"> </w:t>
      </w:r>
      <w:r w:rsidR="005836CC">
        <w:t xml:space="preserve">provides an </w:t>
      </w:r>
      <w:r>
        <w:t>overview</w:t>
      </w:r>
      <w:r w:rsidR="005836CC">
        <w:t xml:space="preserve"> of </w:t>
      </w:r>
      <w:r>
        <w:t>the method</w:t>
      </w:r>
      <w:r w:rsidR="003E4BDD">
        <w:t xml:space="preserve"> used to</w:t>
      </w:r>
      <w:r>
        <w:t xml:space="preserve"> </w:t>
      </w:r>
      <w:r w:rsidR="00F46669">
        <w:t>complete the Review</w:t>
      </w:r>
      <w:r>
        <w:t>. The method centre</w:t>
      </w:r>
      <w:r w:rsidR="00F46669">
        <w:t>s</w:t>
      </w:r>
      <w:r>
        <w:t xml:space="preserve"> on the Yarning method adopted across multiple engagement activities and locations. </w:t>
      </w:r>
    </w:p>
    <w:p w14:paraId="1D49CDC6" w14:textId="77777777" w:rsidR="00114CE1" w:rsidRDefault="00114CE1" w:rsidP="001B0732">
      <w:pPr>
        <w:pStyle w:val="BodyText"/>
      </w:pPr>
      <w:r>
        <w:t xml:space="preserve">Multiple qualitative and quantitative methods were adopted in the </w:t>
      </w:r>
      <w:r w:rsidR="00566994">
        <w:t>R</w:t>
      </w:r>
      <w:r>
        <w:t xml:space="preserve">eview, including stakeholder interviews, community </w:t>
      </w:r>
      <w:r w:rsidR="00CF3408">
        <w:t>y</w:t>
      </w:r>
      <w:r>
        <w:t>arns</w:t>
      </w:r>
      <w:r w:rsidR="00521687">
        <w:t xml:space="preserve"> (consultations)</w:t>
      </w:r>
      <w:r>
        <w:t xml:space="preserve"> and online surveys. </w:t>
      </w:r>
      <w:r w:rsidR="00F46669">
        <w:t xml:space="preserve">The </w:t>
      </w:r>
      <w:r w:rsidR="00FC3BA0">
        <w:t xml:space="preserve">triangulation of the various data sources analysed provides </w:t>
      </w:r>
      <w:r>
        <w:t>a holistic perspective</w:t>
      </w:r>
      <w:r w:rsidR="00FC3BA0">
        <w:t xml:space="preserve">s of </w:t>
      </w:r>
      <w:r>
        <w:t>key stakeholder groups and consumers of the Relevant Health Programs.</w:t>
      </w:r>
    </w:p>
    <w:p w14:paraId="3367DF60" w14:textId="3B9A82C3" w:rsidR="00114CE1" w:rsidRPr="004566A8" w:rsidRDefault="00114CE1" w:rsidP="001B0732">
      <w:pPr>
        <w:pStyle w:val="Heading2"/>
      </w:pPr>
      <w:bookmarkStart w:id="33" w:name="_Toc156931998"/>
      <w:r w:rsidRPr="004566A8">
        <w:t>Key questions</w:t>
      </w:r>
      <w:bookmarkEnd w:id="33"/>
      <w:r w:rsidRPr="004566A8">
        <w:t xml:space="preserve"> </w:t>
      </w:r>
    </w:p>
    <w:p w14:paraId="32F1336D" w14:textId="77777777" w:rsidR="00114CE1" w:rsidRDefault="00114CE1" w:rsidP="001B0732">
      <w:pPr>
        <w:pStyle w:val="BodyText"/>
      </w:pPr>
      <w:r>
        <w:t>Four key questions were defined in the Statement of Requirement</w:t>
      </w:r>
      <w:r w:rsidR="00566994">
        <w:t xml:space="preserve"> of the Review</w:t>
      </w:r>
      <w:r>
        <w:t xml:space="preserve"> research:</w:t>
      </w:r>
      <w:r w:rsidR="000B479E">
        <w:t xml:space="preserve"> </w:t>
      </w:r>
    </w:p>
    <w:p w14:paraId="6A4EB65C" w14:textId="77777777" w:rsidR="00114CE1" w:rsidRDefault="00114CE1" w:rsidP="00F47ACE">
      <w:pPr>
        <w:pStyle w:val="ListBullet2"/>
      </w:pPr>
      <w:r>
        <w:rPr>
          <w:rFonts w:eastAsia="Calibri"/>
          <w:b/>
        </w:rPr>
        <w:t xml:space="preserve">Funding arrangements: </w:t>
      </w:r>
      <w:r>
        <w:rPr>
          <w:rFonts w:eastAsia="Calibri"/>
        </w:rPr>
        <w:t xml:space="preserve">How are the services </w:t>
      </w:r>
      <w:r w:rsidR="00566994">
        <w:rPr>
          <w:rFonts w:eastAsia="Calibri"/>
        </w:rPr>
        <w:t>[</w:t>
      </w:r>
      <w:r>
        <w:rPr>
          <w:rFonts w:eastAsia="Calibri"/>
        </w:rPr>
        <w:t>Relevant Health Programs</w:t>
      </w:r>
      <w:r w:rsidR="00566994">
        <w:rPr>
          <w:rFonts w:eastAsia="Calibri"/>
        </w:rPr>
        <w:t>]</w:t>
      </w:r>
      <w:r>
        <w:rPr>
          <w:rFonts w:eastAsia="Calibri"/>
        </w:rPr>
        <w:t xml:space="preserve"> relevant to this </w:t>
      </w:r>
      <w:r>
        <w:t>Review</w:t>
      </w:r>
      <w:r>
        <w:rPr>
          <w:rFonts w:eastAsia="Calibri"/>
        </w:rPr>
        <w:t xml:space="preserve"> currently funded and through what approach? What are the strengths and weaknesses of the current arrangements? </w:t>
      </w:r>
    </w:p>
    <w:p w14:paraId="68B6D87D" w14:textId="77777777" w:rsidR="00114CE1" w:rsidRDefault="00114CE1" w:rsidP="00F47ACE">
      <w:pPr>
        <w:pStyle w:val="ListBullet2"/>
      </w:pPr>
      <w:r>
        <w:rPr>
          <w:rFonts w:eastAsia="Calibri"/>
          <w:b/>
        </w:rPr>
        <w:t xml:space="preserve">Service sector capacity: </w:t>
      </w:r>
      <w:r>
        <w:rPr>
          <w:rFonts w:eastAsia="Calibri"/>
        </w:rPr>
        <w:t xml:space="preserve">What is the capacity, capability and willingness of these services to deliver and/or commission services? </w:t>
      </w:r>
    </w:p>
    <w:p w14:paraId="499C10EC" w14:textId="77777777" w:rsidR="00114CE1" w:rsidRDefault="00114CE1" w:rsidP="00F47ACE">
      <w:pPr>
        <w:pStyle w:val="ListBullet2"/>
      </w:pPr>
      <w:r>
        <w:rPr>
          <w:rFonts w:eastAsia="Calibri"/>
          <w:b/>
        </w:rPr>
        <w:t xml:space="preserve">Community and consumer needs: </w:t>
      </w:r>
      <w:r>
        <w:rPr>
          <w:rFonts w:eastAsia="Calibri"/>
        </w:rPr>
        <w:t>From the perspective of the Aboriginal and/or Torres Strait Islander community that services support and people who need to access services, what are the needs and preferences for these programs?</w:t>
      </w:r>
    </w:p>
    <w:p w14:paraId="0341FB97" w14:textId="77777777" w:rsidR="00114CE1" w:rsidRPr="00040DB9" w:rsidRDefault="00114CE1" w:rsidP="00F47ACE">
      <w:pPr>
        <w:pStyle w:val="ListBullet2"/>
      </w:pPr>
      <w:r w:rsidRPr="00040DB9">
        <w:rPr>
          <w:rFonts w:eastAsia="Calibri"/>
          <w:b/>
        </w:rPr>
        <w:t xml:space="preserve">Future options: </w:t>
      </w:r>
      <w:r w:rsidRPr="00040DB9">
        <w:rPr>
          <w:rFonts w:eastAsia="Calibri"/>
        </w:rPr>
        <w:t>What are the most practical and efficient options to transition to one or more funding mechanisms which build the capacity of ACCHOs, other community-controlled organisations (including Aboriginal community-controlled organisations (ACCOs) and Aboriginal medical services (AMSs), and mainstream organisations, while ensuring choice and maintaining service quality and geographical reach</w:t>
      </w:r>
      <w:r w:rsidR="00566994" w:rsidRPr="00040DB9">
        <w:rPr>
          <w:rFonts w:eastAsia="Calibri"/>
        </w:rPr>
        <w:t>?</w:t>
      </w:r>
    </w:p>
    <w:p w14:paraId="155D78C5" w14:textId="77777777" w:rsidR="00114CE1" w:rsidRDefault="00114CE1" w:rsidP="00F47ACE">
      <w:pPr>
        <w:pStyle w:val="BodyText"/>
      </w:pPr>
      <w:r>
        <w:t xml:space="preserve">To aid in the exploration of the 4 key areas of investigation, the </w:t>
      </w:r>
      <w:r w:rsidR="004E112A">
        <w:t>R</w:t>
      </w:r>
      <w:r>
        <w:t>eview was guided by a logic model that was designed to cover both Relevant Health Programs.</w:t>
      </w:r>
    </w:p>
    <w:p w14:paraId="3DEED7CA" w14:textId="077290BB" w:rsidR="00390F72" w:rsidRPr="00B65F7F" w:rsidRDefault="00390F72" w:rsidP="00390F72">
      <w:pPr>
        <w:pStyle w:val="CaptionBox"/>
      </w:pPr>
      <w:bookmarkStart w:id="34" w:name="_Toc156932051"/>
      <w:r w:rsidRPr="00B65F7F">
        <w:t xml:space="preserve">Box </w:t>
      </w:r>
      <w:r w:rsidRPr="00B65F7F">
        <w:fldChar w:fldCharType="begin"/>
      </w:r>
      <w:r w:rsidRPr="00B65F7F">
        <w:instrText xml:space="preserve"> SEQ Box \* ARABIC </w:instrText>
      </w:r>
      <w:r w:rsidRPr="00B65F7F">
        <w:fldChar w:fldCharType="separate"/>
      </w:r>
      <w:r w:rsidR="00934D5E">
        <w:rPr>
          <w:noProof/>
        </w:rPr>
        <w:t>4</w:t>
      </w:r>
      <w:r w:rsidRPr="00B65F7F">
        <w:fldChar w:fldCharType="end"/>
      </w:r>
      <w:r w:rsidRPr="00B65F7F">
        <w:t xml:space="preserve">: </w:t>
      </w:r>
      <w:r>
        <w:t xml:space="preserve">Considering </w:t>
      </w:r>
      <w:r w:rsidR="001D5F91">
        <w:t xml:space="preserve">sector </w:t>
      </w:r>
      <w:r>
        <w:t>service capacity</w:t>
      </w:r>
      <w:bookmarkEnd w:id="34"/>
      <w:r w:rsidRPr="00B65F7F">
        <w:t xml:space="preserve"> </w:t>
      </w:r>
    </w:p>
    <w:tbl>
      <w:tblPr>
        <w:tblStyle w:val="NintiBox"/>
        <w:tblW w:w="0" w:type="auto"/>
        <w:tblLayout w:type="fixed"/>
        <w:tblCellMar>
          <w:bottom w:w="170" w:type="dxa"/>
        </w:tblCellMar>
        <w:tblLook w:val="04A0" w:firstRow="1" w:lastRow="0" w:firstColumn="1" w:lastColumn="0" w:noHBand="0" w:noVBand="1"/>
      </w:tblPr>
      <w:tblGrid>
        <w:gridCol w:w="9633"/>
      </w:tblGrid>
      <w:tr w:rsidR="00390F72" w:rsidRPr="00B65F7F" w14:paraId="66EEF2CE" w14:textId="77777777" w:rsidTr="00040DB9">
        <w:trPr>
          <w:trHeight w:val="104"/>
        </w:trPr>
        <w:tc>
          <w:tcPr>
            <w:tcW w:w="9633" w:type="dxa"/>
          </w:tcPr>
          <w:p w14:paraId="0ED93009" w14:textId="77777777" w:rsidR="005307DC" w:rsidRDefault="00C00C41" w:rsidP="00F47ACE">
            <w:pPr>
              <w:pStyle w:val="BodyText"/>
            </w:pPr>
            <w:r>
              <w:t>When engaging representatives</w:t>
            </w:r>
            <w:r w:rsidR="004E112A">
              <w:t xml:space="preserve"> from Indigenous organisations</w:t>
            </w:r>
            <w:r>
              <w:t xml:space="preserve"> during the course of the </w:t>
            </w:r>
            <w:r w:rsidR="00566994">
              <w:t>R</w:t>
            </w:r>
            <w:r>
              <w:t xml:space="preserve">eview, </w:t>
            </w:r>
            <w:r w:rsidR="008B124D">
              <w:t xml:space="preserve">numerous stakeholders noted that it </w:t>
            </w:r>
            <w:r>
              <w:t xml:space="preserve">is not appropriate for the </w:t>
            </w:r>
            <w:r w:rsidR="004E112A">
              <w:t>R</w:t>
            </w:r>
            <w:r>
              <w:t>eview to assess the capacity and capability of ACCHOs to commission services</w:t>
            </w:r>
            <w:r w:rsidR="008B124D">
              <w:t>. The</w:t>
            </w:r>
            <w:r w:rsidR="00650036">
              <w:t xml:space="preserve"> primary</w:t>
            </w:r>
            <w:r w:rsidR="008B124D">
              <w:t xml:space="preserve"> reason</w:t>
            </w:r>
            <w:r w:rsidR="005307DC">
              <w:t>s</w:t>
            </w:r>
            <w:r w:rsidR="008B124D">
              <w:t xml:space="preserve"> provided for this</w:t>
            </w:r>
            <w:r w:rsidR="005307DC">
              <w:t xml:space="preserve"> were: </w:t>
            </w:r>
          </w:p>
          <w:p w14:paraId="3D147FF8" w14:textId="77777777" w:rsidR="00843D30" w:rsidRDefault="004E112A" w:rsidP="00F47ACE">
            <w:pPr>
              <w:pStyle w:val="ListBullet2"/>
              <w:rPr>
                <w:rFonts w:eastAsia="Calibri"/>
              </w:rPr>
            </w:pPr>
            <w:r>
              <w:rPr>
                <w:rFonts w:eastAsia="Calibri"/>
              </w:rPr>
              <w:t>Indigenous organisations</w:t>
            </w:r>
            <w:r w:rsidRPr="005307DC">
              <w:rPr>
                <w:rFonts w:eastAsia="Calibri"/>
              </w:rPr>
              <w:t xml:space="preserve"> </w:t>
            </w:r>
            <w:r w:rsidR="00C91EED" w:rsidRPr="005307DC">
              <w:rPr>
                <w:rFonts w:eastAsia="Calibri"/>
              </w:rPr>
              <w:t xml:space="preserve">have historically been the subject </w:t>
            </w:r>
            <w:r w:rsidR="004B0E78" w:rsidRPr="005307DC">
              <w:rPr>
                <w:rFonts w:eastAsia="Calibri"/>
              </w:rPr>
              <w:t>of</w:t>
            </w:r>
            <w:r w:rsidR="00C91EED" w:rsidRPr="005307DC">
              <w:rPr>
                <w:rFonts w:eastAsia="Calibri"/>
              </w:rPr>
              <w:t xml:space="preserve"> numerous capability and capacity </w:t>
            </w:r>
            <w:r w:rsidR="004B0E78" w:rsidRPr="005307DC">
              <w:rPr>
                <w:rFonts w:eastAsia="Calibri"/>
              </w:rPr>
              <w:t>assessments</w:t>
            </w:r>
            <w:r w:rsidR="00C91EED" w:rsidRPr="005307DC">
              <w:rPr>
                <w:rFonts w:eastAsia="Calibri"/>
              </w:rPr>
              <w:t xml:space="preserve">, underpinned by the presumption that these organisations lack capability in comparison with mainstream services. However, this has been found not </w:t>
            </w:r>
            <w:r w:rsidR="00566994">
              <w:rPr>
                <w:rFonts w:eastAsia="Calibri"/>
              </w:rPr>
              <w:t xml:space="preserve">to </w:t>
            </w:r>
            <w:r w:rsidR="00C91EED" w:rsidRPr="005307DC">
              <w:rPr>
                <w:rFonts w:eastAsia="Calibri"/>
              </w:rPr>
              <w:t>be the case by numerous inquiries and research</w:t>
            </w:r>
            <w:r w:rsidR="004B0E78" w:rsidRPr="005307DC">
              <w:rPr>
                <w:rFonts w:eastAsia="Calibri"/>
              </w:rPr>
              <w:t>,</w:t>
            </w:r>
            <w:r w:rsidR="00C91EED" w:rsidRPr="005307DC">
              <w:rPr>
                <w:rFonts w:eastAsia="Calibri"/>
              </w:rPr>
              <w:t xml:space="preserve"> which demonstrate</w:t>
            </w:r>
            <w:r w:rsidR="004B0E78" w:rsidRPr="005307DC">
              <w:rPr>
                <w:rFonts w:eastAsia="Calibri"/>
              </w:rPr>
              <w:t xml:space="preserve"> that ACCHOs deliver better health outcomes when </w:t>
            </w:r>
            <w:r w:rsidR="00C91EED" w:rsidRPr="005307DC">
              <w:rPr>
                <w:rFonts w:eastAsia="Calibri"/>
              </w:rPr>
              <w:t>compared with mainstream services</w:t>
            </w:r>
            <w:r w:rsidR="004B0E78" w:rsidRPr="005307DC">
              <w:rPr>
                <w:rFonts w:eastAsia="Calibri"/>
              </w:rPr>
              <w:t xml:space="preserve"> (Vos </w:t>
            </w:r>
            <w:r w:rsidR="0021376C">
              <w:rPr>
                <w:rFonts w:eastAsia="Calibri"/>
              </w:rPr>
              <w:t xml:space="preserve">et al., </w:t>
            </w:r>
            <w:r w:rsidR="004B0E78" w:rsidRPr="005307DC">
              <w:rPr>
                <w:rFonts w:eastAsia="Calibri"/>
              </w:rPr>
              <w:t>2010)</w:t>
            </w:r>
            <w:r w:rsidR="00566994">
              <w:rPr>
                <w:rFonts w:eastAsia="Calibri"/>
              </w:rPr>
              <w:t>.</w:t>
            </w:r>
            <w:r w:rsidR="00843D30">
              <w:rPr>
                <w:rFonts w:eastAsia="Calibri"/>
              </w:rPr>
              <w:t xml:space="preserve"> </w:t>
            </w:r>
          </w:p>
          <w:p w14:paraId="567E177F" w14:textId="77777777" w:rsidR="00650036" w:rsidRPr="00843D30" w:rsidRDefault="00843D30" w:rsidP="00F47ACE">
            <w:pPr>
              <w:pStyle w:val="ListBullet2"/>
              <w:rPr>
                <w:rFonts w:eastAsia="Calibri"/>
              </w:rPr>
            </w:pPr>
            <w:r>
              <w:rPr>
                <w:rFonts w:eastAsia="Calibri"/>
              </w:rPr>
              <w:t xml:space="preserve">Indigenous organisations are required to be registered under Commonwealth legislation (i.e. the </w:t>
            </w:r>
            <w:r>
              <w:rPr>
                <w:rFonts w:eastAsia="Calibri"/>
                <w:i/>
                <w:iCs/>
              </w:rPr>
              <w:t xml:space="preserve">Corporations Act 2001 </w:t>
            </w:r>
            <w:r>
              <w:rPr>
                <w:rFonts w:eastAsia="Calibri"/>
              </w:rPr>
              <w:t xml:space="preserve">(Cth)) and are also required to comply with medical accreditation requirements. Given these are the same requirements as those mandated for non-Indigenous providers, Indigenous providers should not be required to be held to a higher standard. </w:t>
            </w:r>
          </w:p>
          <w:p w14:paraId="3E584B23" w14:textId="77777777" w:rsidR="00786D27" w:rsidRDefault="00786D27" w:rsidP="00F47ACE">
            <w:pPr>
              <w:pStyle w:val="ListBullet2"/>
              <w:rPr>
                <w:rFonts w:eastAsia="Calibri"/>
              </w:rPr>
            </w:pPr>
            <w:r w:rsidRPr="005307DC">
              <w:rPr>
                <w:rFonts w:eastAsia="Calibri"/>
              </w:rPr>
              <w:t>Priority Reform 2 of the National Agreement</w:t>
            </w:r>
            <w:r w:rsidR="005307DC" w:rsidRPr="005307DC">
              <w:rPr>
                <w:rFonts w:eastAsia="Calibri"/>
              </w:rPr>
              <w:t xml:space="preserve"> </w:t>
            </w:r>
            <w:r w:rsidR="005B7E5F">
              <w:rPr>
                <w:rFonts w:eastAsia="Calibri"/>
              </w:rPr>
              <w:t xml:space="preserve">(Australian Government, 2020) </w:t>
            </w:r>
            <w:r w:rsidR="005307DC">
              <w:rPr>
                <w:rFonts w:eastAsia="Calibri"/>
              </w:rPr>
              <w:t xml:space="preserve">commits to building </w:t>
            </w:r>
            <w:r w:rsidR="00F211BE">
              <w:rPr>
                <w:rFonts w:eastAsia="Calibri"/>
              </w:rPr>
              <w:t>the community-controlled sector in recognition that funding of the sector has been inappropriate.</w:t>
            </w:r>
          </w:p>
          <w:p w14:paraId="5C475C0C" w14:textId="77777777" w:rsidR="00650036" w:rsidRDefault="00650036" w:rsidP="00F47ACE">
            <w:pPr>
              <w:pStyle w:val="BodyText"/>
            </w:pPr>
            <w:r>
              <w:lastRenderedPageBreak/>
              <w:t xml:space="preserve">The </w:t>
            </w:r>
            <w:r w:rsidR="00867831">
              <w:t>Review Team</w:t>
            </w:r>
            <w:r>
              <w:t xml:space="preserve"> provided this feedback to representatives of </w:t>
            </w:r>
            <w:r w:rsidR="00CF6568">
              <w:t>DoHAC</w:t>
            </w:r>
            <w:r>
              <w:t xml:space="preserve"> throughout the </w:t>
            </w:r>
            <w:r w:rsidR="00566994">
              <w:t>R</w:t>
            </w:r>
            <w:r>
              <w:t>eview.</w:t>
            </w:r>
            <w:r w:rsidR="000B479E">
              <w:t xml:space="preserve"> </w:t>
            </w:r>
          </w:p>
          <w:p w14:paraId="38A32C80" w14:textId="77777777" w:rsidR="00650036" w:rsidRPr="00B65F7F" w:rsidRDefault="00650036" w:rsidP="00F47ACE">
            <w:pPr>
              <w:pStyle w:val="BodyText"/>
            </w:pPr>
            <w:r>
              <w:t>For this reason, a formal assessment of service sector capacity was not undertaken.</w:t>
            </w:r>
            <w:r w:rsidR="00C276FF">
              <w:t xml:space="preserve"> It is also the reason that the Review has recommended that </w:t>
            </w:r>
            <w:r w:rsidR="00CF6568">
              <w:t>DoHAC</w:t>
            </w:r>
            <w:r w:rsidR="00C276FF">
              <w:t xml:space="preserve"> adopt the EAP, providing an opportunity to learn about the abilities </w:t>
            </w:r>
            <w:r w:rsidR="003B4DCE">
              <w:t>(among other things) of Indigenous organisations that may want to lead the future-state funding arrangements.</w:t>
            </w:r>
            <w:r>
              <w:t xml:space="preserve"> </w:t>
            </w:r>
          </w:p>
        </w:tc>
      </w:tr>
    </w:tbl>
    <w:p w14:paraId="77E5AD89" w14:textId="297AF8E8" w:rsidR="00114CE1" w:rsidRPr="004566A8" w:rsidRDefault="00114CE1" w:rsidP="00721E99">
      <w:pPr>
        <w:pStyle w:val="Heading2"/>
      </w:pPr>
      <w:bookmarkStart w:id="35" w:name="_Toc156931999"/>
      <w:r w:rsidRPr="004566A8">
        <w:lastRenderedPageBreak/>
        <w:t>Cultural credibility and protocols</w:t>
      </w:r>
      <w:bookmarkEnd w:id="35"/>
    </w:p>
    <w:p w14:paraId="413F65C4" w14:textId="77777777" w:rsidR="00114CE1" w:rsidRDefault="00114CE1" w:rsidP="00721E99">
      <w:pPr>
        <w:pStyle w:val="BodyText"/>
      </w:pPr>
      <w:r>
        <w:t xml:space="preserve">A participatory and empowering review approach was applied to all activities undertaken. This was founded on cultural safety </w:t>
      </w:r>
      <w:r w:rsidR="007A5214">
        <w:t>–</w:t>
      </w:r>
      <w:r>
        <w:t xml:space="preserve"> the precondition for appropriate access to, involvement in and contribution to workplaces and services by Indigenous Australians (Gollan and Stacey</w:t>
      </w:r>
      <w:r w:rsidR="0021376C">
        <w:t>,</w:t>
      </w:r>
      <w:r>
        <w:t xml:space="preserve"> 2021). The </w:t>
      </w:r>
      <w:r w:rsidR="000E5848">
        <w:t>Review Team</w:t>
      </w:r>
      <w:r>
        <w:t xml:space="preserve"> demonstrated cultural credibility in the conduct and the observance of appropriate protocols. The </w:t>
      </w:r>
      <w:r w:rsidR="000E5848">
        <w:t>Review Team</w:t>
      </w:r>
      <w:r>
        <w:t xml:space="preserve"> </w:t>
      </w:r>
      <w:r w:rsidRPr="0093749B">
        <w:t>values</w:t>
      </w:r>
      <w:r>
        <w:t xml:space="preserve"> cultural diversity, innovation, integrity and empathy and respects the cultural authority of Aboriginal and/or Torres Strait Islander Peoples. </w:t>
      </w:r>
    </w:p>
    <w:p w14:paraId="382FF9EE" w14:textId="064C0141" w:rsidR="0093749B" w:rsidRPr="0093749B" w:rsidRDefault="0093749B" w:rsidP="00721E99">
      <w:pPr>
        <w:pStyle w:val="BodyText"/>
      </w:pPr>
      <w:r>
        <w:t xml:space="preserve">Further detail about the </w:t>
      </w:r>
      <w:r w:rsidR="00867831">
        <w:t>Review Team</w:t>
      </w:r>
      <w:r>
        <w:t xml:space="preserve">’s </w:t>
      </w:r>
      <w:r w:rsidR="00395611">
        <w:t xml:space="preserve">cultural credibility and protocols are set out in </w:t>
      </w:r>
      <w:r w:rsidR="00743081" w:rsidRPr="00743081">
        <w:fldChar w:fldCharType="begin"/>
      </w:r>
      <w:r w:rsidR="00743081">
        <w:instrText xml:space="preserve"> REF App3_notitle \h  \* MERGEFORMAT </w:instrText>
      </w:r>
      <w:r w:rsidR="00743081" w:rsidRPr="00743081">
        <w:fldChar w:fldCharType="separate"/>
      </w:r>
      <w:r w:rsidR="00934D5E" w:rsidRPr="00B65F7F">
        <w:t xml:space="preserve">Appendix </w:t>
      </w:r>
      <w:r w:rsidR="00934D5E">
        <w:t>3</w:t>
      </w:r>
      <w:r w:rsidR="00743081" w:rsidRPr="00743081">
        <w:fldChar w:fldCharType="end"/>
      </w:r>
      <w:r w:rsidR="00395611">
        <w:t>.</w:t>
      </w:r>
    </w:p>
    <w:p w14:paraId="2393DE41" w14:textId="4BC43FA5" w:rsidR="00114CE1" w:rsidRDefault="00114CE1" w:rsidP="00721E99">
      <w:pPr>
        <w:pStyle w:val="BodyText"/>
      </w:pPr>
      <w:r>
        <w:t xml:space="preserve">In designing the Review, the </w:t>
      </w:r>
      <w:r w:rsidR="000E5848">
        <w:t>Review Team</w:t>
      </w:r>
      <w:r>
        <w:t xml:space="preserve"> drew upon the 6 key principles outlined in the NHMRC </w:t>
      </w:r>
      <w:r w:rsidR="00527432">
        <w:t xml:space="preserve">(2018) </w:t>
      </w:r>
      <w:r w:rsidR="0002261D" w:rsidRPr="005C1CD8">
        <w:rPr>
          <w:i/>
          <w:iCs/>
        </w:rPr>
        <w:t>National statement on ethical conduct in human research</w:t>
      </w:r>
      <w:r>
        <w:t xml:space="preserve">: </w:t>
      </w:r>
    </w:p>
    <w:p w14:paraId="7AC21F54" w14:textId="77777777" w:rsidR="00114CE1" w:rsidRPr="00831BA5" w:rsidRDefault="00114CE1" w:rsidP="00721E99">
      <w:pPr>
        <w:pStyle w:val="ListBullet2"/>
      </w:pPr>
      <w:r w:rsidRPr="00831BA5">
        <w:rPr>
          <w:rFonts w:eastAsia="Calibri"/>
        </w:rPr>
        <w:t>Principle 1: Spirit and Integrity</w:t>
      </w:r>
    </w:p>
    <w:p w14:paraId="0438D0CE" w14:textId="77777777" w:rsidR="00114CE1" w:rsidRPr="00831BA5" w:rsidRDefault="00114CE1" w:rsidP="00721E99">
      <w:pPr>
        <w:pStyle w:val="ListBullet2"/>
      </w:pPr>
      <w:r w:rsidRPr="00831BA5">
        <w:rPr>
          <w:rFonts w:eastAsia="Calibri"/>
        </w:rPr>
        <w:t>Principle 2: Cultural Continuity</w:t>
      </w:r>
    </w:p>
    <w:p w14:paraId="12AF28E9" w14:textId="77777777" w:rsidR="00114CE1" w:rsidRPr="00831BA5" w:rsidRDefault="00114CE1" w:rsidP="00721E99">
      <w:pPr>
        <w:pStyle w:val="ListBullet2"/>
      </w:pPr>
      <w:r w:rsidRPr="00831BA5">
        <w:rPr>
          <w:rFonts w:eastAsia="Calibri"/>
        </w:rPr>
        <w:t>Principle 3: Equity</w:t>
      </w:r>
    </w:p>
    <w:p w14:paraId="64C11D5A" w14:textId="77777777" w:rsidR="00114CE1" w:rsidRPr="00831BA5" w:rsidRDefault="00114CE1" w:rsidP="00721E99">
      <w:pPr>
        <w:pStyle w:val="ListBullet2"/>
      </w:pPr>
      <w:r w:rsidRPr="00831BA5">
        <w:rPr>
          <w:rFonts w:eastAsia="Calibri"/>
        </w:rPr>
        <w:t xml:space="preserve">Principle 4: Reciprocity </w:t>
      </w:r>
    </w:p>
    <w:p w14:paraId="5F8FF410" w14:textId="77777777" w:rsidR="00114CE1" w:rsidRPr="00831BA5" w:rsidRDefault="00114CE1" w:rsidP="00721E99">
      <w:pPr>
        <w:pStyle w:val="ListBullet2"/>
      </w:pPr>
      <w:r w:rsidRPr="00831BA5">
        <w:rPr>
          <w:rFonts w:eastAsia="Calibri"/>
        </w:rPr>
        <w:t>Principle 5: Respect</w:t>
      </w:r>
    </w:p>
    <w:p w14:paraId="3092F902" w14:textId="77777777" w:rsidR="00114CE1" w:rsidRPr="00831BA5" w:rsidRDefault="00114CE1" w:rsidP="00721E99">
      <w:pPr>
        <w:pStyle w:val="ListBullet2"/>
      </w:pPr>
      <w:r w:rsidRPr="00831BA5">
        <w:rPr>
          <w:rFonts w:eastAsia="Calibri"/>
        </w:rPr>
        <w:t>Principle 6: Responsibility</w:t>
      </w:r>
    </w:p>
    <w:p w14:paraId="11678A7C" w14:textId="77777777" w:rsidR="00114CE1" w:rsidRDefault="00114CE1" w:rsidP="00721E99">
      <w:pPr>
        <w:pStyle w:val="BodyText1stparaafterlist"/>
      </w:pPr>
      <w:r>
        <w:t xml:space="preserve">The </w:t>
      </w:r>
      <w:r w:rsidR="000E5848">
        <w:t>Review Team</w:t>
      </w:r>
      <w:r>
        <w:t xml:space="preserve"> recognised that Aboriginal and/or Torres Strait Islander people and communities may have other responsibilities, such as attending sorry business and other important cultural events and worked flexibly throughout each phase of the </w:t>
      </w:r>
      <w:r w:rsidR="007A5214">
        <w:t>R</w:t>
      </w:r>
      <w:r>
        <w:t xml:space="preserve">eview to ensure that research activities did not interfere with these responsibilities. </w:t>
      </w:r>
    </w:p>
    <w:p w14:paraId="4C3878D5" w14:textId="77777777" w:rsidR="00114CE1" w:rsidRDefault="008A36DD" w:rsidP="00721E99">
      <w:pPr>
        <w:pStyle w:val="BodyText"/>
        <w:rPr>
          <w:color w:val="000000"/>
        </w:rPr>
      </w:pPr>
      <w:r>
        <w:t>T</w:t>
      </w:r>
      <w:r w:rsidR="00114CE1">
        <w:t xml:space="preserve">he key principles for the </w:t>
      </w:r>
      <w:r>
        <w:t>R</w:t>
      </w:r>
      <w:r w:rsidR="00114CE1">
        <w:t xml:space="preserve">eview were informed by the principles outlined in the Lowitja Institute’s </w:t>
      </w:r>
      <w:r w:rsidR="00114CE1" w:rsidRPr="0098562E">
        <w:rPr>
          <w:i/>
          <w:iCs/>
        </w:rPr>
        <w:t xml:space="preserve">Aboriginal </w:t>
      </w:r>
      <w:r w:rsidR="007A5214">
        <w:rPr>
          <w:i/>
          <w:iCs/>
        </w:rPr>
        <w:t>p</w:t>
      </w:r>
      <w:r w:rsidR="00114CE1" w:rsidRPr="0098562E">
        <w:rPr>
          <w:i/>
          <w:iCs/>
        </w:rPr>
        <w:t xml:space="preserve">articipatory </w:t>
      </w:r>
      <w:r w:rsidR="007A5214">
        <w:rPr>
          <w:i/>
          <w:iCs/>
        </w:rPr>
        <w:t>a</w:t>
      </w:r>
      <w:r w:rsidR="00114CE1" w:rsidRPr="0098562E">
        <w:rPr>
          <w:i/>
          <w:iCs/>
        </w:rPr>
        <w:t xml:space="preserve">ction </w:t>
      </w:r>
      <w:r w:rsidR="007A5214">
        <w:rPr>
          <w:i/>
          <w:iCs/>
        </w:rPr>
        <w:t>r</w:t>
      </w:r>
      <w:r w:rsidR="00114CE1" w:rsidRPr="0098562E">
        <w:rPr>
          <w:i/>
          <w:iCs/>
        </w:rPr>
        <w:t xml:space="preserve">esearch </w:t>
      </w:r>
      <w:r w:rsidR="007A5214" w:rsidRPr="005C1CD8">
        <w:t>d</w:t>
      </w:r>
      <w:r w:rsidR="00114CE1" w:rsidRPr="005C1CD8">
        <w:t xml:space="preserve">iscussion </w:t>
      </w:r>
      <w:r w:rsidR="007A5214" w:rsidRPr="005C1CD8">
        <w:t>p</w:t>
      </w:r>
      <w:r w:rsidR="00114CE1" w:rsidRPr="005C1CD8">
        <w:t>aper</w:t>
      </w:r>
      <w:r w:rsidR="00114CE1">
        <w:t xml:space="preserve"> (Dudgeon et al.</w:t>
      </w:r>
      <w:r w:rsidR="00385D8B">
        <w:t>,</w:t>
      </w:r>
      <w:r w:rsidR="00114CE1">
        <w:t xml:space="preserve"> 2020). The principles relating to A</w:t>
      </w:r>
      <w:r>
        <w:t xml:space="preserve">boriginal </w:t>
      </w:r>
      <w:r w:rsidR="007A5214">
        <w:t>p</w:t>
      </w:r>
      <w:r>
        <w:t xml:space="preserve">articipatory </w:t>
      </w:r>
      <w:r w:rsidR="007A5214">
        <w:t>a</w:t>
      </w:r>
      <w:r>
        <w:t xml:space="preserve">ction </w:t>
      </w:r>
      <w:r w:rsidR="007A5214">
        <w:t>r</w:t>
      </w:r>
      <w:r>
        <w:t>esearch (APAR)</w:t>
      </w:r>
      <w:r w:rsidR="00114CE1">
        <w:t xml:space="preserve"> were applied and reflected in the </w:t>
      </w:r>
      <w:r w:rsidR="000E5848">
        <w:t>Review Team</w:t>
      </w:r>
      <w:r w:rsidR="00114CE1">
        <w:t xml:space="preserve">’s approach to engagement and consultation throughout the </w:t>
      </w:r>
      <w:r w:rsidR="007A5214">
        <w:t>R</w:t>
      </w:r>
      <w:r w:rsidR="00114CE1">
        <w:t>eview</w:t>
      </w:r>
      <w:r w:rsidR="007A5214">
        <w:t>:</w:t>
      </w:r>
      <w:r w:rsidR="00114CE1">
        <w:t xml:space="preserve"> </w:t>
      </w:r>
    </w:p>
    <w:p w14:paraId="2D806FA7" w14:textId="77777777" w:rsidR="00114CE1" w:rsidRDefault="00114CE1" w:rsidP="00721E99">
      <w:pPr>
        <w:pStyle w:val="ListBullet2"/>
      </w:pPr>
      <w:r>
        <w:rPr>
          <w:rFonts w:eastAsia="Calibri"/>
        </w:rPr>
        <w:t>the involvement of Aboriginal and/or Torres Strait Islander co-researchers and supporting communities to collectively identify risk and protective factors</w:t>
      </w:r>
    </w:p>
    <w:p w14:paraId="33481F34" w14:textId="77777777" w:rsidR="00114CE1" w:rsidRDefault="00114CE1" w:rsidP="00721E99">
      <w:pPr>
        <w:pStyle w:val="ListBullet2"/>
      </w:pPr>
      <w:r>
        <w:rPr>
          <w:rFonts w:eastAsia="Calibri"/>
        </w:rPr>
        <w:t>the enactment of a research process that respects Aboriginal and/or Torres Strait Islander Peoples as experts-by-experience of their own and their families’ and communities’ social and emotional wellbeing</w:t>
      </w:r>
    </w:p>
    <w:p w14:paraId="70E1D6F1" w14:textId="77777777" w:rsidR="00114CE1" w:rsidRDefault="00114CE1" w:rsidP="00721E99">
      <w:pPr>
        <w:pStyle w:val="ListBullet2"/>
      </w:pPr>
      <w:r>
        <w:rPr>
          <w:rFonts w:eastAsia="Calibri"/>
        </w:rPr>
        <w:t>Aboriginal and/or Torres Strait Islander leadership and governance of the project</w:t>
      </w:r>
    </w:p>
    <w:p w14:paraId="22FFDF94" w14:textId="77777777" w:rsidR="00114CE1" w:rsidRDefault="00114CE1" w:rsidP="00721E99">
      <w:pPr>
        <w:pStyle w:val="ListBullet2"/>
      </w:pPr>
      <w:r>
        <w:rPr>
          <w:rFonts w:eastAsia="Calibri"/>
        </w:rPr>
        <w:t>localised knowledge generation</w:t>
      </w:r>
    </w:p>
    <w:p w14:paraId="4D30E630" w14:textId="77777777" w:rsidR="00114CE1" w:rsidRDefault="00114CE1" w:rsidP="00721E99">
      <w:pPr>
        <w:pStyle w:val="ListBullet2"/>
      </w:pPr>
      <w:r>
        <w:rPr>
          <w:rFonts w:eastAsia="Calibri"/>
        </w:rPr>
        <w:t>community-level feedback and dissemination</w:t>
      </w:r>
    </w:p>
    <w:p w14:paraId="67FBACD5" w14:textId="77777777" w:rsidR="00114CE1" w:rsidRDefault="00114CE1" w:rsidP="00721E99">
      <w:pPr>
        <w:pStyle w:val="ListBullet2"/>
      </w:pPr>
      <w:r>
        <w:rPr>
          <w:rFonts w:eastAsia="Calibri"/>
        </w:rPr>
        <w:t>the enactment of the NHMRC’s principles of ethical research with Aboriginal and Torres Strait Islander Peoples (as discussed above).</w:t>
      </w:r>
    </w:p>
    <w:p w14:paraId="3D2248B6" w14:textId="3D865747" w:rsidR="00114CE1" w:rsidRDefault="00114CE1" w:rsidP="00721E99">
      <w:pPr>
        <w:pStyle w:val="BodyText1stparaafterlist"/>
      </w:pPr>
      <w:r>
        <w:t xml:space="preserve">These principles acknowledge the importance of facilitating, </w:t>
      </w:r>
      <w:r w:rsidR="006451F9">
        <w:t>validating</w:t>
      </w:r>
      <w:r>
        <w:t xml:space="preserve"> and articulating Aboriginal and/or Torres Strait Islander knowledge and experience to strengthen individual, family and </w:t>
      </w:r>
      <w:r w:rsidR="00732386" w:rsidRPr="007F34E3">
        <w:rPr>
          <w:rStyle w:val="BodyTextChar"/>
        </w:rPr>
        <w:t>community self-</w:t>
      </w:r>
      <w:r w:rsidR="00732386" w:rsidRPr="007F34E3">
        <w:rPr>
          <w:rStyle w:val="BodyTextChar"/>
        </w:rPr>
        <w:lastRenderedPageBreak/>
        <w:t>determination during consultations as well as after any consultation or engagement.</w:t>
      </w:r>
      <w:r w:rsidR="0066123B" w:rsidRPr="007F34E3">
        <w:rPr>
          <w:rStyle w:val="BodyTextChar"/>
        </w:rPr>
        <w:t xml:space="preserve"> </w:t>
      </w:r>
      <w:r>
        <w:t xml:space="preserve">Finally, the </w:t>
      </w:r>
      <w:r w:rsidR="0038130C">
        <w:t>R</w:t>
      </w:r>
      <w:r>
        <w:t xml:space="preserve">eview ensured that the engagement approaches met the needs of Elders, broad community representation, gender and age balance as well as considering cultural and geographic differences in the make-up of Yarning sessions. </w:t>
      </w:r>
    </w:p>
    <w:p w14:paraId="674C4615" w14:textId="42CA7A9A" w:rsidR="00114CE1" w:rsidRDefault="00114CE1" w:rsidP="00721E99">
      <w:pPr>
        <w:pStyle w:val="BodyText"/>
      </w:pPr>
      <w:r>
        <w:t xml:space="preserve">Yarning was </w:t>
      </w:r>
      <w:r w:rsidR="0038130C">
        <w:t xml:space="preserve">the </w:t>
      </w:r>
      <w:r>
        <w:t xml:space="preserve">key method used throughout the </w:t>
      </w:r>
      <w:r w:rsidR="0038130C">
        <w:t>R</w:t>
      </w:r>
      <w:r>
        <w:t xml:space="preserve">eview to collaborate meaningfully with Aboriginal and/or Torres Strait Islander organisations and communities and the key stakeholders that work with them to strive towards shared outcomes. It brought together the concepts of co-design, APAR (described above) and ethical Aboriginal and Torres Strait Islander research (as informed by the NHMRC </w:t>
      </w:r>
      <w:r w:rsidR="0002261D" w:rsidRPr="005C1CD8">
        <w:rPr>
          <w:i/>
          <w:iCs/>
        </w:rPr>
        <w:t>National statement on ethical conduct in human research</w:t>
      </w:r>
      <w:r>
        <w:t xml:space="preserve"> </w:t>
      </w:r>
      <w:r w:rsidR="0038130C">
        <w:t xml:space="preserve">[2018] </w:t>
      </w:r>
      <w:r>
        <w:t>and the</w:t>
      </w:r>
      <w:r w:rsidR="00D8195F">
        <w:t xml:space="preserve"> </w:t>
      </w:r>
      <w:r w:rsidR="00D8195F" w:rsidRPr="00D8195F">
        <w:t>Aboriginal and Torres Strait Islander Studies</w:t>
      </w:r>
      <w:r>
        <w:t xml:space="preserve"> </w:t>
      </w:r>
      <w:r w:rsidR="00D8195F" w:rsidRPr="007F34E3">
        <w:t>(</w:t>
      </w:r>
      <w:r w:rsidR="004D48EE" w:rsidRPr="007F34E3">
        <w:t>AIATSIS</w:t>
      </w:r>
      <w:r w:rsidR="00D8195F" w:rsidRPr="007F34E3">
        <w:t>)</w:t>
      </w:r>
      <w:r w:rsidR="004D48EE" w:rsidRPr="007F34E3">
        <w:t xml:space="preserve"> </w:t>
      </w:r>
      <w:r w:rsidR="0002261D">
        <w:rPr>
          <w:i/>
          <w:iCs/>
        </w:rPr>
        <w:t xml:space="preserve">AIATSIS </w:t>
      </w:r>
      <w:r w:rsidR="004D48EE" w:rsidRPr="007F34E3">
        <w:rPr>
          <w:i/>
          <w:iCs/>
        </w:rPr>
        <w:t xml:space="preserve">Code of </w:t>
      </w:r>
      <w:r w:rsidR="0038130C" w:rsidRPr="007F34E3">
        <w:rPr>
          <w:i/>
          <w:iCs/>
        </w:rPr>
        <w:t>e</w:t>
      </w:r>
      <w:r w:rsidR="004D48EE" w:rsidRPr="007F34E3">
        <w:rPr>
          <w:i/>
          <w:iCs/>
        </w:rPr>
        <w:t xml:space="preserve">thics for Aboriginal and Torres Strait Islander </w:t>
      </w:r>
      <w:r w:rsidR="0038130C" w:rsidRPr="007F34E3">
        <w:rPr>
          <w:i/>
          <w:iCs/>
        </w:rPr>
        <w:t>r</w:t>
      </w:r>
      <w:r w:rsidR="004D48EE" w:rsidRPr="007F34E3">
        <w:rPr>
          <w:i/>
          <w:iCs/>
        </w:rPr>
        <w:t>esearch</w:t>
      </w:r>
      <w:r w:rsidR="004D48EE" w:rsidRPr="007F34E3">
        <w:t xml:space="preserve"> </w:t>
      </w:r>
      <w:r w:rsidR="0038130C" w:rsidRPr="007F34E3">
        <w:t>[</w:t>
      </w:r>
      <w:r w:rsidR="004D48EE" w:rsidRPr="007F34E3">
        <w:t>2020</w:t>
      </w:r>
      <w:r w:rsidR="0038130C" w:rsidRPr="007F34E3">
        <w:t>]</w:t>
      </w:r>
      <w:r w:rsidR="00927E68" w:rsidRPr="007F34E3">
        <w:t>)</w:t>
      </w:r>
      <w:r w:rsidR="004D48EE" w:rsidRPr="007F34E3">
        <w:t>.</w:t>
      </w:r>
      <w:r w:rsidRPr="007F34E3">
        <w:t xml:space="preserve"> </w:t>
      </w:r>
      <w:r w:rsidRPr="004D48EE">
        <w:rPr>
          <w:color w:val="000000" w:themeColor="text1"/>
        </w:rPr>
        <w:t xml:space="preserve">This was achieved during the </w:t>
      </w:r>
      <w:r w:rsidR="00590D3D">
        <w:rPr>
          <w:color w:val="000000" w:themeColor="text1"/>
        </w:rPr>
        <w:t>R</w:t>
      </w:r>
      <w:r w:rsidRPr="004D48EE">
        <w:rPr>
          <w:color w:val="000000" w:themeColor="text1"/>
        </w:rPr>
        <w:t xml:space="preserve">eview by recognising the value of co-design while acknowledging that the process must be nuanced and adapted to Aboriginal and/or Torres Strait Islander peoples. </w:t>
      </w:r>
    </w:p>
    <w:p w14:paraId="742976E8" w14:textId="5E92B5FC" w:rsidR="00114CE1" w:rsidRPr="004566A8" w:rsidRDefault="00114CE1" w:rsidP="00721E99">
      <w:pPr>
        <w:pStyle w:val="Heading2"/>
      </w:pPr>
      <w:bookmarkStart w:id="36" w:name="_Toc156932000"/>
      <w:r w:rsidRPr="004566A8">
        <w:t xml:space="preserve">An iterative review </w:t>
      </w:r>
      <w:sdt>
        <w:sdtPr>
          <w:tag w:val="goog_rdk_2"/>
          <w:id w:val="-1871290992"/>
        </w:sdtPr>
        <w:sdtEndPr/>
        <w:sdtContent/>
      </w:sdt>
      <w:sdt>
        <w:sdtPr>
          <w:tag w:val="goog_rdk_3"/>
          <w:id w:val="-1185679583"/>
        </w:sdtPr>
        <w:sdtEndPr/>
        <w:sdtContent/>
      </w:sdt>
      <w:r w:rsidRPr="004566A8">
        <w:t xml:space="preserve">process: 3 </w:t>
      </w:r>
      <w:r w:rsidR="00E140A2">
        <w:t>stages</w:t>
      </w:r>
      <w:bookmarkEnd w:id="36"/>
    </w:p>
    <w:p w14:paraId="75C395F8" w14:textId="07E3339D" w:rsidR="00590D3D" w:rsidRDefault="00590D3D" w:rsidP="00721E99">
      <w:pPr>
        <w:pStyle w:val="BodyText"/>
      </w:pPr>
      <w:r w:rsidRPr="00046798">
        <w:t xml:space="preserve">The </w:t>
      </w:r>
      <w:r>
        <w:t>Review Team</w:t>
      </w:r>
      <w:r w:rsidRPr="00046798">
        <w:t xml:space="preserve"> designed the </w:t>
      </w:r>
      <w:r>
        <w:t>R</w:t>
      </w:r>
      <w:r w:rsidRPr="00046798">
        <w:t xml:space="preserve">eview to occur across 3 </w:t>
      </w:r>
      <w:r w:rsidR="00E140A2">
        <w:t xml:space="preserve">stages </w:t>
      </w:r>
      <w:r w:rsidR="00904E58">
        <w:t>(</w:t>
      </w:r>
      <w:r w:rsidR="00904E58">
        <w:fldChar w:fldCharType="begin"/>
      </w:r>
      <w:r w:rsidR="00904E58">
        <w:instrText xml:space="preserve"> REF _Ref152082429 \h  \* MERGEFORMAT </w:instrText>
      </w:r>
      <w:r w:rsidR="00904E58">
        <w:fldChar w:fldCharType="separate"/>
      </w:r>
      <w:r w:rsidR="00934D5E">
        <w:t>Figure 1</w:t>
      </w:r>
      <w:r w:rsidR="00904E58">
        <w:fldChar w:fldCharType="end"/>
      </w:r>
      <w:r w:rsidR="00904E58">
        <w:t xml:space="preserve">), each </w:t>
      </w:r>
      <w:r w:rsidRPr="00046798">
        <w:t>buil</w:t>
      </w:r>
      <w:r w:rsidR="00904E58">
        <w:t>ding</w:t>
      </w:r>
      <w:r w:rsidRPr="00046798">
        <w:t xml:space="preserve"> on</w:t>
      </w:r>
      <w:r>
        <w:t xml:space="preserve"> the previous </w:t>
      </w:r>
      <w:r w:rsidR="00904E58">
        <w:t>and</w:t>
      </w:r>
      <w:r>
        <w:t xml:space="preserve"> enabling </w:t>
      </w:r>
      <w:r w:rsidRPr="00046798">
        <w:t xml:space="preserve">stakeholders to </w:t>
      </w:r>
      <w:r w:rsidR="00904E58">
        <w:t>give</w:t>
      </w:r>
      <w:r w:rsidRPr="00046798">
        <w:t xml:space="preserve"> their views, feedback, ideas and experience at many points in the process. </w:t>
      </w:r>
    </w:p>
    <w:p w14:paraId="6B5D3650" w14:textId="2FF3FC7C" w:rsidR="00590D3D" w:rsidRPr="005343E6" w:rsidRDefault="00370C01" w:rsidP="00370C01">
      <w:pPr>
        <w:pStyle w:val="CaptionFigure"/>
      </w:pPr>
      <w:bookmarkStart w:id="37" w:name="_Ref152082429"/>
      <w:bookmarkStart w:id="38" w:name="_Toc156932028"/>
      <w:r>
        <w:lastRenderedPageBreak/>
        <w:t xml:space="preserve">Figure </w:t>
      </w:r>
      <w:r>
        <w:fldChar w:fldCharType="begin"/>
      </w:r>
      <w:r>
        <w:instrText>SEQ Figure \* ARABIC</w:instrText>
      </w:r>
      <w:r>
        <w:fldChar w:fldCharType="separate"/>
      </w:r>
      <w:r w:rsidR="00934D5E">
        <w:rPr>
          <w:noProof/>
        </w:rPr>
        <w:t>1</w:t>
      </w:r>
      <w:r>
        <w:fldChar w:fldCharType="end"/>
      </w:r>
      <w:bookmarkEnd w:id="37"/>
      <w:r w:rsidR="00590D3D">
        <w:rPr>
          <w:noProof/>
        </w:rPr>
        <w:t>:</w:t>
      </w:r>
      <w:r w:rsidR="00590D3D" w:rsidRPr="005343E6">
        <w:t xml:space="preserve"> Review methodology </w:t>
      </w:r>
      <w:r w:rsidR="00E140A2">
        <w:t>Stage</w:t>
      </w:r>
      <w:r w:rsidR="00E140A2" w:rsidRPr="005343E6">
        <w:t xml:space="preserve"> </w:t>
      </w:r>
      <w:r w:rsidR="00590D3D" w:rsidRPr="005343E6">
        <w:t xml:space="preserve">1 – </w:t>
      </w:r>
      <w:r w:rsidR="001E2CC4">
        <w:t>P</w:t>
      </w:r>
      <w:r w:rsidR="00590D3D" w:rsidRPr="005343E6">
        <w:t xml:space="preserve">lanning, preparing and initial research; </w:t>
      </w:r>
      <w:r w:rsidR="00E140A2">
        <w:t>Stage</w:t>
      </w:r>
      <w:r w:rsidR="00E140A2" w:rsidRPr="005343E6">
        <w:t xml:space="preserve"> </w:t>
      </w:r>
      <w:r w:rsidR="00590D3D" w:rsidRPr="005343E6">
        <w:t xml:space="preserve">2 – </w:t>
      </w:r>
      <w:r w:rsidR="001E2CC4">
        <w:t>S</w:t>
      </w:r>
      <w:r w:rsidR="00590D3D" w:rsidRPr="005343E6">
        <w:t>takeholder research</w:t>
      </w:r>
      <w:r w:rsidR="00590D3D">
        <w:t>;</w:t>
      </w:r>
      <w:r w:rsidR="00590D3D" w:rsidRPr="005343E6">
        <w:t xml:space="preserve"> and </w:t>
      </w:r>
      <w:r w:rsidR="00E140A2">
        <w:t>Stage</w:t>
      </w:r>
      <w:r w:rsidR="00E140A2" w:rsidRPr="005343E6">
        <w:t xml:space="preserve"> </w:t>
      </w:r>
      <w:r w:rsidR="00590D3D" w:rsidRPr="005343E6">
        <w:t xml:space="preserve">3 – </w:t>
      </w:r>
      <w:r w:rsidR="00785696">
        <w:t>Y</w:t>
      </w:r>
      <w:r w:rsidR="00590D3D" w:rsidRPr="005343E6">
        <w:t>arning and reporting</w:t>
      </w:r>
      <w:bookmarkEnd w:id="38"/>
      <w:r w:rsidR="00590D3D" w:rsidRPr="005343E6">
        <w:t xml:space="preserve"> </w:t>
      </w:r>
    </w:p>
    <w:p w14:paraId="71F99891" w14:textId="77777777" w:rsidR="00046798" w:rsidRDefault="00380CE9" w:rsidP="00290DF8">
      <w:pPr>
        <w:pStyle w:val="BodyText"/>
        <w:jc w:val="center"/>
      </w:pPr>
      <w:sdt>
        <w:sdtPr>
          <w:tag w:val="goog_rdk_7"/>
          <w:id w:val="1778065586"/>
        </w:sdtPr>
        <w:sdtEndPr/>
        <w:sdtContent/>
      </w:sdt>
      <w:sdt>
        <w:sdtPr>
          <w:tag w:val="goog_rdk_8"/>
          <w:id w:val="-1539201459"/>
        </w:sdtPr>
        <w:sdtEndPr/>
        <w:sdtContent/>
      </w:sdt>
      <w:r w:rsidR="00E241A5">
        <w:rPr>
          <w:noProof/>
        </w:rPr>
        <w:drawing>
          <wp:inline distT="0" distB="0" distL="0" distR="0" wp14:anchorId="622AD71C" wp14:editId="5DE9C2A7">
            <wp:extent cx="5754785" cy="5214938"/>
            <wp:effectExtent l="0" t="0" r="0" b="5080"/>
            <wp:docPr id="653214637" name="Picture 653214637" descr="Rectangular boxes outline the 3 stages of the Review methodology and the timeline for each one. Each stage shows the details of the activities undertaken, with timelines, and the output. Stage 1, Planning, Preparing and Initial Research took place from October 2022 to January 2023. It involved a document and data review and a literature review, and resulted in an ethics submission and an interim report. Stage 2, Stakeholder Research, ran from January to June 2023 and involved consultations, focus groups and online surveys. It delivered a co-design yarn briefing paper. Stage 3, Co-Design and Reporting, involved co-design activities and transition planning with the Department of Health and Aged Care. This stage provided the fina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214637" name="Picture 5" descr="Rectangular boxes outline the 3 stages of the Review methodology and the timeline for each one. Each stage shows the details of the activities undertaken, with timelines, and the output. Stage 1, Planning, Preparing and Initial Research took place from October 2022 to January 2023. It involved a document and data review and a literature review, and resulted in an ethics submission and an interim report. Stage 2, Stakeholder Research, ran from January to June 2023 and involved consultations, focus groups and online surveys. It delivered a co-design yarn briefing paper. Stage 3, Co-Design and Reporting, involved co-design activities and transition planning with the Department of Health and Aged Care. This stage provided the final repor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801971" cy="5257698"/>
                    </a:xfrm>
                    <a:prstGeom prst="rect">
                      <a:avLst/>
                    </a:prstGeom>
                  </pic:spPr>
                </pic:pic>
              </a:graphicData>
            </a:graphic>
          </wp:inline>
        </w:drawing>
      </w:r>
    </w:p>
    <w:p w14:paraId="0F5ED61C" w14:textId="77777777" w:rsidR="00114CE1" w:rsidRPr="00046798" w:rsidRDefault="00114CE1" w:rsidP="00541C8F">
      <w:pPr>
        <w:pStyle w:val="BodyText"/>
      </w:pPr>
      <w:r w:rsidRPr="00046798">
        <w:t xml:space="preserve">An overview of each of the 3 </w:t>
      </w:r>
      <w:r w:rsidR="00E140A2">
        <w:t>stages</w:t>
      </w:r>
      <w:r w:rsidR="00E140A2" w:rsidRPr="00046798">
        <w:t xml:space="preserve"> </w:t>
      </w:r>
      <w:r w:rsidRPr="00046798">
        <w:t xml:space="preserve">is provided below. Further detail may be found in the Project Plan. </w:t>
      </w:r>
    </w:p>
    <w:p w14:paraId="4448A525" w14:textId="77777777" w:rsidR="00114CE1" w:rsidRDefault="00E140A2" w:rsidP="00541C8F">
      <w:pPr>
        <w:pStyle w:val="BodyText"/>
      </w:pPr>
      <w:r>
        <w:rPr>
          <w:b/>
        </w:rPr>
        <w:t xml:space="preserve">Stage </w:t>
      </w:r>
      <w:r w:rsidR="00114CE1">
        <w:rPr>
          <w:b/>
        </w:rPr>
        <w:t>1: Planning, preparing and initial research</w:t>
      </w:r>
      <w:r w:rsidR="00114CE1">
        <w:t xml:space="preserve"> was completed from October 2022 to January 2023. During </w:t>
      </w:r>
      <w:r>
        <w:t xml:space="preserve">Stage </w:t>
      </w:r>
      <w:r w:rsidR="00114CE1">
        <w:t xml:space="preserve">1, a detailed project plan and review framework were developed in consultation with </w:t>
      </w:r>
      <w:r w:rsidR="00CF6568">
        <w:t>DoHAC</w:t>
      </w:r>
      <w:r w:rsidR="00114CE1">
        <w:t xml:space="preserve"> and </w:t>
      </w:r>
      <w:r w:rsidR="00CF6568">
        <w:t xml:space="preserve">the </w:t>
      </w:r>
      <w:r w:rsidR="0011300F">
        <w:t xml:space="preserve">Review’s </w:t>
      </w:r>
      <w:r w:rsidR="00114CE1">
        <w:t xml:space="preserve">Expert Advisory Group (EAG). This included a </w:t>
      </w:r>
      <w:r w:rsidR="00114CE1">
        <w:rPr>
          <w:highlight w:val="white"/>
        </w:rPr>
        <w:t xml:space="preserve">stakeholder engagement and data collection strategy which mapped stakeholders. The approach for engaging with Aboriginal and/or Torres Strait Islander stakeholders and collecting data in a way that was culturally credible and safe was developed. </w:t>
      </w:r>
    </w:p>
    <w:p w14:paraId="31F46664" w14:textId="77777777" w:rsidR="00114CE1" w:rsidRDefault="00114CE1" w:rsidP="00541C8F">
      <w:pPr>
        <w:pStyle w:val="BodyText"/>
      </w:pPr>
      <w:r>
        <w:t>An analysis of existing data, via a literature review and desktop analysis to identify knowledge gaps</w:t>
      </w:r>
      <w:r w:rsidR="00FE177C">
        <w:t>,</w:t>
      </w:r>
      <w:r>
        <w:t xml:space="preserve"> was undertaken and presented in an Interim Report. This included </w:t>
      </w:r>
      <w:r w:rsidR="00182127">
        <w:t xml:space="preserve">a </w:t>
      </w:r>
      <w:r>
        <w:t xml:space="preserve">review of </w:t>
      </w:r>
      <w:r w:rsidR="00A83CC8">
        <w:t>contract</w:t>
      </w:r>
      <w:r w:rsidR="00182127">
        <w:t xml:space="preserve"> data held by </w:t>
      </w:r>
      <w:r w:rsidR="00CF6568">
        <w:t>DoHAC</w:t>
      </w:r>
      <w:r>
        <w:t xml:space="preserve">. </w:t>
      </w:r>
    </w:p>
    <w:p w14:paraId="0808DE07" w14:textId="77777777" w:rsidR="00A83CC8" w:rsidRPr="00A83CC8" w:rsidRDefault="00A83CC8" w:rsidP="00541C8F">
      <w:pPr>
        <w:pStyle w:val="BodyText"/>
      </w:pPr>
      <w:r>
        <w:rPr>
          <w:b/>
        </w:rPr>
        <w:t xml:space="preserve">Note: </w:t>
      </w:r>
      <w:r>
        <w:t xml:space="preserve">While the contract data was reviewed in detail by the Review Team, </w:t>
      </w:r>
      <w:r w:rsidR="00FE177C">
        <w:t xml:space="preserve">it </w:t>
      </w:r>
      <w:r>
        <w:t xml:space="preserve">was considered </w:t>
      </w:r>
      <w:r w:rsidR="00FE177C">
        <w:t xml:space="preserve">so </w:t>
      </w:r>
      <w:r>
        <w:t xml:space="preserve">the Review Team </w:t>
      </w:r>
      <w:r w:rsidR="00FE177C">
        <w:t>could</w:t>
      </w:r>
      <w:r>
        <w:t xml:space="preserve"> gain a contextual understanding of the current contract and funding arrangements for the Relevant Health Programs. </w:t>
      </w:r>
      <w:r w:rsidR="004B270B">
        <w:t>T</w:t>
      </w:r>
      <w:r>
        <w:t>he data was</w:t>
      </w:r>
      <w:r w:rsidR="004B270B">
        <w:t xml:space="preserve"> not</w:t>
      </w:r>
      <w:r>
        <w:t xml:space="preserve"> relied on to inform the recommendations set out in this report. </w:t>
      </w:r>
    </w:p>
    <w:p w14:paraId="573A61E6" w14:textId="77777777" w:rsidR="00114CE1" w:rsidRDefault="00114CE1" w:rsidP="00541C8F">
      <w:pPr>
        <w:pStyle w:val="BodyText"/>
      </w:pPr>
      <w:r>
        <w:t>An ethics research application (REC 0100) was submitted</w:t>
      </w:r>
      <w:r w:rsidR="00182127">
        <w:t xml:space="preserve"> to (and granted by)</w:t>
      </w:r>
      <w:r>
        <w:t xml:space="preserve"> </w:t>
      </w:r>
      <w:r>
        <w:rPr>
          <w:color w:val="1F1F1F"/>
        </w:rPr>
        <w:t>AIATSIS</w:t>
      </w:r>
      <w:r>
        <w:t xml:space="preserve">. </w:t>
      </w:r>
    </w:p>
    <w:p w14:paraId="75CA8699" w14:textId="77777777" w:rsidR="00182127" w:rsidRDefault="00E140A2" w:rsidP="00541C8F">
      <w:pPr>
        <w:pStyle w:val="BodyText"/>
      </w:pPr>
      <w:r w:rsidRPr="00541C8F">
        <w:rPr>
          <w:b/>
          <w:bCs/>
        </w:rPr>
        <w:t xml:space="preserve">Stage </w:t>
      </w:r>
      <w:r w:rsidR="00114CE1" w:rsidRPr="00541C8F">
        <w:rPr>
          <w:b/>
          <w:bCs/>
        </w:rPr>
        <w:t>2: Stakeholder engagement and new data collection</w:t>
      </w:r>
      <w:r w:rsidR="00114CE1" w:rsidRPr="000036EB">
        <w:rPr>
          <w:bCs/>
        </w:rPr>
        <w:t xml:space="preserve"> was completed from December 2022 to September 2023. </w:t>
      </w:r>
    </w:p>
    <w:p w14:paraId="759A97CF" w14:textId="77777777" w:rsidR="00114CE1" w:rsidRPr="00182127" w:rsidRDefault="00FE177C" w:rsidP="00541C8F">
      <w:pPr>
        <w:pStyle w:val="BodyText"/>
        <w:rPr>
          <w:b/>
        </w:rPr>
      </w:pPr>
      <w:r>
        <w:lastRenderedPageBreak/>
        <w:t>S</w:t>
      </w:r>
      <w:r w:rsidR="00114CE1">
        <w:t>takeholders were defined in the Statement of Requirement</w:t>
      </w:r>
      <w:r>
        <w:t xml:space="preserve"> of the Review</w:t>
      </w:r>
      <w:r w:rsidR="00114CE1">
        <w:t xml:space="preserve"> as ‘key stakeholders and ‘other stakeholders’. The 6 groups of stakeholders were </w:t>
      </w:r>
      <w:r w:rsidR="00114CE1">
        <w:rPr>
          <w:color w:val="262626"/>
        </w:rPr>
        <w:t xml:space="preserve">Aboriginal and/or Torres Strait Islander community members, </w:t>
      </w:r>
      <w:r w:rsidR="00114CE1">
        <w:t xml:space="preserve">representatives associated with Australian Government representatives, </w:t>
      </w:r>
      <w:r w:rsidR="003E3FBF">
        <w:t>PHNs</w:t>
      </w:r>
      <w:r w:rsidR="00114CE1">
        <w:t xml:space="preserve">, </w:t>
      </w:r>
      <w:r w:rsidR="00CF3408">
        <w:t>s</w:t>
      </w:r>
      <w:r w:rsidR="00114CE1">
        <w:t xml:space="preserve">tate and </w:t>
      </w:r>
      <w:r w:rsidR="00CF3408">
        <w:t>t</w:t>
      </w:r>
      <w:r w:rsidR="00114CE1">
        <w:t xml:space="preserve">erritory </w:t>
      </w:r>
      <w:r w:rsidR="00CF3408">
        <w:t>g</w:t>
      </w:r>
      <w:r w:rsidR="00114CE1">
        <w:t xml:space="preserve">overnment departments, service providers including </w:t>
      </w:r>
      <w:r w:rsidR="006C047E">
        <w:t>ACCO</w:t>
      </w:r>
      <w:r w:rsidR="00114CE1">
        <w:t xml:space="preserve">s, </w:t>
      </w:r>
      <w:r w:rsidR="006C047E">
        <w:t>ACCHOs</w:t>
      </w:r>
      <w:r w:rsidR="00114CE1">
        <w:t xml:space="preserve"> or </w:t>
      </w:r>
      <w:r w:rsidR="006C047E">
        <w:t>ACCHSs</w:t>
      </w:r>
      <w:r w:rsidR="00114CE1">
        <w:t xml:space="preserve">, </w:t>
      </w:r>
      <w:r w:rsidR="006C047E">
        <w:t>AMSs,</w:t>
      </w:r>
      <w:r w:rsidR="00114CE1">
        <w:t xml:space="preserve"> mainstream service providers and other organisations that provide support and advocacy to ACCHOs.</w:t>
      </w:r>
    </w:p>
    <w:p w14:paraId="46BEE68C" w14:textId="065EB2CB" w:rsidR="00114CE1" w:rsidRDefault="00114CE1" w:rsidP="00541C8F">
      <w:pPr>
        <w:pStyle w:val="BodyText"/>
      </w:pPr>
      <w:r>
        <w:t xml:space="preserve">Of significance, 272 community members shared insights into their needs and preferences for accessing and gaining relevant supports from the Relevant Health Programs. This large-scale engagement was made possible through the valuable support provided by </w:t>
      </w:r>
      <w:r w:rsidRPr="00DD1695">
        <w:t>17 ACCHOs and 3 mainstream health service providers at 22 provider sites, across 19 PHN regions.</w:t>
      </w:r>
      <w:r w:rsidR="000B479E">
        <w:t xml:space="preserve"> </w:t>
      </w:r>
      <w:sdt>
        <w:sdtPr>
          <w:tag w:val="goog_rdk_4"/>
          <w:id w:val="-1794893418"/>
        </w:sdtPr>
        <w:sdtEndPr/>
        <w:sdtContent/>
      </w:sdt>
      <w:r w:rsidR="00743081">
        <w:fldChar w:fldCharType="begin"/>
      </w:r>
      <w:r w:rsidR="00743081">
        <w:instrText xml:space="preserve"> REF _Ref152000782 \h </w:instrText>
      </w:r>
      <w:r w:rsidR="00743081">
        <w:fldChar w:fldCharType="separate"/>
      </w:r>
      <w:r w:rsidR="00934D5E">
        <w:t xml:space="preserve">Figure </w:t>
      </w:r>
      <w:r w:rsidR="00934D5E">
        <w:rPr>
          <w:noProof/>
        </w:rPr>
        <w:t>2</w:t>
      </w:r>
      <w:r w:rsidR="00743081">
        <w:fldChar w:fldCharType="end"/>
      </w:r>
      <w:r w:rsidR="00DD1695" w:rsidRPr="00DD1695">
        <w:t xml:space="preserve"> </w:t>
      </w:r>
      <w:r w:rsidRPr="00DD1695">
        <w:t>below shows the location</w:t>
      </w:r>
      <w:r w:rsidR="003A4B3B">
        <w:t>s</w:t>
      </w:r>
      <w:r w:rsidRPr="00DD1695">
        <w:t xml:space="preserve"> where community yarns took place.</w:t>
      </w:r>
    </w:p>
    <w:p w14:paraId="249F5690" w14:textId="77777777" w:rsidR="00114CE1" w:rsidRDefault="00114CE1" w:rsidP="00541C8F">
      <w:pPr>
        <w:pStyle w:val="BodyText"/>
      </w:pPr>
      <w:r>
        <w:t>The views and perspectives provided through the community yarns were collated and categorised into key themes, then further populated with data collected through:</w:t>
      </w:r>
    </w:p>
    <w:p w14:paraId="0FC893A7" w14:textId="77777777" w:rsidR="00114CE1" w:rsidRDefault="00114CE1" w:rsidP="00290DF8">
      <w:pPr>
        <w:pStyle w:val="ListBullet2"/>
      </w:pPr>
      <w:r>
        <w:rPr>
          <w:rFonts w:eastAsia="Calibri"/>
          <w:b/>
        </w:rPr>
        <w:t>key stakeholder interviews:</w:t>
      </w:r>
      <w:r>
        <w:rPr>
          <w:rFonts w:eastAsia="Calibri"/>
        </w:rPr>
        <w:t xml:space="preserve"> 6</w:t>
      </w:r>
      <w:r w:rsidR="00146ECE">
        <w:rPr>
          <w:rFonts w:eastAsia="Calibri"/>
        </w:rPr>
        <w:t>7</w:t>
      </w:r>
      <w:r>
        <w:rPr>
          <w:rFonts w:eastAsia="Calibri"/>
        </w:rPr>
        <w:t xml:space="preserve"> online key stakeholder interviews were completed</w:t>
      </w:r>
      <w:r w:rsidR="003A4B3B">
        <w:rPr>
          <w:rFonts w:eastAsia="Calibri"/>
        </w:rPr>
        <w:t>:</w:t>
      </w:r>
      <w:r>
        <w:rPr>
          <w:rFonts w:eastAsia="Calibri"/>
        </w:rPr>
        <w:t xml:space="preserve"> 18 interviews with Aboriginal and Torres Strait Islander community-controlled peak organisations, </w:t>
      </w:r>
      <w:r w:rsidR="003A4B3B">
        <w:rPr>
          <w:rFonts w:eastAsia="Calibri"/>
        </w:rPr>
        <w:t xml:space="preserve">interviews with </w:t>
      </w:r>
      <w:r>
        <w:rPr>
          <w:rFonts w:eastAsia="Calibri"/>
        </w:rPr>
        <w:t xml:space="preserve">representatives from </w:t>
      </w:r>
      <w:r w:rsidR="003E3FBF">
        <w:rPr>
          <w:rFonts w:eastAsia="Calibri"/>
        </w:rPr>
        <w:t>31</w:t>
      </w:r>
      <w:r>
        <w:rPr>
          <w:rFonts w:eastAsia="Calibri"/>
        </w:rPr>
        <w:t xml:space="preserve"> PHNs, 9 interviews with representatives from </w:t>
      </w:r>
      <w:r w:rsidR="00CF6568">
        <w:t>DoHAC</w:t>
      </w:r>
      <w:r>
        <w:rPr>
          <w:rFonts w:eastAsia="Calibri"/>
        </w:rPr>
        <w:t xml:space="preserve"> and the National Indigenous Australians Agency and 9 interviews with representatives from each state and territory government. </w:t>
      </w:r>
    </w:p>
    <w:p w14:paraId="1CD53022" w14:textId="77777777" w:rsidR="00114CE1" w:rsidRDefault="00114CE1" w:rsidP="00290DF8">
      <w:pPr>
        <w:pStyle w:val="ListBullet2"/>
      </w:pPr>
      <w:r>
        <w:rPr>
          <w:rFonts w:eastAsia="Calibri"/>
          <w:b/>
        </w:rPr>
        <w:t>focus groups:</w:t>
      </w:r>
      <w:r>
        <w:rPr>
          <w:rFonts w:eastAsia="Calibri"/>
        </w:rPr>
        <w:t xml:space="preserve"> 83 ACCOs, ACCHOs or ACCHSs, AMSs and mainstream service providers participated in one of 44 online focus group discussions.</w:t>
      </w:r>
    </w:p>
    <w:p w14:paraId="39A44040" w14:textId="77777777" w:rsidR="00114CE1" w:rsidRDefault="00114CE1" w:rsidP="00290DF8">
      <w:pPr>
        <w:pStyle w:val="ListBullet2"/>
      </w:pPr>
      <w:r>
        <w:rPr>
          <w:rFonts w:eastAsia="Calibri"/>
          <w:b/>
        </w:rPr>
        <w:t>surveys:</w:t>
      </w:r>
      <w:r>
        <w:rPr>
          <w:rFonts w:eastAsia="Calibri"/>
        </w:rPr>
        <w:t xml:space="preserve"> </w:t>
      </w:r>
      <w:r w:rsidR="009B1178">
        <w:rPr>
          <w:rFonts w:eastAsia="Calibri"/>
        </w:rPr>
        <w:t>138</w:t>
      </w:r>
      <w:r>
        <w:rPr>
          <w:rFonts w:eastAsia="Calibri"/>
        </w:rPr>
        <w:t xml:space="preserve"> survey responses were successfully collected. The online surveys were made available to community members, PHNs, </w:t>
      </w:r>
      <w:r w:rsidR="003A4B3B">
        <w:rPr>
          <w:rFonts w:eastAsia="Calibri"/>
        </w:rPr>
        <w:t>s</w:t>
      </w:r>
      <w:r>
        <w:rPr>
          <w:rFonts w:eastAsia="Calibri"/>
        </w:rPr>
        <w:t xml:space="preserve">ervice </w:t>
      </w:r>
      <w:r w:rsidR="003A4B3B">
        <w:rPr>
          <w:rFonts w:eastAsia="Calibri"/>
        </w:rPr>
        <w:t>p</w:t>
      </w:r>
      <w:r>
        <w:rPr>
          <w:rFonts w:eastAsia="Calibri"/>
        </w:rPr>
        <w:t xml:space="preserve">roviders and key stakeholders. Respondents were given different options to provide their contact details to allow for follow-up or clarification of their views. The survey included quantitative and qualitative questions and sought to identify connections between the respondent and Relevant Health Programs. </w:t>
      </w:r>
    </w:p>
    <w:p w14:paraId="6D419E0E" w14:textId="3FBC9054" w:rsidR="00505EC4" w:rsidRDefault="00114CE1" w:rsidP="00290DF8">
      <w:pPr>
        <w:pStyle w:val="BodyText1stparaafterlist"/>
      </w:pPr>
      <w:r>
        <w:t>It is important to note that this is one of the first major review</w:t>
      </w:r>
      <w:r w:rsidR="00505EC4">
        <w:t>s</w:t>
      </w:r>
      <w:r>
        <w:t xml:space="preserve"> to be led by </w:t>
      </w:r>
      <w:r w:rsidR="00505EC4">
        <w:t>Aboriginal and Torres Strait Islander</w:t>
      </w:r>
      <w:r>
        <w:t xml:space="preserve"> </w:t>
      </w:r>
      <w:r w:rsidR="0063487D">
        <w:t>e</w:t>
      </w:r>
      <w:r>
        <w:t xml:space="preserve">valuators/consultants and 2 </w:t>
      </w:r>
      <w:r w:rsidR="00505EC4">
        <w:t>Aboriginal and Torres Strait Islander</w:t>
      </w:r>
      <w:r w:rsidR="000064C7">
        <w:t>–</w:t>
      </w:r>
      <w:r w:rsidR="00505EC4">
        <w:t xml:space="preserve">led </w:t>
      </w:r>
      <w:r>
        <w:t>compan</w:t>
      </w:r>
      <w:r w:rsidR="00505EC4">
        <w:t>ies</w:t>
      </w:r>
      <w:r>
        <w:t xml:space="preserve"> since the release of the Productivity Commission’s </w:t>
      </w:r>
      <w:r w:rsidRPr="0098562E">
        <w:rPr>
          <w:i/>
          <w:iCs/>
        </w:rPr>
        <w:t xml:space="preserve">Indigenous </w:t>
      </w:r>
      <w:r w:rsidR="0002261D">
        <w:rPr>
          <w:i/>
          <w:iCs/>
        </w:rPr>
        <w:t>e</w:t>
      </w:r>
      <w:r w:rsidRPr="0098562E">
        <w:rPr>
          <w:i/>
          <w:iCs/>
        </w:rPr>
        <w:t xml:space="preserve">valuation </w:t>
      </w:r>
      <w:r w:rsidR="0002261D">
        <w:rPr>
          <w:i/>
          <w:iCs/>
        </w:rPr>
        <w:t>s</w:t>
      </w:r>
      <w:r w:rsidRPr="0098562E">
        <w:rPr>
          <w:i/>
          <w:iCs/>
        </w:rPr>
        <w:t>trategy</w:t>
      </w:r>
      <w:r>
        <w:t xml:space="preserve"> in October 2020. The Yarning approach yielded meaningful and valuable engagements between the evaluators and stakeholders. </w:t>
      </w:r>
    </w:p>
    <w:p w14:paraId="0C59618A" w14:textId="77777777" w:rsidR="00290DF8" w:rsidRDefault="00290DF8">
      <w:pPr>
        <w:rPr>
          <w:rFonts w:ascii="Calibri" w:eastAsia="FiraSans-Light" w:hAnsi="Calibri" w:cs="FiraSans-Light"/>
          <w:sz w:val="22"/>
          <w:szCs w:val="20"/>
          <w14:ligatures w14:val="standardContextual"/>
        </w:rPr>
      </w:pPr>
      <w:r>
        <w:br w:type="page"/>
      </w:r>
    </w:p>
    <w:p w14:paraId="095971E1" w14:textId="0409F06E" w:rsidR="00114CE1" w:rsidRDefault="00114CE1" w:rsidP="00290DF8">
      <w:pPr>
        <w:pStyle w:val="BodyText"/>
      </w:pPr>
      <w:r>
        <w:lastRenderedPageBreak/>
        <w:t xml:space="preserve">These engagements strongly respected place-based culture, which in turn generated rich information. Data collected through conversations on Country tended to be more heavily weighted towards qualitative </w:t>
      </w:r>
      <w:r w:rsidR="000F053A">
        <w:t>than</w:t>
      </w:r>
      <w:r>
        <w:t xml:space="preserve"> quantitative data. </w:t>
      </w:r>
    </w:p>
    <w:p w14:paraId="477282B4" w14:textId="46B95DFD" w:rsidR="00114CE1" w:rsidRPr="00743081" w:rsidRDefault="00114CE1" w:rsidP="00290DF8">
      <w:pPr>
        <w:pStyle w:val="BodyText"/>
      </w:pPr>
      <w:r>
        <w:t>The main findings and insights fro</w:t>
      </w:r>
      <w:r w:rsidRPr="00743081">
        <w:t xml:space="preserve">m </w:t>
      </w:r>
      <w:r w:rsidR="00E140A2">
        <w:t>Stage</w:t>
      </w:r>
      <w:r w:rsidR="00E140A2" w:rsidRPr="00743081">
        <w:t xml:space="preserve"> </w:t>
      </w:r>
      <w:r w:rsidRPr="00743081">
        <w:t xml:space="preserve">2 </w:t>
      </w:r>
      <w:r w:rsidR="00505EC4" w:rsidRPr="00743081">
        <w:t xml:space="preserve">are set out in </w:t>
      </w:r>
      <w:r w:rsidR="00743081">
        <w:fldChar w:fldCharType="begin"/>
      </w:r>
      <w:r w:rsidR="00743081">
        <w:instrText xml:space="preserve"> REF App4_notitle \h  \* MERGEFORMAT </w:instrText>
      </w:r>
      <w:r w:rsidR="00743081">
        <w:fldChar w:fldCharType="separate"/>
      </w:r>
      <w:r w:rsidR="00934D5E" w:rsidRPr="00B65F7F">
        <w:t xml:space="preserve">Appendix </w:t>
      </w:r>
      <w:r w:rsidR="00934D5E">
        <w:t>4</w:t>
      </w:r>
      <w:r w:rsidR="00743081">
        <w:fldChar w:fldCharType="end"/>
      </w:r>
      <w:r w:rsidRPr="00743081">
        <w:t>.</w:t>
      </w:r>
    </w:p>
    <w:p w14:paraId="0F0D158D" w14:textId="77777777" w:rsidR="00114CE1" w:rsidRDefault="00E140A2" w:rsidP="00290DF8">
      <w:pPr>
        <w:pStyle w:val="BodyText"/>
      </w:pPr>
      <w:r>
        <w:rPr>
          <w:b/>
        </w:rPr>
        <w:t xml:space="preserve">Stage </w:t>
      </w:r>
      <w:r w:rsidR="00114CE1">
        <w:rPr>
          <w:b/>
        </w:rPr>
        <w:t>3: Co-design yarns and reporting</w:t>
      </w:r>
      <w:r w:rsidR="00114CE1">
        <w:t xml:space="preserve"> commenced in July 2023 and </w:t>
      </w:r>
      <w:r w:rsidR="00847DC2">
        <w:t xml:space="preserve">was </w:t>
      </w:r>
      <w:r w:rsidR="00114CE1">
        <w:t>completed</w:t>
      </w:r>
      <w:r w:rsidR="00505EC4">
        <w:t xml:space="preserve"> in </w:t>
      </w:r>
      <w:r w:rsidR="007F585C">
        <w:t>January 2024</w:t>
      </w:r>
      <w:r w:rsidR="00505EC4">
        <w:t xml:space="preserve"> with the delivery of the final report</w:t>
      </w:r>
      <w:r w:rsidR="00114CE1">
        <w:t xml:space="preserve">. </w:t>
      </w:r>
    </w:p>
    <w:p w14:paraId="040073C1" w14:textId="77777777" w:rsidR="00114CE1" w:rsidRDefault="00114CE1" w:rsidP="00290DF8">
      <w:pPr>
        <w:pStyle w:val="BodyText"/>
      </w:pPr>
      <w:r>
        <w:t xml:space="preserve">Data collected from extensive engagement activity that took place in </w:t>
      </w:r>
      <w:r w:rsidR="00E140A2">
        <w:t xml:space="preserve">Stage </w:t>
      </w:r>
      <w:r>
        <w:t xml:space="preserve">2 was analysed and synthesised at </w:t>
      </w:r>
      <w:r w:rsidRPr="00B222BB">
        <w:t xml:space="preserve">the </w:t>
      </w:r>
      <w:r>
        <w:t xml:space="preserve">commencement of </w:t>
      </w:r>
      <w:r w:rsidR="00E140A2">
        <w:t xml:space="preserve">Stage </w:t>
      </w:r>
      <w:r>
        <w:t>3.</w:t>
      </w:r>
    </w:p>
    <w:p w14:paraId="20656910" w14:textId="77777777" w:rsidR="00114CE1" w:rsidRDefault="00114CE1" w:rsidP="00290DF8">
      <w:pPr>
        <w:pStyle w:val="BodyText"/>
      </w:pPr>
      <w:r>
        <w:t xml:space="preserve">A co-design briefing paper was developed, drawing on yarns, interviews and survey responses from the stakeholder groups that took place during </w:t>
      </w:r>
      <w:r w:rsidR="00E140A2">
        <w:t xml:space="preserve">Stage </w:t>
      </w:r>
      <w:r>
        <w:t xml:space="preserve">2 of the </w:t>
      </w:r>
      <w:r w:rsidR="000064C7">
        <w:t>R</w:t>
      </w:r>
      <w:r>
        <w:t>eview.</w:t>
      </w:r>
      <w:r w:rsidR="000B479E">
        <w:t xml:space="preserve"> </w:t>
      </w:r>
      <w:r>
        <w:t>This co-design briefing paper presented:</w:t>
      </w:r>
    </w:p>
    <w:p w14:paraId="6D7C5C42" w14:textId="77777777" w:rsidR="00114CE1" w:rsidRDefault="00114CE1" w:rsidP="00290DF8">
      <w:pPr>
        <w:pStyle w:val="ListBullet2"/>
      </w:pPr>
      <w:r>
        <w:rPr>
          <w:rFonts w:eastAsia="Calibri"/>
        </w:rPr>
        <w:t xml:space="preserve">a draft set of principles for </w:t>
      </w:r>
      <w:r>
        <w:t>future</w:t>
      </w:r>
      <w:r w:rsidR="000064C7">
        <w:t>-</w:t>
      </w:r>
      <w:r>
        <w:t>state</w:t>
      </w:r>
      <w:r>
        <w:rPr>
          <w:rFonts w:eastAsia="Calibri"/>
        </w:rPr>
        <w:t xml:space="preserve"> funding arrangements</w:t>
      </w:r>
    </w:p>
    <w:p w14:paraId="56EC3AD3" w14:textId="77777777" w:rsidR="00114CE1" w:rsidRDefault="00114CE1" w:rsidP="00290DF8">
      <w:pPr>
        <w:pStyle w:val="ListBullet2"/>
      </w:pPr>
      <w:r>
        <w:rPr>
          <w:rFonts w:eastAsia="Calibri"/>
        </w:rPr>
        <w:t xml:space="preserve">preliminary options for </w:t>
      </w:r>
      <w:r>
        <w:t>future</w:t>
      </w:r>
      <w:r w:rsidR="000064C7">
        <w:t>-</w:t>
      </w:r>
      <w:r>
        <w:t>state</w:t>
      </w:r>
      <w:r>
        <w:rPr>
          <w:rFonts w:eastAsia="Calibri"/>
        </w:rPr>
        <w:t xml:space="preserve"> funding arrangements. </w:t>
      </w:r>
    </w:p>
    <w:p w14:paraId="3F998B3E" w14:textId="77777777" w:rsidR="00114CE1" w:rsidRDefault="00114CE1" w:rsidP="00290DF8">
      <w:pPr>
        <w:pStyle w:val="BodyText1stparaafterlist"/>
      </w:pPr>
      <w:r>
        <w:t xml:space="preserve">The co-design briefing paper and an invitation to attend a co-design yarn were emailed to identified stakeholders. </w:t>
      </w:r>
    </w:p>
    <w:p w14:paraId="007F9428" w14:textId="77777777" w:rsidR="00114CE1" w:rsidRDefault="00114CE1" w:rsidP="00290DF8">
      <w:pPr>
        <w:pStyle w:val="BodyText"/>
      </w:pPr>
      <w:r>
        <w:t>Eight 2-day co-design yarns were held in each state and territory capital city. Representatives associated with 8</w:t>
      </w:r>
      <w:r w:rsidR="00AB78BA">
        <w:t>8</w:t>
      </w:r>
      <w:r>
        <w:t xml:space="preserve"> Indigenous and mainstream service providers, PHNs, state or territory governments, along with community members participated. With the principle of self-determination front and centre of the approach, Aboriginal and Torres Strait Islander community-controlled organisations (and representatives) participated on day 1. All other stakeholders (such as PHNs and mainstream providers) joined day 1 participants on day 2. </w:t>
      </w:r>
    </w:p>
    <w:p w14:paraId="396372B6" w14:textId="3FF9C7D9" w:rsidR="00505EC4" w:rsidRDefault="00114CE1" w:rsidP="00290DF8">
      <w:pPr>
        <w:pStyle w:val="BodyText"/>
      </w:pPr>
      <w:r>
        <w:t xml:space="preserve">Following each co-design yarn, output from each state and territory co-design yarn was uploaded onto the </w:t>
      </w:r>
      <w:r w:rsidR="002B031B">
        <w:t>R</w:t>
      </w:r>
      <w:r>
        <w:t>eview’s online consultation hub</w:t>
      </w:r>
      <w:r w:rsidR="00A240F9">
        <w:t>, along with a survey</w:t>
      </w:r>
      <w:r>
        <w:t>. All participants</w:t>
      </w:r>
      <w:r w:rsidR="00505EC4">
        <w:t>,</w:t>
      </w:r>
      <w:r>
        <w:t xml:space="preserve"> including those in each jurisdiction who were unable to attend the face-to-face co-design yarn</w:t>
      </w:r>
      <w:r w:rsidR="00505EC4">
        <w:t>,</w:t>
      </w:r>
      <w:r>
        <w:t xml:space="preserve"> were invited by email to participate. </w:t>
      </w:r>
      <w:r w:rsidR="00A240F9">
        <w:t xml:space="preserve">A total of </w:t>
      </w:r>
      <w:r w:rsidR="00A240F9" w:rsidRPr="00AB78BA">
        <w:t>2</w:t>
      </w:r>
      <w:r w:rsidR="00321F66" w:rsidRPr="00AB78BA">
        <w:t>3</w:t>
      </w:r>
      <w:r w:rsidR="00A240F9">
        <w:t xml:space="preserve"> responses to the online co-design survey were </w:t>
      </w:r>
      <w:r w:rsidR="0005519C">
        <w:t>received.</w:t>
      </w:r>
    </w:p>
    <w:p w14:paraId="37348217" w14:textId="77777777" w:rsidR="00114CE1" w:rsidRDefault="00114CE1" w:rsidP="00290DF8">
      <w:pPr>
        <w:pStyle w:val="BodyText"/>
      </w:pPr>
      <w:r>
        <w:t xml:space="preserve">A draft and final community </w:t>
      </w:r>
      <w:r w:rsidR="00A240F9">
        <w:t xml:space="preserve">and stakeholder </w:t>
      </w:r>
      <w:r>
        <w:t>report will be developed</w:t>
      </w:r>
      <w:r w:rsidR="00505EC4">
        <w:t xml:space="preserve"> and shared with all stakeholders invited to participate in the </w:t>
      </w:r>
      <w:r w:rsidR="000064C7">
        <w:t>Review</w:t>
      </w:r>
      <w:r w:rsidR="003E3FBF">
        <w:t xml:space="preserve"> following </w:t>
      </w:r>
      <w:r w:rsidR="000064C7">
        <w:t xml:space="preserve">its </w:t>
      </w:r>
      <w:r w:rsidR="003E3FBF">
        <w:t>completion</w:t>
      </w:r>
      <w:r>
        <w:t xml:space="preserve">. This will be distilled from the final </w:t>
      </w:r>
      <w:r w:rsidR="000064C7">
        <w:t>R</w:t>
      </w:r>
      <w:r>
        <w:t xml:space="preserve">eview report, using plain </w:t>
      </w:r>
      <w:r w:rsidR="000064C7">
        <w:t>language</w:t>
      </w:r>
      <w:r>
        <w:t xml:space="preserve"> and visually strong design elements to ensure the </w:t>
      </w:r>
      <w:r w:rsidR="00A240F9">
        <w:t xml:space="preserve">outcomes of the </w:t>
      </w:r>
      <w:r>
        <w:t xml:space="preserve">report </w:t>
      </w:r>
      <w:r w:rsidR="000064C7">
        <w:t>are</w:t>
      </w:r>
      <w:r>
        <w:t xml:space="preserve"> targeted to the community audiences.</w:t>
      </w:r>
      <w:r w:rsidR="00AE5EE3">
        <w:t xml:space="preserve"> Specific reports will be provided to PHNs, synthesising the data reviewed for each PHN throughout the </w:t>
      </w:r>
      <w:r w:rsidR="000064C7">
        <w:t>R</w:t>
      </w:r>
      <w:r w:rsidR="00AE5EE3">
        <w:t xml:space="preserve">eview. </w:t>
      </w:r>
    </w:p>
    <w:p w14:paraId="746F86B7" w14:textId="4B12A429" w:rsidR="00114CE1" w:rsidRDefault="00114CE1" w:rsidP="00290DF8">
      <w:pPr>
        <w:pStyle w:val="BodyText"/>
      </w:pPr>
      <w:r>
        <w:t xml:space="preserve">The outcomes of </w:t>
      </w:r>
      <w:r w:rsidR="00E140A2">
        <w:t xml:space="preserve">Stage </w:t>
      </w:r>
      <w:r>
        <w:t xml:space="preserve">3 (co-designing), including the recommended principles and preferred future-state funding arrangements, can be found in </w:t>
      </w:r>
      <w:r w:rsidR="00FA4DEA">
        <w:rPr>
          <w:lang w:val="en-GB"/>
        </w:rPr>
        <w:fldChar w:fldCharType="begin"/>
      </w:r>
      <w:r w:rsidR="00FA4DEA">
        <w:rPr>
          <w:lang w:val="en-GB"/>
        </w:rPr>
        <w:instrText xml:space="preserve"> REF Chapter3_withtitle \r \h </w:instrText>
      </w:r>
      <w:r w:rsidR="00FA4DEA">
        <w:rPr>
          <w:lang w:val="en-GB"/>
        </w:rPr>
      </w:r>
      <w:r w:rsidR="00FA4DEA">
        <w:rPr>
          <w:lang w:val="en-GB"/>
        </w:rPr>
        <w:fldChar w:fldCharType="separate"/>
      </w:r>
      <w:r w:rsidR="00934D5E">
        <w:rPr>
          <w:lang w:val="en-GB"/>
        </w:rPr>
        <w:t>Chapter 3</w:t>
      </w:r>
      <w:r w:rsidR="00FA4DEA">
        <w:rPr>
          <w:lang w:val="en-GB"/>
        </w:rPr>
        <w:fldChar w:fldCharType="end"/>
      </w:r>
      <w:r>
        <w:t xml:space="preserve">. </w:t>
      </w:r>
    </w:p>
    <w:p w14:paraId="75901CED" w14:textId="0CDA62FA" w:rsidR="00114CE1" w:rsidRDefault="00114CE1" w:rsidP="00290DF8">
      <w:pPr>
        <w:pStyle w:val="BodyText"/>
      </w:pPr>
      <w:r>
        <w:t>The map below (</w:t>
      </w:r>
      <w:r w:rsidR="00743081">
        <w:fldChar w:fldCharType="begin"/>
      </w:r>
      <w:r w:rsidR="00743081">
        <w:instrText xml:space="preserve"> REF _Ref152000782 \h </w:instrText>
      </w:r>
      <w:r w:rsidR="00743081">
        <w:fldChar w:fldCharType="separate"/>
      </w:r>
      <w:r w:rsidR="00934D5E">
        <w:t xml:space="preserve">Figure </w:t>
      </w:r>
      <w:r w:rsidR="00934D5E">
        <w:rPr>
          <w:noProof/>
        </w:rPr>
        <w:t>2</w:t>
      </w:r>
      <w:r w:rsidR="00743081">
        <w:fldChar w:fldCharType="end"/>
      </w:r>
      <w:r>
        <w:t xml:space="preserve">) provides an overview of the number and diversity of locations and stakeholder groups engaged during </w:t>
      </w:r>
      <w:r w:rsidR="00E140A2">
        <w:t xml:space="preserve">Stage </w:t>
      </w:r>
      <w:r>
        <w:t xml:space="preserve">2 and </w:t>
      </w:r>
      <w:r w:rsidR="00E140A2">
        <w:t xml:space="preserve">Stage </w:t>
      </w:r>
      <w:r>
        <w:t xml:space="preserve">3 of the </w:t>
      </w:r>
      <w:r w:rsidR="000064C7">
        <w:t>R</w:t>
      </w:r>
      <w:r>
        <w:t xml:space="preserve">eview. Detailed participation lists for each key engagement activity can be found at </w:t>
      </w:r>
      <w:r w:rsidR="00743081">
        <w:fldChar w:fldCharType="begin"/>
      </w:r>
      <w:r w:rsidR="00743081">
        <w:instrText xml:space="preserve"> REF App5 \h </w:instrText>
      </w:r>
      <w:r w:rsidR="00743081">
        <w:fldChar w:fldCharType="separate"/>
      </w:r>
      <w:r w:rsidR="00934D5E" w:rsidRPr="00B65F7F">
        <w:t xml:space="preserve">Appendix </w:t>
      </w:r>
      <w:r w:rsidR="00934D5E">
        <w:t>5 –</w:t>
      </w:r>
      <w:r w:rsidR="00934D5E" w:rsidRPr="00B65F7F">
        <w:t xml:space="preserve"> Stakeholders engaged</w:t>
      </w:r>
      <w:r w:rsidR="00743081">
        <w:fldChar w:fldCharType="end"/>
      </w:r>
      <w:r>
        <w:t>.</w:t>
      </w:r>
    </w:p>
    <w:p w14:paraId="34B2B971" w14:textId="5485EB6B" w:rsidR="00CF3408" w:rsidRDefault="00370C01" w:rsidP="00CF3408">
      <w:pPr>
        <w:pStyle w:val="CaptionFigure"/>
      </w:pPr>
      <w:bookmarkStart w:id="39" w:name="_Ref152000782"/>
      <w:bookmarkStart w:id="40" w:name="_Toc156932029"/>
      <w:r>
        <w:lastRenderedPageBreak/>
        <w:t xml:space="preserve">Figure </w:t>
      </w:r>
      <w:r>
        <w:fldChar w:fldCharType="begin"/>
      </w:r>
      <w:r>
        <w:instrText>SEQ Figure \* ARABIC</w:instrText>
      </w:r>
      <w:r>
        <w:fldChar w:fldCharType="separate"/>
      </w:r>
      <w:r w:rsidR="00934D5E">
        <w:rPr>
          <w:noProof/>
        </w:rPr>
        <w:t>2</w:t>
      </w:r>
      <w:r>
        <w:fldChar w:fldCharType="end"/>
      </w:r>
      <w:bookmarkEnd w:id="39"/>
      <w:r>
        <w:rPr>
          <w:noProof/>
        </w:rPr>
        <w:t>:</w:t>
      </w:r>
      <w:r w:rsidR="00CF3408">
        <w:t xml:space="preserve"> </w:t>
      </w:r>
      <w:r w:rsidR="00CF3408" w:rsidRPr="00644435">
        <w:t xml:space="preserve">Map of Australia with </w:t>
      </w:r>
      <w:r w:rsidR="00CF3408">
        <w:t>locations of engagement through</w:t>
      </w:r>
      <w:r w:rsidR="00CF3408" w:rsidRPr="008B4F1B">
        <w:t xml:space="preserve">out the </w:t>
      </w:r>
      <w:r w:rsidR="000064C7" w:rsidRPr="008B4F1B">
        <w:t>R</w:t>
      </w:r>
      <w:r w:rsidR="00CF3408" w:rsidRPr="008B4F1B">
        <w:t>ev</w:t>
      </w:r>
      <w:r w:rsidR="00CF3408">
        <w:t>iew</w:t>
      </w:r>
      <w:bookmarkEnd w:id="40"/>
    </w:p>
    <w:p w14:paraId="4780FBF1" w14:textId="77777777" w:rsidR="00CF3408" w:rsidRDefault="00CF3408" w:rsidP="00290DF8">
      <w:pPr>
        <w:pStyle w:val="BodyText"/>
      </w:pPr>
      <w:r w:rsidRPr="001A705B">
        <w:rPr>
          <w:noProof/>
        </w:rPr>
        <w:drawing>
          <wp:inline distT="0" distB="0" distL="0" distR="0" wp14:anchorId="79A65FFA" wp14:editId="616BD7A9">
            <wp:extent cx="6363017" cy="5830956"/>
            <wp:effectExtent l="0" t="0" r="0" b="0"/>
            <wp:docPr id="64003624" name="Picture 64003624" descr="A pale yellow ochre map of Australia is marked with colour-coded dots that indicate the locations of the Service Provider Focus Groups, Community Yarning and Co-Design activities. It shows that the most concentrated areas of activity were in south-eastern Australia – from Adelaide across Victoria, eastern New South Wales and south-east Queensland – and around Perth. Other activities were scattered, mostly in coastal areas, including Darwin, Hobart, north-west Tasmania, Cape York and far north Queenslan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03624" name="Picture 64003624" descr="A pale yellow ochre map of Australia is marked with colour-coded dots that indicate the locations of the Service Provider Focus Groups, Community Yarning and Co-Design activities. It shows that the most concentrated areas of activity were in south-eastern Australia – from Adelaide across Victoria, eastern New South Wales and south-east Queensland – and around Perth. Other activities were scattered, mostly in coastal areas, including Darwin, Hobart, north-west Tasmania, Cape York and far north Queensland.&#10;"/>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372578" cy="5839718"/>
                    </a:xfrm>
                    <a:prstGeom prst="rect">
                      <a:avLst/>
                    </a:prstGeom>
                  </pic:spPr>
                </pic:pic>
              </a:graphicData>
            </a:graphic>
          </wp:inline>
        </w:drawing>
      </w:r>
    </w:p>
    <w:p w14:paraId="3A4E28DD" w14:textId="77777777" w:rsidR="0080740A" w:rsidRDefault="0080740A" w:rsidP="00292E56">
      <w:pPr>
        <w:pStyle w:val="BodyText"/>
      </w:pPr>
    </w:p>
    <w:p w14:paraId="638277BB" w14:textId="77777777" w:rsidR="00177F5B" w:rsidRDefault="00177F5B" w:rsidP="00292E56">
      <w:pPr>
        <w:pStyle w:val="BodyText"/>
        <w:sectPr w:rsidR="00177F5B" w:rsidSect="002B05C0">
          <w:headerReference w:type="default" r:id="rId31"/>
          <w:footerReference w:type="default" r:id="rId32"/>
          <w:pgSz w:w="11907" w:h="16840" w:code="9"/>
          <w:pgMar w:top="1440" w:right="1134" w:bottom="1440" w:left="1134" w:header="720" w:footer="720" w:gutter="0"/>
          <w:pgNumType w:start="1"/>
          <w:cols w:space="720"/>
          <w:docGrid w:linePitch="326"/>
        </w:sectPr>
      </w:pPr>
    </w:p>
    <w:p w14:paraId="1F382BC9" w14:textId="191F7160" w:rsidR="006142C0" w:rsidRPr="00B65F7F" w:rsidRDefault="006142C0" w:rsidP="00290DF8">
      <w:pPr>
        <w:pStyle w:val="Heading1"/>
      </w:pPr>
      <w:bookmarkStart w:id="41" w:name="Chapter3_withtitle"/>
      <w:bookmarkStart w:id="42" w:name="_Toc156932001"/>
      <w:bookmarkStart w:id="43" w:name="_Toc120206134"/>
      <w:bookmarkEnd w:id="32"/>
      <w:r w:rsidRPr="00B65F7F">
        <w:lastRenderedPageBreak/>
        <w:t xml:space="preserve">– </w:t>
      </w:r>
      <w:r w:rsidR="00E7243F">
        <w:t>R</w:t>
      </w:r>
      <w:r>
        <w:t>ecommendations for future state funding arrangements</w:t>
      </w:r>
      <w:bookmarkEnd w:id="41"/>
      <w:bookmarkEnd w:id="42"/>
    </w:p>
    <w:p w14:paraId="48F4723F" w14:textId="113A214E" w:rsidR="00F923B6" w:rsidRPr="00B65F7F" w:rsidRDefault="00F923B6" w:rsidP="006734AE">
      <w:pPr>
        <w:pStyle w:val="Heading2"/>
      </w:pPr>
      <w:bookmarkStart w:id="44" w:name="_2tsmes94c9uk" w:colFirst="0" w:colLast="0"/>
      <w:bookmarkStart w:id="45" w:name="_Toc156932002"/>
      <w:bookmarkEnd w:id="44"/>
      <w:r w:rsidRPr="00B65F7F">
        <w:t>Overview</w:t>
      </w:r>
      <w:bookmarkEnd w:id="45"/>
      <w:r w:rsidRPr="00B65F7F">
        <w:t xml:space="preserve"> </w:t>
      </w:r>
    </w:p>
    <w:p w14:paraId="64CFA583" w14:textId="77777777" w:rsidR="00657E0C" w:rsidRPr="00B65F7F" w:rsidRDefault="004C5F6C" w:rsidP="001E7C2D">
      <w:pPr>
        <w:pStyle w:val="BodyText"/>
      </w:pPr>
      <w:bookmarkStart w:id="46" w:name="_4mqeby9cu77x" w:colFirst="0" w:colLast="0"/>
      <w:bookmarkEnd w:id="46"/>
      <w:r w:rsidRPr="00B65F7F">
        <w:t xml:space="preserve">This </w:t>
      </w:r>
      <w:r w:rsidR="00896245" w:rsidRPr="00B65F7F">
        <w:t>chapter</w:t>
      </w:r>
      <w:r w:rsidRPr="00B65F7F">
        <w:t xml:space="preserve"> outlines the recommendations for</w:t>
      </w:r>
      <w:r w:rsidR="00E4026E" w:rsidRPr="00B65F7F">
        <w:t xml:space="preserve"> future-state</w:t>
      </w:r>
      <w:r w:rsidRPr="00B65F7F">
        <w:t xml:space="preserve"> </w:t>
      </w:r>
      <w:r w:rsidR="00E4026E" w:rsidRPr="00B65F7F">
        <w:t>f</w:t>
      </w:r>
      <w:r w:rsidRPr="00B65F7F">
        <w:t xml:space="preserve">unding </w:t>
      </w:r>
      <w:r w:rsidR="00E4026E" w:rsidRPr="00B65F7F">
        <w:t>a</w:t>
      </w:r>
      <w:r w:rsidRPr="00B65F7F">
        <w:t>rrangements</w:t>
      </w:r>
      <w:r w:rsidR="004C3053" w:rsidRPr="00B65F7F">
        <w:t xml:space="preserve">. </w:t>
      </w:r>
      <w:r w:rsidR="00DC6317" w:rsidRPr="00B65F7F">
        <w:t xml:space="preserve">This includes the principles </w:t>
      </w:r>
      <w:r w:rsidR="004F6569">
        <w:t xml:space="preserve">and enablers </w:t>
      </w:r>
      <w:r w:rsidR="00DC6317" w:rsidRPr="00B65F7F">
        <w:t>that should underpin all future-state funding arrangements</w:t>
      </w:r>
      <w:r w:rsidR="00657E0C" w:rsidRPr="00B65F7F">
        <w:t xml:space="preserve">, </w:t>
      </w:r>
      <w:r w:rsidR="00C57CDE" w:rsidRPr="00B65F7F">
        <w:t xml:space="preserve">the design of </w:t>
      </w:r>
      <w:r w:rsidR="00657E0C" w:rsidRPr="00B65F7F">
        <w:t>the arrangements and the roles different organisations may play</w:t>
      </w:r>
      <w:r w:rsidR="00214F98" w:rsidRPr="00B65F7F">
        <w:t xml:space="preserve"> in delivering the future-state funding arrangements</w:t>
      </w:r>
      <w:r w:rsidR="00657E0C" w:rsidRPr="00B65F7F">
        <w:t xml:space="preserve">. </w:t>
      </w:r>
    </w:p>
    <w:p w14:paraId="0D0D8F80" w14:textId="5D4D5591" w:rsidR="004B50D2" w:rsidRDefault="004C3053" w:rsidP="001E7C2D">
      <w:pPr>
        <w:pStyle w:val="BodyText"/>
      </w:pPr>
      <w:r w:rsidRPr="00B65F7F">
        <w:t xml:space="preserve">The </w:t>
      </w:r>
      <w:r w:rsidR="00132807">
        <w:t>recommended</w:t>
      </w:r>
      <w:r w:rsidR="00E4026E" w:rsidRPr="00B65F7F">
        <w:t xml:space="preserve"> future-state funding arrangements</w:t>
      </w:r>
      <w:r w:rsidRPr="00B65F7F">
        <w:t xml:space="preserve"> </w:t>
      </w:r>
      <w:r w:rsidR="003D49E0" w:rsidRPr="00B65F7F">
        <w:t xml:space="preserve">reflect </w:t>
      </w:r>
      <w:r w:rsidRPr="00B65F7F">
        <w:t>the ‘end</w:t>
      </w:r>
      <w:r w:rsidR="002811B7">
        <w:t xml:space="preserve"> </w:t>
      </w:r>
      <w:r w:rsidRPr="00B65F7F">
        <w:t>state’</w:t>
      </w:r>
      <w:r w:rsidR="00E4026E" w:rsidRPr="00B65F7F">
        <w:t xml:space="preserve"> </w:t>
      </w:r>
      <w:r w:rsidR="00C254CC" w:rsidRPr="00B65F7F">
        <w:t>for the funding arrangements</w:t>
      </w:r>
      <w:r w:rsidR="00EF024B">
        <w:t xml:space="preserve"> and are </w:t>
      </w:r>
      <w:r w:rsidR="001D732F">
        <w:t xml:space="preserve">designed to align with the </w:t>
      </w:r>
      <w:r w:rsidR="00132807">
        <w:t>P</w:t>
      </w:r>
      <w:r w:rsidR="001D732F">
        <w:t xml:space="preserve">riority </w:t>
      </w:r>
      <w:r w:rsidR="00132807">
        <w:t>R</w:t>
      </w:r>
      <w:r w:rsidR="001D732F">
        <w:t>e</w:t>
      </w:r>
      <w:r w:rsidR="00FC7445">
        <w:t>f</w:t>
      </w:r>
      <w:r w:rsidR="001D732F">
        <w:t>orms articulated in the National Agreement</w:t>
      </w:r>
      <w:r w:rsidR="00013463" w:rsidRPr="00B65F7F">
        <w:t>.</w:t>
      </w:r>
      <w:r w:rsidR="004C5F6C" w:rsidRPr="00B65F7F">
        <w:t xml:space="preserve"> </w:t>
      </w:r>
      <w:r w:rsidR="000F560B" w:rsidRPr="00B65F7F">
        <w:t>T</w:t>
      </w:r>
      <w:r w:rsidR="00EA1697" w:rsidRPr="00B65F7F">
        <w:t xml:space="preserve">he process to </w:t>
      </w:r>
      <w:r w:rsidR="00E4026E" w:rsidRPr="00B65F7F">
        <w:t xml:space="preserve">transition to the </w:t>
      </w:r>
      <w:r w:rsidR="00132807">
        <w:t>recommended</w:t>
      </w:r>
      <w:r w:rsidR="00E4026E" w:rsidRPr="00B65F7F">
        <w:t xml:space="preserve"> future-state funding arrangements</w:t>
      </w:r>
      <w:r w:rsidR="00EA1697" w:rsidRPr="00B65F7F">
        <w:t xml:space="preserve"> </w:t>
      </w:r>
      <w:r w:rsidR="00886E88" w:rsidRPr="00B65F7F">
        <w:t xml:space="preserve">is outlined </w:t>
      </w:r>
      <w:r w:rsidR="000F560B" w:rsidRPr="00B65F7F">
        <w:t>in</w:t>
      </w:r>
      <w:r w:rsidR="001415BA">
        <w:t xml:space="preserve"> </w:t>
      </w:r>
      <w:r w:rsidR="00FA4DEA">
        <w:fldChar w:fldCharType="begin"/>
      </w:r>
      <w:r w:rsidR="00FA4DEA">
        <w:instrText xml:space="preserve"> REF Ch4_Plan4Xformn \r \h </w:instrText>
      </w:r>
      <w:r w:rsidR="00FA4DEA">
        <w:fldChar w:fldCharType="separate"/>
      </w:r>
      <w:r w:rsidR="00934D5E">
        <w:t>Chapter 4</w:t>
      </w:r>
      <w:r w:rsidR="00FA4DEA">
        <w:fldChar w:fldCharType="end"/>
      </w:r>
      <w:r w:rsidR="001415BA">
        <w:t>.</w:t>
      </w:r>
    </w:p>
    <w:p w14:paraId="5C46CD1B" w14:textId="2A888B20" w:rsidR="00DC40D8" w:rsidRPr="00B65F7F" w:rsidRDefault="00DC40D8" w:rsidP="00DC40D8">
      <w:pPr>
        <w:pStyle w:val="CaptionBox"/>
        <w:rPr>
          <w:bCs w:val="0"/>
        </w:rPr>
      </w:pPr>
      <w:bookmarkStart w:id="47" w:name="_Toc156932052"/>
      <w:r w:rsidRPr="00B65F7F">
        <w:t xml:space="preserve">Box </w:t>
      </w:r>
      <w:r w:rsidRPr="00B65F7F">
        <w:fldChar w:fldCharType="begin"/>
      </w:r>
      <w:r w:rsidRPr="00B65F7F">
        <w:instrText xml:space="preserve"> SEQ Box \* ARABIC </w:instrText>
      </w:r>
      <w:r w:rsidRPr="00B65F7F">
        <w:fldChar w:fldCharType="separate"/>
      </w:r>
      <w:r w:rsidR="00934D5E">
        <w:rPr>
          <w:noProof/>
        </w:rPr>
        <w:t>5</w:t>
      </w:r>
      <w:r w:rsidRPr="00B65F7F">
        <w:fldChar w:fldCharType="end"/>
      </w:r>
      <w:r w:rsidRPr="00B65F7F">
        <w:t xml:space="preserve">: Self-determination of </w:t>
      </w:r>
      <w:r>
        <w:t>Aboriginal and/or Torres Strait Islander</w:t>
      </w:r>
      <w:r w:rsidRPr="00B65F7F">
        <w:t xml:space="preserve"> communities is prioritised</w:t>
      </w:r>
      <w:bookmarkEnd w:id="47"/>
    </w:p>
    <w:tbl>
      <w:tblPr>
        <w:tblStyle w:val="NintiBox"/>
        <w:tblW w:w="0" w:type="auto"/>
        <w:tblLook w:val="04A0" w:firstRow="1" w:lastRow="0" w:firstColumn="1" w:lastColumn="0" w:noHBand="0" w:noVBand="1"/>
      </w:tblPr>
      <w:tblGrid>
        <w:gridCol w:w="9017"/>
      </w:tblGrid>
      <w:tr w:rsidR="00237DEA" w:rsidRPr="00B65F7F" w14:paraId="4A206F0E" w14:textId="77777777" w:rsidTr="00DC40D8">
        <w:tc>
          <w:tcPr>
            <w:tcW w:w="9350" w:type="dxa"/>
          </w:tcPr>
          <w:p w14:paraId="23377A13" w14:textId="77777777" w:rsidR="00F063AE" w:rsidRPr="00B65F7F" w:rsidRDefault="00F54399" w:rsidP="001E7C2D">
            <w:pPr>
              <w:pStyle w:val="BodyText"/>
            </w:pPr>
            <w:r w:rsidRPr="00B65F7F">
              <w:t>For transformation to align with the National Agreement and reflect individual community needs and wants, the Australia</w:t>
            </w:r>
            <w:r w:rsidRPr="00BA4F8C">
              <w:t xml:space="preserve">n Government </w:t>
            </w:r>
            <w:r w:rsidR="00BA4F8C" w:rsidRPr="00BA4F8C">
              <w:t xml:space="preserve">broadly, </w:t>
            </w:r>
            <w:r w:rsidRPr="00BA4F8C">
              <w:t xml:space="preserve">and </w:t>
            </w:r>
            <w:r w:rsidR="00CF6568">
              <w:t>DoHAC</w:t>
            </w:r>
            <w:r w:rsidRPr="00BA4F8C">
              <w:t xml:space="preserve"> </w:t>
            </w:r>
            <w:r w:rsidR="00BA4F8C" w:rsidRPr="00BA4F8C">
              <w:t xml:space="preserve">particularly, </w:t>
            </w:r>
            <w:r w:rsidRPr="00BA4F8C">
              <w:t>must not predetermine the future funding arrangements.</w:t>
            </w:r>
            <w:r w:rsidR="00D17B98" w:rsidRPr="00BA4F8C">
              <w:t xml:space="preserve"> </w:t>
            </w:r>
            <w:r w:rsidR="008D2B73" w:rsidRPr="00BA4F8C">
              <w:t>This is because i</w:t>
            </w:r>
            <w:r w:rsidR="00D17B98" w:rsidRPr="00BA4F8C">
              <w:t>t is evident that there is not a one-s</w:t>
            </w:r>
            <w:r w:rsidR="00D17B98" w:rsidRPr="00B65F7F">
              <w:t xml:space="preserve">ize-fits-all approach to future-state arrangements, due to the vastly different situations, needs and desires of different jurisdictions, regions and communities. </w:t>
            </w:r>
          </w:p>
          <w:p w14:paraId="2252E8A5" w14:textId="77777777" w:rsidR="00F54399" w:rsidRPr="00B65F7F" w:rsidRDefault="00D17B98" w:rsidP="001E7C2D">
            <w:pPr>
              <w:pStyle w:val="BodyText"/>
              <w:rPr>
                <w:b/>
                <w:bCs/>
              </w:rPr>
            </w:pPr>
            <w:r w:rsidRPr="00B65F7F">
              <w:t>Therefore, d</w:t>
            </w:r>
            <w:r w:rsidR="00F54399" w:rsidRPr="00B65F7F">
              <w:t xml:space="preserve">ecisions must be placed in the hands of </w:t>
            </w:r>
            <w:r w:rsidR="0097034A">
              <w:t>Aboriginal and/or Torres Strait Islander</w:t>
            </w:r>
            <w:r w:rsidR="00F54399" w:rsidRPr="00B65F7F">
              <w:t xml:space="preserve"> communities who can self-determine </w:t>
            </w:r>
            <w:r w:rsidR="00910808" w:rsidRPr="00B65F7F">
              <w:t>how the contextually specific future</w:t>
            </w:r>
            <w:r w:rsidR="00295F18" w:rsidRPr="00B65F7F">
              <w:t>-state</w:t>
            </w:r>
            <w:r w:rsidR="00910808" w:rsidRPr="00B65F7F">
              <w:t xml:space="preserve"> funding arrangements should be designed and how they should be applied. </w:t>
            </w:r>
            <w:r w:rsidR="00EE4A98" w:rsidRPr="00B65F7F">
              <w:t>This</w:t>
            </w:r>
            <w:r w:rsidR="00F54399" w:rsidRPr="00B65F7F">
              <w:t xml:space="preserve"> reflects the approach to working in true partnership as set out in Priority Reform 1 of the National Agreement</w:t>
            </w:r>
            <w:r w:rsidR="007D042B">
              <w:t>.</w:t>
            </w:r>
          </w:p>
          <w:p w14:paraId="61B3CF31" w14:textId="6F6BAF9A" w:rsidR="00237DEA" w:rsidRPr="00B65F7F" w:rsidRDefault="00F54399" w:rsidP="001E7C2D">
            <w:pPr>
              <w:pStyle w:val="BodyText"/>
            </w:pPr>
            <w:r w:rsidRPr="00B65F7F">
              <w:t xml:space="preserve">This </w:t>
            </w:r>
            <w:r w:rsidR="009A4769" w:rsidRPr="00B65F7F">
              <w:t xml:space="preserve">feature of transformation is outlined </w:t>
            </w:r>
            <w:r w:rsidR="009A4769" w:rsidRPr="002811B7">
              <w:t>in</w:t>
            </w:r>
            <w:r w:rsidRPr="002811B7">
              <w:t xml:space="preserve"> </w:t>
            </w:r>
            <w:r w:rsidR="00295F18" w:rsidRPr="002811B7">
              <w:fldChar w:fldCharType="begin"/>
            </w:r>
            <w:r w:rsidR="00295F18" w:rsidRPr="002811B7">
              <w:instrText xml:space="preserve"> REF Feature2_622 \h  \* MERGEFORMAT </w:instrText>
            </w:r>
            <w:r w:rsidR="00295F18" w:rsidRPr="002811B7">
              <w:fldChar w:fldCharType="separate"/>
            </w:r>
            <w:r w:rsidR="00934D5E" w:rsidRPr="00B65F7F">
              <w:t>Feature 2: Self-</w:t>
            </w:r>
            <w:r w:rsidR="00934D5E">
              <w:t>d</w:t>
            </w:r>
            <w:r w:rsidR="00934D5E" w:rsidRPr="00B65F7F">
              <w:t xml:space="preserve">etermination of </w:t>
            </w:r>
            <w:r w:rsidR="00934D5E">
              <w:t>Aboriginal and/or Torres Strait Islander</w:t>
            </w:r>
            <w:r w:rsidR="00934D5E" w:rsidRPr="00B65F7F">
              <w:t xml:space="preserve"> </w:t>
            </w:r>
            <w:r w:rsidR="00295F18" w:rsidRPr="002811B7">
              <w:fldChar w:fldCharType="end"/>
            </w:r>
            <w:r w:rsidR="002811B7" w:rsidRPr="002811B7">
              <w:t>c</w:t>
            </w:r>
            <w:r w:rsidR="002811B7">
              <w:t>ommunities</w:t>
            </w:r>
            <w:r w:rsidR="009A4769" w:rsidRPr="00B65F7F">
              <w:t>.</w:t>
            </w:r>
          </w:p>
        </w:tc>
      </w:tr>
    </w:tbl>
    <w:p w14:paraId="59514746" w14:textId="6C870660" w:rsidR="00F923B6" w:rsidRPr="00B65F7F" w:rsidRDefault="006142C0" w:rsidP="001E7C2D">
      <w:pPr>
        <w:pStyle w:val="Heading2"/>
      </w:pPr>
      <w:bookmarkStart w:id="48" w:name="_l27djgf975jx" w:colFirst="0" w:colLast="0"/>
      <w:bookmarkStart w:id="49" w:name="_Toc156932003"/>
      <w:bookmarkEnd w:id="48"/>
      <w:r>
        <w:t>Summary of future-state funding arrangements</w:t>
      </w:r>
      <w:bookmarkEnd w:id="49"/>
      <w:r w:rsidR="00C465B1">
        <w:t xml:space="preserve"> </w:t>
      </w:r>
    </w:p>
    <w:p w14:paraId="1E282472" w14:textId="77777777" w:rsidR="00454812" w:rsidRDefault="00FD5C9E" w:rsidP="001E7C2D">
      <w:pPr>
        <w:pStyle w:val="BodyText"/>
      </w:pPr>
      <w:r w:rsidRPr="00B65F7F">
        <w:t xml:space="preserve">Four key principles </w:t>
      </w:r>
      <w:r w:rsidR="007F6AAC" w:rsidRPr="00B65F7F">
        <w:t>have been established as</w:t>
      </w:r>
      <w:r w:rsidR="001E6AD5" w:rsidRPr="00B65F7F">
        <w:t xml:space="preserve"> </w:t>
      </w:r>
      <w:r w:rsidRPr="00B65F7F">
        <w:t xml:space="preserve">essential to underpin </w:t>
      </w:r>
      <w:r w:rsidR="001E6AD5" w:rsidRPr="00B65F7F">
        <w:t>any effective future-state funding arrangements</w:t>
      </w:r>
      <w:r w:rsidR="00454812">
        <w:t>:</w:t>
      </w:r>
    </w:p>
    <w:p w14:paraId="050ADEFE" w14:textId="77777777" w:rsidR="00454812" w:rsidRDefault="00E05773" w:rsidP="001E7C2D">
      <w:pPr>
        <w:pStyle w:val="ListBullet2"/>
      </w:pPr>
      <w:r w:rsidRPr="00454812">
        <w:t>Aboriginal and/or Torres Strait Islander</w:t>
      </w:r>
      <w:r w:rsidR="00FD5C9E" w:rsidRPr="00454812">
        <w:t xml:space="preserve"> leadership and community empowerment</w:t>
      </w:r>
    </w:p>
    <w:p w14:paraId="0D1964E2" w14:textId="77777777" w:rsidR="00454812" w:rsidRDefault="00454812" w:rsidP="001E7C2D">
      <w:pPr>
        <w:pStyle w:val="ListBullet2"/>
      </w:pPr>
      <w:r>
        <w:t>A</w:t>
      </w:r>
      <w:r w:rsidR="00FD5C9E" w:rsidRPr="00454812">
        <w:t xml:space="preserve"> First Nation</w:t>
      </w:r>
      <w:r w:rsidR="001D568A" w:rsidRPr="00454812">
        <w:t>’</w:t>
      </w:r>
      <w:r w:rsidR="00FD5C9E" w:rsidRPr="00454812">
        <w:t>s holistic model</w:t>
      </w:r>
    </w:p>
    <w:p w14:paraId="223FE4D5" w14:textId="77777777" w:rsidR="00454812" w:rsidRDefault="00847DC2" w:rsidP="001E7C2D">
      <w:pPr>
        <w:pStyle w:val="ListBullet2"/>
      </w:pPr>
      <w:r>
        <w:t>A</w:t>
      </w:r>
      <w:r w:rsidRPr="00454812">
        <w:t xml:space="preserve"> culturally safe and accessible system</w:t>
      </w:r>
      <w:r>
        <w:t xml:space="preserve"> </w:t>
      </w:r>
    </w:p>
    <w:p w14:paraId="083A71BC" w14:textId="3FB3E59D" w:rsidR="00454812" w:rsidRDefault="00847DC2" w:rsidP="001E7C2D">
      <w:pPr>
        <w:pStyle w:val="ListBullet2"/>
      </w:pPr>
      <w:r>
        <w:t>A</w:t>
      </w:r>
      <w:r w:rsidRPr="00454812">
        <w:t xml:space="preserve"> strengths-based approach</w:t>
      </w:r>
      <w:r w:rsidR="00FD5C9E" w:rsidRPr="00454812">
        <w:t>.</w:t>
      </w:r>
    </w:p>
    <w:p w14:paraId="4529EF2C" w14:textId="5A984002" w:rsidR="00454812" w:rsidRPr="00454812" w:rsidRDefault="00454812" w:rsidP="001E7C2D">
      <w:pPr>
        <w:pStyle w:val="BodyText1stparaafterlist"/>
      </w:pPr>
      <w:r>
        <w:t xml:space="preserve">Each principle </w:t>
      </w:r>
      <w:r w:rsidR="002811B7">
        <w:t>is</w:t>
      </w:r>
      <w:r>
        <w:t xml:space="preserve"> described in more detail below in section </w:t>
      </w:r>
      <w:r w:rsidR="00C94EE1">
        <w:fldChar w:fldCharType="begin"/>
      </w:r>
      <w:r w:rsidR="00C94EE1">
        <w:instrText xml:space="preserve"> REF _Ref156736580 \r \h </w:instrText>
      </w:r>
      <w:r w:rsidR="00C94EE1">
        <w:fldChar w:fldCharType="separate"/>
      </w:r>
      <w:r w:rsidR="00934D5E">
        <w:t>3.2.1.3</w:t>
      </w:r>
      <w:r w:rsidR="00C94EE1">
        <w:fldChar w:fldCharType="end"/>
      </w:r>
      <w:r>
        <w:t>.</w:t>
      </w:r>
    </w:p>
    <w:p w14:paraId="74C93576" w14:textId="4E188204" w:rsidR="00E421A2" w:rsidRPr="00B65F7F" w:rsidRDefault="00295F18" w:rsidP="001E7C2D">
      <w:pPr>
        <w:pStyle w:val="BodyText"/>
      </w:pPr>
      <w:r w:rsidRPr="00B65F7F">
        <w:t xml:space="preserve">There have also been </w:t>
      </w:r>
      <w:r w:rsidR="00FD5C9E" w:rsidRPr="00B65F7F">
        <w:t xml:space="preserve">21 enablers </w:t>
      </w:r>
      <w:r w:rsidR="00E421A2" w:rsidRPr="00B65F7F">
        <w:t xml:space="preserve">identified </w:t>
      </w:r>
      <w:r w:rsidR="007F6AAC" w:rsidRPr="00B65F7F">
        <w:t>to support</w:t>
      </w:r>
      <w:r w:rsidR="00FD5C9E" w:rsidRPr="00B65F7F">
        <w:t xml:space="preserve"> these principles,</w:t>
      </w:r>
      <w:r w:rsidR="00E421A2" w:rsidRPr="00B65F7F">
        <w:t xml:space="preserve"> </w:t>
      </w:r>
      <w:r w:rsidR="00D723DD" w:rsidRPr="00B65F7F">
        <w:t>enabling</w:t>
      </w:r>
      <w:r w:rsidR="00B67366" w:rsidRPr="00B65F7F">
        <w:t xml:space="preserve"> </w:t>
      </w:r>
      <w:r w:rsidR="00E421A2" w:rsidRPr="00B65F7F">
        <w:t xml:space="preserve">effective future-state funding </w:t>
      </w:r>
      <w:r w:rsidR="00C53D83" w:rsidRPr="00B65F7F">
        <w:t>arrangements.</w:t>
      </w:r>
      <w:r w:rsidR="00185DFF">
        <w:t xml:space="preserve"> These 21 enablers are described in detail in </w:t>
      </w:r>
      <w:r w:rsidR="00471049">
        <w:fldChar w:fldCharType="begin"/>
      </w:r>
      <w:r w:rsidR="00471049">
        <w:instrText xml:space="preserve"> REF App8_notitle \h </w:instrText>
      </w:r>
      <w:r w:rsidR="00471049">
        <w:fldChar w:fldCharType="separate"/>
      </w:r>
      <w:r w:rsidR="00934D5E" w:rsidRPr="00B65F7F">
        <w:t xml:space="preserve">Appendix </w:t>
      </w:r>
      <w:r w:rsidR="00934D5E">
        <w:t>8</w:t>
      </w:r>
      <w:r w:rsidR="00471049">
        <w:fldChar w:fldCharType="end"/>
      </w:r>
      <w:r w:rsidR="00185DFF">
        <w:t>.</w:t>
      </w:r>
    </w:p>
    <w:p w14:paraId="6614DED6" w14:textId="6B485020" w:rsidR="00F923B6" w:rsidRPr="00B65F7F" w:rsidRDefault="00F923B6" w:rsidP="00974A68">
      <w:pPr>
        <w:pStyle w:val="Heading3"/>
      </w:pPr>
      <w:bookmarkStart w:id="50" w:name="_w7252bfj9jqc" w:colFirst="0" w:colLast="0"/>
      <w:bookmarkStart w:id="51" w:name="PrincEnabl53"/>
      <w:bookmarkStart w:id="52" w:name="Ch3_321_PrincEnab"/>
      <w:bookmarkEnd w:id="50"/>
      <w:r w:rsidRPr="002F1E04">
        <w:lastRenderedPageBreak/>
        <w:t xml:space="preserve">Principles </w:t>
      </w:r>
      <w:r w:rsidR="00E51C30" w:rsidRPr="002F1E04">
        <w:t xml:space="preserve">and enablers </w:t>
      </w:r>
      <w:r w:rsidRPr="002F1E04">
        <w:t xml:space="preserve">for </w:t>
      </w:r>
      <w:bookmarkEnd w:id="51"/>
      <w:r w:rsidR="000A0C01" w:rsidRPr="002F1E04">
        <w:t>e</w:t>
      </w:r>
      <w:r w:rsidRPr="002F1E04">
        <w:t xml:space="preserve">ffective </w:t>
      </w:r>
      <w:r w:rsidR="000A0C01" w:rsidRPr="002F1E04">
        <w:t>f</w:t>
      </w:r>
      <w:r w:rsidR="00044BF4" w:rsidRPr="002F1E04">
        <w:t>uture-</w:t>
      </w:r>
      <w:r w:rsidR="000A0C01" w:rsidRPr="002F1E04">
        <w:t>s</w:t>
      </w:r>
      <w:r w:rsidR="00044BF4" w:rsidRPr="002F1E04">
        <w:t>tate</w:t>
      </w:r>
      <w:r w:rsidRPr="002F1E04">
        <w:t xml:space="preserve"> </w:t>
      </w:r>
      <w:r w:rsidR="000A0C01" w:rsidRPr="002F1E04">
        <w:t>f</w:t>
      </w:r>
      <w:r w:rsidRPr="002F1E04">
        <w:t xml:space="preserve">unding </w:t>
      </w:r>
      <w:r w:rsidR="000A0C01" w:rsidRPr="002F1E04">
        <w:t>a</w:t>
      </w:r>
      <w:r w:rsidRPr="002F1E04">
        <w:t>rrangements</w:t>
      </w:r>
      <w:bookmarkEnd w:id="52"/>
    </w:p>
    <w:p w14:paraId="49B59208" w14:textId="717EFAE7" w:rsidR="00F923B6" w:rsidRPr="00B65F7F" w:rsidRDefault="00F923B6" w:rsidP="00974A68">
      <w:pPr>
        <w:pStyle w:val="Heading4"/>
      </w:pPr>
      <w:bookmarkStart w:id="53" w:name="_er0qid3rgvvp" w:colFirst="0" w:colLast="0"/>
      <w:bookmarkEnd w:id="53"/>
      <w:r w:rsidRPr="006142C0">
        <w:t>About</w:t>
      </w:r>
      <w:r w:rsidRPr="00B65F7F">
        <w:t xml:space="preserve"> the </w:t>
      </w:r>
      <w:r w:rsidR="00044BF4" w:rsidRPr="00B65F7F">
        <w:t>p</w:t>
      </w:r>
      <w:r w:rsidRPr="00B65F7F">
        <w:t xml:space="preserve">rinciples for </w:t>
      </w:r>
      <w:r w:rsidR="00044BF4" w:rsidRPr="00B65F7F">
        <w:t>e</w:t>
      </w:r>
      <w:r w:rsidRPr="00B65F7F">
        <w:t xml:space="preserve">ffective </w:t>
      </w:r>
      <w:r w:rsidR="00044BF4" w:rsidRPr="00B65F7F">
        <w:t>future-state f</w:t>
      </w:r>
      <w:r w:rsidRPr="00B65F7F">
        <w:t xml:space="preserve">unding </w:t>
      </w:r>
      <w:r w:rsidR="00044BF4" w:rsidRPr="00B65F7F">
        <w:t>a</w:t>
      </w:r>
      <w:r w:rsidRPr="00B65F7F">
        <w:t>rrangements</w:t>
      </w:r>
    </w:p>
    <w:p w14:paraId="55B01206" w14:textId="77777777" w:rsidR="00F923B6" w:rsidRPr="00B65F7F" w:rsidRDefault="00D80AF2" w:rsidP="002F1E04">
      <w:pPr>
        <w:pStyle w:val="BodyText"/>
      </w:pPr>
      <w:r w:rsidRPr="00B65F7F">
        <w:t>The principles for effective future-state funding arrangements</w:t>
      </w:r>
      <w:r w:rsidR="005179DC" w:rsidRPr="00B65F7F">
        <w:t xml:space="preserve"> </w:t>
      </w:r>
      <w:r w:rsidR="003D3436" w:rsidRPr="00B65F7F">
        <w:t>and</w:t>
      </w:r>
      <w:r w:rsidR="005179DC" w:rsidRPr="00B65F7F">
        <w:t xml:space="preserve"> the corresponding key enablers</w:t>
      </w:r>
      <w:r w:rsidR="00DC7398" w:rsidRPr="00B65F7F">
        <w:t xml:space="preserve"> are designed to </w:t>
      </w:r>
      <w:r w:rsidR="0023108A" w:rsidRPr="00B65F7F">
        <w:t>ensure that</w:t>
      </w:r>
      <w:r w:rsidR="000B1D88" w:rsidRPr="00B65F7F">
        <w:t xml:space="preserve"> </w:t>
      </w:r>
      <w:r w:rsidR="002066E9" w:rsidRPr="00B65F7F">
        <w:t xml:space="preserve">all </w:t>
      </w:r>
      <w:r w:rsidR="000B1D88" w:rsidRPr="00B65F7F">
        <w:t xml:space="preserve">stakeholders </w:t>
      </w:r>
      <w:r w:rsidR="002066E9" w:rsidRPr="00B65F7F">
        <w:t>(</w:t>
      </w:r>
      <w:r w:rsidR="0063685B">
        <w:t xml:space="preserve">governments, </w:t>
      </w:r>
      <w:r w:rsidR="00530A0C" w:rsidRPr="00B65F7F">
        <w:t>PHNs</w:t>
      </w:r>
      <w:r w:rsidR="002066E9" w:rsidRPr="00B65F7F">
        <w:t xml:space="preserve">, </w:t>
      </w:r>
      <w:r w:rsidR="00B43ABF" w:rsidRPr="00B65F7F">
        <w:t xml:space="preserve">peak </w:t>
      </w:r>
      <w:r w:rsidR="007C603A" w:rsidRPr="00B65F7F">
        <w:t>bodies</w:t>
      </w:r>
      <w:r w:rsidR="00B43ABF" w:rsidRPr="00B65F7F">
        <w:t xml:space="preserve"> and service providers) </w:t>
      </w:r>
      <w:r w:rsidR="002C1D5D" w:rsidRPr="00B65F7F">
        <w:t xml:space="preserve">understand </w:t>
      </w:r>
      <w:r w:rsidR="000452AB" w:rsidRPr="00B65F7F">
        <w:t xml:space="preserve">and can adhere to </w:t>
      </w:r>
      <w:r w:rsidR="002C1D5D" w:rsidRPr="00B65F7F">
        <w:t>the conceptual foundations for the future</w:t>
      </w:r>
      <w:r w:rsidR="001F6807" w:rsidRPr="00B65F7F">
        <w:t>-state</w:t>
      </w:r>
      <w:r w:rsidR="002C1D5D" w:rsidRPr="00B65F7F">
        <w:t xml:space="preserve"> funding arrangements</w:t>
      </w:r>
      <w:r w:rsidR="00CB780D" w:rsidRPr="00B65F7F">
        <w:t xml:space="preserve">. </w:t>
      </w:r>
      <w:r w:rsidR="000452AB" w:rsidRPr="00B65F7F">
        <w:t>This is particularly important as the specific design of the future</w:t>
      </w:r>
      <w:r w:rsidR="001F6807" w:rsidRPr="00B65F7F">
        <w:t>-state</w:t>
      </w:r>
      <w:r w:rsidR="000452AB" w:rsidRPr="00B65F7F">
        <w:t xml:space="preserve"> funding arrangements will likely vary across Australia; however, </w:t>
      </w:r>
      <w:r w:rsidR="00F2283F" w:rsidRPr="00B65F7F">
        <w:t xml:space="preserve">despite this, </w:t>
      </w:r>
      <w:r w:rsidR="007C603A" w:rsidRPr="00B65F7F">
        <w:t>all</w:t>
      </w:r>
      <w:r w:rsidR="00F2283F" w:rsidRPr="00B65F7F">
        <w:t xml:space="preserve"> the arrangements should remain aligned with the principles. </w:t>
      </w:r>
    </w:p>
    <w:p w14:paraId="5EB05734" w14:textId="3C78CC3E" w:rsidR="00D2343A" w:rsidRDefault="00176019" w:rsidP="002F1E04">
      <w:pPr>
        <w:pStyle w:val="BodyText"/>
      </w:pPr>
      <w:r w:rsidRPr="00B65F7F">
        <w:t xml:space="preserve">It is important to note that the </w:t>
      </w:r>
      <w:r w:rsidR="006842C1" w:rsidRPr="00B65F7F">
        <w:t>principles for effective future-state funding arrangements</w:t>
      </w:r>
      <w:r w:rsidRPr="00B65F7F">
        <w:t xml:space="preserve"> are not considered </w:t>
      </w:r>
      <w:r w:rsidR="000D27E0" w:rsidRPr="00B65F7F">
        <w:t xml:space="preserve">new or </w:t>
      </w:r>
      <w:r w:rsidR="00517933" w:rsidRPr="00B65F7F">
        <w:t>ground-breaking</w:t>
      </w:r>
      <w:r w:rsidRPr="00B65F7F">
        <w:t xml:space="preserve">, particularly by the sector itself. Many of the principles </w:t>
      </w:r>
      <w:r w:rsidR="000D27E0" w:rsidRPr="00B65F7F">
        <w:t>align to other principles</w:t>
      </w:r>
      <w:r w:rsidR="00A11E8C" w:rsidRPr="00B65F7F">
        <w:t>, strategies and frameworks</w:t>
      </w:r>
      <w:r w:rsidR="000D27E0" w:rsidRPr="00B65F7F">
        <w:t xml:space="preserve"> (such as the </w:t>
      </w:r>
      <w:r w:rsidR="00A11E8C" w:rsidRPr="00B65F7F">
        <w:t>National Agreement,</w:t>
      </w:r>
      <w:r w:rsidR="000D27E0" w:rsidRPr="00B65F7F">
        <w:t xml:space="preserve"> </w:t>
      </w:r>
      <w:r w:rsidR="00AC1EDE" w:rsidRPr="00B65F7F">
        <w:t xml:space="preserve">and the </w:t>
      </w:r>
      <w:r w:rsidR="008E63F9">
        <w:t>9</w:t>
      </w:r>
      <w:r w:rsidR="00AF4DC9" w:rsidRPr="008E63F9">
        <w:t xml:space="preserve"> guiding principles for the SEWB Framework</w:t>
      </w:r>
      <w:r w:rsidR="008E63F9">
        <w:t xml:space="preserve"> </w:t>
      </w:r>
      <w:r w:rsidR="002811B7">
        <w:t>[</w:t>
      </w:r>
      <w:r w:rsidR="008E63F9">
        <w:t>Commonwealth of Australia</w:t>
      </w:r>
      <w:r w:rsidR="005B7E5F">
        <w:t>,</w:t>
      </w:r>
      <w:r w:rsidR="008E63F9">
        <w:t xml:space="preserve"> 2017</w:t>
      </w:r>
      <w:r w:rsidR="00146ECE">
        <w:t>]</w:t>
      </w:r>
      <w:r w:rsidR="002F1E04">
        <w:t>)</w:t>
      </w:r>
      <w:r w:rsidR="00023107" w:rsidRPr="00B65F7F">
        <w:t>. This is the same for the enablers, which</w:t>
      </w:r>
      <w:r w:rsidR="00AF4DC9" w:rsidRPr="00B65F7F">
        <w:t xml:space="preserve"> have been identified </w:t>
      </w:r>
      <w:r w:rsidR="00AC1EDE" w:rsidRPr="00B65F7F">
        <w:t xml:space="preserve">as </w:t>
      </w:r>
      <w:r w:rsidR="009A4346" w:rsidRPr="00B65F7F">
        <w:t>critical</w:t>
      </w:r>
      <w:r w:rsidR="00AC1EDE" w:rsidRPr="00B65F7F">
        <w:t xml:space="preserve"> </w:t>
      </w:r>
      <w:r w:rsidR="009A4346" w:rsidRPr="00B65F7F">
        <w:t>by</w:t>
      </w:r>
      <w:r w:rsidR="00AF4DC9" w:rsidRPr="00B65F7F">
        <w:t xml:space="preserve"> the sector over many years. </w:t>
      </w:r>
    </w:p>
    <w:p w14:paraId="2E0E5CBA" w14:textId="760887D2" w:rsidR="00DC73D3" w:rsidRDefault="00DC73D3" w:rsidP="002F1E04">
      <w:pPr>
        <w:pStyle w:val="Heading4"/>
      </w:pPr>
      <w:r w:rsidRPr="00B65F7F">
        <w:t xml:space="preserve">Diagram of the principles </w:t>
      </w:r>
      <w:r w:rsidR="00B62CBA">
        <w:t xml:space="preserve">and </w:t>
      </w:r>
      <w:r w:rsidR="00885236">
        <w:t xml:space="preserve">enablers </w:t>
      </w:r>
      <w:r w:rsidR="006C667C">
        <w:t>–</w:t>
      </w:r>
      <w:r w:rsidR="00EF53B5">
        <w:t xml:space="preserve"> designed by Gerard Black (</w:t>
      </w:r>
      <w:r w:rsidR="00EF53B5" w:rsidRPr="008A1E04">
        <w:t>Worimi</w:t>
      </w:r>
      <w:bookmarkStart w:id="54" w:name="_a1ouzce9x1xw" w:colFirst="0" w:colLast="0"/>
      <w:bookmarkEnd w:id="54"/>
      <w:r>
        <w:t>)</w:t>
      </w:r>
    </w:p>
    <w:p w14:paraId="7808288E" w14:textId="21647277" w:rsidR="00397F41" w:rsidRDefault="00397F41" w:rsidP="002F1E04">
      <w:pPr>
        <w:pStyle w:val="BodyText"/>
      </w:pPr>
      <w:r>
        <w:t>Th</w:t>
      </w:r>
      <w:r w:rsidR="007A06E3">
        <w:t>e</w:t>
      </w:r>
      <w:r>
        <w:t xml:space="preserve"> artwork</w:t>
      </w:r>
      <w:r w:rsidR="00904E58">
        <w:t xml:space="preserve"> (</w:t>
      </w:r>
      <w:r w:rsidR="00904E58">
        <w:fldChar w:fldCharType="begin"/>
      </w:r>
      <w:r w:rsidR="00904E58">
        <w:instrText xml:space="preserve"> REF _Ref151755753 \h </w:instrText>
      </w:r>
      <w:r w:rsidR="00904E58">
        <w:fldChar w:fldCharType="separate"/>
      </w:r>
      <w:r w:rsidR="00934D5E">
        <w:t xml:space="preserve">Figure </w:t>
      </w:r>
      <w:r w:rsidR="00934D5E">
        <w:rPr>
          <w:noProof/>
        </w:rPr>
        <w:t>3</w:t>
      </w:r>
      <w:r w:rsidR="00904E58">
        <w:fldChar w:fldCharType="end"/>
      </w:r>
      <w:r w:rsidR="00904E58">
        <w:t>)</w:t>
      </w:r>
      <w:r>
        <w:t xml:space="preserve">, designed by Gerard Black (Worimi) titled </w:t>
      </w:r>
      <w:r w:rsidRPr="0098562E">
        <w:rPr>
          <w:i/>
          <w:iCs/>
        </w:rPr>
        <w:t xml:space="preserve">Unity in </w:t>
      </w:r>
      <w:r w:rsidR="006C667C">
        <w:rPr>
          <w:i/>
          <w:iCs/>
        </w:rPr>
        <w:t>d</w:t>
      </w:r>
      <w:r w:rsidRPr="0098562E">
        <w:rPr>
          <w:i/>
          <w:iCs/>
        </w:rPr>
        <w:t>iversity</w:t>
      </w:r>
      <w:r>
        <w:t xml:space="preserve">, was created for the visual identity of the 4 key principles and 21 enablers for </w:t>
      </w:r>
      <w:r w:rsidR="000D739F">
        <w:t xml:space="preserve">the </w:t>
      </w:r>
      <w:r w:rsidR="006C667C">
        <w:t>R</w:t>
      </w:r>
      <w:r w:rsidR="000D739F">
        <w:t>eview</w:t>
      </w:r>
      <w:r>
        <w:t>.</w:t>
      </w:r>
    </w:p>
    <w:p w14:paraId="6C08B962" w14:textId="77777777" w:rsidR="00397F41" w:rsidRDefault="000D739F" w:rsidP="002F1E04">
      <w:pPr>
        <w:pStyle w:val="BodyText"/>
      </w:pPr>
      <w:r>
        <w:t>Throughout the artwork, Gerard has used specific elements to portray</w:t>
      </w:r>
      <w:r w:rsidR="00397F41">
        <w:t xml:space="preserve"> the </w:t>
      </w:r>
      <w:r w:rsidR="006C667C">
        <w:t>4</w:t>
      </w:r>
      <w:r w:rsidR="00397F41">
        <w:t xml:space="preserve"> fundamental </w:t>
      </w:r>
      <w:r w:rsidR="006C667C">
        <w:t>k</w:t>
      </w:r>
      <w:r w:rsidR="00397F41">
        <w:t xml:space="preserve">ey </w:t>
      </w:r>
      <w:r w:rsidR="006C667C">
        <w:t>p</w:t>
      </w:r>
      <w:r w:rsidR="00397F41">
        <w:t>rinciples that form the foundation</w:t>
      </w:r>
      <w:r>
        <w:t xml:space="preserve">s. </w:t>
      </w:r>
      <w:r w:rsidR="00397F41">
        <w:t xml:space="preserve">Surrounding these central principles is a delicate web of </w:t>
      </w:r>
      <w:r w:rsidR="006C667C">
        <w:t>e</w:t>
      </w:r>
      <w:r w:rsidR="00397F41">
        <w:t xml:space="preserve">nablers, each intricately woven into the fabric of First Nations heritage. </w:t>
      </w:r>
    </w:p>
    <w:p w14:paraId="25BCD0BA" w14:textId="77777777" w:rsidR="00397F41" w:rsidRDefault="00397F41" w:rsidP="002F1E04">
      <w:pPr>
        <w:pStyle w:val="BodyText"/>
      </w:pPr>
      <w:r>
        <w:t>The outer circle of the artwork serves as a vivid celebration of the rich diversity of Aboriginal and Torres Strait Islander people. Within this circle</w:t>
      </w:r>
      <w:r w:rsidR="006C667C">
        <w:t xml:space="preserve"> can be </w:t>
      </w:r>
      <w:r>
        <w:t>discern</w:t>
      </w:r>
      <w:r w:rsidR="006C667C">
        <w:t>ed</w:t>
      </w:r>
      <w:r>
        <w:t xml:space="preserve"> the indelible marks of the Stolen Generations and the contrasting realities faced by individuals across varying landscapes </w:t>
      </w:r>
      <w:r w:rsidR="006C667C">
        <w:t>–</w:t>
      </w:r>
      <w:r>
        <w:t xml:space="preserve"> from bustling metropolises to tranquil regional areas, from the solitude of remote locales to the starkness of </w:t>
      </w:r>
      <w:r w:rsidR="000D739F">
        <w:t>very</w:t>
      </w:r>
      <w:r>
        <w:t xml:space="preserve"> remote environments.</w:t>
      </w:r>
    </w:p>
    <w:p w14:paraId="57A0273E" w14:textId="77777777" w:rsidR="00397F41" w:rsidRDefault="00397F41" w:rsidP="002F1E04">
      <w:pPr>
        <w:pStyle w:val="BodyText"/>
      </w:pPr>
      <w:r>
        <w:t xml:space="preserve">Beneath it all, the underlying background of the artwork is a tribute to the </w:t>
      </w:r>
      <w:r w:rsidR="006C667C">
        <w:t>i</w:t>
      </w:r>
      <w:r>
        <w:t>ntegral First Nation spirit, eternally intertwined with the land.</w:t>
      </w:r>
    </w:p>
    <w:p w14:paraId="360E4DCA" w14:textId="77777777" w:rsidR="00397F41" w:rsidRDefault="00397F41" w:rsidP="002F1E04">
      <w:pPr>
        <w:pStyle w:val="BodyText"/>
      </w:pPr>
      <w:r>
        <w:t xml:space="preserve">The vibrant </w:t>
      </w:r>
      <w:r w:rsidR="000D739F">
        <w:t>colours</w:t>
      </w:r>
      <w:r>
        <w:t xml:space="preserve"> and intricate patterns convey the profound connection between these cultures and the earth that has nurtured them for millennia.</w:t>
      </w:r>
    </w:p>
    <w:p w14:paraId="5DCB172C" w14:textId="77777777" w:rsidR="000D739F" w:rsidRPr="002F1E04" w:rsidRDefault="000D739F" w:rsidP="002F1E04">
      <w:pPr>
        <w:pStyle w:val="BodyText"/>
        <w:rPr>
          <w:b/>
          <w:bCs/>
        </w:rPr>
      </w:pPr>
      <w:r w:rsidRPr="002F1E04">
        <w:rPr>
          <w:b/>
          <w:bCs/>
        </w:rPr>
        <w:t>About the artist</w:t>
      </w:r>
    </w:p>
    <w:p w14:paraId="5344D630" w14:textId="77777777" w:rsidR="006142C0" w:rsidRPr="006142C0" w:rsidRDefault="000D739F" w:rsidP="002F1E04">
      <w:pPr>
        <w:pStyle w:val="BodyText"/>
      </w:pPr>
      <w:r>
        <w:t>Gerard Black is a proud Worimi Man. After a 10-year career as a tattoo artist, Gerard now focuses on his painting, drawing and digital art. His work reflects his Indigenous background, storytelling and love of nature and draws on his strong design background from tattooing to produce a unique art style. This connects ancient Indigenous art with modern design and medium</w:t>
      </w:r>
      <w:r w:rsidR="00521838">
        <w:t>s</w:t>
      </w:r>
      <w:r>
        <w:t>, bringing them together into the future creating a new modern style promoting reconciliation and connection. Every single work of art that Gerard produces has a story connecting the art to a specific place, area or theme</w:t>
      </w:r>
      <w:r w:rsidR="00521838">
        <w:t>;</w:t>
      </w:r>
      <w:r>
        <w:t xml:space="preserve"> every stroke has meaning, and nothing is random.</w:t>
      </w:r>
    </w:p>
    <w:p w14:paraId="12D9DC29" w14:textId="77777777" w:rsidR="00521838" w:rsidRDefault="00521838" w:rsidP="00B62CBA">
      <w:pPr>
        <w:jc w:val="center"/>
        <w:rPr>
          <w:sz w:val="16"/>
          <w:szCs w:val="16"/>
        </w:rPr>
      </w:pPr>
      <w:bookmarkStart w:id="55" w:name="_Ref145185714"/>
    </w:p>
    <w:p w14:paraId="4ADFD9E0" w14:textId="77459825" w:rsidR="00521838" w:rsidRDefault="00370C01" w:rsidP="000F2EC6">
      <w:pPr>
        <w:pStyle w:val="CaptionFigure"/>
      </w:pPr>
      <w:bookmarkStart w:id="56" w:name="_Ref151755753"/>
      <w:bookmarkStart w:id="57" w:name="_Toc156932030"/>
      <w:r>
        <w:lastRenderedPageBreak/>
        <w:t xml:space="preserve">Figure </w:t>
      </w:r>
      <w:r>
        <w:fldChar w:fldCharType="begin"/>
      </w:r>
      <w:r>
        <w:instrText>SEQ Figure \* ARABIC</w:instrText>
      </w:r>
      <w:r>
        <w:fldChar w:fldCharType="separate"/>
      </w:r>
      <w:r w:rsidR="00934D5E">
        <w:rPr>
          <w:noProof/>
        </w:rPr>
        <w:t>3</w:t>
      </w:r>
      <w:r>
        <w:fldChar w:fldCharType="end"/>
      </w:r>
      <w:bookmarkEnd w:id="56"/>
      <w:r w:rsidR="001B6EBA">
        <w:rPr>
          <w:noProof/>
        </w:rPr>
        <w:t>:</w:t>
      </w:r>
      <w:r w:rsidR="00521838" w:rsidRPr="00B62CBA">
        <w:t xml:space="preserve"> Artwork of principles and enablers, designed by Gerard Black (Worimi)</w:t>
      </w:r>
      <w:bookmarkEnd w:id="57"/>
    </w:p>
    <w:bookmarkEnd w:id="55"/>
    <w:p w14:paraId="08B63D12" w14:textId="77777777" w:rsidR="00521838" w:rsidRDefault="00521838" w:rsidP="002F1E04">
      <w:pPr>
        <w:pStyle w:val="BodyText"/>
        <w:jc w:val="center"/>
        <w:rPr>
          <w:sz w:val="16"/>
          <w:szCs w:val="16"/>
        </w:rPr>
      </w:pPr>
      <w:r w:rsidRPr="00B65F7F">
        <w:rPr>
          <w:noProof/>
        </w:rPr>
        <w:drawing>
          <wp:inline distT="0" distB="0" distL="0" distR="0" wp14:anchorId="2B69513E" wp14:editId="60D83E45">
            <wp:extent cx="5495043" cy="7780018"/>
            <wp:effectExtent l="0" t="0" r="4445" b="5715"/>
            <wp:docPr id="1924602597" name="Picture 1924602597" descr="An artwork painted in the style of Aboriginal art shows a central circle, around which are 4 key principles: A. First Nations leadership and community empowerment, B. A First Nation's holistic model, C. A culturally safe and accessible system and D. A strengths-based approach.  Then there are further designed circles, until another circle of 21 elements is seen, representing the 21 enablers. They are  1 – Aboriginal and/or Torres Strait Islander communities lead the process 2 – Place based governance arrangements 3 – Ongoing and accessible feedback mechanisms 4 – Data sovereignty 5 – A true understanding and use of partnerships/co-design 6 – Longer funding cycles  7 – Universal coverage with no geographical gaps 8 – Consolidated and pooled funding  9 – Using Aboriginal and/or Torres Strait Islander’ approach to health 10 – Needs based funding and distribution 11 – Fair and transparent funding decisions 12 – Inclusive funding processes 13 – Flexibility to meet local and unique needs 14 – Outcome-based reporting and KPIs 15 – Consolidated, streamlined reporting 16 – Transparent reporting 17 – Support for the broader Aboriginal and/or Torres Strait Islander workforce 18 – Interagency and jurisdictional collaboration 19 – Enhance the non-Indigenous service sector with cultural safety 20 – Service coordination 21 – No wrong door pol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602597" name="Picture 1924602597" descr="An artwork painted in the style of Aboriginal art shows a central circle, around which are 4 key principles: A. First Nations leadership and community empowerment, B. A First Nation's holistic model, C. A culturally safe and accessible system and D. A strengths-based approach.  Then there are further designed circles, until another circle of 21 elements is seen, representing the 21 enablers. They are  1 – Aboriginal and/or Torres Strait Islander communities lead the process 2 – Place based governance arrangements 3 – Ongoing and accessible feedback mechanisms 4 – Data sovereignty 5 – A true understanding and use of partnerships/co-design 6 – Longer funding cycles  7 – Universal coverage with no geographical gaps 8 – Consolidated and pooled funding  9 – Using Aboriginal and/or Torres Strait Islander’ approach to health 10 – Needs based funding and distribution 11 – Fair and transparent funding decisions 12 – Inclusive funding processes 13 – Flexibility to meet local and unique needs 14 – Outcome-based reporting and KPIs 15 – Consolidated, streamlined reporting 16 – Transparent reporting 17 – Support for the broader Aboriginal and/or Torres Strait Islander workforce 18 – Interagency and jurisdictional collaboration 19 – Enhance the non-Indigenous service sector with cultural safety 20 – Service coordination 21 – No wrong door policy"/>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95043" cy="7780018"/>
                    </a:xfrm>
                    <a:prstGeom prst="rect">
                      <a:avLst/>
                    </a:prstGeom>
                  </pic:spPr>
                </pic:pic>
              </a:graphicData>
            </a:graphic>
          </wp:inline>
        </w:drawing>
      </w:r>
    </w:p>
    <w:p w14:paraId="52519515" w14:textId="77777777" w:rsidR="00521838" w:rsidRDefault="00521838" w:rsidP="00B62CBA">
      <w:pPr>
        <w:jc w:val="center"/>
        <w:rPr>
          <w:sz w:val="16"/>
          <w:szCs w:val="16"/>
        </w:rPr>
      </w:pPr>
      <w:bookmarkStart w:id="58" w:name="_fhwshd4kgic7" w:colFirst="0" w:colLast="0"/>
      <w:bookmarkEnd w:id="58"/>
    </w:p>
    <w:p w14:paraId="1ED133A7" w14:textId="77777777" w:rsidR="000F2EC6" w:rsidRDefault="000F2EC6">
      <w:pPr>
        <w:rPr>
          <w:rFonts w:asciiTheme="majorHAnsi" w:eastAsiaTheme="majorEastAsia" w:hAnsiTheme="majorHAnsi" w:cs="Arial (Headings CS)"/>
          <w:b/>
          <w:bCs/>
          <w:color w:val="0196A7"/>
          <w:sz w:val="22"/>
          <w:lang w:val="en-GB" w:eastAsia="en-US" w:bidi="en-US"/>
        </w:rPr>
      </w:pPr>
      <w:r>
        <w:br w:type="page"/>
      </w:r>
    </w:p>
    <w:p w14:paraId="5AB74C28" w14:textId="35A98331" w:rsidR="00F923B6" w:rsidRPr="00B65F7F" w:rsidRDefault="00F923B6" w:rsidP="002F1E04">
      <w:pPr>
        <w:pStyle w:val="Heading4"/>
      </w:pPr>
      <w:bookmarkStart w:id="59" w:name="_Ref156736580"/>
      <w:r w:rsidRPr="00B65F7F">
        <w:lastRenderedPageBreak/>
        <w:t>Details of the principles</w:t>
      </w:r>
      <w:bookmarkEnd w:id="59"/>
    </w:p>
    <w:p w14:paraId="44F1871A" w14:textId="07A7CF8D" w:rsidR="009A4346" w:rsidRPr="00B65F7F" w:rsidRDefault="000F2EC6" w:rsidP="002F1E04">
      <w:pPr>
        <w:pStyle w:val="BodyText"/>
      </w:pPr>
      <w:r>
        <w:rPr>
          <w:highlight w:val="cyan"/>
        </w:rPr>
        <w:fldChar w:fldCharType="begin"/>
      </w:r>
      <w:r>
        <w:instrText xml:space="preserve"> REF _Ref151755753 \h </w:instrText>
      </w:r>
      <w:r>
        <w:rPr>
          <w:highlight w:val="cyan"/>
        </w:rPr>
      </w:r>
      <w:r>
        <w:rPr>
          <w:highlight w:val="cyan"/>
        </w:rPr>
        <w:fldChar w:fldCharType="separate"/>
      </w:r>
      <w:r w:rsidR="00934D5E">
        <w:t xml:space="preserve">Figure </w:t>
      </w:r>
      <w:r w:rsidR="00934D5E">
        <w:rPr>
          <w:noProof/>
        </w:rPr>
        <w:t>3</w:t>
      </w:r>
      <w:r>
        <w:rPr>
          <w:highlight w:val="cyan"/>
        </w:rPr>
        <w:fldChar w:fldCharType="end"/>
      </w:r>
      <w:r w:rsidR="00524D0D" w:rsidRPr="00B65F7F">
        <w:t xml:space="preserve"> displays </w:t>
      </w:r>
      <w:r w:rsidR="00FC4AEE" w:rsidRPr="00B65F7F">
        <w:t xml:space="preserve">the </w:t>
      </w:r>
      <w:r w:rsidR="001F6807" w:rsidRPr="00B65F7F">
        <w:t>4</w:t>
      </w:r>
      <w:r w:rsidR="00FC4AEE" w:rsidRPr="00B65F7F">
        <w:t xml:space="preserve"> key principles</w:t>
      </w:r>
      <w:r w:rsidR="0031732B" w:rsidRPr="00B65F7F">
        <w:t xml:space="preserve"> for </w:t>
      </w:r>
      <w:r w:rsidR="00E95D8F">
        <w:t xml:space="preserve">the </w:t>
      </w:r>
      <w:r w:rsidR="0031732B" w:rsidRPr="00B65F7F">
        <w:t>future-state funding arrangements</w:t>
      </w:r>
      <w:r w:rsidR="00FC4AEE" w:rsidRPr="00B65F7F" w:rsidDel="001F6807">
        <w:t>:</w:t>
      </w:r>
    </w:p>
    <w:p w14:paraId="00D8D1DB" w14:textId="77777777" w:rsidR="001B57C2" w:rsidRPr="00B65F7F" w:rsidRDefault="00847DC2" w:rsidP="002F1E04">
      <w:pPr>
        <w:pStyle w:val="ListBullet2"/>
        <w:rPr>
          <w:b/>
        </w:rPr>
      </w:pPr>
      <w:bookmarkStart w:id="60" w:name="_Hlk145224511"/>
      <w:r>
        <w:rPr>
          <w:b/>
        </w:rPr>
        <w:t>First Nations</w:t>
      </w:r>
      <w:r w:rsidR="001B57C2" w:rsidRPr="00B65F7F">
        <w:rPr>
          <w:b/>
        </w:rPr>
        <w:t xml:space="preserve"> leadership and community empowerment</w:t>
      </w:r>
      <w:r w:rsidR="00152336" w:rsidRPr="00B65F7F">
        <w:rPr>
          <w:b/>
        </w:rPr>
        <w:t xml:space="preserve"> </w:t>
      </w:r>
      <w:r w:rsidR="00152336" w:rsidRPr="00B65F7F">
        <w:t xml:space="preserve">– This </w:t>
      </w:r>
      <w:r w:rsidR="00FB4FDE" w:rsidRPr="00B65F7F">
        <w:t>prioritises</w:t>
      </w:r>
      <w:r w:rsidR="00152336" w:rsidRPr="00B65F7F">
        <w:t xml:space="preserve"> the active engagement, leadership and decision-making authority of local </w:t>
      </w:r>
      <w:r w:rsidR="0070210F">
        <w:t>Aboriginal and/or Torres Strait Islander</w:t>
      </w:r>
      <w:r w:rsidR="00152336" w:rsidRPr="00B65F7F">
        <w:t xml:space="preserve"> individuals and the community-controlled sector. It </w:t>
      </w:r>
      <w:r w:rsidR="00DA0417">
        <w:t>seeks</w:t>
      </w:r>
      <w:r w:rsidR="00DA0417" w:rsidRPr="00B65F7F">
        <w:t xml:space="preserve"> </w:t>
      </w:r>
      <w:r w:rsidR="00152336" w:rsidRPr="00B65F7F">
        <w:t xml:space="preserve">to enable </w:t>
      </w:r>
      <w:r w:rsidR="0070210F">
        <w:t>Aboriginal and/or Torres Strait Islander</w:t>
      </w:r>
      <w:r w:rsidR="00994265">
        <w:t xml:space="preserve"> </w:t>
      </w:r>
      <w:r w:rsidR="00994265" w:rsidRPr="00B65F7F">
        <w:t>individuals and the community-controlled sector</w:t>
      </w:r>
      <w:r w:rsidR="00152336" w:rsidRPr="00B65F7F">
        <w:t xml:space="preserve"> to shape, coordinate, manage and govern health services and programs that directly affect their communities, thereby fostering a place-based approach. This approach acknowledges and respects the distinct cultural and historical backgrounds of </w:t>
      </w:r>
      <w:r w:rsidR="0070210F">
        <w:t>Aboriginal and/or Torres Strait Islander</w:t>
      </w:r>
      <w:r w:rsidR="00152336" w:rsidRPr="00B65F7F">
        <w:t xml:space="preserve"> peoples, while emphasi</w:t>
      </w:r>
      <w:r w:rsidR="00F976CF" w:rsidRPr="00B65F7F">
        <w:t>s</w:t>
      </w:r>
      <w:r w:rsidR="00152336" w:rsidRPr="00B65F7F">
        <w:t>ing the significance of self-determination, community control and cultural safety in achieving improved health outcomes.</w:t>
      </w:r>
    </w:p>
    <w:p w14:paraId="18F77722" w14:textId="77777777" w:rsidR="001B57C2" w:rsidRPr="00B65F7F" w:rsidRDefault="001B57C2" w:rsidP="002F1E04">
      <w:pPr>
        <w:pStyle w:val="ListBullet2"/>
      </w:pPr>
      <w:r w:rsidRPr="00B65F7F">
        <w:rPr>
          <w:b/>
        </w:rPr>
        <w:t>A First Nation</w:t>
      </w:r>
      <w:r w:rsidR="001D568A" w:rsidRPr="00B65F7F">
        <w:rPr>
          <w:b/>
        </w:rPr>
        <w:t>’</w:t>
      </w:r>
      <w:r w:rsidRPr="00B65F7F">
        <w:rPr>
          <w:b/>
        </w:rPr>
        <w:t>s holistic model</w:t>
      </w:r>
      <w:r w:rsidR="005E0760" w:rsidRPr="00B65F7F">
        <w:t xml:space="preserve"> </w:t>
      </w:r>
      <w:r w:rsidR="001D568A" w:rsidRPr="00B65F7F">
        <w:t>–</w:t>
      </w:r>
      <w:r w:rsidR="005E0760" w:rsidRPr="00B65F7F">
        <w:t xml:space="preserve"> </w:t>
      </w:r>
      <w:r w:rsidR="00DA0417">
        <w:t>A</w:t>
      </w:r>
      <w:r w:rsidR="00DA0417" w:rsidRPr="00B65F7F">
        <w:t xml:space="preserve"> </w:t>
      </w:r>
      <w:r w:rsidR="005E0760" w:rsidRPr="00B65F7F">
        <w:t xml:space="preserve">holistic model underscores the importance of connecting the physical, mental, social, emotional and spiritual dimensions of health and wellbeing to promote </w:t>
      </w:r>
      <w:r w:rsidR="00B65F7F">
        <w:t>preventive</w:t>
      </w:r>
      <w:r w:rsidR="005E0760" w:rsidRPr="00B65F7F">
        <w:t xml:space="preserve"> and comprehensive care. Rooted in traditional Indigenous wisdom and practices, this approach places a strong emphasis on prevention rather than solely focusing on treatment. </w:t>
      </w:r>
      <w:r w:rsidR="00EA01FD" w:rsidRPr="00B65F7F">
        <w:t>A</w:t>
      </w:r>
      <w:r w:rsidR="00A8608C" w:rsidRPr="00B65F7F">
        <w:t xml:space="preserve"> holistic </w:t>
      </w:r>
      <w:r w:rsidR="005E0760" w:rsidRPr="00B65F7F">
        <w:t xml:space="preserve">model </w:t>
      </w:r>
      <w:r w:rsidR="0019172D" w:rsidRPr="00B65F7F">
        <w:t>prioritises</w:t>
      </w:r>
      <w:r w:rsidR="005E0760" w:rsidRPr="00B65F7F">
        <w:t xml:space="preserve"> the values of community, culture and the deep connection to the land as integral elements of overall wellness. It further </w:t>
      </w:r>
      <w:r w:rsidR="003F3A67">
        <w:t>recognises</w:t>
      </w:r>
      <w:r w:rsidR="005E0760" w:rsidRPr="00B65F7F">
        <w:t xml:space="preserve"> the significance of traditional healing methods, cultural protocols and community-driven initiatives in fostering the wellbeing of </w:t>
      </w:r>
      <w:r w:rsidR="0070210F">
        <w:t>Aboriginal and/or Torres Strait Islander</w:t>
      </w:r>
      <w:r w:rsidR="005E0760" w:rsidRPr="00B65F7F">
        <w:t xml:space="preserve"> communities. This model also integrates the concept of </w:t>
      </w:r>
      <w:r w:rsidR="003F3A67">
        <w:t>‘</w:t>
      </w:r>
      <w:r w:rsidR="005E0760" w:rsidRPr="00B65F7F">
        <w:t>joined up services</w:t>
      </w:r>
      <w:r w:rsidR="003F3A67">
        <w:t>’</w:t>
      </w:r>
      <w:r w:rsidR="005E0760" w:rsidRPr="00B65F7F">
        <w:t>, ensuring that healthcare services are coordinated and work together seamlessly to provide comprehensive support for individuals and communities.</w:t>
      </w:r>
    </w:p>
    <w:p w14:paraId="68A20C25" w14:textId="77777777" w:rsidR="00A86FC6" w:rsidRPr="00B65F7F" w:rsidRDefault="00A86FC6" w:rsidP="002F1E04">
      <w:pPr>
        <w:pStyle w:val="ListBullet2"/>
        <w:rPr>
          <w:b/>
        </w:rPr>
      </w:pPr>
      <w:r w:rsidRPr="00B65F7F">
        <w:rPr>
          <w:b/>
        </w:rPr>
        <w:t xml:space="preserve">A culturally safe and accessible system – </w:t>
      </w:r>
      <w:r w:rsidRPr="00B65F7F">
        <w:t xml:space="preserve">A culturally safe and accessible system focuses on delivering services that are culturally safe, free of racism and geared towards enhancing accessibility and outcomes for </w:t>
      </w:r>
      <w:r>
        <w:t>Aboriginal and/or Torres Strait Islander</w:t>
      </w:r>
      <w:r w:rsidRPr="00B65F7F">
        <w:t xml:space="preserve"> peoples. It underscores the importance of backing the </w:t>
      </w:r>
      <w:r>
        <w:t>Aboriginal and/or Torres Strait Islander</w:t>
      </w:r>
      <w:r w:rsidRPr="00B65F7F">
        <w:t xml:space="preserve"> workforce by applying the principles of </w:t>
      </w:r>
      <w:r>
        <w:t>c</w:t>
      </w:r>
      <w:r w:rsidRPr="00B65F7F">
        <w:t xml:space="preserve">ultural </w:t>
      </w:r>
      <w:r>
        <w:t>s</w:t>
      </w:r>
      <w:r w:rsidRPr="00B65F7F">
        <w:t xml:space="preserve">afety throughout the healthcare system. This comprehensive approach acknowledges and confronts the historical, social and cultural determinants that stem from the enduring consequences of </w:t>
      </w:r>
      <w:r>
        <w:t>colonisation</w:t>
      </w:r>
      <w:r w:rsidRPr="00B65F7F">
        <w:t xml:space="preserve"> on </w:t>
      </w:r>
      <w:r>
        <w:t>Aboriginal and/or Torres Strait Islander</w:t>
      </w:r>
      <w:r w:rsidRPr="00B65F7F">
        <w:t xml:space="preserve"> health. By </w:t>
      </w:r>
      <w:r>
        <w:t>prioritising</w:t>
      </w:r>
      <w:r w:rsidRPr="00B65F7F">
        <w:t xml:space="preserve"> cultural safety and inclusivity, it aims to create a healthcare system that respects and empowers </w:t>
      </w:r>
      <w:r>
        <w:t>Aboriginal and/or Torres Strait Islander</w:t>
      </w:r>
      <w:r w:rsidRPr="00B65F7F">
        <w:t xml:space="preserve"> individuals, promoting better access to care and improved health outcomes.</w:t>
      </w:r>
    </w:p>
    <w:p w14:paraId="2BB8E702" w14:textId="77777777" w:rsidR="001B57C2" w:rsidRPr="00B65F7F" w:rsidRDefault="001B57C2" w:rsidP="002F1E04">
      <w:pPr>
        <w:pStyle w:val="ListBullet2"/>
      </w:pPr>
      <w:r w:rsidRPr="00B65F7F">
        <w:rPr>
          <w:b/>
        </w:rPr>
        <w:t xml:space="preserve">A strengths-based approach </w:t>
      </w:r>
      <w:r w:rsidR="001D568A" w:rsidRPr="00B65F7F">
        <w:t>–</w:t>
      </w:r>
      <w:r w:rsidR="00436D13" w:rsidRPr="00B65F7F">
        <w:t xml:space="preserve"> </w:t>
      </w:r>
      <w:r w:rsidR="00B1279B" w:rsidRPr="00B65F7F">
        <w:t>A</w:t>
      </w:r>
      <w:r w:rsidR="00436D13" w:rsidRPr="00B65F7F">
        <w:t xml:space="preserve"> strengths-based approach leverages the inherent strengths and resources in </w:t>
      </w:r>
      <w:r w:rsidR="0070210F">
        <w:t>Aboriginal and/or Torres Strait Islander</w:t>
      </w:r>
      <w:r w:rsidR="00436D13" w:rsidRPr="00B65F7F">
        <w:t xml:space="preserve"> communities to bolster the capability and capacity of local infrastructure and individuals in addressing the healthcare requirements of their communities. This approach is grounded in the empowerment of </w:t>
      </w:r>
      <w:r w:rsidR="0070210F">
        <w:t>Aboriginal and/or Torres Strait Islander</w:t>
      </w:r>
      <w:r w:rsidR="00436D13" w:rsidRPr="00B65F7F">
        <w:t xml:space="preserve"> community members, encouraging their active participation in the delivery of programs and services. It places significant value on the wealth of cultural knowledge in the local community and promotes collaborative efforts with existing community members and </w:t>
      </w:r>
      <w:r w:rsidR="003F3A67">
        <w:t>organisations</w:t>
      </w:r>
      <w:r w:rsidR="00436D13" w:rsidRPr="00B65F7F">
        <w:t xml:space="preserve">. This collaboration aims to cultivate culturally safe and sustainable healthcare programs and services, ensuring that they are both respectful of and beneficial to the unique needs and aspirations of </w:t>
      </w:r>
      <w:r w:rsidR="0070210F">
        <w:t>Aboriginal and/or Torres Strait Islander</w:t>
      </w:r>
      <w:r w:rsidR="00436D13" w:rsidRPr="00B65F7F">
        <w:t xml:space="preserve"> communities.</w:t>
      </w:r>
    </w:p>
    <w:bookmarkEnd w:id="60"/>
    <w:p w14:paraId="6F8307BF" w14:textId="7D0A6F27" w:rsidR="001F31A6" w:rsidRPr="00B65F7F" w:rsidRDefault="009D7F41" w:rsidP="002F1E04">
      <w:pPr>
        <w:pStyle w:val="BodyText1stparaafterlist"/>
      </w:pPr>
      <w:r w:rsidRPr="00B65F7F">
        <w:t xml:space="preserve">Complementing </w:t>
      </w:r>
      <w:r w:rsidRPr="00B65F7F">
        <w:rPr>
          <w:szCs w:val="24"/>
        </w:rPr>
        <w:t xml:space="preserve">the </w:t>
      </w:r>
      <w:r w:rsidR="003F3A67">
        <w:rPr>
          <w:szCs w:val="24"/>
        </w:rPr>
        <w:t>4</w:t>
      </w:r>
      <w:r w:rsidRPr="00B65F7F">
        <w:rPr>
          <w:szCs w:val="24"/>
        </w:rPr>
        <w:t xml:space="preserve"> principles</w:t>
      </w:r>
      <w:r w:rsidR="00640D3A" w:rsidRPr="00B65F7F">
        <w:t xml:space="preserve"> </w:t>
      </w:r>
      <w:r w:rsidR="00973E0C" w:rsidRPr="00B65F7F">
        <w:t>are the following concepts</w:t>
      </w:r>
      <w:r w:rsidR="0050150A" w:rsidRPr="00B65F7F">
        <w:t xml:space="preserve">, which </w:t>
      </w:r>
      <w:r w:rsidR="00A1510D" w:rsidRPr="00B65F7F">
        <w:t xml:space="preserve">are </w:t>
      </w:r>
      <w:r w:rsidR="007E3AC8" w:rsidRPr="00B65F7F">
        <w:t xml:space="preserve">represented </w:t>
      </w:r>
      <w:r w:rsidR="00146ECE">
        <w:t xml:space="preserve">by the artist’s imagery </w:t>
      </w:r>
      <w:r w:rsidR="007E3AC8" w:rsidRPr="00B65F7F">
        <w:t xml:space="preserve">in </w:t>
      </w:r>
      <w:r w:rsidR="00A86FC6">
        <w:rPr>
          <w:highlight w:val="cyan"/>
        </w:rPr>
        <w:fldChar w:fldCharType="begin"/>
      </w:r>
      <w:r w:rsidR="00A86FC6">
        <w:instrText xml:space="preserve"> REF _Ref151755753 \h </w:instrText>
      </w:r>
      <w:r w:rsidR="00A86FC6">
        <w:rPr>
          <w:highlight w:val="cyan"/>
        </w:rPr>
      </w:r>
      <w:r w:rsidR="00A86FC6">
        <w:rPr>
          <w:highlight w:val="cyan"/>
        </w:rPr>
        <w:fldChar w:fldCharType="separate"/>
      </w:r>
      <w:r w:rsidR="00934D5E">
        <w:t xml:space="preserve">Figure </w:t>
      </w:r>
      <w:r w:rsidR="00934D5E">
        <w:rPr>
          <w:noProof/>
        </w:rPr>
        <w:t>3</w:t>
      </w:r>
      <w:r w:rsidR="00A86FC6">
        <w:rPr>
          <w:highlight w:val="cyan"/>
        </w:rPr>
        <w:fldChar w:fldCharType="end"/>
      </w:r>
      <w:r w:rsidR="007E3AC8" w:rsidRPr="00B65F7F">
        <w:t>. The</w:t>
      </w:r>
      <w:r w:rsidR="0086397E">
        <w:t>se</w:t>
      </w:r>
      <w:r w:rsidR="007E3AC8" w:rsidRPr="00B65F7F">
        <w:t xml:space="preserve"> concepts show</w:t>
      </w:r>
      <w:r w:rsidR="00B57A3A" w:rsidRPr="00B65F7F">
        <w:t xml:space="preserve"> how</w:t>
      </w:r>
      <w:r w:rsidR="001F31A6" w:rsidRPr="00B65F7F">
        <w:t xml:space="preserve"> the principles</w:t>
      </w:r>
      <w:r w:rsidR="00B57A3A" w:rsidRPr="00B65F7F">
        <w:t xml:space="preserve"> (and ultimately the future</w:t>
      </w:r>
      <w:r w:rsidR="003F3A67">
        <w:t>-state</w:t>
      </w:r>
      <w:r w:rsidR="00B57A3A" w:rsidRPr="00B65F7F">
        <w:t xml:space="preserve"> funding arrangements) should be applied in practice:</w:t>
      </w:r>
    </w:p>
    <w:p w14:paraId="10CD2A4B" w14:textId="77777777" w:rsidR="00FB3DDB" w:rsidRPr="00B65F7F" w:rsidRDefault="00B57A3A" w:rsidP="002F1E04">
      <w:pPr>
        <w:pStyle w:val="ListBullet2"/>
      </w:pPr>
      <w:r w:rsidRPr="00B65F7F">
        <w:rPr>
          <w:b/>
        </w:rPr>
        <w:t>Community accountability:</w:t>
      </w:r>
      <w:r w:rsidRPr="00B65F7F">
        <w:t xml:space="preserve"> </w:t>
      </w:r>
      <w:r w:rsidR="001F31A6" w:rsidRPr="00B65F7F">
        <w:t xml:space="preserve">Any </w:t>
      </w:r>
      <w:r w:rsidR="00FB0A9F" w:rsidRPr="00B65F7F">
        <w:t>future</w:t>
      </w:r>
      <w:r w:rsidR="00F319E4">
        <w:t>-state</w:t>
      </w:r>
      <w:r w:rsidR="00FB0A9F" w:rsidRPr="00B65F7F">
        <w:t xml:space="preserve"> funding arrangements</w:t>
      </w:r>
      <w:r w:rsidR="001F31A6" w:rsidRPr="00B65F7F">
        <w:t xml:space="preserve"> that support </w:t>
      </w:r>
      <w:r w:rsidR="0070210F">
        <w:t>Aboriginal and/or Torres Strait Islander</w:t>
      </w:r>
      <w:r w:rsidR="001F31A6" w:rsidRPr="00B65F7F">
        <w:t xml:space="preserve"> peoples must be </w:t>
      </w:r>
      <w:r w:rsidR="00816E7B" w:rsidRPr="00B65F7F">
        <w:t>accountable to the community</w:t>
      </w:r>
      <w:r w:rsidR="00F319E4">
        <w:t>.</w:t>
      </w:r>
    </w:p>
    <w:p w14:paraId="29DC351F" w14:textId="77777777" w:rsidR="0052468C" w:rsidRPr="00B65F7F" w:rsidRDefault="00FB0A9F" w:rsidP="002F1E04">
      <w:pPr>
        <w:pStyle w:val="ListBullet2"/>
      </w:pPr>
      <w:r w:rsidRPr="00B65F7F">
        <w:rPr>
          <w:b/>
        </w:rPr>
        <w:t xml:space="preserve">Inclusive of diversity: </w:t>
      </w:r>
      <w:r w:rsidRPr="00B65F7F">
        <w:t>Any future</w:t>
      </w:r>
      <w:r w:rsidR="00F319E4">
        <w:t>-state</w:t>
      </w:r>
      <w:r w:rsidRPr="00B65F7F">
        <w:t xml:space="preserve"> funding arrangements must </w:t>
      </w:r>
      <w:r w:rsidR="00C84680" w:rsidRPr="00B65F7F">
        <w:t>acknowledge</w:t>
      </w:r>
      <w:r w:rsidR="00816E7B" w:rsidRPr="00B65F7F">
        <w:t xml:space="preserve"> the diversity of Aboriginal and/or Torres Strait Islander people</w:t>
      </w:r>
      <w:r w:rsidRPr="00B65F7F">
        <w:t xml:space="preserve">, recognising that </w:t>
      </w:r>
      <w:r w:rsidR="0070210F">
        <w:t>Aboriginal and/or Torres Strait Islander</w:t>
      </w:r>
      <w:r w:rsidRPr="00B65F7F">
        <w:t xml:space="preserve"> peoples are not homogenous </w:t>
      </w:r>
      <w:r w:rsidR="008B6ABD" w:rsidRPr="00B65F7F">
        <w:t xml:space="preserve">and </w:t>
      </w:r>
      <w:r w:rsidR="00F319E4">
        <w:t>have</w:t>
      </w:r>
      <w:r w:rsidR="008B6ABD" w:rsidRPr="00B65F7F" w:rsidDel="00F319E4">
        <w:t xml:space="preserve"> </w:t>
      </w:r>
      <w:r w:rsidR="008B6ABD" w:rsidRPr="00B65F7F">
        <w:t>differ</w:t>
      </w:r>
      <w:r w:rsidR="00F319E4">
        <w:t>ing needs</w:t>
      </w:r>
      <w:r w:rsidR="008B6ABD" w:rsidRPr="00B65F7F">
        <w:t xml:space="preserve"> based on geography, historical constructs </w:t>
      </w:r>
      <w:r w:rsidR="0052468C" w:rsidRPr="00B65F7F">
        <w:t>and culture</w:t>
      </w:r>
      <w:r w:rsidR="00F319E4">
        <w:t>.</w:t>
      </w:r>
      <w:r w:rsidR="0052468C" w:rsidRPr="00B65F7F">
        <w:t xml:space="preserve"> </w:t>
      </w:r>
    </w:p>
    <w:p w14:paraId="7FEEB0BD" w14:textId="77777777" w:rsidR="00C50952" w:rsidRPr="00A86FC6" w:rsidRDefault="003F7B5D" w:rsidP="002F1E04">
      <w:pPr>
        <w:pStyle w:val="ListBullet2"/>
      </w:pPr>
      <w:r w:rsidRPr="00B65F7F">
        <w:rPr>
          <w:b/>
        </w:rPr>
        <w:lastRenderedPageBreak/>
        <w:t>Prioritising prevention:</w:t>
      </w:r>
      <w:r w:rsidRPr="00B65F7F">
        <w:t xml:space="preserve"> </w:t>
      </w:r>
      <w:r w:rsidR="00733490" w:rsidRPr="00B65F7F">
        <w:t>Any future</w:t>
      </w:r>
      <w:r w:rsidR="00F319E4">
        <w:t>-state</w:t>
      </w:r>
      <w:r w:rsidR="00733490" w:rsidRPr="00B65F7F">
        <w:t xml:space="preserve"> funding arrangements must focus on prevention as well as interventions that support the health and wellbeing of </w:t>
      </w:r>
      <w:r w:rsidR="0070210F">
        <w:t>Aboriginal and/or Torres Strait Islander</w:t>
      </w:r>
      <w:r w:rsidR="00733490" w:rsidRPr="00B65F7F">
        <w:t xml:space="preserve"> peoples. It is only by doing so that the arrangements enable holistic care.</w:t>
      </w:r>
      <w:r w:rsidR="00816E7B" w:rsidRPr="00B65F7F">
        <w:t xml:space="preserve"> </w:t>
      </w:r>
    </w:p>
    <w:p w14:paraId="02FF31A2" w14:textId="5772703E" w:rsidR="00F923B6" w:rsidRPr="00B65F7F" w:rsidRDefault="006142C0" w:rsidP="002F1E04">
      <w:pPr>
        <w:pStyle w:val="Heading2"/>
      </w:pPr>
      <w:bookmarkStart w:id="61" w:name="_80fa1e8yrwlm" w:colFirst="0" w:colLast="0"/>
      <w:bookmarkStart w:id="62" w:name="_Toc156932004"/>
      <w:bookmarkEnd w:id="61"/>
      <w:r>
        <w:t>Recommended</w:t>
      </w:r>
      <w:r w:rsidR="0071044F">
        <w:t xml:space="preserve"> </w:t>
      </w:r>
      <w:r w:rsidR="00A86FC6">
        <w:t>f</w:t>
      </w:r>
      <w:r w:rsidR="00FA2807" w:rsidRPr="00FA2807">
        <w:t>uture</w:t>
      </w:r>
      <w:r w:rsidR="00A86FC6">
        <w:t>-s</w:t>
      </w:r>
      <w:r w:rsidR="00FA2807" w:rsidRPr="00FA2807">
        <w:t xml:space="preserve">tate </w:t>
      </w:r>
      <w:r w:rsidR="00A86FC6">
        <w:t>f</w:t>
      </w:r>
      <w:r w:rsidR="00FA2807" w:rsidRPr="00FA2807">
        <w:t xml:space="preserve">unding </w:t>
      </w:r>
      <w:r w:rsidR="00A86FC6">
        <w:t>a</w:t>
      </w:r>
      <w:r w:rsidR="00FA2807" w:rsidRPr="00FA2807">
        <w:t>rrangements</w:t>
      </w:r>
      <w:bookmarkEnd w:id="62"/>
    </w:p>
    <w:p w14:paraId="131FC7C8" w14:textId="0C4FC1D5" w:rsidR="00F923B6" w:rsidRPr="00B65F7F" w:rsidRDefault="00F923B6" w:rsidP="003E4DFA">
      <w:pPr>
        <w:pStyle w:val="Heading3"/>
      </w:pPr>
      <w:bookmarkStart w:id="63" w:name="_93abk1k39vkf" w:colFirst="0" w:colLast="0"/>
      <w:bookmarkEnd w:id="63"/>
      <w:r w:rsidRPr="001B6EBA">
        <w:t xml:space="preserve">About the </w:t>
      </w:r>
      <w:r w:rsidR="006E2D63" w:rsidRPr="001B6EBA">
        <w:t>recommended future-state</w:t>
      </w:r>
      <w:r w:rsidRPr="001B6EBA">
        <w:t xml:space="preserve"> </w:t>
      </w:r>
      <w:r w:rsidR="00192B5A" w:rsidRPr="001B6EBA">
        <w:t>f</w:t>
      </w:r>
      <w:r w:rsidRPr="001B6EBA">
        <w:t xml:space="preserve">unding </w:t>
      </w:r>
      <w:r w:rsidR="00192B5A" w:rsidRPr="001B6EBA">
        <w:t>a</w:t>
      </w:r>
      <w:r w:rsidRPr="001B6EBA">
        <w:t>rr</w:t>
      </w:r>
      <w:r w:rsidRPr="00B65F7F">
        <w:t xml:space="preserve">angements </w:t>
      </w:r>
    </w:p>
    <w:p w14:paraId="453FF26A" w14:textId="6E5E764F" w:rsidR="00287110" w:rsidRDefault="00D21DD6" w:rsidP="003E4DFA">
      <w:pPr>
        <w:pStyle w:val="BodyText"/>
      </w:pPr>
      <w:r w:rsidRPr="00B65F7F">
        <w:t>A</w:t>
      </w:r>
      <w:r w:rsidRPr="00287110">
        <w:t xml:space="preserve">s detailed in </w:t>
      </w:r>
      <w:r w:rsidR="0002261D">
        <w:fldChar w:fldCharType="begin"/>
      </w:r>
      <w:r w:rsidR="0002261D">
        <w:instrText xml:space="preserve"> REF Chapter2_withtitle \w \h </w:instrText>
      </w:r>
      <w:r w:rsidR="0002261D">
        <w:fldChar w:fldCharType="separate"/>
      </w:r>
      <w:r w:rsidR="00934D5E">
        <w:t>Chapter 2</w:t>
      </w:r>
      <w:r w:rsidR="0002261D">
        <w:fldChar w:fldCharType="end"/>
      </w:r>
      <w:r w:rsidR="00D6464B">
        <w:t>,</w:t>
      </w:r>
      <w:r w:rsidRPr="00287110">
        <w:t xml:space="preserve"> stake</w:t>
      </w:r>
      <w:r w:rsidRPr="00B65F7F">
        <w:t xml:space="preserve">holders reflected on how best to give practical effect to the </w:t>
      </w:r>
      <w:r w:rsidR="002561B1" w:rsidRPr="00B65F7F">
        <w:t xml:space="preserve">principles for </w:t>
      </w:r>
      <w:r w:rsidR="00463D4D">
        <w:t>the</w:t>
      </w:r>
      <w:r w:rsidR="002561B1" w:rsidRPr="00B65F7F">
        <w:t xml:space="preserve"> future-state funding arrangements</w:t>
      </w:r>
      <w:r w:rsidRPr="00B65F7F">
        <w:t xml:space="preserve">. </w:t>
      </w:r>
      <w:r w:rsidR="00FC2264" w:rsidRPr="00B65F7F">
        <w:t xml:space="preserve">In doing so, </w:t>
      </w:r>
      <w:r w:rsidR="009A219C" w:rsidRPr="00B65F7F">
        <w:t>the majority of stakeholders (</w:t>
      </w:r>
      <w:r w:rsidR="00303557" w:rsidRPr="00B65F7F">
        <w:t xml:space="preserve">as determined by consensus) </w:t>
      </w:r>
      <w:r w:rsidR="00796E36">
        <w:t xml:space="preserve">and the Review Team </w:t>
      </w:r>
      <w:r w:rsidR="00AD0C56">
        <w:t>(</w:t>
      </w:r>
      <w:r w:rsidR="00796E36">
        <w:t>via the analysis conducted</w:t>
      </w:r>
      <w:r w:rsidR="00AD0C56">
        <w:t xml:space="preserve">) </w:t>
      </w:r>
      <w:r w:rsidR="00303557" w:rsidRPr="00B65F7F">
        <w:t xml:space="preserve">identified that </w:t>
      </w:r>
      <w:r w:rsidR="00C3043A">
        <w:t>one</w:t>
      </w:r>
      <w:r w:rsidR="00C270F0" w:rsidRPr="00B65F7F">
        <w:t xml:space="preserve"> arrangement</w:t>
      </w:r>
      <w:r w:rsidR="00184D0B">
        <w:t xml:space="preserve"> – Arrangement A, being a </w:t>
      </w:r>
      <w:r w:rsidR="00236956">
        <w:t>catchment</w:t>
      </w:r>
      <w:r w:rsidR="00184D0B">
        <w:t>-based funding arrangement –</w:t>
      </w:r>
      <w:r w:rsidR="00C270F0" w:rsidRPr="00B65F7F">
        <w:t xml:space="preserve"> </w:t>
      </w:r>
      <w:r w:rsidR="0094674A" w:rsidRPr="00B65F7F">
        <w:t xml:space="preserve">represented the most appropriate </w:t>
      </w:r>
      <w:r w:rsidR="009E7D42" w:rsidRPr="00B65F7F">
        <w:t>approach</w:t>
      </w:r>
      <w:r w:rsidR="00287110">
        <w:t>.</w:t>
      </w:r>
      <w:r w:rsidR="006A6D45">
        <w:t xml:space="preserve"> </w:t>
      </w:r>
    </w:p>
    <w:p w14:paraId="4143A42D" w14:textId="0A256BE0" w:rsidR="00236956" w:rsidRPr="006142C0" w:rsidRDefault="00236956" w:rsidP="003E4DFA">
      <w:pPr>
        <w:pStyle w:val="BodyText"/>
      </w:pPr>
      <w:r>
        <w:t xml:space="preserve">Details of the stakeholder preferences on each arrangement and an assessment of the likelihood of benefits of each arrangement </w:t>
      </w:r>
      <w:r w:rsidR="00AD032F" w:rsidRPr="00EB6234">
        <w:t>are</w:t>
      </w:r>
      <w:r w:rsidRPr="00EB6234">
        <w:t xml:space="preserve"> provided in </w:t>
      </w:r>
      <w:r w:rsidR="00EB6234" w:rsidRPr="00EB6234">
        <w:fldChar w:fldCharType="begin"/>
      </w:r>
      <w:r w:rsidR="00EB6234" w:rsidRPr="00EB6234">
        <w:instrText xml:space="preserve"> REF App12_notitle \h </w:instrText>
      </w:r>
      <w:r w:rsidR="00EB6234">
        <w:instrText xml:space="preserve"> \* MERGEFORMAT </w:instrText>
      </w:r>
      <w:r w:rsidR="00EB6234" w:rsidRPr="00EB6234">
        <w:fldChar w:fldCharType="separate"/>
      </w:r>
      <w:r w:rsidR="00934D5E" w:rsidRPr="003D7C4D">
        <w:t>Appendix 12</w:t>
      </w:r>
      <w:r w:rsidR="00EB6234" w:rsidRPr="00EB6234">
        <w:fldChar w:fldCharType="end"/>
      </w:r>
      <w:r w:rsidRPr="00EB6234">
        <w:t>.</w:t>
      </w:r>
      <w:r>
        <w:t xml:space="preserve"> </w:t>
      </w:r>
    </w:p>
    <w:p w14:paraId="5AFE19C1" w14:textId="77777777" w:rsidR="00236956" w:rsidRDefault="00236956" w:rsidP="003E4DFA">
      <w:pPr>
        <w:pStyle w:val="BodyText"/>
      </w:pPr>
      <w:r>
        <w:t>A</w:t>
      </w:r>
      <w:r w:rsidRPr="00287110">
        <w:t xml:space="preserve">rrangement A </w:t>
      </w:r>
      <w:r>
        <w:t xml:space="preserve">has 2 </w:t>
      </w:r>
      <w:r w:rsidRPr="00287110">
        <w:t xml:space="preserve">variations, A1 and A2. </w:t>
      </w:r>
      <w:r w:rsidRPr="478E4403">
        <w:t>Th</w:t>
      </w:r>
      <w:r>
        <w:t>e reason for the 2 variations forming part of Arrangement A reflects</w:t>
      </w:r>
      <w:r w:rsidRPr="478E4403">
        <w:t xml:space="preserve"> </w:t>
      </w:r>
      <w:r>
        <w:t xml:space="preserve">differences in what stakeholders across the country consider appropriate organisations and, therefore, catchments or responsibilities to administer funds </w:t>
      </w:r>
      <w:r w:rsidR="00583467">
        <w:t>for the Relevant Health Programs</w:t>
      </w:r>
      <w:r>
        <w:t xml:space="preserve">. </w:t>
      </w:r>
      <w:r w:rsidRPr="478E4403">
        <w:t xml:space="preserve">For example, some stakeholders viewed </w:t>
      </w:r>
      <w:r>
        <w:t>organisations representing</w:t>
      </w:r>
      <w:r w:rsidRPr="478E4403">
        <w:t xml:space="preserve"> entire state</w:t>
      </w:r>
      <w:r w:rsidR="00583467">
        <w:t>s</w:t>
      </w:r>
      <w:r w:rsidRPr="478E4403">
        <w:t xml:space="preserve"> or territor</w:t>
      </w:r>
      <w:r>
        <w:t>ies</w:t>
      </w:r>
      <w:r w:rsidRPr="478E4403">
        <w:t xml:space="preserve"> </w:t>
      </w:r>
      <w:r>
        <w:t>as appropriate to administer the funding arrangements</w:t>
      </w:r>
      <w:r w:rsidRPr="478E4403">
        <w:t xml:space="preserve"> via a single funding arrangement (A1), while other</w:t>
      </w:r>
      <w:r>
        <w:t xml:space="preserve">s viewed smaller geographic regions as being more localised, </w:t>
      </w:r>
      <w:r w:rsidRPr="478E4403">
        <w:t>requiring a more targeted (localised and/or place-based) arrangement (A2)</w:t>
      </w:r>
      <w:r>
        <w:t xml:space="preserve">. </w:t>
      </w:r>
    </w:p>
    <w:p w14:paraId="612EDEEC" w14:textId="77777777" w:rsidR="006955D7" w:rsidRPr="00B65F7F" w:rsidRDefault="00796E36" w:rsidP="003E4DFA">
      <w:pPr>
        <w:pStyle w:val="BodyText"/>
      </w:pPr>
      <w:r>
        <w:t>The 2 variations of Arrangement A are summarised below:</w:t>
      </w:r>
      <w:r w:rsidR="000B479E">
        <w:t xml:space="preserve"> </w:t>
      </w:r>
    </w:p>
    <w:p w14:paraId="5E2AED75" w14:textId="77777777" w:rsidR="000D739F" w:rsidRPr="000D739F" w:rsidRDefault="000D739F" w:rsidP="003E4DFA">
      <w:pPr>
        <w:pStyle w:val="ListBullet2"/>
        <w:rPr>
          <w:b/>
        </w:rPr>
      </w:pPr>
      <w:r w:rsidRPr="000D739F">
        <w:rPr>
          <w:b/>
        </w:rPr>
        <w:t xml:space="preserve">Arrangement A1 – State/territory model: </w:t>
      </w:r>
      <w:r w:rsidRPr="000D739F">
        <w:t xml:space="preserve">Involves an Aboriginal and/or Torres Strait Islander community-controlled body at a </w:t>
      </w:r>
      <w:r w:rsidRPr="000D739F">
        <w:rPr>
          <w:b/>
        </w:rPr>
        <w:t>state/territory level</w:t>
      </w:r>
      <w:r w:rsidRPr="000D739F">
        <w:t xml:space="preserve"> administering the Relevant Health Programs as the funding body for their state/territory catchment</w:t>
      </w:r>
    </w:p>
    <w:p w14:paraId="2FE486A9" w14:textId="77777777" w:rsidR="000D739F" w:rsidRPr="000D739F" w:rsidRDefault="000D739F" w:rsidP="003E4DFA">
      <w:pPr>
        <w:pStyle w:val="ListBullet2"/>
        <w:rPr>
          <w:b/>
        </w:rPr>
      </w:pPr>
      <w:r w:rsidRPr="000D739F">
        <w:rPr>
          <w:b/>
        </w:rPr>
        <w:t xml:space="preserve">Arrangement A2 – Regional model: </w:t>
      </w:r>
      <w:r w:rsidRPr="000D739F">
        <w:t xml:space="preserve">Involves an Aboriginal and/or Torres Strait Islander community-controlled body at the </w:t>
      </w:r>
      <w:r w:rsidRPr="000D739F">
        <w:rPr>
          <w:b/>
        </w:rPr>
        <w:t>regional</w:t>
      </w:r>
      <w:r w:rsidRPr="000D739F">
        <w:t xml:space="preserve"> </w:t>
      </w:r>
      <w:r w:rsidRPr="000D739F">
        <w:rPr>
          <w:b/>
        </w:rPr>
        <w:t>level</w:t>
      </w:r>
      <w:r w:rsidRPr="000D739F">
        <w:t xml:space="preserve"> administering the Relevant Health Programs as the funding body for their regional catchment</w:t>
      </w:r>
    </w:p>
    <w:p w14:paraId="6D0EBD1C" w14:textId="3406E695" w:rsidR="00DC40D8" w:rsidRPr="00B65F7F" w:rsidRDefault="00DC40D8" w:rsidP="00DC40D8">
      <w:pPr>
        <w:pStyle w:val="CaptionBox"/>
        <w:rPr>
          <w:bCs w:val="0"/>
        </w:rPr>
      </w:pPr>
      <w:bookmarkStart w:id="64" w:name="_Toc156932053"/>
      <w:r w:rsidRPr="00B65F7F">
        <w:t xml:space="preserve">Box </w:t>
      </w:r>
      <w:r w:rsidRPr="00B65F7F">
        <w:fldChar w:fldCharType="begin"/>
      </w:r>
      <w:r w:rsidRPr="00B65F7F">
        <w:instrText xml:space="preserve"> SEQ Box \* ARABIC </w:instrText>
      </w:r>
      <w:r w:rsidRPr="00B65F7F">
        <w:fldChar w:fldCharType="separate"/>
      </w:r>
      <w:r w:rsidR="00934D5E">
        <w:rPr>
          <w:noProof/>
        </w:rPr>
        <w:t>6</w:t>
      </w:r>
      <w:r w:rsidRPr="00B65F7F">
        <w:fldChar w:fldCharType="end"/>
      </w:r>
      <w:r w:rsidRPr="00B65F7F">
        <w:t xml:space="preserve">: Self-determining the application of </w:t>
      </w:r>
      <w:r>
        <w:t>p</w:t>
      </w:r>
      <w:r w:rsidRPr="00B65F7F">
        <w:t xml:space="preserve">referred </w:t>
      </w:r>
      <w:r>
        <w:t>f</w:t>
      </w:r>
      <w:r w:rsidRPr="00B65F7F">
        <w:t>uture-</w:t>
      </w:r>
      <w:r>
        <w:t>s</w:t>
      </w:r>
      <w:r w:rsidRPr="00B65F7F">
        <w:t xml:space="preserve">tate </w:t>
      </w:r>
      <w:r>
        <w:t>f</w:t>
      </w:r>
      <w:r w:rsidRPr="00B65F7F">
        <w:t xml:space="preserve">unding </w:t>
      </w:r>
      <w:r>
        <w:t>a</w:t>
      </w:r>
      <w:r w:rsidRPr="00B65F7F">
        <w:t>rrangements</w:t>
      </w:r>
      <w:bookmarkEnd w:id="64"/>
    </w:p>
    <w:tbl>
      <w:tblPr>
        <w:tblStyle w:val="NintiBox"/>
        <w:tblW w:w="9634" w:type="dxa"/>
        <w:tblLook w:val="04A0" w:firstRow="1" w:lastRow="0" w:firstColumn="1" w:lastColumn="0" w:noHBand="0" w:noVBand="1"/>
      </w:tblPr>
      <w:tblGrid>
        <w:gridCol w:w="9634"/>
      </w:tblGrid>
      <w:tr w:rsidR="0099279E" w:rsidRPr="00B65F7F" w14:paraId="675C7242" w14:textId="77777777" w:rsidTr="0005256F">
        <w:tc>
          <w:tcPr>
            <w:tcW w:w="9634" w:type="dxa"/>
            <w:shd w:val="clear" w:color="auto" w:fill="F2F2F2"/>
          </w:tcPr>
          <w:p w14:paraId="6979D275" w14:textId="77777777" w:rsidR="00840B6C" w:rsidRPr="00B65F7F" w:rsidRDefault="00840B6C" w:rsidP="003E4DFA">
            <w:pPr>
              <w:pStyle w:val="BodyText"/>
            </w:pPr>
            <w:r w:rsidRPr="00B65F7F">
              <w:t xml:space="preserve">The </w:t>
            </w:r>
            <w:r w:rsidR="00184D0B">
              <w:t>recommended</w:t>
            </w:r>
            <w:r w:rsidR="008214FB" w:rsidRPr="00B65F7F">
              <w:t xml:space="preserve"> future-state funding </w:t>
            </w:r>
            <w:r w:rsidRPr="00B65F7F">
              <w:t xml:space="preserve">arrangements </w:t>
            </w:r>
            <w:r w:rsidR="008F178F" w:rsidRPr="00B65F7F">
              <w:t xml:space="preserve">identify the key parameters for how the arrangements will work in practice. However, the descriptions are not exhaustive. This </w:t>
            </w:r>
            <w:r w:rsidR="00741386" w:rsidRPr="00B65F7F">
              <w:t xml:space="preserve">is because </w:t>
            </w:r>
            <w:r w:rsidR="00886318" w:rsidRPr="00B65F7F">
              <w:t>for</w:t>
            </w:r>
            <w:r w:rsidR="009C19A9" w:rsidRPr="00B65F7F">
              <w:t xml:space="preserve"> the arrangements to be implemented, </w:t>
            </w:r>
            <w:r w:rsidR="00C46C41" w:rsidRPr="00B65F7F">
              <w:t xml:space="preserve">local </w:t>
            </w:r>
            <w:r w:rsidR="00D1146B">
              <w:t>Aboriginal and/or Torres Strait Islander</w:t>
            </w:r>
            <w:r w:rsidR="00AF7416" w:rsidRPr="00B65F7F">
              <w:t xml:space="preserve"> communities, ACCHOs an</w:t>
            </w:r>
            <w:r w:rsidR="00CB6EED" w:rsidRPr="00B65F7F">
              <w:t xml:space="preserve">d other key stakeholders </w:t>
            </w:r>
            <w:r w:rsidR="00C46C41" w:rsidRPr="00B65F7F">
              <w:t xml:space="preserve">will need to refine these to ensure that they are </w:t>
            </w:r>
            <w:r w:rsidR="000502E1" w:rsidRPr="00B65F7F">
              <w:t xml:space="preserve">aligned to the needs, </w:t>
            </w:r>
            <w:r w:rsidR="00886318" w:rsidRPr="00B65F7F">
              <w:t>interests</w:t>
            </w:r>
            <w:r w:rsidR="000502E1" w:rsidRPr="00B65F7F">
              <w:t xml:space="preserve"> and contexts of the community in which they are implemented. Practically, this means that while there </w:t>
            </w:r>
            <w:r w:rsidR="00184D0B">
              <w:t xml:space="preserve">is </w:t>
            </w:r>
            <w:r w:rsidR="004E2688">
              <w:t>a</w:t>
            </w:r>
            <w:r w:rsidR="00184D0B">
              <w:t xml:space="preserve"> recommended </w:t>
            </w:r>
            <w:r w:rsidR="000502E1" w:rsidRPr="00B65F7F">
              <w:t xml:space="preserve">funding arrangement presented in this report, exactly how </w:t>
            </w:r>
            <w:r w:rsidR="00184D0B">
              <w:t xml:space="preserve">it will be </w:t>
            </w:r>
            <w:r w:rsidR="000502E1" w:rsidRPr="00B65F7F">
              <w:t xml:space="preserve">designed, </w:t>
            </w:r>
            <w:r w:rsidR="00886318" w:rsidRPr="00B65F7F">
              <w:t>implemented</w:t>
            </w:r>
            <w:r w:rsidR="000502E1" w:rsidRPr="00B65F7F">
              <w:t xml:space="preserve"> and managed across Australia </w:t>
            </w:r>
            <w:r w:rsidR="004E2688">
              <w:t>may</w:t>
            </w:r>
            <w:r w:rsidR="000502E1" w:rsidRPr="00B65F7F">
              <w:t xml:space="preserve"> need to be different to best reflect the diverse community needs</w:t>
            </w:r>
            <w:r w:rsidR="005A7833">
              <w:t>, priorities</w:t>
            </w:r>
            <w:r w:rsidR="000502E1" w:rsidRPr="00B65F7F">
              <w:t xml:space="preserve"> and contextual environments.</w:t>
            </w:r>
          </w:p>
          <w:p w14:paraId="018BB2F1" w14:textId="77777777" w:rsidR="00840B6C" w:rsidRPr="00B65F7F" w:rsidRDefault="00CD57C3" w:rsidP="003E4DFA">
            <w:pPr>
              <w:pStyle w:val="BodyText"/>
            </w:pPr>
            <w:r w:rsidRPr="00B65F7F">
              <w:t xml:space="preserve">Further, given the </w:t>
            </w:r>
            <w:r w:rsidR="00A4757F" w:rsidRPr="00B65F7F">
              <w:t xml:space="preserve">importance of </w:t>
            </w:r>
            <w:r w:rsidR="004E2688">
              <w:t xml:space="preserve">ensuring any transition is successful, the phased approach of including an </w:t>
            </w:r>
            <w:r w:rsidR="00B0659E">
              <w:t>EAP</w:t>
            </w:r>
            <w:r w:rsidR="004E2688">
              <w:t xml:space="preserve"> to test and learn from (as detailed in the Roadmap for Transformation) before a wider national transition commences will allow an opportunity for further refinement of any arrangement/s.</w:t>
            </w:r>
          </w:p>
        </w:tc>
      </w:tr>
    </w:tbl>
    <w:p w14:paraId="518383EB" w14:textId="77777777" w:rsidR="003E4DFA" w:rsidRDefault="003E4DFA" w:rsidP="00974A68">
      <w:pPr>
        <w:pStyle w:val="BodyText"/>
      </w:pPr>
      <w:bookmarkStart w:id="65" w:name="_dcq2zwuj7tg3" w:colFirst="0" w:colLast="0"/>
      <w:bookmarkEnd w:id="65"/>
    </w:p>
    <w:p w14:paraId="7251F990" w14:textId="77777777" w:rsidR="003E4DFA" w:rsidRDefault="003E4DFA">
      <w:pPr>
        <w:rPr>
          <w:rFonts w:asciiTheme="majorHAnsi" w:eastAsiaTheme="majorEastAsia" w:hAnsiTheme="majorHAnsi" w:cs="Arial (Headings CS)"/>
          <w:b/>
          <w:color w:val="0196A7"/>
          <w:sz w:val="28"/>
          <w:lang w:eastAsia="en-US" w:bidi="en-US"/>
        </w:rPr>
      </w:pPr>
      <w:r>
        <w:br w:type="page"/>
      </w:r>
    </w:p>
    <w:p w14:paraId="60983C58" w14:textId="0A0E3707" w:rsidR="00857C31" w:rsidRPr="00184D0B" w:rsidRDefault="001D568A" w:rsidP="003E4DFA">
      <w:pPr>
        <w:pStyle w:val="Heading3"/>
      </w:pPr>
      <w:r w:rsidRPr="00184D0B">
        <w:lastRenderedPageBreak/>
        <w:t xml:space="preserve"> </w:t>
      </w:r>
      <w:r w:rsidR="00440137" w:rsidRPr="00184D0B">
        <w:t>A</w:t>
      </w:r>
      <w:r w:rsidR="00F923B6" w:rsidRPr="00184D0B">
        <w:t>rrangement</w:t>
      </w:r>
      <w:r w:rsidR="00D26A17" w:rsidRPr="00184D0B">
        <w:t>s</w:t>
      </w:r>
      <w:r w:rsidR="00FB542E" w:rsidRPr="00184D0B">
        <w:t xml:space="preserve"> </w:t>
      </w:r>
      <w:r w:rsidR="00FD13BC" w:rsidRPr="00184D0B">
        <w:t>A1</w:t>
      </w:r>
      <w:r w:rsidR="00B04BBA" w:rsidRPr="00184D0B">
        <w:t xml:space="preserve"> and A2</w:t>
      </w:r>
      <w:r w:rsidR="00FB542E" w:rsidRPr="00184D0B">
        <w:t xml:space="preserve"> (state/territory model</w:t>
      </w:r>
      <w:r w:rsidR="00B04BBA" w:rsidRPr="00184D0B">
        <w:t xml:space="preserve"> and/or </w:t>
      </w:r>
      <w:r w:rsidR="00FB542E" w:rsidRPr="00184D0B">
        <w:t>regional model)</w:t>
      </w:r>
    </w:p>
    <w:p w14:paraId="4B4FF6A0" w14:textId="77777777" w:rsidR="00FD13BC" w:rsidRPr="00D26A17" w:rsidRDefault="00585C9C" w:rsidP="003E4DFA">
      <w:pPr>
        <w:pStyle w:val="BodyText"/>
      </w:pPr>
      <w:r w:rsidRPr="00D26A17">
        <w:t xml:space="preserve">Arrangements A1 and A2 </w:t>
      </w:r>
      <w:r w:rsidR="007B2FA3" w:rsidRPr="00D26A17">
        <w:t>ha</w:t>
      </w:r>
      <w:r w:rsidR="00D26A17" w:rsidRPr="00D26A17">
        <w:t>ve</w:t>
      </w:r>
      <w:r w:rsidRPr="00D26A17">
        <w:t xml:space="preserve"> </w:t>
      </w:r>
      <w:r w:rsidR="002F56F7">
        <w:t>a</w:t>
      </w:r>
      <w:r w:rsidR="00796E36">
        <w:t>n Aboriginal</w:t>
      </w:r>
      <w:r w:rsidR="00D1146B">
        <w:t xml:space="preserve"> and/or Torres Strait Islander</w:t>
      </w:r>
      <w:r w:rsidR="00FD13BC" w:rsidRPr="00D26A17">
        <w:t xml:space="preserve"> </w:t>
      </w:r>
      <w:r w:rsidR="00AA5000" w:rsidRPr="00D26A17">
        <w:t xml:space="preserve">community-controlled body </w:t>
      </w:r>
      <w:r w:rsidR="00FD13BC" w:rsidRPr="00D26A17">
        <w:t>at a state</w:t>
      </w:r>
      <w:r w:rsidR="00857C31" w:rsidRPr="00D26A17">
        <w:t>/</w:t>
      </w:r>
      <w:r w:rsidR="00FD13BC" w:rsidRPr="00D26A17">
        <w:t xml:space="preserve">territory </w:t>
      </w:r>
      <w:r w:rsidR="00AA5000" w:rsidRPr="00D26A17">
        <w:t xml:space="preserve">or regional </w:t>
      </w:r>
      <w:r w:rsidR="00FD13BC" w:rsidRPr="00D26A17">
        <w:t>level receiv</w:t>
      </w:r>
      <w:r w:rsidR="007B2FA3" w:rsidRPr="00D26A17">
        <w:t>ing</w:t>
      </w:r>
      <w:r w:rsidR="00FD13BC" w:rsidRPr="00D26A17">
        <w:t xml:space="preserve"> funding from </w:t>
      </w:r>
      <w:r w:rsidR="00CF6568">
        <w:t>DoHAC</w:t>
      </w:r>
      <w:r w:rsidR="00FD13BC" w:rsidRPr="00D26A17">
        <w:t xml:space="preserve"> to administer the </w:t>
      </w:r>
      <w:r w:rsidR="002B5174">
        <w:t>Relevant Health Programs</w:t>
      </w:r>
      <w:r w:rsidR="00160B40" w:rsidRPr="00D26A17">
        <w:t>.</w:t>
      </w:r>
    </w:p>
    <w:p w14:paraId="55B53F3A" w14:textId="77777777" w:rsidR="00FD13BC" w:rsidRPr="00D26A17" w:rsidRDefault="00E63587" w:rsidP="003E4DFA">
      <w:pPr>
        <w:pStyle w:val="BodyText"/>
      </w:pPr>
      <w:r>
        <w:t>An Aboriginal</w:t>
      </w:r>
      <w:r w:rsidR="00D1146B">
        <w:t xml:space="preserve"> and/or Torres Strait Islander</w:t>
      </w:r>
      <w:r w:rsidR="00FD13BC" w:rsidRPr="00D26A17">
        <w:t xml:space="preserve"> </w:t>
      </w:r>
      <w:r w:rsidR="00AA5000" w:rsidRPr="00D26A17">
        <w:t xml:space="preserve">community-controlled body </w:t>
      </w:r>
      <w:r w:rsidR="00FD13BC" w:rsidRPr="00D26A17">
        <w:t>at a state</w:t>
      </w:r>
      <w:r w:rsidR="00AA5000" w:rsidRPr="00D26A17">
        <w:t>/</w:t>
      </w:r>
      <w:r w:rsidR="00FD13BC" w:rsidRPr="00D26A17">
        <w:t xml:space="preserve">territory level </w:t>
      </w:r>
      <w:r w:rsidR="00AB16BC">
        <w:t xml:space="preserve">(A1) </w:t>
      </w:r>
      <w:r w:rsidR="00FD13BC" w:rsidRPr="00D26A17">
        <w:t>could be:</w:t>
      </w:r>
    </w:p>
    <w:p w14:paraId="25476B83" w14:textId="77777777" w:rsidR="00FD13BC" w:rsidRPr="00B65F7F" w:rsidRDefault="00D26A17" w:rsidP="003E4DFA">
      <w:pPr>
        <w:pStyle w:val="ListBullet2"/>
      </w:pPr>
      <w:r>
        <w:t>a</w:t>
      </w:r>
      <w:r w:rsidR="00FD13BC" w:rsidRPr="00B65F7F">
        <w:t>n established organisation, such as a sector peak</w:t>
      </w:r>
      <w:r>
        <w:t xml:space="preserve">, for </w:t>
      </w:r>
      <w:r w:rsidR="00FD13BC" w:rsidRPr="00B65F7F">
        <w:t>example</w:t>
      </w:r>
      <w:r w:rsidR="00AA5000" w:rsidRPr="00B65F7F">
        <w:t xml:space="preserve"> a</w:t>
      </w:r>
      <w:r w:rsidR="00FD13BC" w:rsidRPr="00B65F7F">
        <w:t xml:space="preserve"> NACCHO affiliate </w:t>
      </w:r>
    </w:p>
    <w:p w14:paraId="3FF45975" w14:textId="77777777" w:rsidR="00FD13BC" w:rsidRPr="00B65F7F" w:rsidRDefault="00D26A17" w:rsidP="003E4DFA">
      <w:pPr>
        <w:pStyle w:val="ListBullet2"/>
      </w:pPr>
      <w:r>
        <w:t>a</w:t>
      </w:r>
      <w:r w:rsidR="00FD13BC" w:rsidRPr="00B65F7F">
        <w:t xml:space="preserve"> </w:t>
      </w:r>
      <w:r w:rsidR="00FD13BC" w:rsidRPr="00D26A17">
        <w:t>newly</w:t>
      </w:r>
      <w:r w:rsidR="00FD13BC" w:rsidRPr="00B65F7F">
        <w:t xml:space="preserve"> developed organisation. </w:t>
      </w:r>
    </w:p>
    <w:p w14:paraId="1C18A151" w14:textId="77777777" w:rsidR="00AA5000" w:rsidRPr="00D26A17" w:rsidRDefault="00E63587" w:rsidP="003E4DFA">
      <w:pPr>
        <w:pStyle w:val="BodyText1stparaafterlist"/>
      </w:pPr>
      <w:r>
        <w:t>An Aboriginal</w:t>
      </w:r>
      <w:r w:rsidR="00D1146B">
        <w:t xml:space="preserve"> and/or Torres Strait Islander</w:t>
      </w:r>
      <w:r w:rsidR="00AA5000" w:rsidRPr="00D26A17">
        <w:t xml:space="preserve"> community-controlled body at the regional level </w:t>
      </w:r>
      <w:r w:rsidR="00AB16BC">
        <w:t xml:space="preserve">(A2) </w:t>
      </w:r>
      <w:r w:rsidR="00AA5000" w:rsidRPr="00D26A17">
        <w:t>could be:</w:t>
      </w:r>
    </w:p>
    <w:p w14:paraId="77F162A9" w14:textId="77777777" w:rsidR="00AA5000" w:rsidRPr="00B65F7F" w:rsidRDefault="00D26A17" w:rsidP="003E4DFA">
      <w:pPr>
        <w:pStyle w:val="ListBullet2"/>
      </w:pPr>
      <w:r>
        <w:t>a</w:t>
      </w:r>
      <w:r w:rsidR="00AA5000" w:rsidRPr="00B65F7F">
        <w:t xml:space="preserve">n established regional body, organisation, </w:t>
      </w:r>
      <w:r w:rsidR="00FE7985" w:rsidRPr="00B65F7F">
        <w:t>alliance</w:t>
      </w:r>
      <w:r w:rsidR="00AA5000" w:rsidRPr="00B65F7F">
        <w:t xml:space="preserve"> or consortium</w:t>
      </w:r>
      <w:r w:rsidR="00333C45">
        <w:t xml:space="preserve">. For example, </w:t>
      </w:r>
      <w:r w:rsidR="00FE7985" w:rsidRPr="00B65F7F">
        <w:t xml:space="preserve">the </w:t>
      </w:r>
      <w:r w:rsidR="00AA5000" w:rsidRPr="00B65F7F">
        <w:t>Institute for Urban Indigenous Health</w:t>
      </w:r>
      <w:r w:rsidR="00333C45">
        <w:t xml:space="preserve"> (IUIH)</w:t>
      </w:r>
      <w:r w:rsidR="00AA5000" w:rsidRPr="00B65F7F">
        <w:t>, the Nukal Murra Alliance or the Kimberley Aboriginal Medical Service</w:t>
      </w:r>
      <w:r w:rsidR="00A7012B">
        <w:t xml:space="preserve"> (KAMS)</w:t>
      </w:r>
    </w:p>
    <w:p w14:paraId="0262DD1E" w14:textId="5F1B2ACD" w:rsidR="00D26A17" w:rsidRDefault="00D26A17" w:rsidP="003E4DFA">
      <w:pPr>
        <w:pStyle w:val="ListBullet2"/>
      </w:pPr>
      <w:r>
        <w:t>a</w:t>
      </w:r>
      <w:r w:rsidR="00AA5000" w:rsidRPr="00B65F7F">
        <w:t xml:space="preserve"> newly developed regional body, organisation, </w:t>
      </w:r>
      <w:r w:rsidR="00FE7985" w:rsidRPr="00B65F7F">
        <w:t>alliance</w:t>
      </w:r>
      <w:r w:rsidR="00AA5000" w:rsidRPr="00B65F7F">
        <w:t xml:space="preserve"> or consortium</w:t>
      </w:r>
      <w:r>
        <w:t>, f</w:t>
      </w:r>
      <w:r w:rsidR="00AA5000" w:rsidRPr="00B65F7F">
        <w:t>or example TORCH</w:t>
      </w:r>
      <w:r w:rsidR="00D8195F">
        <w:t xml:space="preserve"> (see </w:t>
      </w:r>
      <w:r w:rsidR="00D8195F">
        <w:fldChar w:fldCharType="begin"/>
      </w:r>
      <w:r w:rsidR="00D8195F">
        <w:instrText xml:space="preserve"> REF _Ref151807877 \h </w:instrText>
      </w:r>
      <w:r w:rsidR="00D8195F">
        <w:fldChar w:fldCharType="separate"/>
      </w:r>
      <w:r w:rsidR="00934D5E" w:rsidRPr="00B65F7F">
        <w:t xml:space="preserve">Box </w:t>
      </w:r>
      <w:r w:rsidR="00934D5E">
        <w:rPr>
          <w:noProof/>
        </w:rPr>
        <w:t>11</w:t>
      </w:r>
      <w:r w:rsidR="00D8195F">
        <w:fldChar w:fldCharType="end"/>
      </w:r>
      <w:r w:rsidR="00D8195F">
        <w:t>)</w:t>
      </w:r>
    </w:p>
    <w:p w14:paraId="25C974C8" w14:textId="77777777" w:rsidR="00AA5000" w:rsidRPr="00B65F7F" w:rsidRDefault="00AA5000" w:rsidP="003E4DFA">
      <w:pPr>
        <w:pStyle w:val="ListBullet2"/>
      </w:pPr>
      <w:r w:rsidRPr="00B65F7F">
        <w:t xml:space="preserve">a </w:t>
      </w:r>
      <w:r w:rsidR="00FE7985" w:rsidRPr="00B65F7F">
        <w:t>yet-to-be-established</w:t>
      </w:r>
      <w:r w:rsidRPr="00B65F7F">
        <w:t xml:space="preserve"> organisation</w:t>
      </w:r>
      <w:r w:rsidR="00D26A17">
        <w:t>.</w:t>
      </w:r>
    </w:p>
    <w:p w14:paraId="3C91EEEE" w14:textId="77777777" w:rsidR="00826405" w:rsidRPr="00B65F7F" w:rsidRDefault="00FD13BC" w:rsidP="003E4DFA">
      <w:pPr>
        <w:pStyle w:val="BodyText1stparaafterlist"/>
      </w:pPr>
      <w:r w:rsidRPr="00B65F7F">
        <w:t xml:space="preserve">The </w:t>
      </w:r>
      <w:r w:rsidR="008D503E" w:rsidRPr="00B65F7F">
        <w:t xml:space="preserve">designation </w:t>
      </w:r>
      <w:r w:rsidR="005C6F17" w:rsidRPr="00B65F7F">
        <w:t>of the</w:t>
      </w:r>
      <w:r w:rsidR="00EA2472" w:rsidRPr="00B65F7F">
        <w:t xml:space="preserve"> state, territory or regional</w:t>
      </w:r>
      <w:r w:rsidR="005C6F17" w:rsidRPr="00B65F7F">
        <w:t xml:space="preserve"> body</w:t>
      </w:r>
      <w:r w:rsidRPr="00B65F7F">
        <w:t xml:space="preserve"> would be informed by factors such as the capacity</w:t>
      </w:r>
      <w:r w:rsidR="00A24CA5">
        <w:t>, capability</w:t>
      </w:r>
      <w:r w:rsidRPr="00B65F7F">
        <w:t xml:space="preserve"> and willingness </w:t>
      </w:r>
      <w:r w:rsidR="0031133C" w:rsidRPr="00B65F7F">
        <w:t>of an organisation</w:t>
      </w:r>
      <w:r w:rsidRPr="00B65F7F">
        <w:t xml:space="preserve"> to take on this role, and the alignment between local </w:t>
      </w:r>
      <w:r w:rsidR="00D1146B">
        <w:t>Aboriginal and/or Torres Strait Islander</w:t>
      </w:r>
      <w:r w:rsidRPr="00B65F7F">
        <w:t xml:space="preserve"> communities and the establis</w:t>
      </w:r>
      <w:r w:rsidRPr="00D26A17">
        <w:t xml:space="preserve">hed state/territory </w:t>
      </w:r>
      <w:r w:rsidR="00585C9C" w:rsidRPr="00D26A17">
        <w:t xml:space="preserve">or regional </w:t>
      </w:r>
      <w:r w:rsidRPr="00D26A17">
        <w:t>organ</w:t>
      </w:r>
      <w:r w:rsidRPr="00B65F7F">
        <w:t>isation</w:t>
      </w:r>
      <w:r w:rsidR="00DE3717" w:rsidRPr="00B65F7F">
        <w:t xml:space="preserve"> self-determining their roles</w:t>
      </w:r>
      <w:r w:rsidRPr="00B65F7F">
        <w:t>. </w:t>
      </w:r>
    </w:p>
    <w:p w14:paraId="4587FBE0" w14:textId="77777777" w:rsidR="00FD13BC" w:rsidRDefault="00AA5000" w:rsidP="003E4DFA">
      <w:pPr>
        <w:pStyle w:val="BodyText"/>
      </w:pPr>
      <w:r w:rsidRPr="00B65F7F">
        <w:t xml:space="preserve">Note that </w:t>
      </w:r>
      <w:r w:rsidR="00DE3717" w:rsidRPr="00B65F7F">
        <w:t>a body</w:t>
      </w:r>
      <w:r w:rsidRPr="00B65F7F">
        <w:t xml:space="preserve"> does not need to be a formally incorporated organisation to undertake </w:t>
      </w:r>
      <w:r w:rsidR="00D26A17">
        <w:t xml:space="preserve">these </w:t>
      </w:r>
      <w:r w:rsidR="00585C9C" w:rsidRPr="00B65F7F">
        <w:t>functions</w:t>
      </w:r>
      <w:r w:rsidR="00DE3717" w:rsidRPr="00B65F7F">
        <w:t xml:space="preserve">, as it could be an alliance or </w:t>
      </w:r>
      <w:r w:rsidR="00177ADE" w:rsidRPr="00B65F7F">
        <w:t xml:space="preserve">consortium. </w:t>
      </w:r>
      <w:r w:rsidR="00FD13BC" w:rsidRPr="00B65F7F">
        <w:t>Therefore, depending on which state/territory</w:t>
      </w:r>
      <w:r w:rsidR="00177ADE" w:rsidRPr="00B65F7F">
        <w:t xml:space="preserve"> or region</w:t>
      </w:r>
      <w:r w:rsidR="00FD13BC" w:rsidRPr="00B65F7F">
        <w:t xml:space="preserve">, the </w:t>
      </w:r>
      <w:r w:rsidR="00D1146B">
        <w:t>Aboriginal and/or Torres Strait Islander</w:t>
      </w:r>
      <w:r w:rsidR="00FD13BC" w:rsidRPr="00B65F7F">
        <w:t xml:space="preserve"> body may or may not be a service provider</w:t>
      </w:r>
      <w:r w:rsidR="00C40B91" w:rsidRPr="00B65F7F">
        <w:t xml:space="preserve"> (although it is recommended that, if possible, they not be a service provider</w:t>
      </w:r>
      <w:r w:rsidR="00334327">
        <w:t xml:space="preserve"> so as to avoid any potential conflict between their role as a funder and </w:t>
      </w:r>
      <w:r w:rsidR="00FA71C6">
        <w:t xml:space="preserve">as a </w:t>
      </w:r>
      <w:r w:rsidR="00334327">
        <w:t>deliverer of services</w:t>
      </w:r>
      <w:r w:rsidR="00C40B91" w:rsidRPr="00B65F7F">
        <w:t>)</w:t>
      </w:r>
      <w:r w:rsidR="00177ADE" w:rsidRPr="00B65F7F">
        <w:t>.</w:t>
      </w:r>
      <w:r w:rsidR="00FD13BC" w:rsidRPr="00B65F7F">
        <w:t xml:space="preserve"> </w:t>
      </w:r>
    </w:p>
    <w:p w14:paraId="0CD68AEF" w14:textId="0184B587" w:rsidR="00D26A17" w:rsidRDefault="00D26A17" w:rsidP="003E4DFA">
      <w:pPr>
        <w:pStyle w:val="BodyText"/>
      </w:pPr>
      <w:r w:rsidRPr="008D25BF">
        <w:t xml:space="preserve">A visual representation of the arrangement is given in </w:t>
      </w:r>
      <w:r w:rsidRPr="008D25BF">
        <w:fldChar w:fldCharType="begin"/>
      </w:r>
      <w:r w:rsidRPr="008D25BF">
        <w:instrText xml:space="preserve"> REF _Ref145189004 \h </w:instrText>
      </w:r>
      <w:r w:rsidR="00CA4F15" w:rsidRPr="008D25BF">
        <w:instrText xml:space="preserve"> \* MERGEFORMAT </w:instrText>
      </w:r>
      <w:r w:rsidRPr="008D25BF">
        <w:fldChar w:fldCharType="separate"/>
      </w:r>
      <w:r w:rsidR="00934D5E">
        <w:t xml:space="preserve">Figure </w:t>
      </w:r>
      <w:r w:rsidR="00934D5E">
        <w:rPr>
          <w:noProof/>
        </w:rPr>
        <w:t>4:</w:t>
      </w:r>
      <w:r w:rsidRPr="008D25BF">
        <w:fldChar w:fldCharType="end"/>
      </w:r>
      <w:r w:rsidRPr="008D25BF">
        <w:t>.</w:t>
      </w:r>
    </w:p>
    <w:p w14:paraId="1D9C9C0A" w14:textId="554F2538" w:rsidR="00FA71C6" w:rsidRDefault="00370C01" w:rsidP="00FA71C6">
      <w:pPr>
        <w:pStyle w:val="CaptionFigure"/>
      </w:pPr>
      <w:bookmarkStart w:id="66" w:name="_Ref145189004"/>
      <w:bookmarkStart w:id="67" w:name="_Toc156932031"/>
      <w:r>
        <w:t xml:space="preserve">Figure </w:t>
      </w:r>
      <w:r>
        <w:fldChar w:fldCharType="begin"/>
      </w:r>
      <w:r>
        <w:instrText>SEQ Figure \* ARABIC</w:instrText>
      </w:r>
      <w:r>
        <w:fldChar w:fldCharType="separate"/>
      </w:r>
      <w:r w:rsidR="00934D5E">
        <w:rPr>
          <w:noProof/>
        </w:rPr>
        <w:t>4</w:t>
      </w:r>
      <w:r>
        <w:fldChar w:fldCharType="end"/>
      </w:r>
      <w:r>
        <w:rPr>
          <w:noProof/>
        </w:rPr>
        <w:t>:</w:t>
      </w:r>
      <w:bookmarkEnd w:id="66"/>
      <w:r w:rsidR="00FA71C6" w:rsidRPr="00B65F7F">
        <w:t xml:space="preserve"> Simple diagram of Arrangements A1 and A2</w:t>
      </w:r>
      <w:bookmarkEnd w:id="67"/>
    </w:p>
    <w:p w14:paraId="1C1ADB5D" w14:textId="77777777" w:rsidR="00F00750" w:rsidRPr="00B65F7F" w:rsidRDefault="00AD1E11" w:rsidP="00292E56">
      <w:pPr>
        <w:pStyle w:val="BodyText"/>
      </w:pPr>
      <w:r>
        <w:rPr>
          <w:noProof/>
        </w:rPr>
        <w:drawing>
          <wp:inline distT="0" distB="0" distL="0" distR="0" wp14:anchorId="066040CC" wp14:editId="7F025C3E">
            <wp:extent cx="5767070" cy="2780589"/>
            <wp:effectExtent l="0" t="0" r="5080" b="1270"/>
            <wp:docPr id="2" name="Picture 2" descr="The diagram is a flow chart that uses dark circular and rectangular shapes and colour-coded arrows to illustrate the relationships between the parties in Arrangements A1 and A2. The Australian Government Department of Health and Aged Care provides funding and oversight to the Aboriginal and/or Torres Strait Islander community-controlled body (lead entity) who provides consolidated reporting back to the department. Primary Health Networks support non-Indigenous service providers to deliver services in a culturally safe and appropriate manner. The National Aboriginal Community Controlled Health Organisation supplies peak body advice and support to both the department and the Aboriginal and/or Torres Strait Islander community-controlled body (lead entity). Within the Relevant Health Programs, the Aboriginal and/or Torres Strait Islander community-controlled body (lead entity) partners with service providers, both Aboriginal Community Controlled Health Organisation service providers and non-Indigenous service providers, to understand and meet community needs and to monitor and evaluate the programs. The service providers deliver services to the communities and clients and reports back to the Aboriginal and/or Torres Strait Islander community-controlled body (lead entity) on the services provided and outcome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he diagram is a flow chart that uses dark circular and rectangular shapes and colour-coded arrows to illustrate the relationships between the parties in Arrangements A1 and A2. The Australian Government Department of Health and Aged Care provides funding and oversight to the Aboriginal and/or Torres Strait Islander community-controlled body (lead entity) who provides consolidated reporting back to the department. Primary Health Networks support non-Indigenous service providers to deliver services in a culturally safe and appropriate manner. The National Aboriginal Community Controlled Health Organisation supplies peak body advice and support to both the department and the Aboriginal and/or Torres Strait Islander community-controlled body (lead entity). Within the Relevant Health Programs, the Aboriginal and/or Torres Strait Islander community-controlled body (lead entity) partners with service providers, both Aboriginal Community Controlled Health Organisation service providers and non-Indigenous service providers, to understand and meet community needs and to monitor and evaluate the programs. The service providers deliver services to the communities and clients and reports back to the Aboriginal and/or Torres Strait Islander community-controlled body (lead entity) on the services provided and outcomes. &#10;"/>
                    <pic:cNvPicPr/>
                  </pic:nvPicPr>
                  <pic:blipFill rotWithShape="1">
                    <a:blip r:embed="rId34" cstate="print">
                      <a:extLst>
                        <a:ext uri="{28A0092B-C50C-407E-A947-70E740481C1C}">
                          <a14:useLocalDpi xmlns:a14="http://schemas.microsoft.com/office/drawing/2010/main" val="0"/>
                        </a:ext>
                      </a:extLst>
                    </a:blip>
                    <a:srcRect t="19398" b="12402"/>
                    <a:stretch/>
                  </pic:blipFill>
                  <pic:spPr bwMode="auto">
                    <a:xfrm>
                      <a:off x="0" y="0"/>
                      <a:ext cx="5767912" cy="2780995"/>
                    </a:xfrm>
                    <a:prstGeom prst="rect">
                      <a:avLst/>
                    </a:prstGeom>
                    <a:ln>
                      <a:noFill/>
                    </a:ln>
                    <a:extLst>
                      <a:ext uri="{53640926-AAD7-44D8-BBD7-CCE9431645EC}">
                        <a14:shadowObscured xmlns:a14="http://schemas.microsoft.com/office/drawing/2010/main"/>
                      </a:ext>
                    </a:extLst>
                  </pic:spPr>
                </pic:pic>
              </a:graphicData>
            </a:graphic>
          </wp:inline>
        </w:drawing>
      </w:r>
    </w:p>
    <w:p w14:paraId="4D5E4D4F" w14:textId="77777777" w:rsidR="0082572C" w:rsidRPr="00B65F7F" w:rsidRDefault="0082572C" w:rsidP="00292E56">
      <w:pPr>
        <w:pStyle w:val="BodyText"/>
      </w:pPr>
    </w:p>
    <w:p w14:paraId="35C8B753" w14:textId="6F137AF7" w:rsidR="00F923B6" w:rsidRPr="00B65F7F" w:rsidRDefault="00F923B6" w:rsidP="003E4DFA">
      <w:pPr>
        <w:pStyle w:val="Heading4"/>
      </w:pPr>
      <w:r w:rsidRPr="00B65F7F">
        <w:lastRenderedPageBreak/>
        <w:t>Summary of key functions</w:t>
      </w:r>
      <w:r w:rsidR="00571FDA" w:rsidRPr="00B65F7F">
        <w:t xml:space="preserve"> of </w:t>
      </w:r>
      <w:r w:rsidR="00FD13BC" w:rsidRPr="00B65F7F">
        <w:rPr>
          <w:rFonts w:asciiTheme="minorHAnsi" w:hAnsiTheme="minorHAnsi" w:cstheme="minorHAnsi"/>
          <w:szCs w:val="22"/>
        </w:rPr>
        <w:t>state</w:t>
      </w:r>
      <w:r w:rsidR="00571FDA" w:rsidRPr="00B65F7F">
        <w:rPr>
          <w:rFonts w:asciiTheme="minorHAnsi" w:hAnsiTheme="minorHAnsi" w:cstheme="minorHAnsi"/>
          <w:szCs w:val="22"/>
        </w:rPr>
        <w:t>/</w:t>
      </w:r>
      <w:r w:rsidR="00FD13BC" w:rsidRPr="00B65F7F">
        <w:rPr>
          <w:rFonts w:asciiTheme="minorHAnsi" w:hAnsiTheme="minorHAnsi" w:cstheme="minorHAnsi"/>
          <w:szCs w:val="22"/>
        </w:rPr>
        <w:t xml:space="preserve">territory </w:t>
      </w:r>
      <w:r w:rsidR="00571FDA" w:rsidRPr="00B65F7F">
        <w:rPr>
          <w:rFonts w:asciiTheme="minorHAnsi" w:hAnsiTheme="minorHAnsi" w:cstheme="minorHAnsi"/>
          <w:szCs w:val="22"/>
        </w:rPr>
        <w:t>or regional</w:t>
      </w:r>
      <w:r w:rsidR="00571FDA" w:rsidRPr="00B65F7F">
        <w:t xml:space="preserve"> </w:t>
      </w:r>
      <w:r w:rsidR="00007976">
        <w:t>Aboriginal and/or Torres Strait Islander</w:t>
      </w:r>
      <w:r w:rsidR="00FD13BC" w:rsidRPr="00B65F7F">
        <w:t xml:space="preserve"> </w:t>
      </w:r>
      <w:r w:rsidR="00AA5000" w:rsidRPr="00B65F7F">
        <w:t>community-controlled body</w:t>
      </w:r>
    </w:p>
    <w:p w14:paraId="702DCD02" w14:textId="77777777" w:rsidR="00440137" w:rsidRPr="00B65F7F" w:rsidRDefault="00440137" w:rsidP="003E4DFA">
      <w:pPr>
        <w:pStyle w:val="BodyText"/>
      </w:pPr>
      <w:r w:rsidRPr="00B65F7F">
        <w:t xml:space="preserve">The key functions of </w:t>
      </w:r>
      <w:r w:rsidR="002F56F7">
        <w:t>a</w:t>
      </w:r>
      <w:r w:rsidR="00063FDA">
        <w:t>n Aboriginal</w:t>
      </w:r>
      <w:r w:rsidR="00007976">
        <w:t xml:space="preserve"> and/or Torres Strait Islander</w:t>
      </w:r>
      <w:r w:rsidRPr="00B65F7F">
        <w:t xml:space="preserve"> community-controlled body at the </w:t>
      </w:r>
      <w:r w:rsidRPr="00353243">
        <w:t>state/territory or regional</w:t>
      </w:r>
      <w:r w:rsidRPr="00B65F7F">
        <w:t xml:space="preserve"> level would include (but not be limited to) the following for the </w:t>
      </w:r>
      <w:r w:rsidR="00FC128B">
        <w:t>Relevant Health Programs</w:t>
      </w:r>
      <w:r w:rsidRPr="00B65F7F">
        <w:t>: </w:t>
      </w:r>
    </w:p>
    <w:p w14:paraId="281EA81C" w14:textId="77777777" w:rsidR="00440137" w:rsidRPr="00CC4877" w:rsidRDefault="008978FC" w:rsidP="003B07D3">
      <w:pPr>
        <w:pStyle w:val="List1"/>
        <w:numPr>
          <w:ilvl w:val="0"/>
          <w:numId w:val="21"/>
        </w:numPr>
      </w:pPr>
      <w:r w:rsidRPr="00CC4877">
        <w:t>d</w:t>
      </w:r>
      <w:r w:rsidR="00440137" w:rsidRPr="00CC4877">
        <w:t>etermine and document community need</w:t>
      </w:r>
      <w:r w:rsidR="005A7833" w:rsidRPr="00CC4877">
        <w:t xml:space="preserve"> and priorities</w:t>
      </w:r>
      <w:r w:rsidRPr="00CC4877">
        <w:t xml:space="preserve"> –</w:t>
      </w:r>
      <w:r w:rsidR="00440137" w:rsidRPr="00CC4877">
        <w:t xml:space="preserve"> </w:t>
      </w:r>
      <w:r w:rsidRPr="00CC4877">
        <w:t>t</w:t>
      </w:r>
      <w:r w:rsidR="00440137" w:rsidRPr="00CC4877">
        <w:t>his may be done in collaboration with other organisations, such as PHNs, if determined useful by the state/territory body</w:t>
      </w:r>
    </w:p>
    <w:p w14:paraId="3B2400AE" w14:textId="77777777" w:rsidR="00440137" w:rsidRPr="00CC4877" w:rsidRDefault="008978FC" w:rsidP="00CC4877">
      <w:pPr>
        <w:pStyle w:val="List1"/>
      </w:pPr>
      <w:r w:rsidRPr="00CC4877">
        <w:t>w</w:t>
      </w:r>
      <w:r w:rsidR="00440137" w:rsidRPr="00CC4877">
        <w:t xml:space="preserve">ork with </w:t>
      </w:r>
      <w:r w:rsidR="00CF6568" w:rsidRPr="00CC4877">
        <w:t>DoHAC</w:t>
      </w:r>
      <w:r w:rsidR="00440137" w:rsidRPr="00CC4877">
        <w:t xml:space="preserve"> to determine appropriate funding to meet identified needs and confirm outcome-focused reporting requirements</w:t>
      </w:r>
    </w:p>
    <w:p w14:paraId="6F3AEA20" w14:textId="5146B759" w:rsidR="00674436" w:rsidRPr="00CC4877" w:rsidRDefault="008978FC" w:rsidP="00CC4877">
      <w:pPr>
        <w:pStyle w:val="List1"/>
      </w:pPr>
      <w:r w:rsidRPr="00CC4877">
        <w:t>a</w:t>
      </w:r>
      <w:r w:rsidR="00440137" w:rsidRPr="00CC4877">
        <w:t>dminister and govern funding to service providers (</w:t>
      </w:r>
      <w:r w:rsidR="00007976" w:rsidRPr="00CC4877">
        <w:t>Aboriginal and/or Torres Strait Islander</w:t>
      </w:r>
      <w:r w:rsidR="00440137" w:rsidRPr="00CC4877">
        <w:t xml:space="preserve"> and non-Indigenous) via a self-determined funding arrangement.</w:t>
      </w:r>
      <w:bookmarkStart w:id="68" w:name="_sko2o9iqnzt5" w:colFirst="0" w:colLast="0"/>
      <w:bookmarkStart w:id="69" w:name="_unbn0db9ythm" w:colFirst="0" w:colLast="0"/>
      <w:bookmarkEnd w:id="68"/>
      <w:bookmarkEnd w:id="69"/>
      <w:r w:rsidR="00817613" w:rsidRPr="00CC4877">
        <w:t xml:space="preserve"> </w:t>
      </w:r>
      <w:r w:rsidR="003133C7" w:rsidRPr="00CC4877">
        <w:t>A description of t</w:t>
      </w:r>
      <w:r w:rsidR="00674436" w:rsidRPr="00CC4877">
        <w:t xml:space="preserve">he exact roles each organisation may play is provided below and detailed further in </w:t>
      </w:r>
      <w:r w:rsidR="0005517F" w:rsidRPr="00CC4877">
        <w:fldChar w:fldCharType="begin"/>
      </w:r>
      <w:r w:rsidR="0005517F" w:rsidRPr="00CC4877">
        <w:instrText xml:space="preserve"> REF App7_notitle \h </w:instrText>
      </w:r>
      <w:r w:rsidR="00985706" w:rsidRPr="00CC4877">
        <w:instrText xml:space="preserve"> \* MERGEFORMAT </w:instrText>
      </w:r>
      <w:r w:rsidR="0005517F" w:rsidRPr="00CC4877">
        <w:fldChar w:fldCharType="separate"/>
      </w:r>
      <w:r w:rsidR="00934D5E" w:rsidRPr="00B65F7F">
        <w:t xml:space="preserve">Appendix </w:t>
      </w:r>
      <w:r w:rsidR="00934D5E">
        <w:t>7</w:t>
      </w:r>
      <w:r w:rsidR="0005517F" w:rsidRPr="00CC4877">
        <w:fldChar w:fldCharType="end"/>
      </w:r>
      <w:r w:rsidR="006C5C13" w:rsidRPr="00CC4877">
        <w:t>.</w:t>
      </w:r>
    </w:p>
    <w:p w14:paraId="4234C270" w14:textId="285B9989" w:rsidR="00F30716" w:rsidRPr="00B65F7F" w:rsidRDefault="00F30716" w:rsidP="00985706">
      <w:pPr>
        <w:pStyle w:val="Heading4"/>
      </w:pPr>
      <w:r w:rsidRPr="00B65F7F">
        <w:t xml:space="preserve">A note on the </w:t>
      </w:r>
      <w:r w:rsidR="00D35040" w:rsidRPr="00B65F7F">
        <w:t xml:space="preserve">considerations for ‘an existing’ versus ‘a new’ community-controlled body </w:t>
      </w:r>
    </w:p>
    <w:p w14:paraId="7D14236B" w14:textId="77777777" w:rsidR="000C6691" w:rsidRPr="00B65F7F" w:rsidRDefault="00044F0A" w:rsidP="00985706">
      <w:pPr>
        <w:pStyle w:val="BodyText"/>
        <w:rPr>
          <w:rFonts w:eastAsiaTheme="majorEastAsia"/>
        </w:rPr>
      </w:pPr>
      <w:r w:rsidRPr="00B65F7F">
        <w:t>The review process has not</w:t>
      </w:r>
      <w:r w:rsidR="00E1756B" w:rsidRPr="00B65F7F">
        <w:t xml:space="preserve"> identified or</w:t>
      </w:r>
      <w:r w:rsidRPr="00B65F7F">
        <w:t xml:space="preserve"> been prescriptive</w:t>
      </w:r>
      <w:r w:rsidR="00E1756B" w:rsidRPr="00B65F7F">
        <w:t xml:space="preserve"> in determining </w:t>
      </w:r>
      <w:r w:rsidR="00426508" w:rsidRPr="00B65F7F">
        <w:t>whether a community-controlled funding body (at the regional or state/territory level) should be an existing or new organisation. This is because:</w:t>
      </w:r>
    </w:p>
    <w:p w14:paraId="089FACD2" w14:textId="77777777" w:rsidR="004A3320" w:rsidRPr="00B65F7F" w:rsidRDefault="00FA71C6" w:rsidP="00985706">
      <w:pPr>
        <w:pStyle w:val="ListBullet2"/>
      </w:pPr>
      <w:r>
        <w:t>T</w:t>
      </w:r>
      <w:r w:rsidR="00481C52" w:rsidRPr="00B65F7F">
        <w:t xml:space="preserve">he </w:t>
      </w:r>
      <w:r w:rsidR="00F222FB" w:rsidRPr="00B65F7F">
        <w:t xml:space="preserve">decision should be </w:t>
      </w:r>
      <w:r w:rsidR="0075291B">
        <w:t>self-</w:t>
      </w:r>
      <w:r w:rsidR="00F222FB" w:rsidRPr="00B65F7F">
        <w:t>determined</w:t>
      </w:r>
      <w:r w:rsidR="004461A8">
        <w:t>.</w:t>
      </w:r>
      <w:r w:rsidR="00F222FB" w:rsidRPr="00B65F7F">
        <w:t xml:space="preserve"> </w:t>
      </w:r>
    </w:p>
    <w:p w14:paraId="70B5ABCF" w14:textId="77777777" w:rsidR="00F222FB" w:rsidRPr="00B65F7F" w:rsidRDefault="00FA71C6" w:rsidP="00985706">
      <w:pPr>
        <w:pStyle w:val="ListBullet2"/>
      </w:pPr>
      <w:r>
        <w:t>T</w:t>
      </w:r>
      <w:r w:rsidR="00F222FB" w:rsidRPr="00B65F7F">
        <w:t xml:space="preserve">he capacity, capability and willingness of existing organisations </w:t>
      </w:r>
      <w:r w:rsidR="005448B7" w:rsidRPr="00B65F7F">
        <w:t xml:space="preserve">to take on this role </w:t>
      </w:r>
      <w:r w:rsidR="00F222FB" w:rsidRPr="00B65F7F">
        <w:t xml:space="preserve">may vary across </w:t>
      </w:r>
      <w:r w:rsidR="005448B7" w:rsidRPr="00B65F7F">
        <w:t xml:space="preserve">different regions and </w:t>
      </w:r>
      <w:r w:rsidR="004461A8">
        <w:t xml:space="preserve">may change </w:t>
      </w:r>
      <w:r w:rsidR="005448B7" w:rsidRPr="00B65F7F">
        <w:t xml:space="preserve">over time. </w:t>
      </w:r>
    </w:p>
    <w:p w14:paraId="048D14E5" w14:textId="639CE809" w:rsidR="00426508" w:rsidRDefault="00A474F8" w:rsidP="00985706">
      <w:pPr>
        <w:pStyle w:val="BodyText1stparaafterlist"/>
      </w:pPr>
      <w:r w:rsidRPr="00B65F7F">
        <w:t xml:space="preserve">It is acknowledged that the </w:t>
      </w:r>
      <w:r w:rsidR="004461A8">
        <w:t>2</w:t>
      </w:r>
      <w:r w:rsidRPr="00B65F7F">
        <w:t xml:space="preserve"> options would present stakeholders and the government with different </w:t>
      </w:r>
      <w:r w:rsidR="00F93E8D" w:rsidRPr="00B65F7F">
        <w:t>requirements needed to transition (such as increased investment and resources needed for a new organisation</w:t>
      </w:r>
      <w:r w:rsidR="00805A6B" w:rsidRPr="00B65F7F">
        <w:t xml:space="preserve">, as opposed to </w:t>
      </w:r>
      <w:r w:rsidR="00805A6B" w:rsidRPr="004461A8">
        <w:t>an existing organisation</w:t>
      </w:r>
      <w:r w:rsidR="00F93E8D" w:rsidRPr="004461A8">
        <w:t>). Th</w:t>
      </w:r>
      <w:r w:rsidR="00805A6B" w:rsidRPr="004461A8">
        <w:t xml:space="preserve">ese requirements are </w:t>
      </w:r>
      <w:r w:rsidR="0034051B" w:rsidRPr="004461A8">
        <w:t xml:space="preserve">reflected in </w:t>
      </w:r>
      <w:r w:rsidR="00D6464B">
        <w:fldChar w:fldCharType="begin"/>
      </w:r>
      <w:r w:rsidR="00D6464B">
        <w:instrText xml:space="preserve"> REF Ch4_Plan4Xformn \n \h </w:instrText>
      </w:r>
      <w:r w:rsidR="00D6464B">
        <w:fldChar w:fldCharType="separate"/>
      </w:r>
      <w:r w:rsidR="00934D5E">
        <w:t>Chapter 4</w:t>
      </w:r>
      <w:r w:rsidR="00D6464B">
        <w:fldChar w:fldCharType="end"/>
      </w:r>
      <w:r w:rsidR="003411E9">
        <w:t>.</w:t>
      </w:r>
    </w:p>
    <w:p w14:paraId="33674FDD" w14:textId="2AAACFA7" w:rsidR="00070AC6" w:rsidRPr="00985706" w:rsidRDefault="00070AC6" w:rsidP="00985706">
      <w:pPr>
        <w:pStyle w:val="Heading4"/>
      </w:pPr>
      <w:r w:rsidRPr="00985706">
        <w:t xml:space="preserve">A note on how </w:t>
      </w:r>
      <w:r w:rsidR="005C123A" w:rsidRPr="00985706">
        <w:t xml:space="preserve">the </w:t>
      </w:r>
      <w:r w:rsidR="00163222" w:rsidRPr="00985706">
        <w:t>catchment-based</w:t>
      </w:r>
      <w:r w:rsidR="005C123A" w:rsidRPr="00985706">
        <w:t xml:space="preserve"> model </w:t>
      </w:r>
      <w:r w:rsidRPr="00985706">
        <w:t xml:space="preserve">may work with other arrangements </w:t>
      </w:r>
    </w:p>
    <w:p w14:paraId="1D6F8D61" w14:textId="77777777" w:rsidR="00070AC6" w:rsidRPr="00B65F7F" w:rsidRDefault="00070AC6" w:rsidP="00985706">
      <w:pPr>
        <w:pStyle w:val="BodyText"/>
      </w:pPr>
      <w:r w:rsidRPr="00B65F7F">
        <w:t xml:space="preserve">While the </w:t>
      </w:r>
      <w:r w:rsidR="00663C3E">
        <w:t>catchment-based</w:t>
      </w:r>
      <w:r w:rsidRPr="00B65F7F">
        <w:t xml:space="preserve"> model has been described as a standalone approach, in practice it may operate in concert with</w:t>
      </w:r>
      <w:r w:rsidR="00063FDA">
        <w:t xml:space="preserve"> other arrangements</w:t>
      </w:r>
      <w:r w:rsidRPr="00B65F7F">
        <w:t xml:space="preserve">. For example, this may occur when an ACCHO is funded directly by </w:t>
      </w:r>
      <w:r w:rsidR="00CF6568">
        <w:t>DoHAC</w:t>
      </w:r>
      <w:r w:rsidRPr="00B65F7F">
        <w:t xml:space="preserve">, reflecting the most efficient and effective arrangement that will lead to the least amount of service disruption. However, the ACCHO may choose to work within a regional or state-territory collective to document community need </w:t>
      </w:r>
      <w:r w:rsidR="005A7833">
        <w:t xml:space="preserve">and priorities </w:t>
      </w:r>
      <w:r w:rsidRPr="00B65F7F">
        <w:t xml:space="preserve">and to purchase goods as part of the ITC program, as this achieves better value for money. </w:t>
      </w:r>
    </w:p>
    <w:p w14:paraId="5B8F8FA3" w14:textId="5AD5B471" w:rsidR="00070AC6" w:rsidRDefault="00070AC6" w:rsidP="007E12C7">
      <w:pPr>
        <w:pStyle w:val="BodyText"/>
      </w:pPr>
      <w:r w:rsidRPr="00B65F7F">
        <w:t>While the example</w:t>
      </w:r>
      <w:r>
        <w:t xml:space="preserve">s given in the 2 case studies </w:t>
      </w:r>
      <w:r w:rsidR="00FA71C6">
        <w:t xml:space="preserve">in </w:t>
      </w:r>
      <w:r w:rsidR="00FA71C6">
        <w:fldChar w:fldCharType="begin"/>
      </w:r>
      <w:r w:rsidR="00FA71C6">
        <w:instrText xml:space="preserve"> REF _Ref145242158 \h </w:instrText>
      </w:r>
      <w:r w:rsidR="00FA71C6">
        <w:fldChar w:fldCharType="separate"/>
      </w:r>
      <w:r w:rsidR="00934D5E" w:rsidRPr="00985706">
        <w:t xml:space="preserve">Box </w:t>
      </w:r>
      <w:r w:rsidR="00934D5E">
        <w:rPr>
          <w:noProof/>
        </w:rPr>
        <w:t>7</w:t>
      </w:r>
      <w:r w:rsidR="00FA71C6">
        <w:fldChar w:fldCharType="end"/>
      </w:r>
      <w:r w:rsidR="00FA71C6">
        <w:t xml:space="preserve"> and </w:t>
      </w:r>
      <w:r w:rsidR="00953D7E">
        <w:fldChar w:fldCharType="begin"/>
      </w:r>
      <w:r w:rsidR="00953D7E">
        <w:instrText xml:space="preserve"> REF _Ref156738777 \h </w:instrText>
      </w:r>
      <w:r w:rsidR="00953D7E">
        <w:fldChar w:fldCharType="separate"/>
      </w:r>
      <w:r w:rsidR="00934D5E" w:rsidRPr="00B65F7F">
        <w:t xml:space="preserve">Box </w:t>
      </w:r>
      <w:r w:rsidR="00934D5E">
        <w:rPr>
          <w:noProof/>
        </w:rPr>
        <w:t>8</w:t>
      </w:r>
      <w:r w:rsidR="00953D7E">
        <w:fldChar w:fldCharType="end"/>
      </w:r>
      <w:r w:rsidR="00FA71C6">
        <w:t xml:space="preserve"> </w:t>
      </w:r>
      <w:r>
        <w:t xml:space="preserve">are </w:t>
      </w:r>
      <w:r w:rsidRPr="00B65F7F">
        <w:t xml:space="preserve">not exhaustive, </w:t>
      </w:r>
      <w:r>
        <w:t>they</w:t>
      </w:r>
      <w:r w:rsidRPr="00B65F7F">
        <w:t xml:space="preserve"> </w:t>
      </w:r>
      <w:r w:rsidR="00FA71C6">
        <w:t>show</w:t>
      </w:r>
      <w:r w:rsidR="00AD0C56">
        <w:t xml:space="preserve"> how</w:t>
      </w:r>
      <w:r w:rsidRPr="00B65F7F">
        <w:t xml:space="preserve"> </w:t>
      </w:r>
      <w:r>
        <w:t xml:space="preserve">Arrangement </w:t>
      </w:r>
      <w:r w:rsidRPr="00B65F7F">
        <w:t xml:space="preserve">A2 may </w:t>
      </w:r>
      <w:r w:rsidR="00AD0C56">
        <w:t xml:space="preserve">be adopted by existing regional organisations. </w:t>
      </w:r>
    </w:p>
    <w:p w14:paraId="2D865268" w14:textId="7A17349A" w:rsidR="00070AC6" w:rsidRPr="00985706" w:rsidRDefault="00070AC6" w:rsidP="00985706">
      <w:pPr>
        <w:pStyle w:val="CaptionBox"/>
      </w:pPr>
      <w:bookmarkStart w:id="70" w:name="_Ref145242158"/>
      <w:bookmarkStart w:id="71" w:name="_Toc156932054"/>
      <w:r w:rsidRPr="00985706">
        <w:t xml:space="preserve">Box </w:t>
      </w:r>
      <w:r w:rsidRPr="00985706">
        <w:fldChar w:fldCharType="begin"/>
      </w:r>
      <w:r w:rsidRPr="00985706">
        <w:instrText xml:space="preserve"> SEQ Box \* ARABIC </w:instrText>
      </w:r>
      <w:r w:rsidRPr="00985706">
        <w:fldChar w:fldCharType="separate"/>
      </w:r>
      <w:r w:rsidR="00934D5E">
        <w:rPr>
          <w:noProof/>
        </w:rPr>
        <w:t>7</w:t>
      </w:r>
      <w:r w:rsidRPr="00985706">
        <w:fldChar w:fldCharType="end"/>
      </w:r>
      <w:bookmarkEnd w:id="70"/>
      <w:r w:rsidRPr="00985706">
        <w:t>: Institute for Urban Indigenous Health case study</w:t>
      </w:r>
      <w:bookmarkEnd w:id="71"/>
    </w:p>
    <w:tbl>
      <w:tblPr>
        <w:tblW w:w="9776" w:type="dxa"/>
        <w:tblBorders>
          <w:top w:val="single" w:sz="4" w:space="0" w:color="0196A7" w:themeColor="accent3"/>
          <w:left w:val="single" w:sz="4" w:space="0" w:color="0196A7" w:themeColor="accent3"/>
          <w:bottom w:val="single" w:sz="4" w:space="0" w:color="0196A7" w:themeColor="accent3"/>
          <w:right w:val="single" w:sz="4" w:space="0" w:color="0196A7" w:themeColor="accent3"/>
          <w:insideH w:val="single" w:sz="4" w:space="0" w:color="0196A7" w:themeColor="accent3"/>
          <w:insideV w:val="single" w:sz="4" w:space="0" w:color="0196A7" w:themeColor="accent3"/>
        </w:tblBorders>
        <w:shd w:val="clear" w:color="auto" w:fill="F2F2F2"/>
        <w:tblLayout w:type="fixed"/>
        <w:tblLook w:val="04A0" w:firstRow="1" w:lastRow="0" w:firstColumn="1" w:lastColumn="0" w:noHBand="0" w:noVBand="1"/>
      </w:tblPr>
      <w:tblGrid>
        <w:gridCol w:w="9776"/>
      </w:tblGrid>
      <w:tr w:rsidR="00070AC6" w:rsidRPr="00B65F7F" w14:paraId="36E3224B" w14:textId="77777777" w:rsidTr="0005256F">
        <w:tc>
          <w:tcPr>
            <w:tcW w:w="9776" w:type="dxa"/>
            <w:shd w:val="clear" w:color="auto" w:fill="F2F2F2"/>
          </w:tcPr>
          <w:p w14:paraId="151432BB" w14:textId="0FE869CA" w:rsidR="00FB01AD" w:rsidRPr="00FB01AD" w:rsidRDefault="00FB01AD" w:rsidP="00985706">
            <w:pPr>
              <w:pStyle w:val="BodyText"/>
            </w:pPr>
            <w:r w:rsidRPr="00FB01AD">
              <w:t>The Institute for Urban Indigenous Health (IUIH) is a prominent ACCHO dedicated to improving the health and wellbeing of Aboriginal and/or Torres Strait Islander people living in urban and regional areas. Established in 2009, IUIH operates in Queensland and plays a vital role in delivering culturally sensitive and community-driven healthcare services to Aboriginal and/or Torres Strait Islander communities. IUIH differs from many other ACCHOs due to its unique approach to healthcare delivery and its strong emphasis on collaboration and innovation, particularly in its role in delivering the ITC program.</w:t>
            </w:r>
          </w:p>
          <w:p w14:paraId="48931FC6" w14:textId="45096D8D" w:rsidR="00FB01AD" w:rsidRPr="00FB01AD" w:rsidRDefault="00FB01AD" w:rsidP="00985706">
            <w:pPr>
              <w:pStyle w:val="BodyText"/>
            </w:pPr>
            <w:r w:rsidRPr="00FB01AD">
              <w:rPr>
                <w:b/>
                <w:bCs/>
              </w:rPr>
              <w:t>A partnership approach:</w:t>
            </w:r>
            <w:r w:rsidRPr="00FB01AD">
              <w:t xml:space="preserve"> IUIH operates through a membership model, with </w:t>
            </w:r>
            <w:r w:rsidR="007F6CA2">
              <w:t>4</w:t>
            </w:r>
            <w:r w:rsidRPr="00FB01AD">
              <w:t xml:space="preserve"> community-controlled health services of South East Queensland and IUIH directly delivering services and social support services to the Moreton Bay region. These </w:t>
            </w:r>
            <w:r w:rsidR="007F6CA2">
              <w:t>4</w:t>
            </w:r>
            <w:r w:rsidRPr="00FB01AD">
              <w:t xml:space="preserve"> organisations comprise the regional IUIH Network.</w:t>
            </w:r>
          </w:p>
          <w:p w14:paraId="4F36C10D" w14:textId="7D60E8CD" w:rsidR="00FB01AD" w:rsidRPr="00FB01AD" w:rsidRDefault="00FB01AD" w:rsidP="00985706">
            <w:pPr>
              <w:pStyle w:val="BodyText"/>
            </w:pPr>
            <w:r w:rsidRPr="00FB01AD">
              <w:t>IUIH</w:t>
            </w:r>
            <w:r w:rsidR="00985706">
              <w:t>’</w:t>
            </w:r>
            <w:r w:rsidRPr="00FB01AD">
              <w:t xml:space="preserve">s approach means that it collaboratively partners with governments and non-government organisations (such as PHNs) to lead the planning, development and delivery of health and family wellbeing services and employment pathways to the Aboriginal and/or Torres Strait Islander population of </w:t>
            </w:r>
            <w:r w:rsidRPr="00FB01AD">
              <w:lastRenderedPageBreak/>
              <w:t>South East Queensland. This approach allows for a more comprehensive and holistic healthcare delivery system.</w:t>
            </w:r>
          </w:p>
          <w:p w14:paraId="0298EC90" w14:textId="44865BD4" w:rsidR="00FB01AD" w:rsidRPr="00FB01AD" w:rsidRDefault="00FB01AD" w:rsidP="00985706">
            <w:pPr>
              <w:pStyle w:val="BodyText"/>
            </w:pPr>
            <w:r w:rsidRPr="00FB01AD">
              <w:rPr>
                <w:b/>
                <w:bCs/>
              </w:rPr>
              <w:t>ITC program:</w:t>
            </w:r>
            <w:r w:rsidRPr="00FB01AD">
              <w:t xml:space="preserve"> IUIH plays a crucial role in the local funding arrangements for the ITC program</w:t>
            </w:r>
            <w:r w:rsidR="00FA700E">
              <w:t xml:space="preserve">. </w:t>
            </w:r>
            <w:r w:rsidRPr="00FB01AD">
              <w:t>Covering a region in South East Queensland with overlapping multiple PHN regions, IUIH has negotiated a unique set of arrangements with the relevant PHNs. This arrangement involves IUIH administering and managing ITC program funding, removing the burden of reporting and allowing IUIH to better identify needs and respond accordingly.</w:t>
            </w:r>
          </w:p>
          <w:p w14:paraId="3FB805D0" w14:textId="3E70B3B5" w:rsidR="00FB01AD" w:rsidRPr="00FB01AD" w:rsidRDefault="00FB01AD" w:rsidP="00E72F5A">
            <w:pPr>
              <w:pStyle w:val="BodyText"/>
            </w:pPr>
            <w:r w:rsidRPr="00FB01AD">
              <w:t>Given the region and member service locations, this has provided for a place-based approach distinct to the region and community it operates in. Other benefits identified with the regional approach include economies of scale and buying power afforded to a large regional organisation.</w:t>
            </w:r>
            <w:r>
              <w:t xml:space="preserve"> </w:t>
            </w:r>
            <w:r w:rsidRPr="00FB01AD">
              <w:t>An evaluation of the</w:t>
            </w:r>
            <w:r>
              <w:t xml:space="preserve"> </w:t>
            </w:r>
            <w:r w:rsidRPr="00FB01AD">
              <w:t xml:space="preserve">IUIH </w:t>
            </w:r>
            <w:r w:rsidR="00E72F5A">
              <w:t xml:space="preserve">Coordinated Care and Supplementary Services (IUIH CCSS) </w:t>
            </w:r>
            <w:r w:rsidRPr="00FB01AD">
              <w:t xml:space="preserve">program was performed over </w:t>
            </w:r>
            <w:r w:rsidR="004E19C0">
              <w:t>9</w:t>
            </w:r>
            <w:r w:rsidRPr="00FB01AD">
              <w:t xml:space="preserve"> months from October 2015 to June 2016</w:t>
            </w:r>
            <w:r>
              <w:t xml:space="preserve">, by </w:t>
            </w:r>
            <w:r w:rsidR="00E40A3E">
              <w:t>t</w:t>
            </w:r>
            <w:r w:rsidRPr="00FB01AD">
              <w:t>he  Aboriginal  Research  Unit  at  the  South  Australian  Health  and  Medical Research  Institute (SAHMRI)</w:t>
            </w:r>
            <w:r w:rsidR="004E19C0">
              <w:t xml:space="preserve"> (IUIH, 2016</w:t>
            </w:r>
            <w:r w:rsidR="00D6464B">
              <w:t>, unpublished</w:t>
            </w:r>
            <w:r w:rsidR="004E19C0">
              <w:t>).</w:t>
            </w:r>
          </w:p>
          <w:p w14:paraId="11C3CA91" w14:textId="4F71C4FC" w:rsidR="00FB01AD" w:rsidRPr="00985706" w:rsidRDefault="00E40A3E" w:rsidP="00985706">
            <w:pPr>
              <w:pStyle w:val="BodyText"/>
              <w:rPr>
                <w:b/>
                <w:bCs/>
              </w:rPr>
            </w:pPr>
            <w:r w:rsidRPr="00985706">
              <w:rPr>
                <w:b/>
                <w:bCs/>
              </w:rPr>
              <w:t>Key f</w:t>
            </w:r>
            <w:r w:rsidR="00FB01AD" w:rsidRPr="00985706">
              <w:rPr>
                <w:b/>
                <w:bCs/>
              </w:rPr>
              <w:t xml:space="preserve">indings from the </w:t>
            </w:r>
            <w:r w:rsidRPr="00985706">
              <w:rPr>
                <w:b/>
                <w:bCs/>
              </w:rPr>
              <w:t xml:space="preserve">2016 </w:t>
            </w:r>
            <w:r w:rsidR="00FB01AD" w:rsidRPr="00985706">
              <w:rPr>
                <w:b/>
                <w:bCs/>
              </w:rPr>
              <w:t>IUIH CCSS program evaluation</w:t>
            </w:r>
          </w:p>
          <w:p w14:paraId="1F3EEA87" w14:textId="5A9ED8CE" w:rsidR="00FB01AD" w:rsidRPr="00FB01AD" w:rsidRDefault="00FB01AD" w:rsidP="00985706">
            <w:pPr>
              <w:pStyle w:val="ListBullet2"/>
              <w:rPr>
                <w:rFonts w:eastAsia="Roboto"/>
              </w:rPr>
            </w:pPr>
            <w:r w:rsidRPr="005C1CD8">
              <w:rPr>
                <w:rFonts w:eastAsia="Roboto"/>
                <w:b/>
                <w:bCs/>
              </w:rPr>
              <w:t xml:space="preserve">High coverage of eligible IUIH patients: </w:t>
            </w:r>
            <w:r w:rsidRPr="00FB01AD">
              <w:rPr>
                <w:rFonts w:eastAsia="Roboto"/>
              </w:rPr>
              <w:t>IUIH CCSS has achieved high levels of coverage of eligible IUIH patients, thanks to the IUIH model of care. This has led to an increase in the number of Aboriginal and</w:t>
            </w:r>
            <w:r w:rsidR="004E19C0">
              <w:rPr>
                <w:rFonts w:eastAsia="Roboto"/>
              </w:rPr>
              <w:t>/or</w:t>
            </w:r>
            <w:r w:rsidRPr="00FB01AD">
              <w:rPr>
                <w:rFonts w:eastAsia="Roboto"/>
              </w:rPr>
              <w:t xml:space="preserve"> Torres Strait Islander people attending IUIH clinics in the past </w:t>
            </w:r>
            <w:r w:rsidR="004E19C0">
              <w:rPr>
                <w:rFonts w:eastAsia="Roboto"/>
              </w:rPr>
              <w:t>4</w:t>
            </w:r>
            <w:r w:rsidRPr="00FB01AD">
              <w:rPr>
                <w:rFonts w:eastAsia="Roboto"/>
              </w:rPr>
              <w:t xml:space="preserve"> years.</w:t>
            </w:r>
          </w:p>
          <w:p w14:paraId="4BB80C51" w14:textId="318B85FC" w:rsidR="00FB01AD" w:rsidRPr="00E40A3E" w:rsidRDefault="00FB01AD" w:rsidP="00985706">
            <w:pPr>
              <w:pStyle w:val="ListBullet2"/>
              <w:rPr>
                <w:rFonts w:eastAsia="Roboto"/>
              </w:rPr>
            </w:pPr>
            <w:r w:rsidRPr="005C1CD8">
              <w:rPr>
                <w:rFonts w:eastAsia="Roboto"/>
                <w:b/>
                <w:bCs/>
              </w:rPr>
              <w:t>Prioriti</w:t>
            </w:r>
            <w:r w:rsidR="00E40A3E" w:rsidRPr="005C1CD8">
              <w:rPr>
                <w:rFonts w:eastAsia="Roboto"/>
                <w:b/>
                <w:bCs/>
              </w:rPr>
              <w:t>s</w:t>
            </w:r>
            <w:r w:rsidRPr="005C1CD8">
              <w:rPr>
                <w:rFonts w:eastAsia="Roboto"/>
                <w:b/>
                <w:bCs/>
              </w:rPr>
              <w:t xml:space="preserve">ation of clients: </w:t>
            </w:r>
            <w:r w:rsidRPr="00E40A3E">
              <w:rPr>
                <w:rFonts w:eastAsia="Roboto"/>
              </w:rPr>
              <w:t xml:space="preserve">Currently, around 60% of clients </w:t>
            </w:r>
            <w:r w:rsidR="004E19C0">
              <w:rPr>
                <w:rFonts w:eastAsia="Roboto"/>
              </w:rPr>
              <w:t>‘</w:t>
            </w:r>
            <w:r w:rsidRPr="00E40A3E">
              <w:rPr>
                <w:rFonts w:eastAsia="Roboto"/>
              </w:rPr>
              <w:t>on the books</w:t>
            </w:r>
            <w:r w:rsidR="004E19C0">
              <w:rPr>
                <w:rFonts w:eastAsia="Roboto"/>
              </w:rPr>
              <w:t>’</w:t>
            </w:r>
            <w:r w:rsidRPr="00E40A3E">
              <w:rPr>
                <w:rFonts w:eastAsia="Roboto"/>
              </w:rPr>
              <w:t xml:space="preserve"> are seen each month, suggesting that there is prioriti</w:t>
            </w:r>
            <w:r w:rsidR="00E40A3E" w:rsidRPr="00E40A3E">
              <w:rPr>
                <w:rFonts w:eastAsia="Roboto"/>
              </w:rPr>
              <w:t>s</w:t>
            </w:r>
            <w:r w:rsidRPr="00E40A3E">
              <w:rPr>
                <w:rFonts w:eastAsia="Roboto"/>
              </w:rPr>
              <w:t xml:space="preserve">ation across clients. </w:t>
            </w:r>
            <w:r w:rsidR="00E40A3E" w:rsidRPr="00E40A3E">
              <w:rPr>
                <w:rFonts w:eastAsia="Roboto"/>
              </w:rPr>
              <w:t xml:space="preserve">It is assumed that </w:t>
            </w:r>
            <w:r w:rsidR="004E19C0">
              <w:rPr>
                <w:rFonts w:eastAsia="Roboto"/>
              </w:rPr>
              <w:t>if</w:t>
            </w:r>
            <w:r w:rsidR="00E40A3E" w:rsidRPr="00E40A3E">
              <w:rPr>
                <w:rFonts w:eastAsia="Roboto"/>
              </w:rPr>
              <w:t xml:space="preserve"> clients are being prioritised, </w:t>
            </w:r>
            <w:r w:rsidR="00E72F5A">
              <w:rPr>
                <w:rFonts w:eastAsia="Roboto"/>
              </w:rPr>
              <w:t>IUIH</w:t>
            </w:r>
            <w:r w:rsidR="00E72F5A" w:rsidRPr="00E40A3E">
              <w:rPr>
                <w:rFonts w:eastAsia="Roboto"/>
              </w:rPr>
              <w:t xml:space="preserve"> </w:t>
            </w:r>
            <w:r w:rsidR="00E40A3E" w:rsidRPr="00E40A3E">
              <w:rPr>
                <w:rFonts w:eastAsia="Roboto"/>
              </w:rPr>
              <w:t>CC</w:t>
            </w:r>
            <w:r w:rsidR="00E72F5A">
              <w:rPr>
                <w:rFonts w:eastAsia="Roboto"/>
              </w:rPr>
              <w:t>SS</w:t>
            </w:r>
            <w:r w:rsidR="00E40A3E" w:rsidRPr="00E40A3E">
              <w:rPr>
                <w:rFonts w:eastAsia="Roboto"/>
              </w:rPr>
              <w:t xml:space="preserve"> </w:t>
            </w:r>
            <w:r w:rsidR="004E19C0">
              <w:rPr>
                <w:rFonts w:eastAsia="Roboto"/>
              </w:rPr>
              <w:t>is</w:t>
            </w:r>
            <w:r w:rsidR="00E40A3E" w:rsidRPr="00E40A3E">
              <w:rPr>
                <w:rFonts w:eastAsia="Roboto"/>
              </w:rPr>
              <w:t xml:space="preserve"> making decisions that influence allocative efficiency</w:t>
            </w:r>
            <w:r w:rsidR="00E40A3E">
              <w:rPr>
                <w:rFonts w:eastAsia="Roboto"/>
              </w:rPr>
              <w:t>.</w:t>
            </w:r>
          </w:p>
          <w:p w14:paraId="6EBD6001" w14:textId="5C557767" w:rsidR="00FB01AD" w:rsidRPr="00FB01AD" w:rsidRDefault="00FB01AD" w:rsidP="00985706">
            <w:pPr>
              <w:pStyle w:val="ListBullet2"/>
              <w:rPr>
                <w:rFonts w:eastAsia="Roboto"/>
              </w:rPr>
            </w:pPr>
            <w:r w:rsidRPr="005C1CD8">
              <w:rPr>
                <w:rFonts w:eastAsia="Roboto"/>
                <w:b/>
                <w:bCs/>
              </w:rPr>
              <w:t>Potential for improved allocative efficiency:</w:t>
            </w:r>
            <w:r w:rsidRPr="00FB01AD">
              <w:rPr>
                <w:rFonts w:eastAsia="Roboto"/>
              </w:rPr>
              <w:t xml:space="preserve"> The evaluation found that the only substantive source of inefficiency in the program was related to the margins retained by the PHNs and the Commonwealth. These retained funds could be used to provide care for an additional 111 clients each month, which would represent a 12.6% increase in the number of clients served. This suggests that allocating these funds directly to IUIH CCSS instead of to the PHNs could improve the program</w:t>
            </w:r>
            <w:r w:rsidR="004E19C0">
              <w:rPr>
                <w:rFonts w:eastAsia="Roboto"/>
              </w:rPr>
              <w:t>’</w:t>
            </w:r>
            <w:r w:rsidRPr="00FB01AD">
              <w:rPr>
                <w:rFonts w:eastAsia="Roboto"/>
              </w:rPr>
              <w:t>s overall efficiency.</w:t>
            </w:r>
          </w:p>
          <w:p w14:paraId="45E4116D" w14:textId="4FAA2951" w:rsidR="00FB01AD" w:rsidRPr="00FB01AD" w:rsidRDefault="00FB01AD" w:rsidP="004E19C0">
            <w:pPr>
              <w:pStyle w:val="BodyText1stparaafterlist"/>
            </w:pPr>
            <w:r w:rsidRPr="00985706">
              <w:rPr>
                <w:b/>
                <w:bCs/>
              </w:rPr>
              <w:t>Why this is important in the context of the Review:</w:t>
            </w:r>
            <w:r w:rsidR="004E19C0">
              <w:rPr>
                <w:b/>
                <w:bCs/>
              </w:rPr>
              <w:t xml:space="preserve"> </w:t>
            </w:r>
            <w:r w:rsidRPr="00FB01AD">
              <w:t>This case study demonstrates the effectiveness of the IUIH model of care in improving access to healthcare for Aboriginal and</w:t>
            </w:r>
            <w:r w:rsidR="004E19C0">
              <w:t>/or</w:t>
            </w:r>
            <w:r w:rsidRPr="00FB01AD">
              <w:t xml:space="preserve"> Torres Strait Islander people</w:t>
            </w:r>
            <w:r w:rsidR="00E40A3E">
              <w:t xml:space="preserve"> and the potential value in IUIH retaining margins that are currently retained by existing administration agencies (i.e. PHNs)</w:t>
            </w:r>
            <w:r w:rsidRPr="00FB01AD">
              <w:t xml:space="preserve">. The IUIH collaborative approach and its focus on culturally sensitive care have led to significant improvements in health outcomes for this population. </w:t>
            </w:r>
          </w:p>
          <w:p w14:paraId="597D4C40" w14:textId="4F3F8037" w:rsidR="00D53017" w:rsidRPr="00AD0C56" w:rsidRDefault="00FB01AD" w:rsidP="00985706">
            <w:pPr>
              <w:pStyle w:val="BodyText"/>
            </w:pPr>
            <w:r w:rsidRPr="00FB01AD">
              <w:t xml:space="preserve">The findings from the IUIH CCSS program evaluation are particularly relevant to the </w:t>
            </w:r>
            <w:r w:rsidR="004E19C0">
              <w:t>R</w:t>
            </w:r>
            <w:r w:rsidRPr="00FB01AD">
              <w:t xml:space="preserve">eview. The evaluation provides valuable insights into the strengths and weaknesses of the </w:t>
            </w:r>
            <w:r w:rsidR="004E19C0">
              <w:t xml:space="preserve">ITC </w:t>
            </w:r>
            <w:r w:rsidRPr="00FB01AD">
              <w:t xml:space="preserve">program and </w:t>
            </w:r>
            <w:r w:rsidR="00E40A3E">
              <w:t xml:space="preserve">has </w:t>
            </w:r>
            <w:r w:rsidRPr="00FB01AD">
              <w:t>inform</w:t>
            </w:r>
            <w:r w:rsidR="00E40A3E">
              <w:t>ed</w:t>
            </w:r>
            <w:r w:rsidRPr="00FB01AD">
              <w:t xml:space="preserve"> the development of recommendations.</w:t>
            </w:r>
          </w:p>
        </w:tc>
      </w:tr>
    </w:tbl>
    <w:p w14:paraId="42A7786E" w14:textId="77777777" w:rsidR="00070AC6" w:rsidRDefault="00070AC6" w:rsidP="00292E56">
      <w:pPr>
        <w:pStyle w:val="BodyText"/>
        <w:rPr>
          <w:highlight w:val="yellow"/>
        </w:rPr>
      </w:pPr>
    </w:p>
    <w:p w14:paraId="24A0A08D" w14:textId="77777777" w:rsidR="00985706" w:rsidRDefault="00985706">
      <w:pPr>
        <w:rPr>
          <w:b/>
          <w:bCs/>
          <w:sz w:val="20"/>
          <w:szCs w:val="18"/>
        </w:rPr>
      </w:pPr>
      <w:bookmarkStart w:id="72" w:name="_Ref145242259"/>
      <w:r>
        <w:br w:type="page"/>
      </w:r>
    </w:p>
    <w:p w14:paraId="2DC3DDFE" w14:textId="6DE5FE32" w:rsidR="00070AC6" w:rsidRPr="00B65F7F" w:rsidRDefault="00070AC6" w:rsidP="00070AC6">
      <w:pPr>
        <w:pStyle w:val="CaptionBox"/>
        <w:rPr>
          <w:bCs w:val="0"/>
        </w:rPr>
      </w:pPr>
      <w:bookmarkStart w:id="73" w:name="_Ref156738777"/>
      <w:bookmarkStart w:id="74" w:name="_Toc156932055"/>
      <w:r w:rsidRPr="00B65F7F">
        <w:lastRenderedPageBreak/>
        <w:t xml:space="preserve">Box </w:t>
      </w:r>
      <w:r w:rsidRPr="00B65F7F">
        <w:fldChar w:fldCharType="begin"/>
      </w:r>
      <w:r w:rsidRPr="00B65F7F">
        <w:instrText xml:space="preserve"> SEQ Box \* ARABIC </w:instrText>
      </w:r>
      <w:r w:rsidRPr="00B65F7F">
        <w:fldChar w:fldCharType="separate"/>
      </w:r>
      <w:r w:rsidR="00934D5E">
        <w:rPr>
          <w:noProof/>
        </w:rPr>
        <w:t>8</w:t>
      </w:r>
      <w:r w:rsidRPr="00B65F7F">
        <w:fldChar w:fldCharType="end"/>
      </w:r>
      <w:bookmarkEnd w:id="72"/>
      <w:bookmarkEnd w:id="73"/>
      <w:r w:rsidRPr="00B65F7F">
        <w:t>: Nukal Murra case study</w:t>
      </w:r>
      <w:bookmarkEnd w:id="74"/>
    </w:p>
    <w:tbl>
      <w:tblPr>
        <w:tblW w:w="9776" w:type="dxa"/>
        <w:tblBorders>
          <w:top w:val="single" w:sz="4" w:space="0" w:color="0196A7" w:themeColor="accent3"/>
          <w:left w:val="single" w:sz="4" w:space="0" w:color="0196A7" w:themeColor="accent3"/>
          <w:bottom w:val="single" w:sz="4" w:space="0" w:color="0196A7" w:themeColor="accent3"/>
          <w:right w:val="single" w:sz="4" w:space="0" w:color="0196A7" w:themeColor="accent3"/>
        </w:tblBorders>
        <w:shd w:val="clear" w:color="auto" w:fill="F2F2F2"/>
        <w:tblLayout w:type="fixed"/>
        <w:tblLook w:val="04A0" w:firstRow="1" w:lastRow="0" w:firstColumn="1" w:lastColumn="0" w:noHBand="0" w:noVBand="1"/>
      </w:tblPr>
      <w:tblGrid>
        <w:gridCol w:w="9776"/>
      </w:tblGrid>
      <w:tr w:rsidR="00070AC6" w:rsidRPr="00B65F7F" w14:paraId="2D603F46" w14:textId="77777777" w:rsidTr="0005256F">
        <w:tc>
          <w:tcPr>
            <w:tcW w:w="9776" w:type="dxa"/>
            <w:shd w:val="clear" w:color="auto" w:fill="F2F2F2"/>
          </w:tcPr>
          <w:p w14:paraId="4E281E6F" w14:textId="77777777" w:rsidR="00070AC6" w:rsidRPr="00B65F7F" w:rsidRDefault="00070AC6" w:rsidP="00985706">
            <w:pPr>
              <w:pStyle w:val="BodyText"/>
            </w:pPr>
            <w:r w:rsidRPr="00B65F7F">
              <w:t xml:space="preserve">The Nukal Murra Alliance brings together the Western Queensland Primary Health Network (WQPHN) and 4 </w:t>
            </w:r>
            <w:r>
              <w:t>Aboriginal and/or Torres Strait Islander</w:t>
            </w:r>
            <w:r w:rsidRPr="00B65F7F">
              <w:t xml:space="preserve"> Community Controlled Health Services (AICCHS) in a regionally focused, culturally informed partnership to improve the health, social and emotional wellbeing of communities.</w:t>
            </w:r>
          </w:p>
          <w:p w14:paraId="742454E6" w14:textId="77777777" w:rsidR="00070AC6" w:rsidRPr="00B65F7F" w:rsidRDefault="00070AC6" w:rsidP="00985706">
            <w:pPr>
              <w:pStyle w:val="BodyText"/>
            </w:pPr>
            <w:r w:rsidRPr="00B65F7F">
              <w:t xml:space="preserve">The naming of </w:t>
            </w:r>
            <w:r>
              <w:t>‘</w:t>
            </w:r>
            <w:r w:rsidRPr="00F0334E">
              <w:t>Nukal Murra</w:t>
            </w:r>
            <w:r>
              <w:t>’</w:t>
            </w:r>
            <w:r w:rsidRPr="00B65F7F">
              <w:t xml:space="preserve"> combines </w:t>
            </w:r>
            <w:r>
              <w:t>2</w:t>
            </w:r>
            <w:r w:rsidRPr="00B65F7F">
              <w:t xml:space="preserve"> traditional languages from the Western Queensland catchment</w:t>
            </w:r>
            <w:r>
              <w:t>:</w:t>
            </w:r>
            <w:r w:rsidRPr="00B65F7F">
              <w:t> </w:t>
            </w:r>
            <w:r>
              <w:t>‘</w:t>
            </w:r>
            <w:r w:rsidRPr="00F0334E">
              <w:t>Nukal</w:t>
            </w:r>
            <w:r>
              <w:t>’</w:t>
            </w:r>
            <w:r w:rsidRPr="00B65F7F">
              <w:t xml:space="preserve"> mean</w:t>
            </w:r>
            <w:r>
              <w:t>s</w:t>
            </w:r>
            <w:r w:rsidRPr="00B65F7F">
              <w:t xml:space="preserve"> ‘plenty or many’ in the language of the lower gulf</w:t>
            </w:r>
            <w:r>
              <w:t>,</w:t>
            </w:r>
            <w:r w:rsidRPr="00B65F7F">
              <w:t xml:space="preserve"> and </w:t>
            </w:r>
            <w:r>
              <w:t>‘</w:t>
            </w:r>
            <w:r w:rsidRPr="00F0334E">
              <w:t>Murra</w:t>
            </w:r>
            <w:r>
              <w:t>’</w:t>
            </w:r>
            <w:r w:rsidRPr="00B65F7F">
              <w:rPr>
                <w:i/>
                <w:iCs/>
              </w:rPr>
              <w:t> </w:t>
            </w:r>
            <w:r w:rsidRPr="00B65F7F">
              <w:t>mean</w:t>
            </w:r>
            <w:r>
              <w:t>s</w:t>
            </w:r>
            <w:r w:rsidRPr="00B65F7F">
              <w:t xml:space="preserve"> ‘hand or hands’ in the language of Central West and South West.</w:t>
            </w:r>
          </w:p>
          <w:p w14:paraId="30D9EDD2" w14:textId="77777777" w:rsidR="00070AC6" w:rsidRPr="00B65F7F" w:rsidRDefault="00070AC6" w:rsidP="00985706">
            <w:pPr>
              <w:pStyle w:val="BodyText"/>
            </w:pPr>
            <w:r w:rsidRPr="00B65F7F">
              <w:t>Nukal Murra’s membership is made up of the following ACCHOs:</w:t>
            </w:r>
          </w:p>
          <w:p w14:paraId="33856B47" w14:textId="77777777" w:rsidR="00070AC6" w:rsidRPr="00B65F7F" w:rsidRDefault="00070AC6" w:rsidP="00985706">
            <w:pPr>
              <w:pStyle w:val="ListBullet2"/>
              <w:rPr>
                <w:rFonts w:eastAsia="Roboto"/>
              </w:rPr>
            </w:pPr>
            <w:r w:rsidRPr="00B65F7F">
              <w:rPr>
                <w:rFonts w:eastAsia="Roboto"/>
              </w:rPr>
              <w:t>Cunnamull</w:t>
            </w:r>
            <w:r>
              <w:rPr>
                <w:rFonts w:eastAsia="Roboto"/>
              </w:rPr>
              <w:t>a</w:t>
            </w:r>
            <w:r w:rsidRPr="00B65F7F">
              <w:rPr>
                <w:rFonts w:eastAsia="Roboto"/>
              </w:rPr>
              <w:t xml:space="preserve"> Corporate for Health</w:t>
            </w:r>
          </w:p>
          <w:p w14:paraId="20716267" w14:textId="1F13CDDD" w:rsidR="00070AC6" w:rsidRPr="00B65F7F" w:rsidRDefault="00070AC6" w:rsidP="00985706">
            <w:pPr>
              <w:pStyle w:val="ListBullet2"/>
              <w:rPr>
                <w:rFonts w:eastAsia="Roboto"/>
              </w:rPr>
            </w:pPr>
            <w:r w:rsidRPr="00B65F7F">
              <w:rPr>
                <w:rFonts w:eastAsia="Roboto"/>
              </w:rPr>
              <w:t xml:space="preserve">Charleville and Western Areas </w:t>
            </w:r>
            <w:r>
              <w:rPr>
                <w:rFonts w:eastAsia="Roboto"/>
              </w:rPr>
              <w:t>Aboriginal and/or Torres Str</w:t>
            </w:r>
            <w:r w:rsidR="00655652">
              <w:rPr>
                <w:rFonts w:eastAsia="Roboto"/>
              </w:rPr>
              <w:t>a</w:t>
            </w:r>
            <w:r>
              <w:rPr>
                <w:rFonts w:eastAsia="Roboto"/>
              </w:rPr>
              <w:t>ait Islander</w:t>
            </w:r>
            <w:r w:rsidRPr="00B65F7F">
              <w:rPr>
                <w:rFonts w:eastAsia="Roboto"/>
              </w:rPr>
              <w:t xml:space="preserve"> Community Health Limited</w:t>
            </w:r>
          </w:p>
          <w:p w14:paraId="38D8DA91" w14:textId="77777777" w:rsidR="00070AC6" w:rsidRPr="00B65F7F" w:rsidRDefault="00070AC6" w:rsidP="00985706">
            <w:pPr>
              <w:pStyle w:val="ListBullet2"/>
              <w:rPr>
                <w:rFonts w:eastAsia="Roboto"/>
              </w:rPr>
            </w:pPr>
            <w:r w:rsidRPr="00B65F7F">
              <w:rPr>
                <w:rFonts w:eastAsia="Roboto"/>
              </w:rPr>
              <w:t>Gidgee Healing</w:t>
            </w:r>
          </w:p>
          <w:p w14:paraId="7245BBA6" w14:textId="77777777" w:rsidR="00070AC6" w:rsidRPr="00B65F7F" w:rsidRDefault="00070AC6" w:rsidP="00985706">
            <w:pPr>
              <w:pStyle w:val="ListBullet2"/>
              <w:rPr>
                <w:rFonts w:eastAsia="Roboto"/>
              </w:rPr>
            </w:pPr>
            <w:r w:rsidRPr="00B65F7F">
              <w:rPr>
                <w:rFonts w:eastAsia="Roboto"/>
              </w:rPr>
              <w:t xml:space="preserve">Goondir Health Services. </w:t>
            </w:r>
          </w:p>
          <w:p w14:paraId="783CBA60" w14:textId="77777777" w:rsidR="00070AC6" w:rsidRPr="00B65F7F" w:rsidRDefault="00070AC6" w:rsidP="00985706">
            <w:pPr>
              <w:pStyle w:val="BodyText1stparaafterlist"/>
            </w:pPr>
            <w:r w:rsidRPr="00B65F7F">
              <w:t xml:space="preserve">Supporting their work, the WQPHN provides for an Alliance Contract to support innovation and co-commissioning of mental health and chronic disease support </w:t>
            </w:r>
            <w:r w:rsidR="000E46DD">
              <w:t>services</w:t>
            </w:r>
            <w:r w:rsidRPr="00B65F7F">
              <w:t>.</w:t>
            </w:r>
          </w:p>
          <w:p w14:paraId="4CC6E471" w14:textId="77777777" w:rsidR="00070AC6" w:rsidRPr="00B65F7F" w:rsidRDefault="00070AC6" w:rsidP="00985706">
            <w:pPr>
              <w:pStyle w:val="BodyText"/>
            </w:pPr>
            <w:r w:rsidRPr="00B65F7F">
              <w:t xml:space="preserve">Nukal Murra reflects a joint aspiration of its members to create greater service alignment, integration and consumer engagement to improve the health outcomes of </w:t>
            </w:r>
            <w:r>
              <w:t>Aboriginal and/or Torres Strait Islander</w:t>
            </w:r>
            <w:r w:rsidRPr="00B65F7F">
              <w:t xml:space="preserve"> people in Western Queensland. This is achieved by the members (including the WQPHN) undertaking the following work collaboratively with respect to the Relevant Health </w:t>
            </w:r>
            <w:r>
              <w:t>Programs</w:t>
            </w:r>
            <w:r w:rsidRPr="00B65F7F">
              <w:t xml:space="preserve">: </w:t>
            </w:r>
          </w:p>
          <w:p w14:paraId="0536AEBA" w14:textId="77777777" w:rsidR="00070AC6" w:rsidRPr="00B65F7F" w:rsidRDefault="00070AC6" w:rsidP="00985706">
            <w:pPr>
              <w:pStyle w:val="ListBullet2"/>
              <w:rPr>
                <w:rFonts w:eastAsia="Roboto"/>
              </w:rPr>
            </w:pPr>
            <w:r>
              <w:rPr>
                <w:rFonts w:eastAsia="Roboto"/>
              </w:rPr>
              <w:t>n</w:t>
            </w:r>
            <w:r w:rsidRPr="00B65F7F">
              <w:rPr>
                <w:rFonts w:eastAsia="Roboto"/>
              </w:rPr>
              <w:t>eeds identification</w:t>
            </w:r>
          </w:p>
          <w:p w14:paraId="1DD9C9B9" w14:textId="77777777" w:rsidR="00070AC6" w:rsidRPr="00B65F7F" w:rsidRDefault="00070AC6" w:rsidP="00985706">
            <w:pPr>
              <w:pStyle w:val="ListBullet2"/>
              <w:rPr>
                <w:rFonts w:eastAsia="Roboto"/>
              </w:rPr>
            </w:pPr>
            <w:r>
              <w:rPr>
                <w:rFonts w:eastAsia="Roboto"/>
              </w:rPr>
              <w:t>s</w:t>
            </w:r>
            <w:r w:rsidRPr="00B65F7F">
              <w:rPr>
                <w:rFonts w:eastAsia="Roboto"/>
              </w:rPr>
              <w:t xml:space="preserve">ervice design </w:t>
            </w:r>
          </w:p>
          <w:p w14:paraId="471C81DE" w14:textId="77777777" w:rsidR="00070AC6" w:rsidRPr="00B65F7F" w:rsidRDefault="00070AC6" w:rsidP="00985706">
            <w:pPr>
              <w:pStyle w:val="ListBullet2"/>
              <w:rPr>
                <w:rFonts w:eastAsia="Roboto"/>
              </w:rPr>
            </w:pPr>
            <w:r>
              <w:rPr>
                <w:rFonts w:eastAsia="Roboto"/>
              </w:rPr>
              <w:t>f</w:t>
            </w:r>
            <w:r w:rsidRPr="00B65F7F">
              <w:rPr>
                <w:rFonts w:eastAsia="Roboto"/>
              </w:rPr>
              <w:t xml:space="preserve">unding allocation </w:t>
            </w:r>
          </w:p>
          <w:p w14:paraId="2BAEFC50" w14:textId="77777777" w:rsidR="00070AC6" w:rsidRPr="00B65F7F" w:rsidRDefault="00070AC6" w:rsidP="00985706">
            <w:pPr>
              <w:pStyle w:val="ListBullet2"/>
              <w:rPr>
                <w:rFonts w:eastAsia="Roboto"/>
              </w:rPr>
            </w:pPr>
            <w:r>
              <w:rPr>
                <w:rFonts w:eastAsia="Roboto"/>
              </w:rPr>
              <w:t>s</w:t>
            </w:r>
            <w:r w:rsidRPr="00B65F7F">
              <w:rPr>
                <w:rFonts w:eastAsia="Roboto"/>
              </w:rPr>
              <w:t xml:space="preserve">ervice consistency </w:t>
            </w:r>
          </w:p>
          <w:p w14:paraId="73125AA8" w14:textId="77777777" w:rsidR="00070AC6" w:rsidRPr="00B65F7F" w:rsidRDefault="00070AC6" w:rsidP="00985706">
            <w:pPr>
              <w:pStyle w:val="ListBullet2"/>
              <w:rPr>
                <w:rFonts w:eastAsia="Roboto"/>
              </w:rPr>
            </w:pPr>
            <w:r>
              <w:rPr>
                <w:rFonts w:eastAsia="Roboto"/>
              </w:rPr>
              <w:t>p</w:t>
            </w:r>
            <w:r w:rsidRPr="00B65F7F">
              <w:rPr>
                <w:rFonts w:eastAsia="Roboto"/>
              </w:rPr>
              <w:t>urchasing of goods</w:t>
            </w:r>
            <w:r>
              <w:rPr>
                <w:rFonts w:eastAsia="Roboto"/>
              </w:rPr>
              <w:t>.</w:t>
            </w:r>
          </w:p>
          <w:p w14:paraId="222CD7D1" w14:textId="77777777" w:rsidR="00070AC6" w:rsidRPr="00B65F7F" w:rsidRDefault="00070AC6" w:rsidP="00985706">
            <w:pPr>
              <w:pStyle w:val="BodyText1stparaafterlist"/>
              <w:rPr>
                <w:highlight w:val="yellow"/>
              </w:rPr>
            </w:pPr>
            <w:r w:rsidRPr="00B65F7F">
              <w:rPr>
                <w:b/>
              </w:rPr>
              <w:t xml:space="preserve">Why this is important in the context of the </w:t>
            </w:r>
            <w:r w:rsidR="00FA71C6">
              <w:rPr>
                <w:b/>
              </w:rPr>
              <w:t>R</w:t>
            </w:r>
            <w:r w:rsidRPr="00B65F7F">
              <w:rPr>
                <w:b/>
              </w:rPr>
              <w:t xml:space="preserve">eview: </w:t>
            </w:r>
            <w:r w:rsidRPr="00B65F7F">
              <w:t xml:space="preserve">The regional approach, whereby multiple member services make-up </w:t>
            </w:r>
            <w:r>
              <w:t xml:space="preserve">the Nukal </w:t>
            </w:r>
            <w:r w:rsidR="00BC0876">
              <w:t>Murra</w:t>
            </w:r>
            <w:r>
              <w:t xml:space="preserve"> Alliance</w:t>
            </w:r>
            <w:r w:rsidRPr="00B65F7F">
              <w:t>, is a</w:t>
            </w:r>
            <w:r>
              <w:t xml:space="preserve"> further</w:t>
            </w:r>
            <w:r w:rsidRPr="00B65F7F">
              <w:t xml:space="preserve"> example of a regional approach </w:t>
            </w:r>
            <w:r>
              <w:t xml:space="preserve">(working in concert with a PHN) </w:t>
            </w:r>
            <w:r w:rsidRPr="00B65F7F">
              <w:t>outlined as part of Arrangement A2, enabling economies of scale and a regionally consistent approach responding to community needs</w:t>
            </w:r>
            <w:r w:rsidR="005A7833">
              <w:t xml:space="preserve"> and priorities</w:t>
            </w:r>
            <w:r w:rsidRPr="00B65F7F">
              <w:t>.</w:t>
            </w:r>
          </w:p>
        </w:tc>
      </w:tr>
    </w:tbl>
    <w:p w14:paraId="60682BCE" w14:textId="77777777" w:rsidR="000D739F" w:rsidRDefault="000D739F" w:rsidP="00985706">
      <w:pPr>
        <w:pStyle w:val="BodyText"/>
      </w:pPr>
    </w:p>
    <w:p w14:paraId="176573B3" w14:textId="5524FC2F" w:rsidR="00CA09AE" w:rsidRPr="00CA09AE" w:rsidRDefault="00CA09AE" w:rsidP="00985706">
      <w:pPr>
        <w:pStyle w:val="Heading2"/>
      </w:pPr>
      <w:bookmarkStart w:id="75" w:name="_Toc156932005"/>
      <w:r w:rsidRPr="00CA09AE">
        <w:t>Additional future-state funding arrangements considered</w:t>
      </w:r>
      <w:bookmarkEnd w:id="75"/>
      <w:r w:rsidRPr="00CA09AE">
        <w:t xml:space="preserve"> </w:t>
      </w:r>
    </w:p>
    <w:p w14:paraId="2A146927" w14:textId="77777777" w:rsidR="00F35BDF" w:rsidRDefault="00F35BDF" w:rsidP="00985706">
      <w:pPr>
        <w:pStyle w:val="BodyText"/>
      </w:pPr>
      <w:r>
        <w:t>In addition to the recommended future-state funding arrangement, stakeholders considered 2 further future</w:t>
      </w:r>
      <w:r w:rsidR="00B058B4">
        <w:t>-</w:t>
      </w:r>
      <w:r>
        <w:t>state funding arrangements. While</w:t>
      </w:r>
      <w:r w:rsidR="00A53BE7">
        <w:t xml:space="preserve"> </w:t>
      </w:r>
      <w:r>
        <w:t>these did not receive the ultimate support of stakeholders</w:t>
      </w:r>
      <w:r w:rsidR="00B058B4">
        <w:t xml:space="preserve"> or the Review Team</w:t>
      </w:r>
      <w:r>
        <w:t>, they were considered in detail prior to and</w:t>
      </w:r>
      <w:r w:rsidR="00B058B4">
        <w:t>, with respect to Arrangement B,</w:t>
      </w:r>
      <w:r>
        <w:t xml:space="preserve"> during the co-design yarns.</w:t>
      </w:r>
    </w:p>
    <w:p w14:paraId="6C12CFD0" w14:textId="77777777" w:rsidR="00F35BDF" w:rsidRPr="00B65F7F" w:rsidRDefault="00F35BDF" w:rsidP="00985706">
      <w:pPr>
        <w:pStyle w:val="BodyText"/>
      </w:pPr>
      <w:r>
        <w:t>The additional future-state funding arrangements considered are noted below:</w:t>
      </w:r>
    </w:p>
    <w:p w14:paraId="28BB45D1" w14:textId="77777777" w:rsidR="00CA09AE" w:rsidRDefault="00CA09AE" w:rsidP="00985706">
      <w:pPr>
        <w:pStyle w:val="ListBullet2"/>
      </w:pPr>
      <w:r w:rsidRPr="00B65F7F">
        <w:rPr>
          <w:b/>
        </w:rPr>
        <w:t>Arrangement B – Direct model:</w:t>
      </w:r>
      <w:r w:rsidRPr="00B65F7F">
        <w:t xml:space="preserve"> Directly fund ACCHOs and other relevant service providers to deliver the </w:t>
      </w:r>
      <w:r w:rsidR="002B5174">
        <w:t>Relevant Health Programs</w:t>
      </w:r>
      <w:r w:rsidR="00CE33C3">
        <w:t xml:space="preserve"> </w:t>
      </w:r>
      <w:r w:rsidR="00A53BE7">
        <w:t>within</w:t>
      </w:r>
      <w:r w:rsidR="00CE33C3">
        <w:t xml:space="preserve"> their catchment.</w:t>
      </w:r>
    </w:p>
    <w:p w14:paraId="337221F1" w14:textId="77777777" w:rsidR="00CA09AE" w:rsidRDefault="00CA09AE" w:rsidP="00985706">
      <w:pPr>
        <w:pStyle w:val="ListBullet2"/>
        <w:rPr>
          <w:b/>
        </w:rPr>
      </w:pPr>
      <w:r w:rsidRPr="00F35BDF">
        <w:rPr>
          <w:b/>
        </w:rPr>
        <w:t xml:space="preserve">Arrangement C – National model: </w:t>
      </w:r>
      <w:r w:rsidR="00F35BDF" w:rsidRPr="00F35BDF">
        <w:t>Directly f</w:t>
      </w:r>
      <w:r w:rsidRPr="00F35BDF">
        <w:t xml:space="preserve">und NACCHO to administer the </w:t>
      </w:r>
      <w:r w:rsidR="002B5174">
        <w:t>Relevant Health Programs</w:t>
      </w:r>
      <w:r w:rsidRPr="00F35BDF">
        <w:t xml:space="preserve"> as the </w:t>
      </w:r>
      <w:r w:rsidR="00CE33C3">
        <w:t xml:space="preserve">sole </w:t>
      </w:r>
      <w:r w:rsidRPr="00F35BDF">
        <w:t>funding body</w:t>
      </w:r>
      <w:r w:rsidR="00CE33C3">
        <w:t xml:space="preserve"> across </w:t>
      </w:r>
      <w:r w:rsidR="00E65DC2">
        <w:t>Australia</w:t>
      </w:r>
      <w:r w:rsidR="00CE33C3">
        <w:t>.</w:t>
      </w:r>
    </w:p>
    <w:p w14:paraId="3C8CEB2D" w14:textId="6C3215DC" w:rsidR="00CA09AE" w:rsidRPr="00B65F7F" w:rsidRDefault="00CA09AE" w:rsidP="00985706">
      <w:pPr>
        <w:pStyle w:val="Heading3"/>
      </w:pPr>
      <w:r w:rsidRPr="00B65F7F">
        <w:lastRenderedPageBreak/>
        <w:t xml:space="preserve"> Arrangement B (</w:t>
      </w:r>
      <w:r w:rsidR="00BC0876">
        <w:t>d</w:t>
      </w:r>
      <w:r w:rsidRPr="00B65F7F">
        <w:t>irect model)</w:t>
      </w:r>
    </w:p>
    <w:p w14:paraId="0526E1E9" w14:textId="77777777" w:rsidR="00CA09AE" w:rsidRPr="00B65F7F" w:rsidRDefault="00CA09AE" w:rsidP="00985706">
      <w:pPr>
        <w:pStyle w:val="BodyText"/>
      </w:pPr>
      <w:r w:rsidRPr="00B65F7F">
        <w:t xml:space="preserve">Arrangement B involves ACCHOs and other relevant service providers receiving </w:t>
      </w:r>
      <w:r w:rsidRPr="00987BA3">
        <w:rPr>
          <w:bCs/>
        </w:rPr>
        <w:t xml:space="preserve">direct funding from </w:t>
      </w:r>
      <w:r w:rsidR="00BC0876">
        <w:rPr>
          <w:bCs/>
        </w:rPr>
        <w:t>DoHAC</w:t>
      </w:r>
      <w:r w:rsidRPr="00B65F7F">
        <w:t xml:space="preserve">, enabling them to provide the </w:t>
      </w:r>
      <w:r w:rsidR="002B5174">
        <w:t>Relevant Health Programs</w:t>
      </w:r>
      <w:r w:rsidRPr="00B65F7F">
        <w:t xml:space="preserve">. </w:t>
      </w:r>
    </w:p>
    <w:p w14:paraId="3FB562D7" w14:textId="77777777" w:rsidR="00CA09AE" w:rsidRDefault="00CA09AE" w:rsidP="00985706">
      <w:pPr>
        <w:pStyle w:val="BodyText"/>
      </w:pPr>
      <w:r w:rsidRPr="00B65F7F">
        <w:t xml:space="preserve">Other relevant service providers are explicitly included to reflect that there may be areas where ACCHOs do not currently deliver services and/or because of the desire among </w:t>
      </w:r>
      <w:r>
        <w:t>Aboriginal and/or Torres Strait Islander</w:t>
      </w:r>
      <w:r w:rsidRPr="00B65F7F">
        <w:t xml:space="preserve"> communities to receive services from non-Indigenous providers. </w:t>
      </w:r>
    </w:p>
    <w:p w14:paraId="2C9D989D" w14:textId="7C32D17E" w:rsidR="00CA09AE" w:rsidRDefault="00CA09AE" w:rsidP="00985706">
      <w:pPr>
        <w:pStyle w:val="BodyText"/>
      </w:pPr>
      <w:r>
        <w:t>A visual representation of the arrangement is given in</w:t>
      </w:r>
      <w:r w:rsidR="00F91A1D">
        <w:t xml:space="preserve"> </w:t>
      </w:r>
      <w:r w:rsidR="00F91A1D">
        <w:fldChar w:fldCharType="begin"/>
      </w:r>
      <w:r w:rsidR="00F91A1D">
        <w:instrText xml:space="preserve"> REF _Ref152002361 \h </w:instrText>
      </w:r>
      <w:r w:rsidR="00F91A1D">
        <w:fldChar w:fldCharType="separate"/>
      </w:r>
      <w:r w:rsidR="00934D5E">
        <w:t xml:space="preserve">Figure </w:t>
      </w:r>
      <w:r w:rsidR="00934D5E">
        <w:rPr>
          <w:noProof/>
        </w:rPr>
        <w:t>5</w:t>
      </w:r>
      <w:r w:rsidR="00F91A1D">
        <w:fldChar w:fldCharType="end"/>
      </w:r>
      <w:r>
        <w:t>.</w:t>
      </w:r>
    </w:p>
    <w:p w14:paraId="34F495F4" w14:textId="241B4D1B" w:rsidR="00BC0876" w:rsidRPr="00B65F7F" w:rsidRDefault="00370C01" w:rsidP="00BC0876">
      <w:pPr>
        <w:pStyle w:val="CaptionFigure"/>
        <w:rPr>
          <w:rFonts w:ascii="Roboto" w:eastAsia="Roboto" w:hAnsi="Roboto" w:cs="Roboto"/>
          <w:b w:val="0"/>
          <w:bCs/>
          <w:lang w:val="en-AU"/>
        </w:rPr>
      </w:pPr>
      <w:bookmarkStart w:id="76" w:name="_Ref152002361"/>
      <w:bookmarkStart w:id="77" w:name="_Toc156932032"/>
      <w:r>
        <w:t xml:space="preserve">Figure </w:t>
      </w:r>
      <w:r>
        <w:fldChar w:fldCharType="begin"/>
      </w:r>
      <w:r>
        <w:instrText>SEQ Figure \* ARABIC</w:instrText>
      </w:r>
      <w:r>
        <w:fldChar w:fldCharType="separate"/>
      </w:r>
      <w:r w:rsidR="00934D5E">
        <w:rPr>
          <w:noProof/>
        </w:rPr>
        <w:t>5</w:t>
      </w:r>
      <w:r>
        <w:fldChar w:fldCharType="end"/>
      </w:r>
      <w:bookmarkEnd w:id="76"/>
      <w:r w:rsidR="00BC0876" w:rsidRPr="00B65F7F">
        <w:rPr>
          <w:lang w:val="en-AU"/>
        </w:rPr>
        <w:t>: Simple diagram of Arrangement B</w:t>
      </w:r>
      <w:bookmarkEnd w:id="77"/>
    </w:p>
    <w:p w14:paraId="26298018" w14:textId="77777777" w:rsidR="00CA09AE" w:rsidRPr="00B65F7F" w:rsidRDefault="00CA09AE" w:rsidP="00292E56">
      <w:pPr>
        <w:pStyle w:val="BodyText"/>
      </w:pPr>
      <w:r>
        <w:rPr>
          <w:noProof/>
        </w:rPr>
        <w:drawing>
          <wp:inline distT="0" distB="0" distL="0" distR="0" wp14:anchorId="474000DC" wp14:editId="6DBC9EEB">
            <wp:extent cx="2696453" cy="6111962"/>
            <wp:effectExtent l="0" t="6033" r="2858" b="2857"/>
            <wp:docPr id="2092818346" name="Picture 2092818346" descr="The diagram is a flow chart that uses dark circular and rectangular shapes and colour-coded arrows to illustrate the relationships between the parties in Arrangement B. The Australian Government Department of Health and Aged Care provides funding and oversight to service providers, both Aboriginal Community Controlled Health Organisation service providers and non-Indigenous service providers, to understand and meet community needs and to monitor and evaluate the programs. Within the health programs, the service providers deliver services to the communities and clients and report back to the department on the services and their outcome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818346" name="Picture 14" descr="The diagram is a flow chart that uses dark circular and rectangular shapes and colour-coded arrows to illustrate the relationships between the parties in Arrangement B. The Australian Government Department of Health and Aged Care provides funding and oversight to service providers, both Aboriginal Community Controlled Health Organisation service providers and non-Indigenous service providers, to understand and meet community needs and to monitor and evaluate the programs. Within the health programs, the service providers deliver services to the communities and clients and report back to the department on the services and their outcomes. &#10;"/>
                    <pic:cNvPicPr/>
                  </pic:nvPicPr>
                  <pic:blipFill>
                    <a:blip r:embed="rId35" cstate="print">
                      <a:extLst>
                        <a:ext uri="{28A0092B-C50C-407E-A947-70E740481C1C}">
                          <a14:useLocalDpi xmlns:a14="http://schemas.microsoft.com/office/drawing/2010/main"/>
                        </a:ext>
                      </a:extLst>
                    </a:blip>
                    <a:stretch>
                      <a:fillRect/>
                    </a:stretch>
                  </pic:blipFill>
                  <pic:spPr>
                    <a:xfrm rot="5400000">
                      <a:off x="0" y="0"/>
                      <a:ext cx="2735769" cy="6201077"/>
                    </a:xfrm>
                    <a:prstGeom prst="rect">
                      <a:avLst/>
                    </a:prstGeom>
                  </pic:spPr>
                </pic:pic>
              </a:graphicData>
            </a:graphic>
          </wp:inline>
        </w:drawing>
      </w:r>
    </w:p>
    <w:p w14:paraId="2123D304" w14:textId="73823307" w:rsidR="00CA09AE" w:rsidRPr="00B65F7F" w:rsidRDefault="00CA09AE" w:rsidP="00985706">
      <w:pPr>
        <w:pStyle w:val="Heading4"/>
      </w:pPr>
      <w:r w:rsidRPr="00B65F7F">
        <w:t>Summary of key functions of a service provider in a direct model</w:t>
      </w:r>
    </w:p>
    <w:p w14:paraId="76630010" w14:textId="77777777" w:rsidR="00CA09AE" w:rsidRPr="00B65F7F" w:rsidRDefault="00CA09AE" w:rsidP="00985706">
      <w:pPr>
        <w:pStyle w:val="BodyText"/>
      </w:pPr>
      <w:r w:rsidRPr="00B65F7F">
        <w:t xml:space="preserve">The key functions of the ACCHO or other relevant service providers in a </w:t>
      </w:r>
      <w:r w:rsidRPr="003133C7">
        <w:rPr>
          <w:bCs/>
        </w:rPr>
        <w:t>direct model</w:t>
      </w:r>
      <w:r w:rsidRPr="00B65F7F">
        <w:t xml:space="preserve"> would include (but not be limited to) the following for the </w:t>
      </w:r>
      <w:r w:rsidR="00F219E6">
        <w:t>R</w:t>
      </w:r>
      <w:r w:rsidRPr="00B65F7F">
        <w:t xml:space="preserve">elevant </w:t>
      </w:r>
      <w:r w:rsidR="00BC0876">
        <w:t>H</w:t>
      </w:r>
      <w:r w:rsidRPr="00B65F7F">
        <w:t xml:space="preserve">ealth </w:t>
      </w:r>
      <w:r w:rsidR="00BC0876">
        <w:t>Programs</w:t>
      </w:r>
      <w:r w:rsidRPr="00B65F7F">
        <w:t>:</w:t>
      </w:r>
    </w:p>
    <w:p w14:paraId="4F066E2E" w14:textId="77777777" w:rsidR="00CA09AE" w:rsidRPr="00CC4877" w:rsidRDefault="00CA09AE" w:rsidP="003B07D3">
      <w:pPr>
        <w:pStyle w:val="List1"/>
        <w:numPr>
          <w:ilvl w:val="0"/>
          <w:numId w:val="22"/>
        </w:numPr>
      </w:pPr>
      <w:r w:rsidRPr="00CC4877">
        <w:t>determine and document community need</w:t>
      </w:r>
      <w:r w:rsidR="005A7833" w:rsidRPr="00CC4877">
        <w:t xml:space="preserve"> and priorities</w:t>
      </w:r>
      <w:r w:rsidRPr="00CC4877">
        <w:t xml:space="preserve"> for the catchment that the organisation services; this may be done in collaboration with other organisations, such as PHNs, if determined useful by the funded organisation</w:t>
      </w:r>
    </w:p>
    <w:p w14:paraId="44BDCB07" w14:textId="77777777" w:rsidR="00CA09AE" w:rsidRPr="00CC4877" w:rsidRDefault="00CA09AE" w:rsidP="00CC4877">
      <w:pPr>
        <w:pStyle w:val="List1"/>
      </w:pPr>
      <w:r w:rsidRPr="00CC4877">
        <w:t xml:space="preserve">work with </w:t>
      </w:r>
      <w:r w:rsidR="00BC0876" w:rsidRPr="00CC4877">
        <w:t>DoHAC</w:t>
      </w:r>
      <w:r w:rsidRPr="00CC4877">
        <w:t xml:space="preserve"> to determine appropriate funding to meet identified needs and confirm outcome-focused reporting requirements</w:t>
      </w:r>
    </w:p>
    <w:p w14:paraId="4022B019" w14:textId="77777777" w:rsidR="00CA09AE" w:rsidRPr="00CC4877" w:rsidRDefault="00CA09AE" w:rsidP="00CC4877">
      <w:pPr>
        <w:pStyle w:val="List1"/>
      </w:pPr>
      <w:r w:rsidRPr="00CC4877">
        <w:t>deliver the funded service(s).</w:t>
      </w:r>
    </w:p>
    <w:p w14:paraId="0DCA7FC8" w14:textId="77777777" w:rsidR="00CA09AE" w:rsidRPr="00B65F7F" w:rsidRDefault="00CA09AE" w:rsidP="00985706">
      <w:pPr>
        <w:pStyle w:val="BodyText1stparaafterlist"/>
      </w:pPr>
      <w:r w:rsidRPr="00B65F7F">
        <w:t xml:space="preserve">To ensure that this option meets the principle of universal coverage and choice, relevant organisations across the nation, or </w:t>
      </w:r>
      <w:r w:rsidR="00BC0876">
        <w:t>DoHAC</w:t>
      </w:r>
      <w:r>
        <w:t>,</w:t>
      </w:r>
      <w:r w:rsidRPr="00B65F7F">
        <w:t xml:space="preserve"> would be required to determine and document community need</w:t>
      </w:r>
      <w:r w:rsidR="005A7833">
        <w:t xml:space="preserve">, priorities </w:t>
      </w:r>
      <w:r w:rsidRPr="00B65F7F">
        <w:t>and supply. The purpose of this would be to work towards a situation where there are no geographical areas without supply and</w:t>
      </w:r>
      <w:r>
        <w:t>,</w:t>
      </w:r>
      <w:r w:rsidRPr="00B65F7F">
        <w:t xml:space="preserve"> for regions and/or communities where the market and population size allows, that choice is provided. </w:t>
      </w:r>
    </w:p>
    <w:p w14:paraId="2C94E72F" w14:textId="438A9F63" w:rsidR="00CA09AE" w:rsidRPr="00BA3FA7" w:rsidRDefault="00CA09AE" w:rsidP="00985706">
      <w:pPr>
        <w:pStyle w:val="BodyText"/>
        <w:rPr>
          <w:bCs/>
        </w:rPr>
      </w:pPr>
      <w:r>
        <w:t>A description of t</w:t>
      </w:r>
      <w:r w:rsidRPr="00B65F7F">
        <w:t>he exact roles each organisation may play is provided below and</w:t>
      </w:r>
      <w:r>
        <w:t xml:space="preserve"> detailed further in </w:t>
      </w:r>
      <w:r w:rsidR="00F91A1D">
        <w:rPr>
          <w:b/>
          <w:bCs/>
        </w:rPr>
        <w:fldChar w:fldCharType="begin"/>
      </w:r>
      <w:r w:rsidR="00F91A1D">
        <w:instrText xml:space="preserve"> REF App7_notitle \h </w:instrText>
      </w:r>
      <w:r w:rsidR="00F91A1D">
        <w:rPr>
          <w:b/>
          <w:bCs/>
        </w:rPr>
      </w:r>
      <w:r w:rsidR="00F91A1D">
        <w:rPr>
          <w:b/>
          <w:bCs/>
        </w:rPr>
        <w:fldChar w:fldCharType="separate"/>
      </w:r>
      <w:r w:rsidR="00934D5E" w:rsidRPr="00B65F7F">
        <w:t xml:space="preserve">Appendix </w:t>
      </w:r>
      <w:r w:rsidR="00934D5E">
        <w:t>7</w:t>
      </w:r>
      <w:r w:rsidR="00F91A1D">
        <w:rPr>
          <w:b/>
          <w:bCs/>
        </w:rPr>
        <w:fldChar w:fldCharType="end"/>
      </w:r>
      <w:r w:rsidRPr="003133C7">
        <w:rPr>
          <w:bCs/>
        </w:rPr>
        <w:t>.</w:t>
      </w:r>
    </w:p>
    <w:p w14:paraId="6B5D1960" w14:textId="77777777" w:rsidR="00985706" w:rsidRDefault="00985706">
      <w:pPr>
        <w:rPr>
          <w:rFonts w:asciiTheme="majorHAnsi" w:eastAsiaTheme="majorEastAsia" w:hAnsiTheme="majorHAnsi" w:cs="Arial (Headings CS)"/>
          <w:b/>
          <w:color w:val="0196A7"/>
          <w:sz w:val="28"/>
          <w:lang w:eastAsia="en-US" w:bidi="en-US"/>
        </w:rPr>
      </w:pPr>
      <w:r>
        <w:br w:type="page"/>
      </w:r>
    </w:p>
    <w:p w14:paraId="6775D382" w14:textId="50914873" w:rsidR="00CA09AE" w:rsidRDefault="00985706" w:rsidP="00985706">
      <w:pPr>
        <w:pStyle w:val="Heading3"/>
      </w:pPr>
      <w:r>
        <w:lastRenderedPageBreak/>
        <w:t xml:space="preserve"> </w:t>
      </w:r>
      <w:r w:rsidR="00CA09AE" w:rsidRPr="00443C3F">
        <w:t>Arrangement C (</w:t>
      </w:r>
      <w:r w:rsidR="00BC0876">
        <w:t>n</w:t>
      </w:r>
      <w:r w:rsidR="00CA09AE" w:rsidRPr="00443C3F">
        <w:t>ational model)</w:t>
      </w:r>
    </w:p>
    <w:p w14:paraId="2E400F79" w14:textId="56BEF9CF" w:rsidR="00075135" w:rsidRPr="00B65F7F" w:rsidRDefault="00075135" w:rsidP="00075135">
      <w:pPr>
        <w:pStyle w:val="CaptionBox"/>
        <w:rPr>
          <w:bCs w:val="0"/>
        </w:rPr>
      </w:pPr>
      <w:bookmarkStart w:id="78" w:name="_Toc156932056"/>
      <w:r w:rsidRPr="00B65F7F">
        <w:t xml:space="preserve">Box </w:t>
      </w:r>
      <w:r w:rsidRPr="00B65F7F">
        <w:fldChar w:fldCharType="begin"/>
      </w:r>
      <w:r w:rsidRPr="00B65F7F">
        <w:instrText xml:space="preserve"> SEQ Box \* ARABIC </w:instrText>
      </w:r>
      <w:r w:rsidRPr="00B65F7F">
        <w:fldChar w:fldCharType="separate"/>
      </w:r>
      <w:r w:rsidR="00934D5E">
        <w:rPr>
          <w:noProof/>
        </w:rPr>
        <w:t>9</w:t>
      </w:r>
      <w:r w:rsidRPr="00B65F7F">
        <w:fldChar w:fldCharType="end"/>
      </w:r>
      <w:r w:rsidRPr="00B65F7F">
        <w:t xml:space="preserve">: </w:t>
      </w:r>
      <w:r>
        <w:t>Approach to developing Arrangement C</w:t>
      </w:r>
      <w:r w:rsidR="007B332D">
        <w:t xml:space="preserve"> and opportunity to explore further</w:t>
      </w:r>
      <w:bookmarkEnd w:id="78"/>
    </w:p>
    <w:tbl>
      <w:tblPr>
        <w:tblStyle w:val="NintiBox"/>
        <w:tblW w:w="9776" w:type="dxa"/>
        <w:tblLayout w:type="fixed"/>
        <w:tblLook w:val="0620" w:firstRow="1" w:lastRow="0" w:firstColumn="0" w:lastColumn="0" w:noHBand="1" w:noVBand="1"/>
      </w:tblPr>
      <w:tblGrid>
        <w:gridCol w:w="9776"/>
      </w:tblGrid>
      <w:tr w:rsidR="00075135" w:rsidRPr="00B65F7F" w14:paraId="1657ECC2" w14:textId="77777777" w:rsidTr="0067319F">
        <w:trPr>
          <w:trHeight w:val="756"/>
        </w:trPr>
        <w:tc>
          <w:tcPr>
            <w:tcW w:w="9776" w:type="dxa"/>
          </w:tcPr>
          <w:p w14:paraId="6A9E685A" w14:textId="77777777" w:rsidR="007B332D" w:rsidRPr="00985706" w:rsidRDefault="007B332D" w:rsidP="00985706">
            <w:pPr>
              <w:pStyle w:val="BodyText"/>
              <w:rPr>
                <w:b/>
                <w:bCs/>
              </w:rPr>
            </w:pPr>
            <w:r w:rsidRPr="00985706">
              <w:rPr>
                <w:b/>
                <w:bCs/>
              </w:rPr>
              <w:t xml:space="preserve">Approach to developing Arrangement C </w:t>
            </w:r>
          </w:p>
          <w:p w14:paraId="5A1624E7" w14:textId="77777777" w:rsidR="00075135" w:rsidRDefault="00075135" w:rsidP="00985706">
            <w:pPr>
              <w:pStyle w:val="BodyText"/>
            </w:pPr>
            <w:r>
              <w:t>A</w:t>
            </w:r>
            <w:r w:rsidRPr="00125DE2">
              <w:t xml:space="preserve">rrangement </w:t>
            </w:r>
            <w:r>
              <w:t xml:space="preserve">C </w:t>
            </w:r>
            <w:r w:rsidRPr="00125DE2">
              <w:t xml:space="preserve">was developed </w:t>
            </w:r>
            <w:r w:rsidR="00C44EB9">
              <w:t>based on</w:t>
            </w:r>
            <w:r w:rsidRPr="00125DE2">
              <w:t xml:space="preserve"> </w:t>
            </w:r>
            <w:r w:rsidR="00CD1ED3">
              <w:t xml:space="preserve">a number of </w:t>
            </w:r>
            <w:r w:rsidRPr="00125DE2">
              <w:t xml:space="preserve">conversations and collaboration with NACCHO. </w:t>
            </w:r>
            <w:r w:rsidR="007B332D">
              <w:t xml:space="preserve">The </w:t>
            </w:r>
            <w:r w:rsidR="007B332D" w:rsidRPr="00125DE2">
              <w:t>Review</w:t>
            </w:r>
            <w:r w:rsidRPr="00125DE2">
              <w:t xml:space="preserve"> Team was unable to develop, refine or validate this potential arrangement</w:t>
            </w:r>
            <w:r w:rsidR="00CD1ED3">
              <w:t xml:space="preserve"> other than with a small team at </w:t>
            </w:r>
            <w:r>
              <w:t>NACCHO</w:t>
            </w:r>
            <w:r w:rsidR="00CD1ED3">
              <w:t>. This means that unlike the other arrangements, Arrangement C has not been discussed at</w:t>
            </w:r>
            <w:r w:rsidR="00E719E4">
              <w:t xml:space="preserve"> </w:t>
            </w:r>
            <w:r w:rsidR="00CD1ED3">
              <w:t xml:space="preserve">length or validated with </w:t>
            </w:r>
            <w:r w:rsidRPr="00125DE2">
              <w:t>any other stakeholders such as the co-design participants. </w:t>
            </w:r>
          </w:p>
          <w:p w14:paraId="1E929473" w14:textId="77777777" w:rsidR="00075135" w:rsidRDefault="00075135" w:rsidP="00985706">
            <w:pPr>
              <w:pStyle w:val="BodyText"/>
            </w:pPr>
            <w:r w:rsidRPr="00F60B74">
              <w:t>Given this arrangement was not explored in-depth with workshop/co-design participants, it has been developed in collaboration with NACCHO to ensure that the arrangement can uphold the key principles of future funding arrangements, as identified by stakeholders. </w:t>
            </w:r>
          </w:p>
          <w:p w14:paraId="7855D425" w14:textId="77777777" w:rsidR="007B332D" w:rsidRPr="00985706" w:rsidRDefault="007B332D" w:rsidP="00985706">
            <w:pPr>
              <w:pStyle w:val="BodyText"/>
              <w:rPr>
                <w:b/>
                <w:bCs/>
              </w:rPr>
            </w:pPr>
            <w:r w:rsidRPr="00985706">
              <w:rPr>
                <w:b/>
                <w:bCs/>
              </w:rPr>
              <w:t>Opportunity to explore further</w:t>
            </w:r>
          </w:p>
          <w:p w14:paraId="0FB87D84" w14:textId="5CAE2303" w:rsidR="008D3A3F" w:rsidRDefault="008D3A3F" w:rsidP="00985706">
            <w:pPr>
              <w:pStyle w:val="BodyText"/>
            </w:pPr>
            <w:r>
              <w:rPr>
                <w:rFonts w:eastAsia="Roboto"/>
              </w:rPr>
              <w:t xml:space="preserve">Due to Arrangement C not </w:t>
            </w:r>
            <w:r w:rsidR="004A7D12">
              <w:rPr>
                <w:rFonts w:eastAsia="Roboto"/>
              </w:rPr>
              <w:t>being developed</w:t>
            </w:r>
            <w:r w:rsidR="00D6451D" w:rsidRPr="00125DE2">
              <w:t>, refine</w:t>
            </w:r>
            <w:r w:rsidR="007B332D">
              <w:t>d</w:t>
            </w:r>
            <w:r w:rsidR="00D6451D" w:rsidRPr="00125DE2">
              <w:t xml:space="preserve"> or validate</w:t>
            </w:r>
            <w:r w:rsidR="00D6451D">
              <w:t xml:space="preserve">d with stakeholders, it was excluded from the recommended </w:t>
            </w:r>
            <w:r w:rsidR="00865F7C">
              <w:t xml:space="preserve">future-state </w:t>
            </w:r>
            <w:r w:rsidR="00D6451D">
              <w:t>funding arrangement</w:t>
            </w:r>
            <w:r w:rsidR="007B332D">
              <w:t>s</w:t>
            </w:r>
            <w:r w:rsidR="00D6451D">
              <w:t xml:space="preserve">. </w:t>
            </w:r>
            <w:r w:rsidR="00B264B5">
              <w:t>However,</w:t>
            </w:r>
            <w:r w:rsidR="004A7D12">
              <w:t xml:space="preserve"> </w:t>
            </w:r>
            <w:r w:rsidR="007B332D">
              <w:t>during the validation and refinement of this report and recommendations,</w:t>
            </w:r>
            <w:r w:rsidR="004A7D12">
              <w:t xml:space="preserve"> the Review </w:t>
            </w:r>
            <w:r w:rsidR="00865F7C">
              <w:t>T</w:t>
            </w:r>
            <w:r w:rsidR="004A7D12">
              <w:t xml:space="preserve">eam, in collaboration with </w:t>
            </w:r>
            <w:r w:rsidR="00BC0876">
              <w:t>DoHAC</w:t>
            </w:r>
            <w:r w:rsidR="004A7D12">
              <w:t xml:space="preserve">, </w:t>
            </w:r>
            <w:r w:rsidR="007B332D">
              <w:t xml:space="preserve">agreed that Arrangement C </w:t>
            </w:r>
            <w:r w:rsidR="00B264B5">
              <w:t>may</w:t>
            </w:r>
            <w:r w:rsidR="007B332D">
              <w:t xml:space="preserve"> be considered as part of the Early Adopter </w:t>
            </w:r>
            <w:r w:rsidR="004A7D12">
              <w:t>Period</w:t>
            </w:r>
            <w:r w:rsidR="00B264B5">
              <w:t xml:space="preserve"> </w:t>
            </w:r>
            <w:r w:rsidR="00413FC9">
              <w:t xml:space="preserve">(EAP) </w:t>
            </w:r>
            <w:r w:rsidR="00B264B5">
              <w:t>(</w:t>
            </w:r>
            <w:r w:rsidR="007D5461">
              <w:t>P</w:t>
            </w:r>
            <w:r w:rsidR="00B264B5">
              <w:t>hase</w:t>
            </w:r>
            <w:r w:rsidR="007D5461">
              <w:t>s</w:t>
            </w:r>
            <w:r w:rsidR="00B264B5">
              <w:t xml:space="preserve"> </w:t>
            </w:r>
            <w:r w:rsidR="007D5461">
              <w:t>2</w:t>
            </w:r>
            <w:r w:rsidR="00B264B5">
              <w:t xml:space="preserve"> and </w:t>
            </w:r>
            <w:r w:rsidR="007D5461">
              <w:t>3</w:t>
            </w:r>
            <w:r w:rsidR="00B264B5">
              <w:t>)</w:t>
            </w:r>
            <w:r w:rsidR="007B332D">
              <w:t xml:space="preserve">, as outlined in </w:t>
            </w:r>
            <w:r w:rsidR="007B332D" w:rsidRPr="00857EB1">
              <w:t>the Transformation Plan</w:t>
            </w:r>
            <w:r w:rsidR="00857EB1" w:rsidRPr="00857EB1">
              <w:t xml:space="preserve"> (</w:t>
            </w:r>
            <w:r w:rsidR="00C94EE1">
              <w:fldChar w:fldCharType="begin"/>
            </w:r>
            <w:r w:rsidR="00C94EE1">
              <w:instrText xml:space="preserve"> REF Ch4_Plan4Xformn \r \h </w:instrText>
            </w:r>
            <w:r w:rsidR="00C94EE1">
              <w:fldChar w:fldCharType="separate"/>
            </w:r>
            <w:r w:rsidR="00934D5E">
              <w:t>Chapter 4</w:t>
            </w:r>
            <w:r w:rsidR="00C94EE1">
              <w:fldChar w:fldCharType="end"/>
            </w:r>
            <w:r w:rsidR="00857EB1" w:rsidRPr="00857EB1">
              <w:t>)</w:t>
            </w:r>
            <w:r w:rsidR="004A7D12" w:rsidRPr="00857EB1">
              <w:t>.</w:t>
            </w:r>
          </w:p>
          <w:p w14:paraId="33B3DDFC" w14:textId="5C057A4D" w:rsidR="004A7D12" w:rsidRPr="002C40D8" w:rsidRDefault="004A7D12" w:rsidP="00985706">
            <w:pPr>
              <w:pStyle w:val="BodyText"/>
              <w:rPr>
                <w:rFonts w:eastAsia="Roboto"/>
              </w:rPr>
            </w:pPr>
            <w:r>
              <w:t xml:space="preserve">This means that Arrangement C may be considered as part of the </w:t>
            </w:r>
            <w:r w:rsidR="00EE30F1">
              <w:t>EAP</w:t>
            </w:r>
            <w:r>
              <w:t>, giv</w:t>
            </w:r>
            <w:r w:rsidR="00EE30F1">
              <w:t>ing</w:t>
            </w:r>
            <w:r>
              <w:t xml:space="preserve"> NACCHO the opportunity to opt in </w:t>
            </w:r>
            <w:r w:rsidRPr="004A7D12">
              <w:t>for the transition</w:t>
            </w:r>
            <w:r>
              <w:t xml:space="preserve"> and for the model to be evaluated during the </w:t>
            </w:r>
            <w:r w:rsidR="00413FC9">
              <w:t>EAP</w:t>
            </w:r>
            <w:r>
              <w:t xml:space="preserve">. </w:t>
            </w:r>
            <w:r w:rsidR="006C6BC1">
              <w:t>The way in which Arrangement C may be considered within the EAP is outlined in the Transformation Plan (</w:t>
            </w:r>
            <w:r w:rsidR="00C94EE1">
              <w:fldChar w:fldCharType="begin"/>
            </w:r>
            <w:r w:rsidR="00C94EE1">
              <w:instrText xml:space="preserve"> REF Ch4_Plan4Xformn \r \h </w:instrText>
            </w:r>
            <w:r w:rsidR="00C94EE1">
              <w:fldChar w:fldCharType="separate"/>
            </w:r>
            <w:r w:rsidR="00934D5E">
              <w:t>Chapter 4</w:t>
            </w:r>
            <w:r w:rsidR="00C94EE1">
              <w:fldChar w:fldCharType="end"/>
            </w:r>
            <w:r w:rsidR="006C6BC1">
              <w:t>).</w:t>
            </w:r>
          </w:p>
        </w:tc>
      </w:tr>
    </w:tbl>
    <w:p w14:paraId="46228AA5" w14:textId="77777777" w:rsidR="00CA09AE" w:rsidRDefault="00075135" w:rsidP="00985706">
      <w:pPr>
        <w:pStyle w:val="BodyText1stparaafterlist"/>
      </w:pPr>
      <w:r>
        <w:t xml:space="preserve">Under Arrangement C, </w:t>
      </w:r>
      <w:r w:rsidR="00CA09AE" w:rsidRPr="00F60B74">
        <w:t>NACCHO</w:t>
      </w:r>
      <w:r>
        <w:t xml:space="preserve"> would</w:t>
      </w:r>
      <w:r w:rsidR="00CA09AE" w:rsidRPr="00F60B74">
        <w:t xml:space="preserve"> administer the funding activities for the Relevant Health Programs. </w:t>
      </w:r>
    </w:p>
    <w:p w14:paraId="362DB050" w14:textId="3740958E" w:rsidR="00CA09AE" w:rsidRDefault="00CA09AE" w:rsidP="00985706">
      <w:pPr>
        <w:pStyle w:val="BodyText"/>
      </w:pPr>
      <w:r>
        <w:t xml:space="preserve">A visual representation of the arrangement is given in </w:t>
      </w:r>
      <w:r w:rsidR="00BC0876">
        <w:rPr>
          <w:highlight w:val="yellow"/>
        </w:rPr>
        <w:fldChar w:fldCharType="begin"/>
      </w:r>
      <w:r w:rsidR="00BC0876">
        <w:instrText xml:space="preserve"> REF _Ref151807660 \h </w:instrText>
      </w:r>
      <w:r w:rsidR="00BC0876">
        <w:rPr>
          <w:highlight w:val="yellow"/>
        </w:rPr>
      </w:r>
      <w:r w:rsidR="00BC0876">
        <w:rPr>
          <w:highlight w:val="yellow"/>
        </w:rPr>
        <w:fldChar w:fldCharType="separate"/>
      </w:r>
      <w:r w:rsidR="00934D5E">
        <w:t xml:space="preserve">Figure </w:t>
      </w:r>
      <w:r w:rsidR="00934D5E">
        <w:rPr>
          <w:noProof/>
        </w:rPr>
        <w:t>6:</w:t>
      </w:r>
      <w:r w:rsidR="00BC0876">
        <w:rPr>
          <w:highlight w:val="yellow"/>
        </w:rPr>
        <w:fldChar w:fldCharType="end"/>
      </w:r>
    </w:p>
    <w:p w14:paraId="11D1B4C6" w14:textId="6A128E60" w:rsidR="00BC0876" w:rsidRPr="00B65F7F" w:rsidRDefault="00370C01" w:rsidP="00BC0876">
      <w:pPr>
        <w:pStyle w:val="CaptionFigure"/>
        <w:rPr>
          <w:rFonts w:ascii="Roboto" w:eastAsia="Roboto" w:hAnsi="Roboto" w:cs="Roboto"/>
          <w:b w:val="0"/>
          <w:bCs/>
          <w:lang w:val="en-AU"/>
        </w:rPr>
      </w:pPr>
      <w:bookmarkStart w:id="79" w:name="_Ref151807660"/>
      <w:bookmarkStart w:id="80" w:name="_Toc156932033"/>
      <w:r>
        <w:t xml:space="preserve">Figure </w:t>
      </w:r>
      <w:r>
        <w:fldChar w:fldCharType="begin"/>
      </w:r>
      <w:r>
        <w:instrText>SEQ Figure \* ARABIC</w:instrText>
      </w:r>
      <w:r>
        <w:fldChar w:fldCharType="separate"/>
      </w:r>
      <w:r w:rsidR="00934D5E">
        <w:rPr>
          <w:noProof/>
        </w:rPr>
        <w:t>6</w:t>
      </w:r>
      <w:r>
        <w:fldChar w:fldCharType="end"/>
      </w:r>
      <w:r>
        <w:rPr>
          <w:noProof/>
        </w:rPr>
        <w:t>:</w:t>
      </w:r>
      <w:bookmarkEnd w:id="79"/>
      <w:r w:rsidR="00BC0876" w:rsidRPr="00B65F7F">
        <w:rPr>
          <w:lang w:val="en-AU"/>
        </w:rPr>
        <w:t xml:space="preserve"> Simple diagram of Arrangement </w:t>
      </w:r>
      <w:r w:rsidR="00BC0876">
        <w:rPr>
          <w:lang w:val="en-AU"/>
        </w:rPr>
        <w:t>C</w:t>
      </w:r>
      <w:bookmarkEnd w:id="80"/>
    </w:p>
    <w:p w14:paraId="3510BCE3" w14:textId="77777777" w:rsidR="00CA09AE" w:rsidRPr="00F60B74" w:rsidRDefault="00CA09AE" w:rsidP="00292E56">
      <w:pPr>
        <w:pStyle w:val="BodyText"/>
      </w:pPr>
      <w:r w:rsidRPr="00F60B74">
        <w:fldChar w:fldCharType="begin"/>
      </w:r>
      <w:r w:rsidRPr="00F60B74">
        <w:instrText xml:space="preserve"> INCLUDEPICTURE "https://lh7-eu.googleusercontent.com/NZZ8ZEhwZU0qQ2SEP4x6TvoU2sUJZ2Prz_o6blX2vmVWHnRG7G6wl7OB5YGUzFFoiOIbEm6hIfIbdAFx55f2y_Ys3oEZls9pAQz53h__BK7p0mX0KUjgNTY0VN-QqzDC1lUOOeJlD45yqN01a6yAT7Y" \* MERGEFORMATINET </w:instrText>
      </w:r>
      <w:r w:rsidRPr="00F60B74">
        <w:fldChar w:fldCharType="separate"/>
      </w:r>
      <w:r w:rsidRPr="00F60B74">
        <w:rPr>
          <w:noProof/>
        </w:rPr>
        <w:drawing>
          <wp:inline distT="0" distB="0" distL="0" distR="0" wp14:anchorId="778B293A" wp14:editId="7EAAB826">
            <wp:extent cx="2592291" cy="6363751"/>
            <wp:effectExtent l="0" t="6033" r="5398" b="5397"/>
            <wp:docPr id="1710439181" name="Picture 1710439181" descr="The diagram is a flow chart that uses dark circular and rectangular shapes and colour-coded arrows to illustrate the relationships between the parties in Arrangement C. The Australian Government Department of Health and Aged Care provides funding and oversight to the National Aboriginal Community Controlled Health Organisation, which provides the department with advice and guidance on all matters and consolidating reporting on service provision.  Within the Relevant Health Programs, the National Aboriginal Community Controlled Health Organisation partners with both Aboriginal Community Controlled Health Organisation service providers and non-Indigenous service providers to understand and meet community needs and to monitor and evaluate the programs. The service providers deliver services to the communities and clients and report back to the National Aboriginal Community Controlled Health Organisation on the services and their outcome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439181" name="Picture 4" descr="The diagram is a flow chart that uses dark circular and rectangular shapes and colour-coded arrows to illustrate the relationships between the parties in Arrangement C. The Australian Government Department of Health and Aged Care provides funding and oversight to the National Aboriginal Community Controlled Health Organisation, which provides the department with advice and guidance on all matters and consolidating reporting on service provision.  Within the Relevant Health Programs, the National Aboriginal Community Controlled Health Organisation partners with both Aboriginal Community Controlled Health Organisation service providers and non-Indigenous service providers to understand and meet community needs and to monitor and evaluate the programs. The service providers deliver services to the communities and clients and report back to the National Aboriginal Community Controlled Health Organisation on the services and their outcomes. &#10;"/>
                    <pic:cNvPicPr>
                      <a:picLocks noChangeAspect="1" noChangeArrowheads="1"/>
                    </pic:cNvPicPr>
                  </pic:nvPicPr>
                  <pic:blipFill>
                    <a:blip r:embed="rId36" cstate="print">
                      <a:extLst>
                        <a:ext uri="{28A0092B-C50C-407E-A947-70E740481C1C}">
                          <a14:useLocalDpi xmlns:a14="http://schemas.microsoft.com/office/drawing/2010/main"/>
                        </a:ext>
                      </a:extLst>
                    </a:blip>
                    <a:stretch>
                      <a:fillRect/>
                    </a:stretch>
                  </pic:blipFill>
                  <pic:spPr bwMode="auto">
                    <a:xfrm rot="5400000">
                      <a:off x="0" y="0"/>
                      <a:ext cx="2606170" cy="6397823"/>
                    </a:xfrm>
                    <a:prstGeom prst="rect">
                      <a:avLst/>
                    </a:prstGeom>
                    <a:noFill/>
                    <a:ln>
                      <a:noFill/>
                    </a:ln>
                  </pic:spPr>
                </pic:pic>
              </a:graphicData>
            </a:graphic>
          </wp:inline>
        </w:drawing>
      </w:r>
      <w:r w:rsidRPr="00F60B74">
        <w:fldChar w:fldCharType="end"/>
      </w:r>
    </w:p>
    <w:p w14:paraId="5E2B29B4" w14:textId="77777777" w:rsidR="00443C3F" w:rsidRPr="00B65F7F" w:rsidRDefault="00443C3F" w:rsidP="007235B6">
      <w:pPr>
        <w:pStyle w:val="Heading4"/>
      </w:pPr>
      <w:r w:rsidRPr="00B65F7F">
        <w:t xml:space="preserve">Summary of key functions of a service provider in a </w:t>
      </w:r>
      <w:r>
        <w:t>national</w:t>
      </w:r>
      <w:r w:rsidRPr="00B65F7F">
        <w:t xml:space="preserve"> model</w:t>
      </w:r>
    </w:p>
    <w:p w14:paraId="38EBC50B" w14:textId="77777777" w:rsidR="00125DE2" w:rsidRDefault="00285066" w:rsidP="007235B6">
      <w:pPr>
        <w:pStyle w:val="BodyText"/>
      </w:pPr>
      <w:r w:rsidRPr="00B65F7F">
        <w:t xml:space="preserve">The key functions of </w:t>
      </w:r>
      <w:r w:rsidR="00125DE2">
        <w:t>NACCHO</w:t>
      </w:r>
      <w:r w:rsidRPr="00B65F7F">
        <w:t xml:space="preserve"> in a </w:t>
      </w:r>
      <w:r w:rsidR="00125DE2">
        <w:rPr>
          <w:bCs/>
        </w:rPr>
        <w:t>national</w:t>
      </w:r>
      <w:r w:rsidRPr="003133C7">
        <w:rPr>
          <w:bCs/>
        </w:rPr>
        <w:t xml:space="preserve"> model</w:t>
      </w:r>
      <w:r w:rsidRPr="00B65F7F">
        <w:t xml:space="preserve"> would include (but not be limited to) the following for the </w:t>
      </w:r>
      <w:r w:rsidR="00FC128B">
        <w:t>Relevant Health Programs</w:t>
      </w:r>
      <w:r w:rsidRPr="00B65F7F">
        <w:t>:</w:t>
      </w:r>
    </w:p>
    <w:p w14:paraId="47F30AFE" w14:textId="77777777" w:rsidR="001953B7" w:rsidRPr="00CC4877" w:rsidRDefault="001953B7" w:rsidP="003B07D3">
      <w:pPr>
        <w:pStyle w:val="List1"/>
        <w:numPr>
          <w:ilvl w:val="0"/>
          <w:numId w:val="23"/>
        </w:numPr>
      </w:pPr>
      <w:r w:rsidRPr="00CC4877">
        <w:lastRenderedPageBreak/>
        <w:t>determine and document community need and priorities for the catchment that the organisation services; this may be done in collaboration with other organisations, such as PHNs, if determined useful by the funded organisation</w:t>
      </w:r>
    </w:p>
    <w:p w14:paraId="51F97D80" w14:textId="77777777" w:rsidR="001953B7" w:rsidRPr="00CC4877" w:rsidRDefault="001953B7" w:rsidP="003B07D3">
      <w:pPr>
        <w:pStyle w:val="List1"/>
        <w:numPr>
          <w:ilvl w:val="0"/>
          <w:numId w:val="23"/>
        </w:numPr>
      </w:pPr>
      <w:r w:rsidRPr="00CC4877">
        <w:t xml:space="preserve">work with </w:t>
      </w:r>
      <w:r w:rsidR="00BC0876" w:rsidRPr="00CC4877">
        <w:t>DoHAC</w:t>
      </w:r>
      <w:r w:rsidRPr="00CC4877">
        <w:t xml:space="preserve"> to determine appropriate funding to meet identified needs and confirm outcome-focused reporting requirements</w:t>
      </w:r>
    </w:p>
    <w:p w14:paraId="6B507F6C" w14:textId="77777777" w:rsidR="001953B7" w:rsidRPr="00CC4877" w:rsidRDefault="001953B7" w:rsidP="003B07D3">
      <w:pPr>
        <w:pStyle w:val="List1"/>
        <w:numPr>
          <w:ilvl w:val="0"/>
          <w:numId w:val="23"/>
        </w:numPr>
      </w:pPr>
      <w:r w:rsidRPr="00CC4877">
        <w:t>oversee the delivery of the funded service(s)</w:t>
      </w:r>
    </w:p>
    <w:p w14:paraId="0A354FF8" w14:textId="77777777" w:rsidR="001953B7" w:rsidRPr="00CC4877" w:rsidRDefault="001953B7" w:rsidP="003B07D3">
      <w:pPr>
        <w:pStyle w:val="List1"/>
        <w:numPr>
          <w:ilvl w:val="0"/>
          <w:numId w:val="23"/>
        </w:numPr>
      </w:pPr>
      <w:r w:rsidRPr="00CC4877">
        <w:t>service sector strengthening, including:</w:t>
      </w:r>
    </w:p>
    <w:p w14:paraId="3A4988A1" w14:textId="3BA56D1D" w:rsidR="001953B7" w:rsidRPr="006B7540" w:rsidRDefault="001953B7" w:rsidP="006B7540">
      <w:pPr>
        <w:pStyle w:val="List2"/>
      </w:pPr>
      <w:r w:rsidRPr="006B7540">
        <w:t>building service workforce capacity and capability </w:t>
      </w:r>
    </w:p>
    <w:p w14:paraId="320B506C" w14:textId="77777777" w:rsidR="001953B7" w:rsidRPr="006B7540" w:rsidRDefault="001953B7" w:rsidP="006B7540">
      <w:pPr>
        <w:pStyle w:val="List2"/>
      </w:pPr>
      <w:r w:rsidRPr="006B7540">
        <w:t>building and strengthening governance mechanisms </w:t>
      </w:r>
    </w:p>
    <w:p w14:paraId="77190118" w14:textId="77777777" w:rsidR="001953B7" w:rsidRPr="006B7540" w:rsidRDefault="001953B7" w:rsidP="006B7540">
      <w:pPr>
        <w:pStyle w:val="List2"/>
      </w:pPr>
      <w:r w:rsidRPr="006B7540">
        <w:t>enhancing the cultural safety of non-Indigenous service providers</w:t>
      </w:r>
      <w:r w:rsidR="00BC0876" w:rsidRPr="006B7540">
        <w:t>.</w:t>
      </w:r>
    </w:p>
    <w:p w14:paraId="154BE8F6" w14:textId="77777777" w:rsidR="00125DE2" w:rsidRPr="00125DE2" w:rsidRDefault="00125DE2" w:rsidP="006B7540">
      <w:pPr>
        <w:pStyle w:val="BodyText1stparaafterlist"/>
        <w:rPr>
          <w:lang w:val="en-GB"/>
        </w:rPr>
      </w:pPr>
      <w:r>
        <w:rPr>
          <w:lang w:val="en-GB"/>
        </w:rPr>
        <w:t xml:space="preserve">Each of the above functions </w:t>
      </w:r>
      <w:r w:rsidRPr="00125DE2">
        <w:rPr>
          <w:lang w:val="en-GB"/>
        </w:rPr>
        <w:t>would be in addition to</w:t>
      </w:r>
      <w:r>
        <w:rPr>
          <w:lang w:val="en-GB"/>
        </w:rPr>
        <w:t xml:space="preserve"> NACCHO’s existing role of</w:t>
      </w:r>
      <w:r w:rsidRPr="00125DE2">
        <w:rPr>
          <w:lang w:val="en-GB"/>
        </w:rPr>
        <w:t xml:space="preserve"> providing advice and guidance on all First Nations </w:t>
      </w:r>
      <w:r w:rsidR="00BC0876">
        <w:rPr>
          <w:lang w:val="en-GB"/>
        </w:rPr>
        <w:t>h</w:t>
      </w:r>
      <w:r w:rsidRPr="00125DE2">
        <w:rPr>
          <w:lang w:val="en-GB"/>
        </w:rPr>
        <w:t>ealth matters to government</w:t>
      </w:r>
      <w:r w:rsidR="0008329D">
        <w:rPr>
          <w:lang w:val="en-GB"/>
        </w:rPr>
        <w:t>, which stem from its role as a national peak organisation for Aboriginal community-controlled health organisations</w:t>
      </w:r>
      <w:r w:rsidRPr="00125DE2">
        <w:rPr>
          <w:lang w:val="en-GB"/>
        </w:rPr>
        <w:t>. </w:t>
      </w:r>
    </w:p>
    <w:p w14:paraId="1C34E6C8" w14:textId="739E1026" w:rsidR="002A4309" w:rsidRDefault="00285066" w:rsidP="006B7540">
      <w:pPr>
        <w:pStyle w:val="BodyText"/>
        <w:rPr>
          <w:bCs/>
        </w:rPr>
      </w:pPr>
      <w:r>
        <w:t>A desc</w:t>
      </w:r>
      <w:r w:rsidRPr="00F91A1D">
        <w:t xml:space="preserve">ription of the exact roles each organisation may play is provided below and detailed further in </w:t>
      </w:r>
      <w:r w:rsidR="00F91A1D" w:rsidRPr="00F91A1D">
        <w:rPr>
          <w:b/>
          <w:bCs/>
        </w:rPr>
        <w:fldChar w:fldCharType="begin"/>
      </w:r>
      <w:r w:rsidR="00F91A1D" w:rsidRPr="00F91A1D">
        <w:instrText xml:space="preserve"> REF App7_notitle \h </w:instrText>
      </w:r>
      <w:r w:rsidR="00F91A1D">
        <w:rPr>
          <w:b/>
          <w:bCs/>
        </w:rPr>
        <w:instrText xml:space="preserve"> \* MERGEFORMAT </w:instrText>
      </w:r>
      <w:r w:rsidR="00F91A1D" w:rsidRPr="00F91A1D">
        <w:rPr>
          <w:b/>
          <w:bCs/>
        </w:rPr>
      </w:r>
      <w:r w:rsidR="00F91A1D" w:rsidRPr="00F91A1D">
        <w:rPr>
          <w:b/>
          <w:bCs/>
        </w:rPr>
        <w:fldChar w:fldCharType="separate"/>
      </w:r>
      <w:r w:rsidR="00934D5E" w:rsidRPr="00B65F7F">
        <w:t xml:space="preserve">Appendix </w:t>
      </w:r>
      <w:r w:rsidR="00934D5E">
        <w:t>7</w:t>
      </w:r>
      <w:r w:rsidR="00F91A1D" w:rsidRPr="00F91A1D">
        <w:rPr>
          <w:b/>
          <w:bCs/>
        </w:rPr>
        <w:fldChar w:fldCharType="end"/>
      </w:r>
      <w:r w:rsidRPr="00F91A1D">
        <w:rPr>
          <w:bCs/>
        </w:rPr>
        <w:t>.</w:t>
      </w:r>
    </w:p>
    <w:p w14:paraId="34865016" w14:textId="4EC245EC" w:rsidR="002A4309" w:rsidRPr="006B7540" w:rsidRDefault="002A4309" w:rsidP="006B7540">
      <w:pPr>
        <w:pStyle w:val="Heading4"/>
      </w:pPr>
      <w:r w:rsidRPr="006B7540">
        <w:t xml:space="preserve">A note on how the national model may work </w:t>
      </w:r>
    </w:p>
    <w:p w14:paraId="1FBB3622" w14:textId="77777777" w:rsidR="002A4309" w:rsidRPr="00B65F7F" w:rsidRDefault="002A4309" w:rsidP="006B7540">
      <w:pPr>
        <w:pStyle w:val="BodyText"/>
      </w:pPr>
      <w:r w:rsidRPr="00B65F7F">
        <w:t xml:space="preserve">While the </w:t>
      </w:r>
      <w:r>
        <w:t>national</w:t>
      </w:r>
      <w:r w:rsidRPr="00B65F7F">
        <w:t xml:space="preserve"> model has been described as a standalone approach, in practice it may operate in concert with</w:t>
      </w:r>
      <w:r>
        <w:t xml:space="preserve"> other arrangements</w:t>
      </w:r>
      <w:r w:rsidRPr="00B65F7F">
        <w:t>. For example, this may occur when a</w:t>
      </w:r>
      <w:r w:rsidR="00B264B5">
        <w:t xml:space="preserve"> service provider </w:t>
      </w:r>
      <w:r w:rsidRPr="00B65F7F">
        <w:t xml:space="preserve">is funded directly by </w:t>
      </w:r>
      <w:r w:rsidR="00BC0876">
        <w:t>DoHAC</w:t>
      </w:r>
      <w:r w:rsidRPr="00B65F7F">
        <w:t>, reflecting the most efficient and effective arrangement that will lead to the least amount of service disruption.</w:t>
      </w:r>
    </w:p>
    <w:p w14:paraId="6C187D88" w14:textId="6C881EAC" w:rsidR="002A4309" w:rsidRDefault="00B264B5" w:rsidP="00953D7E">
      <w:pPr>
        <w:pStyle w:val="BodyText"/>
      </w:pPr>
      <w:r>
        <w:t xml:space="preserve">The </w:t>
      </w:r>
      <w:r w:rsidR="002A4309" w:rsidRPr="00B65F7F">
        <w:t>example</w:t>
      </w:r>
      <w:r w:rsidR="002A4309">
        <w:t xml:space="preserve">s given in the 2 case studies </w:t>
      </w:r>
      <w:r w:rsidR="00BC0876">
        <w:t xml:space="preserve">in </w:t>
      </w:r>
      <w:r w:rsidR="00BC0876">
        <w:fldChar w:fldCharType="begin"/>
      </w:r>
      <w:r w:rsidR="00BC0876">
        <w:instrText xml:space="preserve"> REF _Ref151807871 \h </w:instrText>
      </w:r>
      <w:r w:rsidR="00BC0876">
        <w:fldChar w:fldCharType="separate"/>
      </w:r>
      <w:r w:rsidR="00934D5E" w:rsidRPr="00B65F7F">
        <w:t xml:space="preserve">Box </w:t>
      </w:r>
      <w:r w:rsidR="00934D5E">
        <w:rPr>
          <w:noProof/>
        </w:rPr>
        <w:t>10</w:t>
      </w:r>
      <w:r w:rsidR="00BC0876">
        <w:fldChar w:fldCharType="end"/>
      </w:r>
      <w:r w:rsidR="00BC0876">
        <w:t xml:space="preserve"> and </w:t>
      </w:r>
      <w:r w:rsidR="00BC0876">
        <w:fldChar w:fldCharType="begin"/>
      </w:r>
      <w:r w:rsidR="00BC0876">
        <w:instrText xml:space="preserve"> REF _Ref151807877 \h </w:instrText>
      </w:r>
      <w:r w:rsidR="00BC0876">
        <w:fldChar w:fldCharType="separate"/>
      </w:r>
      <w:r w:rsidR="00934D5E" w:rsidRPr="00B65F7F">
        <w:t xml:space="preserve">Box </w:t>
      </w:r>
      <w:r w:rsidR="00934D5E">
        <w:rPr>
          <w:noProof/>
        </w:rPr>
        <w:t>11</w:t>
      </w:r>
      <w:r w:rsidR="00BC0876">
        <w:fldChar w:fldCharType="end"/>
      </w:r>
      <w:r w:rsidR="00BC0876">
        <w:t xml:space="preserve"> </w:t>
      </w:r>
      <w:r w:rsidR="002A4309">
        <w:t xml:space="preserve">below are </w:t>
      </w:r>
      <w:r w:rsidR="002A4309" w:rsidRPr="00B65F7F">
        <w:t>not exhaustive</w:t>
      </w:r>
      <w:r w:rsidR="00BC0876">
        <w:t>;</w:t>
      </w:r>
      <w:r w:rsidR="002A4309" w:rsidRPr="00B65F7F">
        <w:t xml:space="preserve"> </w:t>
      </w:r>
      <w:r>
        <w:t>however</w:t>
      </w:r>
      <w:r w:rsidR="00BC0876">
        <w:t>,</w:t>
      </w:r>
      <w:r>
        <w:t xml:space="preserve"> they have been provided to demonstrate if and how</w:t>
      </w:r>
      <w:r w:rsidRPr="00B65F7F">
        <w:t xml:space="preserve"> </w:t>
      </w:r>
      <w:r w:rsidR="002A4309">
        <w:t>Arrangement C</w:t>
      </w:r>
      <w:r w:rsidR="002A4309" w:rsidRPr="00B65F7F">
        <w:t xml:space="preserve"> may work</w:t>
      </w:r>
      <w:r>
        <w:t xml:space="preserve"> based on </w:t>
      </w:r>
      <w:r w:rsidR="0008329D">
        <w:t xml:space="preserve">the operation of </w:t>
      </w:r>
      <w:r>
        <w:t>existing programs</w:t>
      </w:r>
      <w:r w:rsidR="002A4309" w:rsidRPr="00B65F7F">
        <w:t>.</w:t>
      </w:r>
    </w:p>
    <w:p w14:paraId="4E60B597" w14:textId="11D8FA1F" w:rsidR="00953D7E" w:rsidRPr="00B65F7F" w:rsidRDefault="00953D7E" w:rsidP="00953D7E">
      <w:pPr>
        <w:pStyle w:val="CaptionBox"/>
        <w:rPr>
          <w:bCs w:val="0"/>
        </w:rPr>
      </w:pPr>
      <w:bookmarkStart w:id="81" w:name="_Ref151807871"/>
      <w:bookmarkStart w:id="82" w:name="_Toc156932057"/>
      <w:r w:rsidRPr="00B65F7F">
        <w:t xml:space="preserve">Box </w:t>
      </w:r>
      <w:r w:rsidRPr="00B65F7F">
        <w:fldChar w:fldCharType="begin"/>
      </w:r>
      <w:r w:rsidRPr="00B65F7F">
        <w:instrText xml:space="preserve"> SEQ Box \* ARABIC </w:instrText>
      </w:r>
      <w:r w:rsidRPr="00B65F7F">
        <w:fldChar w:fldCharType="separate"/>
      </w:r>
      <w:r w:rsidR="00934D5E">
        <w:rPr>
          <w:noProof/>
        </w:rPr>
        <w:t>10</w:t>
      </w:r>
      <w:r w:rsidRPr="00B65F7F">
        <w:fldChar w:fldCharType="end"/>
      </w:r>
      <w:bookmarkEnd w:id="81"/>
      <w:r w:rsidRPr="00B65F7F">
        <w:t xml:space="preserve">: </w:t>
      </w:r>
      <w:r>
        <w:t xml:space="preserve">Culture Care Connect </w:t>
      </w:r>
      <w:r w:rsidRPr="00B65F7F">
        <w:t>case study</w:t>
      </w:r>
      <w:bookmarkEnd w:id="82"/>
    </w:p>
    <w:tbl>
      <w:tblPr>
        <w:tblStyle w:val="NintiBox"/>
        <w:tblW w:w="9776" w:type="dxa"/>
        <w:tblLayout w:type="fixed"/>
        <w:tblLook w:val="0620" w:firstRow="1" w:lastRow="0" w:firstColumn="0" w:lastColumn="0" w:noHBand="1" w:noVBand="1"/>
      </w:tblPr>
      <w:tblGrid>
        <w:gridCol w:w="9776"/>
      </w:tblGrid>
      <w:tr w:rsidR="00953D7E" w:rsidRPr="00B65F7F" w14:paraId="16D7570F" w14:textId="77777777" w:rsidTr="0067319F">
        <w:tc>
          <w:tcPr>
            <w:tcW w:w="9776" w:type="dxa"/>
          </w:tcPr>
          <w:p w14:paraId="6F234C2D" w14:textId="77777777" w:rsidR="00953D7E" w:rsidRPr="002C40D8" w:rsidRDefault="00953D7E" w:rsidP="005D439F">
            <w:pPr>
              <w:pStyle w:val="BodyText"/>
            </w:pPr>
            <w:r w:rsidRPr="492F1F7D">
              <w:t>Culture Care Connect (CCC) is a targeted regional initiative with a community-driven approach that establishes suicide prevention networks and strategies, designs and delivers aftercare services and provides mental health first aid training to support Aboriginal and/or Torres Strait Islander communities across Australia. The CCC program aims to integrate suicide prevention planning and response activity across community-controlled suicide prevention network (CCSPN) regions while building a sustainable and supported workforce.</w:t>
            </w:r>
          </w:p>
          <w:p w14:paraId="382E50E3" w14:textId="77777777" w:rsidR="00953D7E" w:rsidRPr="002C40D8" w:rsidRDefault="00953D7E" w:rsidP="005D439F">
            <w:pPr>
              <w:pStyle w:val="BodyText"/>
            </w:pPr>
            <w:r w:rsidRPr="002C40D8">
              <w:t xml:space="preserve">The </w:t>
            </w:r>
            <w:r>
              <w:t xml:space="preserve">CCC </w:t>
            </w:r>
            <w:r w:rsidRPr="002C40D8">
              <w:t xml:space="preserve">program is funded by </w:t>
            </w:r>
            <w:r>
              <w:t>DoHAC</w:t>
            </w:r>
            <w:r w:rsidRPr="002C40D8">
              <w:t xml:space="preserve"> but is coordinated by NACCHO. </w:t>
            </w:r>
            <w:r>
              <w:t>DoHAC</w:t>
            </w:r>
            <w:r w:rsidRPr="002C40D8">
              <w:t xml:space="preserve"> has funded NACCHO $52.9m from 2021</w:t>
            </w:r>
            <w:r>
              <w:t>–</w:t>
            </w:r>
            <w:r w:rsidRPr="002C40D8">
              <w:t xml:space="preserve">22 </w:t>
            </w:r>
            <w:r>
              <w:t xml:space="preserve">to 2024–25 </w:t>
            </w:r>
            <w:r w:rsidRPr="002C40D8">
              <w:t>to:</w:t>
            </w:r>
          </w:p>
          <w:p w14:paraId="63E1D5BA" w14:textId="77777777" w:rsidR="00953D7E" w:rsidRDefault="00953D7E" w:rsidP="005D439F">
            <w:pPr>
              <w:pStyle w:val="ListBullet2"/>
              <w:rPr>
                <w:rFonts w:eastAsia="Roboto"/>
              </w:rPr>
            </w:pPr>
            <w:r>
              <w:rPr>
                <w:rFonts w:eastAsia="Roboto"/>
              </w:rPr>
              <w:t xml:space="preserve">establish jurisdictional coordination arrangements to promote integrated planning and service delivery </w:t>
            </w:r>
          </w:p>
          <w:p w14:paraId="69D1226D" w14:textId="77777777" w:rsidR="00953D7E" w:rsidRPr="002C40D8" w:rsidRDefault="00953D7E" w:rsidP="005D439F">
            <w:pPr>
              <w:pStyle w:val="ListBullet2"/>
              <w:rPr>
                <w:rFonts w:eastAsia="Roboto"/>
              </w:rPr>
            </w:pPr>
            <w:r>
              <w:rPr>
                <w:rFonts w:eastAsia="Roboto"/>
              </w:rPr>
              <w:t>e</w:t>
            </w:r>
            <w:r w:rsidRPr="002C40D8">
              <w:rPr>
                <w:rFonts w:eastAsia="Roboto"/>
              </w:rPr>
              <w:t xml:space="preserve">stablish </w:t>
            </w:r>
            <w:r w:rsidRPr="23B8484E">
              <w:rPr>
                <w:rFonts w:eastAsia="Roboto"/>
              </w:rPr>
              <w:t xml:space="preserve">up to </w:t>
            </w:r>
            <w:r w:rsidRPr="002C40D8">
              <w:rPr>
                <w:rFonts w:eastAsia="Roboto"/>
              </w:rPr>
              <w:t>31</w:t>
            </w:r>
            <w:r>
              <w:rPr>
                <w:rFonts w:eastAsia="Roboto"/>
              </w:rPr>
              <w:t xml:space="preserve"> </w:t>
            </w:r>
            <w:r w:rsidRPr="23B8484E">
              <w:rPr>
                <w:rFonts w:eastAsia="Roboto"/>
              </w:rPr>
              <w:t xml:space="preserve">CCSPNs </w:t>
            </w:r>
            <w:r>
              <w:rPr>
                <w:rFonts w:eastAsia="Roboto"/>
              </w:rPr>
              <w:t xml:space="preserve">(increasing to </w:t>
            </w:r>
            <w:r w:rsidRPr="23B8484E">
              <w:rPr>
                <w:rFonts w:eastAsia="Roboto"/>
              </w:rPr>
              <w:t xml:space="preserve">up to </w:t>
            </w:r>
            <w:r>
              <w:rPr>
                <w:rFonts w:eastAsia="Roboto"/>
              </w:rPr>
              <w:t xml:space="preserve">36 </w:t>
            </w:r>
            <w:r w:rsidRPr="23B8484E">
              <w:rPr>
                <w:rFonts w:eastAsia="Roboto"/>
              </w:rPr>
              <w:t xml:space="preserve">CCSPNs, including Affiliates hosting CCSPNs who also have a planning and coordination role for their jurisdiction, </w:t>
            </w:r>
            <w:r>
              <w:rPr>
                <w:rFonts w:eastAsia="Roboto"/>
              </w:rPr>
              <w:t xml:space="preserve">at full rollout), focusing on areas where there is a high level of psychological distress among the Aboriginal and/or Torres Strait Islander community </w:t>
            </w:r>
          </w:p>
          <w:p w14:paraId="172291FB" w14:textId="77777777" w:rsidR="00953D7E" w:rsidRPr="002C40D8" w:rsidRDefault="00953D7E" w:rsidP="005D439F">
            <w:pPr>
              <w:pStyle w:val="ListBullet2"/>
              <w:rPr>
                <w:rFonts w:eastAsia="Roboto"/>
              </w:rPr>
            </w:pPr>
            <w:r>
              <w:rPr>
                <w:rFonts w:eastAsia="Roboto"/>
              </w:rPr>
              <w:t>co-design and e</w:t>
            </w:r>
            <w:r w:rsidRPr="002C40D8">
              <w:rPr>
                <w:rFonts w:eastAsia="Roboto"/>
              </w:rPr>
              <w:t>stablish community-controlled aftercare services</w:t>
            </w:r>
            <w:r w:rsidRPr="23B8484E">
              <w:rPr>
                <w:rFonts w:eastAsia="Roboto"/>
              </w:rPr>
              <w:t>, in each CCSPN region,</w:t>
            </w:r>
            <w:r>
              <w:rPr>
                <w:rFonts w:eastAsia="Roboto"/>
              </w:rPr>
              <w:t xml:space="preserve"> that are intended to work</w:t>
            </w:r>
            <w:r w:rsidRPr="002C40D8">
              <w:rPr>
                <w:rFonts w:eastAsia="Roboto"/>
              </w:rPr>
              <w:t> </w:t>
            </w:r>
            <w:r>
              <w:rPr>
                <w:rFonts w:eastAsia="Roboto"/>
              </w:rPr>
              <w:t>in collaboration with existing community-controlled and non-Indigenous services</w:t>
            </w:r>
          </w:p>
          <w:p w14:paraId="2447109E" w14:textId="77777777" w:rsidR="00953D7E" w:rsidRPr="002C40D8" w:rsidRDefault="00953D7E" w:rsidP="005D439F">
            <w:pPr>
              <w:pStyle w:val="ListBullet2"/>
              <w:rPr>
                <w:rFonts w:eastAsia="Roboto"/>
              </w:rPr>
            </w:pPr>
            <w:r>
              <w:rPr>
                <w:rFonts w:eastAsia="Roboto"/>
              </w:rPr>
              <w:t>c</w:t>
            </w:r>
            <w:r w:rsidRPr="002C40D8">
              <w:rPr>
                <w:rFonts w:eastAsia="Roboto"/>
              </w:rPr>
              <w:t xml:space="preserve">oordinate and deliver </w:t>
            </w:r>
            <w:r>
              <w:rPr>
                <w:rFonts w:eastAsia="Roboto"/>
              </w:rPr>
              <w:t xml:space="preserve">community-controlled suicide prevention training, including </w:t>
            </w:r>
            <w:r w:rsidRPr="002C40D8">
              <w:rPr>
                <w:rFonts w:eastAsia="Roboto"/>
              </w:rPr>
              <w:t xml:space="preserve">Aboriginal and Torres Strait Islander </w:t>
            </w:r>
            <w:r>
              <w:rPr>
                <w:rFonts w:eastAsia="Roboto"/>
              </w:rPr>
              <w:t>m</w:t>
            </w:r>
            <w:r w:rsidRPr="002C40D8">
              <w:rPr>
                <w:rFonts w:eastAsia="Roboto"/>
              </w:rPr>
              <w:t xml:space="preserve">ental </w:t>
            </w:r>
            <w:r>
              <w:rPr>
                <w:rFonts w:eastAsia="Roboto"/>
              </w:rPr>
              <w:t>h</w:t>
            </w:r>
            <w:r w:rsidRPr="002C40D8">
              <w:rPr>
                <w:rFonts w:eastAsia="Roboto"/>
              </w:rPr>
              <w:t xml:space="preserve">ealth </w:t>
            </w:r>
            <w:r>
              <w:rPr>
                <w:rFonts w:eastAsia="Roboto"/>
              </w:rPr>
              <w:t>f</w:t>
            </w:r>
            <w:r w:rsidRPr="002C40D8">
              <w:rPr>
                <w:rFonts w:eastAsia="Roboto"/>
              </w:rPr>
              <w:t xml:space="preserve">irst </w:t>
            </w:r>
            <w:r>
              <w:rPr>
                <w:rFonts w:eastAsia="Roboto"/>
              </w:rPr>
              <w:t>a</w:t>
            </w:r>
            <w:r w:rsidRPr="002C40D8">
              <w:rPr>
                <w:rFonts w:eastAsia="Roboto"/>
              </w:rPr>
              <w:t xml:space="preserve">id </w:t>
            </w:r>
            <w:r>
              <w:rPr>
                <w:rFonts w:eastAsia="Roboto"/>
              </w:rPr>
              <w:t>t</w:t>
            </w:r>
            <w:r w:rsidRPr="002C40D8">
              <w:rPr>
                <w:rFonts w:eastAsia="Roboto"/>
              </w:rPr>
              <w:t>raining</w:t>
            </w:r>
            <w:r>
              <w:rPr>
                <w:rFonts w:eastAsia="Roboto"/>
              </w:rPr>
              <w:t>.</w:t>
            </w:r>
          </w:p>
          <w:p w14:paraId="55554D59" w14:textId="77777777" w:rsidR="00953D7E" w:rsidRDefault="00953D7E" w:rsidP="005D439F">
            <w:pPr>
              <w:pStyle w:val="BodyText"/>
            </w:pPr>
          </w:p>
          <w:p w14:paraId="448521E7" w14:textId="77777777" w:rsidR="00953D7E" w:rsidRDefault="00953D7E" w:rsidP="005D439F">
            <w:pPr>
              <w:pStyle w:val="BodyText"/>
              <w:keepLines/>
            </w:pPr>
            <w:r>
              <w:lastRenderedPageBreak/>
              <w:t xml:space="preserve">Each of the above elements of the model are complemented by centrally developed and coordinated resources and collaborative and peer forums. The purpose of these forums is to enable knowledge sharing, capacity building and learning among representatives from the different regions in which the CCC </w:t>
            </w:r>
            <w:r w:rsidRPr="23B8484E">
              <w:t xml:space="preserve">program </w:t>
            </w:r>
            <w:r>
              <w:t xml:space="preserve">has been implemented.  </w:t>
            </w:r>
          </w:p>
          <w:p w14:paraId="42727B33" w14:textId="77777777" w:rsidR="00953D7E" w:rsidRDefault="00953D7E" w:rsidP="005D439F">
            <w:pPr>
              <w:pStyle w:val="BodyText"/>
            </w:pPr>
            <w:r w:rsidRPr="002C40D8">
              <w:t>The program aims to address the disparities faced by Aboriginal and</w:t>
            </w:r>
            <w:r>
              <w:t>/or</w:t>
            </w:r>
            <w:r w:rsidRPr="002C40D8">
              <w:t xml:space="preserve"> Torres Strait Islander communities and works towards </w:t>
            </w:r>
            <w:r>
              <w:t xml:space="preserve">increasing the cultural safety of the suicide and mental health systems, building a stronger and more capable workforce, </w:t>
            </w:r>
            <w:r w:rsidRPr="002C40D8">
              <w:t>decreasing the occurrence of suicide and self-harm, whil</w:t>
            </w:r>
            <w:r>
              <w:t>e</w:t>
            </w:r>
            <w:r w:rsidRPr="002C40D8">
              <w:t xml:space="preserve"> delivering the right care and support at the right time of </w:t>
            </w:r>
            <w:r>
              <w:t>a person’s</w:t>
            </w:r>
            <w:r w:rsidRPr="002C40D8">
              <w:t xml:space="preserve"> wellbeing journey. The program contributes to Target 14 of the National Agreement on Closing the Gap, aiming to achieve </w:t>
            </w:r>
            <w:r w:rsidRPr="00A15752">
              <w:t>‘</w:t>
            </w:r>
            <w:r w:rsidRPr="0098562E">
              <w:t>a significant and sustained reduction in suicide of Aboriginal and Torres Strait Islander people towards zero</w:t>
            </w:r>
            <w:r>
              <w:t>’</w:t>
            </w:r>
            <w:r w:rsidRPr="002C40D8">
              <w:t xml:space="preserve">. </w:t>
            </w:r>
          </w:p>
          <w:p w14:paraId="3CED3D07" w14:textId="77777777" w:rsidR="00953D7E" w:rsidRPr="002C40D8" w:rsidRDefault="00953D7E" w:rsidP="005D439F">
            <w:pPr>
              <w:pStyle w:val="BodyText"/>
            </w:pPr>
            <w:r w:rsidRPr="002C40D8">
              <w:t>The program is the first of its kind to co-design an aftercare model that incorporates key Aboriginal ways of knowing, being and doing, which supports the principles of self-determination and community-controlled advancement.</w:t>
            </w:r>
          </w:p>
          <w:p w14:paraId="744B05CA" w14:textId="77777777" w:rsidR="00953D7E" w:rsidRPr="006B7540" w:rsidRDefault="00953D7E" w:rsidP="005D439F">
            <w:pPr>
              <w:pStyle w:val="BodyText"/>
              <w:rPr>
                <w:b/>
                <w:bCs/>
              </w:rPr>
            </w:pPr>
            <w:r w:rsidRPr="006B7540">
              <w:rPr>
                <w:b/>
                <w:bCs/>
              </w:rPr>
              <w:t>Objectives</w:t>
            </w:r>
          </w:p>
          <w:p w14:paraId="7D2A04D3" w14:textId="77777777" w:rsidR="00953D7E" w:rsidRDefault="00953D7E" w:rsidP="005D439F">
            <w:pPr>
              <w:pStyle w:val="BodyText"/>
            </w:pPr>
            <w:r w:rsidRPr="002C40D8">
              <w:t xml:space="preserve">The key objectives for NACCHO when delivering the CCC program include conducting suicide prevention planning and initiatives and coordinating existing suicide prevention opportunities within regional networks. In addition, a key objective includes providing culturally sensitive aftercare services for Aboriginal and Torres Strait Islander individuals after a suicide attempt or during a suicidal crisis. </w:t>
            </w:r>
          </w:p>
          <w:p w14:paraId="500808F7" w14:textId="77777777" w:rsidR="00953D7E" w:rsidRPr="002C40D8" w:rsidRDefault="00953D7E" w:rsidP="005D439F">
            <w:pPr>
              <w:pStyle w:val="BodyText"/>
            </w:pPr>
            <w:r w:rsidRPr="002C40D8">
              <w:t xml:space="preserve">The program is based on a NACCHO-developed model of care that is supported and informed by Aboriginal ways of knowing, being and doing. The model of care embeds </w:t>
            </w:r>
            <w:r>
              <w:t>s</w:t>
            </w:r>
            <w:r w:rsidRPr="002C40D8">
              <w:t>ocial</w:t>
            </w:r>
            <w:r>
              <w:t xml:space="preserve"> and</w:t>
            </w:r>
            <w:r w:rsidRPr="002C40D8">
              <w:t xml:space="preserve"> </w:t>
            </w:r>
            <w:r>
              <w:t>e</w:t>
            </w:r>
            <w:r w:rsidRPr="002C40D8">
              <w:t xml:space="preserve">motional </w:t>
            </w:r>
            <w:r>
              <w:t>w</w:t>
            </w:r>
            <w:r w:rsidRPr="002C40D8">
              <w:t>ellbeing (SEWB) principles</w:t>
            </w:r>
            <w:r>
              <w:t xml:space="preserve"> and is intended to work with existing Aboriginal community-controlled and non-Indigenous services</w:t>
            </w:r>
            <w:r w:rsidRPr="002C40D8">
              <w:t>. This is further supported by the emphasis on culture within the model of care, and the support of clinical elements within the model.</w:t>
            </w:r>
          </w:p>
          <w:p w14:paraId="5F4CBE60" w14:textId="77777777" w:rsidR="00953D7E" w:rsidRPr="006B7540" w:rsidRDefault="00953D7E" w:rsidP="005D439F">
            <w:pPr>
              <w:pStyle w:val="BodyText"/>
              <w:rPr>
                <w:b/>
                <w:bCs/>
              </w:rPr>
            </w:pPr>
            <w:r w:rsidRPr="006B7540">
              <w:rPr>
                <w:b/>
                <w:bCs/>
              </w:rPr>
              <w:t>Key principles of CCC</w:t>
            </w:r>
          </w:p>
          <w:p w14:paraId="1E305021" w14:textId="77777777" w:rsidR="00953D7E" w:rsidRPr="002C40D8" w:rsidRDefault="00953D7E" w:rsidP="005D439F">
            <w:pPr>
              <w:pStyle w:val="BodyText"/>
            </w:pPr>
            <w:r w:rsidRPr="002C40D8">
              <w:t>The key principles that underpin and guide the CCC model include: </w:t>
            </w:r>
          </w:p>
          <w:p w14:paraId="3E7EC101" w14:textId="77777777" w:rsidR="00953D7E" w:rsidRDefault="00953D7E" w:rsidP="005D439F">
            <w:pPr>
              <w:pStyle w:val="ListBullet2"/>
              <w:rPr>
                <w:rFonts w:eastAsia="Roboto"/>
              </w:rPr>
            </w:pPr>
            <w:r>
              <w:rPr>
                <w:rFonts w:eastAsia="Roboto"/>
              </w:rPr>
              <w:t>p</w:t>
            </w:r>
            <w:r w:rsidRPr="002C40D8">
              <w:rPr>
                <w:rFonts w:eastAsia="Roboto"/>
              </w:rPr>
              <w:t xml:space="preserve">lace-based </w:t>
            </w:r>
            <w:r>
              <w:rPr>
                <w:rFonts w:eastAsia="Roboto"/>
              </w:rPr>
              <w:t>(</w:t>
            </w:r>
            <w:r w:rsidRPr="002C40D8">
              <w:rPr>
                <w:rFonts w:eastAsia="Roboto"/>
              </w:rPr>
              <w:t>example provided below</w:t>
            </w:r>
            <w:r>
              <w:rPr>
                <w:rFonts w:eastAsia="Roboto"/>
              </w:rPr>
              <w:t>)</w:t>
            </w:r>
          </w:p>
          <w:p w14:paraId="1FBF13FD" w14:textId="77777777" w:rsidR="00953D7E" w:rsidRPr="002C40D8" w:rsidRDefault="00953D7E" w:rsidP="005D439F">
            <w:pPr>
              <w:pStyle w:val="ListBullet2"/>
              <w:rPr>
                <w:rFonts w:eastAsia="Roboto"/>
              </w:rPr>
            </w:pPr>
            <w:r>
              <w:rPr>
                <w:rFonts w:eastAsia="Roboto"/>
              </w:rPr>
              <w:t>flexible</w:t>
            </w:r>
          </w:p>
          <w:p w14:paraId="006E9579" w14:textId="77777777" w:rsidR="00953D7E" w:rsidRPr="002C40D8" w:rsidRDefault="00953D7E" w:rsidP="005D439F">
            <w:pPr>
              <w:pStyle w:val="ListBullet2"/>
              <w:rPr>
                <w:rFonts w:eastAsia="Roboto"/>
              </w:rPr>
            </w:pPr>
            <w:r w:rsidRPr="002C40D8">
              <w:rPr>
                <w:rFonts w:eastAsia="Roboto"/>
              </w:rPr>
              <w:t xml:space="preserve">Aboriginal and Torres Strait Islander leadership and </w:t>
            </w:r>
            <w:r>
              <w:rPr>
                <w:rFonts w:eastAsia="Roboto"/>
              </w:rPr>
              <w:t>c</w:t>
            </w:r>
            <w:r w:rsidRPr="002C40D8">
              <w:rPr>
                <w:rFonts w:eastAsia="Roboto"/>
              </w:rPr>
              <w:t xml:space="preserve">ommunity </w:t>
            </w:r>
            <w:r>
              <w:rPr>
                <w:rFonts w:eastAsia="Roboto"/>
              </w:rPr>
              <w:t>c</w:t>
            </w:r>
            <w:r w:rsidRPr="002C40D8">
              <w:rPr>
                <w:rFonts w:eastAsia="Roboto"/>
              </w:rPr>
              <w:t xml:space="preserve">ontrol </w:t>
            </w:r>
            <w:r>
              <w:rPr>
                <w:rFonts w:eastAsia="Roboto"/>
              </w:rPr>
              <w:t>(</w:t>
            </w:r>
            <w:r w:rsidRPr="002C40D8">
              <w:rPr>
                <w:rFonts w:eastAsia="Roboto"/>
              </w:rPr>
              <w:t>example provided below</w:t>
            </w:r>
            <w:r>
              <w:rPr>
                <w:rFonts w:eastAsia="Roboto"/>
              </w:rPr>
              <w:t>)</w:t>
            </w:r>
          </w:p>
          <w:p w14:paraId="2D68FE27" w14:textId="77777777" w:rsidR="00953D7E" w:rsidRPr="002C40D8" w:rsidRDefault="00953D7E" w:rsidP="005D439F">
            <w:pPr>
              <w:pStyle w:val="ListBullet2"/>
              <w:rPr>
                <w:rFonts w:eastAsia="Roboto"/>
              </w:rPr>
            </w:pPr>
            <w:r>
              <w:rPr>
                <w:rFonts w:eastAsia="Roboto"/>
              </w:rPr>
              <w:t>a</w:t>
            </w:r>
            <w:r w:rsidRPr="002C40D8">
              <w:rPr>
                <w:rFonts w:eastAsia="Roboto"/>
              </w:rPr>
              <w:t xml:space="preserve">ccountability </w:t>
            </w:r>
            <w:r>
              <w:rPr>
                <w:rFonts w:eastAsia="Roboto"/>
              </w:rPr>
              <w:t>(</w:t>
            </w:r>
            <w:r w:rsidRPr="002C40D8">
              <w:rPr>
                <w:rFonts w:eastAsia="Roboto"/>
              </w:rPr>
              <w:t>example provided below</w:t>
            </w:r>
            <w:r>
              <w:rPr>
                <w:rFonts w:eastAsia="Roboto"/>
              </w:rPr>
              <w:t>)</w:t>
            </w:r>
          </w:p>
          <w:p w14:paraId="2FEAE4AE" w14:textId="77777777" w:rsidR="00953D7E" w:rsidRPr="002C40D8" w:rsidRDefault="00953D7E" w:rsidP="005D439F">
            <w:pPr>
              <w:pStyle w:val="ListBullet2"/>
              <w:rPr>
                <w:rFonts w:eastAsia="Roboto"/>
              </w:rPr>
            </w:pPr>
            <w:r>
              <w:rPr>
                <w:rFonts w:eastAsia="Roboto"/>
              </w:rPr>
              <w:t>e</w:t>
            </w:r>
            <w:r w:rsidRPr="002C40D8">
              <w:rPr>
                <w:rFonts w:eastAsia="Roboto"/>
              </w:rPr>
              <w:t>vidence-based</w:t>
            </w:r>
          </w:p>
          <w:p w14:paraId="6153A344" w14:textId="77777777" w:rsidR="00953D7E" w:rsidRPr="002C40D8" w:rsidRDefault="00953D7E" w:rsidP="005D439F">
            <w:pPr>
              <w:pStyle w:val="ListBullet2"/>
              <w:rPr>
                <w:rFonts w:eastAsia="Roboto"/>
              </w:rPr>
            </w:pPr>
            <w:r>
              <w:rPr>
                <w:rFonts w:eastAsia="Roboto"/>
              </w:rPr>
              <w:t>c</w:t>
            </w:r>
            <w:r w:rsidRPr="002C40D8">
              <w:rPr>
                <w:rFonts w:eastAsia="Roboto"/>
              </w:rPr>
              <w:t>ulturally safe and appropriate</w:t>
            </w:r>
          </w:p>
          <w:p w14:paraId="60AB44CD" w14:textId="77777777" w:rsidR="00953D7E" w:rsidRPr="002C40D8" w:rsidRDefault="00953D7E" w:rsidP="005D439F">
            <w:pPr>
              <w:pStyle w:val="ListBullet2"/>
              <w:rPr>
                <w:rFonts w:eastAsia="Roboto"/>
              </w:rPr>
            </w:pPr>
            <w:r>
              <w:rPr>
                <w:rFonts w:eastAsia="Roboto"/>
              </w:rPr>
              <w:t>r</w:t>
            </w:r>
            <w:r w:rsidRPr="002C40D8">
              <w:rPr>
                <w:rFonts w:eastAsia="Roboto"/>
              </w:rPr>
              <w:t>ights-based</w:t>
            </w:r>
          </w:p>
          <w:p w14:paraId="257B4D95" w14:textId="77777777" w:rsidR="00953D7E" w:rsidRPr="002C40D8" w:rsidRDefault="00953D7E" w:rsidP="005D439F">
            <w:pPr>
              <w:pStyle w:val="ListBullet2"/>
              <w:rPr>
                <w:rFonts w:eastAsia="Roboto"/>
              </w:rPr>
            </w:pPr>
            <w:r>
              <w:rPr>
                <w:rFonts w:eastAsia="Roboto"/>
              </w:rPr>
              <w:t>e</w:t>
            </w:r>
            <w:r w:rsidRPr="002C40D8">
              <w:rPr>
                <w:rFonts w:eastAsia="Roboto"/>
              </w:rPr>
              <w:t>quity focus</w:t>
            </w:r>
          </w:p>
          <w:p w14:paraId="065C1032" w14:textId="77777777" w:rsidR="00953D7E" w:rsidRPr="002C40D8" w:rsidRDefault="00953D7E" w:rsidP="005D439F">
            <w:pPr>
              <w:pStyle w:val="ListBullet2"/>
              <w:rPr>
                <w:rFonts w:eastAsia="Roboto"/>
              </w:rPr>
            </w:pPr>
            <w:r>
              <w:rPr>
                <w:rFonts w:eastAsia="Roboto"/>
              </w:rPr>
              <w:t>h</w:t>
            </w:r>
            <w:r w:rsidRPr="002C40D8">
              <w:rPr>
                <w:rFonts w:eastAsia="Roboto"/>
              </w:rPr>
              <w:t>olistic, life-course approaches</w:t>
            </w:r>
          </w:p>
          <w:p w14:paraId="14E5F115" w14:textId="77777777" w:rsidR="00953D7E" w:rsidRPr="002C40D8" w:rsidRDefault="00953D7E" w:rsidP="005D439F">
            <w:pPr>
              <w:pStyle w:val="ListBullet2"/>
              <w:rPr>
                <w:rFonts w:eastAsia="Roboto"/>
              </w:rPr>
            </w:pPr>
            <w:r>
              <w:rPr>
                <w:rFonts w:eastAsia="Roboto"/>
              </w:rPr>
              <w:t>s</w:t>
            </w:r>
            <w:r w:rsidRPr="002C40D8">
              <w:rPr>
                <w:rFonts w:eastAsia="Roboto"/>
              </w:rPr>
              <w:t>trengths-based approaches</w:t>
            </w:r>
            <w:r>
              <w:rPr>
                <w:rFonts w:eastAsia="Roboto"/>
              </w:rPr>
              <w:t>.</w:t>
            </w:r>
          </w:p>
          <w:p w14:paraId="545E7ED4" w14:textId="77777777" w:rsidR="00953D7E" w:rsidRPr="006B7540" w:rsidRDefault="00953D7E" w:rsidP="005D439F">
            <w:pPr>
              <w:pStyle w:val="BodyText"/>
              <w:rPr>
                <w:u w:val="single"/>
              </w:rPr>
            </w:pPr>
            <w:r w:rsidRPr="006B7540">
              <w:rPr>
                <w:u w:val="single"/>
              </w:rPr>
              <w:t>Place-based</w:t>
            </w:r>
          </w:p>
          <w:p w14:paraId="483480CD" w14:textId="77777777" w:rsidR="00953D7E" w:rsidRPr="002C40D8" w:rsidRDefault="00953D7E" w:rsidP="005D439F">
            <w:pPr>
              <w:pStyle w:val="BodyText"/>
            </w:pPr>
            <w:r w:rsidRPr="002C40D8">
              <w:t xml:space="preserve">The key principle of ‘place-based’ addresses the distinctive needs and differing requirements </w:t>
            </w:r>
            <w:r>
              <w:t>of</w:t>
            </w:r>
            <w:r w:rsidRPr="002C40D8">
              <w:t xml:space="preserve"> each community</w:t>
            </w:r>
            <w:r>
              <w:t xml:space="preserve"> in which the CCC </w:t>
            </w:r>
            <w:r w:rsidRPr="23B8484E">
              <w:t xml:space="preserve">program </w:t>
            </w:r>
            <w:r>
              <w:t>operates</w:t>
            </w:r>
            <w:r w:rsidRPr="002C40D8">
              <w:t>. This principle promotes the idea that the CCC model must be applied within a local context, where this local contextualisation allows each ACCHO to deliver safe and appropriate services to meet the needs of their local community following a suicide attempt or suicidal crisis. </w:t>
            </w:r>
          </w:p>
          <w:p w14:paraId="213E26FE" w14:textId="77777777" w:rsidR="00953D7E" w:rsidRDefault="00953D7E" w:rsidP="005D439F">
            <w:pPr>
              <w:pStyle w:val="BodyText"/>
            </w:pPr>
            <w:r w:rsidRPr="002C40D8">
              <w:t xml:space="preserve">An example of this localised approach currently responding to the needs of a local community is through a regional ACCHO which is undertaking a localised co-design process. This co-design process </w:t>
            </w:r>
            <w:r w:rsidRPr="002C40D8">
              <w:lastRenderedPageBreak/>
              <w:t xml:space="preserve">has been undertaken with local </w:t>
            </w:r>
            <w:r>
              <w:t>E</w:t>
            </w:r>
            <w:r w:rsidRPr="002C40D8">
              <w:t>lders and community</w:t>
            </w:r>
            <w:r>
              <w:t xml:space="preserve"> members</w:t>
            </w:r>
            <w:r w:rsidRPr="002C40D8">
              <w:t xml:space="preserve"> to ensure that the CCC model to be embedded within the region meets the needs of the community in an effective and appropriate way. This process included</w:t>
            </w:r>
            <w:r>
              <w:t>,</w:t>
            </w:r>
            <w:r w:rsidRPr="002C40D8">
              <w:t xml:space="preserve"> but was not limited to</w:t>
            </w:r>
            <w:r>
              <w:t>,</w:t>
            </w:r>
            <w:r w:rsidRPr="002C40D8">
              <w:t xml:space="preserve"> a review of all program principles, the care and supports relevant to their specific community and the training and support provided to practitioners to effectively deliver this program effectively. The co-design followed a needs-based approach, where the ACCHO undertook an analysis of their community’s data, collective risk factors and current service delivery to best inform the creation of their local CCC program. </w:t>
            </w:r>
          </w:p>
          <w:p w14:paraId="686AB50A" w14:textId="77777777" w:rsidR="00953D7E" w:rsidRPr="002C40D8" w:rsidRDefault="00953D7E" w:rsidP="005D439F">
            <w:pPr>
              <w:pStyle w:val="BodyText"/>
            </w:pPr>
            <w:r>
              <w:t xml:space="preserve">Through this work, the regional ACCHO was able to use the guidance materials provided by NACCHO and use the contextual evidence to create a tailored solution for its region. </w:t>
            </w:r>
          </w:p>
          <w:p w14:paraId="60B02782" w14:textId="77777777" w:rsidR="00953D7E" w:rsidRPr="006B7540" w:rsidRDefault="00953D7E" w:rsidP="005D439F">
            <w:pPr>
              <w:pStyle w:val="BodyText"/>
              <w:rPr>
                <w:u w:val="single"/>
              </w:rPr>
            </w:pPr>
            <w:r w:rsidRPr="006B7540">
              <w:rPr>
                <w:u w:val="single"/>
              </w:rPr>
              <w:t>Aboriginal and Torres Strait Islander leadership and community control and accountability</w:t>
            </w:r>
          </w:p>
          <w:p w14:paraId="60E88F20" w14:textId="77777777" w:rsidR="00953D7E" w:rsidRPr="002C40D8" w:rsidRDefault="00953D7E" w:rsidP="005D439F">
            <w:pPr>
              <w:pStyle w:val="BodyText"/>
            </w:pPr>
            <w:r w:rsidRPr="002C40D8">
              <w:t xml:space="preserve">In order to maintain accountability and transparency, NACCHO has embedded a robust governance structure within the program, where </w:t>
            </w:r>
            <w:r>
              <w:t>t</w:t>
            </w:r>
            <w:r w:rsidRPr="002C40D8">
              <w:t>he Aboriginal and Torres Strait Islander Advisory Group (ATSIAG) provides cultural and clinical guidance on the implementation of the following: </w:t>
            </w:r>
          </w:p>
          <w:p w14:paraId="54C7A3DA" w14:textId="77777777" w:rsidR="00953D7E" w:rsidRPr="002C40D8" w:rsidRDefault="00953D7E" w:rsidP="005D439F">
            <w:pPr>
              <w:pStyle w:val="ListBullet2"/>
              <w:rPr>
                <w:rFonts w:eastAsia="Roboto"/>
              </w:rPr>
            </w:pPr>
            <w:r>
              <w:rPr>
                <w:rFonts w:eastAsia="Roboto"/>
              </w:rPr>
              <w:t>t</w:t>
            </w:r>
            <w:r w:rsidRPr="002C40D8">
              <w:rPr>
                <w:rFonts w:eastAsia="Roboto"/>
              </w:rPr>
              <w:t xml:space="preserve">he CCC </w:t>
            </w:r>
            <w:r>
              <w:rPr>
                <w:rFonts w:eastAsia="Roboto"/>
              </w:rPr>
              <w:t>m</w:t>
            </w:r>
            <w:r w:rsidRPr="002C40D8">
              <w:rPr>
                <w:rFonts w:eastAsia="Roboto"/>
              </w:rPr>
              <w:t xml:space="preserve">odel of </w:t>
            </w:r>
            <w:r>
              <w:rPr>
                <w:rFonts w:eastAsia="Roboto"/>
              </w:rPr>
              <w:t>c</w:t>
            </w:r>
            <w:r w:rsidRPr="002C40D8">
              <w:rPr>
                <w:rFonts w:eastAsia="Roboto"/>
              </w:rPr>
              <w:t>are </w:t>
            </w:r>
          </w:p>
          <w:p w14:paraId="09E5CB40" w14:textId="77777777" w:rsidR="00953D7E" w:rsidRPr="002C40D8" w:rsidRDefault="00953D7E" w:rsidP="005D439F">
            <w:pPr>
              <w:pStyle w:val="ListBullet2"/>
              <w:rPr>
                <w:rFonts w:eastAsia="Roboto"/>
              </w:rPr>
            </w:pPr>
            <w:r>
              <w:rPr>
                <w:rFonts w:eastAsia="Roboto"/>
              </w:rPr>
              <w:t>r</w:t>
            </w:r>
            <w:r w:rsidRPr="002C40D8">
              <w:rPr>
                <w:rFonts w:eastAsia="Roboto"/>
              </w:rPr>
              <w:t>eferral pathways </w:t>
            </w:r>
          </w:p>
          <w:p w14:paraId="4FB2FCB0" w14:textId="77777777" w:rsidR="00953D7E" w:rsidRPr="002C40D8" w:rsidRDefault="00953D7E" w:rsidP="005D439F">
            <w:pPr>
              <w:pStyle w:val="ListBullet2"/>
              <w:rPr>
                <w:rFonts w:eastAsia="Roboto"/>
              </w:rPr>
            </w:pPr>
            <w:r>
              <w:rPr>
                <w:rFonts w:eastAsia="Roboto"/>
              </w:rPr>
              <w:t>t</w:t>
            </w:r>
            <w:r w:rsidRPr="002C40D8">
              <w:rPr>
                <w:rFonts w:eastAsia="Roboto"/>
              </w:rPr>
              <w:t>he identification and assessment of service gaps </w:t>
            </w:r>
          </w:p>
          <w:p w14:paraId="2094CCBF" w14:textId="77777777" w:rsidR="00953D7E" w:rsidRPr="002C40D8" w:rsidRDefault="00953D7E" w:rsidP="005D439F">
            <w:pPr>
              <w:pStyle w:val="ListBullet2"/>
              <w:rPr>
                <w:rFonts w:eastAsia="Roboto"/>
              </w:rPr>
            </w:pPr>
            <w:r>
              <w:rPr>
                <w:rFonts w:eastAsia="Roboto"/>
              </w:rPr>
              <w:t>w</w:t>
            </w:r>
            <w:r w:rsidRPr="002C40D8">
              <w:rPr>
                <w:rFonts w:eastAsia="Roboto"/>
              </w:rPr>
              <w:t>orkforce and training requirements</w:t>
            </w:r>
          </w:p>
          <w:p w14:paraId="077F88F1" w14:textId="77777777" w:rsidR="00953D7E" w:rsidRPr="002C40D8" w:rsidRDefault="00953D7E" w:rsidP="005D439F">
            <w:pPr>
              <w:pStyle w:val="ListBullet2"/>
              <w:rPr>
                <w:rFonts w:eastAsia="Roboto"/>
              </w:rPr>
            </w:pPr>
            <w:r>
              <w:rPr>
                <w:rFonts w:eastAsia="Roboto"/>
              </w:rPr>
              <w:t>e</w:t>
            </w:r>
            <w:r w:rsidRPr="002C40D8">
              <w:rPr>
                <w:rFonts w:eastAsia="Roboto"/>
              </w:rPr>
              <w:t>valuation and monitoring of the program</w:t>
            </w:r>
            <w:r>
              <w:rPr>
                <w:rFonts w:eastAsia="Roboto"/>
              </w:rPr>
              <w:t>.</w:t>
            </w:r>
            <w:r w:rsidRPr="002C40D8">
              <w:rPr>
                <w:rFonts w:eastAsia="Roboto"/>
              </w:rPr>
              <w:t> </w:t>
            </w:r>
          </w:p>
          <w:p w14:paraId="42B538F4" w14:textId="77777777" w:rsidR="00953D7E" w:rsidRPr="002C40D8" w:rsidRDefault="00953D7E" w:rsidP="005D439F">
            <w:pPr>
              <w:pStyle w:val="BodyText1stparaafterlist"/>
            </w:pPr>
            <w:r w:rsidRPr="002C40D8">
              <w:t xml:space="preserve">This cultural and clinical governance provided by ATSIAG is one example of how NACCHO is ensuring that there is Aboriginal and Torres Strait Islander </w:t>
            </w:r>
            <w:r>
              <w:t>l</w:t>
            </w:r>
            <w:r w:rsidRPr="002C40D8">
              <w:t xml:space="preserve">eadership and </w:t>
            </w:r>
            <w:r>
              <w:t>c</w:t>
            </w:r>
            <w:r w:rsidRPr="002C40D8">
              <w:t xml:space="preserve">ommunity </w:t>
            </w:r>
            <w:r>
              <w:t>c</w:t>
            </w:r>
            <w:r w:rsidRPr="002C40D8">
              <w:t xml:space="preserve">ontrol </w:t>
            </w:r>
            <w:r>
              <w:t>and</w:t>
            </w:r>
            <w:r w:rsidRPr="002C40D8">
              <w:t xml:space="preserve"> </w:t>
            </w:r>
            <w:r>
              <w:t>a</w:t>
            </w:r>
            <w:r w:rsidRPr="002C40D8">
              <w:t>ccountability in the development, rollout and management of the program. </w:t>
            </w:r>
          </w:p>
          <w:p w14:paraId="3D56B358" w14:textId="77777777" w:rsidR="00953D7E" w:rsidRPr="006B7540" w:rsidRDefault="00953D7E" w:rsidP="005D439F">
            <w:pPr>
              <w:pStyle w:val="BodyText"/>
              <w:rPr>
                <w:b/>
                <w:bCs/>
              </w:rPr>
            </w:pPr>
            <w:r w:rsidRPr="006B7540">
              <w:rPr>
                <w:b/>
                <w:bCs/>
              </w:rPr>
              <w:t>Best practice and how CCC aligns with the key principles of future funding arrangements</w:t>
            </w:r>
          </w:p>
          <w:p w14:paraId="422B147B" w14:textId="77777777" w:rsidR="00953D7E" w:rsidRPr="002C40D8" w:rsidRDefault="00953D7E" w:rsidP="005D439F">
            <w:pPr>
              <w:pStyle w:val="BodyText"/>
            </w:pPr>
            <w:r w:rsidRPr="002C40D8">
              <w:t>The key principles of the CCC model align with identified best practice and the identified key principles of the future funding arrangements, as co-designed by participants and stakeholders. Examples of best practices and alignment include:</w:t>
            </w:r>
          </w:p>
          <w:p w14:paraId="09BD808A" w14:textId="77777777" w:rsidR="00953D7E" w:rsidRPr="002C40D8" w:rsidRDefault="00953D7E" w:rsidP="005D439F">
            <w:pPr>
              <w:pStyle w:val="ListBullet2"/>
              <w:rPr>
                <w:rFonts w:eastAsia="Roboto"/>
              </w:rPr>
            </w:pPr>
            <w:r w:rsidRPr="002C40D8">
              <w:rPr>
                <w:rFonts w:eastAsia="Roboto"/>
                <w:b/>
                <w:bCs/>
              </w:rPr>
              <w:t>Place-based:</w:t>
            </w:r>
            <w:r w:rsidRPr="002C40D8">
              <w:rPr>
                <w:rFonts w:eastAsia="Roboto"/>
              </w:rPr>
              <w:t xml:space="preserve"> The key principles of future funding arrangements emphasi</w:t>
            </w:r>
            <w:r>
              <w:rPr>
                <w:rFonts w:eastAsia="Roboto"/>
              </w:rPr>
              <w:t>s</w:t>
            </w:r>
            <w:r w:rsidRPr="002C40D8">
              <w:rPr>
                <w:rFonts w:eastAsia="Roboto"/>
              </w:rPr>
              <w:t>e the importance of local contextuali</w:t>
            </w:r>
            <w:r>
              <w:rPr>
                <w:rFonts w:eastAsia="Roboto"/>
              </w:rPr>
              <w:t>s</w:t>
            </w:r>
            <w:r w:rsidRPr="002C40D8">
              <w:rPr>
                <w:rFonts w:eastAsia="Roboto"/>
              </w:rPr>
              <w:t>ation and meeting the unique needs of each community, similar to the CCC model</w:t>
            </w:r>
            <w:r>
              <w:rPr>
                <w:rFonts w:eastAsia="Roboto"/>
              </w:rPr>
              <w:t>’</w:t>
            </w:r>
            <w:r w:rsidRPr="002C40D8">
              <w:rPr>
                <w:rFonts w:eastAsia="Roboto"/>
              </w:rPr>
              <w:t>s emphasis on being place-based. Both models advocate for tailoring services to specific communities and their requirements.</w:t>
            </w:r>
          </w:p>
          <w:p w14:paraId="45F8D70B" w14:textId="77777777" w:rsidR="00953D7E" w:rsidRPr="002C40D8" w:rsidRDefault="00953D7E" w:rsidP="005D439F">
            <w:pPr>
              <w:pStyle w:val="ListBullet2"/>
              <w:rPr>
                <w:rFonts w:eastAsia="Roboto"/>
              </w:rPr>
            </w:pPr>
            <w:r w:rsidRPr="002C40D8">
              <w:rPr>
                <w:rFonts w:eastAsia="Roboto"/>
                <w:b/>
                <w:bCs/>
              </w:rPr>
              <w:t xml:space="preserve">Aboriginal and Torres Strait Islander </w:t>
            </w:r>
            <w:r>
              <w:rPr>
                <w:rFonts w:eastAsia="Roboto"/>
                <w:b/>
                <w:bCs/>
              </w:rPr>
              <w:t>l</w:t>
            </w:r>
            <w:r w:rsidRPr="002C40D8">
              <w:rPr>
                <w:rFonts w:eastAsia="Roboto"/>
                <w:b/>
                <w:bCs/>
              </w:rPr>
              <w:t xml:space="preserve">eadership and </w:t>
            </w:r>
            <w:r>
              <w:rPr>
                <w:rFonts w:eastAsia="Roboto"/>
                <w:b/>
                <w:bCs/>
              </w:rPr>
              <w:t>c</w:t>
            </w:r>
            <w:r w:rsidRPr="002C40D8">
              <w:rPr>
                <w:rFonts w:eastAsia="Roboto"/>
                <w:b/>
                <w:bCs/>
              </w:rPr>
              <w:t xml:space="preserve">ommunity </w:t>
            </w:r>
            <w:r>
              <w:rPr>
                <w:rFonts w:eastAsia="Roboto"/>
                <w:b/>
                <w:bCs/>
              </w:rPr>
              <w:t>c</w:t>
            </w:r>
            <w:r w:rsidRPr="002C40D8">
              <w:rPr>
                <w:rFonts w:eastAsia="Roboto"/>
                <w:b/>
                <w:bCs/>
              </w:rPr>
              <w:t xml:space="preserve">ontrol and </w:t>
            </w:r>
            <w:r>
              <w:rPr>
                <w:rFonts w:eastAsia="Roboto"/>
                <w:b/>
                <w:bCs/>
              </w:rPr>
              <w:t>a</w:t>
            </w:r>
            <w:r w:rsidRPr="002C40D8">
              <w:rPr>
                <w:rFonts w:eastAsia="Roboto"/>
                <w:b/>
                <w:bCs/>
              </w:rPr>
              <w:t>ccountability:</w:t>
            </w:r>
            <w:r w:rsidRPr="002C40D8">
              <w:rPr>
                <w:rFonts w:eastAsia="Roboto"/>
              </w:rPr>
              <w:t xml:space="preserve"> The key principles of future funding arrangements highlight the importance of empowering Aboriginal and Torres Strait Islander communities, reflecting the principles of Aboriginal and Torres Strait Islander leadership and </w:t>
            </w:r>
            <w:r>
              <w:rPr>
                <w:rFonts w:eastAsia="Roboto"/>
              </w:rPr>
              <w:t>c</w:t>
            </w:r>
            <w:r w:rsidRPr="002C40D8">
              <w:rPr>
                <w:rFonts w:eastAsia="Roboto"/>
              </w:rPr>
              <w:t xml:space="preserve">ommunity </w:t>
            </w:r>
            <w:r>
              <w:rPr>
                <w:rFonts w:eastAsia="Roboto"/>
              </w:rPr>
              <w:t>c</w:t>
            </w:r>
            <w:r w:rsidRPr="002C40D8">
              <w:rPr>
                <w:rFonts w:eastAsia="Roboto"/>
              </w:rPr>
              <w:t>ontrol stated in the CCC model. </w:t>
            </w:r>
          </w:p>
          <w:p w14:paraId="765EA193" w14:textId="77777777" w:rsidR="00953D7E" w:rsidRDefault="00953D7E" w:rsidP="005D439F">
            <w:pPr>
              <w:pStyle w:val="ListBullet2"/>
              <w:rPr>
                <w:rFonts w:eastAsia="Roboto"/>
              </w:rPr>
            </w:pPr>
            <w:r w:rsidRPr="002C40D8">
              <w:rPr>
                <w:rFonts w:eastAsia="Roboto"/>
                <w:b/>
                <w:bCs/>
              </w:rPr>
              <w:t xml:space="preserve">Culturally safe and appropriate: </w:t>
            </w:r>
            <w:r w:rsidRPr="002C40D8">
              <w:rPr>
                <w:rFonts w:eastAsia="Roboto"/>
              </w:rPr>
              <w:t>The emphasis on enhancing the cultural safety of non-Indigenous service providers and addressing the distinctive needs of each community aligns with the CCC model</w:t>
            </w:r>
            <w:r>
              <w:rPr>
                <w:rFonts w:eastAsia="Roboto"/>
              </w:rPr>
              <w:t>’</w:t>
            </w:r>
            <w:r w:rsidRPr="002C40D8">
              <w:rPr>
                <w:rFonts w:eastAsia="Roboto"/>
              </w:rPr>
              <w:t>s focus on equity and culturally safe practices.</w:t>
            </w:r>
          </w:p>
          <w:p w14:paraId="276989C7" w14:textId="77777777" w:rsidR="00953D7E" w:rsidRPr="002C40D8" w:rsidRDefault="00953D7E" w:rsidP="005D439F">
            <w:pPr>
              <w:pStyle w:val="ListBullet2"/>
              <w:rPr>
                <w:rFonts w:eastAsia="Roboto"/>
              </w:rPr>
            </w:pPr>
            <w:r w:rsidRPr="002C40D8">
              <w:rPr>
                <w:rFonts w:eastAsia="Roboto"/>
                <w:b/>
                <w:bCs/>
              </w:rPr>
              <w:t xml:space="preserve">Evidence-based and evaluation: </w:t>
            </w:r>
            <w:r w:rsidRPr="002C40D8">
              <w:rPr>
                <w:rFonts w:eastAsia="Roboto"/>
              </w:rPr>
              <w:t>Both the key principles of future funding arrangements and CCC stress the importance of monitoring, evaluating and implementing evidence-based programs to ensure effective service delivery.</w:t>
            </w:r>
          </w:p>
        </w:tc>
      </w:tr>
    </w:tbl>
    <w:p w14:paraId="596EE6A3" w14:textId="77777777" w:rsidR="00553EF5" w:rsidRDefault="00553EF5">
      <w:pPr>
        <w:rPr>
          <w:b/>
          <w:bCs/>
          <w:sz w:val="20"/>
          <w:szCs w:val="18"/>
        </w:rPr>
      </w:pPr>
      <w:bookmarkStart w:id="83" w:name="_Ref151807877"/>
      <w:bookmarkStart w:id="84" w:name="_Ref156739001"/>
      <w:bookmarkStart w:id="85" w:name="_Toc156932058"/>
      <w:r>
        <w:lastRenderedPageBreak/>
        <w:br w:type="page"/>
      </w:r>
    </w:p>
    <w:p w14:paraId="779F8E4D" w14:textId="42DDFE3B" w:rsidR="00CA09AE" w:rsidRPr="009D0DF0" w:rsidRDefault="00CA09AE" w:rsidP="00CA09AE">
      <w:pPr>
        <w:pStyle w:val="CaptionBox"/>
        <w:rPr>
          <w:rFonts w:ascii="Calibri" w:eastAsia="Roboto" w:hAnsi="Calibri" w:cs="Calibri"/>
          <w:szCs w:val="22"/>
          <w:highlight w:val="yellow"/>
        </w:rPr>
      </w:pPr>
      <w:r w:rsidRPr="00B65F7F">
        <w:lastRenderedPageBreak/>
        <w:t xml:space="preserve">Box </w:t>
      </w:r>
      <w:r w:rsidRPr="00B65F7F">
        <w:fldChar w:fldCharType="begin"/>
      </w:r>
      <w:r w:rsidRPr="00B65F7F">
        <w:instrText xml:space="preserve"> SEQ Box \* ARABIC </w:instrText>
      </w:r>
      <w:r w:rsidRPr="00B65F7F">
        <w:fldChar w:fldCharType="separate"/>
      </w:r>
      <w:r w:rsidR="00934D5E">
        <w:rPr>
          <w:noProof/>
        </w:rPr>
        <w:t>11</w:t>
      </w:r>
      <w:r w:rsidRPr="00B65F7F">
        <w:fldChar w:fldCharType="end"/>
      </w:r>
      <w:bookmarkEnd w:id="83"/>
      <w:bookmarkEnd w:id="84"/>
      <w:r w:rsidRPr="00B65F7F">
        <w:t>: The TORCH project – A</w:t>
      </w:r>
      <w:r>
        <w:t xml:space="preserve">n emerging </w:t>
      </w:r>
      <w:r w:rsidRPr="00B65F7F">
        <w:t>approach to funding First Nations health and wellbeing</w:t>
      </w:r>
      <w:bookmarkEnd w:id="85"/>
    </w:p>
    <w:tbl>
      <w:tblPr>
        <w:tblStyle w:val="NintiBox"/>
        <w:tblW w:w="9634" w:type="dxa"/>
        <w:tblLayout w:type="fixed"/>
        <w:tblLook w:val="0620" w:firstRow="1" w:lastRow="0" w:firstColumn="0" w:lastColumn="0" w:noHBand="1" w:noVBand="1"/>
      </w:tblPr>
      <w:tblGrid>
        <w:gridCol w:w="9634"/>
      </w:tblGrid>
      <w:tr w:rsidR="00CA09AE" w:rsidRPr="00B65F7F" w14:paraId="41D6E521" w14:textId="77777777" w:rsidTr="0067319F">
        <w:tc>
          <w:tcPr>
            <w:tcW w:w="9634" w:type="dxa"/>
          </w:tcPr>
          <w:p w14:paraId="3F2320A0" w14:textId="509FE83E" w:rsidR="005958D8" w:rsidRPr="007E12C7" w:rsidRDefault="005958D8" w:rsidP="008A64CE">
            <w:pPr>
              <w:pStyle w:val="BodyText"/>
            </w:pPr>
            <w:r w:rsidRPr="008D25BF">
              <w:t xml:space="preserve">The Transforming Our Regional Community Health (TORCH) project is a 10-year initiative that aims to reshape the way healthcare is commissioned and delivered in </w:t>
            </w:r>
            <w:r w:rsidR="006D6E4C">
              <w:t xml:space="preserve">the Torres and Cape region. The TORCH project is a joint commitment between Torres and Cape communities, the </w:t>
            </w:r>
            <w:r w:rsidR="00A508C9">
              <w:t xml:space="preserve">Queensland Aboriginal and Islander Health Council (QAIHC), and the Australian and Queensland </w:t>
            </w:r>
            <w:r w:rsidR="002B031B">
              <w:t>g</w:t>
            </w:r>
            <w:r w:rsidR="00A508C9">
              <w:t xml:space="preserve">overnments. </w:t>
            </w:r>
            <w:r w:rsidR="00681A01" w:rsidRPr="00681A01">
              <w:t>The project will establish an independent regional healthcare commissioner (the TORCH entity), which will plan and buy health services based on evidence and local input</w:t>
            </w:r>
            <w:r w:rsidR="007861F1">
              <w:t xml:space="preserve"> for the whole of the Torres and Cape populati</w:t>
            </w:r>
            <w:r w:rsidR="007861F1" w:rsidRPr="007E12C7">
              <w:t>on</w:t>
            </w:r>
            <w:r w:rsidR="007E12C7" w:rsidRPr="007E12C7">
              <w:t xml:space="preserve"> (Torres &amp; Cape Health Fund, 2023)</w:t>
            </w:r>
            <w:r w:rsidR="00681A01" w:rsidRPr="007E12C7">
              <w:t>.</w:t>
            </w:r>
          </w:p>
          <w:p w14:paraId="41A76F52" w14:textId="0B4AC201" w:rsidR="005958D8" w:rsidRPr="000C3F43" w:rsidRDefault="005958D8" w:rsidP="008A64CE">
            <w:pPr>
              <w:pStyle w:val="BodyText"/>
            </w:pPr>
            <w:r w:rsidRPr="005958D8">
              <w:rPr>
                <w:b/>
                <w:bCs/>
              </w:rPr>
              <w:t>Objectives</w:t>
            </w:r>
            <w:r w:rsidR="00B40928">
              <w:rPr>
                <w:b/>
                <w:bCs/>
              </w:rPr>
              <w:t xml:space="preserve">: </w:t>
            </w:r>
            <w:r w:rsidRPr="008D25BF">
              <w:t xml:space="preserve">The TORCH project has </w:t>
            </w:r>
            <w:r w:rsidR="00F960F2">
              <w:t>4</w:t>
            </w:r>
            <w:r w:rsidRPr="008D25BF">
              <w:t xml:space="preserve"> key objecti</w:t>
            </w:r>
            <w:r w:rsidRPr="000C3F43">
              <w:t>ves</w:t>
            </w:r>
            <w:r w:rsidR="000C3F43" w:rsidRPr="000C3F43">
              <w:t xml:space="preserve"> (Cooke, 2023)</w:t>
            </w:r>
            <w:r w:rsidRPr="000C3F43">
              <w:t>:</w:t>
            </w:r>
          </w:p>
          <w:p w14:paraId="4F66646B" w14:textId="77777777" w:rsidR="005958D8" w:rsidRPr="008D25BF" w:rsidRDefault="005958D8" w:rsidP="003B07D3">
            <w:pPr>
              <w:pStyle w:val="List1"/>
              <w:numPr>
                <w:ilvl w:val="0"/>
                <w:numId w:val="10"/>
              </w:numPr>
            </w:pPr>
            <w:r w:rsidRPr="008D25BF">
              <w:t>Improve health system effectiveness, efficiency and equity</w:t>
            </w:r>
          </w:p>
          <w:p w14:paraId="26274F97" w14:textId="77777777" w:rsidR="005958D8" w:rsidRPr="008D25BF" w:rsidRDefault="005958D8" w:rsidP="003B07D3">
            <w:pPr>
              <w:pStyle w:val="List1"/>
              <w:numPr>
                <w:ilvl w:val="0"/>
                <w:numId w:val="10"/>
              </w:numPr>
            </w:pPr>
            <w:r w:rsidRPr="008D25BF">
              <w:t>Ultimately enhance the health and wellbeing of the entire population</w:t>
            </w:r>
          </w:p>
          <w:p w14:paraId="4D250ADA" w14:textId="219D683E" w:rsidR="005958D8" w:rsidRPr="008D25BF" w:rsidRDefault="005958D8" w:rsidP="003B07D3">
            <w:pPr>
              <w:pStyle w:val="List1"/>
              <w:numPr>
                <w:ilvl w:val="0"/>
                <w:numId w:val="10"/>
              </w:numPr>
            </w:pPr>
            <w:r w:rsidRPr="008D25BF">
              <w:t xml:space="preserve">Co-design with communities and establish </w:t>
            </w:r>
            <w:r w:rsidR="00F960F2">
              <w:t>‘</w:t>
            </w:r>
            <w:r w:rsidRPr="008D25BF">
              <w:t>an independent, non-government joint regional healthcare commissioning entity backed by pooled funding for healthcare services from all levels of government and accountable to the communities of the region</w:t>
            </w:r>
            <w:r w:rsidR="00F960F2">
              <w:t>’</w:t>
            </w:r>
          </w:p>
          <w:p w14:paraId="211E337A" w14:textId="77777777" w:rsidR="005958D8" w:rsidRPr="008D25BF" w:rsidRDefault="005958D8" w:rsidP="003B07D3">
            <w:pPr>
              <w:pStyle w:val="List1"/>
              <w:numPr>
                <w:ilvl w:val="0"/>
                <w:numId w:val="10"/>
              </w:numPr>
            </w:pPr>
            <w:r w:rsidRPr="008D25BF">
              <w:t>Firmly committed to First Nations governance and local community control of healthcare commissioning and health outcomes</w:t>
            </w:r>
            <w:r w:rsidR="00F960F2">
              <w:t>.</w:t>
            </w:r>
          </w:p>
          <w:p w14:paraId="1EA9807A" w14:textId="77777777" w:rsidR="005958D8" w:rsidRPr="008D25BF" w:rsidRDefault="005958D8" w:rsidP="008A64CE">
            <w:pPr>
              <w:pStyle w:val="BodyText1stparaafterlist"/>
            </w:pPr>
            <w:r w:rsidRPr="00681A01">
              <w:rPr>
                <w:b/>
                <w:bCs/>
              </w:rPr>
              <w:t xml:space="preserve">Key </w:t>
            </w:r>
            <w:r w:rsidR="00F960F2">
              <w:rPr>
                <w:b/>
                <w:bCs/>
              </w:rPr>
              <w:t>e</w:t>
            </w:r>
            <w:r w:rsidRPr="00681A01">
              <w:rPr>
                <w:b/>
                <w:bCs/>
              </w:rPr>
              <w:t>lements</w:t>
            </w:r>
            <w:r w:rsidR="00B40928">
              <w:rPr>
                <w:b/>
                <w:bCs/>
              </w:rPr>
              <w:t xml:space="preserve">: </w:t>
            </w:r>
            <w:r w:rsidRPr="008D25BF">
              <w:t xml:space="preserve">The TORCH project focuses on </w:t>
            </w:r>
            <w:r w:rsidR="00F960F2">
              <w:t>4</w:t>
            </w:r>
            <w:r w:rsidRPr="008D25BF">
              <w:t xml:space="preserve"> key elements:</w:t>
            </w:r>
          </w:p>
          <w:p w14:paraId="67B281CA" w14:textId="77777777" w:rsidR="005958D8" w:rsidRPr="008D25BF" w:rsidRDefault="005958D8" w:rsidP="003B07D3">
            <w:pPr>
              <w:pStyle w:val="List1"/>
              <w:numPr>
                <w:ilvl w:val="0"/>
                <w:numId w:val="11"/>
              </w:numPr>
            </w:pPr>
            <w:r w:rsidRPr="008D25BF">
              <w:t>Local and regional commissioning and decision-making</w:t>
            </w:r>
          </w:p>
          <w:p w14:paraId="462A086F" w14:textId="77777777" w:rsidR="005958D8" w:rsidRPr="008D25BF" w:rsidRDefault="005958D8" w:rsidP="003B07D3">
            <w:pPr>
              <w:pStyle w:val="List1"/>
              <w:numPr>
                <w:ilvl w:val="0"/>
                <w:numId w:val="11"/>
              </w:numPr>
            </w:pPr>
            <w:r w:rsidRPr="008D25BF">
              <w:t>Equity of health access, outcomes and experience</w:t>
            </w:r>
          </w:p>
          <w:p w14:paraId="5592734C" w14:textId="77777777" w:rsidR="005958D8" w:rsidRPr="008D25BF" w:rsidRDefault="005958D8" w:rsidP="003B07D3">
            <w:pPr>
              <w:pStyle w:val="List1"/>
              <w:numPr>
                <w:ilvl w:val="0"/>
                <w:numId w:val="11"/>
              </w:numPr>
            </w:pPr>
            <w:r w:rsidRPr="008D25BF">
              <w:t>Re-orienting local health systems to respond to evidence-based need</w:t>
            </w:r>
          </w:p>
          <w:p w14:paraId="6E5E16CE" w14:textId="77777777" w:rsidR="005958D8" w:rsidRPr="008D25BF" w:rsidRDefault="005958D8" w:rsidP="003B07D3">
            <w:pPr>
              <w:pStyle w:val="List1"/>
              <w:numPr>
                <w:ilvl w:val="0"/>
                <w:numId w:val="11"/>
              </w:numPr>
            </w:pPr>
            <w:r w:rsidRPr="008D25BF">
              <w:t>Re-investment for efficiencies and innovation</w:t>
            </w:r>
            <w:r w:rsidR="00F960F2">
              <w:t>.</w:t>
            </w:r>
          </w:p>
          <w:p w14:paraId="2A9DC1C4" w14:textId="1DF8D1F1" w:rsidR="005958D8" w:rsidRPr="008D25BF" w:rsidRDefault="005958D8" w:rsidP="008A64CE">
            <w:pPr>
              <w:pStyle w:val="BodyText1stparaafterlist"/>
            </w:pPr>
            <w:r w:rsidRPr="00681A01">
              <w:rPr>
                <w:b/>
                <w:bCs/>
              </w:rPr>
              <w:t xml:space="preserve">Progress to </w:t>
            </w:r>
            <w:r w:rsidR="00F960F2">
              <w:rPr>
                <w:b/>
                <w:bCs/>
              </w:rPr>
              <w:t>d</w:t>
            </w:r>
            <w:r w:rsidRPr="00681A01">
              <w:rPr>
                <w:b/>
                <w:bCs/>
              </w:rPr>
              <w:t>ate</w:t>
            </w:r>
            <w:r w:rsidR="00B40928">
              <w:rPr>
                <w:b/>
                <w:bCs/>
              </w:rPr>
              <w:t xml:space="preserve">: </w:t>
            </w:r>
            <w:r w:rsidRPr="008D25BF">
              <w:t xml:space="preserve">The TORCH project is still in its </w:t>
            </w:r>
            <w:r w:rsidR="002C1B6D">
              <w:t>early</w:t>
            </w:r>
            <w:r w:rsidR="008C0B30" w:rsidRPr="008D25BF">
              <w:t xml:space="preserve"> </w:t>
            </w:r>
            <w:r w:rsidRPr="008D25BF">
              <w:t>stage, but it has already made significant progress</w:t>
            </w:r>
            <w:r w:rsidR="002C1B6D">
              <w:t>, including establishing</w:t>
            </w:r>
            <w:r w:rsidR="008C0B30">
              <w:t xml:space="preserve"> governance</w:t>
            </w:r>
            <w:r w:rsidR="00085227">
              <w:t xml:space="preserve"> arrangement</w:t>
            </w:r>
            <w:r w:rsidR="002C1B6D">
              <w:t>s</w:t>
            </w:r>
            <w:r w:rsidR="00085227">
              <w:t xml:space="preserve"> and undertaking extensive </w:t>
            </w:r>
            <w:r w:rsidR="009B66AA">
              <w:t>community engagement</w:t>
            </w:r>
            <w:r w:rsidR="002C1B6D">
              <w:t xml:space="preserve"> activity</w:t>
            </w:r>
            <w:r w:rsidRPr="008D25BF">
              <w:t>.</w:t>
            </w:r>
            <w:r w:rsidR="00085227" w:rsidRPr="002B031B">
              <w:t xml:space="preserve"> The TORCH entity will be established from 1 July 2024 as an independent regional commissioning organisation.</w:t>
            </w:r>
          </w:p>
          <w:p w14:paraId="011F4975" w14:textId="2EB4E492" w:rsidR="005958D8" w:rsidRPr="008D25BF" w:rsidRDefault="005958D8" w:rsidP="008A64CE">
            <w:pPr>
              <w:pStyle w:val="BodyText"/>
            </w:pPr>
            <w:r w:rsidRPr="00681A01">
              <w:rPr>
                <w:b/>
                <w:bCs/>
              </w:rPr>
              <w:t xml:space="preserve">Future </w:t>
            </w:r>
            <w:r w:rsidR="00F960F2">
              <w:rPr>
                <w:b/>
                <w:bCs/>
              </w:rPr>
              <w:t>d</w:t>
            </w:r>
            <w:r w:rsidRPr="00681A01">
              <w:rPr>
                <w:b/>
                <w:bCs/>
              </w:rPr>
              <w:t>irections</w:t>
            </w:r>
            <w:r w:rsidR="00B40928">
              <w:rPr>
                <w:b/>
                <w:bCs/>
              </w:rPr>
              <w:t xml:space="preserve">: </w:t>
            </w:r>
            <w:r w:rsidR="001A0913">
              <w:t xml:space="preserve">Over a </w:t>
            </w:r>
            <w:r w:rsidR="002B031B">
              <w:t>10-year</w:t>
            </w:r>
            <w:r w:rsidR="001A0913">
              <w:t xml:space="preserve"> journey</w:t>
            </w:r>
            <w:r w:rsidR="005316D3">
              <w:t>, relevant healthcare funding from all governments wil</w:t>
            </w:r>
            <w:r w:rsidR="00D41411">
              <w:t>l</w:t>
            </w:r>
            <w:r w:rsidR="005316D3">
              <w:t xml:space="preserve"> be consolidated into a single pool. </w:t>
            </w:r>
            <w:r w:rsidR="00D41411">
              <w:t xml:space="preserve">The TORCH entity will decide how the pooled funding will be spent on health services in the Torres and Cape region to best </w:t>
            </w:r>
            <w:r w:rsidR="00C820B0">
              <w:t xml:space="preserve">meet community health needs. The aim is that by 2034, the entity will allow for self-determination over how healthcare services are planned and funded in the region. </w:t>
            </w:r>
          </w:p>
          <w:p w14:paraId="2851CB65" w14:textId="6CB18AE8" w:rsidR="00CA09AE" w:rsidRPr="00B65F7F" w:rsidRDefault="00CA09AE" w:rsidP="008A64CE">
            <w:pPr>
              <w:pStyle w:val="BodyText"/>
            </w:pPr>
            <w:r w:rsidRPr="00B65F7F">
              <w:rPr>
                <w:b/>
                <w:bCs/>
              </w:rPr>
              <w:t xml:space="preserve">Why this is important in the context of the </w:t>
            </w:r>
            <w:r w:rsidR="002B031B">
              <w:rPr>
                <w:b/>
                <w:bCs/>
              </w:rPr>
              <w:t>R</w:t>
            </w:r>
            <w:r w:rsidRPr="00B65F7F">
              <w:rPr>
                <w:b/>
                <w:bCs/>
              </w:rPr>
              <w:t>eview</w:t>
            </w:r>
            <w:r w:rsidR="00B40928">
              <w:rPr>
                <w:b/>
                <w:bCs/>
              </w:rPr>
              <w:t xml:space="preserve">: </w:t>
            </w:r>
            <w:r w:rsidR="00681A01">
              <w:t>The</w:t>
            </w:r>
            <w:r w:rsidRPr="00B65F7F">
              <w:t xml:space="preserve"> TORCH project </w:t>
            </w:r>
            <w:r w:rsidR="00681A01">
              <w:t>can</w:t>
            </w:r>
            <w:r w:rsidRPr="00B65F7F">
              <w:t xml:space="preserve"> demonstrate the continued progression of funding arrangement design taking place in Australia. Moreover, the TORCH project demonstrates the genuine commitment of several governments, government agencies and First Nations organisations to work together to ‘transform’ funding arrangements that can more effectively meet the health and wellbeing needs of First Nations people.</w:t>
            </w:r>
          </w:p>
          <w:p w14:paraId="64F4BCE1" w14:textId="77777777" w:rsidR="00CA09AE" w:rsidRDefault="00CA09AE" w:rsidP="008A64CE">
            <w:pPr>
              <w:pStyle w:val="BodyText"/>
            </w:pPr>
            <w:r w:rsidRPr="00B65F7F">
              <w:t xml:space="preserve">Specifically for the purpose of this </w:t>
            </w:r>
            <w:r w:rsidR="00B40928">
              <w:t>R</w:t>
            </w:r>
            <w:r w:rsidRPr="00B65F7F">
              <w:t>eview, the TORCH program demonstrates that any future funding arrangement must not only receive strong endorsement from government;</w:t>
            </w:r>
            <w:r w:rsidRPr="00B65F7F" w:rsidDel="00C7324F">
              <w:t xml:space="preserve"> </w:t>
            </w:r>
            <w:r w:rsidRPr="00B65F7F">
              <w:t>it also must allow sufficient time to enable the creation of genuine partnership and true self-determination by the community.</w:t>
            </w:r>
          </w:p>
          <w:p w14:paraId="1BFEEB41" w14:textId="77777777" w:rsidR="00E50232" w:rsidRDefault="00E50232" w:rsidP="008A64CE">
            <w:pPr>
              <w:pStyle w:val="BodyText"/>
            </w:pPr>
            <w:r w:rsidRPr="002C40D8">
              <w:rPr>
                <w:b/>
                <w:bCs/>
              </w:rPr>
              <w:t xml:space="preserve">Best practice and how </w:t>
            </w:r>
            <w:r>
              <w:rPr>
                <w:b/>
                <w:bCs/>
              </w:rPr>
              <w:t>TORCH</w:t>
            </w:r>
            <w:r w:rsidRPr="002C40D8">
              <w:rPr>
                <w:b/>
                <w:bCs/>
              </w:rPr>
              <w:t xml:space="preserve"> aligns with the key principles of future funding </w:t>
            </w:r>
            <w:r w:rsidR="00681A01" w:rsidRPr="002C40D8">
              <w:rPr>
                <w:b/>
                <w:bCs/>
              </w:rPr>
              <w:t>arrangements</w:t>
            </w:r>
            <w:r w:rsidR="00B40928">
              <w:rPr>
                <w:b/>
                <w:bCs/>
              </w:rPr>
              <w:t xml:space="preserve">: </w:t>
            </w:r>
            <w:r>
              <w:t xml:space="preserve">The TORCH initiative strongly aligns with </w:t>
            </w:r>
            <w:r w:rsidRPr="002C40D8">
              <w:t>best practice, and the identified key principles of the future funding arrangements, as co-designed by participants and stakeholders. Examples of best practices and alignment include:</w:t>
            </w:r>
          </w:p>
          <w:p w14:paraId="1D93E0E0" w14:textId="77777777" w:rsidR="00E50232" w:rsidRPr="00B40928" w:rsidRDefault="00E50232" w:rsidP="008A64CE">
            <w:pPr>
              <w:pStyle w:val="ListBullet2"/>
              <w:rPr>
                <w:rFonts w:eastAsia="Roboto"/>
              </w:rPr>
            </w:pPr>
            <w:r w:rsidRPr="00B40928">
              <w:rPr>
                <w:rFonts w:eastAsia="Roboto"/>
                <w:b/>
                <w:bCs/>
              </w:rPr>
              <w:t xml:space="preserve">Principle 1: </w:t>
            </w:r>
            <w:r w:rsidR="00C67356">
              <w:rPr>
                <w:rFonts w:eastAsia="Roboto"/>
                <w:b/>
                <w:bCs/>
              </w:rPr>
              <w:t>First Nations</w:t>
            </w:r>
            <w:r w:rsidRPr="00B40928">
              <w:rPr>
                <w:rFonts w:eastAsia="Roboto"/>
                <w:b/>
                <w:bCs/>
              </w:rPr>
              <w:t xml:space="preserve"> leadership and community empowerment</w:t>
            </w:r>
            <w:r w:rsidR="00B40928" w:rsidRPr="00B40928">
              <w:rPr>
                <w:rFonts w:eastAsia="Roboto"/>
                <w:b/>
                <w:bCs/>
              </w:rPr>
              <w:t xml:space="preserve">: </w:t>
            </w:r>
            <w:r w:rsidRPr="00B40928">
              <w:rPr>
                <w:rFonts w:eastAsia="Roboto"/>
              </w:rPr>
              <w:t xml:space="preserve">The TORCH project is firmly committed to First Nations governance and local community control of healthcare </w:t>
            </w:r>
            <w:r w:rsidRPr="00B40928">
              <w:rPr>
                <w:rFonts w:eastAsia="Roboto"/>
              </w:rPr>
              <w:lastRenderedPageBreak/>
              <w:t>commissioning and health outcomes. One of the primary objectives of the project is to co-design with communities and establish an independent</w:t>
            </w:r>
            <w:r w:rsidR="00356A19">
              <w:rPr>
                <w:rFonts w:eastAsia="Roboto"/>
              </w:rPr>
              <w:t xml:space="preserve"> regional commissioning body, backed by pooled funds, which will plan and purchase health services for the whole population based on evidence and local input into health needs and priorities.</w:t>
            </w:r>
          </w:p>
          <w:p w14:paraId="4D26B70F" w14:textId="77777777" w:rsidR="00E50232" w:rsidRPr="00B40928" w:rsidRDefault="00E50232" w:rsidP="008A64CE">
            <w:pPr>
              <w:pStyle w:val="ListBullet2"/>
              <w:rPr>
                <w:rFonts w:eastAsia="Roboto"/>
              </w:rPr>
            </w:pPr>
            <w:r w:rsidRPr="00B40928">
              <w:rPr>
                <w:rFonts w:eastAsia="Roboto"/>
                <w:b/>
                <w:bCs/>
              </w:rPr>
              <w:t>Principle 2: A First Nation’s holistic model</w:t>
            </w:r>
            <w:r w:rsidR="00B40928" w:rsidRPr="00B40928">
              <w:rPr>
                <w:rFonts w:eastAsia="Roboto"/>
                <w:b/>
                <w:bCs/>
              </w:rPr>
              <w:t xml:space="preserve">: </w:t>
            </w:r>
            <w:r w:rsidRPr="00B40928">
              <w:rPr>
                <w:rFonts w:eastAsia="Roboto"/>
              </w:rPr>
              <w:t xml:space="preserve">The TORCH project takes a holistic approach to healthcare, recognising that physical, mental and emotional health are all interconnected. The TORCH project also recognises the importance of culture in health and wellbeing. </w:t>
            </w:r>
          </w:p>
          <w:p w14:paraId="61499170" w14:textId="77777777" w:rsidR="00E50232" w:rsidRDefault="00E50232" w:rsidP="008A64CE">
            <w:pPr>
              <w:pStyle w:val="ListBullet2"/>
              <w:rPr>
                <w:rFonts w:eastAsia="Roboto"/>
              </w:rPr>
            </w:pPr>
            <w:r w:rsidRPr="008D25BF">
              <w:rPr>
                <w:rFonts w:eastAsia="Roboto"/>
                <w:b/>
                <w:bCs/>
              </w:rPr>
              <w:t xml:space="preserve">Principle </w:t>
            </w:r>
            <w:r w:rsidR="00FC0CAE">
              <w:rPr>
                <w:rFonts w:eastAsia="Roboto"/>
                <w:b/>
                <w:bCs/>
              </w:rPr>
              <w:t>3</w:t>
            </w:r>
            <w:r w:rsidRPr="008D25BF">
              <w:rPr>
                <w:rFonts w:eastAsia="Roboto"/>
                <w:b/>
                <w:bCs/>
              </w:rPr>
              <w:t>: A culturally safe and accessible system</w:t>
            </w:r>
            <w:r w:rsidR="00B40928">
              <w:rPr>
                <w:rFonts w:eastAsia="Roboto"/>
                <w:b/>
                <w:bCs/>
              </w:rPr>
              <w:t xml:space="preserve">: </w:t>
            </w:r>
            <w:r w:rsidRPr="00E50232">
              <w:rPr>
                <w:rFonts w:eastAsia="Roboto"/>
              </w:rPr>
              <w:t>The TORCH project is committed to creating a culturally safe and accessible healthcare system for Aboriginal and/or Torres Strait Islander people. The project is working to ensure that healthcare services are delivered in a way that is respectful of Aboriginal and/or Torres Strait Islander culture and values.</w:t>
            </w:r>
          </w:p>
          <w:p w14:paraId="5E5D7178" w14:textId="77777777" w:rsidR="00FC0CAE" w:rsidRPr="001A2158" w:rsidRDefault="00FC0CAE" w:rsidP="008A64CE">
            <w:pPr>
              <w:pStyle w:val="ListBullet2"/>
              <w:rPr>
                <w:rFonts w:eastAsia="Roboto"/>
              </w:rPr>
            </w:pPr>
            <w:r w:rsidRPr="00B40928">
              <w:rPr>
                <w:rFonts w:eastAsia="Roboto"/>
                <w:b/>
                <w:bCs/>
              </w:rPr>
              <w:t xml:space="preserve">Principle </w:t>
            </w:r>
            <w:r>
              <w:rPr>
                <w:rFonts w:eastAsia="Roboto"/>
                <w:b/>
                <w:bCs/>
              </w:rPr>
              <w:t>4</w:t>
            </w:r>
            <w:r w:rsidRPr="00B40928">
              <w:rPr>
                <w:rFonts w:eastAsia="Roboto"/>
                <w:b/>
                <w:bCs/>
              </w:rPr>
              <w:t xml:space="preserve">: A strengths-based approach: </w:t>
            </w:r>
            <w:r w:rsidRPr="00B40928">
              <w:rPr>
                <w:rFonts w:eastAsia="Roboto"/>
              </w:rPr>
              <w:t>The TORCH project will focus on the strengths and assets of Aboriginal and/or Torres Strait Islander people and communities. The project is working to build on the strengths of Aboriginal and/or Torres Strait Islander people to improve their health and wellbeing. This includes working with Aboriginal and/or Torres Strait Islander people to identify their own priorities and goals for health and wellbeing. The project is also working to support Aboriginal and/or Torres Strait Islander people to lead and manage their own health services.</w:t>
            </w:r>
          </w:p>
        </w:tc>
      </w:tr>
    </w:tbl>
    <w:p w14:paraId="6C210957" w14:textId="77777777" w:rsidR="000A649A" w:rsidRDefault="000A649A" w:rsidP="00292E56">
      <w:pPr>
        <w:pStyle w:val="BodyText"/>
      </w:pPr>
      <w:bookmarkStart w:id="86" w:name="_8vm8s08nubjt" w:colFirst="0" w:colLast="0"/>
      <w:bookmarkEnd w:id="86"/>
    </w:p>
    <w:p w14:paraId="4A702D17" w14:textId="77777777" w:rsidR="00396048" w:rsidRPr="00B65F7F" w:rsidRDefault="00396048" w:rsidP="00292E56">
      <w:pPr>
        <w:pStyle w:val="BodyText"/>
        <w:rPr>
          <w:highlight w:val="yellow"/>
        </w:rPr>
        <w:sectPr w:rsidR="00396048" w:rsidRPr="00B65F7F" w:rsidSect="002B05C0">
          <w:headerReference w:type="default" r:id="rId37"/>
          <w:footerReference w:type="default" r:id="rId38"/>
          <w:pgSz w:w="11907" w:h="16840" w:code="9"/>
          <w:pgMar w:top="1134" w:right="1440" w:bottom="1134" w:left="1440" w:header="720" w:footer="720" w:gutter="0"/>
          <w:cols w:space="720"/>
          <w:docGrid w:linePitch="326"/>
        </w:sectPr>
      </w:pPr>
    </w:p>
    <w:p w14:paraId="4C7EA724" w14:textId="6CC10245" w:rsidR="00F923B6" w:rsidRPr="00B65F7F" w:rsidRDefault="001779C6" w:rsidP="00760785">
      <w:pPr>
        <w:pStyle w:val="Heading1"/>
      </w:pPr>
      <w:bookmarkStart w:id="87" w:name="Ch6PlanningForTransformation"/>
      <w:bookmarkStart w:id="88" w:name="Ch4_Plan4Xformn"/>
      <w:bookmarkStart w:id="89" w:name="_Toc156932006"/>
      <w:r w:rsidRPr="00B65F7F">
        <w:lastRenderedPageBreak/>
        <w:t>–</w:t>
      </w:r>
      <w:r w:rsidR="00F923B6" w:rsidRPr="00B65F7F">
        <w:t xml:space="preserve"> Planning for </w:t>
      </w:r>
      <w:bookmarkEnd w:id="87"/>
      <w:r w:rsidRPr="00B65F7F">
        <w:t>t</w:t>
      </w:r>
      <w:r w:rsidR="00F923B6" w:rsidRPr="00B65F7F">
        <w:t>ransformation</w:t>
      </w:r>
      <w:bookmarkEnd w:id="88"/>
      <w:bookmarkEnd w:id="89"/>
    </w:p>
    <w:p w14:paraId="31DEFD7A" w14:textId="25240E4A" w:rsidR="00F923B6" w:rsidRDefault="00F923B6" w:rsidP="00760785">
      <w:pPr>
        <w:pStyle w:val="Heading2"/>
      </w:pPr>
      <w:bookmarkStart w:id="90" w:name="_ae0bi4ens8u7" w:colFirst="0" w:colLast="0"/>
      <w:bookmarkStart w:id="91" w:name="_Toc156932007"/>
      <w:bookmarkEnd w:id="90"/>
      <w:r w:rsidRPr="00B65F7F">
        <w:t>Overview</w:t>
      </w:r>
      <w:bookmarkEnd w:id="91"/>
    </w:p>
    <w:p w14:paraId="52AEEC4A" w14:textId="77777777" w:rsidR="00F5171F" w:rsidRPr="00B65F7F" w:rsidRDefault="00F5171F" w:rsidP="00760785">
      <w:pPr>
        <w:pStyle w:val="BodyText"/>
      </w:pPr>
      <w:r w:rsidRPr="00F5171F">
        <w:t xml:space="preserve">The </w:t>
      </w:r>
      <w:r>
        <w:t>chapter describes</w:t>
      </w:r>
      <w:r w:rsidRPr="00F5171F">
        <w:t xml:space="preserve"> the features that must underpin any transition and transformation, as well as a roadmap for transformation. </w:t>
      </w:r>
      <w:r>
        <w:t>It</w:t>
      </w:r>
      <w:r w:rsidRPr="00F5171F">
        <w:t xml:space="preserve"> outlines a framework for an </w:t>
      </w:r>
      <w:r w:rsidR="00413FC9">
        <w:t>EAP</w:t>
      </w:r>
      <w:r w:rsidRPr="00F5171F">
        <w:t>, roles, responsibilities, risks and considerations for transformation.</w:t>
      </w:r>
    </w:p>
    <w:p w14:paraId="1BABAADA" w14:textId="55B52B9C" w:rsidR="00F923B6" w:rsidRPr="00B65F7F" w:rsidRDefault="001D568A" w:rsidP="00760785">
      <w:pPr>
        <w:pStyle w:val="Heading3"/>
      </w:pPr>
      <w:bookmarkStart w:id="92" w:name="_y2x1psrxezbu"/>
      <w:bookmarkEnd w:id="92"/>
      <w:r w:rsidRPr="00B65F7F">
        <w:t xml:space="preserve"> </w:t>
      </w:r>
      <w:r w:rsidR="00F923B6" w:rsidRPr="00B65F7F">
        <w:t>Introduction</w:t>
      </w:r>
    </w:p>
    <w:p w14:paraId="23C62A1D" w14:textId="77777777" w:rsidR="3E335C58" w:rsidRPr="00B65F7F" w:rsidRDefault="00B740DA" w:rsidP="00760785">
      <w:pPr>
        <w:pStyle w:val="BodyText"/>
      </w:pPr>
      <w:r>
        <w:t xml:space="preserve">Chapter </w:t>
      </w:r>
      <w:r w:rsidR="007E5B4E">
        <w:t>3</w:t>
      </w:r>
      <w:r>
        <w:t xml:space="preserve"> </w:t>
      </w:r>
      <w:r w:rsidR="3E335C58" w:rsidRPr="00B65F7F">
        <w:t xml:space="preserve">of this </w:t>
      </w:r>
      <w:r>
        <w:t>r</w:t>
      </w:r>
      <w:r w:rsidR="3E335C58" w:rsidRPr="00B65F7F">
        <w:t xml:space="preserve">eport </w:t>
      </w:r>
      <w:r w:rsidR="007835B9" w:rsidRPr="00B65F7F">
        <w:t>describe</w:t>
      </w:r>
      <w:r w:rsidR="00642A1C" w:rsidRPr="00B65F7F">
        <w:t>d</w:t>
      </w:r>
      <w:r w:rsidR="23EC6555" w:rsidRPr="00B65F7F">
        <w:t xml:space="preserve"> the </w:t>
      </w:r>
      <w:r w:rsidR="00410460">
        <w:t>recommended</w:t>
      </w:r>
      <w:r w:rsidR="00EB73D8" w:rsidRPr="00B65F7F">
        <w:t xml:space="preserve"> </w:t>
      </w:r>
      <w:r w:rsidR="23EC6555" w:rsidRPr="00B65F7F">
        <w:t>future</w:t>
      </w:r>
      <w:r w:rsidR="00EB73D8" w:rsidRPr="00B65F7F">
        <w:t>-state</w:t>
      </w:r>
      <w:r w:rsidR="23EC6555" w:rsidRPr="00B65F7F">
        <w:t xml:space="preserve"> funding arrangements that</w:t>
      </w:r>
      <w:r w:rsidR="000119AC" w:rsidRPr="00B65F7F">
        <w:t xml:space="preserve"> are design</w:t>
      </w:r>
      <w:r w:rsidR="00EB73D8" w:rsidRPr="00B65F7F">
        <w:t>ed</w:t>
      </w:r>
      <w:r w:rsidR="000119AC" w:rsidRPr="00B65F7F">
        <w:t xml:space="preserve"> to </w:t>
      </w:r>
      <w:r w:rsidR="008B1A23" w:rsidRPr="00B65F7F">
        <w:t xml:space="preserve">meet and </w:t>
      </w:r>
      <w:r w:rsidR="033ED7EE" w:rsidRPr="00B65F7F">
        <w:t xml:space="preserve">support </w:t>
      </w:r>
      <w:r w:rsidR="0094707C" w:rsidRPr="00B65F7F">
        <w:t xml:space="preserve">improved </w:t>
      </w:r>
      <w:r w:rsidR="033ED7EE" w:rsidRPr="00B65F7F">
        <w:t xml:space="preserve">health and wellbeing of </w:t>
      </w:r>
      <w:r w:rsidR="006C74F1">
        <w:t>Aboriginal and/or Torres Strait Islander</w:t>
      </w:r>
      <w:r w:rsidR="033ED7EE" w:rsidRPr="00B65F7F">
        <w:t xml:space="preserve"> peoples. </w:t>
      </w:r>
      <w:r>
        <w:t>With</w:t>
      </w:r>
      <w:r w:rsidR="19DB2106" w:rsidRPr="00B65F7F" w:rsidDel="00B740DA">
        <w:t xml:space="preserve"> the </w:t>
      </w:r>
      <w:r w:rsidR="19DB2106" w:rsidRPr="00B65F7F">
        <w:t>‘</w:t>
      </w:r>
      <w:r w:rsidR="0094707C" w:rsidRPr="00B65F7F">
        <w:t>future</w:t>
      </w:r>
      <w:r>
        <w:t xml:space="preserve"> </w:t>
      </w:r>
      <w:r w:rsidR="19DB2106" w:rsidRPr="00B65F7F">
        <w:t>state’</w:t>
      </w:r>
      <w:r>
        <w:t xml:space="preserve"> set out</w:t>
      </w:r>
      <w:r w:rsidR="19DB2106" w:rsidRPr="00B65F7F">
        <w:t xml:space="preserve">, </w:t>
      </w:r>
      <w:r>
        <w:t xml:space="preserve">Chapter </w:t>
      </w:r>
      <w:r w:rsidR="00410460">
        <w:t>4</w:t>
      </w:r>
      <w:r w:rsidR="19DB2106" w:rsidRPr="00B65F7F">
        <w:t xml:space="preserve"> articulate</w:t>
      </w:r>
      <w:r w:rsidR="00162701">
        <w:t>s</w:t>
      </w:r>
      <w:r w:rsidR="19DB2106" w:rsidRPr="00B65F7F">
        <w:t xml:space="preserve"> </w:t>
      </w:r>
      <w:r w:rsidR="0094707C" w:rsidRPr="00B65F7F">
        <w:t xml:space="preserve">a </w:t>
      </w:r>
      <w:r w:rsidR="19DB2106" w:rsidRPr="00B65F7F">
        <w:t xml:space="preserve">pathway to move from the current funding arrangements to </w:t>
      </w:r>
      <w:r w:rsidR="005B0F76" w:rsidRPr="00B65F7F">
        <w:t xml:space="preserve">the preferred </w:t>
      </w:r>
      <w:r w:rsidR="006D3265" w:rsidRPr="00B65F7F">
        <w:t>future</w:t>
      </w:r>
      <w:r w:rsidR="005B0F76" w:rsidRPr="00B65F7F">
        <w:t>-</w:t>
      </w:r>
      <w:r w:rsidR="006D3265" w:rsidRPr="00B65F7F">
        <w:t>state</w:t>
      </w:r>
      <w:r w:rsidR="005B0F76" w:rsidRPr="00B65F7F">
        <w:t xml:space="preserve"> funding arrangements. </w:t>
      </w:r>
    </w:p>
    <w:p w14:paraId="044A67DD" w14:textId="77777777" w:rsidR="5B76AAB4" w:rsidRPr="00B65F7F" w:rsidRDefault="5B76AAB4" w:rsidP="00760785">
      <w:pPr>
        <w:pStyle w:val="BodyText"/>
      </w:pPr>
      <w:r w:rsidRPr="00B65F7F">
        <w:t>Moving from the current state to the future</w:t>
      </w:r>
      <w:r w:rsidR="005B0F76" w:rsidRPr="00B65F7F">
        <w:t>-state</w:t>
      </w:r>
      <w:r w:rsidRPr="00B65F7F">
        <w:t xml:space="preserve"> funding arrangements will </w:t>
      </w:r>
      <w:r w:rsidR="52DE10D5" w:rsidRPr="00B65F7F">
        <w:t xml:space="preserve">require a transformative effort. </w:t>
      </w:r>
      <w:r w:rsidR="0E9A10EE" w:rsidRPr="00B65F7F">
        <w:t xml:space="preserve">This is because, to be truly effective, the </w:t>
      </w:r>
      <w:r w:rsidR="00027495" w:rsidRPr="00B65F7F">
        <w:t>arrangements</w:t>
      </w:r>
      <w:r w:rsidR="004B5B22" w:rsidRPr="00B65F7F">
        <w:t xml:space="preserve"> (including </w:t>
      </w:r>
      <w:r w:rsidR="00510F01" w:rsidRPr="00B65F7F">
        <w:t xml:space="preserve">the </w:t>
      </w:r>
      <w:r w:rsidR="004B5B22" w:rsidRPr="00B65F7F">
        <w:t>principles)</w:t>
      </w:r>
      <w:r w:rsidR="00027495" w:rsidRPr="00B65F7F">
        <w:t xml:space="preserve"> </w:t>
      </w:r>
      <w:r w:rsidR="0E9A10EE" w:rsidRPr="00B65F7F">
        <w:t xml:space="preserve">articulated in </w:t>
      </w:r>
      <w:r w:rsidR="00B740DA">
        <w:t xml:space="preserve">Chapter </w:t>
      </w:r>
      <w:r w:rsidR="007E5B4E">
        <w:t>3</w:t>
      </w:r>
      <w:r w:rsidR="0E9A10EE" w:rsidRPr="00B65F7F">
        <w:t xml:space="preserve"> must </w:t>
      </w:r>
      <w:r w:rsidR="000151B6" w:rsidRPr="00B65F7F">
        <w:t xml:space="preserve">apply to </w:t>
      </w:r>
      <w:r w:rsidR="50E82688" w:rsidRPr="00B65F7F">
        <w:t xml:space="preserve">all programs and services designed to support </w:t>
      </w:r>
      <w:r w:rsidR="006C74F1">
        <w:t>Aboriginal and/or Torres Strait Islander</w:t>
      </w:r>
      <w:r w:rsidR="50E82688" w:rsidRPr="00B65F7F">
        <w:t xml:space="preserve"> people to achieve improved health and wellbeing</w:t>
      </w:r>
      <w:r w:rsidR="000151B6" w:rsidRPr="00B65F7F">
        <w:t>. By doing so, this will ensure</w:t>
      </w:r>
      <w:r w:rsidR="00CC6E9E" w:rsidRPr="00B65F7F">
        <w:t xml:space="preserve"> that </w:t>
      </w:r>
      <w:r w:rsidR="00A0749D" w:rsidRPr="00B65F7F">
        <w:t>all funding arrangements are underpinned by the same principles and directed towards the same outcomes</w:t>
      </w:r>
      <w:r w:rsidR="009E1CF7">
        <w:t>.</w:t>
      </w:r>
    </w:p>
    <w:p w14:paraId="357F4E25" w14:textId="77777777" w:rsidR="00704706" w:rsidRDefault="00ED64C8" w:rsidP="00760785">
      <w:pPr>
        <w:pStyle w:val="BodyText"/>
      </w:pPr>
      <w:r w:rsidRPr="00B65F7F">
        <w:t xml:space="preserve">With this in mind, this </w:t>
      </w:r>
      <w:r w:rsidR="00B740DA">
        <w:t>chapter</w:t>
      </w:r>
      <w:r w:rsidR="00B740DA" w:rsidRPr="00B65F7F">
        <w:t xml:space="preserve"> </w:t>
      </w:r>
      <w:r w:rsidRPr="00B65F7F">
        <w:t>describes a</w:t>
      </w:r>
      <w:r w:rsidR="00AC4D8F" w:rsidRPr="00B65F7F">
        <w:t xml:space="preserve">n approach to transform funding arrangements, beginning with the </w:t>
      </w:r>
      <w:r w:rsidR="00B740DA" w:rsidRPr="00A63180">
        <w:t>R</w:t>
      </w:r>
      <w:r w:rsidR="00AC4D8F" w:rsidRPr="00A63180">
        <w:t xml:space="preserve">elevant </w:t>
      </w:r>
      <w:r w:rsidR="00B740DA" w:rsidRPr="00A63180">
        <w:t>H</w:t>
      </w:r>
      <w:r w:rsidR="00AC4D8F" w:rsidRPr="00A63180">
        <w:t xml:space="preserve">ealth </w:t>
      </w:r>
      <w:r w:rsidR="00B740DA" w:rsidRPr="00A63180">
        <w:t>P</w:t>
      </w:r>
      <w:r w:rsidR="007533DA" w:rsidRPr="00A63180">
        <w:t>rograms</w:t>
      </w:r>
      <w:r w:rsidR="00016A74">
        <w:t xml:space="preserve"> (including via an </w:t>
      </w:r>
      <w:r w:rsidR="00413FC9">
        <w:t>EAP</w:t>
      </w:r>
      <w:r w:rsidR="00C455BB">
        <w:t>)</w:t>
      </w:r>
      <w:r w:rsidR="00AC4D8F" w:rsidRPr="00B65F7F">
        <w:t xml:space="preserve"> before expanding</w:t>
      </w:r>
      <w:r w:rsidR="00704706">
        <w:t xml:space="preserve"> to a national rollout, followed by the suggested transition for</w:t>
      </w:r>
      <w:r w:rsidR="00AC4D8F" w:rsidRPr="00B65F7F">
        <w:t xml:space="preserve"> </w:t>
      </w:r>
      <w:r w:rsidR="005369CB" w:rsidRPr="00B65F7F">
        <w:t xml:space="preserve">all other services designed to support </w:t>
      </w:r>
      <w:r w:rsidR="006C74F1">
        <w:t>Aboriginal and/or Torres Strait Islander</w:t>
      </w:r>
      <w:r w:rsidR="005369CB" w:rsidRPr="00B65F7F">
        <w:t xml:space="preserve"> health and wellbeing.</w:t>
      </w:r>
      <w:r w:rsidR="00AC4D8F" w:rsidRPr="00B65F7F">
        <w:t xml:space="preserve"> </w:t>
      </w:r>
    </w:p>
    <w:p w14:paraId="6FE5B881" w14:textId="77777777" w:rsidR="50E82688" w:rsidRDefault="00761699" w:rsidP="00760785">
      <w:pPr>
        <w:pStyle w:val="BodyText"/>
      </w:pPr>
      <w:r w:rsidRPr="00B65F7F">
        <w:t xml:space="preserve">In putting forward this approach, it is recognised that such change </w:t>
      </w:r>
      <w:r w:rsidR="5B76AAB4" w:rsidRPr="00B65F7F">
        <w:t>will require</w:t>
      </w:r>
      <w:r w:rsidR="009F42A7" w:rsidRPr="00B65F7F">
        <w:t xml:space="preserve"> </w:t>
      </w:r>
      <w:r w:rsidR="5B76AAB4" w:rsidRPr="00B65F7F">
        <w:t>patien</w:t>
      </w:r>
      <w:r w:rsidR="0DD29540" w:rsidRPr="00B65F7F">
        <w:t>ce, commitment, agility</w:t>
      </w:r>
      <w:r w:rsidR="6D2507D8" w:rsidRPr="00B65F7F">
        <w:t xml:space="preserve"> and openness to </w:t>
      </w:r>
      <w:r w:rsidRPr="00B65F7F">
        <w:t xml:space="preserve">working </w:t>
      </w:r>
      <w:r w:rsidR="6D2507D8" w:rsidRPr="00B65F7F">
        <w:t>differently</w:t>
      </w:r>
      <w:r w:rsidR="00B740DA">
        <w:t xml:space="preserve"> –</w:t>
      </w:r>
      <w:r w:rsidR="00FE379D" w:rsidRPr="00B65F7F">
        <w:t xml:space="preserve"> </w:t>
      </w:r>
      <w:r w:rsidR="00B740DA">
        <w:t>p</w:t>
      </w:r>
      <w:r w:rsidR="00FE379D" w:rsidRPr="00B65F7F">
        <w:t xml:space="preserve">articularly for </w:t>
      </w:r>
      <w:r w:rsidR="009E1CF7">
        <w:t>DoHAC</w:t>
      </w:r>
      <w:r w:rsidR="00103138">
        <w:t xml:space="preserve"> and </w:t>
      </w:r>
      <w:r w:rsidR="003C30E2" w:rsidRPr="00B65F7F">
        <w:t>the Australian Government</w:t>
      </w:r>
      <w:r w:rsidR="00103138">
        <w:t xml:space="preserve"> more broadly</w:t>
      </w:r>
      <w:r w:rsidR="6A617CC3" w:rsidRPr="00B65F7F">
        <w:t>.</w:t>
      </w:r>
      <w:r w:rsidR="57E03AB7" w:rsidRPr="00B65F7F">
        <w:t xml:space="preserve"> </w:t>
      </w:r>
      <w:r w:rsidR="17655A49" w:rsidRPr="00B65F7F">
        <w:t>It will also</w:t>
      </w:r>
      <w:r w:rsidR="57E03AB7" w:rsidRPr="00B65F7F">
        <w:t xml:space="preserve"> require time</w:t>
      </w:r>
      <w:r w:rsidR="00BD1BCA">
        <w:t xml:space="preserve"> (working at the </w:t>
      </w:r>
      <w:r w:rsidR="00791FF2">
        <w:t>pace</w:t>
      </w:r>
      <w:r w:rsidR="00BD1BCA">
        <w:t xml:space="preserve"> of </w:t>
      </w:r>
      <w:r w:rsidR="006C74F1">
        <w:t>Aboriginal and/or Torres Strait Islander</w:t>
      </w:r>
      <w:r w:rsidR="00BD1BCA">
        <w:t xml:space="preserve"> communities)</w:t>
      </w:r>
      <w:r w:rsidR="57E03AB7" w:rsidRPr="00B65F7F">
        <w:t xml:space="preserve"> and meaningful investment</w:t>
      </w:r>
      <w:r w:rsidR="4A029858" w:rsidRPr="00B65F7F">
        <w:t xml:space="preserve"> that extends beyond electoral cycles and the timing often afforded to government initiatives. Ultimately, it will require </w:t>
      </w:r>
      <w:r w:rsidR="00775E51" w:rsidRPr="00B65F7F">
        <w:t>new ways of working and decision-making</w:t>
      </w:r>
      <w:r w:rsidR="003C30E2" w:rsidRPr="00B65F7F">
        <w:t xml:space="preserve"> that is consistent with the</w:t>
      </w:r>
      <w:r w:rsidR="39CD5E2A" w:rsidRPr="00B65F7F">
        <w:t xml:space="preserve"> </w:t>
      </w:r>
      <w:r w:rsidR="3E1888E7" w:rsidRPr="00B65F7F">
        <w:t>National Agreement</w:t>
      </w:r>
      <w:r w:rsidR="4A029858" w:rsidRPr="00B65F7F">
        <w:t>.</w:t>
      </w:r>
    </w:p>
    <w:p w14:paraId="5AE42F9D" w14:textId="389C4DC7" w:rsidR="00396048" w:rsidRPr="00B65F7F" w:rsidRDefault="00396048" w:rsidP="00396048">
      <w:pPr>
        <w:pStyle w:val="CaptionBox"/>
        <w:rPr>
          <w:bCs w:val="0"/>
        </w:rPr>
      </w:pPr>
      <w:bookmarkStart w:id="93" w:name="_Toc156932059"/>
      <w:r w:rsidRPr="00B65F7F">
        <w:t xml:space="preserve">Box </w:t>
      </w:r>
      <w:r w:rsidRPr="00B65F7F">
        <w:fldChar w:fldCharType="begin"/>
      </w:r>
      <w:r w:rsidRPr="00B65F7F">
        <w:instrText xml:space="preserve"> SEQ Box \* ARABIC </w:instrText>
      </w:r>
      <w:r w:rsidRPr="00B65F7F">
        <w:fldChar w:fldCharType="separate"/>
      </w:r>
      <w:r w:rsidR="00934D5E">
        <w:rPr>
          <w:noProof/>
        </w:rPr>
        <w:t>12</w:t>
      </w:r>
      <w:r w:rsidRPr="00B65F7F">
        <w:fldChar w:fldCharType="end"/>
      </w:r>
      <w:r w:rsidRPr="00B65F7F">
        <w:t>: Prioritising transformation of future-state funding arrangements</w:t>
      </w:r>
      <w:bookmarkEnd w:id="93"/>
    </w:p>
    <w:tbl>
      <w:tblPr>
        <w:tblStyle w:val="NintiBox"/>
        <w:tblW w:w="0" w:type="auto"/>
        <w:tblLook w:val="04A0" w:firstRow="1" w:lastRow="0" w:firstColumn="1" w:lastColumn="0" w:noHBand="0" w:noVBand="1"/>
      </w:tblPr>
      <w:tblGrid>
        <w:gridCol w:w="9628"/>
      </w:tblGrid>
      <w:tr w:rsidR="001211B7" w:rsidRPr="00B65F7F" w14:paraId="2F4375B8" w14:textId="77777777" w:rsidTr="00396048">
        <w:trPr>
          <w:trHeight w:val="2012"/>
        </w:trPr>
        <w:tc>
          <w:tcPr>
            <w:tcW w:w="9628" w:type="dxa"/>
          </w:tcPr>
          <w:p w14:paraId="7F037286" w14:textId="77777777" w:rsidR="001211B7" w:rsidRPr="00B65F7F" w:rsidRDefault="009E1CF7" w:rsidP="00760785">
            <w:pPr>
              <w:pStyle w:val="BodyText"/>
            </w:pPr>
            <w:r>
              <w:t>DoHAC</w:t>
            </w:r>
            <w:r w:rsidR="001211B7" w:rsidRPr="00B65F7F">
              <w:t xml:space="preserve"> has identified that the ultimate objective of the </w:t>
            </w:r>
            <w:r>
              <w:t>R</w:t>
            </w:r>
            <w:r w:rsidR="001211B7" w:rsidRPr="00B65F7F">
              <w:t>eview is to provide an ambitious roadmap to redefine funding arrangements for all Aboriginal and/or Torres Strait Islander</w:t>
            </w:r>
            <w:r w:rsidR="001211B7">
              <w:t>–</w:t>
            </w:r>
            <w:r w:rsidR="001211B7" w:rsidRPr="00B65F7F">
              <w:t xml:space="preserve">directed services in line with the National Agreement. Therefore, while the scope of the </w:t>
            </w:r>
            <w:r>
              <w:t>R</w:t>
            </w:r>
            <w:r w:rsidR="001211B7" w:rsidRPr="00B65F7F">
              <w:t xml:space="preserve">eview is limited to the Relevant Health </w:t>
            </w:r>
            <w:r w:rsidR="001211B7">
              <w:t>Programs</w:t>
            </w:r>
            <w:r w:rsidR="001211B7" w:rsidRPr="00B65F7F">
              <w:t xml:space="preserve">, the recommendations are intended to provide </w:t>
            </w:r>
            <w:r>
              <w:t>DoHAC</w:t>
            </w:r>
            <w:r w:rsidR="001211B7" w:rsidRPr="00B65F7F">
              <w:t xml:space="preserve"> (and the Australian Government more generally) with an ambitious, yet practical, pathway that can shape the future</w:t>
            </w:r>
            <w:r w:rsidR="001211B7">
              <w:t>-state</w:t>
            </w:r>
            <w:r w:rsidR="001211B7" w:rsidRPr="00B65F7F">
              <w:t xml:space="preserve"> funding arrangements for Aboriginal and/or Torres Strait Islander people in line with the National Agreement.</w:t>
            </w:r>
          </w:p>
          <w:p w14:paraId="424D6C60" w14:textId="77777777" w:rsidR="001211B7" w:rsidRPr="00B65F7F" w:rsidRDefault="001211B7" w:rsidP="00760785">
            <w:pPr>
              <w:pStyle w:val="BodyText"/>
            </w:pPr>
            <w:r w:rsidRPr="00B65F7F">
              <w:t xml:space="preserve">Given this ambition, the process for change described below elevates the concept of </w:t>
            </w:r>
            <w:r w:rsidRPr="00F0334E">
              <w:t>transformation</w:t>
            </w:r>
            <w:r w:rsidRPr="00B65F7F">
              <w:rPr>
                <w:b/>
                <w:bCs/>
              </w:rPr>
              <w:t xml:space="preserve"> </w:t>
            </w:r>
            <w:r w:rsidRPr="00B65F7F">
              <w:t xml:space="preserve">over </w:t>
            </w:r>
            <w:r w:rsidRPr="00F0334E">
              <w:t>transition</w:t>
            </w:r>
            <w:r w:rsidRPr="00B65F7F">
              <w:t xml:space="preserve">. This is because transformation demonstrates the significance of the reform needed for such ambitions to be realised. </w:t>
            </w:r>
            <w:r w:rsidR="009E1CF7">
              <w:t>However, i</w:t>
            </w:r>
            <w:r w:rsidRPr="00B65F7F">
              <w:t xml:space="preserve">mplicit in the transformation effort is the concept of transition; this demonstrates that to achieve true transformation, a managed process </w:t>
            </w:r>
            <w:r>
              <w:t xml:space="preserve">is needed </w:t>
            </w:r>
            <w:r w:rsidRPr="00B65F7F">
              <w:t xml:space="preserve">to move from the current to the final state, so as not to completely shock the delivery of health services to </w:t>
            </w:r>
            <w:r w:rsidR="006C74F1">
              <w:t>Aboriginal and/or Torres Strait Islander</w:t>
            </w:r>
            <w:r w:rsidRPr="00B65F7F">
              <w:t xml:space="preserve"> people. Such a staged approach within an ambitious framework is how the Transformation Roadmap has been developed. </w:t>
            </w:r>
          </w:p>
        </w:tc>
      </w:tr>
    </w:tbl>
    <w:p w14:paraId="4A07DB53" w14:textId="2AA2A029" w:rsidR="00633818" w:rsidRPr="00B65F7F" w:rsidRDefault="001D568A" w:rsidP="00760785">
      <w:pPr>
        <w:pStyle w:val="Heading3"/>
      </w:pPr>
      <w:r w:rsidRPr="00B65F7F">
        <w:lastRenderedPageBreak/>
        <w:t xml:space="preserve"> </w:t>
      </w:r>
      <w:r w:rsidR="00633818" w:rsidRPr="00B65F7F">
        <w:t xml:space="preserve">Summary of </w:t>
      </w:r>
      <w:r w:rsidR="00B740DA">
        <w:t>t</w:t>
      </w:r>
      <w:r w:rsidR="00633818" w:rsidRPr="00B65F7F">
        <w:t xml:space="preserve">ransformation </w:t>
      </w:r>
    </w:p>
    <w:p w14:paraId="2A75E3EF" w14:textId="1772B4A2" w:rsidR="00051494" w:rsidRPr="00B65F7F" w:rsidRDefault="006E6CE3" w:rsidP="00760785">
      <w:pPr>
        <w:pStyle w:val="BodyText"/>
      </w:pPr>
      <w:r w:rsidRPr="000E6595">
        <w:t>The proposed app</w:t>
      </w:r>
      <w:r w:rsidRPr="00B65F7F">
        <w:t xml:space="preserve">roach to transformation towards the future state that is described in </w:t>
      </w:r>
      <w:r w:rsidR="00D6464B">
        <w:fldChar w:fldCharType="begin"/>
      </w:r>
      <w:r w:rsidR="00D6464B">
        <w:instrText xml:space="preserve"> REF Chapter3_withtitle \n \h </w:instrText>
      </w:r>
      <w:r w:rsidR="00D6464B">
        <w:fldChar w:fldCharType="separate"/>
      </w:r>
      <w:r w:rsidR="00934D5E">
        <w:t>Chapter 3</w:t>
      </w:r>
      <w:r w:rsidR="00D6464B">
        <w:fldChar w:fldCharType="end"/>
      </w:r>
      <w:r w:rsidR="0002674B" w:rsidRPr="00B65F7F">
        <w:t xml:space="preserve"> represents a complex and challenging process. </w:t>
      </w:r>
      <w:r w:rsidR="004619A7" w:rsidRPr="00B65F7F">
        <w:t xml:space="preserve">The approach set out in this </w:t>
      </w:r>
      <w:r w:rsidR="000E6595">
        <w:t>chapter</w:t>
      </w:r>
      <w:r w:rsidR="004619A7" w:rsidRPr="00B65F7F">
        <w:t xml:space="preserve"> is a </w:t>
      </w:r>
      <w:r w:rsidR="00704706">
        <w:t>6</w:t>
      </w:r>
      <w:r w:rsidR="004619A7" w:rsidRPr="00B65F7F">
        <w:t>-phased approach to transformation</w:t>
      </w:r>
      <w:r w:rsidR="00051494" w:rsidRPr="00B65F7F">
        <w:t xml:space="preserve">, underpinned by 6 </w:t>
      </w:r>
      <w:r w:rsidR="000E6595">
        <w:t>t</w:t>
      </w:r>
      <w:r w:rsidR="00051494" w:rsidRPr="00B65F7F">
        <w:t xml:space="preserve">ransformation </w:t>
      </w:r>
      <w:r w:rsidR="000E6595">
        <w:t>f</w:t>
      </w:r>
      <w:r w:rsidR="00051494" w:rsidRPr="00B65F7F">
        <w:t>eatures</w:t>
      </w:r>
      <w:r w:rsidR="004619A7" w:rsidRPr="00B65F7F">
        <w:t>.</w:t>
      </w:r>
      <w:r w:rsidR="000268CA">
        <w:t xml:space="preserve"> </w:t>
      </w:r>
      <w:r w:rsidR="000268CA">
        <w:rPr>
          <w:rFonts w:eastAsia="Calibri" w:cs="Calibri"/>
        </w:rPr>
        <w:t>In addition, by adopting an iterative and staged approach</w:t>
      </w:r>
      <w:r w:rsidR="00704706">
        <w:rPr>
          <w:rFonts w:eastAsia="Calibri" w:cs="Calibri"/>
        </w:rPr>
        <w:t xml:space="preserve"> using an</w:t>
      </w:r>
      <w:r w:rsidR="00AB2792">
        <w:rPr>
          <w:rFonts w:eastAsia="Calibri" w:cs="Calibri"/>
        </w:rPr>
        <w:t xml:space="preserve"> EAP</w:t>
      </w:r>
      <w:r w:rsidR="00704706">
        <w:rPr>
          <w:rFonts w:eastAsia="Calibri" w:cs="Calibri"/>
        </w:rPr>
        <w:t>,</w:t>
      </w:r>
      <w:r w:rsidR="000268CA">
        <w:rPr>
          <w:rFonts w:eastAsia="Calibri" w:cs="Calibri"/>
        </w:rPr>
        <w:t xml:space="preserve"> the roadmap provides </w:t>
      </w:r>
      <w:r w:rsidR="009E1CF7">
        <w:rPr>
          <w:rFonts w:eastAsia="Calibri" w:cs="Calibri"/>
        </w:rPr>
        <w:t>DoHAC</w:t>
      </w:r>
      <w:r w:rsidR="000268CA">
        <w:rPr>
          <w:rFonts w:eastAsia="Calibri" w:cs="Calibri"/>
        </w:rPr>
        <w:t xml:space="preserve"> with a framework to test, learn and build towards a new funding arrangement for the Relevant Health Programs (and beyond).</w:t>
      </w:r>
    </w:p>
    <w:p w14:paraId="07B60711" w14:textId="77777777" w:rsidR="00633818" w:rsidRPr="00B65F7F" w:rsidRDefault="00051494" w:rsidP="00760785">
      <w:pPr>
        <w:pStyle w:val="BodyText"/>
      </w:pPr>
      <w:r w:rsidRPr="00B65F7F">
        <w:t>The features are as follows:</w:t>
      </w:r>
      <w:r w:rsidR="00856839" w:rsidRPr="00B65F7F">
        <w:t xml:space="preserve"> </w:t>
      </w:r>
    </w:p>
    <w:p w14:paraId="6D39D657" w14:textId="77777777" w:rsidR="00051494" w:rsidRPr="00B65F7F" w:rsidRDefault="002E39BC" w:rsidP="00760785">
      <w:pPr>
        <w:pStyle w:val="ListBullet2"/>
      </w:pPr>
      <w:r w:rsidRPr="000C2662">
        <w:rPr>
          <w:b/>
          <w:bCs/>
        </w:rPr>
        <w:t>Feature 1:</w:t>
      </w:r>
      <w:r>
        <w:t xml:space="preserve"> </w:t>
      </w:r>
      <w:r w:rsidR="00051494" w:rsidRPr="00B65F7F">
        <w:t xml:space="preserve">Clients and the </w:t>
      </w:r>
      <w:r w:rsidR="000E6595">
        <w:t>c</w:t>
      </w:r>
      <w:r w:rsidR="00051494" w:rsidRPr="00B65F7F">
        <w:t>ommunity experience no disadvantage</w:t>
      </w:r>
    </w:p>
    <w:p w14:paraId="5EE0A62A" w14:textId="77777777" w:rsidR="00051494" w:rsidRPr="00B65F7F" w:rsidRDefault="002E39BC" w:rsidP="00760785">
      <w:pPr>
        <w:pStyle w:val="ListBullet2"/>
      </w:pPr>
      <w:r w:rsidRPr="000C2662">
        <w:rPr>
          <w:b/>
          <w:bCs/>
        </w:rPr>
        <w:t>Feature 2:</w:t>
      </w:r>
      <w:r>
        <w:t xml:space="preserve"> </w:t>
      </w:r>
      <w:r w:rsidR="00051494" w:rsidRPr="00B65F7F">
        <w:t>Self-</w:t>
      </w:r>
      <w:r w:rsidR="000E6595">
        <w:t>d</w:t>
      </w:r>
      <w:r w:rsidR="00051494" w:rsidRPr="00B65F7F">
        <w:t xml:space="preserve">etermination of </w:t>
      </w:r>
      <w:r w:rsidR="0070614A">
        <w:t>Aboriginal and/or Torres Strait Islander</w:t>
      </w:r>
      <w:r w:rsidR="00051494" w:rsidRPr="00B65F7F">
        <w:t xml:space="preserve"> </w:t>
      </w:r>
      <w:r w:rsidR="000E6595">
        <w:t>c</w:t>
      </w:r>
      <w:r w:rsidR="00051494" w:rsidRPr="00B65F7F">
        <w:t xml:space="preserve">ommunities </w:t>
      </w:r>
    </w:p>
    <w:p w14:paraId="6B537BF0" w14:textId="77777777" w:rsidR="00051494" w:rsidRPr="008D25BF" w:rsidRDefault="002E39BC" w:rsidP="00760785">
      <w:pPr>
        <w:pStyle w:val="ListBullet2"/>
      </w:pPr>
      <w:r w:rsidRPr="008D25BF">
        <w:rPr>
          <w:b/>
          <w:bCs/>
        </w:rPr>
        <w:t>Feature 3:</w:t>
      </w:r>
      <w:r w:rsidRPr="008D25BF">
        <w:t xml:space="preserve"> </w:t>
      </w:r>
      <w:r w:rsidR="00520A22" w:rsidRPr="008D25BF">
        <w:t>Sufficient</w:t>
      </w:r>
      <w:r w:rsidR="00051494" w:rsidRPr="008D25BF">
        <w:t xml:space="preserve"> and </w:t>
      </w:r>
      <w:r w:rsidR="000E6595" w:rsidRPr="008D25BF">
        <w:t>s</w:t>
      </w:r>
      <w:r w:rsidR="00051494" w:rsidRPr="008D25BF">
        <w:t xml:space="preserve">ustained </w:t>
      </w:r>
      <w:r w:rsidR="000E6595" w:rsidRPr="008D25BF">
        <w:t>i</w:t>
      </w:r>
      <w:r w:rsidR="00051494" w:rsidRPr="008D25BF">
        <w:t xml:space="preserve">nvestment to </w:t>
      </w:r>
      <w:r w:rsidR="000E6595" w:rsidRPr="008D25BF">
        <w:t>e</w:t>
      </w:r>
      <w:r w:rsidR="00051494" w:rsidRPr="008D25BF">
        <w:t xml:space="preserve">nable the </w:t>
      </w:r>
      <w:r w:rsidR="000E6595" w:rsidRPr="008D25BF">
        <w:t>t</w:t>
      </w:r>
      <w:r w:rsidR="00051494" w:rsidRPr="008D25BF">
        <w:t>ransformation</w:t>
      </w:r>
    </w:p>
    <w:p w14:paraId="7CC6887D" w14:textId="77777777" w:rsidR="00051494" w:rsidRPr="00B65F7F" w:rsidRDefault="002E39BC" w:rsidP="00760785">
      <w:pPr>
        <w:pStyle w:val="ListBullet2"/>
      </w:pPr>
      <w:r w:rsidRPr="000C2662">
        <w:rPr>
          <w:b/>
          <w:bCs/>
        </w:rPr>
        <w:t xml:space="preserve">Feature 4: </w:t>
      </w:r>
      <w:r w:rsidR="00051494" w:rsidRPr="00B65F7F">
        <w:t xml:space="preserve">Genuine and </w:t>
      </w:r>
      <w:r w:rsidR="000E6595">
        <w:t>c</w:t>
      </w:r>
      <w:r w:rsidR="00051494" w:rsidRPr="00B65F7F">
        <w:t xml:space="preserve">ommitted </w:t>
      </w:r>
      <w:r w:rsidR="000E6595">
        <w:t>p</w:t>
      </w:r>
      <w:r w:rsidR="00051494" w:rsidRPr="00B65F7F">
        <w:t>artnership</w:t>
      </w:r>
    </w:p>
    <w:p w14:paraId="676F2F99" w14:textId="77777777" w:rsidR="00051494" w:rsidRPr="00B65F7F" w:rsidRDefault="002E39BC" w:rsidP="00760785">
      <w:pPr>
        <w:pStyle w:val="ListBullet2"/>
      </w:pPr>
      <w:r w:rsidRPr="000C2662">
        <w:rPr>
          <w:b/>
          <w:bCs/>
        </w:rPr>
        <w:t>Feature 5:</w:t>
      </w:r>
      <w:r>
        <w:t xml:space="preserve"> </w:t>
      </w:r>
      <w:r w:rsidR="00051494" w:rsidRPr="00B65F7F">
        <w:t xml:space="preserve">Prioritising </w:t>
      </w:r>
      <w:r w:rsidR="000E6595">
        <w:t>c</w:t>
      </w:r>
      <w:r w:rsidR="00051494" w:rsidRPr="00B65F7F">
        <w:t xml:space="preserve">ultural </w:t>
      </w:r>
      <w:r w:rsidR="000E6595">
        <w:t>s</w:t>
      </w:r>
      <w:r w:rsidR="00051494" w:rsidRPr="00B65F7F">
        <w:t xml:space="preserve">afety </w:t>
      </w:r>
    </w:p>
    <w:p w14:paraId="2F81FB17" w14:textId="77777777" w:rsidR="00051494" w:rsidRPr="00B65F7F" w:rsidRDefault="002E39BC" w:rsidP="00760785">
      <w:pPr>
        <w:pStyle w:val="ListBullet2"/>
      </w:pPr>
      <w:r w:rsidRPr="000C2662">
        <w:rPr>
          <w:b/>
          <w:bCs/>
        </w:rPr>
        <w:t>Feature 6:</w:t>
      </w:r>
      <w:r>
        <w:t xml:space="preserve"> </w:t>
      </w:r>
      <w:r w:rsidR="00051494" w:rsidRPr="00B65F7F">
        <w:t xml:space="preserve">A </w:t>
      </w:r>
      <w:r w:rsidR="000E6595">
        <w:t>s</w:t>
      </w:r>
      <w:r w:rsidR="00051494" w:rsidRPr="00B65F7F">
        <w:t>trength</w:t>
      </w:r>
      <w:r w:rsidR="007514E7">
        <w:t>s</w:t>
      </w:r>
      <w:r w:rsidR="00051494" w:rsidRPr="00B65F7F">
        <w:t>-</w:t>
      </w:r>
      <w:r w:rsidR="000E6595">
        <w:t>b</w:t>
      </w:r>
      <w:r w:rsidR="00051494" w:rsidRPr="00B65F7F">
        <w:t xml:space="preserve">ased </w:t>
      </w:r>
      <w:r w:rsidR="000E6595">
        <w:t>a</w:t>
      </w:r>
      <w:r w:rsidR="00051494" w:rsidRPr="00B65F7F">
        <w:t xml:space="preserve">pproach to </w:t>
      </w:r>
      <w:r w:rsidR="000E6595">
        <w:t>c</w:t>
      </w:r>
      <w:r w:rsidR="00051494" w:rsidRPr="00B65F7F">
        <w:t>hange</w:t>
      </w:r>
      <w:r w:rsidR="009E1CF7">
        <w:t>.</w:t>
      </w:r>
      <w:r w:rsidR="00051494" w:rsidRPr="00B65F7F">
        <w:t xml:space="preserve"> </w:t>
      </w:r>
    </w:p>
    <w:p w14:paraId="288A7A86" w14:textId="77777777" w:rsidR="00051494" w:rsidRPr="00B65F7F" w:rsidRDefault="00051494" w:rsidP="00760785">
      <w:pPr>
        <w:pStyle w:val="BodyText1stparaafterlist"/>
      </w:pPr>
      <w:r w:rsidRPr="00B65F7F">
        <w:t xml:space="preserve">The </w:t>
      </w:r>
      <w:r w:rsidR="00704706">
        <w:t>6</w:t>
      </w:r>
      <w:r w:rsidRPr="00B65F7F">
        <w:t xml:space="preserve"> key phases of transformation are summarised below: </w:t>
      </w:r>
    </w:p>
    <w:p w14:paraId="638B1FFF" w14:textId="77777777" w:rsidR="004619A7" w:rsidRPr="00B65F7F" w:rsidRDefault="004619A7" w:rsidP="00EC51BA">
      <w:pPr>
        <w:pStyle w:val="ListBullet2"/>
      </w:pPr>
      <w:r w:rsidRPr="00B65F7F">
        <w:rPr>
          <w:b/>
          <w:bCs/>
        </w:rPr>
        <w:t xml:space="preserve">Phase </w:t>
      </w:r>
      <w:r w:rsidR="00A06412">
        <w:rPr>
          <w:b/>
          <w:bCs/>
        </w:rPr>
        <w:t>1</w:t>
      </w:r>
      <w:r w:rsidRPr="00B65F7F">
        <w:rPr>
          <w:b/>
          <w:bCs/>
        </w:rPr>
        <w:t xml:space="preserve">: </w:t>
      </w:r>
      <w:r w:rsidR="00E162C4" w:rsidRPr="00B65F7F">
        <w:rPr>
          <w:b/>
          <w:bCs/>
        </w:rPr>
        <w:t>Pre-transition</w:t>
      </w:r>
      <w:r w:rsidR="00E162C4" w:rsidRPr="00B65F7F">
        <w:t xml:space="preserve"> </w:t>
      </w:r>
      <w:r w:rsidR="001D568A" w:rsidRPr="0098562E">
        <w:rPr>
          <w:b/>
          <w:bCs/>
        </w:rPr>
        <w:t>–</w:t>
      </w:r>
      <w:r w:rsidR="00E162C4" w:rsidRPr="00B65F7F">
        <w:t xml:space="preserve"> Proactive and collaborative planning and management of the critical risks associated with the transformation of the funding arrangements for the </w:t>
      </w:r>
      <w:r w:rsidR="000E6595">
        <w:t>R</w:t>
      </w:r>
      <w:r w:rsidR="00E162C4" w:rsidRPr="00B65F7F">
        <w:t xml:space="preserve">elevant </w:t>
      </w:r>
      <w:r w:rsidR="000E6595">
        <w:t>H</w:t>
      </w:r>
      <w:r w:rsidR="00E162C4" w:rsidRPr="00B65F7F">
        <w:t xml:space="preserve">ealth </w:t>
      </w:r>
      <w:r w:rsidR="000E6595">
        <w:t>Programs</w:t>
      </w:r>
      <w:r w:rsidR="00E162C4" w:rsidRPr="00B65F7F">
        <w:t xml:space="preserve"> to ensure continuity of services and ongoing promotion of culturally safe and accessible health services.</w:t>
      </w:r>
    </w:p>
    <w:p w14:paraId="6B57781D" w14:textId="77777777" w:rsidR="004619A7" w:rsidRPr="00B65F7F" w:rsidRDefault="004619A7" w:rsidP="00EC51BA">
      <w:pPr>
        <w:pStyle w:val="ListBullet2"/>
      </w:pPr>
      <w:r w:rsidRPr="00B65F7F">
        <w:rPr>
          <w:b/>
          <w:bCs/>
        </w:rPr>
        <w:t xml:space="preserve">Phase </w:t>
      </w:r>
      <w:r w:rsidR="00A06412">
        <w:rPr>
          <w:b/>
          <w:bCs/>
        </w:rPr>
        <w:t>2</w:t>
      </w:r>
      <w:r w:rsidRPr="00B65F7F">
        <w:rPr>
          <w:b/>
          <w:bCs/>
        </w:rPr>
        <w:t xml:space="preserve">: </w:t>
      </w:r>
      <w:r w:rsidR="00E162C4" w:rsidRPr="00B65F7F">
        <w:rPr>
          <w:b/>
          <w:bCs/>
        </w:rPr>
        <w:t>Establish</w:t>
      </w:r>
      <w:r w:rsidR="009F4C8B">
        <w:rPr>
          <w:b/>
          <w:bCs/>
        </w:rPr>
        <w:t xml:space="preserve"> EAP</w:t>
      </w:r>
      <w:r w:rsidR="00E162C4" w:rsidRPr="00B65F7F">
        <w:rPr>
          <w:b/>
          <w:bCs/>
        </w:rPr>
        <w:t xml:space="preserve"> </w:t>
      </w:r>
      <w:r w:rsidR="001D568A" w:rsidRPr="00B65F7F">
        <w:rPr>
          <w:b/>
          <w:bCs/>
        </w:rPr>
        <w:t>–</w:t>
      </w:r>
      <w:r w:rsidR="00E162C4" w:rsidRPr="00B65F7F">
        <w:t xml:space="preserve"> </w:t>
      </w:r>
      <w:r w:rsidR="009F4C8B" w:rsidRPr="008D25BF">
        <w:t xml:space="preserve">Identifying early adopters, engaging organisations in the early stages of the </w:t>
      </w:r>
      <w:r w:rsidR="00162701">
        <w:t>transition,</w:t>
      </w:r>
      <w:r w:rsidR="009F4C8B" w:rsidRPr="008D25BF">
        <w:t xml:space="preserve"> and creating a more targeted approach to the </w:t>
      </w:r>
      <w:r w:rsidR="009F4C8B">
        <w:t xml:space="preserve">transition of </w:t>
      </w:r>
      <w:r w:rsidR="009D370F">
        <w:t>the Relevant Health Programs</w:t>
      </w:r>
      <w:r w:rsidR="009E1CF7">
        <w:t>.</w:t>
      </w:r>
      <w:r w:rsidR="00E162C4" w:rsidRPr="00B65F7F">
        <w:t xml:space="preserve"> </w:t>
      </w:r>
    </w:p>
    <w:p w14:paraId="15A7E1C1" w14:textId="77777777" w:rsidR="00051494" w:rsidRDefault="004619A7" w:rsidP="00EC51BA">
      <w:pPr>
        <w:pStyle w:val="ListBullet2"/>
      </w:pPr>
      <w:r w:rsidRPr="00B65F7F">
        <w:rPr>
          <w:b/>
          <w:bCs/>
        </w:rPr>
        <w:t xml:space="preserve">Phase </w:t>
      </w:r>
      <w:r w:rsidR="00A06412">
        <w:rPr>
          <w:b/>
          <w:bCs/>
        </w:rPr>
        <w:t>3</w:t>
      </w:r>
      <w:r w:rsidRPr="00B65F7F">
        <w:rPr>
          <w:b/>
          <w:bCs/>
        </w:rPr>
        <w:t>:</w:t>
      </w:r>
      <w:r w:rsidR="00704706">
        <w:rPr>
          <w:b/>
          <w:bCs/>
        </w:rPr>
        <w:t xml:space="preserve"> </w:t>
      </w:r>
      <w:r w:rsidR="009F4C8B">
        <w:rPr>
          <w:b/>
          <w:bCs/>
        </w:rPr>
        <w:t xml:space="preserve">EAP </w:t>
      </w:r>
      <w:r w:rsidR="009E1CF7">
        <w:rPr>
          <w:b/>
          <w:bCs/>
        </w:rPr>
        <w:t>t</w:t>
      </w:r>
      <w:r w:rsidR="00E162C4" w:rsidRPr="00B65F7F">
        <w:rPr>
          <w:b/>
          <w:bCs/>
        </w:rPr>
        <w:t>ransition</w:t>
      </w:r>
      <w:r w:rsidR="006C5333">
        <w:rPr>
          <w:b/>
          <w:bCs/>
        </w:rPr>
        <w:t xml:space="preserve"> </w:t>
      </w:r>
      <w:r w:rsidR="001D568A" w:rsidRPr="00B65F7F">
        <w:rPr>
          <w:b/>
          <w:bCs/>
        </w:rPr>
        <w:t>–</w:t>
      </w:r>
      <w:r w:rsidR="00051494" w:rsidRPr="00B65F7F">
        <w:t xml:space="preserve"> Transition of the funding and governance of the </w:t>
      </w:r>
      <w:r w:rsidR="000E6595">
        <w:t>R</w:t>
      </w:r>
      <w:r w:rsidR="00051494" w:rsidRPr="00B65F7F">
        <w:t xml:space="preserve">elevant </w:t>
      </w:r>
      <w:r w:rsidR="000E6595">
        <w:t>H</w:t>
      </w:r>
      <w:r w:rsidR="00051494" w:rsidRPr="00B65F7F">
        <w:t xml:space="preserve">ealth </w:t>
      </w:r>
      <w:r w:rsidR="000E6595">
        <w:t>Programs</w:t>
      </w:r>
      <w:r w:rsidR="00051494" w:rsidRPr="00B65F7F">
        <w:t xml:space="preserve"> from PHNs to the </w:t>
      </w:r>
      <w:r w:rsidR="009F4C8B">
        <w:t>early adopter</w:t>
      </w:r>
      <w:r w:rsidR="003760FD">
        <w:t>s</w:t>
      </w:r>
      <w:r w:rsidR="009F4C8B">
        <w:t xml:space="preserve">. A </w:t>
      </w:r>
      <w:r w:rsidR="009E1CF7">
        <w:t>f</w:t>
      </w:r>
      <w:r w:rsidR="009F4C8B">
        <w:t xml:space="preserve">ormative </w:t>
      </w:r>
      <w:r w:rsidR="009E1CF7">
        <w:t>e</w:t>
      </w:r>
      <w:r w:rsidR="009F4C8B">
        <w:t xml:space="preserve">valuation will provide the </w:t>
      </w:r>
      <w:r w:rsidR="009F4C8B" w:rsidRPr="009F4C8B">
        <w:t xml:space="preserve">opportunity to make a final decision as to how </w:t>
      </w:r>
      <w:r w:rsidR="009F4C8B">
        <w:t>the national transition should occur.</w:t>
      </w:r>
    </w:p>
    <w:p w14:paraId="648C6E45" w14:textId="77777777" w:rsidR="00704706" w:rsidRPr="00B65F7F" w:rsidRDefault="00704706" w:rsidP="00EC51BA">
      <w:pPr>
        <w:pStyle w:val="ListBullet2"/>
      </w:pPr>
      <w:r w:rsidRPr="00B65F7F">
        <w:rPr>
          <w:b/>
          <w:bCs/>
        </w:rPr>
        <w:t xml:space="preserve">Phase </w:t>
      </w:r>
      <w:r w:rsidR="00A06412">
        <w:rPr>
          <w:b/>
          <w:bCs/>
        </w:rPr>
        <w:t>4</w:t>
      </w:r>
      <w:r w:rsidRPr="00B65F7F">
        <w:rPr>
          <w:b/>
          <w:bCs/>
        </w:rPr>
        <w:t>: Establish</w:t>
      </w:r>
      <w:r w:rsidR="009F4C8B">
        <w:rPr>
          <w:b/>
          <w:bCs/>
        </w:rPr>
        <w:t xml:space="preserve"> </w:t>
      </w:r>
      <w:r w:rsidR="009E1CF7">
        <w:rPr>
          <w:b/>
          <w:bCs/>
        </w:rPr>
        <w:t>n</w:t>
      </w:r>
      <w:r w:rsidR="009F4C8B">
        <w:rPr>
          <w:b/>
          <w:bCs/>
        </w:rPr>
        <w:t xml:space="preserve">ational </w:t>
      </w:r>
      <w:r w:rsidR="009E1CF7">
        <w:rPr>
          <w:b/>
          <w:bCs/>
        </w:rPr>
        <w:t>t</w:t>
      </w:r>
      <w:r w:rsidR="009F4C8B">
        <w:rPr>
          <w:b/>
          <w:bCs/>
        </w:rPr>
        <w:t>ransition</w:t>
      </w:r>
      <w:r w:rsidRPr="00B65F7F">
        <w:rPr>
          <w:b/>
          <w:bCs/>
        </w:rPr>
        <w:t xml:space="preserve"> –</w:t>
      </w:r>
      <w:r w:rsidRPr="00B65F7F">
        <w:t xml:space="preserve"> </w:t>
      </w:r>
      <w:r w:rsidR="00FA780A" w:rsidRPr="00FA780A">
        <w:t xml:space="preserve">National Transformation Coordination Office </w:t>
      </w:r>
      <w:r w:rsidR="00FA780A">
        <w:t>(</w:t>
      </w:r>
      <w:r w:rsidR="00E3702A" w:rsidRPr="00E3702A">
        <w:t>NTCO</w:t>
      </w:r>
      <w:r w:rsidR="00FA780A">
        <w:t>)</w:t>
      </w:r>
      <w:r w:rsidR="00E3702A" w:rsidRPr="00E3702A">
        <w:t xml:space="preserve"> and government to determine what the national rollout will look like, based on the outcomes of the </w:t>
      </w:r>
      <w:r w:rsidR="00F5626B">
        <w:t>f</w:t>
      </w:r>
      <w:r w:rsidR="00E3702A" w:rsidRPr="00E3702A">
        <w:t xml:space="preserve">ormative </w:t>
      </w:r>
      <w:r w:rsidR="00F5626B">
        <w:t>e</w:t>
      </w:r>
      <w:r w:rsidR="00E3702A" w:rsidRPr="00E3702A">
        <w:t xml:space="preserve">valuation of Phase </w:t>
      </w:r>
      <w:r w:rsidR="00173776">
        <w:t>3</w:t>
      </w:r>
      <w:r w:rsidR="00E3702A" w:rsidRPr="00E3702A">
        <w:t xml:space="preserve">. Phase </w:t>
      </w:r>
      <w:r w:rsidR="00173776">
        <w:t>4</w:t>
      </w:r>
      <w:r w:rsidR="00E3702A" w:rsidRPr="00E3702A">
        <w:t xml:space="preserve"> will include communicating the </w:t>
      </w:r>
      <w:r w:rsidR="00681A01" w:rsidRPr="00E3702A">
        <w:t>outcomes and</w:t>
      </w:r>
      <w:r w:rsidR="00E3702A" w:rsidRPr="00E3702A">
        <w:t xml:space="preserve"> commencing collaborative planning with the lead entity</w:t>
      </w:r>
      <w:r w:rsidR="006C5333">
        <w:t>/s</w:t>
      </w:r>
      <w:r w:rsidR="00E3702A" w:rsidRPr="00E3702A">
        <w:t xml:space="preserve">, </w:t>
      </w:r>
      <w:r w:rsidR="00F5626B">
        <w:t>which</w:t>
      </w:r>
      <w:r w:rsidR="00E3702A" w:rsidRPr="00E3702A">
        <w:t xml:space="preserve"> will be responsible for refining the funding arrangement and leading the transition of funding for the Relevant Health Programs.</w:t>
      </w:r>
    </w:p>
    <w:p w14:paraId="7A6F4001" w14:textId="77777777" w:rsidR="00704706" w:rsidRPr="00B65F7F" w:rsidRDefault="00704706" w:rsidP="00EC51BA">
      <w:pPr>
        <w:pStyle w:val="ListBullet2"/>
      </w:pPr>
      <w:r w:rsidRPr="00B65F7F">
        <w:rPr>
          <w:b/>
          <w:bCs/>
        </w:rPr>
        <w:t xml:space="preserve">Phase </w:t>
      </w:r>
      <w:r w:rsidR="00A06412">
        <w:rPr>
          <w:b/>
          <w:bCs/>
        </w:rPr>
        <w:t>5</w:t>
      </w:r>
      <w:r w:rsidRPr="00B65F7F">
        <w:rPr>
          <w:b/>
          <w:bCs/>
        </w:rPr>
        <w:t xml:space="preserve">: </w:t>
      </w:r>
      <w:r>
        <w:rPr>
          <w:b/>
          <w:bCs/>
        </w:rPr>
        <w:t>National</w:t>
      </w:r>
      <w:r w:rsidR="009F4C8B">
        <w:rPr>
          <w:b/>
          <w:bCs/>
        </w:rPr>
        <w:t xml:space="preserve"> </w:t>
      </w:r>
      <w:r w:rsidR="00F5626B">
        <w:rPr>
          <w:b/>
          <w:bCs/>
        </w:rPr>
        <w:t>t</w:t>
      </w:r>
      <w:r w:rsidRPr="00B65F7F">
        <w:rPr>
          <w:b/>
          <w:bCs/>
        </w:rPr>
        <w:t>ransition –</w:t>
      </w:r>
      <w:r w:rsidRPr="00B65F7F">
        <w:t xml:space="preserve"> Transition of the funding and governance of the </w:t>
      </w:r>
      <w:r>
        <w:t>R</w:t>
      </w:r>
      <w:r w:rsidRPr="00B65F7F">
        <w:t xml:space="preserve">elevant </w:t>
      </w:r>
      <w:r>
        <w:t>H</w:t>
      </w:r>
      <w:r w:rsidRPr="00B65F7F">
        <w:t xml:space="preserve">ealth </w:t>
      </w:r>
      <w:r>
        <w:t>Programs</w:t>
      </w:r>
      <w:r w:rsidRPr="00B65F7F">
        <w:t xml:space="preserve"> from PHNs to the </w:t>
      </w:r>
      <w:r>
        <w:t>l</w:t>
      </w:r>
      <w:r w:rsidRPr="00B65F7F">
        <w:t xml:space="preserve">ead </w:t>
      </w:r>
      <w:r>
        <w:t>e</w:t>
      </w:r>
      <w:r w:rsidRPr="00B65F7F">
        <w:t>ntity</w:t>
      </w:r>
      <w:r w:rsidR="006C5333">
        <w:t>/s</w:t>
      </w:r>
      <w:r w:rsidRPr="00B65F7F">
        <w:t xml:space="preserve">. </w:t>
      </w:r>
    </w:p>
    <w:p w14:paraId="18F758A2" w14:textId="77777777" w:rsidR="009F4C8B" w:rsidRDefault="004619A7" w:rsidP="00EC51BA">
      <w:pPr>
        <w:pStyle w:val="ListBullet2"/>
      </w:pPr>
      <w:r w:rsidRPr="00B65F7F">
        <w:rPr>
          <w:b/>
          <w:bCs/>
        </w:rPr>
        <w:t xml:space="preserve">Phase </w:t>
      </w:r>
      <w:r w:rsidR="00A06412">
        <w:rPr>
          <w:b/>
          <w:bCs/>
        </w:rPr>
        <w:t>6</w:t>
      </w:r>
      <w:r w:rsidRPr="00B65F7F">
        <w:rPr>
          <w:b/>
          <w:bCs/>
        </w:rPr>
        <w:t>:</w:t>
      </w:r>
      <w:r w:rsidR="00E162C4" w:rsidRPr="00B65F7F">
        <w:rPr>
          <w:b/>
          <w:bCs/>
        </w:rPr>
        <w:t xml:space="preserve"> Transform</w:t>
      </w:r>
      <w:r w:rsidR="00051494" w:rsidRPr="00B65F7F">
        <w:rPr>
          <w:b/>
          <w:bCs/>
        </w:rPr>
        <w:t xml:space="preserve"> </w:t>
      </w:r>
      <w:r w:rsidR="001D568A" w:rsidRPr="00B65F7F">
        <w:rPr>
          <w:b/>
          <w:bCs/>
        </w:rPr>
        <w:t>–</w:t>
      </w:r>
      <w:r w:rsidR="00051494" w:rsidRPr="00B65F7F">
        <w:t xml:space="preserve"> </w:t>
      </w:r>
      <w:r w:rsidR="00A63180">
        <w:t>Transformation</w:t>
      </w:r>
      <w:r w:rsidR="00051494" w:rsidRPr="00B65F7F">
        <w:t xml:space="preserve"> of </w:t>
      </w:r>
      <w:r w:rsidR="002746DA">
        <w:t>Aboriginal and/or Torres Strait Islander</w:t>
      </w:r>
      <w:r w:rsidR="000E6595">
        <w:t>–</w:t>
      </w:r>
      <w:r w:rsidR="00051494" w:rsidRPr="00B65F7F">
        <w:t xml:space="preserve">directed funding provided by the </w:t>
      </w:r>
      <w:r w:rsidR="000E6595">
        <w:t>Australian</w:t>
      </w:r>
      <w:r w:rsidR="000E6595" w:rsidRPr="00B65F7F">
        <w:t xml:space="preserve"> </w:t>
      </w:r>
      <w:r w:rsidR="00051494" w:rsidRPr="00B65F7F">
        <w:t xml:space="preserve">Government (beyond the </w:t>
      </w:r>
      <w:r w:rsidR="000E6595">
        <w:t>R</w:t>
      </w:r>
      <w:r w:rsidR="00051494" w:rsidRPr="00B65F7F">
        <w:t xml:space="preserve">elevant </w:t>
      </w:r>
      <w:r w:rsidR="000E6595">
        <w:t>H</w:t>
      </w:r>
      <w:r w:rsidR="00051494" w:rsidRPr="00B65F7F">
        <w:t xml:space="preserve">ealth </w:t>
      </w:r>
      <w:r w:rsidR="000E6595">
        <w:t>Programs</w:t>
      </w:r>
      <w:r w:rsidR="00051494" w:rsidRPr="00B65F7F">
        <w:t xml:space="preserve">) to the </w:t>
      </w:r>
      <w:r w:rsidR="000E6595">
        <w:t>l</w:t>
      </w:r>
      <w:r w:rsidR="00051494" w:rsidRPr="00B65F7F">
        <w:t xml:space="preserve">ead </w:t>
      </w:r>
      <w:r w:rsidR="000E6595">
        <w:t>e</w:t>
      </w:r>
      <w:r w:rsidR="00051494" w:rsidRPr="00B65F7F">
        <w:t>ntity</w:t>
      </w:r>
      <w:r w:rsidR="006C5333">
        <w:t>/s</w:t>
      </w:r>
      <w:r w:rsidR="00A4363A" w:rsidRPr="00F675D0">
        <w:rPr>
          <w:rFonts w:cs="Calibri"/>
        </w:rPr>
        <w:t xml:space="preserve"> </w:t>
      </w:r>
      <w:r w:rsidR="00051494" w:rsidRPr="00B65F7F">
        <w:t>to meet the health and wellbeing needs of their communities.</w:t>
      </w:r>
    </w:p>
    <w:p w14:paraId="640FF27A" w14:textId="031E0E03" w:rsidR="009F4C8B" w:rsidRPr="00B65F7F" w:rsidRDefault="009F4C8B" w:rsidP="009F4C8B">
      <w:pPr>
        <w:pStyle w:val="CaptionBox"/>
        <w:rPr>
          <w:bCs w:val="0"/>
        </w:rPr>
      </w:pPr>
      <w:bookmarkStart w:id="94" w:name="_Toc156932060"/>
      <w:r w:rsidRPr="00B65F7F">
        <w:t xml:space="preserve">Box </w:t>
      </w:r>
      <w:r w:rsidRPr="00B65F7F">
        <w:fldChar w:fldCharType="begin"/>
      </w:r>
      <w:r w:rsidRPr="00B65F7F">
        <w:instrText xml:space="preserve"> SEQ Box \* ARABIC </w:instrText>
      </w:r>
      <w:r w:rsidRPr="00B65F7F">
        <w:fldChar w:fldCharType="separate"/>
      </w:r>
      <w:r w:rsidR="00934D5E">
        <w:rPr>
          <w:noProof/>
        </w:rPr>
        <w:t>13</w:t>
      </w:r>
      <w:r w:rsidRPr="00B65F7F">
        <w:fldChar w:fldCharType="end"/>
      </w:r>
      <w:r w:rsidRPr="00B65F7F">
        <w:t xml:space="preserve">: </w:t>
      </w:r>
      <w:r>
        <w:t>The Early Adopter Period</w:t>
      </w:r>
      <w:bookmarkEnd w:id="94"/>
    </w:p>
    <w:tbl>
      <w:tblPr>
        <w:tblStyle w:val="NintiBox"/>
        <w:tblW w:w="0" w:type="auto"/>
        <w:tblLook w:val="04A0" w:firstRow="1" w:lastRow="0" w:firstColumn="1" w:lastColumn="0" w:noHBand="0" w:noVBand="1"/>
      </w:tblPr>
      <w:tblGrid>
        <w:gridCol w:w="9628"/>
      </w:tblGrid>
      <w:tr w:rsidR="009F4C8B" w:rsidRPr="00B65F7F" w14:paraId="50DA9826" w14:textId="77777777" w:rsidTr="006F6DD1">
        <w:trPr>
          <w:trHeight w:val="2012"/>
        </w:trPr>
        <w:tc>
          <w:tcPr>
            <w:tcW w:w="9628" w:type="dxa"/>
          </w:tcPr>
          <w:p w14:paraId="52D611EE" w14:textId="77777777" w:rsidR="00BC7F07" w:rsidRPr="00BC7F07" w:rsidRDefault="00880D58" w:rsidP="00EC51BA">
            <w:pPr>
              <w:pStyle w:val="BodyText"/>
            </w:pPr>
            <w:r>
              <w:t>The EAP</w:t>
            </w:r>
            <w:r w:rsidR="00BC7F07">
              <w:t xml:space="preserve"> (</w:t>
            </w:r>
            <w:r>
              <w:t>P</w:t>
            </w:r>
            <w:r w:rsidR="00BC7F07">
              <w:t xml:space="preserve">hases </w:t>
            </w:r>
            <w:r w:rsidR="007D5461">
              <w:t>2</w:t>
            </w:r>
            <w:r w:rsidR="00BC7F07">
              <w:t xml:space="preserve"> and </w:t>
            </w:r>
            <w:r w:rsidR="007D5461">
              <w:t>3</w:t>
            </w:r>
            <w:r w:rsidR="00BC7F07">
              <w:t xml:space="preserve">) </w:t>
            </w:r>
            <w:r w:rsidR="00BC7F07" w:rsidRPr="00BC7F07">
              <w:t>allow</w:t>
            </w:r>
            <w:r w:rsidR="00BC7F07">
              <w:t>s for</w:t>
            </w:r>
            <w:r w:rsidR="00BC7F07" w:rsidRPr="00BC7F07">
              <w:t xml:space="preserve"> organisations to opt</w:t>
            </w:r>
            <w:r w:rsidR="00F5626B">
              <w:t xml:space="preserve"> </w:t>
            </w:r>
            <w:r w:rsidR="00BC7F07" w:rsidRPr="00BC7F07">
              <w:t>in for the transition</w:t>
            </w:r>
            <w:r w:rsidR="00BC7F07">
              <w:t xml:space="preserve"> prior </w:t>
            </w:r>
            <w:r w:rsidR="00F5626B">
              <w:t xml:space="preserve">to </w:t>
            </w:r>
            <w:r w:rsidR="00BC7F07">
              <w:t>the national transition (Phase</w:t>
            </w:r>
            <w:r w:rsidR="00173776">
              <w:t>s</w:t>
            </w:r>
            <w:r w:rsidR="00BC7F07">
              <w:t xml:space="preserve"> </w:t>
            </w:r>
            <w:r w:rsidR="00173776">
              <w:t>4</w:t>
            </w:r>
            <w:r w:rsidR="00BC7F07">
              <w:t xml:space="preserve"> and </w:t>
            </w:r>
            <w:r w:rsidR="00173776">
              <w:t>5</w:t>
            </w:r>
            <w:r w:rsidR="00BC7F07">
              <w:t>)</w:t>
            </w:r>
            <w:r w:rsidR="00F5626B">
              <w:t>.</w:t>
            </w:r>
          </w:p>
          <w:p w14:paraId="797AA89B" w14:textId="77777777" w:rsidR="00BC7F07" w:rsidRPr="00BC7F07" w:rsidRDefault="00BC7F07" w:rsidP="00EC51BA">
            <w:pPr>
              <w:pStyle w:val="BodyText"/>
            </w:pPr>
            <w:r>
              <w:t>The EAP involve</w:t>
            </w:r>
            <w:r w:rsidR="00C74E4B">
              <w:t>s</w:t>
            </w:r>
            <w:r>
              <w:t xml:space="preserve"> i</w:t>
            </w:r>
            <w:r w:rsidRPr="00BC7F07">
              <w:t xml:space="preserve">dentifying early adopters, engaging </w:t>
            </w:r>
            <w:r>
              <w:t>them</w:t>
            </w:r>
            <w:r w:rsidRPr="00BC7F07">
              <w:t xml:space="preserve"> in the early stages of the transformation and creating a targeted approach to </w:t>
            </w:r>
            <w:r>
              <w:t>testing the</w:t>
            </w:r>
            <w:r w:rsidR="00D05F60">
              <w:t xml:space="preserve"> implementation of the</w:t>
            </w:r>
            <w:r w:rsidRPr="00BC7F07">
              <w:t xml:space="preserve"> </w:t>
            </w:r>
            <w:r w:rsidR="00C74E4B">
              <w:t>future-state funding arrangements</w:t>
            </w:r>
            <w:r>
              <w:t xml:space="preserve">. This includes a </w:t>
            </w:r>
            <w:r w:rsidR="00F5626B">
              <w:t>f</w:t>
            </w:r>
            <w:r>
              <w:t xml:space="preserve">ormative </w:t>
            </w:r>
            <w:r w:rsidR="00F5626B">
              <w:t>e</w:t>
            </w:r>
            <w:r>
              <w:t xml:space="preserve">valuation </w:t>
            </w:r>
            <w:r w:rsidR="00D05F60">
              <w:t xml:space="preserve">of the EAP </w:t>
            </w:r>
            <w:r>
              <w:t>to:</w:t>
            </w:r>
            <w:r w:rsidRPr="00BC7F07">
              <w:t xml:space="preserve"> </w:t>
            </w:r>
          </w:p>
          <w:p w14:paraId="71A337A5" w14:textId="77777777" w:rsidR="00BC7F07" w:rsidRPr="00BC7F07" w:rsidRDefault="00F5626B" w:rsidP="00EC51BA">
            <w:pPr>
              <w:pStyle w:val="ListBullet2"/>
            </w:pPr>
            <w:r>
              <w:t>l</w:t>
            </w:r>
            <w:r w:rsidR="00681A01" w:rsidRPr="00BC7F07">
              <w:t>earn</w:t>
            </w:r>
            <w:r w:rsidR="00BC7F07" w:rsidRPr="00BC7F07">
              <w:t xml:space="preserve"> from the experiences of organisations </w:t>
            </w:r>
            <w:r>
              <w:t>that</w:t>
            </w:r>
            <w:r w:rsidR="00BC7F07" w:rsidRPr="00BC7F07">
              <w:t xml:space="preserve"> take on an early adopter role for transition </w:t>
            </w:r>
          </w:p>
          <w:p w14:paraId="1D9AA004" w14:textId="77777777" w:rsidR="00BC7F07" w:rsidRPr="00BC7F07" w:rsidRDefault="00F5626B" w:rsidP="00EC51BA">
            <w:pPr>
              <w:pStyle w:val="ListBullet2"/>
            </w:pPr>
            <w:r>
              <w:t>l</w:t>
            </w:r>
            <w:r w:rsidR="00F25510">
              <w:t>earn from</w:t>
            </w:r>
            <w:r w:rsidR="00BC7F07" w:rsidRPr="00BC7F07">
              <w:t xml:space="preserve"> any challenges that organisations and providers may face during the transition</w:t>
            </w:r>
            <w:r w:rsidR="00F25510">
              <w:t>, and inform the national transition</w:t>
            </w:r>
          </w:p>
          <w:p w14:paraId="4FF982A8" w14:textId="77777777" w:rsidR="00BC7F07" w:rsidRPr="00BC7F07" w:rsidRDefault="00F5626B" w:rsidP="00EC51BA">
            <w:pPr>
              <w:pStyle w:val="ListBullet2"/>
            </w:pPr>
            <w:r>
              <w:t>r</w:t>
            </w:r>
            <w:r w:rsidR="00BC7F07" w:rsidRPr="00BC7F07">
              <w:t xml:space="preserve">efine the transition approach before a </w:t>
            </w:r>
            <w:r w:rsidR="00F25510">
              <w:t>national</w:t>
            </w:r>
            <w:r w:rsidR="00BC7F07" w:rsidRPr="00BC7F07">
              <w:t xml:space="preserve"> transition and transformation</w:t>
            </w:r>
            <w:r w:rsidR="00F25510">
              <w:t xml:space="preserve"> is planned and implemented</w:t>
            </w:r>
          </w:p>
          <w:p w14:paraId="321652A1" w14:textId="77777777" w:rsidR="009F4C8B" w:rsidRDefault="00F5626B" w:rsidP="00EC51BA">
            <w:pPr>
              <w:pStyle w:val="ListBullet2"/>
            </w:pPr>
            <w:r>
              <w:lastRenderedPageBreak/>
              <w:t>p</w:t>
            </w:r>
            <w:r w:rsidR="00BC7F07" w:rsidRPr="00BC7F07">
              <w:t>rovid</w:t>
            </w:r>
            <w:r w:rsidR="00BC7F07">
              <w:t>e</w:t>
            </w:r>
            <w:r w:rsidR="00BC7F07" w:rsidRPr="00BC7F07">
              <w:t xml:space="preserve"> </w:t>
            </w:r>
            <w:r>
              <w:t>DoHAC</w:t>
            </w:r>
            <w:r w:rsidR="00BC7F07" w:rsidRPr="00BC7F07">
              <w:t xml:space="preserve"> with the opportunity to determine</w:t>
            </w:r>
            <w:r w:rsidR="00BC7F07">
              <w:t xml:space="preserve"> </w:t>
            </w:r>
            <w:r w:rsidR="00AF2775">
              <w:t>how the national transition and transformation should be designed and implemented</w:t>
            </w:r>
            <w:r w:rsidR="00BC7F07">
              <w:t>. This will include a decision on</w:t>
            </w:r>
            <w:r w:rsidR="00BC7F07" w:rsidRPr="00BC7F07">
              <w:t xml:space="preserve"> </w:t>
            </w:r>
            <w:r w:rsidR="00BC7F07">
              <w:t>whether</w:t>
            </w:r>
            <w:r w:rsidR="00BC7F07" w:rsidRPr="00BC7F07">
              <w:t xml:space="preserve"> a single arrangement/model is more suitable for national rollout</w:t>
            </w:r>
            <w:r w:rsidR="00BC7F07">
              <w:t>.</w:t>
            </w:r>
          </w:p>
          <w:p w14:paraId="1D6CBE09" w14:textId="6DC37871" w:rsidR="00BC7F07" w:rsidRDefault="00BC7F07" w:rsidP="00EC51BA">
            <w:pPr>
              <w:pStyle w:val="BodyText"/>
            </w:pPr>
            <w:r>
              <w:t xml:space="preserve">More information about the </w:t>
            </w:r>
            <w:r w:rsidR="00AF2775">
              <w:t>EAP</w:t>
            </w:r>
            <w:r>
              <w:t xml:space="preserve"> is provided in </w:t>
            </w:r>
            <w:r w:rsidR="000F276F">
              <w:rPr>
                <w:highlight w:val="yellow"/>
              </w:rPr>
              <w:fldChar w:fldCharType="begin"/>
            </w:r>
            <w:r w:rsidR="000F276F">
              <w:instrText xml:space="preserve"> REF App11_notitle \h </w:instrText>
            </w:r>
            <w:r w:rsidR="000F276F">
              <w:rPr>
                <w:highlight w:val="yellow"/>
              </w:rPr>
            </w:r>
            <w:r w:rsidR="000F276F">
              <w:rPr>
                <w:highlight w:val="yellow"/>
              </w:rPr>
              <w:fldChar w:fldCharType="separate"/>
            </w:r>
            <w:r w:rsidR="00934D5E" w:rsidRPr="00B65F7F">
              <w:t xml:space="preserve">Appendix </w:t>
            </w:r>
            <w:r w:rsidR="00934D5E">
              <w:t>11</w:t>
            </w:r>
            <w:r w:rsidR="000F276F">
              <w:rPr>
                <w:highlight w:val="yellow"/>
              </w:rPr>
              <w:fldChar w:fldCharType="end"/>
            </w:r>
            <w:r>
              <w:t>. This includes a framework for:</w:t>
            </w:r>
          </w:p>
          <w:p w14:paraId="6FC3270C" w14:textId="77777777" w:rsidR="00BC7F07" w:rsidRDefault="00F5626B" w:rsidP="00EC51BA">
            <w:pPr>
              <w:pStyle w:val="ListBullet2"/>
            </w:pPr>
            <w:r>
              <w:t>t</w:t>
            </w:r>
            <w:r w:rsidR="00AF2775">
              <w:t xml:space="preserve">he types of entities that can take on the role of </w:t>
            </w:r>
            <w:r w:rsidR="00BC7F07">
              <w:t xml:space="preserve">an early adopter </w:t>
            </w:r>
          </w:p>
          <w:p w14:paraId="2CBDF803" w14:textId="77777777" w:rsidR="00BC7F07" w:rsidRDefault="00F5626B" w:rsidP="00EC51BA">
            <w:pPr>
              <w:pStyle w:val="ListBullet2"/>
            </w:pPr>
            <w:r>
              <w:t>e</w:t>
            </w:r>
            <w:r w:rsidR="00BC7F07">
              <w:t xml:space="preserve">xample selection criteria </w:t>
            </w:r>
            <w:r w:rsidR="000C22BB">
              <w:t>to become an early adopter</w:t>
            </w:r>
          </w:p>
          <w:p w14:paraId="0EE06049" w14:textId="77777777" w:rsidR="00BC7F07" w:rsidRPr="00B65F7F" w:rsidRDefault="00F5626B" w:rsidP="00EC51BA">
            <w:pPr>
              <w:pStyle w:val="ListBullet2"/>
            </w:pPr>
            <w:r>
              <w:t>p</w:t>
            </w:r>
            <w:r w:rsidR="00BC7F07">
              <w:t>otential organisations to target for expressions of interest</w:t>
            </w:r>
            <w:r w:rsidR="000C22BB">
              <w:t xml:space="preserve"> to participate in the EAP.</w:t>
            </w:r>
          </w:p>
        </w:tc>
      </w:tr>
    </w:tbl>
    <w:p w14:paraId="6D0BDC84" w14:textId="77777777" w:rsidR="009F4C8B" w:rsidRPr="00B65F7F" w:rsidRDefault="009F4C8B" w:rsidP="00292E56">
      <w:pPr>
        <w:pStyle w:val="BodyText"/>
      </w:pPr>
    </w:p>
    <w:p w14:paraId="7B17B7AC" w14:textId="5E806A0A" w:rsidR="00F923B6" w:rsidRDefault="00A34F0E" w:rsidP="00EC51BA">
      <w:pPr>
        <w:pStyle w:val="Heading2"/>
      </w:pPr>
      <w:bookmarkStart w:id="95" w:name="_hlbdhkxuqaah" w:colFirst="0" w:colLast="0"/>
      <w:bookmarkStart w:id="96" w:name="_7d23s9tg29mw"/>
      <w:bookmarkStart w:id="97" w:name="TransformationFeatures62"/>
      <w:bookmarkStart w:id="98" w:name="_Toc156932008"/>
      <w:bookmarkEnd w:id="95"/>
      <w:bookmarkEnd w:id="96"/>
      <w:r w:rsidRPr="00695A28">
        <w:t xml:space="preserve">Transformation </w:t>
      </w:r>
      <w:r w:rsidR="00BA6BD3" w:rsidRPr="00695A28">
        <w:t>f</w:t>
      </w:r>
      <w:r w:rsidR="00F923B6" w:rsidRPr="00695A28">
        <w:t>eatures</w:t>
      </w:r>
      <w:bookmarkEnd w:id="97"/>
      <w:bookmarkEnd w:id="98"/>
    </w:p>
    <w:p w14:paraId="57EE4E20" w14:textId="153336BD" w:rsidR="00695A28" w:rsidRDefault="00695A28" w:rsidP="00EC51BA">
      <w:pPr>
        <w:pStyle w:val="BodyText"/>
      </w:pPr>
      <w:r w:rsidRPr="00B65F7F">
        <w:t xml:space="preserve">To ensure that the transformation progresses effectively, it must be designed around the following </w:t>
      </w:r>
      <w:r>
        <w:t>t</w:t>
      </w:r>
      <w:r w:rsidRPr="00B65F7F">
        <w:t xml:space="preserve">ransformation </w:t>
      </w:r>
      <w:r>
        <w:t>f</w:t>
      </w:r>
      <w:r w:rsidRPr="00B65F7F">
        <w:t>eatures</w:t>
      </w:r>
      <w:r>
        <w:t xml:space="preserve"> </w:t>
      </w:r>
      <w:r w:rsidR="00904E58">
        <w:rPr>
          <w:rFonts w:eastAsiaTheme="majorEastAsia"/>
        </w:rPr>
        <w:t>(</w:t>
      </w:r>
      <w:r w:rsidR="00904E58">
        <w:rPr>
          <w:rFonts w:eastAsiaTheme="majorEastAsia"/>
        </w:rPr>
        <w:fldChar w:fldCharType="begin"/>
      </w:r>
      <w:r w:rsidR="00904E58">
        <w:rPr>
          <w:rFonts w:eastAsiaTheme="majorEastAsia"/>
        </w:rPr>
        <w:instrText xml:space="preserve"> REF _Ref152082581 \h </w:instrText>
      </w:r>
      <w:r w:rsidR="00904E58">
        <w:rPr>
          <w:rFonts w:eastAsiaTheme="majorEastAsia"/>
        </w:rPr>
      </w:r>
      <w:r w:rsidR="00904E58">
        <w:rPr>
          <w:rFonts w:eastAsiaTheme="majorEastAsia"/>
        </w:rPr>
        <w:fldChar w:fldCharType="separate"/>
      </w:r>
      <w:r w:rsidR="00934D5E">
        <w:t xml:space="preserve">Figure </w:t>
      </w:r>
      <w:r w:rsidR="00934D5E">
        <w:rPr>
          <w:noProof/>
        </w:rPr>
        <w:t>7</w:t>
      </w:r>
      <w:r w:rsidR="00904E58">
        <w:rPr>
          <w:rFonts w:eastAsiaTheme="majorEastAsia"/>
        </w:rPr>
        <w:fldChar w:fldCharType="end"/>
      </w:r>
      <w:r w:rsidR="00904E58">
        <w:rPr>
          <w:rFonts w:eastAsiaTheme="majorEastAsia"/>
        </w:rPr>
        <w:t xml:space="preserve">), </w:t>
      </w:r>
      <w:r>
        <w:t xml:space="preserve">and they </w:t>
      </w:r>
      <w:r w:rsidRPr="00B65F7F">
        <w:rPr>
          <w:rFonts w:eastAsiaTheme="majorEastAsia"/>
        </w:rPr>
        <w:t>must form the foundations for any activity or decision made as part of the transformation process.</w:t>
      </w:r>
    </w:p>
    <w:p w14:paraId="6C37F937" w14:textId="4A244F4D" w:rsidR="00695A28" w:rsidRPr="00B65F7F" w:rsidRDefault="00370C01" w:rsidP="00695A28">
      <w:pPr>
        <w:pStyle w:val="CaptionFigure"/>
        <w:rPr>
          <w:rFonts w:ascii="Calibri" w:hAnsi="Calibri" w:cs="Calibri"/>
          <w:szCs w:val="22"/>
          <w:lang w:val="en-AU"/>
        </w:rPr>
      </w:pPr>
      <w:bookmarkStart w:id="99" w:name="_Ref152082581"/>
      <w:bookmarkStart w:id="100" w:name="_Toc156932034"/>
      <w:r>
        <w:t xml:space="preserve">Figure </w:t>
      </w:r>
      <w:r>
        <w:fldChar w:fldCharType="begin"/>
      </w:r>
      <w:r>
        <w:instrText>SEQ Figure \* ARABIC</w:instrText>
      </w:r>
      <w:r>
        <w:fldChar w:fldCharType="separate"/>
      </w:r>
      <w:r w:rsidR="00934D5E">
        <w:rPr>
          <w:noProof/>
        </w:rPr>
        <w:t>7</w:t>
      </w:r>
      <w:r>
        <w:fldChar w:fldCharType="end"/>
      </w:r>
      <w:bookmarkEnd w:id="99"/>
      <w:r w:rsidR="00695A28" w:rsidRPr="00B65F7F">
        <w:rPr>
          <w:lang w:val="en-AU"/>
        </w:rPr>
        <w:t>: Summary of the 6 transformation features and sub-features</w:t>
      </w:r>
      <w:bookmarkEnd w:id="100"/>
    </w:p>
    <w:p w14:paraId="3A6099C8" w14:textId="77777777" w:rsidR="00396048" w:rsidRDefault="00B04A93" w:rsidP="00EC51BA">
      <w:pPr>
        <w:pStyle w:val="BodyText"/>
      </w:pPr>
      <w:r>
        <w:rPr>
          <w:noProof/>
        </w:rPr>
        <w:drawing>
          <wp:inline distT="0" distB="0" distL="0" distR="0" wp14:anchorId="39E3668E" wp14:editId="3C3F487F">
            <wp:extent cx="6120130" cy="4860103"/>
            <wp:effectExtent l="0" t="0" r="1270" b="4445"/>
            <wp:docPr id="3" name="Picture 3" descr="Each of the 6 transformations is represented by a round grey shape with a separate, tall, red rectangular shape below it. The round grey shape shows the name of the feature in white text, and the red rectangular shape explains the success measures for that transformation feature in white text. The 6 transformations are lined up side by side from left to right across the page, with 2 rows of black dots, in a dot painting style, separating the 2 rows of coloured shapes. The features are: 4.2.1 Feature 1: Clients and the community experience no disadvantage Feature 1.1: Consumers must have continual access Feature 1.2: Consumers must still have choice 4.2.2 Feature 2: Self-determination of Aboriginal and/or Torres Strait Islander communities  Feature 2.1: Each transformation must reflect the local and regional interests Feature 2.2: DoHAC must ensure that communities ready to begin the transformative journey are supported effectively 4.2.3 Feature 3: Sufficient and sustained investment to enable the transformation Feature 3.1: Investment into the organisational capacity Feature 3.2: Investment in the cultivation and enhancement of a local Aboriginal and/or Torres Strait Islander workforce  4.2.4 Feature 4: Genuine and committed partnership Feature 4.1: Equal treatment of the voices of Aboriginal and/or Torres Strait Islander communities and the Aboriginal and/or Torres Strait Islander community-controlled sector Feature 4.2: Time and space are provided  Feature 4.3: Sufficient time is afforded to decision-making and co-designing activities  Feature 4.4: Investment is made in providing the necessary information  Feature 4.5: Clear and transparent communication  4.2.5 Feature 5: Prioritising cultural safety  Feature 5.1: PHNs continue to be funded to ensure a culturally safe mainstream system, Feature 5.2: PHNs continue to prioritise Aboriginal and/or Torres Strait Islander peoples  4.2.6 Feature 6: Strengths-based approach to change Feature 6.1: Working in partnership Feature 6.2: Establishing a national coordination function Feature 6.3: Avoiding imposing burdensome reporting require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Each of the 6 transformations is represented by a round grey shape with a separate, tall, red rectangular shape below it. The round grey shape shows the name of the feature in white text, and the red rectangular shape explains the success measures for that transformation feature in white text. The 6 transformations are lined up side by side from left to right across the page, with 2 rows of black dots, in a dot painting style, separating the 2 rows of coloured shapes. The features are: 4.2.1 Feature 1: Clients and the community experience no disadvantage Feature 1.1: Consumers must have continual access Feature 1.2: Consumers must still have choice 4.2.2 Feature 2: Self-determination of Aboriginal and/or Torres Strait Islander communities  Feature 2.1: Each transformation must reflect the local and regional interests Feature 2.2: DoHAC must ensure that communities ready to begin the transformative journey are supported effectively 4.2.3 Feature 3: Sufficient and sustained investment to enable the transformation Feature 3.1: Investment into the organisational capacity Feature 3.2: Investment in the cultivation and enhancement of a local Aboriginal and/or Torres Strait Islander workforce  4.2.4 Feature 4: Genuine and committed partnership Feature 4.1: Equal treatment of the voices of Aboriginal and/or Torres Strait Islander communities and the Aboriginal and/or Torres Strait Islander community-controlled sector Feature 4.2: Time and space are provided  Feature 4.3: Sufficient time is afforded to decision-making and co-designing activities  Feature 4.4: Investment is made in providing the necessary information  Feature 4.5: Clear and transparent communication  4.2.5 Feature 5: Prioritising cultural safety  Feature 5.1: PHNs continue to be funded to ensure a culturally safe mainstream system, Feature 5.2: PHNs continue to prioritise Aboriginal and/or Torres Strait Islander peoples  4.2.6 Feature 6: Strengths-based approach to change Feature 6.1: Working in partnership Feature 6.2: Establishing a national coordination function Feature 6.3: Avoiding imposing burdensome reporting requirements "/>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120130" cy="4860103"/>
                    </a:xfrm>
                    <a:prstGeom prst="rect">
                      <a:avLst/>
                    </a:prstGeom>
                  </pic:spPr>
                </pic:pic>
              </a:graphicData>
            </a:graphic>
          </wp:inline>
        </w:drawing>
      </w:r>
    </w:p>
    <w:p w14:paraId="2A15DCFC" w14:textId="77777777" w:rsidR="00EC51BA" w:rsidRDefault="00EC51BA" w:rsidP="00EC51BA">
      <w:pPr>
        <w:pStyle w:val="BodyText"/>
      </w:pPr>
      <w:bookmarkStart w:id="101" w:name="_mri8gidwimda"/>
      <w:bookmarkStart w:id="102" w:name="_Hlk152075588"/>
      <w:bookmarkEnd w:id="101"/>
      <w:r>
        <w:br w:type="page"/>
      </w:r>
    </w:p>
    <w:p w14:paraId="26F86F97" w14:textId="36E5D47F" w:rsidR="00F923B6" w:rsidRPr="00B65F7F" w:rsidRDefault="001D568A" w:rsidP="00EC51BA">
      <w:pPr>
        <w:pStyle w:val="Heading3"/>
      </w:pPr>
      <w:r w:rsidRPr="00B65F7F">
        <w:lastRenderedPageBreak/>
        <w:t xml:space="preserve"> </w:t>
      </w:r>
      <w:r w:rsidR="00F923B6" w:rsidRPr="00B65F7F">
        <w:t xml:space="preserve">Feature 1: Clients and the </w:t>
      </w:r>
      <w:r w:rsidR="002E39BC">
        <w:t>c</w:t>
      </w:r>
      <w:r w:rsidR="00F923B6" w:rsidRPr="00B65F7F">
        <w:t>ommunity</w:t>
      </w:r>
      <w:r w:rsidR="00634224" w:rsidRPr="00B65F7F">
        <w:t xml:space="preserve"> e</w:t>
      </w:r>
      <w:r w:rsidR="00F923B6" w:rsidRPr="00B65F7F">
        <w:t xml:space="preserve">xperience </w:t>
      </w:r>
      <w:r w:rsidR="00634224" w:rsidRPr="00B65F7F">
        <w:t>n</w:t>
      </w:r>
      <w:r w:rsidR="00F923B6" w:rsidRPr="00B65F7F">
        <w:t xml:space="preserve">o </w:t>
      </w:r>
      <w:r w:rsidR="00634224" w:rsidRPr="00B65F7F">
        <w:t>disadvantage</w:t>
      </w:r>
    </w:p>
    <w:bookmarkEnd w:id="102"/>
    <w:p w14:paraId="23DDB6D8" w14:textId="77777777" w:rsidR="20D507A1" w:rsidRPr="00B65F7F" w:rsidRDefault="008C5C21" w:rsidP="00EC51BA">
      <w:pPr>
        <w:pStyle w:val="BodyText"/>
      </w:pPr>
      <w:r w:rsidRPr="00B65F7F">
        <w:t>D</w:t>
      </w:r>
      <w:r w:rsidR="00645C27" w:rsidRPr="00B65F7F">
        <w:t>elivering on any of the future funding arrangements will take time, effort and investment</w:t>
      </w:r>
      <w:r w:rsidR="006D4D30" w:rsidRPr="00B65F7F">
        <w:t xml:space="preserve"> which may impact on the ability of ACCHOs </w:t>
      </w:r>
      <w:r w:rsidR="00C140F3" w:rsidRPr="00B65F7F">
        <w:t xml:space="preserve">(and other relevant service providers) </w:t>
      </w:r>
      <w:r w:rsidR="006D4D30" w:rsidRPr="00B65F7F">
        <w:t xml:space="preserve">to deliver consistent and high-quality </w:t>
      </w:r>
      <w:r w:rsidR="006D4D30" w:rsidRPr="00B65F7F" w:rsidDel="00C140F3">
        <w:t>services</w:t>
      </w:r>
      <w:r w:rsidR="00C140F3" w:rsidRPr="00B65F7F">
        <w:t>.</w:t>
      </w:r>
      <w:r w:rsidR="00645C27" w:rsidRPr="00B65F7F">
        <w:t xml:space="preserve"> Despite this, </w:t>
      </w:r>
      <w:r w:rsidR="00C618B2" w:rsidRPr="00B65F7F">
        <w:t xml:space="preserve">the </w:t>
      </w:r>
      <w:r w:rsidR="006844CA" w:rsidRPr="00B65F7F">
        <w:t xml:space="preserve">needs of the community and current and prospective clients </w:t>
      </w:r>
      <w:r w:rsidR="005A506A" w:rsidRPr="00B65F7F">
        <w:t>must</w:t>
      </w:r>
      <w:r w:rsidR="00DF5902" w:rsidRPr="00B65F7F">
        <w:t xml:space="preserve"> remain a priority</w:t>
      </w:r>
      <w:r w:rsidR="006844CA" w:rsidRPr="00B65F7F">
        <w:t xml:space="preserve">. This means that </w:t>
      </w:r>
      <w:r w:rsidR="00FA7927" w:rsidRPr="00B65F7F">
        <w:t>a</w:t>
      </w:r>
      <w:r w:rsidR="00596BEB" w:rsidRPr="00B65F7F">
        <w:t xml:space="preserve">ny </w:t>
      </w:r>
      <w:r w:rsidR="00645C27" w:rsidRPr="00B65F7F">
        <w:t xml:space="preserve">progress made towards </w:t>
      </w:r>
      <w:r w:rsidR="00596BEB" w:rsidRPr="00B65F7F">
        <w:t>the future</w:t>
      </w:r>
      <w:r w:rsidR="002E39BC">
        <w:t>-state</w:t>
      </w:r>
      <w:r w:rsidR="00596BEB" w:rsidRPr="00B65F7F">
        <w:t xml:space="preserve"> funding arrangements must </w:t>
      </w:r>
      <w:r w:rsidR="00CB5CA4" w:rsidRPr="00B65F7F">
        <w:t xml:space="preserve">maintain, at least at current levels, </w:t>
      </w:r>
      <w:r w:rsidR="006E65DC" w:rsidRPr="00B65F7F">
        <w:t xml:space="preserve">access to and delivery of services </w:t>
      </w:r>
      <w:r w:rsidR="00CB5CA4" w:rsidRPr="00B65F7F">
        <w:t>currently</w:t>
      </w:r>
      <w:r w:rsidR="006E65DC" w:rsidRPr="00B65F7F">
        <w:t xml:space="preserve"> provided to </w:t>
      </w:r>
      <w:r w:rsidR="002746DA">
        <w:t>Aboriginal and/or Torres Strait Islander</w:t>
      </w:r>
      <w:r w:rsidR="006E65DC" w:rsidRPr="00B65F7F">
        <w:t xml:space="preserve"> peoples.</w:t>
      </w:r>
      <w:r w:rsidR="00750E6F" w:rsidRPr="00B65F7F">
        <w:t xml:space="preserve"> </w:t>
      </w:r>
      <w:r w:rsidR="002E39BC">
        <w:t>C</w:t>
      </w:r>
      <w:r w:rsidR="4206C72A" w:rsidRPr="00B65F7F">
        <w:t xml:space="preserve">entring the needs and interests of clients and the community </w:t>
      </w:r>
      <w:r w:rsidR="712849F6" w:rsidRPr="00B65F7F">
        <w:t xml:space="preserve">reinforces that </w:t>
      </w:r>
      <w:r w:rsidR="00CF1CE8" w:rsidRPr="00B65F7F">
        <w:t xml:space="preserve">the </w:t>
      </w:r>
      <w:r w:rsidR="712849F6" w:rsidRPr="00B65F7F">
        <w:t xml:space="preserve">key to any </w:t>
      </w:r>
      <w:r w:rsidR="00515253" w:rsidRPr="00B65F7F">
        <w:t>transformative efforts</w:t>
      </w:r>
      <w:r w:rsidR="712849F6" w:rsidRPr="00B65F7F">
        <w:t xml:space="preserve"> is that</w:t>
      </w:r>
      <w:r w:rsidR="00D07F81" w:rsidRPr="00B65F7F">
        <w:t xml:space="preserve"> there must be no dilution of </w:t>
      </w:r>
      <w:r w:rsidR="712849F6" w:rsidRPr="00B65F7F">
        <w:t>the services</w:t>
      </w:r>
      <w:r w:rsidR="00515253" w:rsidRPr="00B65F7F">
        <w:t xml:space="preserve"> (both in availability and </w:t>
      </w:r>
      <w:r w:rsidR="00D07F81" w:rsidRPr="00B65F7F">
        <w:t>quality</w:t>
      </w:r>
      <w:r w:rsidR="00515253" w:rsidRPr="00B65F7F">
        <w:t>)</w:t>
      </w:r>
      <w:r w:rsidR="712849F6" w:rsidRPr="00B65F7F">
        <w:t xml:space="preserve"> that are currently afforded to </w:t>
      </w:r>
      <w:r w:rsidR="002746DA">
        <w:t>Aboriginal and/or Torres Strait Islander</w:t>
      </w:r>
      <w:r w:rsidR="712849F6" w:rsidRPr="00B65F7F">
        <w:t xml:space="preserve"> consumers and communities. </w:t>
      </w:r>
    </w:p>
    <w:p w14:paraId="0BBC3EC9" w14:textId="7A52563C" w:rsidR="00F923B6" w:rsidRPr="00B65F7F" w:rsidRDefault="00F923B6" w:rsidP="007B65FC">
      <w:pPr>
        <w:pStyle w:val="Heading4"/>
      </w:pPr>
      <w:bookmarkStart w:id="103" w:name="_i4j8dvdjleo"/>
      <w:bookmarkEnd w:id="103"/>
      <w:r w:rsidRPr="00B65F7F">
        <w:t>What it looks like in practice</w:t>
      </w:r>
    </w:p>
    <w:p w14:paraId="4FC14EFB" w14:textId="77777777" w:rsidR="00F923B6" w:rsidRPr="00B65F7F" w:rsidRDefault="00CF1CE8" w:rsidP="007B65FC">
      <w:pPr>
        <w:pStyle w:val="BodyText"/>
      </w:pPr>
      <w:r w:rsidRPr="00B65F7F">
        <w:t>P</w:t>
      </w:r>
      <w:r w:rsidR="1F18FD2E" w:rsidRPr="00B65F7F">
        <w:t>ractically</w:t>
      </w:r>
      <w:r w:rsidRPr="00B65F7F">
        <w:t xml:space="preserve">, giving effect to </w:t>
      </w:r>
      <w:r w:rsidR="00CC33CC" w:rsidRPr="00B65F7F">
        <w:t xml:space="preserve">this </w:t>
      </w:r>
      <w:r w:rsidR="004549A7">
        <w:t>feature</w:t>
      </w:r>
      <w:r w:rsidR="004549A7" w:rsidRPr="00B65F7F">
        <w:t xml:space="preserve"> </w:t>
      </w:r>
      <w:r w:rsidR="1F18FD2E" w:rsidRPr="00B65F7F">
        <w:t>can be challenging</w:t>
      </w:r>
      <w:r w:rsidR="00CC33CC" w:rsidRPr="00B65F7F">
        <w:t>, particularly</w:t>
      </w:r>
      <w:r w:rsidR="1F18FD2E" w:rsidRPr="00B65F7F">
        <w:t xml:space="preserve"> in an environment of intensive reform and change. </w:t>
      </w:r>
      <w:r w:rsidR="002E39BC">
        <w:t>I</w:t>
      </w:r>
      <w:r w:rsidR="0043672C" w:rsidRPr="00B65F7F">
        <w:t xml:space="preserve">t will be </w:t>
      </w:r>
      <w:r w:rsidR="000610DC" w:rsidRPr="00B65F7F">
        <w:t>critical that throughout any period of change</w:t>
      </w:r>
      <w:r w:rsidR="002E39BC">
        <w:t>,</w:t>
      </w:r>
      <w:r w:rsidR="000610DC" w:rsidRPr="00B65F7F">
        <w:t xml:space="preserve"> the following </w:t>
      </w:r>
      <w:r w:rsidR="002E39BC">
        <w:t>at least are</w:t>
      </w:r>
      <w:r w:rsidR="000610DC" w:rsidRPr="00B65F7F">
        <w:t xml:space="preserve"> prioritised</w:t>
      </w:r>
      <w:r w:rsidR="0020159A" w:rsidRPr="00B65F7F">
        <w:t xml:space="preserve"> (particularly in areas where access and choice already exist)</w:t>
      </w:r>
      <w:r w:rsidR="1F18FD2E" w:rsidRPr="00B65F7F">
        <w:t>:</w:t>
      </w:r>
    </w:p>
    <w:p w14:paraId="45FFC23C" w14:textId="77777777" w:rsidR="002A2DAB" w:rsidRPr="002E39BC" w:rsidRDefault="002A2DAB" w:rsidP="007B65FC">
      <w:pPr>
        <w:pStyle w:val="ListBullet2"/>
        <w:rPr>
          <w:rFonts w:asciiTheme="majorHAnsi" w:eastAsiaTheme="majorEastAsia" w:hAnsiTheme="majorHAnsi" w:cstheme="majorBidi"/>
        </w:rPr>
      </w:pPr>
      <w:bookmarkStart w:id="104" w:name="_Hlk152075596"/>
      <w:r w:rsidRPr="002E39BC">
        <w:rPr>
          <w:rFonts w:eastAsiaTheme="majorEastAsia"/>
          <w:b/>
          <w:bCs/>
        </w:rPr>
        <w:t>Feature 1.1:</w:t>
      </w:r>
      <w:r w:rsidRPr="002E39BC">
        <w:rPr>
          <w:rFonts w:eastAsiaTheme="majorEastAsia"/>
        </w:rPr>
        <w:t xml:space="preserve"> </w:t>
      </w:r>
      <w:r w:rsidR="000610DC" w:rsidRPr="002E39BC">
        <w:rPr>
          <w:rFonts w:eastAsiaTheme="majorEastAsia"/>
          <w:b/>
          <w:bCs/>
        </w:rPr>
        <w:t>Consumers</w:t>
      </w:r>
      <w:r w:rsidR="1F18FD2E" w:rsidRPr="002E39BC">
        <w:rPr>
          <w:rFonts w:eastAsiaTheme="majorEastAsia"/>
          <w:b/>
          <w:bCs/>
        </w:rPr>
        <w:t xml:space="preserve"> must </w:t>
      </w:r>
      <w:r w:rsidR="00062D16" w:rsidRPr="002E39BC">
        <w:rPr>
          <w:rFonts w:eastAsiaTheme="majorEastAsia"/>
          <w:b/>
          <w:bCs/>
        </w:rPr>
        <w:t>have continual</w:t>
      </w:r>
      <w:r w:rsidR="1F18FD2E" w:rsidRPr="002E39BC">
        <w:rPr>
          <w:rFonts w:eastAsiaTheme="majorEastAsia"/>
          <w:b/>
          <w:bCs/>
        </w:rPr>
        <w:t xml:space="preserve"> access</w:t>
      </w:r>
      <w:bookmarkEnd w:id="104"/>
      <w:r w:rsidR="1F18FD2E" w:rsidRPr="002E39BC">
        <w:rPr>
          <w:rFonts w:eastAsiaTheme="majorEastAsia"/>
        </w:rPr>
        <w:t xml:space="preserve"> </w:t>
      </w:r>
      <w:r w:rsidR="00062D16" w:rsidRPr="002E39BC">
        <w:rPr>
          <w:rFonts w:eastAsiaTheme="majorEastAsia"/>
        </w:rPr>
        <w:t xml:space="preserve">to </w:t>
      </w:r>
      <w:r w:rsidR="5DBDE25F" w:rsidRPr="002E39BC">
        <w:rPr>
          <w:rFonts w:eastAsiaTheme="majorEastAsia"/>
        </w:rPr>
        <w:t xml:space="preserve">appropriate and high-quality </w:t>
      </w:r>
      <w:r w:rsidR="000610DC" w:rsidRPr="002E39BC">
        <w:rPr>
          <w:rFonts w:eastAsiaTheme="majorEastAsia"/>
        </w:rPr>
        <w:t>healthcare</w:t>
      </w:r>
      <w:r w:rsidR="1F18FD2E" w:rsidRPr="002E39BC">
        <w:rPr>
          <w:rFonts w:eastAsiaTheme="majorEastAsia"/>
        </w:rPr>
        <w:t xml:space="preserve"> services when and where they need them, ensuring these are delivered in a timely and accessible manner</w:t>
      </w:r>
      <w:r w:rsidR="002C7922" w:rsidRPr="002E39BC">
        <w:rPr>
          <w:rFonts w:eastAsiaTheme="majorEastAsia"/>
        </w:rPr>
        <w:t xml:space="preserve">. </w:t>
      </w:r>
      <w:r w:rsidR="008D5602" w:rsidRPr="002E39BC">
        <w:rPr>
          <w:rFonts w:eastAsiaTheme="majorEastAsia"/>
        </w:rPr>
        <w:t xml:space="preserve">For the regions where </w:t>
      </w:r>
      <w:r w:rsidR="00555B90" w:rsidRPr="002E39BC">
        <w:rPr>
          <w:rFonts w:eastAsiaTheme="majorEastAsia"/>
        </w:rPr>
        <w:t xml:space="preserve">there is much work to do to enable the transformation, this </w:t>
      </w:r>
      <w:r w:rsidR="00936C54" w:rsidRPr="002E39BC">
        <w:rPr>
          <w:rFonts w:eastAsiaTheme="majorEastAsia"/>
        </w:rPr>
        <w:t>may</w:t>
      </w:r>
      <w:r w:rsidR="00555B90" w:rsidRPr="002E39BC">
        <w:rPr>
          <w:rFonts w:eastAsiaTheme="majorEastAsia"/>
        </w:rPr>
        <w:t xml:space="preserve"> require </w:t>
      </w:r>
      <w:r w:rsidR="00695A28">
        <w:rPr>
          <w:rFonts w:eastAsiaTheme="majorEastAsia"/>
        </w:rPr>
        <w:t>DoHAC</w:t>
      </w:r>
      <w:r w:rsidR="00555B90" w:rsidRPr="002E39BC">
        <w:rPr>
          <w:rFonts w:eastAsiaTheme="majorEastAsia"/>
        </w:rPr>
        <w:t xml:space="preserve"> and, in turn, PHN</w:t>
      </w:r>
      <w:r w:rsidR="00936C54" w:rsidRPr="002E39BC">
        <w:rPr>
          <w:rFonts w:eastAsiaTheme="majorEastAsia"/>
        </w:rPr>
        <w:t>s</w:t>
      </w:r>
      <w:r w:rsidR="00555B90" w:rsidRPr="002E39BC">
        <w:rPr>
          <w:rFonts w:eastAsiaTheme="majorEastAsia"/>
        </w:rPr>
        <w:t xml:space="preserve"> to continue to fund the </w:t>
      </w:r>
      <w:r w:rsidR="00FC128B">
        <w:rPr>
          <w:rFonts w:eastAsiaTheme="majorEastAsia"/>
        </w:rPr>
        <w:t>Relevant Health Programs</w:t>
      </w:r>
      <w:r w:rsidR="00D051CF" w:rsidRPr="002E39BC">
        <w:rPr>
          <w:rFonts w:eastAsiaTheme="majorEastAsia"/>
        </w:rPr>
        <w:t xml:space="preserve"> to ensure access. </w:t>
      </w:r>
    </w:p>
    <w:p w14:paraId="7FCB4379" w14:textId="77777777" w:rsidR="004D323B" w:rsidRPr="00B65F7F" w:rsidRDefault="002A2DAB" w:rsidP="007B65FC">
      <w:pPr>
        <w:pStyle w:val="ListBullet2"/>
      </w:pPr>
      <w:bookmarkStart w:id="105" w:name="_Hlk152075604"/>
      <w:r w:rsidRPr="002E39BC">
        <w:rPr>
          <w:rFonts w:eastAsiaTheme="majorEastAsia"/>
          <w:b/>
          <w:bCs/>
        </w:rPr>
        <w:t xml:space="preserve">Feature 1.2: </w:t>
      </w:r>
      <w:r w:rsidR="00856A1D" w:rsidRPr="002E39BC">
        <w:rPr>
          <w:rFonts w:eastAsiaTheme="majorEastAsia"/>
          <w:b/>
          <w:bCs/>
        </w:rPr>
        <w:t xml:space="preserve">Consumers </w:t>
      </w:r>
      <w:r w:rsidR="00D051CF" w:rsidRPr="002E39BC">
        <w:rPr>
          <w:rFonts w:eastAsiaTheme="majorEastAsia"/>
          <w:b/>
          <w:bCs/>
        </w:rPr>
        <w:t>must still have choice</w:t>
      </w:r>
      <w:bookmarkEnd w:id="105"/>
      <w:r w:rsidR="00D051CF" w:rsidRPr="002E39BC">
        <w:rPr>
          <w:rFonts w:eastAsiaTheme="majorEastAsia"/>
          <w:b/>
        </w:rPr>
        <w:t xml:space="preserve"> </w:t>
      </w:r>
      <w:r w:rsidR="00D051CF" w:rsidRPr="002E39BC">
        <w:rPr>
          <w:rFonts w:eastAsiaTheme="majorEastAsia"/>
          <w:bCs/>
        </w:rPr>
        <w:t>of</w:t>
      </w:r>
      <w:r w:rsidR="00856A1D" w:rsidRPr="002E39BC">
        <w:rPr>
          <w:rFonts w:eastAsiaTheme="majorEastAsia"/>
        </w:rPr>
        <w:t xml:space="preserve"> provider they wish to receive services from</w:t>
      </w:r>
      <w:r w:rsidR="00186BA6" w:rsidRPr="002E39BC">
        <w:rPr>
          <w:rFonts w:eastAsiaTheme="majorEastAsia"/>
        </w:rPr>
        <w:t xml:space="preserve"> (where this currently exists)</w:t>
      </w:r>
      <w:r w:rsidR="00856A1D" w:rsidRPr="002E39BC">
        <w:rPr>
          <w:rFonts w:eastAsiaTheme="majorEastAsia"/>
        </w:rPr>
        <w:t>, ensuring that these are delivered to a high standard and within a culturally safe environment.</w:t>
      </w:r>
    </w:p>
    <w:p w14:paraId="33E86455" w14:textId="77777777" w:rsidR="0020159A" w:rsidRPr="00B65F7F" w:rsidRDefault="0020159A" w:rsidP="007B65FC">
      <w:pPr>
        <w:pStyle w:val="BodyText1stparaafterlist"/>
      </w:pPr>
      <w:r w:rsidRPr="00B65F7F">
        <w:t xml:space="preserve">It is noted that </w:t>
      </w:r>
      <w:r w:rsidR="002E39BC">
        <w:t xml:space="preserve">in </w:t>
      </w:r>
      <w:r w:rsidRPr="00B65F7F">
        <w:t>certain regions (particularly regional and remote areas)</w:t>
      </w:r>
      <w:r w:rsidR="002E39BC">
        <w:t>,</w:t>
      </w:r>
      <w:r w:rsidRPr="00B65F7F">
        <w:t xml:space="preserve"> choice and access may not exist in the current arrangements. The purpose of </w:t>
      </w:r>
      <w:r w:rsidR="005531BD" w:rsidRPr="00B65F7F">
        <w:t xml:space="preserve">Feature 1 is to ensure that no community goes backwards in </w:t>
      </w:r>
      <w:r w:rsidR="00004652" w:rsidRPr="00B65F7F">
        <w:t xml:space="preserve">their levels of access and choice. </w:t>
      </w:r>
    </w:p>
    <w:p w14:paraId="755DCF97" w14:textId="7BEFA099" w:rsidR="00F923B6" w:rsidRPr="00B65F7F" w:rsidRDefault="00F923B6" w:rsidP="007B65FC">
      <w:pPr>
        <w:pStyle w:val="Heading3"/>
      </w:pPr>
      <w:bookmarkStart w:id="106" w:name="_nfkwzlrfnm06"/>
      <w:bookmarkStart w:id="107" w:name="Feature2_622"/>
      <w:bookmarkStart w:id="108" w:name="_Hlk152075611"/>
      <w:bookmarkEnd w:id="106"/>
      <w:r w:rsidRPr="00B65F7F">
        <w:t>Feature 2: Self-</w:t>
      </w:r>
      <w:r w:rsidR="002E39BC">
        <w:t>d</w:t>
      </w:r>
      <w:r w:rsidRPr="00B65F7F">
        <w:t>etermin</w:t>
      </w:r>
      <w:r w:rsidR="00992DA2" w:rsidRPr="00B65F7F">
        <w:t>ation</w:t>
      </w:r>
      <w:r w:rsidR="00B77EE4" w:rsidRPr="00B65F7F">
        <w:t xml:space="preserve"> of </w:t>
      </w:r>
      <w:r w:rsidR="002746DA">
        <w:t>Aboriginal and/or Torres Strait Islander</w:t>
      </w:r>
      <w:r w:rsidR="00B77EE4" w:rsidRPr="00B65F7F">
        <w:t xml:space="preserve"> </w:t>
      </w:r>
      <w:bookmarkEnd w:id="107"/>
      <w:r w:rsidR="002E39BC">
        <w:t>c</w:t>
      </w:r>
      <w:r w:rsidR="00B77EE4" w:rsidRPr="00B65F7F">
        <w:t>ommunities</w:t>
      </w:r>
      <w:r w:rsidR="00992DA2" w:rsidRPr="00B65F7F">
        <w:t xml:space="preserve"> </w:t>
      </w:r>
    </w:p>
    <w:bookmarkEnd w:id="108"/>
    <w:p w14:paraId="2AF1D555" w14:textId="77777777" w:rsidR="00F923B6" w:rsidRPr="00B65F7F" w:rsidRDefault="03B65256" w:rsidP="007B65FC">
      <w:pPr>
        <w:pStyle w:val="BodyText"/>
      </w:pPr>
      <w:r w:rsidRPr="00B65F7F">
        <w:t xml:space="preserve">In gathering the evidence to produce this </w:t>
      </w:r>
      <w:r w:rsidR="001D33D3">
        <w:t>report</w:t>
      </w:r>
      <w:r w:rsidRPr="00B65F7F">
        <w:t xml:space="preserve">, it </w:t>
      </w:r>
      <w:r w:rsidR="00A568A5" w:rsidRPr="00B65F7F">
        <w:t>was</w:t>
      </w:r>
      <w:r w:rsidRPr="00B65F7F">
        <w:t xml:space="preserve"> evident that </w:t>
      </w:r>
      <w:r w:rsidR="009863FC" w:rsidRPr="00B65F7F">
        <w:t xml:space="preserve">all </w:t>
      </w:r>
      <w:r w:rsidR="002746DA">
        <w:t>Aboriginal and/or Torres Strait Islander</w:t>
      </w:r>
      <w:r w:rsidR="009863FC" w:rsidRPr="00B65F7F">
        <w:t xml:space="preserve"> communities are unique</w:t>
      </w:r>
      <w:r w:rsidRPr="00B65F7F">
        <w:t xml:space="preserve">. </w:t>
      </w:r>
      <w:r w:rsidR="00E36D6D" w:rsidRPr="00B65F7F">
        <w:t>The</w:t>
      </w:r>
      <w:r w:rsidR="00EF301C" w:rsidRPr="00B65F7F">
        <w:t xml:space="preserve"> differen</w:t>
      </w:r>
      <w:r w:rsidR="00F23BC9" w:rsidRPr="00B65F7F">
        <w:t>ces</w:t>
      </w:r>
      <w:r w:rsidR="00EF301C" w:rsidRPr="00B65F7F">
        <w:t xml:space="preserve"> among communities </w:t>
      </w:r>
      <w:r w:rsidR="00A568A5" w:rsidRPr="00B65F7F">
        <w:t xml:space="preserve">are borne out of </w:t>
      </w:r>
      <w:r w:rsidR="001C0888" w:rsidRPr="00B65F7F">
        <w:t>varied</w:t>
      </w:r>
      <w:r w:rsidR="00A568A5" w:rsidRPr="00B65F7F">
        <w:t xml:space="preserve"> histories and context</w:t>
      </w:r>
      <w:r w:rsidR="001C0888" w:rsidRPr="00B65F7F">
        <w:t>s</w:t>
      </w:r>
      <w:r w:rsidR="00A568A5" w:rsidRPr="00B65F7F">
        <w:t xml:space="preserve">, </w:t>
      </w:r>
      <w:r w:rsidR="00435513" w:rsidRPr="00B65F7F">
        <w:t>manifesting</w:t>
      </w:r>
      <w:r w:rsidR="001C0888" w:rsidRPr="00B65F7F">
        <w:t xml:space="preserve"> </w:t>
      </w:r>
      <w:r w:rsidR="007D3580" w:rsidRPr="00B65F7F">
        <w:t xml:space="preserve">in </w:t>
      </w:r>
      <w:r w:rsidR="00A568A5" w:rsidRPr="00B65F7F">
        <w:t>differing</w:t>
      </w:r>
      <w:r w:rsidR="00EF301C" w:rsidRPr="00B65F7F">
        <w:t xml:space="preserve"> </w:t>
      </w:r>
      <w:r w:rsidR="7554C4B6" w:rsidRPr="00B65F7F">
        <w:t>needs</w:t>
      </w:r>
      <w:r w:rsidR="00DD00D5" w:rsidRPr="00B65F7F">
        <w:t xml:space="preserve">, </w:t>
      </w:r>
      <w:r w:rsidR="00435513" w:rsidRPr="00B65F7F">
        <w:t>variable service</w:t>
      </w:r>
      <w:r w:rsidR="007D3580" w:rsidRPr="00B65F7F">
        <w:t>s being available</w:t>
      </w:r>
      <w:r w:rsidR="00EF301C" w:rsidRPr="00B65F7F">
        <w:t xml:space="preserve">, </w:t>
      </w:r>
      <w:r w:rsidR="00D578D7" w:rsidRPr="00B65F7F">
        <w:t xml:space="preserve">varying levels of </w:t>
      </w:r>
      <w:r w:rsidR="003C098A" w:rsidRPr="00B65F7F">
        <w:t>resources</w:t>
      </w:r>
      <w:r w:rsidR="7554C4B6" w:rsidRPr="00B65F7F">
        <w:t xml:space="preserve"> </w:t>
      </w:r>
      <w:r w:rsidR="00D578D7" w:rsidRPr="00B65F7F">
        <w:t>allocated to service</w:t>
      </w:r>
      <w:r w:rsidR="007D3580" w:rsidRPr="00B65F7F">
        <w:t>s</w:t>
      </w:r>
      <w:r w:rsidR="7554C4B6" w:rsidRPr="00B65F7F">
        <w:t xml:space="preserve">, </w:t>
      </w:r>
      <w:r w:rsidR="00D578D7" w:rsidRPr="00B65F7F">
        <w:t xml:space="preserve">differing </w:t>
      </w:r>
      <w:r w:rsidR="7554C4B6" w:rsidRPr="00B65F7F">
        <w:t xml:space="preserve">levels of </w:t>
      </w:r>
      <w:r w:rsidR="00435513" w:rsidRPr="00B65F7F">
        <w:t xml:space="preserve">sector </w:t>
      </w:r>
      <w:r w:rsidR="7554C4B6" w:rsidRPr="00B65F7F">
        <w:t xml:space="preserve">collaboration and </w:t>
      </w:r>
      <w:r w:rsidR="007D3580" w:rsidRPr="00B65F7F">
        <w:t xml:space="preserve">varying levels of </w:t>
      </w:r>
      <w:r w:rsidR="7554C4B6" w:rsidRPr="00B65F7F">
        <w:t>appetite for change</w:t>
      </w:r>
      <w:r w:rsidR="22CF7EE6" w:rsidRPr="00B65F7F">
        <w:t xml:space="preserve">. </w:t>
      </w:r>
      <w:r w:rsidR="00F020F1">
        <w:t xml:space="preserve">A </w:t>
      </w:r>
      <w:r w:rsidR="00435513" w:rsidRPr="00B65F7F">
        <w:t xml:space="preserve">community-led and </w:t>
      </w:r>
      <w:r w:rsidR="00486B62" w:rsidRPr="00B65F7F">
        <w:t>self-</w:t>
      </w:r>
      <w:r w:rsidR="00435513" w:rsidRPr="00B65F7F">
        <w:t>determined approach</w:t>
      </w:r>
      <w:r w:rsidR="002E019C" w:rsidRPr="00B65F7F">
        <w:t xml:space="preserve"> </w:t>
      </w:r>
      <w:r w:rsidR="00435513" w:rsidRPr="00B65F7F">
        <w:t xml:space="preserve">is </w:t>
      </w:r>
      <w:r w:rsidR="00F020F1">
        <w:t xml:space="preserve">therefore </w:t>
      </w:r>
      <w:r w:rsidR="00435513" w:rsidRPr="00B65F7F">
        <w:t xml:space="preserve">the only way to respond </w:t>
      </w:r>
      <w:r w:rsidR="00486B62" w:rsidRPr="00B65F7F">
        <w:t xml:space="preserve">effectively </w:t>
      </w:r>
      <w:r w:rsidR="00435513" w:rsidRPr="00B65F7F">
        <w:t xml:space="preserve">to the differing </w:t>
      </w:r>
      <w:r w:rsidR="00486B62" w:rsidRPr="00B65F7F">
        <w:t xml:space="preserve">contexts. </w:t>
      </w:r>
    </w:p>
    <w:p w14:paraId="1A91F2ED" w14:textId="77777777" w:rsidR="00F923B6" w:rsidRPr="00B65F7F" w:rsidRDefault="70655B40" w:rsidP="007B65FC">
      <w:pPr>
        <w:pStyle w:val="BodyText"/>
      </w:pPr>
      <w:r w:rsidRPr="00B65F7F">
        <w:t>Critically, this means that</w:t>
      </w:r>
      <w:r w:rsidR="0008680C" w:rsidRPr="00B65F7F">
        <w:t xml:space="preserve"> for the </w:t>
      </w:r>
      <w:r w:rsidR="00997EFB" w:rsidRPr="00B65F7F">
        <w:t xml:space="preserve">transformation to </w:t>
      </w:r>
      <w:r w:rsidR="00906A85" w:rsidRPr="00B65F7F">
        <w:t>reflect the ind</w:t>
      </w:r>
      <w:r w:rsidR="004D3759" w:rsidRPr="00B65F7F">
        <w:t xml:space="preserve">ividual </w:t>
      </w:r>
      <w:r w:rsidR="00906A85" w:rsidRPr="00B65F7F">
        <w:t>contexts of each community</w:t>
      </w:r>
      <w:r w:rsidR="00997EFB" w:rsidRPr="00B65F7F">
        <w:t>,</w:t>
      </w:r>
      <w:r w:rsidRPr="00B65F7F">
        <w:t xml:space="preserve"> the </w:t>
      </w:r>
      <w:r w:rsidRPr="00BA4F8C">
        <w:t xml:space="preserve">Australian Government </w:t>
      </w:r>
      <w:r w:rsidR="00BA4F8C" w:rsidRPr="00BA4F8C">
        <w:t xml:space="preserve">broadly, </w:t>
      </w:r>
      <w:r w:rsidRPr="00BA4F8C">
        <w:t xml:space="preserve">and </w:t>
      </w:r>
      <w:r w:rsidR="00695A28">
        <w:t>DoHAC</w:t>
      </w:r>
      <w:r w:rsidRPr="00BA4F8C">
        <w:t xml:space="preserve"> </w:t>
      </w:r>
      <w:r w:rsidR="00BA4F8C" w:rsidRPr="00BA4F8C">
        <w:t xml:space="preserve">particularly, </w:t>
      </w:r>
      <w:r w:rsidRPr="00BA4F8C">
        <w:t xml:space="preserve">must not </w:t>
      </w:r>
      <w:r w:rsidR="00522FC5" w:rsidRPr="00BA4F8C">
        <w:t xml:space="preserve">predetermine </w:t>
      </w:r>
      <w:r w:rsidR="004D3759" w:rsidRPr="00BA4F8C">
        <w:t xml:space="preserve">the exact form of the </w:t>
      </w:r>
      <w:r w:rsidR="00522FC5" w:rsidRPr="00BA4F8C">
        <w:t>future</w:t>
      </w:r>
      <w:r w:rsidR="00631218" w:rsidRPr="00BA4F8C">
        <w:t>-state</w:t>
      </w:r>
      <w:r w:rsidR="00522FC5" w:rsidRPr="00BA4F8C">
        <w:t xml:space="preserve"> funding </w:t>
      </w:r>
      <w:r w:rsidR="003C195E" w:rsidRPr="00BA4F8C">
        <w:t>arrangements or</w:t>
      </w:r>
      <w:r w:rsidRPr="00BA4F8C">
        <w:t xml:space="preserve"> impose such things as arbitrary time</w:t>
      </w:r>
      <w:r w:rsidR="007514E7">
        <w:t xml:space="preserve"> </w:t>
      </w:r>
      <w:r w:rsidRPr="00BA4F8C">
        <w:t>lines for the transformation to occur</w:t>
      </w:r>
      <w:r w:rsidR="00522FC5" w:rsidRPr="00BA4F8C">
        <w:t>.</w:t>
      </w:r>
      <w:r w:rsidRPr="00BA4F8C">
        <w:t xml:space="preserve"> </w:t>
      </w:r>
      <w:r w:rsidR="003C195E" w:rsidRPr="00BA4F8C">
        <w:t>Further, t</w:t>
      </w:r>
      <w:r w:rsidR="00522FC5" w:rsidRPr="00BA4F8C">
        <w:t>he Australian Government</w:t>
      </w:r>
      <w:r w:rsidR="00BA4F8C" w:rsidRPr="00BA4F8C">
        <w:t xml:space="preserve"> broadly, and </w:t>
      </w:r>
      <w:r w:rsidR="00695A28">
        <w:t>DoHAC</w:t>
      </w:r>
      <w:r w:rsidR="00BA4F8C" w:rsidRPr="00BA4F8C">
        <w:t xml:space="preserve"> particularly, </w:t>
      </w:r>
      <w:r w:rsidR="00522FC5" w:rsidRPr="00BA4F8C">
        <w:t>should not</w:t>
      </w:r>
      <w:r w:rsidRPr="00BA4F8C">
        <w:t xml:space="preserve"> define the regions or areas for the transformation. </w:t>
      </w:r>
      <w:r w:rsidR="49D56997" w:rsidRPr="00BA4F8C">
        <w:t>All of these – and many o</w:t>
      </w:r>
      <w:r w:rsidR="49D56997" w:rsidRPr="00B65F7F">
        <w:t xml:space="preserve">ther – decisions must be placed in the hands of </w:t>
      </w:r>
      <w:r w:rsidR="002746DA">
        <w:t>Aboriginal and/or Torres Strait Islander</w:t>
      </w:r>
      <w:r w:rsidR="49D56997" w:rsidRPr="00B65F7F">
        <w:t xml:space="preserve"> communities who </w:t>
      </w:r>
      <w:r w:rsidR="00997EFB" w:rsidRPr="00B65F7F">
        <w:t>can self-determine</w:t>
      </w:r>
      <w:r w:rsidR="49D56997" w:rsidRPr="00B65F7F">
        <w:t xml:space="preserve"> when, how and </w:t>
      </w:r>
      <w:r w:rsidR="00997EFB" w:rsidRPr="00B65F7F">
        <w:t xml:space="preserve">at what pace </w:t>
      </w:r>
      <w:r w:rsidR="49D56997" w:rsidRPr="00B65F7F">
        <w:t>the transformation should occur</w:t>
      </w:r>
      <w:r w:rsidR="003C195E" w:rsidRPr="00B65F7F">
        <w:t xml:space="preserve"> for their community. Such an approach </w:t>
      </w:r>
      <w:r w:rsidR="00CB4167" w:rsidRPr="00B65F7F">
        <w:t>reflects the approach to working in true partnership as set out in Priority Reform 1 of the National Agreement.</w:t>
      </w:r>
      <w:r w:rsidR="00856839" w:rsidRPr="00B65F7F">
        <w:t xml:space="preserve"> </w:t>
      </w:r>
    </w:p>
    <w:p w14:paraId="6C2127CA" w14:textId="72FE080C" w:rsidR="00F923B6" w:rsidRPr="00B65F7F" w:rsidRDefault="49D56997" w:rsidP="007B65FC">
      <w:pPr>
        <w:pStyle w:val="Heading4"/>
      </w:pPr>
      <w:r w:rsidRPr="00B65F7F">
        <w:t>What it looks like in practice</w:t>
      </w:r>
    </w:p>
    <w:p w14:paraId="4F006B57" w14:textId="77777777" w:rsidR="001865C6" w:rsidRPr="00B65F7F" w:rsidRDefault="49D56997" w:rsidP="007B65FC">
      <w:pPr>
        <w:pStyle w:val="BodyText"/>
      </w:pPr>
      <w:r w:rsidRPr="00B65F7F">
        <w:t xml:space="preserve">Practically, this means that </w:t>
      </w:r>
      <w:r w:rsidR="28AADA6C" w:rsidRPr="00B65F7F">
        <w:t xml:space="preserve">there is no clear template </w:t>
      </w:r>
      <w:r w:rsidR="00631218" w:rsidRPr="00B65F7F">
        <w:t>or time</w:t>
      </w:r>
      <w:r w:rsidR="007514E7">
        <w:t xml:space="preserve"> </w:t>
      </w:r>
      <w:r w:rsidR="00631218" w:rsidRPr="00B65F7F">
        <w:t xml:space="preserve">line </w:t>
      </w:r>
      <w:r w:rsidR="28AADA6C" w:rsidRPr="00B65F7F">
        <w:t>for</w:t>
      </w:r>
      <w:r w:rsidR="00997EFB" w:rsidRPr="00B65F7F">
        <w:t xml:space="preserve"> the transformation. </w:t>
      </w:r>
      <w:r w:rsidR="00310E3E" w:rsidRPr="00B65F7F">
        <w:t>Instead</w:t>
      </w:r>
      <w:r w:rsidR="00997EFB" w:rsidRPr="00B65F7F">
        <w:t xml:space="preserve">, each </w:t>
      </w:r>
      <w:r w:rsidR="00F50188" w:rsidRPr="00B65F7F">
        <w:t xml:space="preserve">transformation </w:t>
      </w:r>
      <w:r w:rsidR="17727650" w:rsidRPr="00B65F7F">
        <w:t xml:space="preserve">must </w:t>
      </w:r>
      <w:r w:rsidR="001865C6" w:rsidRPr="00B65F7F">
        <w:t>adhere to the following concepts:</w:t>
      </w:r>
    </w:p>
    <w:p w14:paraId="5E22C54A" w14:textId="77777777" w:rsidR="007A2427" w:rsidRPr="00B65F7F" w:rsidRDefault="001865C6" w:rsidP="007B65FC">
      <w:pPr>
        <w:pStyle w:val="ListBullet2"/>
      </w:pPr>
      <w:bookmarkStart w:id="109" w:name="_Hlk152075620"/>
      <w:r w:rsidRPr="00B65F7F">
        <w:rPr>
          <w:rFonts w:asciiTheme="majorHAnsi" w:eastAsiaTheme="majorEastAsia" w:hAnsiTheme="majorHAnsi" w:cstheme="majorBidi"/>
          <w:b/>
          <w:bCs/>
        </w:rPr>
        <w:lastRenderedPageBreak/>
        <w:t>Feature 2.1:</w:t>
      </w:r>
      <w:r w:rsidRPr="00B65F7F">
        <w:rPr>
          <w:b/>
          <w:bCs/>
        </w:rPr>
        <w:t xml:space="preserve"> </w:t>
      </w:r>
      <w:r w:rsidR="00DD4EA4" w:rsidRPr="00B65F7F">
        <w:rPr>
          <w:b/>
          <w:bCs/>
        </w:rPr>
        <w:t xml:space="preserve">Each transformation </w:t>
      </w:r>
      <w:r w:rsidR="006C1A01" w:rsidRPr="00B65F7F">
        <w:rPr>
          <w:b/>
          <w:bCs/>
        </w:rPr>
        <w:t>must</w:t>
      </w:r>
      <w:r w:rsidR="00DD4EA4" w:rsidRPr="00B65F7F">
        <w:rPr>
          <w:b/>
          <w:bCs/>
        </w:rPr>
        <w:t xml:space="preserve"> </w:t>
      </w:r>
      <w:r w:rsidR="17727650" w:rsidRPr="00B65F7F">
        <w:rPr>
          <w:b/>
          <w:bCs/>
        </w:rPr>
        <w:t>reflect the local and regional interests</w:t>
      </w:r>
      <w:r w:rsidR="17727650" w:rsidRPr="00B65F7F">
        <w:t xml:space="preserve"> </w:t>
      </w:r>
      <w:bookmarkEnd w:id="109"/>
      <w:r w:rsidR="17727650" w:rsidRPr="00B65F7F">
        <w:t xml:space="preserve">of </w:t>
      </w:r>
      <w:r w:rsidR="002746DA">
        <w:t>Aboriginal and/or Torres Strait Islander</w:t>
      </w:r>
      <w:r w:rsidR="17727650" w:rsidRPr="00B65F7F">
        <w:t xml:space="preserve"> </w:t>
      </w:r>
      <w:r w:rsidR="000D5D08" w:rsidRPr="00B65F7F">
        <w:t>communities</w:t>
      </w:r>
      <w:r w:rsidR="007A2427" w:rsidRPr="00B65F7F">
        <w:t>, ensuring the diversity of</w:t>
      </w:r>
      <w:r w:rsidR="00DB58A1" w:rsidRPr="00B65F7F">
        <w:t xml:space="preserve"> community</w:t>
      </w:r>
      <w:r w:rsidR="007A2427" w:rsidRPr="00B65F7F">
        <w:t xml:space="preserve"> interests are considered</w:t>
      </w:r>
      <w:r w:rsidR="00DB58A1" w:rsidRPr="00B65F7F">
        <w:t xml:space="preserve"> and </w:t>
      </w:r>
      <w:r w:rsidR="007A2427" w:rsidRPr="00B65F7F">
        <w:t>represented</w:t>
      </w:r>
      <w:r w:rsidR="3E65A3DA" w:rsidRPr="00B65F7F">
        <w:t>.</w:t>
      </w:r>
    </w:p>
    <w:p w14:paraId="76F79C2B" w14:textId="77777777" w:rsidR="00DB58A1" w:rsidRPr="00B65F7F" w:rsidRDefault="007A2427" w:rsidP="007B65FC">
      <w:pPr>
        <w:pStyle w:val="ListBullet2"/>
      </w:pPr>
      <w:bookmarkStart w:id="110" w:name="_Hlk152075626"/>
      <w:r w:rsidRPr="00B65F7F">
        <w:rPr>
          <w:rFonts w:asciiTheme="majorHAnsi" w:eastAsiaTheme="majorEastAsia" w:hAnsiTheme="majorHAnsi" w:cstheme="majorBidi"/>
          <w:b/>
          <w:bCs/>
        </w:rPr>
        <w:t xml:space="preserve">Feature 2.2: </w:t>
      </w:r>
      <w:r w:rsidR="00695A28">
        <w:rPr>
          <w:b/>
          <w:bCs/>
        </w:rPr>
        <w:t>DoHAC</w:t>
      </w:r>
      <w:r w:rsidR="00695A28" w:rsidRPr="00B65F7F">
        <w:rPr>
          <w:b/>
          <w:bCs/>
        </w:rPr>
        <w:t xml:space="preserve"> </w:t>
      </w:r>
      <w:r w:rsidR="006C1A01" w:rsidRPr="00B65F7F">
        <w:rPr>
          <w:b/>
          <w:bCs/>
        </w:rPr>
        <w:t>must</w:t>
      </w:r>
      <w:r w:rsidR="00DB58A1" w:rsidRPr="00B65F7F">
        <w:rPr>
          <w:b/>
          <w:bCs/>
        </w:rPr>
        <w:t xml:space="preserve"> ensure that</w:t>
      </w:r>
      <w:r w:rsidR="00310E3E" w:rsidRPr="00B65F7F">
        <w:rPr>
          <w:b/>
          <w:bCs/>
        </w:rPr>
        <w:t xml:space="preserve"> communities </w:t>
      </w:r>
      <w:r w:rsidR="00DB58A1" w:rsidRPr="00B65F7F">
        <w:rPr>
          <w:b/>
          <w:bCs/>
        </w:rPr>
        <w:t>ready to begin the transformative journey are supported effectively</w:t>
      </w:r>
      <w:bookmarkEnd w:id="110"/>
      <w:r w:rsidR="00310E3E" w:rsidRPr="00B65F7F">
        <w:t xml:space="preserve">, while those that adopt a slower pace or require support to progress towards </w:t>
      </w:r>
      <w:r w:rsidR="00715448" w:rsidRPr="00B65F7F">
        <w:t xml:space="preserve">the starting line </w:t>
      </w:r>
      <w:r w:rsidR="00310E3E" w:rsidRPr="00B65F7F">
        <w:t>are equally supported</w:t>
      </w:r>
      <w:r w:rsidR="00715448" w:rsidRPr="00B65F7F">
        <w:t xml:space="preserve"> to do so</w:t>
      </w:r>
      <w:r w:rsidR="00310E3E" w:rsidRPr="00B65F7F">
        <w:t>.</w:t>
      </w:r>
    </w:p>
    <w:p w14:paraId="142F1A3B" w14:textId="54EE8056" w:rsidR="00F923B6" w:rsidRPr="00B65F7F" w:rsidRDefault="001D568A" w:rsidP="007B65FC">
      <w:pPr>
        <w:pStyle w:val="Heading3"/>
      </w:pPr>
      <w:bookmarkStart w:id="111" w:name="_yr90hu7ub4vm" w:colFirst="0" w:colLast="0"/>
      <w:bookmarkStart w:id="112" w:name="_Hlk152075634"/>
      <w:bookmarkEnd w:id="111"/>
      <w:r w:rsidRPr="00B65F7F">
        <w:t xml:space="preserve"> </w:t>
      </w:r>
      <w:r w:rsidR="00F923B6" w:rsidRPr="00B65F7F">
        <w:t xml:space="preserve">Feature 3: </w:t>
      </w:r>
      <w:r w:rsidR="00F675D0">
        <w:t>Sufficient</w:t>
      </w:r>
      <w:r w:rsidR="00F923B6" w:rsidRPr="00B65F7F">
        <w:t xml:space="preserve"> and </w:t>
      </w:r>
      <w:r w:rsidR="00F020F1">
        <w:t>s</w:t>
      </w:r>
      <w:r w:rsidR="00F923B6" w:rsidRPr="00B65F7F">
        <w:t xml:space="preserve">ustained </w:t>
      </w:r>
      <w:r w:rsidR="00F020F1">
        <w:t>i</w:t>
      </w:r>
      <w:r w:rsidR="00F923B6" w:rsidRPr="00B65F7F">
        <w:t xml:space="preserve">nvestment </w:t>
      </w:r>
      <w:r w:rsidR="000D2EF8" w:rsidRPr="00B65F7F">
        <w:t xml:space="preserve">to </w:t>
      </w:r>
      <w:r w:rsidR="00F020F1">
        <w:t>e</w:t>
      </w:r>
      <w:r w:rsidR="000D2EF8" w:rsidRPr="00B65F7F">
        <w:t xml:space="preserve">nable the </w:t>
      </w:r>
      <w:r w:rsidR="00F020F1">
        <w:t>t</w:t>
      </w:r>
      <w:r w:rsidR="00AC3C9C" w:rsidRPr="00B65F7F">
        <w:t>ransformation</w:t>
      </w:r>
    </w:p>
    <w:bookmarkEnd w:id="112"/>
    <w:p w14:paraId="6E0DFF9B" w14:textId="77777777" w:rsidR="009100A6" w:rsidRPr="00B65F7F" w:rsidRDefault="00C34A1D" w:rsidP="007B65FC">
      <w:pPr>
        <w:pStyle w:val="BodyText"/>
      </w:pPr>
      <w:r w:rsidRPr="00B65F7F">
        <w:t>The National Agreement</w:t>
      </w:r>
      <w:r w:rsidR="0003659D" w:rsidRPr="00B65F7F">
        <w:t xml:space="preserve"> </w:t>
      </w:r>
      <w:r w:rsidR="00A94E40" w:rsidRPr="00B65F7F">
        <w:t>states</w:t>
      </w:r>
      <w:r w:rsidR="00DA4D48" w:rsidRPr="00B65F7F">
        <w:t xml:space="preserve"> that </w:t>
      </w:r>
      <w:r w:rsidR="009100A6" w:rsidRPr="00B65F7F">
        <w:t>there must be</w:t>
      </w:r>
      <w:r w:rsidR="00D82AAD" w:rsidRPr="00B65F7F">
        <w:t>:</w:t>
      </w:r>
    </w:p>
    <w:p w14:paraId="2A13C3AA" w14:textId="77777777" w:rsidR="009100A6" w:rsidRPr="0084559E" w:rsidRDefault="00695A28" w:rsidP="00F76AFA">
      <w:pPr>
        <w:pStyle w:val="Quote"/>
      </w:pPr>
      <w:r>
        <w:t xml:space="preserve">… </w:t>
      </w:r>
      <w:r w:rsidR="00D82AAD" w:rsidRPr="0084559E">
        <w:t xml:space="preserve">sustained capacity building and investment in </w:t>
      </w:r>
      <w:r w:rsidR="00C92B46" w:rsidRPr="0084559E">
        <w:t>Aboriginal and/or Torres Strait Islander</w:t>
      </w:r>
      <w:r w:rsidR="00D82AAD" w:rsidRPr="0084559E">
        <w:t xml:space="preserve"> community-controlled organisations which deliver certain services and address issues through a set of clearly defined standards or requirements, such as an agreed model of care</w:t>
      </w:r>
      <w:r w:rsidR="001B468C" w:rsidRPr="0084559E">
        <w:t xml:space="preserve"> … and that </w:t>
      </w:r>
      <w:r w:rsidR="001103CF" w:rsidRPr="0084559E">
        <w:t xml:space="preserve">there is a dedicated and identified </w:t>
      </w:r>
      <w:r w:rsidR="00C92B46" w:rsidRPr="0084559E">
        <w:t>Aboriginal and/or Torres Strait Islander</w:t>
      </w:r>
      <w:r w:rsidR="001103CF" w:rsidRPr="0084559E">
        <w:t xml:space="preserve"> workforce (that complements a range of other professions and expertise) </w:t>
      </w:r>
      <w:r w:rsidR="009E0AA4" w:rsidRPr="0084559E">
        <w:t>(</w:t>
      </w:r>
      <w:r w:rsidR="00DD1177" w:rsidRPr="0084559E">
        <w:t>Coalition of Peaks, 2020</w:t>
      </w:r>
      <w:r w:rsidR="009E0AA4" w:rsidRPr="0084559E">
        <w:t>, 45a</w:t>
      </w:r>
      <w:r w:rsidR="003825B2" w:rsidRPr="0084559E">
        <w:t xml:space="preserve"> and b</w:t>
      </w:r>
      <w:r w:rsidR="009E0AA4" w:rsidRPr="0084559E">
        <w:t>)</w:t>
      </w:r>
      <w:r w:rsidR="00A94E40" w:rsidRPr="0084559E">
        <w:t>.</w:t>
      </w:r>
    </w:p>
    <w:p w14:paraId="534608E1" w14:textId="77777777" w:rsidR="00690ACF" w:rsidRPr="00AC6D90" w:rsidRDefault="00237EDE" w:rsidP="00204D1D">
      <w:pPr>
        <w:pStyle w:val="BodyText1stparaafterlist"/>
      </w:pPr>
      <w:r w:rsidRPr="00B65F7F">
        <w:t xml:space="preserve">These statements demonstrate that </w:t>
      </w:r>
      <w:r w:rsidR="00105D98" w:rsidRPr="00B65F7F">
        <w:t xml:space="preserve">any form of change, particularly of the scale proposed by this </w:t>
      </w:r>
      <w:r w:rsidR="00695A28">
        <w:t>R</w:t>
      </w:r>
      <w:r w:rsidR="00105D98" w:rsidRPr="00B65F7F">
        <w:t xml:space="preserve">eview, </w:t>
      </w:r>
      <w:r w:rsidR="00211B83" w:rsidRPr="00B65F7F">
        <w:t>can only happen with</w:t>
      </w:r>
      <w:r w:rsidR="00105D98" w:rsidRPr="00B65F7F">
        <w:t xml:space="preserve"> dedicated and committed </w:t>
      </w:r>
      <w:r w:rsidR="00FC0760" w:rsidRPr="00B65F7F">
        <w:t xml:space="preserve">investment into the </w:t>
      </w:r>
      <w:r w:rsidR="00C92B46">
        <w:t>Aboriginal and/or Torres Strait Islander</w:t>
      </w:r>
      <w:r w:rsidR="00215F17">
        <w:t xml:space="preserve"> community-controlled sector</w:t>
      </w:r>
      <w:r w:rsidR="00FC0760" w:rsidRPr="00AC6D90">
        <w:t>.</w:t>
      </w:r>
      <w:r w:rsidR="00FC0760" w:rsidRPr="00B65F7F">
        <w:t xml:space="preserve"> </w:t>
      </w:r>
      <w:r w:rsidR="00FD7057" w:rsidRPr="00B65F7F">
        <w:t>This investment must be directed towards</w:t>
      </w:r>
      <w:r w:rsidR="00106109" w:rsidRPr="00B65F7F">
        <w:t xml:space="preserve"> enhancing </w:t>
      </w:r>
      <w:r w:rsidR="009D166E" w:rsidRPr="00B65F7F">
        <w:t>the ability of services to better</w:t>
      </w:r>
      <w:r w:rsidR="00D842CD" w:rsidRPr="00B65F7F">
        <w:t xml:space="preserve"> meet the needs of the community they serve</w:t>
      </w:r>
      <w:r w:rsidR="001C5B5D" w:rsidRPr="00AC6D90">
        <w:t>.</w:t>
      </w:r>
    </w:p>
    <w:p w14:paraId="40CF7B73" w14:textId="181DAEE1" w:rsidR="00F923B6" w:rsidRPr="00B65F7F" w:rsidRDefault="00F923B6" w:rsidP="00204D1D">
      <w:pPr>
        <w:pStyle w:val="Heading4"/>
      </w:pPr>
      <w:bookmarkStart w:id="113" w:name="_x4y0w6qvlklh" w:colFirst="0" w:colLast="0"/>
      <w:bookmarkEnd w:id="113"/>
      <w:r w:rsidRPr="00B65F7F">
        <w:t>What it looks like in practice</w:t>
      </w:r>
    </w:p>
    <w:p w14:paraId="72BFD134" w14:textId="77777777" w:rsidR="00F923B6" w:rsidRPr="00B65F7F" w:rsidRDefault="00790615" w:rsidP="00204D1D">
      <w:pPr>
        <w:pStyle w:val="BodyText"/>
      </w:pPr>
      <w:r w:rsidRPr="00B65F7F">
        <w:t>The Australian Governm</w:t>
      </w:r>
      <w:r w:rsidRPr="00BA4F8C">
        <w:t>ent</w:t>
      </w:r>
      <w:r w:rsidR="00BA4F8C" w:rsidRPr="00BA4F8C">
        <w:t xml:space="preserve"> broadly, and </w:t>
      </w:r>
      <w:r w:rsidR="00695A28">
        <w:t>DoHAC</w:t>
      </w:r>
      <w:r w:rsidR="00BA4F8C" w:rsidRPr="00BA4F8C">
        <w:t xml:space="preserve"> particu</w:t>
      </w:r>
      <w:r w:rsidR="00BA4F8C">
        <w:t xml:space="preserve">larly, </w:t>
      </w:r>
      <w:r w:rsidRPr="00B65F7F">
        <w:t xml:space="preserve">must </w:t>
      </w:r>
      <w:r w:rsidR="00A47994" w:rsidRPr="00B65F7F">
        <w:t xml:space="preserve">recognise that </w:t>
      </w:r>
      <w:r w:rsidR="0076153D" w:rsidRPr="00B65F7F">
        <w:t>imposing any change – even as positive as</w:t>
      </w:r>
      <w:r w:rsidR="00B40192" w:rsidRPr="00B65F7F">
        <w:t xml:space="preserve"> that which this </w:t>
      </w:r>
      <w:r w:rsidR="00695A28">
        <w:t>R</w:t>
      </w:r>
      <w:r w:rsidR="00B40192" w:rsidRPr="00B65F7F">
        <w:t xml:space="preserve">eview recommends </w:t>
      </w:r>
      <w:r w:rsidR="0076153D" w:rsidRPr="00B65F7F">
        <w:t>– will place greater demands on</w:t>
      </w:r>
      <w:r w:rsidR="00130E55" w:rsidRPr="00B65F7F">
        <w:t xml:space="preserve"> a</w:t>
      </w:r>
      <w:r w:rsidR="00023D3B" w:rsidRPr="00B65F7F">
        <w:t xml:space="preserve">n already under-resourced </w:t>
      </w:r>
      <w:r w:rsidR="003D4018" w:rsidRPr="00B65F7F">
        <w:t xml:space="preserve">and stretched </w:t>
      </w:r>
      <w:r w:rsidR="00D21854" w:rsidRPr="00B65F7F">
        <w:t>s</w:t>
      </w:r>
      <w:r w:rsidR="0076153D" w:rsidRPr="00B65F7F">
        <w:t xml:space="preserve">ector. </w:t>
      </w:r>
      <w:r w:rsidR="00023D3B" w:rsidRPr="00B65F7F">
        <w:t>Therefore, it will be critical that</w:t>
      </w:r>
      <w:r w:rsidR="007962E0" w:rsidRPr="00B65F7F">
        <w:t xml:space="preserve"> </w:t>
      </w:r>
      <w:r w:rsidR="00695A28">
        <w:t>DoHAC</w:t>
      </w:r>
      <w:r w:rsidR="00D21854" w:rsidRPr="00B65F7F">
        <w:t xml:space="preserve"> makes </w:t>
      </w:r>
      <w:r w:rsidR="007962E0" w:rsidRPr="00B65F7F">
        <w:t xml:space="preserve">the following investment to support the </w:t>
      </w:r>
      <w:r w:rsidR="00D21854" w:rsidRPr="00B65F7F">
        <w:t>changes proposed</w:t>
      </w:r>
      <w:r w:rsidR="007962E0" w:rsidRPr="00B65F7F">
        <w:t>:</w:t>
      </w:r>
    </w:p>
    <w:p w14:paraId="43C99D58" w14:textId="77777777" w:rsidR="002B24FC" w:rsidRPr="00B65F7F" w:rsidRDefault="00517155" w:rsidP="00204D1D">
      <w:pPr>
        <w:pStyle w:val="ListBullet2"/>
      </w:pPr>
      <w:bookmarkStart w:id="114" w:name="_Hlk152075641"/>
      <w:r w:rsidRPr="00B65F7F">
        <w:rPr>
          <w:rFonts w:asciiTheme="majorHAnsi" w:eastAsiaTheme="majorEastAsia" w:hAnsiTheme="majorHAnsi" w:cstheme="majorBidi"/>
          <w:b/>
          <w:bCs/>
        </w:rPr>
        <w:t xml:space="preserve">Feature 3.1: </w:t>
      </w:r>
      <w:r w:rsidR="007962E0" w:rsidRPr="00B65F7F">
        <w:rPr>
          <w:b/>
          <w:bCs/>
        </w:rPr>
        <w:t xml:space="preserve">Investment into </w:t>
      </w:r>
      <w:r w:rsidR="00F3571C" w:rsidRPr="00B65F7F">
        <w:rPr>
          <w:b/>
          <w:bCs/>
        </w:rPr>
        <w:t xml:space="preserve">the </w:t>
      </w:r>
      <w:r w:rsidR="007962E0" w:rsidRPr="00B65F7F">
        <w:rPr>
          <w:b/>
          <w:bCs/>
        </w:rPr>
        <w:t>organisa</w:t>
      </w:r>
      <w:r w:rsidR="007962E0" w:rsidRPr="00B65F7F">
        <w:rPr>
          <w:b/>
        </w:rPr>
        <w:t>tional capacity</w:t>
      </w:r>
      <w:r w:rsidR="007962E0" w:rsidRPr="00B65F7F">
        <w:t xml:space="preserve"> </w:t>
      </w:r>
      <w:bookmarkEnd w:id="114"/>
      <w:r w:rsidR="00F3571C" w:rsidRPr="00B65F7F">
        <w:t xml:space="preserve">in each community </w:t>
      </w:r>
      <w:r w:rsidR="007962E0" w:rsidRPr="00B65F7F">
        <w:t xml:space="preserve">to ensure that </w:t>
      </w:r>
      <w:r w:rsidR="00A44123" w:rsidRPr="00B65F7F">
        <w:t xml:space="preserve">the </w:t>
      </w:r>
      <w:r w:rsidR="00C92B46">
        <w:t>Aboriginal and/or Torres Strait Islander</w:t>
      </w:r>
      <w:r w:rsidR="00215F17" w:rsidRPr="007E757D">
        <w:t xml:space="preserve"> community-controlled sector</w:t>
      </w:r>
      <w:r w:rsidR="00A44123" w:rsidRPr="00B65F7F">
        <w:t xml:space="preserve"> can meaningfully participate in</w:t>
      </w:r>
      <w:r w:rsidR="002F51BC" w:rsidRPr="00B65F7F">
        <w:t xml:space="preserve"> the change process. This may mean providing additional </w:t>
      </w:r>
      <w:r w:rsidR="00496072" w:rsidRPr="00B65F7F">
        <w:t xml:space="preserve">investment to </w:t>
      </w:r>
      <w:r w:rsidR="00FE2555" w:rsidRPr="00B65F7F">
        <w:t>explore regional partnerships, advo</w:t>
      </w:r>
      <w:r w:rsidR="00291172" w:rsidRPr="00B65F7F">
        <w:t>cate for new models of care</w:t>
      </w:r>
      <w:r w:rsidR="00E576F7" w:rsidRPr="00B65F7F">
        <w:t>,</w:t>
      </w:r>
      <w:r w:rsidR="00291172" w:rsidRPr="00B65F7F">
        <w:t xml:space="preserve"> engage in co-design processes </w:t>
      </w:r>
      <w:r w:rsidR="006B1D7A" w:rsidRPr="00B65F7F">
        <w:t>and update internal processes and systems to align with any new funding arrangement.</w:t>
      </w:r>
    </w:p>
    <w:p w14:paraId="28A61090" w14:textId="77777777" w:rsidR="00517155" w:rsidRPr="00B65F7F" w:rsidRDefault="00517155" w:rsidP="00204D1D">
      <w:pPr>
        <w:pStyle w:val="ListBullet2"/>
      </w:pPr>
      <w:bookmarkStart w:id="115" w:name="_Hlk152075647"/>
      <w:r w:rsidRPr="00B65F7F">
        <w:rPr>
          <w:rFonts w:asciiTheme="majorHAnsi" w:eastAsiaTheme="majorEastAsia" w:hAnsiTheme="majorHAnsi" w:cstheme="majorBidi"/>
          <w:b/>
          <w:bCs/>
        </w:rPr>
        <w:t xml:space="preserve">Feature 3.2: </w:t>
      </w:r>
      <w:r w:rsidR="00A22D83" w:rsidRPr="00B65F7F">
        <w:rPr>
          <w:b/>
          <w:bCs/>
        </w:rPr>
        <w:t xml:space="preserve">Investment in </w:t>
      </w:r>
      <w:r w:rsidR="00B9699A" w:rsidRPr="00B65F7F">
        <w:rPr>
          <w:b/>
          <w:bCs/>
        </w:rPr>
        <w:t>the cultivation</w:t>
      </w:r>
      <w:r w:rsidR="00B9699A" w:rsidRPr="00B65F7F">
        <w:rPr>
          <w:b/>
        </w:rPr>
        <w:t xml:space="preserve"> and enhancement of a local </w:t>
      </w:r>
      <w:r w:rsidR="002746DA">
        <w:rPr>
          <w:b/>
        </w:rPr>
        <w:t>Aboriginal and/or Torres Strait Islander</w:t>
      </w:r>
      <w:r w:rsidR="00B9699A" w:rsidRPr="00B65F7F">
        <w:rPr>
          <w:b/>
        </w:rPr>
        <w:t xml:space="preserve"> workforce</w:t>
      </w:r>
      <w:bookmarkEnd w:id="115"/>
      <w:r w:rsidR="00EE18EC" w:rsidRPr="00B65F7F">
        <w:t xml:space="preserve">, which includes </w:t>
      </w:r>
      <w:r w:rsidR="003D4018" w:rsidRPr="00B65F7F">
        <w:t>ensur</w:t>
      </w:r>
      <w:r w:rsidR="00EE18EC" w:rsidRPr="00B65F7F">
        <w:t>ing</w:t>
      </w:r>
      <w:r w:rsidR="003D4018" w:rsidRPr="00B65F7F">
        <w:t xml:space="preserve"> that the loss of </w:t>
      </w:r>
      <w:r w:rsidR="006220E7" w:rsidRPr="00B65F7F">
        <w:t xml:space="preserve">the </w:t>
      </w:r>
      <w:r w:rsidR="002746DA">
        <w:t>Aboriginal and/or Torres Strait Islander</w:t>
      </w:r>
      <w:r w:rsidR="006220E7" w:rsidRPr="00B65F7F">
        <w:t xml:space="preserve"> workforce is minimised </w:t>
      </w:r>
      <w:r w:rsidR="00C44EB9" w:rsidRPr="00B65F7F">
        <w:t>because of</w:t>
      </w:r>
      <w:r w:rsidR="00465EAD" w:rsidRPr="00B65F7F">
        <w:t xml:space="preserve"> the </w:t>
      </w:r>
      <w:r w:rsidR="00EE18EC" w:rsidRPr="00B65F7F">
        <w:t>change process</w:t>
      </w:r>
      <w:r w:rsidR="00465EAD" w:rsidRPr="00B65F7F">
        <w:t>.</w:t>
      </w:r>
    </w:p>
    <w:p w14:paraId="05D624C1" w14:textId="77777777" w:rsidR="002B24FC" w:rsidRPr="00B65F7F" w:rsidRDefault="00517155" w:rsidP="00204D1D">
      <w:pPr>
        <w:pStyle w:val="ListBullet2"/>
      </w:pPr>
      <w:r w:rsidRPr="00B65F7F">
        <w:rPr>
          <w:rFonts w:asciiTheme="majorHAnsi" w:eastAsiaTheme="majorEastAsia" w:hAnsiTheme="majorHAnsi" w:cstheme="majorBidi"/>
          <w:b/>
          <w:bCs/>
        </w:rPr>
        <w:t xml:space="preserve">Feature 3.3: </w:t>
      </w:r>
      <w:r w:rsidR="00465EAD" w:rsidRPr="00B65F7F">
        <w:rPr>
          <w:b/>
          <w:bCs/>
        </w:rPr>
        <w:t>Continued investment</w:t>
      </w:r>
      <w:r w:rsidR="00465EAD" w:rsidRPr="00B65F7F">
        <w:rPr>
          <w:b/>
        </w:rPr>
        <w:t xml:space="preserve"> into PHNs and </w:t>
      </w:r>
      <w:r w:rsidR="006422AF" w:rsidRPr="00B65F7F">
        <w:rPr>
          <w:b/>
        </w:rPr>
        <w:t>non-Indigenous service providers</w:t>
      </w:r>
      <w:r w:rsidR="006422AF" w:rsidRPr="00B65F7F">
        <w:t xml:space="preserve"> </w:t>
      </w:r>
      <w:r w:rsidR="00EC0006" w:rsidRPr="00B65F7F">
        <w:t xml:space="preserve">to participate and contribute actively </w:t>
      </w:r>
      <w:r w:rsidR="002B46E5" w:rsidRPr="00B65F7F">
        <w:t>to</w:t>
      </w:r>
      <w:r w:rsidR="00EC0006" w:rsidRPr="00B65F7F">
        <w:t xml:space="preserve"> the transformation process, including </w:t>
      </w:r>
      <w:r w:rsidR="00385BD1" w:rsidRPr="00B65F7F">
        <w:t>(but not limited to) minimising</w:t>
      </w:r>
      <w:r w:rsidR="00303B2F" w:rsidRPr="00B65F7F">
        <w:t xml:space="preserve"> the </w:t>
      </w:r>
      <w:r w:rsidR="00385BD1" w:rsidRPr="00B65F7F">
        <w:t xml:space="preserve">loss of services and </w:t>
      </w:r>
      <w:r w:rsidR="00CE280D" w:rsidRPr="00B65F7F">
        <w:t xml:space="preserve">a trained workforce </w:t>
      </w:r>
      <w:r w:rsidR="00C44EB9" w:rsidRPr="00B65F7F">
        <w:t>because of</w:t>
      </w:r>
      <w:r w:rsidR="00CE280D" w:rsidRPr="00B65F7F">
        <w:t xml:space="preserve"> the change</w:t>
      </w:r>
      <w:r w:rsidR="00A0692D" w:rsidRPr="00B65F7F">
        <w:t xml:space="preserve"> process</w:t>
      </w:r>
      <w:r w:rsidR="00CE280D" w:rsidRPr="00B65F7F">
        <w:t>.</w:t>
      </w:r>
    </w:p>
    <w:p w14:paraId="034CBBAF" w14:textId="103B18C7" w:rsidR="00F923B6" w:rsidRPr="00B65F7F" w:rsidRDefault="00F923B6" w:rsidP="00204D1D">
      <w:pPr>
        <w:pStyle w:val="Heading3"/>
      </w:pPr>
      <w:bookmarkStart w:id="116" w:name="_63ut6uqprwtx" w:colFirst="0" w:colLast="0"/>
      <w:bookmarkStart w:id="117" w:name="_Hlk152075653"/>
      <w:bookmarkEnd w:id="116"/>
      <w:r w:rsidRPr="00B65F7F">
        <w:t xml:space="preserve">Feature 4: </w:t>
      </w:r>
      <w:r w:rsidR="00587AF7" w:rsidRPr="00B65F7F">
        <w:t xml:space="preserve">Genuine and </w:t>
      </w:r>
      <w:r w:rsidR="00F020F1">
        <w:t>c</w:t>
      </w:r>
      <w:r w:rsidR="00587AF7" w:rsidRPr="00B65F7F">
        <w:t xml:space="preserve">ommitted </w:t>
      </w:r>
      <w:r w:rsidR="00F020F1">
        <w:t>p</w:t>
      </w:r>
      <w:r w:rsidR="002E77A6" w:rsidRPr="00B65F7F">
        <w:t>artnership</w:t>
      </w:r>
    </w:p>
    <w:bookmarkEnd w:id="117"/>
    <w:p w14:paraId="31C8EB90" w14:textId="77777777" w:rsidR="00827494" w:rsidRPr="00B65F7F" w:rsidRDefault="00753B14" w:rsidP="00204D1D">
      <w:pPr>
        <w:pStyle w:val="BodyText"/>
      </w:pPr>
      <w:r w:rsidRPr="00B65F7F">
        <w:t>P</w:t>
      </w:r>
      <w:r w:rsidR="00820414" w:rsidRPr="00B65F7F">
        <w:t>rogress towards the future</w:t>
      </w:r>
      <w:r w:rsidR="00113E78" w:rsidRPr="00B65F7F">
        <w:t>-state</w:t>
      </w:r>
      <w:r w:rsidR="00820414" w:rsidRPr="00B65F7F">
        <w:t xml:space="preserve"> funding arrangements will require </w:t>
      </w:r>
      <w:r w:rsidR="002E77A6" w:rsidRPr="00B65F7F">
        <w:t>effective</w:t>
      </w:r>
      <w:r w:rsidR="00C93D38" w:rsidRPr="00B65F7F">
        <w:t xml:space="preserve"> </w:t>
      </w:r>
      <w:r w:rsidR="00820414" w:rsidRPr="00B65F7F">
        <w:t xml:space="preserve">collaboration </w:t>
      </w:r>
      <w:r w:rsidR="005B37A1" w:rsidRPr="00B65F7F">
        <w:t xml:space="preserve">in each community </w:t>
      </w:r>
      <w:r w:rsidR="002E77A6" w:rsidRPr="00B65F7F">
        <w:t xml:space="preserve">among </w:t>
      </w:r>
      <w:r w:rsidR="008A3907" w:rsidRPr="00B65F7F">
        <w:t>all</w:t>
      </w:r>
      <w:r w:rsidR="009A25FA" w:rsidRPr="00B65F7F">
        <w:t xml:space="preserve"> stakeholders</w:t>
      </w:r>
      <w:r w:rsidR="008A3907" w:rsidRPr="00B65F7F">
        <w:t xml:space="preserve"> involved in the design, oversight and delivery of services for </w:t>
      </w:r>
      <w:r w:rsidR="002746DA">
        <w:t>Aboriginal and/or Torres Strait Islander</w:t>
      </w:r>
      <w:r w:rsidR="008A3907" w:rsidRPr="00B65F7F">
        <w:t xml:space="preserve"> peoples. This includes </w:t>
      </w:r>
      <w:r w:rsidR="009A25FA" w:rsidRPr="00B65F7F">
        <w:t xml:space="preserve">(but </w:t>
      </w:r>
      <w:r w:rsidR="008A3907" w:rsidRPr="00B65F7F">
        <w:t xml:space="preserve">is </w:t>
      </w:r>
      <w:r w:rsidR="009A25FA" w:rsidRPr="00B65F7F">
        <w:t>not limited to)</w:t>
      </w:r>
      <w:r w:rsidRPr="00B65F7F">
        <w:t xml:space="preserve"> the</w:t>
      </w:r>
      <w:r w:rsidR="009A25FA" w:rsidRPr="00B65F7F">
        <w:t xml:space="preserve"> </w:t>
      </w:r>
      <w:r w:rsidR="00C92B46">
        <w:t>Aboriginal and/or Torres Strait Islander</w:t>
      </w:r>
      <w:r w:rsidR="00215F17" w:rsidRPr="007E757D">
        <w:t xml:space="preserve"> community-controlled sector</w:t>
      </w:r>
      <w:r w:rsidR="00726F56" w:rsidRPr="00B65F7F">
        <w:t xml:space="preserve"> and community members</w:t>
      </w:r>
      <w:r w:rsidR="009A25FA" w:rsidRPr="00B65F7F">
        <w:t xml:space="preserve">, non-Indigenous </w:t>
      </w:r>
      <w:r w:rsidR="006E1D4E" w:rsidRPr="00B65F7F">
        <w:t xml:space="preserve">service providers, </w:t>
      </w:r>
      <w:r w:rsidR="009A25FA" w:rsidRPr="00B65F7F">
        <w:t xml:space="preserve">PHNs and </w:t>
      </w:r>
      <w:r w:rsidR="00E54A2A" w:rsidRPr="00B65F7F">
        <w:t>state</w:t>
      </w:r>
      <w:r w:rsidR="00F020F1">
        <w:t>/territory</w:t>
      </w:r>
      <w:r w:rsidR="00E54A2A" w:rsidRPr="00B65F7F">
        <w:t xml:space="preserve"> and federal government</w:t>
      </w:r>
      <w:r w:rsidRPr="00B65F7F">
        <w:t>s</w:t>
      </w:r>
      <w:r w:rsidR="00E54A2A" w:rsidRPr="00B65F7F">
        <w:t xml:space="preserve">. </w:t>
      </w:r>
      <w:r w:rsidR="006E1D4E" w:rsidRPr="00B65F7F">
        <w:t xml:space="preserve">To be effective, </w:t>
      </w:r>
      <w:r w:rsidR="007D1942" w:rsidRPr="00B65F7F">
        <w:t xml:space="preserve">collaboration must be </w:t>
      </w:r>
      <w:r w:rsidR="00C80288" w:rsidRPr="00B65F7F">
        <w:t>done in</w:t>
      </w:r>
      <w:r w:rsidR="00C93D38" w:rsidRPr="00B65F7F">
        <w:t xml:space="preserve"> line with </w:t>
      </w:r>
      <w:r w:rsidR="00C80288" w:rsidRPr="00B65F7F">
        <w:t>Priority Reform 1 of the National Agreement</w:t>
      </w:r>
      <w:r w:rsidR="00C93D38" w:rsidRPr="00B65F7F">
        <w:t>,</w:t>
      </w:r>
      <w:r w:rsidR="00C80288" w:rsidRPr="00B65F7F">
        <w:t xml:space="preserve"> </w:t>
      </w:r>
      <w:r w:rsidR="00B748D2" w:rsidRPr="00B65F7F">
        <w:t>which calls for</w:t>
      </w:r>
      <w:r w:rsidR="00CA25A8" w:rsidRPr="00B65F7F">
        <w:t xml:space="preserve"> a commitment </w:t>
      </w:r>
      <w:r w:rsidR="000776F1" w:rsidRPr="00B65F7F">
        <w:t>to</w:t>
      </w:r>
      <w:r w:rsidR="00027E06" w:rsidRPr="00B65F7F">
        <w:t>:</w:t>
      </w:r>
    </w:p>
    <w:p w14:paraId="0401B5A1" w14:textId="77777777" w:rsidR="00827494" w:rsidRPr="00696966" w:rsidRDefault="00F020F1" w:rsidP="00F76AFA">
      <w:pPr>
        <w:pStyle w:val="Quote"/>
      </w:pPr>
      <w:r w:rsidRPr="00696966">
        <w:t xml:space="preserve">… </w:t>
      </w:r>
      <w:r w:rsidR="00827494" w:rsidRPr="00696966">
        <w:t xml:space="preserve">building and strengthening structures that empower </w:t>
      </w:r>
      <w:r w:rsidR="00C92B46" w:rsidRPr="00696966">
        <w:t>Aboriginal and/or Torres Strait Islander</w:t>
      </w:r>
      <w:r w:rsidR="00827494" w:rsidRPr="00696966">
        <w:t xml:space="preserve"> people to share decision-making authority with governments to accelerate policy and place-based progress against Closing the Gap (</w:t>
      </w:r>
      <w:r w:rsidR="00DD1177" w:rsidRPr="00696966">
        <w:t>Coalition of Peaks, 2020</w:t>
      </w:r>
      <w:r w:rsidR="00827494" w:rsidRPr="00696966">
        <w:t>, 28).</w:t>
      </w:r>
    </w:p>
    <w:p w14:paraId="50A1A273" w14:textId="439C780D" w:rsidR="00F74650" w:rsidRPr="00B65F7F" w:rsidRDefault="00F74650" w:rsidP="005A07F2">
      <w:pPr>
        <w:pStyle w:val="Heading4"/>
      </w:pPr>
      <w:r w:rsidRPr="00B65F7F">
        <w:lastRenderedPageBreak/>
        <w:t>What it looks like in practice</w:t>
      </w:r>
    </w:p>
    <w:p w14:paraId="63E2021F" w14:textId="77777777" w:rsidR="00771A63" w:rsidRPr="00B65F7F" w:rsidRDefault="00A02A8A" w:rsidP="005A07F2">
      <w:pPr>
        <w:pStyle w:val="BodyText"/>
      </w:pPr>
      <w:r w:rsidRPr="00B65F7F">
        <w:t>To ensure genuine partnership and shared accountability</w:t>
      </w:r>
      <w:r w:rsidR="00A67416" w:rsidRPr="00B65F7F">
        <w:t xml:space="preserve"> among all stakeholders, </w:t>
      </w:r>
      <w:r w:rsidR="00771A63" w:rsidRPr="00B65F7F">
        <w:t>it will be essential that the following exists:</w:t>
      </w:r>
    </w:p>
    <w:p w14:paraId="70785220" w14:textId="77777777" w:rsidR="00827494" w:rsidRPr="00B65F7F" w:rsidRDefault="003B5BA6" w:rsidP="005A07F2">
      <w:pPr>
        <w:pStyle w:val="ListBullet2"/>
      </w:pPr>
      <w:bookmarkStart w:id="118" w:name="_Hlk152075663"/>
      <w:r w:rsidRPr="005A07F2">
        <w:rPr>
          <w:rFonts w:asciiTheme="majorHAnsi" w:eastAsiaTheme="majorEastAsia" w:hAnsiTheme="majorHAnsi" w:cstheme="majorBidi"/>
          <w:b/>
        </w:rPr>
        <w:t xml:space="preserve">Feature 4.1: </w:t>
      </w:r>
      <w:r w:rsidR="004F4CEF" w:rsidRPr="005A07F2">
        <w:rPr>
          <w:rFonts w:asciiTheme="majorHAnsi" w:eastAsiaTheme="majorEastAsia" w:hAnsiTheme="majorHAnsi" w:cstheme="majorBidi"/>
          <w:b/>
        </w:rPr>
        <w:t xml:space="preserve">Equal treatment of </w:t>
      </w:r>
      <w:r w:rsidR="004F4CEF" w:rsidRPr="005A07F2">
        <w:rPr>
          <w:b/>
        </w:rPr>
        <w:t>t</w:t>
      </w:r>
      <w:r w:rsidR="0072361C" w:rsidRPr="005A07F2">
        <w:rPr>
          <w:b/>
        </w:rPr>
        <w:t>he</w:t>
      </w:r>
      <w:r w:rsidR="00D55CA4" w:rsidRPr="005A07F2">
        <w:rPr>
          <w:b/>
        </w:rPr>
        <w:t xml:space="preserve"> voices of </w:t>
      </w:r>
      <w:r w:rsidR="002746DA" w:rsidRPr="005A07F2">
        <w:rPr>
          <w:b/>
        </w:rPr>
        <w:t>Aboriginal and/or Torres Strait Islander</w:t>
      </w:r>
      <w:r w:rsidR="00726F56" w:rsidRPr="005A07F2">
        <w:rPr>
          <w:b/>
        </w:rPr>
        <w:t xml:space="preserve"> communities and the</w:t>
      </w:r>
      <w:r w:rsidR="00D55CA4" w:rsidRPr="005A07F2">
        <w:rPr>
          <w:b/>
        </w:rPr>
        <w:t xml:space="preserve"> </w:t>
      </w:r>
      <w:r w:rsidR="00C92B46" w:rsidRPr="005A07F2">
        <w:rPr>
          <w:b/>
        </w:rPr>
        <w:t>Aboriginal and/or Torres Strait Islander</w:t>
      </w:r>
      <w:r w:rsidR="00215F17" w:rsidRPr="005A07F2">
        <w:rPr>
          <w:b/>
        </w:rPr>
        <w:t xml:space="preserve"> community-controlled sector</w:t>
      </w:r>
      <w:r w:rsidR="00D55CA4" w:rsidRPr="00B65F7F">
        <w:rPr>
          <w:bCs/>
        </w:rPr>
        <w:t xml:space="preserve"> </w:t>
      </w:r>
      <w:bookmarkEnd w:id="118"/>
      <w:r w:rsidR="00AB71A7" w:rsidRPr="00B65F7F">
        <w:t xml:space="preserve">with </w:t>
      </w:r>
      <w:r w:rsidR="008F7831" w:rsidRPr="00B65F7F">
        <w:t>the voices of all other stakeholders</w:t>
      </w:r>
      <w:r w:rsidR="00771A63" w:rsidRPr="00B65F7F">
        <w:t xml:space="preserve"> during any </w:t>
      </w:r>
      <w:r w:rsidR="00B05EDC" w:rsidRPr="00B65F7F">
        <w:t>decision-making</w:t>
      </w:r>
      <w:r w:rsidR="00771A63" w:rsidRPr="00B65F7F">
        <w:t xml:space="preserve"> processes</w:t>
      </w:r>
      <w:r w:rsidR="0072361C" w:rsidRPr="00B65F7F">
        <w:t xml:space="preserve">, ensuring that current, </w:t>
      </w:r>
      <w:r w:rsidR="00C44EB9" w:rsidRPr="00B65F7F">
        <w:t>past</w:t>
      </w:r>
      <w:r w:rsidR="0072361C" w:rsidRPr="00B65F7F">
        <w:t xml:space="preserve"> and potential clients are engaged in </w:t>
      </w:r>
      <w:r w:rsidR="00726F56" w:rsidRPr="00B65F7F">
        <w:t>re-designing</w:t>
      </w:r>
      <w:r w:rsidR="0072361C" w:rsidRPr="00B65F7F">
        <w:t xml:space="preserve"> any services</w:t>
      </w:r>
      <w:r w:rsidR="00695A28">
        <w:t>.</w:t>
      </w:r>
      <w:r w:rsidR="0072361C" w:rsidRPr="00B65F7F">
        <w:t xml:space="preserve"> </w:t>
      </w:r>
    </w:p>
    <w:p w14:paraId="52F380EC" w14:textId="77777777" w:rsidR="00733BA2" w:rsidRPr="00B65F7F" w:rsidRDefault="003B5BA6" w:rsidP="005A07F2">
      <w:pPr>
        <w:pStyle w:val="ListBullet2"/>
      </w:pPr>
      <w:bookmarkStart w:id="119" w:name="_Hlk152075670"/>
      <w:r w:rsidRPr="00B65F7F">
        <w:rPr>
          <w:rFonts w:asciiTheme="majorHAnsi" w:eastAsiaTheme="majorEastAsia" w:hAnsiTheme="majorHAnsi" w:cstheme="majorBidi"/>
          <w:b/>
          <w:bCs/>
        </w:rPr>
        <w:t xml:space="preserve">Feature 4.2: </w:t>
      </w:r>
      <w:r w:rsidR="00733BA2" w:rsidRPr="00B65F7F">
        <w:rPr>
          <w:b/>
          <w:bCs/>
        </w:rPr>
        <w:t>Time and space</w:t>
      </w:r>
      <w:r w:rsidR="00733BA2" w:rsidRPr="00B65F7F">
        <w:t xml:space="preserve"> </w:t>
      </w:r>
      <w:r w:rsidR="00733BA2" w:rsidRPr="00B65F7F">
        <w:rPr>
          <w:b/>
          <w:bCs/>
        </w:rPr>
        <w:t>are provided</w:t>
      </w:r>
      <w:r w:rsidR="00733BA2" w:rsidRPr="00B65F7F">
        <w:t xml:space="preserve"> to ensure the diverse groups within the </w:t>
      </w:r>
      <w:r w:rsidR="00C92B46">
        <w:t>Aboriginal and/or Torres Strait Islander</w:t>
      </w:r>
      <w:r w:rsidR="00733BA2" w:rsidRPr="00B65F7F">
        <w:t xml:space="preserve"> community can be heard as part of any change process.</w:t>
      </w:r>
    </w:p>
    <w:p w14:paraId="62A5BBC5" w14:textId="77777777" w:rsidR="002C5A76" w:rsidRPr="00D3733F" w:rsidRDefault="003B5BA6" w:rsidP="005A07F2">
      <w:pPr>
        <w:pStyle w:val="ListBullet2"/>
      </w:pPr>
      <w:r w:rsidRPr="00BA4F8C">
        <w:rPr>
          <w:rFonts w:asciiTheme="majorHAnsi" w:eastAsiaTheme="majorEastAsia" w:hAnsiTheme="majorHAnsi" w:cstheme="majorBidi"/>
        </w:rPr>
        <w:t xml:space="preserve">Feature 4.3: </w:t>
      </w:r>
      <w:r w:rsidR="00924B85" w:rsidRPr="00BA4F8C">
        <w:t>S</w:t>
      </w:r>
      <w:r w:rsidR="00CA042B" w:rsidRPr="00BA4F8C">
        <w:t>ufficient time is afforded to decision-making</w:t>
      </w:r>
      <w:r w:rsidR="00B05EDC" w:rsidRPr="00BA4F8C">
        <w:t xml:space="preserve"> and co-designing activities</w:t>
      </w:r>
      <w:r w:rsidR="002C5A76" w:rsidRPr="00BA4F8C">
        <w:t xml:space="preserve"> </w:t>
      </w:r>
      <w:r w:rsidR="00D3733F" w:rsidRPr="00D3733F">
        <w:t>to ensure that organisations and stakeholders are set up for succ</w:t>
      </w:r>
      <w:r w:rsidR="009D608E">
        <w:t>e</w:t>
      </w:r>
      <w:r w:rsidR="00D3733F" w:rsidRPr="00D3733F">
        <w:t>s</w:t>
      </w:r>
      <w:r w:rsidR="00D3733F">
        <w:t>s.</w:t>
      </w:r>
      <w:r w:rsidR="00D3733F" w:rsidRPr="00D3733F">
        <w:t xml:space="preserve"> </w:t>
      </w:r>
    </w:p>
    <w:p w14:paraId="0B214CD6" w14:textId="77777777" w:rsidR="00B1002D" w:rsidRPr="00B65F7F" w:rsidRDefault="003B5BA6" w:rsidP="005A07F2">
      <w:pPr>
        <w:pStyle w:val="ListBullet2"/>
      </w:pPr>
      <w:r w:rsidRPr="00B65F7F">
        <w:rPr>
          <w:rFonts w:asciiTheme="majorHAnsi" w:eastAsiaTheme="majorEastAsia" w:hAnsiTheme="majorHAnsi" w:cstheme="majorBidi"/>
          <w:b/>
          <w:bCs/>
        </w:rPr>
        <w:t>Feature 4.4</w:t>
      </w:r>
      <w:r w:rsidRPr="00B65F7F">
        <w:rPr>
          <w:rFonts w:asciiTheme="majorHAnsi" w:eastAsiaTheme="majorEastAsia" w:hAnsiTheme="majorHAnsi" w:cstheme="majorBidi"/>
        </w:rPr>
        <w:t xml:space="preserve">: </w:t>
      </w:r>
      <w:r w:rsidR="0019502D" w:rsidRPr="00B65F7F">
        <w:rPr>
          <w:b/>
          <w:bCs/>
        </w:rPr>
        <w:t>I</w:t>
      </w:r>
      <w:r w:rsidR="009F5B8C" w:rsidRPr="00B65F7F">
        <w:rPr>
          <w:b/>
          <w:bCs/>
        </w:rPr>
        <w:t>nvestment is made in</w:t>
      </w:r>
      <w:r w:rsidR="00B1002D" w:rsidRPr="00B65F7F">
        <w:rPr>
          <w:b/>
          <w:bCs/>
        </w:rPr>
        <w:t xml:space="preserve"> providing the necessary information</w:t>
      </w:r>
      <w:r w:rsidR="00B1002D" w:rsidRPr="00B65F7F">
        <w:t xml:space="preserve"> to the </w:t>
      </w:r>
      <w:r w:rsidR="002746DA">
        <w:t>Aboriginal and/or Torres Strait Islander</w:t>
      </w:r>
      <w:r w:rsidR="00B1002D" w:rsidRPr="00B65F7F">
        <w:t xml:space="preserve"> communities and the </w:t>
      </w:r>
      <w:r w:rsidR="00C92B46">
        <w:t>Aboriginal and/or Torres Strait Islander</w:t>
      </w:r>
      <w:r w:rsidR="00215F17" w:rsidRPr="007E757D">
        <w:t xml:space="preserve"> community-controlled sector</w:t>
      </w:r>
      <w:r w:rsidR="00B1002D" w:rsidRPr="00B65F7F">
        <w:t>, ensuring they can make decisions and be actively involved in any changes.</w:t>
      </w:r>
    </w:p>
    <w:p w14:paraId="178D602C" w14:textId="77777777" w:rsidR="00B96C89" w:rsidRPr="00B65F7F" w:rsidRDefault="003B5BA6" w:rsidP="005A07F2">
      <w:pPr>
        <w:pStyle w:val="ListBullet2"/>
      </w:pPr>
      <w:r w:rsidRPr="005A07F2">
        <w:rPr>
          <w:rFonts w:asciiTheme="majorHAnsi" w:eastAsiaTheme="majorEastAsia" w:hAnsiTheme="majorHAnsi" w:cstheme="majorBidi"/>
          <w:b/>
          <w:bCs/>
        </w:rPr>
        <w:t>Feature 4.5</w:t>
      </w:r>
      <w:r w:rsidRPr="005A07F2">
        <w:rPr>
          <w:b/>
          <w:bCs/>
        </w:rPr>
        <w:t xml:space="preserve">: </w:t>
      </w:r>
      <w:r w:rsidR="00B96C89" w:rsidRPr="005A07F2">
        <w:rPr>
          <w:b/>
          <w:bCs/>
        </w:rPr>
        <w:t>Clear and transparent communication</w:t>
      </w:r>
      <w:r w:rsidR="00B96C89" w:rsidRPr="00BA4F8C">
        <w:t xml:space="preserve"> </w:t>
      </w:r>
      <w:r w:rsidR="00B96C89" w:rsidRPr="00B65F7F">
        <w:t xml:space="preserve">of progress and decisions </w:t>
      </w:r>
      <w:r w:rsidR="00BA4F8C">
        <w:t>is</w:t>
      </w:r>
      <w:r w:rsidR="00B96C89" w:rsidRPr="00B65F7F">
        <w:t xml:space="preserve"> provided</w:t>
      </w:r>
      <w:r w:rsidRPr="00B65F7F">
        <w:t>.</w:t>
      </w:r>
    </w:p>
    <w:p w14:paraId="25AF34D4" w14:textId="6A9CB94F" w:rsidR="00037148" w:rsidRPr="00B65F7F" w:rsidRDefault="00F923B6" w:rsidP="005A07F2">
      <w:pPr>
        <w:pStyle w:val="Heading3"/>
      </w:pPr>
      <w:bookmarkStart w:id="120" w:name="_sv89sioe88w" w:colFirst="0" w:colLast="0"/>
      <w:bookmarkStart w:id="121" w:name="_Hlk152075703"/>
      <w:bookmarkEnd w:id="119"/>
      <w:bookmarkEnd w:id="120"/>
      <w:r w:rsidRPr="00B65F7F">
        <w:t xml:space="preserve">Feature 5: </w:t>
      </w:r>
      <w:r w:rsidR="00037148" w:rsidRPr="00B65F7F">
        <w:t xml:space="preserve">Prioritising </w:t>
      </w:r>
      <w:r w:rsidR="00BA4F8C">
        <w:t>c</w:t>
      </w:r>
      <w:r w:rsidR="00037148" w:rsidRPr="00B65F7F">
        <w:t xml:space="preserve">ultural </w:t>
      </w:r>
      <w:r w:rsidR="00BA4F8C">
        <w:t>s</w:t>
      </w:r>
      <w:r w:rsidR="00037148" w:rsidRPr="00B65F7F">
        <w:t xml:space="preserve">afety </w:t>
      </w:r>
    </w:p>
    <w:bookmarkEnd w:id="121"/>
    <w:p w14:paraId="4D8A6F5F" w14:textId="77777777" w:rsidR="00037148" w:rsidRPr="00B65F7F" w:rsidRDefault="00A630DC" w:rsidP="005A07F2">
      <w:pPr>
        <w:pStyle w:val="BodyText"/>
      </w:pPr>
      <w:r w:rsidRPr="00B65F7F">
        <w:t>Priority Reform 3 of the National Agreement</w:t>
      </w:r>
      <w:r w:rsidR="005910E1" w:rsidRPr="00B65F7F">
        <w:t xml:space="preserve"> </w:t>
      </w:r>
      <w:r w:rsidR="00724F7A" w:rsidRPr="00B65F7F">
        <w:t>identifies the need for</w:t>
      </w:r>
      <w:r w:rsidR="00311597" w:rsidRPr="00B65F7F">
        <w:t xml:space="preserve"> ‘systemic and structural transformation of mainstream government organisation to improve </w:t>
      </w:r>
      <w:r w:rsidR="007F3554" w:rsidRPr="00B65F7F">
        <w:t xml:space="preserve">accountability and respond to </w:t>
      </w:r>
      <w:r w:rsidR="00037148" w:rsidRPr="00B65F7F">
        <w:t xml:space="preserve">the </w:t>
      </w:r>
      <w:r w:rsidR="007F3554" w:rsidRPr="00B65F7F">
        <w:t>needs</w:t>
      </w:r>
      <w:r w:rsidR="00037148" w:rsidRPr="00B65F7F">
        <w:t xml:space="preserve"> of </w:t>
      </w:r>
      <w:r w:rsidR="00C92B46">
        <w:t>Aboriginal and/or Torres Strait Islander</w:t>
      </w:r>
      <w:r w:rsidR="007F3554" w:rsidRPr="00B65F7F">
        <w:t xml:space="preserve"> people</w:t>
      </w:r>
      <w:r w:rsidR="007F3554" w:rsidRPr="00DD1177">
        <w:t>’ (</w:t>
      </w:r>
      <w:r w:rsidR="00DD1177" w:rsidRPr="00DD1177">
        <w:t>Coalition of Peaks, 2020</w:t>
      </w:r>
      <w:r w:rsidR="007F3554" w:rsidRPr="00DD1177">
        <w:t xml:space="preserve">, </w:t>
      </w:r>
      <w:r w:rsidR="001B07A1">
        <w:t xml:space="preserve">p. </w:t>
      </w:r>
      <w:r w:rsidR="007F3554" w:rsidRPr="00DD1177">
        <w:t>58)</w:t>
      </w:r>
      <w:r w:rsidR="00CF594D" w:rsidRPr="00DD1177">
        <w:t>.</w:t>
      </w:r>
      <w:r w:rsidR="00740908" w:rsidRPr="00B65F7F">
        <w:t xml:space="preserve"> </w:t>
      </w:r>
      <w:r w:rsidR="00724F7A" w:rsidRPr="00B65F7F">
        <w:t>Extending th</w:t>
      </w:r>
      <w:r w:rsidR="00B004DF" w:rsidRPr="00B65F7F">
        <w:t>is sentiment</w:t>
      </w:r>
      <w:r w:rsidR="00724F7A" w:rsidRPr="00B65F7F">
        <w:t xml:space="preserve">, it is critical that any change </w:t>
      </w:r>
      <w:r w:rsidR="00B83151" w:rsidRPr="00B65F7F">
        <w:t>resulting from</w:t>
      </w:r>
      <w:r w:rsidR="00724F7A" w:rsidRPr="00B65F7F">
        <w:t xml:space="preserve"> this </w:t>
      </w:r>
      <w:r w:rsidR="00695A28">
        <w:t>R</w:t>
      </w:r>
      <w:r w:rsidR="00724F7A" w:rsidRPr="00B65F7F">
        <w:t xml:space="preserve">eview </w:t>
      </w:r>
      <w:r w:rsidR="00B132F3" w:rsidRPr="00B65F7F">
        <w:t xml:space="preserve">promotes – rather than dilutes – the role that PHNs and non-Indigenous health services play in </w:t>
      </w:r>
      <w:r w:rsidR="00037148" w:rsidRPr="00B65F7F">
        <w:t>support</w:t>
      </w:r>
      <w:r w:rsidR="00B132F3" w:rsidRPr="00B65F7F">
        <w:t>ing a</w:t>
      </w:r>
      <w:r w:rsidR="00037148" w:rsidRPr="00B65F7F">
        <w:t xml:space="preserve"> culturally safe</w:t>
      </w:r>
      <w:r w:rsidR="00B132F3" w:rsidRPr="00B65F7F">
        <w:t xml:space="preserve"> and responsive</w:t>
      </w:r>
      <w:r w:rsidR="00037148" w:rsidRPr="00B65F7F">
        <w:t xml:space="preserve"> healthcare system. This is </w:t>
      </w:r>
      <w:r w:rsidR="00905C90" w:rsidRPr="00B65F7F">
        <w:t>essential to ensure</w:t>
      </w:r>
      <w:r w:rsidR="00037148" w:rsidRPr="00B65F7F">
        <w:t xml:space="preserve"> </w:t>
      </w:r>
      <w:r w:rsidR="002746DA">
        <w:t>Aboriginal and/or Torres Strait Islander</w:t>
      </w:r>
      <w:r w:rsidR="00037148" w:rsidRPr="00B65F7F">
        <w:t xml:space="preserve"> peoples </w:t>
      </w:r>
      <w:r w:rsidR="00905C90" w:rsidRPr="00B65F7F">
        <w:t>can</w:t>
      </w:r>
      <w:r w:rsidR="00037148" w:rsidRPr="00B65F7F">
        <w:t xml:space="preserve"> continue to use (and choose) to receive services from non-Indigenous service providers</w:t>
      </w:r>
      <w:r w:rsidR="00905C90" w:rsidRPr="00B65F7F">
        <w:t>, knowing</w:t>
      </w:r>
      <w:r w:rsidR="00037148" w:rsidRPr="00B65F7F">
        <w:t xml:space="preserve"> that </w:t>
      </w:r>
      <w:r w:rsidR="00905C90" w:rsidRPr="00B65F7F">
        <w:t xml:space="preserve">they are </w:t>
      </w:r>
      <w:r w:rsidR="00037148" w:rsidRPr="00B65F7F">
        <w:t xml:space="preserve">culturally </w:t>
      </w:r>
      <w:r w:rsidR="00905C90" w:rsidRPr="00B65F7F">
        <w:t>appropriate and free from stigma and racism</w:t>
      </w:r>
      <w:r w:rsidR="00037148" w:rsidRPr="00B65F7F">
        <w:t xml:space="preserve">. </w:t>
      </w:r>
    </w:p>
    <w:p w14:paraId="52DF7EDB" w14:textId="4DA3C741" w:rsidR="004405E6" w:rsidRPr="00B65F7F" w:rsidRDefault="004405E6" w:rsidP="005A07F2">
      <w:pPr>
        <w:pStyle w:val="Heading4"/>
      </w:pPr>
      <w:r w:rsidRPr="00B65F7F">
        <w:t>What it looks like in practice</w:t>
      </w:r>
    </w:p>
    <w:p w14:paraId="63126E40" w14:textId="77777777" w:rsidR="004405E6" w:rsidRPr="00B65F7F" w:rsidRDefault="004405E6" w:rsidP="005A07F2">
      <w:pPr>
        <w:pStyle w:val="BodyText"/>
      </w:pPr>
      <w:r w:rsidRPr="00B65F7F">
        <w:t>To ensure that PHNs and non-Indigenous health services</w:t>
      </w:r>
      <w:r w:rsidR="006119DD" w:rsidRPr="00B65F7F">
        <w:t xml:space="preserve"> continue to contribute to the </w:t>
      </w:r>
      <w:r w:rsidRPr="00B65F7F">
        <w:t>creati</w:t>
      </w:r>
      <w:r w:rsidR="006119DD" w:rsidRPr="00B65F7F">
        <w:t>on of</w:t>
      </w:r>
      <w:r w:rsidRPr="00B65F7F">
        <w:t xml:space="preserve"> a culturally safe and secure health system</w:t>
      </w:r>
      <w:r w:rsidR="008C39D6" w:rsidRPr="00B65F7F">
        <w:t xml:space="preserve"> over the transformation,</w:t>
      </w:r>
      <w:r w:rsidRPr="00B65F7F">
        <w:t xml:space="preserve"> it will be essential that the following exists:</w:t>
      </w:r>
    </w:p>
    <w:p w14:paraId="551C6D28" w14:textId="77777777" w:rsidR="00171C8E" w:rsidRPr="00B65F7F" w:rsidRDefault="003B5BA6" w:rsidP="005A07F2">
      <w:pPr>
        <w:pStyle w:val="ListBullet2"/>
      </w:pPr>
      <w:bookmarkStart w:id="122" w:name="_Hlk152075713"/>
      <w:r w:rsidRPr="00B65F7F">
        <w:rPr>
          <w:rFonts w:asciiTheme="majorHAnsi" w:eastAsiaTheme="majorEastAsia" w:hAnsiTheme="majorHAnsi" w:cstheme="majorBidi"/>
          <w:b/>
          <w:bCs/>
        </w:rPr>
        <w:t xml:space="preserve">Feature 5.1: </w:t>
      </w:r>
      <w:r w:rsidR="00171C8E" w:rsidRPr="00B65F7F">
        <w:rPr>
          <w:b/>
          <w:bCs/>
        </w:rPr>
        <w:t>PHNs continue to be funded</w:t>
      </w:r>
      <w:r w:rsidR="00256223" w:rsidRPr="00B65F7F">
        <w:rPr>
          <w:b/>
          <w:bCs/>
        </w:rPr>
        <w:t xml:space="preserve"> to ensure a culturally safe mainstream system</w:t>
      </w:r>
      <w:r w:rsidR="004D6FF7" w:rsidRPr="00B65F7F">
        <w:t>,</w:t>
      </w:r>
      <w:bookmarkEnd w:id="122"/>
      <w:r w:rsidR="004D6FF7" w:rsidRPr="00B65F7F">
        <w:t xml:space="preserve"> ensuring that </w:t>
      </w:r>
      <w:r w:rsidR="002746DA">
        <w:t>Aboriginal and/or Torres Strait Islander</w:t>
      </w:r>
      <w:r w:rsidR="004D6FF7" w:rsidRPr="00B65F7F">
        <w:t xml:space="preserve"> peoples can access services from non-Indigenous service providers free from racism</w:t>
      </w:r>
      <w:r w:rsidR="00B66557" w:rsidRPr="00B65F7F">
        <w:t>.</w:t>
      </w:r>
    </w:p>
    <w:p w14:paraId="3E94848D" w14:textId="77777777" w:rsidR="004405E6" w:rsidRPr="00B65F7F" w:rsidRDefault="003B5BA6" w:rsidP="005A07F2">
      <w:pPr>
        <w:pStyle w:val="ListBullet2"/>
      </w:pPr>
      <w:bookmarkStart w:id="123" w:name="_Hlk152075720"/>
      <w:r w:rsidRPr="00B65F7F">
        <w:rPr>
          <w:rFonts w:asciiTheme="majorHAnsi" w:eastAsiaTheme="majorEastAsia" w:hAnsiTheme="majorHAnsi" w:cstheme="majorBidi"/>
          <w:b/>
          <w:bCs/>
        </w:rPr>
        <w:t xml:space="preserve">Feature 5.2: </w:t>
      </w:r>
      <w:r w:rsidR="00B66557" w:rsidRPr="00B65F7F">
        <w:rPr>
          <w:b/>
          <w:bCs/>
        </w:rPr>
        <w:t xml:space="preserve">PHNs continue to </w:t>
      </w:r>
      <w:r w:rsidR="00504734" w:rsidRPr="00B65F7F">
        <w:rPr>
          <w:b/>
          <w:bCs/>
        </w:rPr>
        <w:t xml:space="preserve">prioritise </w:t>
      </w:r>
      <w:r w:rsidR="002746DA">
        <w:rPr>
          <w:b/>
          <w:bCs/>
        </w:rPr>
        <w:t>Aboriginal and/or Torres Strait Islander</w:t>
      </w:r>
      <w:r w:rsidR="00504734" w:rsidRPr="00B65F7F">
        <w:rPr>
          <w:b/>
          <w:bCs/>
        </w:rPr>
        <w:t xml:space="preserve"> peoples</w:t>
      </w:r>
      <w:bookmarkEnd w:id="123"/>
      <w:r w:rsidR="009C1F3E" w:rsidRPr="00B65F7F">
        <w:rPr>
          <w:b/>
          <w:bCs/>
        </w:rPr>
        <w:t xml:space="preserve"> </w:t>
      </w:r>
      <w:r w:rsidR="009C1F3E" w:rsidRPr="00B65F7F">
        <w:t>(as a ‘priority population’)</w:t>
      </w:r>
      <w:r w:rsidR="00504734" w:rsidRPr="00B65F7F">
        <w:t xml:space="preserve"> when undertaking </w:t>
      </w:r>
      <w:r w:rsidR="00256223" w:rsidRPr="00B65F7F">
        <w:t xml:space="preserve">all other </w:t>
      </w:r>
      <w:r w:rsidR="009C1F3E" w:rsidRPr="00B65F7F">
        <w:t xml:space="preserve">commissioning work, including for </w:t>
      </w:r>
      <w:r w:rsidR="00E15CE2" w:rsidRPr="00B65F7F">
        <w:t xml:space="preserve">health needs </w:t>
      </w:r>
      <w:r w:rsidR="009C1F3E" w:rsidRPr="00B65F7F">
        <w:t>assessments,</w:t>
      </w:r>
      <w:r w:rsidR="00E15CE2" w:rsidRPr="00B65F7F">
        <w:t xml:space="preserve"> and designing and commissioning new services. </w:t>
      </w:r>
    </w:p>
    <w:p w14:paraId="62ADFA13" w14:textId="028C6EE1" w:rsidR="00F923B6" w:rsidRPr="00B65F7F" w:rsidRDefault="00F923B6" w:rsidP="005A07F2">
      <w:pPr>
        <w:pStyle w:val="Heading3"/>
      </w:pPr>
      <w:bookmarkStart w:id="124" w:name="_Hlk152075726"/>
      <w:r w:rsidRPr="00B65F7F">
        <w:t xml:space="preserve">Feature </w:t>
      </w:r>
      <w:r w:rsidR="00037148" w:rsidRPr="00B65F7F">
        <w:t>6</w:t>
      </w:r>
      <w:r w:rsidRPr="00B65F7F">
        <w:t xml:space="preserve">: </w:t>
      </w:r>
      <w:r w:rsidR="008E3969">
        <w:t>S</w:t>
      </w:r>
      <w:r w:rsidR="00C47332" w:rsidRPr="00B65F7F">
        <w:t>trength</w:t>
      </w:r>
      <w:r w:rsidR="007514E7">
        <w:t>s</w:t>
      </w:r>
      <w:r w:rsidR="00C47332" w:rsidRPr="00B65F7F">
        <w:t>-</w:t>
      </w:r>
      <w:r w:rsidR="00BA4F8C">
        <w:t>b</w:t>
      </w:r>
      <w:r w:rsidR="00C47332" w:rsidRPr="00B65F7F">
        <w:t xml:space="preserve">ased </w:t>
      </w:r>
      <w:r w:rsidR="00BA4F8C">
        <w:t>a</w:t>
      </w:r>
      <w:r w:rsidR="00C47332" w:rsidRPr="00B65F7F">
        <w:t xml:space="preserve">pproach to </w:t>
      </w:r>
      <w:r w:rsidR="00BA4F8C">
        <w:t>c</w:t>
      </w:r>
      <w:r w:rsidR="00C47332" w:rsidRPr="00B65F7F">
        <w:t>hange</w:t>
      </w:r>
      <w:bookmarkEnd w:id="124"/>
      <w:r w:rsidR="00C47332" w:rsidRPr="00B65F7F">
        <w:t xml:space="preserve"> </w:t>
      </w:r>
    </w:p>
    <w:p w14:paraId="475F9779" w14:textId="77777777" w:rsidR="00D50C19" w:rsidRPr="00BA4F8C" w:rsidRDefault="00DB65E7" w:rsidP="005A07F2">
      <w:pPr>
        <w:pStyle w:val="BodyText"/>
      </w:pPr>
      <w:r w:rsidRPr="00B65F7F">
        <w:t xml:space="preserve">The </w:t>
      </w:r>
      <w:r w:rsidR="008636AD" w:rsidRPr="00B65F7F">
        <w:t xml:space="preserve">changes articulated in </w:t>
      </w:r>
      <w:r w:rsidR="0064744F" w:rsidRPr="00B65F7F">
        <w:t>Priority Reform 3 of the</w:t>
      </w:r>
      <w:r w:rsidR="008636AD" w:rsidRPr="00B65F7F">
        <w:t xml:space="preserve"> National Agreement and</w:t>
      </w:r>
      <w:r w:rsidR="0042579F" w:rsidRPr="00B65F7F">
        <w:t xml:space="preserve"> </w:t>
      </w:r>
      <w:r w:rsidR="008636AD" w:rsidRPr="00B65F7F">
        <w:t xml:space="preserve">by this </w:t>
      </w:r>
      <w:r w:rsidR="00DD6BA9">
        <w:t>R</w:t>
      </w:r>
      <w:r w:rsidR="008636AD" w:rsidRPr="00B65F7F">
        <w:t xml:space="preserve">eview require </w:t>
      </w:r>
      <w:r w:rsidR="00200D9D" w:rsidRPr="00B65F7F">
        <w:t>the Australian Gove</w:t>
      </w:r>
      <w:r w:rsidR="00200D9D" w:rsidRPr="00BA4F8C">
        <w:t>rnment</w:t>
      </w:r>
      <w:r w:rsidR="00BA4F8C" w:rsidRPr="00BA4F8C">
        <w:t xml:space="preserve"> broadly, and </w:t>
      </w:r>
      <w:r w:rsidR="005610D0">
        <w:t>DoHAC</w:t>
      </w:r>
      <w:r w:rsidR="00BA4F8C" w:rsidRPr="00BA4F8C">
        <w:t xml:space="preserve"> particularly, </w:t>
      </w:r>
      <w:r w:rsidR="00200D9D" w:rsidRPr="00BA4F8C">
        <w:t xml:space="preserve">to engage in </w:t>
      </w:r>
      <w:r w:rsidR="008636AD" w:rsidRPr="00BA4F8C">
        <w:t xml:space="preserve">transformational </w:t>
      </w:r>
      <w:r w:rsidR="00200D9D" w:rsidRPr="00BA4F8C">
        <w:t>change.</w:t>
      </w:r>
      <w:r w:rsidR="00F0134B" w:rsidRPr="00BA4F8C">
        <w:t xml:space="preserve"> </w:t>
      </w:r>
      <w:r w:rsidR="0064744F" w:rsidRPr="00BA4F8C">
        <w:t xml:space="preserve">Critically, for </w:t>
      </w:r>
      <w:r w:rsidR="009D5DAA" w:rsidRPr="00BA4F8C">
        <w:t>the purpose</w:t>
      </w:r>
      <w:r w:rsidR="0064744F" w:rsidRPr="00BA4F8C">
        <w:t xml:space="preserve"> of enabling the changes recommended in </w:t>
      </w:r>
      <w:r w:rsidR="009D5DAA" w:rsidRPr="00BA4F8C">
        <w:t xml:space="preserve">this </w:t>
      </w:r>
      <w:r w:rsidR="00DD6BA9">
        <w:t>R</w:t>
      </w:r>
      <w:r w:rsidR="009D5DAA" w:rsidRPr="00BA4F8C">
        <w:t xml:space="preserve">eview, </w:t>
      </w:r>
      <w:r w:rsidR="00323B27" w:rsidRPr="00BA4F8C">
        <w:t xml:space="preserve">the </w:t>
      </w:r>
      <w:r w:rsidR="00726784" w:rsidRPr="00BA4F8C">
        <w:t>Australian Government</w:t>
      </w:r>
      <w:r w:rsidR="00BA4F8C" w:rsidRPr="00BA4F8C">
        <w:t xml:space="preserve"> broadly, and </w:t>
      </w:r>
      <w:r w:rsidR="00DD6BA9">
        <w:t>DoHAC</w:t>
      </w:r>
      <w:r w:rsidR="00BA4F8C" w:rsidRPr="00BA4F8C">
        <w:t xml:space="preserve"> particularly, </w:t>
      </w:r>
      <w:r w:rsidR="00A02494" w:rsidRPr="00BA4F8C">
        <w:t xml:space="preserve">will </w:t>
      </w:r>
      <w:r w:rsidR="00323B27" w:rsidRPr="00BA4F8C">
        <w:t xml:space="preserve">need to focus on </w:t>
      </w:r>
      <w:r w:rsidR="00E76F3A" w:rsidRPr="00BA4F8C">
        <w:t xml:space="preserve">a culture of learning </w:t>
      </w:r>
      <w:r w:rsidR="003E13D8" w:rsidRPr="00BA4F8C">
        <w:t xml:space="preserve">rather than a </w:t>
      </w:r>
      <w:r w:rsidR="00323B27" w:rsidRPr="00BA4F8C">
        <w:t xml:space="preserve">culture of risk. </w:t>
      </w:r>
    </w:p>
    <w:p w14:paraId="3942DE5D" w14:textId="77777777" w:rsidR="00F0134B" w:rsidRPr="00B65F7F" w:rsidRDefault="00485D42" w:rsidP="005A07F2">
      <w:pPr>
        <w:pStyle w:val="BodyText"/>
      </w:pPr>
      <w:r w:rsidRPr="00BA4F8C">
        <w:t xml:space="preserve">This will be particularly important as the transformation required will be diverse, </w:t>
      </w:r>
      <w:r w:rsidR="00F154F9">
        <w:t xml:space="preserve">will </w:t>
      </w:r>
      <w:r w:rsidRPr="00BA4F8C">
        <w:t xml:space="preserve">occur at different speeds and will likely result in </w:t>
      </w:r>
      <w:r w:rsidR="00DF2D75" w:rsidRPr="00BA4F8C">
        <w:t xml:space="preserve">ongoing challenges </w:t>
      </w:r>
      <w:r w:rsidR="00D50C19" w:rsidRPr="00BA4F8C">
        <w:t>and risk</w:t>
      </w:r>
      <w:r w:rsidR="00164973">
        <w:t>s</w:t>
      </w:r>
      <w:r w:rsidR="00DF2D75" w:rsidRPr="00BA4F8C">
        <w:t xml:space="preserve">. </w:t>
      </w:r>
      <w:r w:rsidR="00321201" w:rsidRPr="00BA4F8C">
        <w:t xml:space="preserve">Rather than </w:t>
      </w:r>
      <w:r w:rsidR="00285809" w:rsidRPr="00BA4F8C">
        <w:t xml:space="preserve">treating these issues as reasons to </w:t>
      </w:r>
      <w:r w:rsidR="00D50C19" w:rsidRPr="00BA4F8C">
        <w:t>limit or slow</w:t>
      </w:r>
      <w:r w:rsidR="00883A0E" w:rsidRPr="00BA4F8C">
        <w:t xml:space="preserve"> </w:t>
      </w:r>
      <w:r w:rsidR="009A4746" w:rsidRPr="00BA4F8C">
        <w:t>the transformation or prevent a truly self-determined approach, the Australian Government</w:t>
      </w:r>
      <w:r w:rsidR="00BA4F8C" w:rsidRPr="00BA4F8C">
        <w:t xml:space="preserve"> broadly, and </w:t>
      </w:r>
      <w:r w:rsidR="005506DB">
        <w:t>DoHAC</w:t>
      </w:r>
      <w:r w:rsidR="00BA4F8C" w:rsidRPr="00BA4F8C">
        <w:t xml:space="preserve"> p</w:t>
      </w:r>
      <w:r w:rsidR="00BA4F8C">
        <w:t xml:space="preserve">articularly, </w:t>
      </w:r>
      <w:r w:rsidR="009A4746" w:rsidRPr="00B65F7F">
        <w:t xml:space="preserve">must </w:t>
      </w:r>
      <w:r w:rsidR="004A03A3" w:rsidRPr="00B65F7F">
        <w:t xml:space="preserve">proactively adopt a </w:t>
      </w:r>
      <w:r w:rsidR="00505E2A" w:rsidRPr="00B65F7F">
        <w:t xml:space="preserve">learning culture by building on </w:t>
      </w:r>
      <w:r w:rsidR="004A03A3" w:rsidRPr="00B65F7F">
        <w:t xml:space="preserve">challenges and potential mistakes to enhance </w:t>
      </w:r>
      <w:r w:rsidR="00945016" w:rsidRPr="00B65F7F">
        <w:t xml:space="preserve">future transformation efforts. </w:t>
      </w:r>
    </w:p>
    <w:p w14:paraId="555974B8" w14:textId="55B01EA9" w:rsidR="00505E2A" w:rsidRPr="00B65F7F" w:rsidRDefault="00505E2A" w:rsidP="005A07F2">
      <w:pPr>
        <w:pStyle w:val="Heading4"/>
      </w:pPr>
      <w:r w:rsidRPr="00B65F7F">
        <w:lastRenderedPageBreak/>
        <w:t>What it looks like in practice</w:t>
      </w:r>
    </w:p>
    <w:p w14:paraId="63DF9600" w14:textId="77777777" w:rsidR="00505E2A" w:rsidRPr="00B65F7F" w:rsidRDefault="00505E2A" w:rsidP="005A07F2">
      <w:pPr>
        <w:pStyle w:val="BodyText"/>
      </w:pPr>
      <w:r w:rsidRPr="00B65F7F">
        <w:t>Adopting a strength</w:t>
      </w:r>
      <w:r w:rsidR="007514E7">
        <w:t>s</w:t>
      </w:r>
      <w:r w:rsidRPr="00B65F7F">
        <w:t>-based learning culture means that the Australian G</w:t>
      </w:r>
      <w:r w:rsidRPr="00BA4F8C">
        <w:t>overnment</w:t>
      </w:r>
      <w:r w:rsidR="00BA4F8C" w:rsidRPr="00BA4F8C">
        <w:t xml:space="preserve"> broadly, and </w:t>
      </w:r>
      <w:r w:rsidR="005506DB">
        <w:t>DoHAC</w:t>
      </w:r>
      <w:r w:rsidR="00BA4F8C" w:rsidRPr="00BA4F8C">
        <w:t xml:space="preserve"> particularly, </w:t>
      </w:r>
      <w:r w:rsidRPr="00BA4F8C">
        <w:t xml:space="preserve">must truly engage </w:t>
      </w:r>
      <w:r w:rsidR="00342AA5" w:rsidRPr="00BA4F8C">
        <w:t>with the purpose of Priority Refo</w:t>
      </w:r>
      <w:r w:rsidR="00342AA5" w:rsidRPr="00B65F7F">
        <w:t>rm 3 of the National Agreement. This means:</w:t>
      </w:r>
    </w:p>
    <w:p w14:paraId="138A7211" w14:textId="77777777" w:rsidR="00342AA5" w:rsidRPr="00B65F7F" w:rsidRDefault="003B5BA6" w:rsidP="005A07F2">
      <w:pPr>
        <w:pStyle w:val="ListBullet2"/>
      </w:pPr>
      <w:bookmarkStart w:id="125" w:name="_Hlk152075733"/>
      <w:r w:rsidRPr="00B65F7F">
        <w:rPr>
          <w:rFonts w:asciiTheme="majorHAnsi" w:eastAsiaTheme="majorEastAsia" w:hAnsiTheme="majorHAnsi" w:cstheme="majorBidi"/>
          <w:b/>
          <w:bCs/>
        </w:rPr>
        <w:t xml:space="preserve">Feature 6.1: </w:t>
      </w:r>
      <w:r w:rsidR="00F17F8D" w:rsidRPr="00B65F7F">
        <w:rPr>
          <w:b/>
          <w:bCs/>
        </w:rPr>
        <w:t xml:space="preserve">Working in </w:t>
      </w:r>
      <w:r w:rsidR="002F0678" w:rsidRPr="00B65F7F">
        <w:rPr>
          <w:b/>
          <w:bCs/>
        </w:rPr>
        <w:t>partnership</w:t>
      </w:r>
      <w:bookmarkEnd w:id="125"/>
      <w:r w:rsidR="002F0678" w:rsidRPr="00B65F7F">
        <w:t xml:space="preserve"> with the </w:t>
      </w:r>
      <w:r w:rsidR="00C92B46">
        <w:t>Aboriginal and/or Torres Strait Islander</w:t>
      </w:r>
      <w:r w:rsidR="00215F17" w:rsidRPr="007E757D">
        <w:t xml:space="preserve"> community-controlled sector</w:t>
      </w:r>
      <w:r w:rsidR="002F0678" w:rsidRPr="00B65F7F">
        <w:t xml:space="preserve"> to progressively review the transformation activities, using any insights or findings as the basis to enhance further efforts, rather than </w:t>
      </w:r>
      <w:r w:rsidR="00F52B35" w:rsidRPr="00B65F7F">
        <w:t xml:space="preserve">limiting </w:t>
      </w:r>
      <w:r w:rsidR="009E02E7" w:rsidRPr="00B65F7F">
        <w:t xml:space="preserve">or slowing the speed of </w:t>
      </w:r>
      <w:r w:rsidR="009E02E7" w:rsidRPr="00B65F7F" w:rsidDel="00352479">
        <w:t>change</w:t>
      </w:r>
      <w:r w:rsidR="00352479" w:rsidRPr="00B65F7F">
        <w:t>.</w:t>
      </w:r>
    </w:p>
    <w:p w14:paraId="4146B783" w14:textId="77777777" w:rsidR="00983F46" w:rsidRPr="00B65F7F" w:rsidRDefault="003B5BA6" w:rsidP="005A07F2">
      <w:pPr>
        <w:pStyle w:val="ListBullet2"/>
      </w:pPr>
      <w:bookmarkStart w:id="126" w:name="_Hlk152075738"/>
      <w:r w:rsidRPr="00B65F7F">
        <w:rPr>
          <w:rFonts w:asciiTheme="majorHAnsi" w:eastAsiaTheme="majorEastAsia" w:hAnsiTheme="majorHAnsi" w:cstheme="majorBidi"/>
          <w:b/>
          <w:bCs/>
        </w:rPr>
        <w:t xml:space="preserve">Feature 6.2: </w:t>
      </w:r>
      <w:r w:rsidR="00E907B6" w:rsidRPr="00B65F7F">
        <w:rPr>
          <w:b/>
          <w:bCs/>
        </w:rPr>
        <w:t>Establish</w:t>
      </w:r>
      <w:r w:rsidR="009E02E7" w:rsidRPr="00B65F7F">
        <w:rPr>
          <w:b/>
          <w:bCs/>
        </w:rPr>
        <w:t>ing</w:t>
      </w:r>
      <w:r w:rsidR="00E907B6" w:rsidRPr="00B65F7F">
        <w:rPr>
          <w:b/>
          <w:bCs/>
        </w:rPr>
        <w:t xml:space="preserve"> a</w:t>
      </w:r>
      <w:r w:rsidR="003422A7" w:rsidRPr="00B65F7F">
        <w:rPr>
          <w:b/>
          <w:bCs/>
        </w:rPr>
        <w:t xml:space="preserve"> national coordination </w:t>
      </w:r>
      <w:r w:rsidR="009E02E7" w:rsidRPr="00B65F7F">
        <w:rPr>
          <w:b/>
          <w:bCs/>
        </w:rPr>
        <w:t>function</w:t>
      </w:r>
      <w:bookmarkEnd w:id="126"/>
      <w:r w:rsidR="003422A7" w:rsidRPr="00B65F7F">
        <w:t xml:space="preserve"> to support the transition</w:t>
      </w:r>
      <w:r w:rsidR="00983F46" w:rsidRPr="00B65F7F">
        <w:t xml:space="preserve">, providing support, </w:t>
      </w:r>
      <w:r w:rsidR="00C44EB9" w:rsidRPr="00B65F7F">
        <w:t>investment</w:t>
      </w:r>
      <w:r w:rsidR="00983F46" w:rsidRPr="00B65F7F">
        <w:t xml:space="preserve"> and the sharing of information to the </w:t>
      </w:r>
      <w:r w:rsidR="00C92B46">
        <w:t>Aboriginal and/or Torres Strait Islander</w:t>
      </w:r>
      <w:r w:rsidR="00215F17" w:rsidRPr="007E757D">
        <w:t xml:space="preserve"> community-controlled sector</w:t>
      </w:r>
      <w:r w:rsidR="00983F46" w:rsidRPr="00B65F7F">
        <w:t xml:space="preserve"> and individual organisations to enhance the transformation </w:t>
      </w:r>
      <w:r w:rsidR="00983F46" w:rsidRPr="00B65F7F" w:rsidDel="00352479">
        <w:t>efforts</w:t>
      </w:r>
      <w:r w:rsidR="00352479" w:rsidRPr="00B65F7F">
        <w:t>.</w:t>
      </w:r>
    </w:p>
    <w:p w14:paraId="50FB056A" w14:textId="77777777" w:rsidR="00E907B6" w:rsidRPr="00B65F7F" w:rsidRDefault="003B5BA6" w:rsidP="005A07F2">
      <w:pPr>
        <w:pStyle w:val="ListBullet2"/>
      </w:pPr>
      <w:bookmarkStart w:id="127" w:name="_Hlk152075745"/>
      <w:r w:rsidRPr="00B65F7F">
        <w:rPr>
          <w:rFonts w:asciiTheme="majorHAnsi" w:eastAsiaTheme="majorEastAsia" w:hAnsiTheme="majorHAnsi" w:cstheme="majorBidi"/>
          <w:b/>
          <w:bCs/>
        </w:rPr>
        <w:t xml:space="preserve">Feature 6.3: </w:t>
      </w:r>
      <w:r w:rsidR="00983F46" w:rsidRPr="00B65F7F">
        <w:rPr>
          <w:b/>
          <w:bCs/>
        </w:rPr>
        <w:t>Avoid</w:t>
      </w:r>
      <w:r w:rsidR="00F154F9">
        <w:rPr>
          <w:b/>
          <w:bCs/>
        </w:rPr>
        <w:t>ing</w:t>
      </w:r>
      <w:r w:rsidR="00983F46" w:rsidRPr="00B65F7F">
        <w:rPr>
          <w:b/>
          <w:bCs/>
        </w:rPr>
        <w:t xml:space="preserve"> imposing burdensome reporting requirements</w:t>
      </w:r>
      <w:bookmarkEnd w:id="127"/>
      <w:r w:rsidR="00983F46" w:rsidRPr="00B65F7F">
        <w:t xml:space="preserve"> on the </w:t>
      </w:r>
      <w:r w:rsidR="00C92B46">
        <w:t>Aboriginal and/or Torres Strait Islander</w:t>
      </w:r>
      <w:r w:rsidR="00215F17" w:rsidRPr="001D2E63">
        <w:t xml:space="preserve"> community-controlled sector</w:t>
      </w:r>
      <w:r w:rsidR="00DF1675" w:rsidRPr="00B65F7F">
        <w:t xml:space="preserve"> that do not contribute positively to the transformation efforts, particularly where risks or challenges are heightened. </w:t>
      </w:r>
    </w:p>
    <w:p w14:paraId="490B91C4" w14:textId="7FD5650F" w:rsidR="00F923B6" w:rsidRPr="00B65F7F" w:rsidRDefault="00F923B6" w:rsidP="005A07F2">
      <w:pPr>
        <w:pStyle w:val="Heading2"/>
      </w:pPr>
      <w:bookmarkStart w:id="128" w:name="_k3q4azq7ql0b" w:colFirst="0" w:colLast="0"/>
      <w:bookmarkStart w:id="129" w:name="_hotepa8b50g5" w:colFirst="0" w:colLast="0"/>
      <w:bookmarkStart w:id="130" w:name="_Toc156932009"/>
      <w:bookmarkEnd w:id="128"/>
      <w:bookmarkEnd w:id="129"/>
      <w:r w:rsidRPr="00B65F7F">
        <w:t xml:space="preserve">A </w:t>
      </w:r>
      <w:bookmarkStart w:id="131" w:name="RoadmapXform43_wordsonly"/>
      <w:r w:rsidR="00640FEA" w:rsidRPr="00B65F7F">
        <w:t>Roadmap</w:t>
      </w:r>
      <w:r w:rsidRPr="00B65F7F">
        <w:t xml:space="preserve"> for </w:t>
      </w:r>
      <w:r w:rsidR="00164973">
        <w:t>t</w:t>
      </w:r>
      <w:r w:rsidRPr="00B65F7F">
        <w:t>ransformation</w:t>
      </w:r>
      <w:bookmarkEnd w:id="130"/>
      <w:bookmarkEnd w:id="131"/>
    </w:p>
    <w:p w14:paraId="5BE3F95F" w14:textId="2E98C1B9" w:rsidR="00F923B6" w:rsidRPr="00B65F7F" w:rsidRDefault="00F923B6" w:rsidP="00020AA9">
      <w:pPr>
        <w:pStyle w:val="Heading3"/>
      </w:pPr>
      <w:bookmarkStart w:id="132" w:name="_eka7f0oysno9" w:colFirst="0" w:colLast="0"/>
      <w:bookmarkEnd w:id="132"/>
      <w:r w:rsidRPr="00B65F7F">
        <w:t>Overview</w:t>
      </w:r>
    </w:p>
    <w:p w14:paraId="53E2A44D" w14:textId="67F7B1A5" w:rsidR="004B3F05" w:rsidRDefault="00FB3FAF" w:rsidP="00020AA9">
      <w:pPr>
        <w:pStyle w:val="BodyText"/>
      </w:pPr>
      <w:r w:rsidRPr="00B65F7F">
        <w:t>T</w:t>
      </w:r>
      <w:r w:rsidR="00EC19A7" w:rsidRPr="00B65F7F">
        <w:t xml:space="preserve">his section sets out a Transformation </w:t>
      </w:r>
      <w:r w:rsidR="00640FEA" w:rsidRPr="00B65F7F">
        <w:t>Roadmap</w:t>
      </w:r>
      <w:r w:rsidR="0011567A" w:rsidRPr="00B65F7F">
        <w:t xml:space="preserve"> </w:t>
      </w:r>
      <w:r w:rsidR="00870ED4" w:rsidRPr="00B65F7F">
        <w:t>with</w:t>
      </w:r>
      <w:r w:rsidR="006929E9" w:rsidRPr="00B65F7F">
        <w:t xml:space="preserve"> </w:t>
      </w:r>
      <w:r w:rsidR="002F776F" w:rsidRPr="00B65F7F">
        <w:t xml:space="preserve">the key </w:t>
      </w:r>
      <w:r w:rsidR="002F776F" w:rsidRPr="00F0334E">
        <w:t>parameters</w:t>
      </w:r>
      <w:r w:rsidR="002F5715" w:rsidRPr="00B65F7F">
        <w:t xml:space="preserve">, </w:t>
      </w:r>
      <w:r w:rsidR="006929E9" w:rsidRPr="00F0334E">
        <w:t>activities</w:t>
      </w:r>
      <w:r w:rsidR="002F5715" w:rsidRPr="00B65F7F">
        <w:t xml:space="preserve"> and </w:t>
      </w:r>
      <w:r w:rsidR="002F5715" w:rsidRPr="00F0334E">
        <w:t>roles</w:t>
      </w:r>
      <w:r w:rsidR="006929E9" w:rsidRPr="00B65F7F">
        <w:t xml:space="preserve"> required to</w:t>
      </w:r>
      <w:r w:rsidR="00757CB4" w:rsidRPr="00B65F7F">
        <w:t xml:space="preserve"> progress towards </w:t>
      </w:r>
      <w:r w:rsidR="006929E9" w:rsidRPr="00B65F7F">
        <w:t>the</w:t>
      </w:r>
      <w:r w:rsidR="00F562B4">
        <w:t xml:space="preserve"> recommended</w:t>
      </w:r>
      <w:r w:rsidR="006929E9" w:rsidRPr="00B65F7F">
        <w:t xml:space="preserve"> future</w:t>
      </w:r>
      <w:r w:rsidR="00870ED4" w:rsidRPr="00B65F7F">
        <w:t>-state</w:t>
      </w:r>
      <w:r w:rsidR="006929E9" w:rsidRPr="00B65F7F">
        <w:t xml:space="preserve"> funding arrangements</w:t>
      </w:r>
      <w:r w:rsidR="009A2076" w:rsidRPr="00B65F7F">
        <w:t xml:space="preserve">. </w:t>
      </w:r>
      <w:r w:rsidR="002E2DB5" w:rsidRPr="00B65F7F">
        <w:t xml:space="preserve">As set out above in </w:t>
      </w:r>
      <w:r w:rsidR="00164973">
        <w:fldChar w:fldCharType="begin"/>
      </w:r>
      <w:r w:rsidR="00164973">
        <w:instrText xml:space="preserve"> REF TransformationFeatures62 \h  \* MERGEFORMAT </w:instrText>
      </w:r>
      <w:r w:rsidR="00164973">
        <w:fldChar w:fldCharType="separate"/>
      </w:r>
      <w:r w:rsidR="00934D5E" w:rsidRPr="00695A28">
        <w:t>Transformation features</w:t>
      </w:r>
      <w:r w:rsidR="00164973">
        <w:fldChar w:fldCharType="end"/>
      </w:r>
      <w:r w:rsidR="002E2DB5" w:rsidRPr="00B65F7F">
        <w:t>,</w:t>
      </w:r>
      <w:r w:rsidR="005A23DE" w:rsidRPr="00B65F7F">
        <w:t xml:space="preserve"> </w:t>
      </w:r>
      <w:r w:rsidR="00870ED4" w:rsidRPr="00B65F7F">
        <w:t>for</w:t>
      </w:r>
      <w:r w:rsidR="005A23DE" w:rsidRPr="00B65F7F">
        <w:t xml:space="preserve"> the transformation process to be self-determined </w:t>
      </w:r>
      <w:r w:rsidR="00F4559A" w:rsidRPr="00B65F7F">
        <w:t xml:space="preserve">by </w:t>
      </w:r>
      <w:r w:rsidR="002746DA">
        <w:t>Aboriginal and/or Torres Strait Islander</w:t>
      </w:r>
      <w:r w:rsidR="00F4559A" w:rsidRPr="00B65F7F">
        <w:t xml:space="preserve"> communities</w:t>
      </w:r>
      <w:r w:rsidR="00564984" w:rsidRPr="00B65F7F">
        <w:t>,</w:t>
      </w:r>
      <w:r w:rsidR="002E2DB5" w:rsidRPr="00B65F7F">
        <w:t xml:space="preserve"> the Transformation </w:t>
      </w:r>
      <w:r w:rsidR="00804ADE" w:rsidRPr="00B65F7F">
        <w:t>Roadmap</w:t>
      </w:r>
      <w:r w:rsidR="002E2DB5" w:rsidRPr="00B65F7F">
        <w:t xml:space="preserve"> </w:t>
      </w:r>
      <w:r w:rsidR="00C906F4">
        <w:t>must</w:t>
      </w:r>
      <w:r w:rsidR="002E2DB5" w:rsidRPr="00B65F7F">
        <w:t xml:space="preserve"> be nuanced to the contexts of each </w:t>
      </w:r>
      <w:r w:rsidR="002746DA">
        <w:t>Aboriginal and/or Torres Strait Islander</w:t>
      </w:r>
      <w:r w:rsidR="005A23DE" w:rsidRPr="00B65F7F">
        <w:t xml:space="preserve"> community</w:t>
      </w:r>
      <w:r w:rsidR="00F4559A" w:rsidRPr="00B65F7F">
        <w:t xml:space="preserve">. </w:t>
      </w:r>
      <w:r w:rsidR="00C906F4">
        <w:t>By doing so,</w:t>
      </w:r>
      <w:r w:rsidR="00F4559A" w:rsidRPr="00B65F7F">
        <w:t xml:space="preserve"> the Transformation </w:t>
      </w:r>
      <w:r w:rsidR="00686B20" w:rsidRPr="00B65F7F">
        <w:t>Roadmap</w:t>
      </w:r>
      <w:r w:rsidR="00F4559A" w:rsidRPr="00B65F7F">
        <w:t xml:space="preserve"> will </w:t>
      </w:r>
      <w:r w:rsidR="00686B20" w:rsidRPr="00B65F7F">
        <w:t>underpin the development of locally r</w:t>
      </w:r>
      <w:r w:rsidR="00F4559A" w:rsidRPr="00B65F7F">
        <w:t xml:space="preserve">elevant </w:t>
      </w:r>
      <w:r w:rsidR="001608BE" w:rsidRPr="00B65F7F">
        <w:t>Transformation Plan</w:t>
      </w:r>
      <w:r w:rsidR="0057482C" w:rsidRPr="00B65F7F">
        <w:t>s</w:t>
      </w:r>
      <w:r w:rsidR="00E429DA" w:rsidRPr="00B65F7F">
        <w:t>, which will include a time</w:t>
      </w:r>
      <w:r w:rsidR="00164973">
        <w:t xml:space="preserve"> </w:t>
      </w:r>
      <w:r w:rsidR="00E429DA" w:rsidRPr="00B65F7F">
        <w:t xml:space="preserve">frame for the stated activities that </w:t>
      </w:r>
      <w:r w:rsidR="0057482C" w:rsidRPr="00B65F7F">
        <w:t>align</w:t>
      </w:r>
      <w:r w:rsidR="00E429DA" w:rsidRPr="00B65F7F">
        <w:t xml:space="preserve"> </w:t>
      </w:r>
      <w:r w:rsidR="00C906F4">
        <w:t>with</w:t>
      </w:r>
      <w:r w:rsidR="00E429DA" w:rsidRPr="00B65F7F">
        <w:t xml:space="preserve"> local contexts</w:t>
      </w:r>
      <w:r w:rsidR="001608BE" w:rsidRPr="00B65F7F">
        <w:t>.</w:t>
      </w:r>
      <w:r w:rsidR="002E2DB5" w:rsidRPr="00B65F7F">
        <w:t xml:space="preserve"> </w:t>
      </w:r>
      <w:bookmarkStart w:id="133" w:name="_kucfg5r5hx17" w:colFirst="0" w:colLast="0"/>
      <w:bookmarkEnd w:id="133"/>
    </w:p>
    <w:p w14:paraId="38C6024D" w14:textId="77777777" w:rsidR="00C906F4" w:rsidRPr="00B65F7F" w:rsidRDefault="00BC7F07" w:rsidP="00020AA9">
      <w:pPr>
        <w:pStyle w:val="BodyText"/>
      </w:pPr>
      <w:r>
        <w:rPr>
          <w:lang w:val="en-GB"/>
        </w:rPr>
        <w:t xml:space="preserve">The roadmap includes </w:t>
      </w:r>
      <w:r w:rsidR="00014E5B">
        <w:rPr>
          <w:lang w:val="en-GB"/>
        </w:rPr>
        <w:t>the EAP</w:t>
      </w:r>
      <w:r>
        <w:rPr>
          <w:lang w:val="en-GB"/>
        </w:rPr>
        <w:t xml:space="preserve"> (Phases </w:t>
      </w:r>
      <w:r w:rsidR="007D5461">
        <w:rPr>
          <w:lang w:val="en-GB"/>
        </w:rPr>
        <w:t>2</w:t>
      </w:r>
      <w:r>
        <w:rPr>
          <w:lang w:val="en-GB"/>
        </w:rPr>
        <w:t xml:space="preserve"> and </w:t>
      </w:r>
      <w:r w:rsidR="007D5461">
        <w:rPr>
          <w:lang w:val="en-GB"/>
        </w:rPr>
        <w:t>3</w:t>
      </w:r>
      <w:r>
        <w:rPr>
          <w:lang w:val="en-GB"/>
        </w:rPr>
        <w:t>), supported by an Early Adopter Framew</w:t>
      </w:r>
      <w:r w:rsidRPr="00461E43">
        <w:rPr>
          <w:lang w:val="en-GB"/>
        </w:rPr>
        <w:t xml:space="preserve">ork (Appendix </w:t>
      </w:r>
      <w:r w:rsidR="005506DB" w:rsidRPr="00461E43">
        <w:rPr>
          <w:lang w:val="en-GB"/>
        </w:rPr>
        <w:t>1</w:t>
      </w:r>
      <w:r w:rsidR="00BD7A71" w:rsidRPr="00461E43">
        <w:rPr>
          <w:lang w:val="en-GB"/>
        </w:rPr>
        <w:t>1</w:t>
      </w:r>
      <w:r w:rsidRPr="00461E43">
        <w:rPr>
          <w:lang w:val="en-GB"/>
        </w:rPr>
        <w:t>).</w:t>
      </w:r>
      <w:r>
        <w:rPr>
          <w:lang w:val="en-GB"/>
        </w:rPr>
        <w:t xml:space="preserve"> The </w:t>
      </w:r>
      <w:r w:rsidR="005506DB">
        <w:rPr>
          <w:lang w:val="en-GB"/>
        </w:rPr>
        <w:t>EAP</w:t>
      </w:r>
      <w:r w:rsidRPr="004715E0">
        <w:rPr>
          <w:lang w:val="en-GB"/>
        </w:rPr>
        <w:t xml:space="preserve"> </w:t>
      </w:r>
      <w:r w:rsidR="005506DB">
        <w:rPr>
          <w:lang w:val="en-GB"/>
        </w:rPr>
        <w:t>gives</w:t>
      </w:r>
      <w:r w:rsidRPr="004715E0">
        <w:rPr>
          <w:lang w:val="en-GB"/>
        </w:rPr>
        <w:t xml:space="preserve"> organisations</w:t>
      </w:r>
      <w:r>
        <w:rPr>
          <w:lang w:val="en-GB"/>
        </w:rPr>
        <w:t xml:space="preserve"> an opportunity</w:t>
      </w:r>
      <w:r w:rsidRPr="004715E0">
        <w:rPr>
          <w:lang w:val="en-GB"/>
        </w:rPr>
        <w:t xml:space="preserve"> to opt</w:t>
      </w:r>
      <w:r w:rsidR="005506DB">
        <w:rPr>
          <w:lang w:val="en-GB"/>
        </w:rPr>
        <w:t xml:space="preserve"> </w:t>
      </w:r>
      <w:r w:rsidRPr="004715E0">
        <w:rPr>
          <w:lang w:val="en-GB"/>
        </w:rPr>
        <w:t>for the transition</w:t>
      </w:r>
      <w:r>
        <w:rPr>
          <w:lang w:val="en-GB"/>
        </w:rPr>
        <w:t xml:space="preserve">, giving </w:t>
      </w:r>
      <w:r w:rsidR="005506DB">
        <w:rPr>
          <w:lang w:val="en-GB"/>
        </w:rPr>
        <w:t>DoHAC</w:t>
      </w:r>
      <w:r>
        <w:rPr>
          <w:lang w:val="en-GB"/>
        </w:rPr>
        <w:t xml:space="preserve"> the opportunity to learn, test and ultimately make informed decisions on how best </w:t>
      </w:r>
      <w:r w:rsidR="005506DB">
        <w:rPr>
          <w:lang w:val="en-GB"/>
        </w:rPr>
        <w:t xml:space="preserve">to </w:t>
      </w:r>
      <w:r>
        <w:rPr>
          <w:lang w:val="en-GB"/>
        </w:rPr>
        <w:t>approach a national rollout (</w:t>
      </w:r>
      <w:r w:rsidR="007D5461">
        <w:rPr>
          <w:lang w:val="en-GB"/>
        </w:rPr>
        <w:t>P</w:t>
      </w:r>
      <w:r>
        <w:rPr>
          <w:lang w:val="en-GB"/>
        </w:rPr>
        <w:t>hase</w:t>
      </w:r>
      <w:r w:rsidR="007D5461">
        <w:rPr>
          <w:lang w:val="en-GB"/>
        </w:rPr>
        <w:t>s</w:t>
      </w:r>
      <w:r>
        <w:rPr>
          <w:lang w:val="en-GB"/>
        </w:rPr>
        <w:t xml:space="preserve"> </w:t>
      </w:r>
      <w:r w:rsidR="007D5461">
        <w:rPr>
          <w:lang w:val="en-GB"/>
        </w:rPr>
        <w:t>4</w:t>
      </w:r>
      <w:r>
        <w:rPr>
          <w:lang w:val="en-GB"/>
        </w:rPr>
        <w:t xml:space="preserve"> and </w:t>
      </w:r>
      <w:r w:rsidR="007D5461">
        <w:rPr>
          <w:lang w:val="en-GB"/>
        </w:rPr>
        <w:t>5</w:t>
      </w:r>
      <w:r>
        <w:rPr>
          <w:lang w:val="en-GB"/>
        </w:rPr>
        <w:t xml:space="preserve">) of new funding arrangement(s) for the Relevant Health Programs (and beyond). </w:t>
      </w:r>
    </w:p>
    <w:p w14:paraId="1F532622" w14:textId="34CFE013" w:rsidR="00F923B6" w:rsidRPr="00B65F7F" w:rsidRDefault="00F923B6" w:rsidP="00020AA9">
      <w:pPr>
        <w:pStyle w:val="Heading3"/>
      </w:pPr>
      <w:r w:rsidRPr="00B65F7F">
        <w:t xml:space="preserve">Transformation </w:t>
      </w:r>
      <w:r w:rsidR="00640FEA" w:rsidRPr="00B65F7F">
        <w:t>Roadmap</w:t>
      </w:r>
      <w:r w:rsidRPr="00B65F7F">
        <w:t xml:space="preserve"> (summary)</w:t>
      </w:r>
    </w:p>
    <w:p w14:paraId="53EA97E1" w14:textId="55641354" w:rsidR="001608BE" w:rsidRDefault="00370C01" w:rsidP="00020AA9">
      <w:pPr>
        <w:pStyle w:val="BodyText"/>
      </w:pPr>
      <w:r>
        <w:fldChar w:fldCharType="begin"/>
      </w:r>
      <w:r>
        <w:instrText xml:space="preserve"> REF _Ref151905243 \h </w:instrText>
      </w:r>
      <w:r>
        <w:fldChar w:fldCharType="separate"/>
      </w:r>
      <w:r w:rsidR="00934D5E">
        <w:t xml:space="preserve">Figure </w:t>
      </w:r>
      <w:r w:rsidR="00934D5E">
        <w:rPr>
          <w:noProof/>
        </w:rPr>
        <w:t>8</w:t>
      </w:r>
      <w:r>
        <w:fldChar w:fldCharType="end"/>
      </w:r>
      <w:r w:rsidR="00323099" w:rsidRPr="00B65F7F">
        <w:t xml:space="preserve"> below </w:t>
      </w:r>
      <w:r w:rsidR="007E6870" w:rsidRPr="00B65F7F">
        <w:t xml:space="preserve">provides an </w:t>
      </w:r>
      <w:r w:rsidR="009B09EF" w:rsidRPr="00B65F7F">
        <w:t>overview</w:t>
      </w:r>
      <w:r w:rsidR="007E6870" w:rsidRPr="00B65F7F">
        <w:t xml:space="preserve"> of the </w:t>
      </w:r>
      <w:r w:rsidR="00774F0E">
        <w:t>6</w:t>
      </w:r>
      <w:r w:rsidR="007E6870" w:rsidRPr="00B65F7F">
        <w:t xml:space="preserve">-phased Transformation </w:t>
      </w:r>
      <w:r w:rsidR="00663945" w:rsidRPr="00B65F7F">
        <w:t>Roadmap</w:t>
      </w:r>
      <w:r w:rsidR="007E6870" w:rsidRPr="00B65F7F">
        <w:t xml:space="preserve">. </w:t>
      </w:r>
    </w:p>
    <w:p w14:paraId="69D16F0C" w14:textId="0AF53D98" w:rsidR="005506DB" w:rsidRPr="00B65F7F" w:rsidRDefault="00370C01" w:rsidP="005506DB">
      <w:pPr>
        <w:pStyle w:val="CaptionFigure"/>
        <w:rPr>
          <w:rFonts w:ascii="Calibri" w:hAnsi="Calibri" w:cs="Calibri"/>
          <w:szCs w:val="22"/>
          <w:lang w:val="en-AU"/>
        </w:rPr>
      </w:pPr>
      <w:bookmarkStart w:id="134" w:name="_Ref151905243"/>
      <w:bookmarkStart w:id="135" w:name="_Toc156932035"/>
      <w:r>
        <w:lastRenderedPageBreak/>
        <w:t xml:space="preserve">Figure </w:t>
      </w:r>
      <w:r>
        <w:fldChar w:fldCharType="begin"/>
      </w:r>
      <w:r>
        <w:instrText>SEQ Figure \* ARABIC</w:instrText>
      </w:r>
      <w:r>
        <w:fldChar w:fldCharType="separate"/>
      </w:r>
      <w:r w:rsidR="00934D5E">
        <w:rPr>
          <w:noProof/>
        </w:rPr>
        <w:t>8</w:t>
      </w:r>
      <w:r>
        <w:fldChar w:fldCharType="end"/>
      </w:r>
      <w:bookmarkEnd w:id="134"/>
      <w:r w:rsidR="005506DB" w:rsidRPr="00B65F7F">
        <w:rPr>
          <w:lang w:val="en-AU"/>
        </w:rPr>
        <w:t xml:space="preserve">: Overview of the </w:t>
      </w:r>
      <w:r w:rsidR="005506DB">
        <w:rPr>
          <w:lang w:val="en-AU"/>
        </w:rPr>
        <w:t>6</w:t>
      </w:r>
      <w:r w:rsidR="005506DB" w:rsidRPr="00B65F7F">
        <w:rPr>
          <w:lang w:val="en-AU"/>
        </w:rPr>
        <w:t>-phased Transformation Roadmap</w:t>
      </w:r>
      <w:bookmarkEnd w:id="135"/>
    </w:p>
    <w:p w14:paraId="229E172C" w14:textId="77777777" w:rsidR="00FF6594" w:rsidRDefault="00FF6594" w:rsidP="00020AA9">
      <w:pPr>
        <w:pStyle w:val="BodyText"/>
      </w:pPr>
      <w:r>
        <w:rPr>
          <w:noProof/>
        </w:rPr>
        <w:drawing>
          <wp:inline distT="0" distB="0" distL="0" distR="0" wp14:anchorId="66655139" wp14:editId="134B968D">
            <wp:extent cx="6156892" cy="3097161"/>
            <wp:effectExtent l="0" t="0" r="0" b="8255"/>
            <wp:docPr id="1" name="Picture 1" descr="The 6 phases of the proposed pathway to transformation are mapped across 4 stages. Each stage is represented by a rectangle that shows the stage’s name, the phases in the stage, and details of the activities and stakeholders. Phase 1 will occur in the Planning stage. Phases 2 and 3 will occur in the Early Adopter Period stage. Phases 4 and 5 will occur in the National Transition stage. Phase 6 will occur in the Transformation st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he 6 phases of the proposed pathway to transformation are mapped across 4 stages. Each stage is represented by a rectangle that shows the stage’s name, the phases in the stage, and details of the activities and stakeholders. Phase 1 will occur in the Planning stage. Phases 2 and 3 will occur in the Early Adopter Period stage. Phases 4 and 5 will occur in the National Transition stage. Phase 6 will occur in the Transformation stage.&#10;"/>
                    <pic:cNvPicPr/>
                  </pic:nvPicPr>
                  <pic:blipFill rotWithShape="1">
                    <a:blip r:embed="rId40" cstate="print">
                      <a:extLst>
                        <a:ext uri="{28A0092B-C50C-407E-A947-70E740481C1C}">
                          <a14:useLocalDpi xmlns:a14="http://schemas.microsoft.com/office/drawing/2010/main" val="0"/>
                        </a:ext>
                      </a:extLst>
                    </a:blip>
                    <a:srcRect t="2694" b="26150"/>
                    <a:stretch/>
                  </pic:blipFill>
                  <pic:spPr bwMode="auto">
                    <a:xfrm>
                      <a:off x="0" y="0"/>
                      <a:ext cx="6209579" cy="3123665"/>
                    </a:xfrm>
                    <a:prstGeom prst="rect">
                      <a:avLst/>
                    </a:prstGeom>
                    <a:ln>
                      <a:noFill/>
                    </a:ln>
                    <a:extLst>
                      <a:ext uri="{53640926-AAD7-44D8-BBD7-CCE9431645EC}">
                        <a14:shadowObscured xmlns:a14="http://schemas.microsoft.com/office/drawing/2010/main"/>
                      </a:ext>
                    </a:extLst>
                  </pic:spPr>
                </pic:pic>
              </a:graphicData>
            </a:graphic>
          </wp:inline>
        </w:drawing>
      </w:r>
    </w:p>
    <w:p w14:paraId="25EBB779" w14:textId="77777777" w:rsidR="005C6CD5" w:rsidRPr="00B65F7F" w:rsidRDefault="00110F8C" w:rsidP="00020AA9">
      <w:pPr>
        <w:pStyle w:val="BodyText"/>
      </w:pPr>
      <w:r w:rsidRPr="00B65F7F">
        <w:t xml:space="preserve">The Transformation </w:t>
      </w:r>
      <w:r w:rsidR="00640FEA" w:rsidRPr="00B65F7F">
        <w:t>Roadmap</w:t>
      </w:r>
      <w:r w:rsidRPr="00B65F7F">
        <w:t xml:space="preserve"> </w:t>
      </w:r>
      <w:r w:rsidR="001C6102" w:rsidRPr="00B65F7F">
        <w:t>follows</w:t>
      </w:r>
      <w:r w:rsidR="00FE0EC5" w:rsidRPr="00B65F7F">
        <w:t xml:space="preserve"> a</w:t>
      </w:r>
      <w:r w:rsidR="001C6102" w:rsidRPr="00B65F7F">
        <w:t xml:space="preserve"> </w:t>
      </w:r>
      <w:r w:rsidR="008D25BF">
        <w:t>6</w:t>
      </w:r>
      <w:r w:rsidR="001C6102" w:rsidRPr="00B65F7F">
        <w:t>-phased</w:t>
      </w:r>
      <w:r w:rsidR="00FE0EC5" w:rsidRPr="00B65F7F">
        <w:t xml:space="preserve"> approach, </w:t>
      </w:r>
      <w:r w:rsidR="000E7E36" w:rsidRPr="00B65F7F">
        <w:t>involving</w:t>
      </w:r>
      <w:r w:rsidR="005C6CD5" w:rsidRPr="00B65F7F">
        <w:t>:</w:t>
      </w:r>
    </w:p>
    <w:p w14:paraId="5EEA512E" w14:textId="77777777" w:rsidR="005C6CD5" w:rsidRDefault="00AE305F" w:rsidP="003B07D3">
      <w:pPr>
        <w:pStyle w:val="List1"/>
        <w:numPr>
          <w:ilvl w:val="0"/>
          <w:numId w:val="12"/>
        </w:numPr>
      </w:pPr>
      <w:r w:rsidRPr="0084559E">
        <w:t>p</w:t>
      </w:r>
      <w:r w:rsidR="004C7511" w:rsidRPr="0084559E">
        <w:t xml:space="preserve">roactive </w:t>
      </w:r>
      <w:r w:rsidR="00B264B5">
        <w:t xml:space="preserve">preparation, </w:t>
      </w:r>
      <w:r w:rsidR="005C6CD5" w:rsidRPr="0084559E">
        <w:t>planning</w:t>
      </w:r>
      <w:r w:rsidR="007C65AD">
        <w:t>,</w:t>
      </w:r>
      <w:r w:rsidR="005C6CD5" w:rsidRPr="0084559E">
        <w:t xml:space="preserve"> and </w:t>
      </w:r>
      <w:r w:rsidR="004C7511" w:rsidRPr="0084559E">
        <w:t xml:space="preserve">risk management (Phase </w:t>
      </w:r>
      <w:r w:rsidR="00173776">
        <w:t>1</w:t>
      </w:r>
      <w:r w:rsidR="005C6CD5" w:rsidRPr="0084559E">
        <w:t>: Pre-transition</w:t>
      </w:r>
      <w:r w:rsidR="004C7511" w:rsidRPr="0084559E">
        <w:t xml:space="preserve">) </w:t>
      </w:r>
    </w:p>
    <w:p w14:paraId="5E3942B4" w14:textId="77777777" w:rsidR="00774F0E" w:rsidRDefault="00774F0E" w:rsidP="003B07D3">
      <w:pPr>
        <w:pStyle w:val="List1"/>
        <w:numPr>
          <w:ilvl w:val="0"/>
          <w:numId w:val="12"/>
        </w:numPr>
      </w:pPr>
      <w:r>
        <w:t xml:space="preserve">identifying and engaging early adopters (Phase </w:t>
      </w:r>
      <w:r w:rsidR="00173776">
        <w:t>2</w:t>
      </w:r>
      <w:r>
        <w:t>: Establish EAP)</w:t>
      </w:r>
    </w:p>
    <w:p w14:paraId="55C0C9EF" w14:textId="77777777" w:rsidR="00774F0E" w:rsidRPr="0084559E" w:rsidRDefault="00774F0E" w:rsidP="003B07D3">
      <w:pPr>
        <w:pStyle w:val="List1"/>
        <w:numPr>
          <w:ilvl w:val="0"/>
          <w:numId w:val="12"/>
        </w:numPr>
      </w:pPr>
      <w:r w:rsidRPr="0084559E">
        <w:t xml:space="preserve">the transition of Relevant Health Programs from PHNs to the </w:t>
      </w:r>
      <w:r>
        <w:t>selected early adopter entities (</w:t>
      </w:r>
      <w:r w:rsidRPr="00774F0E">
        <w:t xml:space="preserve">Phase </w:t>
      </w:r>
      <w:r w:rsidR="00173776">
        <w:t>3</w:t>
      </w:r>
      <w:r w:rsidRPr="00774F0E">
        <w:t xml:space="preserve">: EAP </w:t>
      </w:r>
      <w:r w:rsidR="005506DB">
        <w:t>t</w:t>
      </w:r>
      <w:r w:rsidRPr="00774F0E">
        <w:t>ransition</w:t>
      </w:r>
      <w:r>
        <w:t>)</w:t>
      </w:r>
    </w:p>
    <w:p w14:paraId="600FA7CB" w14:textId="77777777" w:rsidR="005C6CD5" w:rsidRPr="0084559E" w:rsidRDefault="00774F0E" w:rsidP="003B07D3">
      <w:pPr>
        <w:pStyle w:val="List1"/>
        <w:numPr>
          <w:ilvl w:val="0"/>
          <w:numId w:val="12"/>
        </w:numPr>
      </w:pPr>
      <w:r>
        <w:t xml:space="preserve">National transition </w:t>
      </w:r>
      <w:r w:rsidR="004C7511" w:rsidRPr="0084559E">
        <w:t xml:space="preserve">service and sector </w:t>
      </w:r>
      <w:r w:rsidR="004F63FB" w:rsidRPr="0084559E">
        <w:t>planning (Phase</w:t>
      </w:r>
      <w:r w:rsidR="0028121D" w:rsidRPr="0084559E">
        <w:t xml:space="preserve"> </w:t>
      </w:r>
      <w:r w:rsidR="00173776">
        <w:t>4</w:t>
      </w:r>
      <w:r w:rsidR="005C6CD5" w:rsidRPr="0084559E">
        <w:t>: Establish</w:t>
      </w:r>
      <w:r>
        <w:t xml:space="preserve"> </w:t>
      </w:r>
      <w:r w:rsidR="005506DB">
        <w:t>n</w:t>
      </w:r>
      <w:r>
        <w:t xml:space="preserve">ational </w:t>
      </w:r>
      <w:r w:rsidR="005506DB">
        <w:t>t</w:t>
      </w:r>
      <w:r>
        <w:t>ransition</w:t>
      </w:r>
      <w:r w:rsidR="004F63FB" w:rsidRPr="0084559E">
        <w:t xml:space="preserve">) </w:t>
      </w:r>
    </w:p>
    <w:p w14:paraId="53A50C02" w14:textId="77777777" w:rsidR="005C6CD5" w:rsidRPr="0084559E" w:rsidRDefault="004F63FB" w:rsidP="003B07D3">
      <w:pPr>
        <w:pStyle w:val="List1"/>
        <w:numPr>
          <w:ilvl w:val="0"/>
          <w:numId w:val="12"/>
        </w:numPr>
      </w:pPr>
      <w:r w:rsidRPr="0084559E">
        <w:t>the transition of</w:t>
      </w:r>
      <w:r w:rsidR="001C6102" w:rsidRPr="0084559E">
        <w:t xml:space="preserve"> </w:t>
      </w:r>
      <w:r w:rsidR="00AE305F" w:rsidRPr="0084559E">
        <w:t>R</w:t>
      </w:r>
      <w:r w:rsidRPr="0084559E">
        <w:t xml:space="preserve">elevant </w:t>
      </w:r>
      <w:r w:rsidR="00AE305F" w:rsidRPr="0084559E">
        <w:t>H</w:t>
      </w:r>
      <w:r w:rsidRPr="0084559E">
        <w:t xml:space="preserve">ealth </w:t>
      </w:r>
      <w:r w:rsidR="00AE305F" w:rsidRPr="0084559E">
        <w:t>Programs</w:t>
      </w:r>
      <w:r w:rsidRPr="0084559E">
        <w:t xml:space="preserve"> </w:t>
      </w:r>
      <w:r w:rsidR="001C6102" w:rsidRPr="0084559E">
        <w:t xml:space="preserve">from </w:t>
      </w:r>
      <w:r w:rsidR="00774F0E">
        <w:t xml:space="preserve">all </w:t>
      </w:r>
      <w:r w:rsidR="001C6102" w:rsidRPr="0084559E">
        <w:t xml:space="preserve">PHNs to the ACCHO sector </w:t>
      </w:r>
      <w:r w:rsidRPr="0084559E">
        <w:t xml:space="preserve">(Phase </w:t>
      </w:r>
      <w:r w:rsidR="00173776">
        <w:t>5</w:t>
      </w:r>
      <w:r w:rsidR="005C6CD5" w:rsidRPr="0084559E">
        <w:t>:</w:t>
      </w:r>
      <w:r w:rsidR="00774F0E">
        <w:t xml:space="preserve"> National</w:t>
      </w:r>
      <w:r w:rsidR="005C6CD5" w:rsidRPr="0084559E">
        <w:t xml:space="preserve"> </w:t>
      </w:r>
      <w:r w:rsidR="005506DB">
        <w:t>t</w:t>
      </w:r>
      <w:r w:rsidR="005C6CD5" w:rsidRPr="0084559E">
        <w:t>ransition</w:t>
      </w:r>
      <w:r w:rsidRPr="0084559E">
        <w:t xml:space="preserve">) </w:t>
      </w:r>
    </w:p>
    <w:p w14:paraId="7DCA8CD4" w14:textId="77777777" w:rsidR="00F0619C" w:rsidRPr="0084559E" w:rsidRDefault="004F63FB" w:rsidP="003B07D3">
      <w:pPr>
        <w:pStyle w:val="List1"/>
        <w:numPr>
          <w:ilvl w:val="0"/>
          <w:numId w:val="12"/>
        </w:numPr>
      </w:pPr>
      <w:r w:rsidRPr="0084559E">
        <w:t xml:space="preserve">the ambitious (yet necessary) transformation of </w:t>
      </w:r>
      <w:r w:rsidR="00CD49D2" w:rsidRPr="0084559E">
        <w:t xml:space="preserve">funding arrangements </w:t>
      </w:r>
      <w:r w:rsidR="003937BE" w:rsidRPr="0084559E">
        <w:t>for</w:t>
      </w:r>
      <w:r w:rsidR="00CD49D2" w:rsidRPr="0084559E">
        <w:t xml:space="preserve"> all </w:t>
      </w:r>
      <w:r w:rsidR="00AE305F" w:rsidRPr="0084559E">
        <w:t xml:space="preserve">Australian </w:t>
      </w:r>
      <w:r w:rsidR="00095904" w:rsidRPr="0084559E">
        <w:t>Government</w:t>
      </w:r>
      <w:r w:rsidR="00AE305F" w:rsidRPr="0084559E">
        <w:t>–</w:t>
      </w:r>
      <w:r w:rsidR="00CD49D2" w:rsidRPr="0084559E">
        <w:t xml:space="preserve">funded programs </w:t>
      </w:r>
      <w:r w:rsidR="00C974E5" w:rsidRPr="0084559E">
        <w:t xml:space="preserve">directed to the </w:t>
      </w:r>
      <w:r w:rsidR="00C92B46" w:rsidRPr="0084559E">
        <w:t>Aboriginal and/or Torres Strait Islander</w:t>
      </w:r>
      <w:r w:rsidR="00215F17" w:rsidRPr="0084559E">
        <w:t xml:space="preserve"> community-controlled sector</w:t>
      </w:r>
      <w:r w:rsidR="00C974E5" w:rsidRPr="0084559E">
        <w:t xml:space="preserve"> </w:t>
      </w:r>
      <w:r w:rsidR="003937BE" w:rsidRPr="0084559E">
        <w:t>(Phase</w:t>
      </w:r>
      <w:r w:rsidR="00BA21AC" w:rsidRPr="0084559E">
        <w:t> </w:t>
      </w:r>
      <w:r w:rsidR="00173776">
        <w:t>6</w:t>
      </w:r>
      <w:r w:rsidR="005C6CD5" w:rsidRPr="0084559E">
        <w:t>: Transform</w:t>
      </w:r>
      <w:r w:rsidR="003937BE" w:rsidRPr="0084559E">
        <w:t>).</w:t>
      </w:r>
      <w:r w:rsidR="00E77676" w:rsidRPr="0084559E">
        <w:t xml:space="preserve"> </w:t>
      </w:r>
    </w:p>
    <w:p w14:paraId="5E8994A1" w14:textId="77777777" w:rsidR="005C6CD5" w:rsidRPr="00B65F7F" w:rsidRDefault="00F0619C" w:rsidP="00020AA9">
      <w:pPr>
        <w:pStyle w:val="BodyText1stparaafterlist"/>
      </w:pPr>
      <w:r w:rsidRPr="00B65F7F">
        <w:t xml:space="preserve">The Transformation </w:t>
      </w:r>
      <w:r w:rsidR="00640FEA" w:rsidRPr="00B65F7F">
        <w:t>Roadmap</w:t>
      </w:r>
      <w:r w:rsidR="00E77676" w:rsidRPr="00B65F7F">
        <w:t xml:space="preserve"> also identifies </w:t>
      </w:r>
      <w:r w:rsidR="00CA0D93" w:rsidRPr="00B65F7F">
        <w:t>4</w:t>
      </w:r>
      <w:r w:rsidR="00DA5C7F" w:rsidRPr="00B65F7F">
        <w:t xml:space="preserve"> key enablers</w:t>
      </w:r>
      <w:r w:rsidR="005C6CD5" w:rsidRPr="00B65F7F">
        <w:t>:</w:t>
      </w:r>
    </w:p>
    <w:p w14:paraId="5F17C8D1" w14:textId="77777777" w:rsidR="005C6CD5" w:rsidRPr="00CC4877" w:rsidRDefault="00AE305F" w:rsidP="003B07D3">
      <w:pPr>
        <w:pStyle w:val="List1"/>
        <w:numPr>
          <w:ilvl w:val="0"/>
          <w:numId w:val="24"/>
        </w:numPr>
      </w:pPr>
      <w:r w:rsidRPr="00CC4877">
        <w:t>m</w:t>
      </w:r>
      <w:r w:rsidR="00F0619C" w:rsidRPr="00CC4877">
        <w:t xml:space="preserve">eaningful </w:t>
      </w:r>
      <w:r w:rsidRPr="00CC4877">
        <w:t>i</w:t>
      </w:r>
      <w:r w:rsidR="00F0619C" w:rsidRPr="00CC4877">
        <w:t xml:space="preserve">nvestment </w:t>
      </w:r>
      <w:r w:rsidR="00CA0D93" w:rsidRPr="00CC4877">
        <w:t xml:space="preserve">into the ACCHO sector </w:t>
      </w:r>
      <w:r w:rsidR="00F0619C" w:rsidRPr="00CC4877">
        <w:t xml:space="preserve">(Enabler 1) </w:t>
      </w:r>
    </w:p>
    <w:p w14:paraId="2E7FDC15" w14:textId="77777777" w:rsidR="005C6CD5" w:rsidRPr="00CC4877" w:rsidRDefault="00AE305F" w:rsidP="003B07D3">
      <w:pPr>
        <w:pStyle w:val="List1"/>
        <w:numPr>
          <w:ilvl w:val="0"/>
          <w:numId w:val="24"/>
        </w:numPr>
      </w:pPr>
      <w:r w:rsidRPr="00CC4877">
        <w:t>s</w:t>
      </w:r>
      <w:r w:rsidR="00DA5C7F" w:rsidRPr="00CC4877">
        <w:t xml:space="preserve">ector and </w:t>
      </w:r>
      <w:r w:rsidRPr="00CC4877">
        <w:t>g</w:t>
      </w:r>
      <w:r w:rsidR="00DA5C7F" w:rsidRPr="00CC4877">
        <w:t xml:space="preserve">overnment </w:t>
      </w:r>
      <w:r w:rsidRPr="00CC4877">
        <w:t>t</w:t>
      </w:r>
      <w:r w:rsidR="00DA5C7F" w:rsidRPr="00CC4877">
        <w:t>ransformation</w:t>
      </w:r>
      <w:r w:rsidR="00F0619C" w:rsidRPr="00CC4877">
        <w:t xml:space="preserve"> (Enabler 2)</w:t>
      </w:r>
      <w:r w:rsidR="00DA5C7F" w:rsidRPr="00CC4877">
        <w:t xml:space="preserve"> </w:t>
      </w:r>
    </w:p>
    <w:p w14:paraId="7A2AE984" w14:textId="77777777" w:rsidR="005C6CD5" w:rsidRPr="00CC4877" w:rsidRDefault="00AE305F" w:rsidP="003B07D3">
      <w:pPr>
        <w:pStyle w:val="List1"/>
        <w:numPr>
          <w:ilvl w:val="0"/>
          <w:numId w:val="24"/>
        </w:numPr>
      </w:pPr>
      <w:r w:rsidRPr="00CC4877">
        <w:t>d</w:t>
      </w:r>
      <w:r w:rsidR="00DA5C7F" w:rsidRPr="00CC4877">
        <w:t xml:space="preserve">ata </w:t>
      </w:r>
      <w:r w:rsidRPr="00CC4877">
        <w:t>c</w:t>
      </w:r>
      <w:r w:rsidR="00DA5C7F" w:rsidRPr="00CC4877">
        <w:t xml:space="preserve">ollection and </w:t>
      </w:r>
      <w:r w:rsidRPr="00CC4877">
        <w:t>s</w:t>
      </w:r>
      <w:r w:rsidR="00DA5C7F" w:rsidRPr="00CC4877">
        <w:t>haring</w:t>
      </w:r>
      <w:r w:rsidR="00F0619C" w:rsidRPr="00CC4877">
        <w:t xml:space="preserve"> (Enabler 3)</w:t>
      </w:r>
    </w:p>
    <w:p w14:paraId="5B4D6FA0" w14:textId="77777777" w:rsidR="005C6CD5" w:rsidRPr="00CC4877" w:rsidRDefault="00AE305F" w:rsidP="003B07D3">
      <w:pPr>
        <w:pStyle w:val="List1"/>
        <w:numPr>
          <w:ilvl w:val="0"/>
          <w:numId w:val="24"/>
        </w:numPr>
      </w:pPr>
      <w:r w:rsidRPr="00CC4877">
        <w:t>c</w:t>
      </w:r>
      <w:r w:rsidR="00AE5F32" w:rsidRPr="00CC4877">
        <w:t xml:space="preserve">ontinued </w:t>
      </w:r>
      <w:r w:rsidRPr="00CC4877">
        <w:t>p</w:t>
      </w:r>
      <w:r w:rsidR="00AE5F32" w:rsidRPr="00CC4877">
        <w:t xml:space="preserve">romotion of </w:t>
      </w:r>
      <w:r w:rsidRPr="00CC4877">
        <w:t>c</w:t>
      </w:r>
      <w:r w:rsidR="00AE5F32" w:rsidRPr="00CC4877">
        <w:t xml:space="preserve">ultural </w:t>
      </w:r>
      <w:r w:rsidRPr="00CC4877">
        <w:t>s</w:t>
      </w:r>
      <w:r w:rsidR="00AE5F32" w:rsidRPr="00CC4877">
        <w:t xml:space="preserve">afety across the </w:t>
      </w:r>
      <w:r w:rsidRPr="00CC4877">
        <w:t>h</w:t>
      </w:r>
      <w:r w:rsidR="00AE5F32" w:rsidRPr="00CC4877">
        <w:t xml:space="preserve">ealth </w:t>
      </w:r>
      <w:r w:rsidRPr="00CC4877">
        <w:t>s</w:t>
      </w:r>
      <w:r w:rsidR="00AE5F32" w:rsidRPr="00CC4877">
        <w:t>ystem (Enabler 4)</w:t>
      </w:r>
      <w:r w:rsidR="00F0619C" w:rsidRPr="00CC4877">
        <w:t xml:space="preserve">. </w:t>
      </w:r>
    </w:p>
    <w:p w14:paraId="44C044EF" w14:textId="77777777" w:rsidR="00190B42" w:rsidRDefault="004C7511" w:rsidP="00020AA9">
      <w:pPr>
        <w:pStyle w:val="BodyText1stparaafterlist"/>
      </w:pPr>
      <w:r w:rsidRPr="00B65F7F">
        <w:t>T</w:t>
      </w:r>
      <w:r w:rsidR="00F0619C" w:rsidRPr="00B65F7F">
        <w:t xml:space="preserve">hese enablers reflect the key concepts contained in </w:t>
      </w:r>
      <w:r w:rsidR="00E57FD3" w:rsidRPr="00B65F7F">
        <w:t>Priorit</w:t>
      </w:r>
      <w:r w:rsidR="00F0619C" w:rsidRPr="00B65F7F">
        <w:t>ies</w:t>
      </w:r>
      <w:r w:rsidR="00E57FD3" w:rsidRPr="00B65F7F">
        <w:t xml:space="preserve"> </w:t>
      </w:r>
      <w:r w:rsidR="0022401A" w:rsidRPr="00B65F7F">
        <w:t xml:space="preserve">2, </w:t>
      </w:r>
      <w:r w:rsidR="00E57FD3" w:rsidRPr="00B65F7F">
        <w:t xml:space="preserve">3 </w:t>
      </w:r>
      <w:r w:rsidR="00F0619C" w:rsidRPr="00B65F7F">
        <w:t xml:space="preserve">and </w:t>
      </w:r>
      <w:r w:rsidR="00E57FD3" w:rsidRPr="00B65F7F">
        <w:t>4</w:t>
      </w:r>
      <w:r w:rsidR="00F0619C" w:rsidRPr="00B65F7F">
        <w:t xml:space="preserve"> of the </w:t>
      </w:r>
      <w:r w:rsidR="00E57FD3" w:rsidRPr="00B65F7F">
        <w:t>National Agreement</w:t>
      </w:r>
      <w:r w:rsidR="00AD48E8" w:rsidRPr="00B65F7F">
        <w:t>.</w:t>
      </w:r>
    </w:p>
    <w:p w14:paraId="1F216FAD" w14:textId="0DAD2240" w:rsidR="0084559E" w:rsidRPr="0084559E" w:rsidRDefault="0084559E" w:rsidP="0084559E">
      <w:pPr>
        <w:pStyle w:val="CaptionBox"/>
        <w:rPr>
          <w:bCs w:val="0"/>
        </w:rPr>
      </w:pPr>
      <w:bookmarkStart w:id="136" w:name="_Toc156932061"/>
      <w:r w:rsidRPr="00B65F7F">
        <w:t xml:space="preserve">Box </w:t>
      </w:r>
      <w:r w:rsidRPr="00B65F7F">
        <w:fldChar w:fldCharType="begin"/>
      </w:r>
      <w:r w:rsidRPr="00B65F7F">
        <w:instrText xml:space="preserve"> SEQ Box \* ARABIC </w:instrText>
      </w:r>
      <w:r w:rsidRPr="00B65F7F">
        <w:fldChar w:fldCharType="separate"/>
      </w:r>
      <w:r w:rsidR="00934D5E">
        <w:rPr>
          <w:noProof/>
        </w:rPr>
        <w:t>14</w:t>
      </w:r>
      <w:r w:rsidRPr="00B65F7F">
        <w:fldChar w:fldCharType="end"/>
      </w:r>
      <w:r w:rsidRPr="00B65F7F">
        <w:t>: The Transformation Roadmap in practice</w:t>
      </w:r>
      <w:bookmarkEnd w:id="136"/>
    </w:p>
    <w:tbl>
      <w:tblPr>
        <w:tblStyle w:val="NintiBox"/>
        <w:tblW w:w="9209" w:type="dxa"/>
        <w:tblLook w:val="04A0" w:firstRow="1" w:lastRow="0" w:firstColumn="1" w:lastColumn="0" w:noHBand="0" w:noVBand="1"/>
      </w:tblPr>
      <w:tblGrid>
        <w:gridCol w:w="9209"/>
      </w:tblGrid>
      <w:tr w:rsidR="008B5B70" w:rsidRPr="00B65F7F" w14:paraId="64FEC426" w14:textId="77777777" w:rsidTr="0084559E">
        <w:tc>
          <w:tcPr>
            <w:tcW w:w="9209" w:type="dxa"/>
          </w:tcPr>
          <w:p w14:paraId="60C5F412" w14:textId="77777777" w:rsidR="00322BE7" w:rsidRPr="00B65F7F" w:rsidRDefault="008D0B49" w:rsidP="00020AA9">
            <w:pPr>
              <w:pStyle w:val="BodyText"/>
            </w:pPr>
            <w:r w:rsidRPr="008D25BF">
              <w:rPr>
                <w:b/>
                <w:bCs/>
              </w:rPr>
              <w:t xml:space="preserve">Phase </w:t>
            </w:r>
            <w:r w:rsidR="00173776">
              <w:rPr>
                <w:b/>
                <w:bCs/>
              </w:rPr>
              <w:t>1</w:t>
            </w:r>
            <w:r w:rsidRPr="00B65F7F">
              <w:t xml:space="preserve"> of the Transformation Roadmap</w:t>
            </w:r>
            <w:r w:rsidR="000B06EF" w:rsidRPr="00B65F7F">
              <w:t xml:space="preserve"> </w:t>
            </w:r>
            <w:r w:rsidR="009603F9" w:rsidRPr="00B65F7F">
              <w:t xml:space="preserve">identifies the key activities that </w:t>
            </w:r>
            <w:r w:rsidR="005506DB">
              <w:t>DoHAC</w:t>
            </w:r>
            <w:r w:rsidR="009603F9" w:rsidRPr="00B65F7F">
              <w:t xml:space="preserve"> and PHNs must </w:t>
            </w:r>
            <w:r w:rsidR="003E670B" w:rsidRPr="00B65F7F">
              <w:t xml:space="preserve">undertake as a matter </w:t>
            </w:r>
            <w:r w:rsidR="00BA21AC">
              <w:t xml:space="preserve">of urgency </w:t>
            </w:r>
            <w:r w:rsidR="00322BE7" w:rsidRPr="00B65F7F">
              <w:t>to</w:t>
            </w:r>
            <w:r w:rsidR="000556E0" w:rsidRPr="00B65F7F">
              <w:t xml:space="preserve"> establish the pre-conditions for the involvement of the broader service sector in the transformation. This is because there are several key risks and issues that must be </w:t>
            </w:r>
            <w:r w:rsidR="0027111A" w:rsidRPr="00B65F7F">
              <w:t xml:space="preserve">addressed swiftly to enable the progress of the broader transformation. </w:t>
            </w:r>
          </w:p>
          <w:p w14:paraId="25314788" w14:textId="77777777" w:rsidR="000B5FE5" w:rsidRPr="00B65F7F" w:rsidRDefault="0027111A" w:rsidP="00020AA9">
            <w:pPr>
              <w:pStyle w:val="BodyText"/>
              <w:rPr>
                <w:bCs/>
              </w:rPr>
            </w:pPr>
            <w:r w:rsidRPr="00B65F7F">
              <w:t xml:space="preserve">For this reason, Phase </w:t>
            </w:r>
            <w:r w:rsidR="00173776">
              <w:t>1</w:t>
            </w:r>
            <w:r w:rsidRPr="00B65F7F">
              <w:t xml:space="preserve"> is the responsibility of </w:t>
            </w:r>
            <w:r w:rsidR="005506DB">
              <w:t>DoHAC</w:t>
            </w:r>
            <w:r w:rsidRPr="00B65F7F">
              <w:t xml:space="preserve"> and PHN</w:t>
            </w:r>
            <w:r w:rsidR="00BA21AC">
              <w:t>s</w:t>
            </w:r>
            <w:r w:rsidR="00D130F6" w:rsidRPr="00B65F7F">
              <w:t xml:space="preserve"> and must </w:t>
            </w:r>
            <w:r w:rsidR="000B5FE5" w:rsidRPr="00B65F7F">
              <w:rPr>
                <w:bCs/>
              </w:rPr>
              <w:t xml:space="preserve">be read (or applied) </w:t>
            </w:r>
            <w:r w:rsidR="00322BE7" w:rsidRPr="00B65F7F">
              <w:rPr>
                <w:bCs/>
              </w:rPr>
              <w:t>prescriptively.</w:t>
            </w:r>
            <w:r w:rsidR="000B5FE5" w:rsidRPr="00B65F7F">
              <w:rPr>
                <w:bCs/>
              </w:rPr>
              <w:t xml:space="preserve"> </w:t>
            </w:r>
          </w:p>
          <w:p w14:paraId="6E9202F2" w14:textId="77777777" w:rsidR="007327AC" w:rsidRPr="00B65F7F" w:rsidRDefault="00774F0E" w:rsidP="00020AA9">
            <w:pPr>
              <w:pStyle w:val="BodyText"/>
              <w:keepLines/>
            </w:pPr>
            <w:r>
              <w:lastRenderedPageBreak/>
              <w:t>T</w:t>
            </w:r>
            <w:r w:rsidRPr="00B65F7F">
              <w:t xml:space="preserve">he subsequent </w:t>
            </w:r>
            <w:r>
              <w:t>p</w:t>
            </w:r>
            <w:r w:rsidRPr="00B65F7F">
              <w:t xml:space="preserve">hases – </w:t>
            </w:r>
            <w:r w:rsidRPr="008D25BF">
              <w:rPr>
                <w:b/>
                <w:bCs/>
              </w:rPr>
              <w:t xml:space="preserve">Phases </w:t>
            </w:r>
            <w:r w:rsidR="00173776">
              <w:rPr>
                <w:b/>
                <w:bCs/>
              </w:rPr>
              <w:t>2</w:t>
            </w:r>
            <w:r w:rsidRPr="008D25BF">
              <w:rPr>
                <w:b/>
                <w:bCs/>
              </w:rPr>
              <w:t xml:space="preserve"> to </w:t>
            </w:r>
            <w:r w:rsidR="00173776">
              <w:rPr>
                <w:b/>
                <w:bCs/>
              </w:rPr>
              <w:t>6</w:t>
            </w:r>
            <w:r w:rsidRPr="008D25BF" w:rsidDel="00BA21AC">
              <w:rPr>
                <w:b/>
                <w:bCs/>
              </w:rPr>
              <w:t xml:space="preserve"> </w:t>
            </w:r>
            <w:r w:rsidRPr="00B65F7F" w:rsidDel="00BA21AC">
              <w:t>–</w:t>
            </w:r>
            <w:r>
              <w:t xml:space="preserve"> </w:t>
            </w:r>
            <w:r w:rsidRPr="00B65F7F">
              <w:t xml:space="preserve">represent broad </w:t>
            </w:r>
            <w:r w:rsidR="007327AC">
              <w:t>steps</w:t>
            </w:r>
            <w:r w:rsidRPr="00B65F7F">
              <w:t xml:space="preserve"> for all stakeholders involved in the transformation process to follow. </w:t>
            </w:r>
            <w:r w:rsidR="007327AC">
              <w:t xml:space="preserve">No timelines have been </w:t>
            </w:r>
            <w:r w:rsidR="00C005AF">
              <w:t xml:space="preserve">identified for </w:t>
            </w:r>
            <w:r w:rsidR="007327AC">
              <w:t xml:space="preserve">these phases, as </w:t>
            </w:r>
            <w:r w:rsidRPr="00B65F7F">
              <w:t xml:space="preserve">it will be for the </w:t>
            </w:r>
            <w:r>
              <w:t>Aboriginal and/or Torres Strait Islander</w:t>
            </w:r>
            <w:r w:rsidRPr="00B65F7F">
              <w:t xml:space="preserve"> communities</w:t>
            </w:r>
            <w:r w:rsidR="007327AC">
              <w:t xml:space="preserve">, organisations </w:t>
            </w:r>
            <w:r w:rsidRPr="00B65F7F">
              <w:t xml:space="preserve">and ACCHOs to self-determine the speed, approach and timing for engagement with </w:t>
            </w:r>
            <w:r>
              <w:t>these p</w:t>
            </w:r>
            <w:r w:rsidRPr="00B65F7F">
              <w:t xml:space="preserve">hases. </w:t>
            </w:r>
            <w:r w:rsidR="007327AC">
              <w:t xml:space="preserve">It is also imperative </w:t>
            </w:r>
            <w:r w:rsidR="00173776">
              <w:t>that</w:t>
            </w:r>
            <w:r w:rsidR="007327AC">
              <w:t xml:space="preserve"> the EAP (</w:t>
            </w:r>
            <w:r w:rsidR="00173776">
              <w:t>P</w:t>
            </w:r>
            <w:r w:rsidR="007327AC">
              <w:t xml:space="preserve">hases </w:t>
            </w:r>
            <w:r w:rsidR="00173776">
              <w:t>2</w:t>
            </w:r>
            <w:r w:rsidR="007327AC">
              <w:t xml:space="preserve"> and </w:t>
            </w:r>
            <w:r w:rsidR="00173776">
              <w:t>3</w:t>
            </w:r>
            <w:r w:rsidR="007327AC">
              <w:t>) is not rushed</w:t>
            </w:r>
            <w:r w:rsidR="0045735D">
              <w:t>, as it should be treated as a genuine opportunity to learn, test and refine the approach to achieve the future-state funding arrangements during the national rollout</w:t>
            </w:r>
            <w:r w:rsidR="007327AC">
              <w:t xml:space="preserve">. </w:t>
            </w:r>
          </w:p>
          <w:p w14:paraId="7287F63F" w14:textId="77777777" w:rsidR="008B5B70" w:rsidRPr="00B65F7F" w:rsidRDefault="00D84595" w:rsidP="00020AA9">
            <w:pPr>
              <w:pStyle w:val="BodyText"/>
            </w:pPr>
            <w:r>
              <w:t xml:space="preserve">As such, </w:t>
            </w:r>
            <w:r w:rsidR="007327AC" w:rsidRPr="00EC6361">
              <w:rPr>
                <w:b/>
                <w:bCs/>
              </w:rPr>
              <w:t xml:space="preserve">Phases </w:t>
            </w:r>
            <w:r w:rsidR="00173776">
              <w:rPr>
                <w:b/>
                <w:bCs/>
              </w:rPr>
              <w:t>2</w:t>
            </w:r>
            <w:r w:rsidR="007327AC" w:rsidRPr="00EC6361">
              <w:rPr>
                <w:b/>
                <w:bCs/>
              </w:rPr>
              <w:t xml:space="preserve"> to </w:t>
            </w:r>
            <w:r w:rsidR="00173776">
              <w:rPr>
                <w:b/>
                <w:bCs/>
              </w:rPr>
              <w:t>6</w:t>
            </w:r>
            <w:r w:rsidR="00074FED" w:rsidRPr="00B65F7F">
              <w:t xml:space="preserve"> </w:t>
            </w:r>
            <w:r w:rsidR="007327AC">
              <w:t>represent a</w:t>
            </w:r>
            <w:r w:rsidR="00074FED" w:rsidRPr="00B65F7F">
              <w:t xml:space="preserve"> structured approach that is to be contextualised to the specific needs, </w:t>
            </w:r>
            <w:r w:rsidR="00C44EB9" w:rsidRPr="00B65F7F">
              <w:t>interests</w:t>
            </w:r>
            <w:r w:rsidR="00074FED" w:rsidRPr="00B65F7F">
              <w:t xml:space="preserve"> and circumstances of each </w:t>
            </w:r>
            <w:r w:rsidR="002746DA">
              <w:t>Aboriginal and/or Torres Strait Islander</w:t>
            </w:r>
            <w:r w:rsidR="00074FED" w:rsidRPr="00B65F7F">
              <w:t xml:space="preserve"> community throughout Australia.</w:t>
            </w:r>
          </w:p>
        </w:tc>
      </w:tr>
    </w:tbl>
    <w:p w14:paraId="1CB7C9FC" w14:textId="77777777" w:rsidR="002965B7" w:rsidRPr="00B65F7F" w:rsidRDefault="002965B7" w:rsidP="00235F49">
      <w:pPr>
        <w:pStyle w:val="BodyText"/>
      </w:pPr>
    </w:p>
    <w:p w14:paraId="51CC9CC4" w14:textId="77777777" w:rsidR="00FB7AC2" w:rsidRPr="00B65F7F" w:rsidRDefault="00FB7AC2" w:rsidP="00F923B6">
      <w:pPr>
        <w:rPr>
          <w:rFonts w:ascii="Calibri" w:hAnsi="Calibri" w:cs="Calibri"/>
          <w:sz w:val="22"/>
          <w:szCs w:val="22"/>
        </w:rPr>
        <w:sectPr w:rsidR="00FB7AC2" w:rsidRPr="00B65F7F" w:rsidSect="002B05C0">
          <w:headerReference w:type="default" r:id="rId41"/>
          <w:footerReference w:type="default" r:id="rId42"/>
          <w:pgSz w:w="11906" w:h="16838" w:code="9"/>
          <w:pgMar w:top="1134" w:right="1134" w:bottom="1440" w:left="1134" w:header="720" w:footer="720" w:gutter="0"/>
          <w:cols w:space="720"/>
          <w:docGrid w:linePitch="326"/>
        </w:sectPr>
      </w:pPr>
    </w:p>
    <w:p w14:paraId="31A6EB56" w14:textId="24E009C3" w:rsidR="00F923B6" w:rsidRPr="00B65F7F" w:rsidRDefault="00F923B6" w:rsidP="00235F49">
      <w:pPr>
        <w:pStyle w:val="Heading3"/>
      </w:pPr>
      <w:bookmarkStart w:id="137" w:name="_gd87uh5apfcc" w:colFirst="0" w:colLast="0"/>
      <w:bookmarkStart w:id="138" w:name="_ry7pb93vth2k"/>
      <w:bookmarkEnd w:id="137"/>
      <w:bookmarkEnd w:id="138"/>
      <w:r w:rsidRPr="00B65F7F">
        <w:lastRenderedPageBreak/>
        <w:t xml:space="preserve">Transformation </w:t>
      </w:r>
      <w:r w:rsidR="00640FEA" w:rsidRPr="00B65F7F">
        <w:t>Roadmap</w:t>
      </w:r>
      <w:r w:rsidRPr="00B65F7F">
        <w:t xml:space="preserve"> (detail)</w:t>
      </w:r>
    </w:p>
    <w:p w14:paraId="6B9F1DCD" w14:textId="77777777" w:rsidR="00091270" w:rsidRPr="008D25BF" w:rsidRDefault="00A34F0E" w:rsidP="00235F49">
      <w:pPr>
        <w:pStyle w:val="BodyText"/>
      </w:pPr>
      <w:bookmarkStart w:id="139" w:name="_2wh7z1e8v5oc" w:colFirst="0" w:colLast="0"/>
      <w:bookmarkEnd w:id="139"/>
      <w:r w:rsidRPr="00B65F7F">
        <w:t xml:space="preserve">What follows is a description of each phase of the Transformation </w:t>
      </w:r>
      <w:r w:rsidR="00640FEA" w:rsidRPr="00B65F7F">
        <w:rPr>
          <w:bCs/>
        </w:rPr>
        <w:t>Roadmap</w:t>
      </w:r>
      <w:r w:rsidRPr="00B65F7F">
        <w:t xml:space="preserve">. </w:t>
      </w:r>
    </w:p>
    <w:p w14:paraId="52474053" w14:textId="1F94CC5E" w:rsidR="00B72FDB" w:rsidRPr="00B65F7F" w:rsidRDefault="00B72FDB" w:rsidP="00235F49">
      <w:pPr>
        <w:pStyle w:val="Heading4"/>
      </w:pPr>
      <w:r w:rsidRPr="00B65F7F">
        <w:t xml:space="preserve">Phase 1: </w:t>
      </w:r>
      <w:r w:rsidR="008608D3" w:rsidRPr="00B65F7F">
        <w:t>Pre-</w:t>
      </w:r>
      <w:r w:rsidR="001C5EFE">
        <w:t>t</w:t>
      </w:r>
      <w:r w:rsidR="008608D3" w:rsidRPr="00B65F7F">
        <w:t>ransition</w:t>
      </w:r>
    </w:p>
    <w:p w14:paraId="127B9DED" w14:textId="77777777" w:rsidR="0034436D" w:rsidRPr="00B65F7F" w:rsidRDefault="00B72FDB" w:rsidP="00235F49">
      <w:pPr>
        <w:pStyle w:val="BodyText"/>
      </w:pPr>
      <w:r w:rsidRPr="00B65F7F">
        <w:t xml:space="preserve">Phase </w:t>
      </w:r>
      <w:r w:rsidR="00173776">
        <w:t>1</w:t>
      </w:r>
      <w:r w:rsidRPr="00B65F7F">
        <w:t xml:space="preserve"> sets out the </w:t>
      </w:r>
      <w:r w:rsidR="00000482" w:rsidRPr="00B65F7F">
        <w:t xml:space="preserve">key tasks for </w:t>
      </w:r>
      <w:r w:rsidR="00451DB6">
        <w:t>DoHAC</w:t>
      </w:r>
      <w:r w:rsidR="00000482" w:rsidRPr="00B65F7F">
        <w:t xml:space="preserve"> to proactively </w:t>
      </w:r>
      <w:r w:rsidR="0031675F" w:rsidRPr="00B65F7F">
        <w:t xml:space="preserve">plan for and </w:t>
      </w:r>
      <w:r w:rsidR="00000482" w:rsidRPr="00B65F7F">
        <w:t xml:space="preserve">manage </w:t>
      </w:r>
      <w:r w:rsidR="001C5EFE">
        <w:t xml:space="preserve">with regards </w:t>
      </w:r>
      <w:r w:rsidR="00A97F1C">
        <w:t>to</w:t>
      </w:r>
      <w:r w:rsidR="001C5EFE">
        <w:t xml:space="preserve"> </w:t>
      </w:r>
      <w:r w:rsidR="00936C49" w:rsidRPr="00B65F7F">
        <w:t>the</w:t>
      </w:r>
      <w:r w:rsidR="00000482" w:rsidRPr="00B65F7F">
        <w:t xml:space="preserve"> </w:t>
      </w:r>
      <w:r w:rsidR="00842781" w:rsidRPr="00B65F7F">
        <w:t xml:space="preserve">potential </w:t>
      </w:r>
      <w:r w:rsidR="00926AEE" w:rsidRPr="00B65F7F">
        <w:t xml:space="preserve">and immediate </w:t>
      </w:r>
      <w:r w:rsidR="00842781" w:rsidRPr="00B65F7F">
        <w:t>risks associated with the transformation</w:t>
      </w:r>
      <w:r w:rsidR="008C7BEB">
        <w:t>, namely the risks associated with an unstable and uncertain service pro</w:t>
      </w:r>
      <w:r w:rsidR="002623FA">
        <w:t>vider arrangements</w:t>
      </w:r>
      <w:r w:rsidR="00842781" w:rsidRPr="00B65F7F">
        <w:t>.</w:t>
      </w:r>
      <w:r w:rsidR="00936C49" w:rsidRPr="00B65F7F">
        <w:t xml:space="preserve"> </w:t>
      </w:r>
      <w:r w:rsidR="00D341A6" w:rsidRPr="00B65F7F">
        <w:t xml:space="preserve">Because the focus of Phase </w:t>
      </w:r>
      <w:r w:rsidR="00173776">
        <w:t>1</w:t>
      </w:r>
      <w:r w:rsidR="00D341A6" w:rsidRPr="00B65F7F">
        <w:t xml:space="preserve"> is the immediate mitigation of risks that may arise throughout the transformation, </w:t>
      </w:r>
      <w:r w:rsidR="00936C49" w:rsidRPr="00B65F7F">
        <w:t xml:space="preserve">Phase </w:t>
      </w:r>
      <w:r w:rsidR="00173776">
        <w:t>1</w:t>
      </w:r>
      <w:r w:rsidR="00936C49" w:rsidRPr="00B65F7F">
        <w:t xml:space="preserve"> </w:t>
      </w:r>
      <w:r w:rsidR="00F87ACA" w:rsidRPr="00B65F7F">
        <w:t xml:space="preserve">sets out defined activities </w:t>
      </w:r>
      <w:r w:rsidR="00D341A6" w:rsidRPr="00B65F7F">
        <w:t>to</w:t>
      </w:r>
      <w:r w:rsidR="00F87ACA" w:rsidRPr="00B65F7F">
        <w:t xml:space="preserve"> be delivered within a prescribed time</w:t>
      </w:r>
      <w:r w:rsidR="001C5EFE">
        <w:t xml:space="preserve"> </w:t>
      </w:r>
      <w:r w:rsidR="00F87ACA" w:rsidRPr="00B65F7F">
        <w:t xml:space="preserve">frame. </w:t>
      </w:r>
    </w:p>
    <w:p w14:paraId="2B66448C" w14:textId="342C3585" w:rsidR="00B528B2" w:rsidRPr="00B65F7F" w:rsidRDefault="00B528B2" w:rsidP="00235F49">
      <w:pPr>
        <w:pStyle w:val="BodyText"/>
      </w:pPr>
      <w:r w:rsidRPr="00B65F7F">
        <w:t xml:space="preserve">The </w:t>
      </w:r>
      <w:r w:rsidR="0069459C" w:rsidRPr="00B65F7F">
        <w:t>key</w:t>
      </w:r>
      <w:r w:rsidRPr="00B65F7F">
        <w:t xml:space="preserve"> activities, </w:t>
      </w:r>
      <w:r w:rsidR="0069459C" w:rsidRPr="00B65F7F">
        <w:t>together with the corresponding</w:t>
      </w:r>
      <w:r w:rsidRPr="00B65F7F">
        <w:t xml:space="preserve"> responsibilities and time</w:t>
      </w:r>
      <w:r w:rsidR="001C5EFE">
        <w:t xml:space="preserve"> </w:t>
      </w:r>
      <w:r w:rsidRPr="00B65F7F">
        <w:t xml:space="preserve">frames for </w:t>
      </w:r>
      <w:r w:rsidR="0012625F" w:rsidRPr="00B65F7F">
        <w:t>delivery</w:t>
      </w:r>
      <w:r w:rsidR="0069459C" w:rsidRPr="00B65F7F">
        <w:t>,</w:t>
      </w:r>
      <w:r w:rsidRPr="00B65F7F">
        <w:t xml:space="preserve"> are </w:t>
      </w:r>
      <w:r w:rsidR="00795026" w:rsidRPr="00B65F7F">
        <w:t xml:space="preserve">set </w:t>
      </w:r>
      <w:r w:rsidRPr="00B65F7F">
        <w:t xml:space="preserve">out </w:t>
      </w:r>
      <w:r w:rsidR="0069459C" w:rsidRPr="00B65F7F">
        <w:t xml:space="preserve">below </w:t>
      </w:r>
      <w:r w:rsidRPr="00B65F7F">
        <w:t xml:space="preserve">in </w:t>
      </w:r>
      <w:r w:rsidR="00795026" w:rsidRPr="00B65F7F">
        <w:fldChar w:fldCharType="begin"/>
      </w:r>
      <w:r w:rsidR="00795026" w:rsidRPr="00B65F7F">
        <w:instrText xml:space="preserve"> REF _Ref145168264 \h  \* MERGEFORMAT </w:instrText>
      </w:r>
      <w:r w:rsidR="00795026" w:rsidRPr="00B65F7F">
        <w:fldChar w:fldCharType="separate"/>
      </w:r>
      <w:r w:rsidR="00934D5E" w:rsidRPr="00B65F7F">
        <w:t xml:space="preserve">Table </w:t>
      </w:r>
      <w:r w:rsidR="00934D5E">
        <w:t>1</w:t>
      </w:r>
      <w:r w:rsidR="00795026" w:rsidRPr="00B65F7F">
        <w:fldChar w:fldCharType="end"/>
      </w:r>
      <w:r w:rsidRPr="00B65F7F">
        <w:t xml:space="preserve">. </w:t>
      </w:r>
      <w:r w:rsidR="0025531A">
        <w:t>T</w:t>
      </w:r>
      <w:r w:rsidR="00DB560B" w:rsidRPr="00B65F7F">
        <w:t xml:space="preserve">he </w:t>
      </w:r>
      <w:r w:rsidR="008B39D7" w:rsidRPr="00B65F7F">
        <w:t xml:space="preserve">timing </w:t>
      </w:r>
      <w:r w:rsidR="0025531A">
        <w:t xml:space="preserve">described </w:t>
      </w:r>
      <w:r w:rsidR="008B39D7" w:rsidRPr="00B65F7F">
        <w:t xml:space="preserve">refers to the </w:t>
      </w:r>
      <w:r w:rsidR="0025531A">
        <w:t xml:space="preserve">suggested </w:t>
      </w:r>
      <w:r w:rsidR="001D020E" w:rsidRPr="00B65F7F">
        <w:t>completion of the activity</w:t>
      </w:r>
      <w:r w:rsidR="008B39D7" w:rsidRPr="00B65F7F">
        <w:t xml:space="preserve"> following the completion of this </w:t>
      </w:r>
      <w:r w:rsidR="00BE2B65">
        <w:t>R</w:t>
      </w:r>
      <w:r w:rsidR="008B39D7" w:rsidRPr="00B65F7F">
        <w:t>eview</w:t>
      </w:r>
      <w:r w:rsidRPr="00B65F7F">
        <w:t xml:space="preserve">. </w:t>
      </w:r>
    </w:p>
    <w:p w14:paraId="0D607239" w14:textId="49B7041E" w:rsidR="00795026" w:rsidRPr="00B65F7F" w:rsidRDefault="00795026" w:rsidP="00795026">
      <w:pPr>
        <w:pStyle w:val="CaptionTable"/>
        <w:rPr>
          <w:b w:val="0"/>
          <w:bCs/>
        </w:rPr>
      </w:pPr>
      <w:bookmarkStart w:id="140" w:name="_Ref145168264"/>
      <w:bookmarkStart w:id="141" w:name="_Toc145604945"/>
      <w:bookmarkStart w:id="142" w:name="_Toc156932071"/>
      <w:r w:rsidRPr="00B65F7F">
        <w:t xml:space="preserve">Table </w:t>
      </w:r>
      <w:r w:rsidRPr="00B65F7F">
        <w:fldChar w:fldCharType="begin"/>
      </w:r>
      <w:r w:rsidRPr="00B65F7F">
        <w:instrText xml:space="preserve"> SEQ Table \* ARABIC </w:instrText>
      </w:r>
      <w:r w:rsidRPr="00B65F7F">
        <w:fldChar w:fldCharType="separate"/>
      </w:r>
      <w:r w:rsidR="00934D5E">
        <w:rPr>
          <w:noProof/>
        </w:rPr>
        <w:t>1</w:t>
      </w:r>
      <w:r w:rsidRPr="00B65F7F">
        <w:fldChar w:fldCharType="end"/>
      </w:r>
      <w:bookmarkEnd w:id="140"/>
      <w:r w:rsidRPr="00B65F7F">
        <w:t>: Key features of Phase</w:t>
      </w:r>
      <w:r w:rsidR="0025531A">
        <w:t xml:space="preserve"> </w:t>
      </w:r>
      <w:r w:rsidR="00173776">
        <w:t>1</w:t>
      </w:r>
      <w:bookmarkEnd w:id="141"/>
      <w:bookmarkEnd w:id="142"/>
    </w:p>
    <w:tbl>
      <w:tblPr>
        <w:tblStyle w:val="Newtableforresport"/>
        <w:tblW w:w="14449" w:type="dxa"/>
        <w:tblInd w:w="10" w:type="dxa"/>
        <w:tblLayout w:type="fixed"/>
        <w:tblLook w:val="0620" w:firstRow="1" w:lastRow="0" w:firstColumn="0" w:lastColumn="0" w:noHBand="1" w:noVBand="1"/>
        <w:tblCaption w:val="Table 1: Key features of Phase 1"/>
        <w:tblDescription w:val="The table provides information on different transition activities in Phase 1 of the transition plan. &#10;&#10;The first column lists the number of activities. For example '1.' is in the first activity row, and '2.' is in the second activity row. The second column lists transition activities. The third column lists risks associated with the relevant transition activity to be mitigated. The third column lists the party responsible for the transition stage. For example, the Department of Health and aged care is responsible for communicating outcomes of the Review to Primary Health Networks (PHNs). The fifth column describes the time that should be taken to initiate the transition activity. For example, communicating the outcomes of the Review to PHNs should take 0-1 months."/>
      </w:tblPr>
      <w:tblGrid>
        <w:gridCol w:w="983"/>
        <w:gridCol w:w="5670"/>
        <w:gridCol w:w="4677"/>
        <w:gridCol w:w="1418"/>
        <w:gridCol w:w="1701"/>
      </w:tblGrid>
      <w:tr w:rsidR="002F1E4F" w:rsidRPr="0084559E" w14:paraId="55FFA363" w14:textId="77777777" w:rsidTr="0075178C">
        <w:trPr>
          <w:cnfStyle w:val="100000000000" w:firstRow="1" w:lastRow="0" w:firstColumn="0" w:lastColumn="0" w:oddVBand="0" w:evenVBand="0" w:oddHBand="0" w:evenHBand="0" w:firstRowFirstColumn="0" w:firstRowLastColumn="0" w:lastRowFirstColumn="0" w:lastRowLastColumn="0"/>
          <w:cantSplit/>
          <w:tblHeader/>
        </w:trPr>
        <w:tc>
          <w:tcPr>
            <w:tcW w:w="983" w:type="dxa"/>
          </w:tcPr>
          <w:p w14:paraId="480AB37F" w14:textId="77777777" w:rsidR="002F1E4F" w:rsidRPr="0084559E" w:rsidRDefault="002F1E4F" w:rsidP="00235F49">
            <w:pPr>
              <w:pStyle w:val="TableHeading"/>
              <w:rPr>
                <w:b w:val="0"/>
              </w:rPr>
            </w:pPr>
            <w:r w:rsidRPr="0084559E">
              <w:t>Number</w:t>
            </w:r>
          </w:p>
        </w:tc>
        <w:tc>
          <w:tcPr>
            <w:tcW w:w="5670" w:type="dxa"/>
          </w:tcPr>
          <w:p w14:paraId="5D94F137" w14:textId="77777777" w:rsidR="002F1E4F" w:rsidRPr="0084559E" w:rsidRDefault="002F1E4F" w:rsidP="00235F49">
            <w:pPr>
              <w:pStyle w:val="TableHeading"/>
              <w:rPr>
                <w:b w:val="0"/>
              </w:rPr>
            </w:pPr>
            <w:r w:rsidRPr="0084559E">
              <w:t>Activity</w:t>
            </w:r>
          </w:p>
        </w:tc>
        <w:tc>
          <w:tcPr>
            <w:tcW w:w="4677" w:type="dxa"/>
          </w:tcPr>
          <w:p w14:paraId="35F6C244" w14:textId="77777777" w:rsidR="002F1E4F" w:rsidRPr="0084559E" w:rsidRDefault="002F1E4F" w:rsidP="00235F49">
            <w:pPr>
              <w:pStyle w:val="TableHeading"/>
              <w:rPr>
                <w:b w:val="0"/>
              </w:rPr>
            </w:pPr>
            <w:r w:rsidRPr="0084559E">
              <w:t>Risk</w:t>
            </w:r>
            <w:r w:rsidR="000B62D5" w:rsidRPr="0084559E">
              <w:t>s</w:t>
            </w:r>
            <w:r w:rsidRPr="0084559E">
              <w:t xml:space="preserve"> </w:t>
            </w:r>
            <w:r w:rsidR="0025531A" w:rsidRPr="0084559E">
              <w:t>b</w:t>
            </w:r>
            <w:r w:rsidRPr="0084559E">
              <w:t xml:space="preserve">eing </w:t>
            </w:r>
            <w:r w:rsidR="0025531A" w:rsidRPr="0084559E">
              <w:t>m</w:t>
            </w:r>
            <w:r w:rsidRPr="0084559E">
              <w:t>itigated</w:t>
            </w:r>
          </w:p>
        </w:tc>
        <w:tc>
          <w:tcPr>
            <w:tcW w:w="1418" w:type="dxa"/>
          </w:tcPr>
          <w:p w14:paraId="56878B23" w14:textId="77777777" w:rsidR="002F1E4F" w:rsidRPr="0084559E" w:rsidRDefault="002F1E4F" w:rsidP="00235F49">
            <w:pPr>
              <w:pStyle w:val="TableHeading"/>
              <w:rPr>
                <w:b w:val="0"/>
              </w:rPr>
            </w:pPr>
            <w:r w:rsidRPr="0084559E">
              <w:t>Responsibility</w:t>
            </w:r>
          </w:p>
        </w:tc>
        <w:tc>
          <w:tcPr>
            <w:tcW w:w="1701" w:type="dxa"/>
          </w:tcPr>
          <w:p w14:paraId="28F18ECA" w14:textId="77777777" w:rsidR="002F1E4F" w:rsidRPr="0084559E" w:rsidRDefault="002F1E4F" w:rsidP="00235F49">
            <w:pPr>
              <w:pStyle w:val="TableHeading"/>
              <w:rPr>
                <w:b w:val="0"/>
              </w:rPr>
            </w:pPr>
            <w:r w:rsidRPr="0084559E">
              <w:t>Timing</w:t>
            </w:r>
            <w:r w:rsidR="00836DC1" w:rsidRPr="0084559E">
              <w:t xml:space="preserve"> to </w:t>
            </w:r>
            <w:r w:rsidR="00451DB6">
              <w:t>i</w:t>
            </w:r>
            <w:r w:rsidR="00836DC1" w:rsidRPr="0084559E">
              <w:t xml:space="preserve">nitiate the </w:t>
            </w:r>
            <w:r w:rsidR="00451DB6">
              <w:t>a</w:t>
            </w:r>
            <w:r w:rsidR="00836DC1" w:rsidRPr="0084559E">
              <w:t>ctivity</w:t>
            </w:r>
          </w:p>
        </w:tc>
      </w:tr>
      <w:tr w:rsidR="002F1E4F" w:rsidRPr="00B65F7F" w14:paraId="0E6E905D" w14:textId="77777777" w:rsidTr="0075178C">
        <w:trPr>
          <w:cantSplit/>
        </w:trPr>
        <w:tc>
          <w:tcPr>
            <w:tcW w:w="983" w:type="dxa"/>
          </w:tcPr>
          <w:p w14:paraId="4B2BFC28" w14:textId="77777777" w:rsidR="002F1E4F" w:rsidRPr="00B65F7F" w:rsidRDefault="0025531A" w:rsidP="00235F49">
            <w:pPr>
              <w:pStyle w:val="TableText"/>
            </w:pPr>
            <w:r>
              <w:t>1.</w:t>
            </w:r>
          </w:p>
        </w:tc>
        <w:tc>
          <w:tcPr>
            <w:tcW w:w="5670" w:type="dxa"/>
          </w:tcPr>
          <w:p w14:paraId="717579A6" w14:textId="77777777" w:rsidR="002F1E4F" w:rsidRPr="00B65F7F" w:rsidRDefault="00FE3207" w:rsidP="00235F49">
            <w:pPr>
              <w:pStyle w:val="TableText"/>
            </w:pPr>
            <w:r w:rsidRPr="00CB79B6">
              <w:rPr>
                <w:b/>
                <w:lang w:val="en-GB"/>
              </w:rPr>
              <w:t>Communicate</w:t>
            </w:r>
            <w:r w:rsidR="008B39D7" w:rsidRPr="00CB79B6">
              <w:rPr>
                <w:b/>
                <w:lang w:val="en-GB"/>
              </w:rPr>
              <w:t xml:space="preserve"> outcomes of the </w:t>
            </w:r>
            <w:r w:rsidR="00451DB6">
              <w:rPr>
                <w:b/>
                <w:lang w:val="en-GB"/>
              </w:rPr>
              <w:t>R</w:t>
            </w:r>
            <w:r w:rsidR="008B39D7" w:rsidRPr="00CB79B6">
              <w:rPr>
                <w:b/>
                <w:lang w:val="en-GB"/>
              </w:rPr>
              <w:t xml:space="preserve">eview </w:t>
            </w:r>
            <w:r w:rsidR="008B39D7" w:rsidRPr="007E757D">
              <w:rPr>
                <w:lang w:val="en-GB"/>
              </w:rPr>
              <w:t>to PHNs</w:t>
            </w:r>
            <w:r w:rsidR="00452D29" w:rsidRPr="007E757D">
              <w:rPr>
                <w:lang w:val="en-GB"/>
              </w:rPr>
              <w:t>,</w:t>
            </w:r>
            <w:r w:rsidR="005218C4" w:rsidRPr="007E757D">
              <w:rPr>
                <w:lang w:val="en-GB"/>
              </w:rPr>
              <w:t xml:space="preserve"> service providers and other key stakeholders</w:t>
            </w:r>
            <w:r w:rsidR="00452D29" w:rsidRPr="007E757D">
              <w:rPr>
                <w:lang w:val="en-GB"/>
              </w:rPr>
              <w:t xml:space="preserve"> </w:t>
            </w:r>
            <w:r w:rsidR="005218C4" w:rsidRPr="007E757D">
              <w:rPr>
                <w:lang w:val="en-GB"/>
              </w:rPr>
              <w:t xml:space="preserve">(i.e. </w:t>
            </w:r>
            <w:r w:rsidR="00CB79B6" w:rsidRPr="007E757D">
              <w:rPr>
                <w:lang w:val="en-GB"/>
              </w:rPr>
              <w:t xml:space="preserve">community members, peak </w:t>
            </w:r>
            <w:r w:rsidR="00C44EB9" w:rsidRPr="007E757D">
              <w:rPr>
                <w:lang w:val="en-GB"/>
              </w:rPr>
              <w:t>bodies</w:t>
            </w:r>
            <w:r w:rsidR="00CB79B6" w:rsidRPr="007E757D">
              <w:rPr>
                <w:lang w:val="en-GB"/>
              </w:rPr>
              <w:t xml:space="preserve"> and affiliates) including any direct implications of any recommendation(s) adopted</w:t>
            </w:r>
            <w:r w:rsidR="00CB79B6">
              <w:rPr>
                <w:lang w:val="en-GB"/>
              </w:rPr>
              <w:t>.</w:t>
            </w:r>
          </w:p>
        </w:tc>
        <w:tc>
          <w:tcPr>
            <w:tcW w:w="4677" w:type="dxa"/>
          </w:tcPr>
          <w:p w14:paraId="42C8BD75" w14:textId="77777777" w:rsidR="0003084F" w:rsidRPr="00B65F7F" w:rsidRDefault="0003084F" w:rsidP="00543B4C">
            <w:pPr>
              <w:pStyle w:val="TableTextbullets"/>
              <w:ind w:left="322"/>
            </w:pPr>
            <w:r w:rsidRPr="00B65F7F">
              <w:t>High levels of u</w:t>
            </w:r>
            <w:r w:rsidR="00452D29" w:rsidRPr="00B65F7F">
              <w:t xml:space="preserve">ncertainty </w:t>
            </w:r>
            <w:r w:rsidRPr="00B65F7F">
              <w:t xml:space="preserve">relating to the future direction of the </w:t>
            </w:r>
            <w:r w:rsidR="00543B4C">
              <w:t>R</w:t>
            </w:r>
            <w:r w:rsidRPr="00B65F7F">
              <w:t xml:space="preserve">elevant </w:t>
            </w:r>
            <w:r w:rsidR="00543B4C">
              <w:t>H</w:t>
            </w:r>
            <w:r w:rsidRPr="00B65F7F">
              <w:t xml:space="preserve">ealth </w:t>
            </w:r>
            <w:r w:rsidR="00543B4C">
              <w:t>Programs</w:t>
            </w:r>
            <w:r w:rsidRPr="00B65F7F">
              <w:t xml:space="preserve"> </w:t>
            </w:r>
          </w:p>
          <w:p w14:paraId="2A18F76A" w14:textId="77777777" w:rsidR="0003084F" w:rsidRPr="00B65F7F" w:rsidRDefault="0003084F" w:rsidP="00543B4C">
            <w:pPr>
              <w:pStyle w:val="TableTextbullets"/>
              <w:ind w:left="322"/>
            </w:pPr>
            <w:r w:rsidRPr="00B65F7F">
              <w:t>I</w:t>
            </w:r>
            <w:r w:rsidR="00452D29" w:rsidRPr="00B65F7F">
              <w:t>nability</w:t>
            </w:r>
            <w:r w:rsidRPr="00B65F7F">
              <w:t xml:space="preserve"> for </w:t>
            </w:r>
            <w:r w:rsidR="00452D29" w:rsidRPr="00B65F7F">
              <w:t>PHNs</w:t>
            </w:r>
            <w:r w:rsidR="005218C4" w:rsidRPr="00B65F7F">
              <w:t xml:space="preserve">, </w:t>
            </w:r>
            <w:r w:rsidR="00452D29" w:rsidRPr="00B65F7F">
              <w:t>funded service providers</w:t>
            </w:r>
            <w:r w:rsidR="005218C4" w:rsidRPr="00B65F7F">
              <w:t xml:space="preserve"> and other organisational stakeholders</w:t>
            </w:r>
            <w:r w:rsidRPr="00B65F7F">
              <w:t xml:space="preserve"> to forward plan</w:t>
            </w:r>
          </w:p>
          <w:p w14:paraId="1AD8630B" w14:textId="77777777" w:rsidR="002F1E4F" w:rsidRPr="00B65F7F" w:rsidRDefault="0003084F" w:rsidP="00543B4C">
            <w:pPr>
              <w:pStyle w:val="TableTextbullets"/>
              <w:ind w:left="322"/>
            </w:pPr>
            <w:r w:rsidRPr="00B65F7F">
              <w:t>Potential loss of the PHN and service provider workforce</w:t>
            </w:r>
            <w:r w:rsidR="00FE3207" w:rsidRPr="00B65F7F">
              <w:t xml:space="preserve"> that support</w:t>
            </w:r>
            <w:r w:rsidR="00543B4C">
              <w:t>s</w:t>
            </w:r>
            <w:r w:rsidR="00FE3207" w:rsidRPr="00B65F7F">
              <w:t xml:space="preserve"> and/or deliver</w:t>
            </w:r>
            <w:r w:rsidR="00543B4C">
              <w:t>s</w:t>
            </w:r>
            <w:r w:rsidR="00FE3207" w:rsidRPr="00B65F7F">
              <w:t xml:space="preserve"> the </w:t>
            </w:r>
            <w:r w:rsidR="00543B4C">
              <w:t>R</w:t>
            </w:r>
            <w:r w:rsidR="00FE3207" w:rsidRPr="00B65F7F">
              <w:t xml:space="preserve">elevant </w:t>
            </w:r>
            <w:r w:rsidR="00543B4C">
              <w:t>H</w:t>
            </w:r>
            <w:r w:rsidR="00FE3207" w:rsidRPr="00B65F7F">
              <w:t>ealth</w:t>
            </w:r>
            <w:r w:rsidR="00FE3207" w:rsidRPr="00B65F7F" w:rsidDel="00543B4C">
              <w:t xml:space="preserve"> </w:t>
            </w:r>
            <w:r w:rsidR="00543B4C">
              <w:t>Program</w:t>
            </w:r>
          </w:p>
          <w:p w14:paraId="7A5C660C" w14:textId="77777777" w:rsidR="002D31CB" w:rsidRPr="00B65F7F" w:rsidRDefault="006C543E" w:rsidP="00543B4C">
            <w:pPr>
              <w:pStyle w:val="TableTextbullets"/>
              <w:ind w:left="322"/>
            </w:pPr>
            <w:r w:rsidRPr="00B65F7F">
              <w:t>Ethics requirements to communicate outcomes with research participants</w:t>
            </w:r>
          </w:p>
        </w:tc>
        <w:tc>
          <w:tcPr>
            <w:tcW w:w="1418" w:type="dxa"/>
          </w:tcPr>
          <w:p w14:paraId="45C3DE62" w14:textId="77777777" w:rsidR="002F1E4F" w:rsidRPr="00B65F7F" w:rsidRDefault="00451DB6" w:rsidP="00235F49">
            <w:pPr>
              <w:pStyle w:val="TableText"/>
            </w:pPr>
            <w:r>
              <w:t>DoHAC</w:t>
            </w:r>
          </w:p>
        </w:tc>
        <w:tc>
          <w:tcPr>
            <w:tcW w:w="1701" w:type="dxa"/>
          </w:tcPr>
          <w:p w14:paraId="06373164" w14:textId="77777777" w:rsidR="002F1E4F" w:rsidRPr="00B65F7F" w:rsidRDefault="00DB560B" w:rsidP="00235F49">
            <w:pPr>
              <w:pStyle w:val="TableText"/>
            </w:pPr>
            <w:r w:rsidRPr="00B65F7F">
              <w:t>0</w:t>
            </w:r>
            <w:r w:rsidR="0025531A">
              <w:t>–</w:t>
            </w:r>
            <w:r w:rsidRPr="00B65F7F">
              <w:t>1 month</w:t>
            </w:r>
            <w:r w:rsidR="00A96C49" w:rsidRPr="00B65F7F">
              <w:t>s</w:t>
            </w:r>
          </w:p>
        </w:tc>
      </w:tr>
      <w:tr w:rsidR="00FE3207" w:rsidRPr="00B65F7F" w14:paraId="0D82291C" w14:textId="77777777" w:rsidTr="0075178C">
        <w:trPr>
          <w:cantSplit/>
        </w:trPr>
        <w:tc>
          <w:tcPr>
            <w:tcW w:w="983" w:type="dxa"/>
          </w:tcPr>
          <w:p w14:paraId="42A4FAC1" w14:textId="77777777" w:rsidR="00FE3207" w:rsidRPr="00B65F7F" w:rsidRDefault="00543B4C" w:rsidP="00235F49">
            <w:pPr>
              <w:pStyle w:val="TableText"/>
            </w:pPr>
            <w:r>
              <w:t>2.</w:t>
            </w:r>
          </w:p>
        </w:tc>
        <w:tc>
          <w:tcPr>
            <w:tcW w:w="5670" w:type="dxa"/>
          </w:tcPr>
          <w:p w14:paraId="4E349614" w14:textId="77777777" w:rsidR="00FE3207" w:rsidRPr="00B65F7F" w:rsidRDefault="002560C9" w:rsidP="00235F49">
            <w:pPr>
              <w:pStyle w:val="TableText"/>
            </w:pPr>
            <w:r w:rsidRPr="00F0334E">
              <w:rPr>
                <w:b/>
              </w:rPr>
              <w:t>E</w:t>
            </w:r>
            <w:r w:rsidR="00424B25" w:rsidRPr="00F0334E">
              <w:rPr>
                <w:b/>
              </w:rPr>
              <w:t xml:space="preserve">xtend </w:t>
            </w:r>
            <w:r w:rsidR="003F41FC" w:rsidRPr="00F0334E">
              <w:rPr>
                <w:b/>
              </w:rPr>
              <w:t>funding</w:t>
            </w:r>
            <w:r w:rsidRPr="00F0334E">
              <w:rPr>
                <w:b/>
              </w:rPr>
              <w:t xml:space="preserve"> provided to PHNs</w:t>
            </w:r>
            <w:r w:rsidR="003F41FC" w:rsidRPr="00F0334E">
              <w:rPr>
                <w:b/>
              </w:rPr>
              <w:t xml:space="preserve"> for the </w:t>
            </w:r>
            <w:r w:rsidR="00543B4C" w:rsidRPr="00F0334E">
              <w:rPr>
                <w:b/>
              </w:rPr>
              <w:t>R</w:t>
            </w:r>
            <w:r w:rsidR="003F41FC" w:rsidRPr="00F0334E">
              <w:rPr>
                <w:b/>
              </w:rPr>
              <w:t xml:space="preserve">elevant </w:t>
            </w:r>
            <w:r w:rsidR="00543B4C" w:rsidRPr="00F0334E">
              <w:rPr>
                <w:b/>
              </w:rPr>
              <w:t>H</w:t>
            </w:r>
            <w:r w:rsidR="003F41FC" w:rsidRPr="00F0334E">
              <w:rPr>
                <w:b/>
              </w:rPr>
              <w:t>ealth</w:t>
            </w:r>
            <w:r w:rsidR="003F41FC" w:rsidRPr="00F0334E" w:rsidDel="00543B4C">
              <w:rPr>
                <w:b/>
              </w:rPr>
              <w:t xml:space="preserve"> </w:t>
            </w:r>
            <w:r w:rsidR="00543B4C" w:rsidRPr="00F0334E">
              <w:rPr>
                <w:b/>
              </w:rPr>
              <w:t>Programs</w:t>
            </w:r>
            <w:r w:rsidR="00543B4C">
              <w:t xml:space="preserve"> </w:t>
            </w:r>
            <w:r w:rsidR="003F41FC" w:rsidRPr="00B65F7F">
              <w:t>for no less than 3</w:t>
            </w:r>
            <w:r w:rsidR="00543B4C">
              <w:t xml:space="preserve"> </w:t>
            </w:r>
            <w:r w:rsidR="003F41FC" w:rsidRPr="00B65F7F">
              <w:t>years</w:t>
            </w:r>
            <w:r w:rsidR="00B06A17" w:rsidRPr="00B65F7F">
              <w:t>, with</w:t>
            </w:r>
            <w:r w:rsidR="00EF7BC9" w:rsidRPr="00B65F7F">
              <w:t xml:space="preserve"> further</w:t>
            </w:r>
            <w:r w:rsidR="00B06A17" w:rsidRPr="00B65F7F">
              <w:t xml:space="preserve"> </w:t>
            </w:r>
            <w:r w:rsidR="006959F7" w:rsidRPr="00B65F7F">
              <w:t>extension period</w:t>
            </w:r>
            <w:r w:rsidR="00EF7BC9" w:rsidRPr="00B65F7F">
              <w:t>s</w:t>
            </w:r>
            <w:r w:rsidR="006959F7" w:rsidRPr="00B65F7F">
              <w:t xml:space="preserve"> to be confirmed no less than 12 months prior </w:t>
            </w:r>
            <w:r w:rsidR="00EF7BC9" w:rsidRPr="00B65F7F">
              <w:t xml:space="preserve">each </w:t>
            </w:r>
            <w:r w:rsidR="006959F7" w:rsidRPr="00B65F7F">
              <w:t>funding end</w:t>
            </w:r>
            <w:r w:rsidR="00543B4C">
              <w:t xml:space="preserve"> </w:t>
            </w:r>
            <w:r w:rsidR="006959F7" w:rsidRPr="00B65F7F">
              <w:t>date</w:t>
            </w:r>
            <w:r w:rsidR="006C543E" w:rsidRPr="00B65F7F">
              <w:t>.</w:t>
            </w:r>
          </w:p>
        </w:tc>
        <w:tc>
          <w:tcPr>
            <w:tcW w:w="4677" w:type="dxa"/>
          </w:tcPr>
          <w:p w14:paraId="526E608B" w14:textId="77777777" w:rsidR="004E12F3" w:rsidRPr="00B65F7F" w:rsidRDefault="00ED7918" w:rsidP="00543B4C">
            <w:pPr>
              <w:pStyle w:val="TableTextbullets"/>
              <w:ind w:left="322"/>
            </w:pPr>
            <w:r w:rsidRPr="00B65F7F">
              <w:t>As above</w:t>
            </w:r>
          </w:p>
          <w:p w14:paraId="6F7AA82F" w14:textId="77777777" w:rsidR="00312177" w:rsidRPr="00B65F7F" w:rsidRDefault="00312177" w:rsidP="00543B4C">
            <w:pPr>
              <w:pStyle w:val="TableTextbullets"/>
              <w:ind w:left="322"/>
            </w:pPr>
            <w:r w:rsidRPr="00B65F7F">
              <w:t>Tr</w:t>
            </w:r>
            <w:r w:rsidR="007E18DB" w:rsidRPr="00B65F7F">
              <w:t xml:space="preserve">ansformation identified by the </w:t>
            </w:r>
            <w:r w:rsidR="00BE2B65">
              <w:t>R</w:t>
            </w:r>
            <w:r w:rsidR="007E18DB" w:rsidRPr="00B65F7F">
              <w:t xml:space="preserve">eview may take </w:t>
            </w:r>
            <w:r w:rsidR="007F1E2E" w:rsidRPr="00B65F7F">
              <w:t>many years</w:t>
            </w:r>
            <w:r w:rsidR="00731C42" w:rsidRPr="00B65F7F">
              <w:t xml:space="preserve"> to take effect, </w:t>
            </w:r>
            <w:r w:rsidR="000D6682" w:rsidRPr="00B65F7F">
              <w:t xml:space="preserve">contributing to service </w:t>
            </w:r>
            <w:r w:rsidR="00BC5173" w:rsidRPr="00B65F7F">
              <w:t>instability</w:t>
            </w:r>
          </w:p>
        </w:tc>
        <w:tc>
          <w:tcPr>
            <w:tcW w:w="1418" w:type="dxa"/>
          </w:tcPr>
          <w:p w14:paraId="4F92FE4C" w14:textId="77777777" w:rsidR="00FE3207" w:rsidRPr="00B65F7F" w:rsidRDefault="00451DB6" w:rsidP="00235F49">
            <w:pPr>
              <w:pStyle w:val="TableText"/>
            </w:pPr>
            <w:r>
              <w:t>DoHAC</w:t>
            </w:r>
          </w:p>
        </w:tc>
        <w:tc>
          <w:tcPr>
            <w:tcW w:w="1701" w:type="dxa"/>
          </w:tcPr>
          <w:p w14:paraId="553280C0" w14:textId="77777777" w:rsidR="00FE3207" w:rsidRPr="00B65F7F" w:rsidRDefault="009D370F" w:rsidP="00235F49">
            <w:pPr>
              <w:pStyle w:val="TableText"/>
            </w:pPr>
            <w:r>
              <w:t>0–</w:t>
            </w:r>
            <w:r w:rsidR="002B5174">
              <w:t>12</w:t>
            </w:r>
            <w:r w:rsidR="00A96C49" w:rsidRPr="00B65F7F">
              <w:t xml:space="preserve"> months</w:t>
            </w:r>
          </w:p>
        </w:tc>
      </w:tr>
      <w:tr w:rsidR="00196C83" w:rsidRPr="00B65F7F" w14:paraId="03F1389D" w14:textId="77777777" w:rsidTr="0075178C">
        <w:trPr>
          <w:cantSplit/>
        </w:trPr>
        <w:tc>
          <w:tcPr>
            <w:tcW w:w="983" w:type="dxa"/>
          </w:tcPr>
          <w:p w14:paraId="556FC51A" w14:textId="77777777" w:rsidR="00196C83" w:rsidRPr="00B65F7F" w:rsidRDefault="00543B4C" w:rsidP="00235F49">
            <w:pPr>
              <w:pStyle w:val="TableText"/>
            </w:pPr>
            <w:r>
              <w:lastRenderedPageBreak/>
              <w:t>3.</w:t>
            </w:r>
          </w:p>
        </w:tc>
        <w:tc>
          <w:tcPr>
            <w:tcW w:w="5670" w:type="dxa"/>
          </w:tcPr>
          <w:p w14:paraId="3BE95D8C" w14:textId="77777777" w:rsidR="00196C83" w:rsidRPr="00B65F7F" w:rsidRDefault="00196C83" w:rsidP="00235F49">
            <w:pPr>
              <w:pStyle w:val="TableText"/>
            </w:pPr>
            <w:r w:rsidRPr="00F0334E">
              <w:rPr>
                <w:b/>
              </w:rPr>
              <w:t xml:space="preserve">Communicate the commitment </w:t>
            </w:r>
            <w:r w:rsidR="002B1A13" w:rsidRPr="00F0334E">
              <w:rPr>
                <w:b/>
              </w:rPr>
              <w:t>of the Australian Government</w:t>
            </w:r>
            <w:r w:rsidRPr="00B65F7F">
              <w:t xml:space="preserve"> to transform </w:t>
            </w:r>
            <w:r w:rsidR="006D6AB8" w:rsidRPr="00B65F7F">
              <w:t xml:space="preserve">all </w:t>
            </w:r>
            <w:r w:rsidRPr="00B65F7F">
              <w:t xml:space="preserve">funding arrangements for </w:t>
            </w:r>
            <w:r w:rsidR="00D36FA0">
              <w:t>Aboriginal and/or Torres Strait Islander</w:t>
            </w:r>
            <w:r w:rsidR="00543B4C">
              <w:t>–</w:t>
            </w:r>
            <w:r w:rsidRPr="00B65F7F">
              <w:t>directed services</w:t>
            </w:r>
            <w:r w:rsidR="00BC650C" w:rsidRPr="00B65F7F">
              <w:t xml:space="preserve"> to align with the National Agreement</w:t>
            </w:r>
            <w:r w:rsidRPr="00B65F7F">
              <w:t xml:space="preserve">, using the outcomes of the </w:t>
            </w:r>
            <w:r w:rsidR="00BE2B65">
              <w:t>R</w:t>
            </w:r>
            <w:r w:rsidRPr="00B65F7F">
              <w:t>eview as the basis for the change</w:t>
            </w:r>
            <w:r w:rsidR="00543B4C">
              <w:t>.</w:t>
            </w:r>
          </w:p>
        </w:tc>
        <w:tc>
          <w:tcPr>
            <w:tcW w:w="4677" w:type="dxa"/>
          </w:tcPr>
          <w:p w14:paraId="02B69B4E" w14:textId="77777777" w:rsidR="00196C83" w:rsidRPr="00B65F7F" w:rsidRDefault="00BC650C" w:rsidP="00543B4C">
            <w:pPr>
              <w:pStyle w:val="TableTextbullets"/>
              <w:ind w:left="322"/>
            </w:pPr>
            <w:r w:rsidRPr="00B65F7F">
              <w:t xml:space="preserve">Investment in substantial </w:t>
            </w:r>
            <w:r w:rsidR="00DD5E8D" w:rsidRPr="00B65F7F">
              <w:t xml:space="preserve">reforms </w:t>
            </w:r>
            <w:r w:rsidR="00BC5173" w:rsidRPr="00B65F7F">
              <w:t xml:space="preserve">(the transition of </w:t>
            </w:r>
            <w:r w:rsidR="00543B4C">
              <w:t>R</w:t>
            </w:r>
            <w:r w:rsidR="00BC5173" w:rsidRPr="00B65F7F">
              <w:t xml:space="preserve">elevant </w:t>
            </w:r>
            <w:r w:rsidR="00543B4C">
              <w:t>H</w:t>
            </w:r>
            <w:r w:rsidR="00BC5173" w:rsidRPr="00B65F7F">
              <w:t xml:space="preserve">ealth </w:t>
            </w:r>
            <w:r w:rsidR="00543B4C">
              <w:t>Programs</w:t>
            </w:r>
            <w:r w:rsidR="00BC5173" w:rsidRPr="00B65F7F">
              <w:t xml:space="preserve">) </w:t>
            </w:r>
            <w:r w:rsidR="00DD5E8D" w:rsidRPr="00B65F7F">
              <w:t>contribut</w:t>
            </w:r>
            <w:r w:rsidR="00F31A21" w:rsidRPr="00B65F7F">
              <w:t>e</w:t>
            </w:r>
            <w:r w:rsidR="00753D73">
              <w:t>s</w:t>
            </w:r>
            <w:r w:rsidR="00DD5E8D" w:rsidRPr="00B65F7F">
              <w:t xml:space="preserve"> to additional administrative burden on all stakeholders</w:t>
            </w:r>
            <w:r w:rsidR="00F31A21" w:rsidRPr="00B65F7F">
              <w:t xml:space="preserve"> and do</w:t>
            </w:r>
            <w:r w:rsidR="00753D73">
              <w:t>es</w:t>
            </w:r>
            <w:r w:rsidR="00F31A21" w:rsidRPr="00B65F7F">
              <w:t xml:space="preserve"> not represent value for money</w:t>
            </w:r>
            <w:r w:rsidR="00AE7439" w:rsidRPr="00B65F7F">
              <w:t xml:space="preserve">, unless it is </w:t>
            </w:r>
            <w:r w:rsidR="00543B4C">
              <w:t>complemented</w:t>
            </w:r>
            <w:r w:rsidR="00AE7439" w:rsidRPr="00B65F7F">
              <w:t xml:space="preserve"> by a transformation of all funding </w:t>
            </w:r>
          </w:p>
        </w:tc>
        <w:tc>
          <w:tcPr>
            <w:tcW w:w="1418" w:type="dxa"/>
          </w:tcPr>
          <w:p w14:paraId="3270B1D7" w14:textId="77777777" w:rsidR="00196C83" w:rsidRPr="00B65F7F" w:rsidRDefault="00451DB6" w:rsidP="00235F49">
            <w:pPr>
              <w:pStyle w:val="TableText"/>
            </w:pPr>
            <w:r>
              <w:t>DoHAC</w:t>
            </w:r>
          </w:p>
        </w:tc>
        <w:tc>
          <w:tcPr>
            <w:tcW w:w="1701" w:type="dxa"/>
          </w:tcPr>
          <w:p w14:paraId="286348EB" w14:textId="77777777" w:rsidR="00196C83" w:rsidRPr="00B65F7F" w:rsidRDefault="00196C83" w:rsidP="00235F49">
            <w:pPr>
              <w:pStyle w:val="TableText"/>
            </w:pPr>
            <w:r w:rsidRPr="00B65F7F">
              <w:t>0</w:t>
            </w:r>
            <w:r w:rsidR="00543B4C">
              <w:t>–</w:t>
            </w:r>
            <w:r w:rsidR="009D370F">
              <w:t>3</w:t>
            </w:r>
            <w:r w:rsidRPr="00B65F7F">
              <w:t xml:space="preserve"> months</w:t>
            </w:r>
          </w:p>
        </w:tc>
      </w:tr>
      <w:tr w:rsidR="002B3574" w:rsidRPr="00B65F7F" w14:paraId="70A13A18" w14:textId="77777777" w:rsidTr="0075178C">
        <w:trPr>
          <w:cantSplit/>
        </w:trPr>
        <w:tc>
          <w:tcPr>
            <w:tcW w:w="983" w:type="dxa"/>
          </w:tcPr>
          <w:p w14:paraId="58159F53" w14:textId="77777777" w:rsidR="002B3574" w:rsidRPr="00B65F7F" w:rsidRDefault="00543B4C" w:rsidP="00235F49">
            <w:pPr>
              <w:pStyle w:val="TableText"/>
            </w:pPr>
            <w:r>
              <w:t>4.</w:t>
            </w:r>
          </w:p>
        </w:tc>
        <w:tc>
          <w:tcPr>
            <w:tcW w:w="5670" w:type="dxa"/>
          </w:tcPr>
          <w:p w14:paraId="508E0725" w14:textId="77777777" w:rsidR="002D0C42" w:rsidRPr="00B65F7F" w:rsidRDefault="002B3574" w:rsidP="00235F49">
            <w:pPr>
              <w:pStyle w:val="TableText"/>
            </w:pPr>
            <w:r w:rsidRPr="00F0334E">
              <w:rPr>
                <w:b/>
              </w:rPr>
              <w:t xml:space="preserve">Establish a National Transformation </w:t>
            </w:r>
            <w:r w:rsidR="00804ADE" w:rsidRPr="00F0334E">
              <w:rPr>
                <w:b/>
              </w:rPr>
              <w:t xml:space="preserve">Coordination </w:t>
            </w:r>
            <w:r w:rsidRPr="00F0334E">
              <w:rPr>
                <w:b/>
              </w:rPr>
              <w:t xml:space="preserve">Office </w:t>
            </w:r>
            <w:r w:rsidR="00804ADE" w:rsidRPr="00F0334E">
              <w:rPr>
                <w:b/>
              </w:rPr>
              <w:t>(NTCO)</w:t>
            </w:r>
            <w:r w:rsidRPr="00B65F7F">
              <w:t xml:space="preserve"> to </w:t>
            </w:r>
            <w:r w:rsidR="0013287D" w:rsidRPr="00B65F7F">
              <w:t>coordinate, manage</w:t>
            </w:r>
            <w:r w:rsidR="009C72FE" w:rsidRPr="00B65F7F">
              <w:t xml:space="preserve">, </w:t>
            </w:r>
            <w:r w:rsidR="00A25EA9" w:rsidRPr="00B65F7F">
              <w:t>drive</w:t>
            </w:r>
            <w:r w:rsidR="0013287D" w:rsidRPr="00B65F7F">
              <w:t xml:space="preserve"> </w:t>
            </w:r>
            <w:r w:rsidR="009C72FE" w:rsidRPr="00B65F7F">
              <w:t>and progressively review</w:t>
            </w:r>
            <w:r w:rsidR="0013287D" w:rsidRPr="00B65F7F">
              <w:t xml:space="preserve"> the transformation</w:t>
            </w:r>
            <w:r w:rsidR="002A06CB" w:rsidRPr="00B65F7F">
              <w:t xml:space="preserve"> using a</w:t>
            </w:r>
            <w:r w:rsidR="00A25EA9" w:rsidRPr="00B65F7F">
              <w:t xml:space="preserve"> flexible</w:t>
            </w:r>
            <w:r w:rsidR="009C72FE" w:rsidRPr="00B65F7F">
              <w:t xml:space="preserve">, </w:t>
            </w:r>
            <w:r w:rsidR="00A25EA9" w:rsidRPr="00B65F7F">
              <w:t xml:space="preserve">responsive </w:t>
            </w:r>
            <w:r w:rsidR="009C72FE" w:rsidRPr="00B65F7F">
              <w:t>and strengths-based</w:t>
            </w:r>
            <w:r w:rsidR="00A25EA9" w:rsidRPr="00B65F7F">
              <w:t xml:space="preserve"> approach</w:t>
            </w:r>
            <w:r w:rsidR="00DE1F67" w:rsidRPr="00B65F7F">
              <w:t xml:space="preserve">. </w:t>
            </w:r>
          </w:p>
          <w:p w14:paraId="73B50808" w14:textId="77777777" w:rsidR="006A7225" w:rsidRPr="00B65F7F" w:rsidRDefault="006A7225" w:rsidP="007A5A62">
            <w:pPr>
              <w:pStyle w:val="TableText"/>
            </w:pPr>
            <w:r w:rsidRPr="00B65F7F">
              <w:t xml:space="preserve">The NTCO must be constituted in line with the National Agreement, demonstrating true partnership between the ACCHO sector and </w:t>
            </w:r>
            <w:r w:rsidR="00BE2B65">
              <w:t>DoHAC</w:t>
            </w:r>
            <w:r w:rsidRPr="00B65F7F">
              <w:t xml:space="preserve">. </w:t>
            </w:r>
            <w:r w:rsidR="009D370F">
              <w:t xml:space="preserve">Practically, this means that the NTCO must have equal </w:t>
            </w:r>
            <w:r w:rsidR="00D3733F">
              <w:t>representation</w:t>
            </w:r>
            <w:r w:rsidR="009D370F">
              <w:t xml:space="preserve"> </w:t>
            </w:r>
            <w:r w:rsidR="00BE2B65">
              <w:t>of DoHAC</w:t>
            </w:r>
            <w:r w:rsidR="009D370F">
              <w:t xml:space="preserve"> and ACCHO </w:t>
            </w:r>
            <w:r w:rsidR="002B46E5">
              <w:t>representatives and</w:t>
            </w:r>
            <w:r w:rsidR="009D370F">
              <w:t xml:space="preserve"> be constituted to demonstrated genuine shared decision</w:t>
            </w:r>
            <w:r w:rsidR="00BE2B65">
              <w:t>-</w:t>
            </w:r>
            <w:r w:rsidR="009D370F">
              <w:t xml:space="preserve">making. </w:t>
            </w:r>
          </w:p>
          <w:p w14:paraId="030202D6" w14:textId="77777777" w:rsidR="002B3574" w:rsidRPr="00B65F7F" w:rsidRDefault="006A7225" w:rsidP="00235F49">
            <w:pPr>
              <w:pStyle w:val="TableText"/>
            </w:pPr>
            <w:r w:rsidRPr="00B65F7F">
              <w:t>A key and immediate function of the NTCO will</w:t>
            </w:r>
            <w:r w:rsidR="00DE1F67" w:rsidRPr="00B65F7F">
              <w:t xml:space="preserve"> </w:t>
            </w:r>
            <w:r w:rsidR="00543B4C">
              <w:t xml:space="preserve">be </w:t>
            </w:r>
            <w:r w:rsidR="00DE1F67" w:rsidRPr="00B65F7F">
              <w:t>(but not be limited to) regular communication with all stakeholders</w:t>
            </w:r>
            <w:r w:rsidR="00543B4C">
              <w:t>,</w:t>
            </w:r>
            <w:r w:rsidR="00DE1F67" w:rsidRPr="00B65F7F">
              <w:t xml:space="preserve"> </w:t>
            </w:r>
            <w:r w:rsidR="00A0159C" w:rsidRPr="00B65F7F">
              <w:t xml:space="preserve">to </w:t>
            </w:r>
            <w:r w:rsidR="00553D7E" w:rsidRPr="00B65F7F">
              <w:t>inform them of progress and opportunities for support</w:t>
            </w:r>
            <w:r w:rsidR="00D6023B" w:rsidRPr="00B65F7F">
              <w:t>, and ongoing reviews of activities</w:t>
            </w:r>
            <w:r w:rsidR="008A48D0">
              <w:t xml:space="preserve">. </w:t>
            </w:r>
          </w:p>
        </w:tc>
        <w:tc>
          <w:tcPr>
            <w:tcW w:w="4677" w:type="dxa"/>
          </w:tcPr>
          <w:p w14:paraId="7F337CD1" w14:textId="77777777" w:rsidR="00D45345" w:rsidRPr="00B65F7F" w:rsidRDefault="003C4DA7" w:rsidP="00543B4C">
            <w:pPr>
              <w:pStyle w:val="TableTextbullets"/>
              <w:ind w:left="322"/>
            </w:pPr>
            <w:r w:rsidRPr="00B65F7F">
              <w:t xml:space="preserve">Inability </w:t>
            </w:r>
            <w:r w:rsidR="00753D73">
              <w:t>of</w:t>
            </w:r>
            <w:r w:rsidRPr="00B65F7F">
              <w:t xml:space="preserve"> stakeholders to </w:t>
            </w:r>
            <w:r w:rsidR="00EB34C0" w:rsidRPr="00B65F7F">
              <w:t>ask questions or seek clarification of the transformation process</w:t>
            </w:r>
          </w:p>
          <w:p w14:paraId="75485D27" w14:textId="77777777" w:rsidR="0013287D" w:rsidRPr="00B65F7F" w:rsidRDefault="002A06CB" w:rsidP="00543B4C">
            <w:pPr>
              <w:pStyle w:val="TableTextbullets"/>
              <w:ind w:left="322"/>
            </w:pPr>
            <w:r w:rsidRPr="00B65F7F">
              <w:t xml:space="preserve">Loss of </w:t>
            </w:r>
            <w:r w:rsidR="008662D5">
              <w:t>coordination and</w:t>
            </w:r>
            <w:r w:rsidRPr="00B65F7F">
              <w:t xml:space="preserve"> momentum to progress with the transition</w:t>
            </w:r>
          </w:p>
        </w:tc>
        <w:tc>
          <w:tcPr>
            <w:tcW w:w="1418" w:type="dxa"/>
          </w:tcPr>
          <w:p w14:paraId="742AA244" w14:textId="77777777" w:rsidR="002B3574" w:rsidRPr="00B65F7F" w:rsidRDefault="00451DB6" w:rsidP="00235F49">
            <w:pPr>
              <w:pStyle w:val="TableText"/>
            </w:pPr>
            <w:r>
              <w:t>DoHAC</w:t>
            </w:r>
          </w:p>
        </w:tc>
        <w:tc>
          <w:tcPr>
            <w:tcW w:w="1701" w:type="dxa"/>
          </w:tcPr>
          <w:p w14:paraId="22A009B5" w14:textId="77777777" w:rsidR="002B3574" w:rsidRPr="00B65F7F" w:rsidRDefault="0013287D" w:rsidP="00235F49">
            <w:pPr>
              <w:pStyle w:val="TableText"/>
            </w:pPr>
            <w:r w:rsidRPr="00B65F7F">
              <w:t>1</w:t>
            </w:r>
            <w:r w:rsidR="00753D73">
              <w:t>–</w:t>
            </w:r>
            <w:r w:rsidR="002B5174">
              <w:t>12</w:t>
            </w:r>
            <w:r w:rsidR="006A7225" w:rsidRPr="00B65F7F">
              <w:t xml:space="preserve"> months</w:t>
            </w:r>
          </w:p>
        </w:tc>
      </w:tr>
      <w:tr w:rsidR="00091270" w:rsidRPr="00B65F7F" w14:paraId="6C6F87DB" w14:textId="77777777" w:rsidTr="0075178C">
        <w:trPr>
          <w:cantSplit/>
        </w:trPr>
        <w:tc>
          <w:tcPr>
            <w:tcW w:w="983" w:type="dxa"/>
          </w:tcPr>
          <w:p w14:paraId="743EA6A6" w14:textId="77777777" w:rsidR="00091270" w:rsidRPr="00B65F7F" w:rsidRDefault="00091270" w:rsidP="00235F49">
            <w:pPr>
              <w:pStyle w:val="TableText"/>
            </w:pPr>
            <w:r>
              <w:t>5.</w:t>
            </w:r>
          </w:p>
        </w:tc>
        <w:tc>
          <w:tcPr>
            <w:tcW w:w="5670" w:type="dxa"/>
          </w:tcPr>
          <w:p w14:paraId="228C18C8" w14:textId="77777777" w:rsidR="00091270" w:rsidRPr="00B65F7F" w:rsidRDefault="00091270" w:rsidP="00235F49">
            <w:pPr>
              <w:pStyle w:val="TableText"/>
            </w:pPr>
            <w:r w:rsidRPr="00235F49">
              <w:rPr>
                <w:b/>
                <w:bCs/>
              </w:rPr>
              <w:t>Fund PHNs to continue to develop and deliver cultural safety initiatives</w:t>
            </w:r>
            <w:r w:rsidRPr="00B65F7F">
              <w:t xml:space="preserve"> </w:t>
            </w:r>
            <w:r w:rsidRPr="00B65F7F" w:rsidDel="00C461A5">
              <w:t xml:space="preserve">to </w:t>
            </w:r>
            <w:r w:rsidRPr="00B65F7F">
              <w:t>enhance the cultural safety of mainstream health services</w:t>
            </w:r>
          </w:p>
        </w:tc>
        <w:tc>
          <w:tcPr>
            <w:tcW w:w="4677" w:type="dxa"/>
          </w:tcPr>
          <w:p w14:paraId="739F687A" w14:textId="77777777" w:rsidR="00091270" w:rsidRPr="00B65F7F" w:rsidRDefault="00091270" w:rsidP="00753D73">
            <w:pPr>
              <w:pStyle w:val="TableTextbullets"/>
              <w:ind w:left="322"/>
            </w:pPr>
            <w:r w:rsidRPr="00B65F7F">
              <w:t>Lack of resources made available to PHNs to promote culturally safe health services</w:t>
            </w:r>
          </w:p>
          <w:p w14:paraId="4577F686" w14:textId="77777777" w:rsidR="00091270" w:rsidRPr="00B65F7F" w:rsidRDefault="00091270" w:rsidP="00543B4C">
            <w:pPr>
              <w:pStyle w:val="TableTextbullets"/>
              <w:ind w:left="322"/>
            </w:pPr>
            <w:r w:rsidRPr="00B65F7F">
              <w:t xml:space="preserve">Reduced service choices available to </w:t>
            </w:r>
            <w:r>
              <w:t>Aboriginal and/or Torres Strait Islander</w:t>
            </w:r>
            <w:r w:rsidRPr="00B65F7F">
              <w:t xml:space="preserve"> people when seeking primary healthcare </w:t>
            </w:r>
          </w:p>
        </w:tc>
        <w:tc>
          <w:tcPr>
            <w:tcW w:w="1418" w:type="dxa"/>
          </w:tcPr>
          <w:p w14:paraId="2639433B" w14:textId="77777777" w:rsidR="00091270" w:rsidRPr="00B65F7F" w:rsidRDefault="00451DB6" w:rsidP="00235F49">
            <w:pPr>
              <w:pStyle w:val="TableText"/>
            </w:pPr>
            <w:r>
              <w:t>DoHAC</w:t>
            </w:r>
          </w:p>
        </w:tc>
        <w:tc>
          <w:tcPr>
            <w:tcW w:w="1701" w:type="dxa"/>
          </w:tcPr>
          <w:p w14:paraId="7DD4EC05" w14:textId="77777777" w:rsidR="00091270" w:rsidRPr="00B65F7F" w:rsidRDefault="00091270" w:rsidP="00235F49">
            <w:pPr>
              <w:pStyle w:val="TableText"/>
            </w:pPr>
            <w:r w:rsidRPr="00B65F7F">
              <w:t>2</w:t>
            </w:r>
            <w:r>
              <w:t>–12</w:t>
            </w:r>
            <w:r w:rsidRPr="00B65F7F">
              <w:t xml:space="preserve"> months</w:t>
            </w:r>
          </w:p>
        </w:tc>
      </w:tr>
      <w:tr w:rsidR="00091270" w:rsidRPr="00B65F7F" w14:paraId="3C4F8CE8" w14:textId="77777777" w:rsidTr="0075178C">
        <w:trPr>
          <w:cantSplit/>
        </w:trPr>
        <w:tc>
          <w:tcPr>
            <w:tcW w:w="983" w:type="dxa"/>
          </w:tcPr>
          <w:p w14:paraId="0DBBC922" w14:textId="77777777" w:rsidR="00091270" w:rsidRPr="00B65F7F" w:rsidRDefault="00091270" w:rsidP="00235F49">
            <w:pPr>
              <w:pStyle w:val="TableText"/>
            </w:pPr>
            <w:r>
              <w:lastRenderedPageBreak/>
              <w:t>6.</w:t>
            </w:r>
          </w:p>
        </w:tc>
        <w:tc>
          <w:tcPr>
            <w:tcW w:w="5670" w:type="dxa"/>
          </w:tcPr>
          <w:p w14:paraId="781FD878" w14:textId="77777777" w:rsidR="00091270" w:rsidRPr="00B65F7F" w:rsidRDefault="00091270" w:rsidP="00235F49">
            <w:pPr>
              <w:pStyle w:val="TableText"/>
            </w:pPr>
            <w:r w:rsidRPr="00235F49">
              <w:rPr>
                <w:b/>
                <w:bCs/>
              </w:rPr>
              <w:t>Review and make recommendations to update the program guidelines and funding calculations for the Relevant Health Programs</w:t>
            </w:r>
            <w:r w:rsidRPr="00B65F7F">
              <w:t xml:space="preserve"> to ensure alignment with the key principles of the future-state funding arrangements</w:t>
            </w:r>
          </w:p>
          <w:p w14:paraId="78C0597E" w14:textId="77777777" w:rsidR="00091270" w:rsidRPr="00B65F7F" w:rsidRDefault="00091270" w:rsidP="00235F49">
            <w:pPr>
              <w:pStyle w:val="TableText"/>
            </w:pPr>
            <w:r w:rsidRPr="00753D73">
              <w:rPr>
                <w:b/>
              </w:rPr>
              <w:t>Note:</w:t>
            </w:r>
            <w:r w:rsidRPr="00B65F7F">
              <w:t xml:space="preserve"> This activity is proposed so that the primary challenges applying to the Relevant Health </w:t>
            </w:r>
            <w:r>
              <w:t>Programs</w:t>
            </w:r>
            <w:r w:rsidRPr="00B65F7F">
              <w:t xml:space="preserve"> identified by th</w:t>
            </w:r>
            <w:r>
              <w:t>e</w:t>
            </w:r>
            <w:r w:rsidRPr="00B65F7F">
              <w:t xml:space="preserve"> </w:t>
            </w:r>
            <w:r w:rsidR="00F04B5D">
              <w:t>R</w:t>
            </w:r>
            <w:r w:rsidRPr="00B65F7F">
              <w:t xml:space="preserve">eview can be addressed immediately and prior to the progression to Phase 2. While further changes may be required to reflect the needs of local </w:t>
            </w:r>
            <w:r>
              <w:t>Aboriginal and/or Torres Strait Islander</w:t>
            </w:r>
            <w:r w:rsidRPr="00B65F7F">
              <w:t xml:space="preserve"> communities in the subsequent phases, this immediate review and refinement process would enable the challenges to be addressed, including where the Relevant Health </w:t>
            </w:r>
            <w:r>
              <w:t>Programs</w:t>
            </w:r>
            <w:r w:rsidRPr="00B65F7F">
              <w:t xml:space="preserve"> cannot be transferred immediately. </w:t>
            </w:r>
          </w:p>
        </w:tc>
        <w:tc>
          <w:tcPr>
            <w:tcW w:w="4677" w:type="dxa"/>
          </w:tcPr>
          <w:p w14:paraId="0636382E" w14:textId="77777777" w:rsidR="00091270" w:rsidRPr="00B65F7F" w:rsidRDefault="00091270" w:rsidP="00753D73">
            <w:pPr>
              <w:pStyle w:val="TableTextbullets"/>
              <w:ind w:left="322"/>
            </w:pPr>
            <w:r w:rsidRPr="00B65F7F">
              <w:t xml:space="preserve">Funding guidelines – particularly for ITC – are viewed as being overly restrictive, therefore limiting the ability </w:t>
            </w:r>
            <w:r>
              <w:t>of</w:t>
            </w:r>
            <w:r w:rsidRPr="00B65F7F">
              <w:t xml:space="preserve"> service providers to meet the needs of community members effectively</w:t>
            </w:r>
          </w:p>
          <w:p w14:paraId="6915E47F" w14:textId="77777777" w:rsidR="00091270" w:rsidRPr="00B65F7F" w:rsidRDefault="00091270" w:rsidP="00753D73">
            <w:pPr>
              <w:pStyle w:val="TableTextbullets"/>
              <w:ind w:left="322"/>
            </w:pPr>
            <w:r>
              <w:t xml:space="preserve">Amount </w:t>
            </w:r>
            <w:r w:rsidRPr="00B65F7F">
              <w:t xml:space="preserve">of funding allocated via the Relevant Health </w:t>
            </w:r>
            <w:r>
              <w:t>Programs</w:t>
            </w:r>
            <w:r w:rsidRPr="00B65F7F">
              <w:t xml:space="preserve"> do not enable service providers to meet the needs of community members</w:t>
            </w:r>
          </w:p>
        </w:tc>
        <w:tc>
          <w:tcPr>
            <w:tcW w:w="1418" w:type="dxa"/>
          </w:tcPr>
          <w:p w14:paraId="07EBC74A" w14:textId="77777777" w:rsidR="00091270" w:rsidRPr="00B65F7F" w:rsidRDefault="00451DB6" w:rsidP="00235F49">
            <w:pPr>
              <w:pStyle w:val="TableText"/>
            </w:pPr>
            <w:r>
              <w:t>DoHAC</w:t>
            </w:r>
          </w:p>
        </w:tc>
        <w:tc>
          <w:tcPr>
            <w:tcW w:w="1701" w:type="dxa"/>
          </w:tcPr>
          <w:p w14:paraId="7B490B9D" w14:textId="77777777" w:rsidR="00091270" w:rsidRPr="00B65F7F" w:rsidRDefault="00091270" w:rsidP="00235F49">
            <w:pPr>
              <w:pStyle w:val="TableText"/>
            </w:pPr>
            <w:r w:rsidRPr="00B65F7F">
              <w:t>2</w:t>
            </w:r>
            <w:r>
              <w:t>–12</w:t>
            </w:r>
            <w:r w:rsidRPr="00B65F7F">
              <w:t xml:space="preserve"> months</w:t>
            </w:r>
          </w:p>
        </w:tc>
      </w:tr>
    </w:tbl>
    <w:p w14:paraId="52DD7852" w14:textId="0131B582" w:rsidR="00091270" w:rsidRPr="00B65F7F" w:rsidRDefault="00091270" w:rsidP="00AB688E">
      <w:pPr>
        <w:pStyle w:val="Heading4"/>
      </w:pPr>
      <w:r w:rsidRPr="00B65F7F">
        <w:t xml:space="preserve">Phase </w:t>
      </w:r>
      <w:r w:rsidR="00173776">
        <w:t>2</w:t>
      </w:r>
      <w:r w:rsidRPr="00B65F7F">
        <w:t>: Establish</w:t>
      </w:r>
      <w:r>
        <w:t xml:space="preserve"> EAP</w:t>
      </w:r>
    </w:p>
    <w:p w14:paraId="155DCC0A" w14:textId="47982BDD" w:rsidR="00091270" w:rsidRDefault="00091270" w:rsidP="00AB688E">
      <w:pPr>
        <w:pStyle w:val="BodyText"/>
      </w:pPr>
      <w:r w:rsidRPr="00B65F7F">
        <w:t xml:space="preserve">The purpose of Phase </w:t>
      </w:r>
      <w:r w:rsidR="00173776">
        <w:t>2</w:t>
      </w:r>
      <w:r w:rsidRPr="00B65F7F">
        <w:t xml:space="preserve"> is to </w:t>
      </w:r>
      <w:r w:rsidR="00172A62" w:rsidRPr="00172A62">
        <w:t>engag</w:t>
      </w:r>
      <w:r w:rsidR="00C97783">
        <w:t>e</w:t>
      </w:r>
      <w:r w:rsidR="00172A62" w:rsidRPr="00172A62">
        <w:t xml:space="preserve"> organisations in the early stages of the transition </w:t>
      </w:r>
      <w:r w:rsidR="008A48D0">
        <w:t>by</w:t>
      </w:r>
      <w:r w:rsidR="008A48D0" w:rsidRPr="00172A62">
        <w:t xml:space="preserve"> </w:t>
      </w:r>
      <w:r w:rsidR="00172A62" w:rsidRPr="00172A62">
        <w:t>creating a more targeted approach to the transition of the Relevant Health Programs</w:t>
      </w:r>
      <w:r w:rsidR="00172A62">
        <w:t>. The EAP aims to</w:t>
      </w:r>
      <w:r w:rsidRPr="00B65F7F">
        <w:t xml:space="preserve"> appoint </w:t>
      </w:r>
      <w:r w:rsidR="0054606C">
        <w:t xml:space="preserve">one or more entities </w:t>
      </w:r>
      <w:r w:rsidR="00201DF7">
        <w:t>through a</w:t>
      </w:r>
      <w:r w:rsidR="008A48D0">
        <w:t xml:space="preserve"> simple and accessible</w:t>
      </w:r>
      <w:r w:rsidR="00201DF7">
        <w:t xml:space="preserve"> expression of </w:t>
      </w:r>
      <w:r w:rsidR="00BF1757">
        <w:t>interest</w:t>
      </w:r>
      <w:r w:rsidR="00201DF7">
        <w:t xml:space="preserve"> (EOI) process</w:t>
      </w:r>
      <w:r w:rsidR="00BF1757">
        <w:t xml:space="preserve">. The selected </w:t>
      </w:r>
      <w:r w:rsidR="0054606C">
        <w:t>entity/ies</w:t>
      </w:r>
      <w:r w:rsidR="00BF1757">
        <w:t xml:space="preserve"> will then </w:t>
      </w:r>
      <w:r w:rsidR="00172A62">
        <w:t xml:space="preserve">be </w:t>
      </w:r>
      <w:r w:rsidRPr="00B65F7F">
        <w:t xml:space="preserve">responsible for </w:t>
      </w:r>
      <w:r w:rsidR="009D7E70">
        <w:t xml:space="preserve">implementing </w:t>
      </w:r>
      <w:r w:rsidRPr="00B65F7F">
        <w:t>the future-state funding arrangements</w:t>
      </w:r>
      <w:r>
        <w:t xml:space="preserve"> </w:t>
      </w:r>
      <w:r w:rsidR="008A48D0">
        <w:t xml:space="preserve">during the term of </w:t>
      </w:r>
      <w:r w:rsidR="00172A62">
        <w:t xml:space="preserve">the </w:t>
      </w:r>
      <w:r w:rsidR="0075178C">
        <w:t>EAP</w:t>
      </w:r>
      <w:r w:rsidR="00172A62">
        <w:t>.</w:t>
      </w:r>
      <w:r w:rsidR="00113FA3" w:rsidRPr="00113FA3">
        <w:t xml:space="preserve"> </w:t>
      </w:r>
      <w:r w:rsidR="00113FA3" w:rsidRPr="00B65F7F">
        <w:t xml:space="preserve">The key features of Phase </w:t>
      </w:r>
      <w:r w:rsidR="00113FA3">
        <w:t>2</w:t>
      </w:r>
      <w:r w:rsidR="00113FA3" w:rsidRPr="00B65F7F">
        <w:t xml:space="preserve"> are set out in </w:t>
      </w:r>
      <w:r w:rsidR="00C36E78">
        <w:fldChar w:fldCharType="begin"/>
      </w:r>
      <w:r w:rsidR="00C36E78">
        <w:instrText xml:space="preserve"> REF _Ref156750893 \h </w:instrText>
      </w:r>
      <w:r w:rsidR="00C36E78">
        <w:fldChar w:fldCharType="separate"/>
      </w:r>
      <w:r w:rsidR="00934D5E" w:rsidRPr="00B65F7F">
        <w:t xml:space="preserve">Table </w:t>
      </w:r>
      <w:r w:rsidR="00934D5E">
        <w:rPr>
          <w:noProof/>
        </w:rPr>
        <w:t>2</w:t>
      </w:r>
      <w:r w:rsidR="00C36E78">
        <w:fldChar w:fldCharType="end"/>
      </w:r>
      <w:r w:rsidR="00113FA3" w:rsidRPr="00B65F7F">
        <w:t xml:space="preserve"> below.</w:t>
      </w:r>
    </w:p>
    <w:p w14:paraId="4A6964D6" w14:textId="77777777" w:rsidR="00201DF7" w:rsidRDefault="00201DF7" w:rsidP="00AB688E">
      <w:pPr>
        <w:pStyle w:val="BodyText"/>
      </w:pPr>
      <w:r>
        <w:t xml:space="preserve">In addition to the steps in the table below, </w:t>
      </w:r>
      <w:r w:rsidR="0075178C">
        <w:t>DoHAC</w:t>
      </w:r>
      <w:r>
        <w:t xml:space="preserve"> (through the NTCO) should also consider the following:</w:t>
      </w:r>
    </w:p>
    <w:p w14:paraId="484E5157" w14:textId="77777777" w:rsidR="00201DF7" w:rsidRDefault="00201DF7" w:rsidP="00AB688E">
      <w:pPr>
        <w:pStyle w:val="ListBullet2"/>
      </w:pPr>
      <w:r w:rsidRPr="008D25BF">
        <w:rPr>
          <w:b/>
          <w:bCs/>
        </w:rPr>
        <w:t>Tailored messaging:</w:t>
      </w:r>
      <w:r>
        <w:t xml:space="preserve"> The NTCO should tailor its messaging to different organisations, taking into account each organisation</w:t>
      </w:r>
      <w:r w:rsidR="0075178C">
        <w:t>’</w:t>
      </w:r>
      <w:r>
        <w:t>s perspective, interests and needs</w:t>
      </w:r>
    </w:p>
    <w:p w14:paraId="7F934A26" w14:textId="77777777" w:rsidR="00201DF7" w:rsidRDefault="00201DF7" w:rsidP="00AB688E">
      <w:pPr>
        <w:pStyle w:val="ListBullet2"/>
      </w:pPr>
      <w:r w:rsidRPr="008D25BF">
        <w:rPr>
          <w:b/>
          <w:bCs/>
        </w:rPr>
        <w:t xml:space="preserve">Clear and concise communication: </w:t>
      </w:r>
      <w:r w:rsidRPr="00E8473A">
        <w:t>The</w:t>
      </w:r>
      <w:r w:rsidRPr="008D25BF">
        <w:rPr>
          <w:b/>
          <w:bCs/>
        </w:rPr>
        <w:t xml:space="preserve"> </w:t>
      </w:r>
      <w:r>
        <w:t xml:space="preserve">NTCO should provide clear and concise information about the EOI process and the benefits of participation. This should be provided through direct communications as well as an up-to-date standalone website or webpage on the </w:t>
      </w:r>
      <w:r w:rsidR="0075178C">
        <w:t>DoHAC</w:t>
      </w:r>
      <w:r>
        <w:t xml:space="preserve"> website. </w:t>
      </w:r>
    </w:p>
    <w:p w14:paraId="509081F3" w14:textId="77777777" w:rsidR="00091270" w:rsidRPr="00B65F7F" w:rsidRDefault="00201DF7" w:rsidP="00AB688E">
      <w:pPr>
        <w:pStyle w:val="ListBullet2"/>
      </w:pPr>
      <w:r w:rsidRPr="008D25BF">
        <w:rPr>
          <w:b/>
          <w:bCs/>
        </w:rPr>
        <w:t>Responsive communication:</w:t>
      </w:r>
      <w:r>
        <w:t xml:space="preserve"> The NTCO should be responsive to inquiries from organisations and provide timely feedback and advice when requested.</w:t>
      </w:r>
    </w:p>
    <w:p w14:paraId="12E01A4F" w14:textId="77777777" w:rsidR="007268E1" w:rsidRDefault="007268E1">
      <w:pPr>
        <w:rPr>
          <w:rFonts w:cstheme="minorHAnsi"/>
          <w:b/>
          <w:sz w:val="20"/>
          <w:szCs w:val="18"/>
          <w:lang w:eastAsia="en-US" w:bidi="en-US"/>
        </w:rPr>
      </w:pPr>
      <w:bookmarkStart w:id="143" w:name="_Ref151812973"/>
      <w:bookmarkStart w:id="144" w:name="_Ref156750893"/>
      <w:bookmarkStart w:id="145" w:name="_Toc156932072"/>
      <w:r>
        <w:br w:type="page"/>
      </w:r>
    </w:p>
    <w:p w14:paraId="52D62191" w14:textId="69C7038D" w:rsidR="00091270" w:rsidRPr="00B65F7F" w:rsidRDefault="00091270" w:rsidP="00091270">
      <w:pPr>
        <w:pStyle w:val="CaptionTable"/>
        <w:rPr>
          <w:b w:val="0"/>
          <w:bCs/>
        </w:rPr>
      </w:pPr>
      <w:r w:rsidRPr="00B65F7F">
        <w:lastRenderedPageBreak/>
        <w:t xml:space="preserve">Table </w:t>
      </w:r>
      <w:r w:rsidRPr="00B65F7F">
        <w:fldChar w:fldCharType="begin"/>
      </w:r>
      <w:r w:rsidRPr="00B65F7F">
        <w:instrText xml:space="preserve"> SEQ Table \* ARABIC </w:instrText>
      </w:r>
      <w:r w:rsidRPr="00B65F7F">
        <w:fldChar w:fldCharType="separate"/>
      </w:r>
      <w:r w:rsidR="00934D5E">
        <w:rPr>
          <w:noProof/>
        </w:rPr>
        <w:t>2</w:t>
      </w:r>
      <w:r w:rsidRPr="00B65F7F">
        <w:fldChar w:fldCharType="end"/>
      </w:r>
      <w:bookmarkEnd w:id="143"/>
      <w:bookmarkEnd w:id="144"/>
      <w:r w:rsidRPr="00B65F7F">
        <w:t xml:space="preserve">: Key features of Phase </w:t>
      </w:r>
      <w:r w:rsidR="00173776">
        <w:t>2</w:t>
      </w:r>
      <w:bookmarkEnd w:id="145"/>
    </w:p>
    <w:tbl>
      <w:tblPr>
        <w:tblStyle w:val="Newtableforresport"/>
        <w:tblW w:w="14591" w:type="dxa"/>
        <w:tblInd w:w="10" w:type="dxa"/>
        <w:tblLayout w:type="fixed"/>
        <w:tblLook w:val="0620" w:firstRow="1" w:lastRow="0" w:firstColumn="0" w:lastColumn="0" w:noHBand="1" w:noVBand="1"/>
        <w:tblCaption w:val="Table 2: Key Features of Phase 2"/>
        <w:tblDescription w:val="The table provides information on different transition activities in Phase 2 of the transition plan. &#10;&#10;The first column lists the number of activities. For example '1.' is in the first activity row, and '2.' is in the second activity row. The second column lists transition activities. The third column lists the lead entity responsible for the transition activity. For example, the National Transition Coordination Office would be the lead responsible for the announcement of the early adopters program. The fourth column lists the support entity responsible for the transition activity. For example, Affiliates, the National Aboriginal Community Controlled Health Organisation and Primary Health Networks, the National Transition Coordination Office and local community would support the design of Relevant Health Programs to meet the needs of the community. "/>
      </w:tblPr>
      <w:tblGrid>
        <w:gridCol w:w="983"/>
        <w:gridCol w:w="9639"/>
        <w:gridCol w:w="1984"/>
        <w:gridCol w:w="1985"/>
      </w:tblGrid>
      <w:tr w:rsidR="00091270" w:rsidRPr="00F63206" w14:paraId="0EFAA11C" w14:textId="77777777" w:rsidTr="006F6DD1">
        <w:trPr>
          <w:cnfStyle w:val="100000000000" w:firstRow="1" w:lastRow="0" w:firstColumn="0" w:lastColumn="0" w:oddVBand="0" w:evenVBand="0" w:oddHBand="0" w:evenHBand="0" w:firstRowFirstColumn="0" w:firstRowLastColumn="0" w:lastRowFirstColumn="0" w:lastRowLastColumn="0"/>
          <w:tblHeader/>
        </w:trPr>
        <w:tc>
          <w:tcPr>
            <w:tcW w:w="983" w:type="dxa"/>
          </w:tcPr>
          <w:p w14:paraId="7BD28CCA" w14:textId="77777777" w:rsidR="00091270" w:rsidRPr="00F63206" w:rsidRDefault="00091270" w:rsidP="00024E8D">
            <w:pPr>
              <w:pStyle w:val="TableHeading"/>
              <w:rPr>
                <w:b w:val="0"/>
              </w:rPr>
            </w:pPr>
            <w:r w:rsidRPr="00F63206">
              <w:t>Number</w:t>
            </w:r>
          </w:p>
        </w:tc>
        <w:tc>
          <w:tcPr>
            <w:tcW w:w="9639" w:type="dxa"/>
          </w:tcPr>
          <w:p w14:paraId="57702EC5" w14:textId="77777777" w:rsidR="00091270" w:rsidRPr="00F63206" w:rsidRDefault="00091270" w:rsidP="00024E8D">
            <w:pPr>
              <w:pStyle w:val="TableHeading"/>
              <w:rPr>
                <w:b w:val="0"/>
              </w:rPr>
            </w:pPr>
            <w:r w:rsidRPr="00F63206">
              <w:t>Activity</w:t>
            </w:r>
          </w:p>
        </w:tc>
        <w:tc>
          <w:tcPr>
            <w:tcW w:w="1984" w:type="dxa"/>
          </w:tcPr>
          <w:p w14:paraId="05BF327B" w14:textId="77777777" w:rsidR="00091270" w:rsidRPr="00F63206" w:rsidRDefault="00091270" w:rsidP="00024E8D">
            <w:pPr>
              <w:pStyle w:val="TableHeading"/>
              <w:rPr>
                <w:b w:val="0"/>
              </w:rPr>
            </w:pPr>
            <w:r w:rsidRPr="00F63206">
              <w:t>Responsible entity (lead)</w:t>
            </w:r>
          </w:p>
        </w:tc>
        <w:tc>
          <w:tcPr>
            <w:tcW w:w="1985" w:type="dxa"/>
          </w:tcPr>
          <w:p w14:paraId="13005647" w14:textId="77777777" w:rsidR="00091270" w:rsidRPr="00F63206" w:rsidRDefault="00091270" w:rsidP="00024E8D">
            <w:pPr>
              <w:pStyle w:val="TableHeading"/>
              <w:rPr>
                <w:b w:val="0"/>
              </w:rPr>
            </w:pPr>
            <w:r w:rsidRPr="00F63206">
              <w:t>Responsible entity (support)</w:t>
            </w:r>
          </w:p>
        </w:tc>
      </w:tr>
      <w:tr w:rsidR="00172A62" w:rsidRPr="00F63206" w14:paraId="6BBB70EA" w14:textId="77777777" w:rsidTr="006F6DD1">
        <w:trPr>
          <w:trHeight w:val="809"/>
        </w:trPr>
        <w:tc>
          <w:tcPr>
            <w:tcW w:w="983" w:type="dxa"/>
          </w:tcPr>
          <w:p w14:paraId="4003754E" w14:textId="77777777" w:rsidR="00172A62" w:rsidRPr="00F63206" w:rsidRDefault="00172A62" w:rsidP="00AB688E">
            <w:pPr>
              <w:pStyle w:val="TableText"/>
            </w:pPr>
            <w:r w:rsidRPr="00F63206">
              <w:t>1</w:t>
            </w:r>
            <w:r w:rsidR="00F14B05">
              <w:t>.</w:t>
            </w:r>
          </w:p>
        </w:tc>
        <w:tc>
          <w:tcPr>
            <w:tcW w:w="9639" w:type="dxa"/>
          </w:tcPr>
          <w:p w14:paraId="5FB80BC6" w14:textId="77777777" w:rsidR="00172A62" w:rsidRPr="00AB688E" w:rsidRDefault="00172A62" w:rsidP="00AB688E">
            <w:pPr>
              <w:pStyle w:val="TableText"/>
              <w:rPr>
                <w:b/>
                <w:bCs/>
              </w:rPr>
            </w:pPr>
            <w:r w:rsidRPr="00AB688E">
              <w:rPr>
                <w:b/>
                <w:bCs/>
              </w:rPr>
              <w:t xml:space="preserve">Announcement of the </w:t>
            </w:r>
            <w:r w:rsidR="00413FC9" w:rsidRPr="00AB688E">
              <w:rPr>
                <w:b/>
                <w:bCs/>
              </w:rPr>
              <w:t>EAP</w:t>
            </w:r>
          </w:p>
          <w:p w14:paraId="32A88DFC" w14:textId="77777777" w:rsidR="00172A62" w:rsidRPr="00F63206" w:rsidRDefault="00172A62" w:rsidP="00AB688E">
            <w:pPr>
              <w:pStyle w:val="TableText"/>
            </w:pPr>
            <w:r w:rsidRPr="00F63206">
              <w:t xml:space="preserve">The NTCO announces the </w:t>
            </w:r>
            <w:r w:rsidR="00F63206" w:rsidRPr="00F63206">
              <w:t>EAP</w:t>
            </w:r>
            <w:r w:rsidRPr="00F63206">
              <w:t xml:space="preserve"> for organisations to opt</w:t>
            </w:r>
            <w:r w:rsidR="00F63206" w:rsidRPr="00F63206">
              <w:t xml:space="preserve"> </w:t>
            </w:r>
            <w:r w:rsidRPr="00F63206">
              <w:t>in as early adopters.</w:t>
            </w:r>
          </w:p>
          <w:p w14:paraId="075BDB56" w14:textId="77777777" w:rsidR="00172A62" w:rsidRPr="00F63206" w:rsidRDefault="00172A62" w:rsidP="00AB688E">
            <w:pPr>
              <w:pStyle w:val="TableText"/>
              <w:rPr>
                <w:b/>
                <w:bCs/>
              </w:rPr>
            </w:pPr>
            <w:r w:rsidRPr="00F63206">
              <w:t xml:space="preserve">The NTCO holds a series of </w:t>
            </w:r>
            <w:r w:rsidR="008A48D0">
              <w:t>information sessions</w:t>
            </w:r>
            <w:r w:rsidR="008A48D0" w:rsidRPr="00F63206">
              <w:t xml:space="preserve"> </w:t>
            </w:r>
            <w:r w:rsidRPr="00F63206">
              <w:t>for stakeholders to explain the purpose, process, timelines and potential challenges to ensure mutual understanding. The webinars are held for different stakeholders, including PHNs</w:t>
            </w:r>
            <w:r w:rsidR="00F63206" w:rsidRPr="00F63206">
              <w:t>;</w:t>
            </w:r>
            <w:r w:rsidRPr="00F63206">
              <w:t xml:space="preserve"> peak organisations (such as NACCHO)</w:t>
            </w:r>
            <w:r w:rsidR="00F63206" w:rsidRPr="00F63206">
              <w:t>;</w:t>
            </w:r>
            <w:r w:rsidRPr="00F63206">
              <w:t xml:space="preserve"> state, territory and regional organisations (such as NACCHO affiliates)</w:t>
            </w:r>
            <w:r w:rsidR="00F63206" w:rsidRPr="00F63206">
              <w:t>;</w:t>
            </w:r>
            <w:r w:rsidRPr="00F63206">
              <w:t xml:space="preserve"> regional organisations (such as IUIH and KAMS)</w:t>
            </w:r>
            <w:r w:rsidR="00F63206" w:rsidRPr="00F63206">
              <w:t>;</w:t>
            </w:r>
            <w:r w:rsidRPr="00F63206">
              <w:t xml:space="preserve"> and interested service providers. </w:t>
            </w:r>
          </w:p>
        </w:tc>
        <w:tc>
          <w:tcPr>
            <w:tcW w:w="1984" w:type="dxa"/>
          </w:tcPr>
          <w:p w14:paraId="69FA1D19" w14:textId="77777777" w:rsidR="00172A62" w:rsidRPr="00F63206" w:rsidRDefault="00172A62" w:rsidP="00AB688E">
            <w:pPr>
              <w:pStyle w:val="TableText"/>
            </w:pPr>
            <w:r w:rsidRPr="00F63206">
              <w:t>NTCO</w:t>
            </w:r>
          </w:p>
        </w:tc>
        <w:tc>
          <w:tcPr>
            <w:tcW w:w="1985" w:type="dxa"/>
          </w:tcPr>
          <w:p w14:paraId="3B3B4464" w14:textId="77777777" w:rsidR="00172A62" w:rsidRPr="00F63206" w:rsidRDefault="00172A62" w:rsidP="00AB688E">
            <w:pPr>
              <w:pStyle w:val="TableText"/>
            </w:pPr>
          </w:p>
        </w:tc>
      </w:tr>
      <w:tr w:rsidR="00172A62" w:rsidRPr="00F63206" w14:paraId="510F02A1" w14:textId="77777777" w:rsidTr="006F6DD1">
        <w:trPr>
          <w:trHeight w:val="809"/>
        </w:trPr>
        <w:tc>
          <w:tcPr>
            <w:tcW w:w="983" w:type="dxa"/>
          </w:tcPr>
          <w:p w14:paraId="10E7B0E1" w14:textId="77777777" w:rsidR="00172A62" w:rsidRPr="00F63206" w:rsidRDefault="00172A62" w:rsidP="00AB688E">
            <w:pPr>
              <w:pStyle w:val="TableText"/>
            </w:pPr>
            <w:r w:rsidRPr="00F63206">
              <w:t>2</w:t>
            </w:r>
            <w:r w:rsidR="00F14B05">
              <w:t>.</w:t>
            </w:r>
          </w:p>
        </w:tc>
        <w:tc>
          <w:tcPr>
            <w:tcW w:w="9639" w:type="dxa"/>
          </w:tcPr>
          <w:p w14:paraId="2379628F" w14:textId="77777777" w:rsidR="00172A62" w:rsidRPr="00AB688E" w:rsidRDefault="00172A62" w:rsidP="00AB688E">
            <w:pPr>
              <w:pStyle w:val="TableText"/>
              <w:rPr>
                <w:b/>
                <w:bCs/>
              </w:rPr>
            </w:pPr>
            <w:r w:rsidRPr="00AB688E">
              <w:rPr>
                <w:b/>
                <w:bCs/>
              </w:rPr>
              <w:t xml:space="preserve">Expression of Interest </w:t>
            </w:r>
            <w:r w:rsidR="00A83028" w:rsidRPr="00AB688E">
              <w:rPr>
                <w:b/>
                <w:bCs/>
              </w:rPr>
              <w:t>(EOI)</w:t>
            </w:r>
            <w:r w:rsidRPr="00AB688E">
              <w:rPr>
                <w:b/>
                <w:bCs/>
              </w:rPr>
              <w:t xml:space="preserve"> open</w:t>
            </w:r>
          </w:p>
          <w:p w14:paraId="02C6D1FC" w14:textId="79DB31C9" w:rsidR="00172A62" w:rsidRPr="00F63206" w:rsidRDefault="00172A62" w:rsidP="00AB688E">
            <w:pPr>
              <w:pStyle w:val="TableText"/>
            </w:pPr>
            <w:r w:rsidRPr="00F63206">
              <w:t xml:space="preserve">The NTCO may target and engage specific organisations to invite them to submit an EOI. These organisations may include the organisations outlined in the Framework for the </w:t>
            </w:r>
            <w:r w:rsidR="00413FC9">
              <w:t>EAP</w:t>
            </w:r>
            <w:r w:rsidRPr="00461E43">
              <w:t xml:space="preserve"> (</w:t>
            </w:r>
            <w:r w:rsidR="00461E43" w:rsidRPr="00461E43">
              <w:fldChar w:fldCharType="begin"/>
            </w:r>
            <w:r w:rsidR="00461E43" w:rsidRPr="00461E43">
              <w:instrText xml:space="preserve"> REF App11_notitle \h </w:instrText>
            </w:r>
            <w:r w:rsidR="00461E43">
              <w:instrText xml:space="preserve"> \* MERGEFORMAT </w:instrText>
            </w:r>
            <w:r w:rsidR="00461E43" w:rsidRPr="00461E43">
              <w:fldChar w:fldCharType="separate"/>
            </w:r>
            <w:r w:rsidR="00934D5E" w:rsidRPr="00B65F7F">
              <w:t xml:space="preserve">Appendix </w:t>
            </w:r>
            <w:r w:rsidR="00934D5E">
              <w:t>11</w:t>
            </w:r>
            <w:r w:rsidR="00461E43" w:rsidRPr="00461E43">
              <w:fldChar w:fldCharType="end"/>
            </w:r>
            <w:r w:rsidRPr="00461E43">
              <w:t>)</w:t>
            </w:r>
            <w:r w:rsidR="001B3A01" w:rsidRPr="00461E43">
              <w:t>. Howe</w:t>
            </w:r>
            <w:r w:rsidR="001B3A01" w:rsidRPr="00F63206">
              <w:t xml:space="preserve">ver, these organisations should also </w:t>
            </w:r>
            <w:r w:rsidR="00264B0F" w:rsidRPr="00F63206">
              <w:t xml:space="preserve">be open to </w:t>
            </w:r>
            <w:r w:rsidR="00F63206" w:rsidRPr="00F63206">
              <w:t>including</w:t>
            </w:r>
            <w:r w:rsidR="00264B0F" w:rsidRPr="00F63206">
              <w:t xml:space="preserve"> other</w:t>
            </w:r>
            <w:r w:rsidR="00201DF7" w:rsidRPr="00F63206">
              <w:t xml:space="preserve"> organisations that would</w:t>
            </w:r>
            <w:r w:rsidR="00264B0F" w:rsidRPr="00F63206">
              <w:t xml:space="preserve"> provide alternative approaches to implementing the future-state funding arrangements</w:t>
            </w:r>
            <w:r w:rsidR="00201DF7" w:rsidRPr="00F63206">
              <w:t xml:space="preserve">. </w:t>
            </w:r>
          </w:p>
          <w:p w14:paraId="20724F58" w14:textId="77777777" w:rsidR="00172A62" w:rsidRPr="00F63206" w:rsidRDefault="00172A62" w:rsidP="007A5A62">
            <w:pPr>
              <w:pStyle w:val="TableText"/>
            </w:pPr>
            <w:r w:rsidRPr="00F63206">
              <w:t>Organisations and services may express their interest by submitting an EOI within a specified time</w:t>
            </w:r>
            <w:r w:rsidR="00F63206" w:rsidRPr="00F63206">
              <w:t xml:space="preserve"> </w:t>
            </w:r>
            <w:r w:rsidRPr="00F63206">
              <w:t>frame.</w:t>
            </w:r>
          </w:p>
          <w:p w14:paraId="5C5AAF8C" w14:textId="77777777" w:rsidR="00172A62" w:rsidRPr="00F63206" w:rsidRDefault="00172A62" w:rsidP="00AB688E">
            <w:pPr>
              <w:pStyle w:val="TableText"/>
            </w:pPr>
            <w:r w:rsidRPr="00F63206">
              <w:t>The EOI should include information on the service</w:t>
            </w:r>
            <w:r w:rsidR="00F63206" w:rsidRPr="00F63206">
              <w:t>’</w:t>
            </w:r>
            <w:r w:rsidRPr="00F63206">
              <w:t>s capacity, goals and how the new funding model aligns with the recommended future</w:t>
            </w:r>
            <w:r w:rsidR="00F63206" w:rsidRPr="00F63206">
              <w:t>-</w:t>
            </w:r>
            <w:r w:rsidRPr="00F63206">
              <w:t>state funding arrangements and their own mission and goals</w:t>
            </w:r>
            <w:r w:rsidR="000E0DDA" w:rsidRPr="00F63206">
              <w:t>.</w:t>
            </w:r>
          </w:p>
          <w:p w14:paraId="1E0D70C4" w14:textId="7077AED4" w:rsidR="00201038" w:rsidRPr="00F63206" w:rsidRDefault="000E0DDA" w:rsidP="00AB688E">
            <w:pPr>
              <w:pStyle w:val="TableText"/>
              <w:rPr>
                <w:rFonts w:cs="Calibri"/>
              </w:rPr>
            </w:pPr>
            <w:r w:rsidRPr="00F63206">
              <w:rPr>
                <w:rFonts w:cs="Calibri"/>
                <w:b/>
              </w:rPr>
              <w:t xml:space="preserve">Note: </w:t>
            </w:r>
            <w:r w:rsidR="00201038" w:rsidRPr="00F63206">
              <w:rPr>
                <w:rFonts w:cs="Calibri"/>
              </w:rPr>
              <w:t xml:space="preserve">As noted above, </w:t>
            </w:r>
            <w:r w:rsidR="00201038" w:rsidRPr="00F63206">
              <w:rPr>
                <w:rFonts w:eastAsia="Roboto"/>
              </w:rPr>
              <w:t>Arrangement C</w:t>
            </w:r>
            <w:r w:rsidR="00201038" w:rsidRPr="00F63206">
              <w:rPr>
                <w:rFonts w:eastAsiaTheme="majorEastAsia"/>
              </w:rPr>
              <w:t xml:space="preserve"> was excluded from the recommended future-state funding arrangements. However, during the validation and refinement of this report and recommendations, the Review Team, in collabora</w:t>
            </w:r>
            <w:r w:rsidR="00201038" w:rsidRPr="00461E43">
              <w:rPr>
                <w:rFonts w:eastAsiaTheme="majorEastAsia"/>
              </w:rPr>
              <w:t xml:space="preserve">tion with </w:t>
            </w:r>
            <w:r w:rsidR="00F63206" w:rsidRPr="00461E43">
              <w:rPr>
                <w:rFonts w:eastAsiaTheme="majorEastAsia"/>
              </w:rPr>
              <w:t>DoHAC</w:t>
            </w:r>
            <w:r w:rsidR="00201038" w:rsidRPr="00461E43">
              <w:rPr>
                <w:rFonts w:eastAsiaTheme="majorEastAsia"/>
              </w:rPr>
              <w:t xml:space="preserve">, agreed that Arrangement C </w:t>
            </w:r>
            <w:r w:rsidR="008234AC">
              <w:rPr>
                <w:rFonts w:eastAsiaTheme="majorEastAsia"/>
              </w:rPr>
              <w:t>should</w:t>
            </w:r>
            <w:r w:rsidR="008234AC" w:rsidRPr="00461E43">
              <w:rPr>
                <w:rFonts w:eastAsiaTheme="majorEastAsia"/>
              </w:rPr>
              <w:t xml:space="preserve"> </w:t>
            </w:r>
            <w:r w:rsidR="00201038" w:rsidRPr="00461E43">
              <w:rPr>
                <w:rFonts w:eastAsiaTheme="majorEastAsia"/>
              </w:rPr>
              <w:t xml:space="preserve">be considered as part of the </w:t>
            </w:r>
            <w:r w:rsidR="00F63206" w:rsidRPr="00461E43">
              <w:rPr>
                <w:rFonts w:eastAsiaTheme="majorEastAsia"/>
              </w:rPr>
              <w:t>EAP</w:t>
            </w:r>
            <w:r w:rsidR="00201038" w:rsidRPr="00461E43">
              <w:rPr>
                <w:rFonts w:eastAsiaTheme="majorEastAsia"/>
              </w:rPr>
              <w:t xml:space="preserve"> (</w:t>
            </w:r>
            <w:r w:rsidR="007D5461" w:rsidRPr="00461E43">
              <w:rPr>
                <w:rFonts w:eastAsiaTheme="majorEastAsia"/>
              </w:rPr>
              <w:t>P</w:t>
            </w:r>
            <w:r w:rsidR="00201038" w:rsidRPr="00461E43">
              <w:rPr>
                <w:rFonts w:eastAsiaTheme="majorEastAsia"/>
              </w:rPr>
              <w:t>hase</w:t>
            </w:r>
            <w:r w:rsidR="007D5461" w:rsidRPr="00461E43">
              <w:rPr>
                <w:rFonts w:eastAsiaTheme="majorEastAsia"/>
              </w:rPr>
              <w:t>s</w:t>
            </w:r>
            <w:r w:rsidR="00201038" w:rsidRPr="00461E43">
              <w:rPr>
                <w:rFonts w:eastAsiaTheme="majorEastAsia"/>
              </w:rPr>
              <w:t xml:space="preserve"> </w:t>
            </w:r>
            <w:r w:rsidR="007D5461" w:rsidRPr="00461E43">
              <w:rPr>
                <w:rFonts w:eastAsiaTheme="majorEastAsia"/>
              </w:rPr>
              <w:t>2</w:t>
            </w:r>
            <w:r w:rsidR="00201038" w:rsidRPr="00461E43">
              <w:rPr>
                <w:rFonts w:eastAsiaTheme="majorEastAsia"/>
              </w:rPr>
              <w:t xml:space="preserve"> and </w:t>
            </w:r>
            <w:r w:rsidR="007D5461" w:rsidRPr="00461E43">
              <w:rPr>
                <w:rFonts w:eastAsiaTheme="majorEastAsia"/>
              </w:rPr>
              <w:t>3</w:t>
            </w:r>
            <w:r w:rsidR="00201038" w:rsidRPr="00461E43">
              <w:rPr>
                <w:rFonts w:eastAsiaTheme="majorEastAsia"/>
              </w:rPr>
              <w:t>), as outlined in the Transformation Plan</w:t>
            </w:r>
            <w:r w:rsidR="00461E43" w:rsidRPr="00461E43">
              <w:rPr>
                <w:rFonts w:eastAsiaTheme="majorEastAsia"/>
              </w:rPr>
              <w:t xml:space="preserve"> (</w:t>
            </w:r>
            <w:r w:rsidR="00C94EE1">
              <w:fldChar w:fldCharType="begin"/>
            </w:r>
            <w:r w:rsidR="00C94EE1">
              <w:instrText xml:space="preserve"> REF Ch4_Plan4Xformn \r \h </w:instrText>
            </w:r>
            <w:r w:rsidR="00C94EE1">
              <w:fldChar w:fldCharType="separate"/>
            </w:r>
            <w:r w:rsidR="00934D5E">
              <w:t>Chapter 4</w:t>
            </w:r>
            <w:r w:rsidR="00C94EE1">
              <w:fldChar w:fldCharType="end"/>
            </w:r>
            <w:r w:rsidR="00461E43">
              <w:rPr>
                <w:rFonts w:eastAsiaTheme="majorEastAsia"/>
              </w:rPr>
              <w:t>)</w:t>
            </w:r>
            <w:r w:rsidR="00201038" w:rsidRPr="00F63206">
              <w:rPr>
                <w:rFonts w:eastAsiaTheme="majorEastAsia"/>
              </w:rPr>
              <w:t>.</w:t>
            </w:r>
          </w:p>
        </w:tc>
        <w:tc>
          <w:tcPr>
            <w:tcW w:w="1984" w:type="dxa"/>
          </w:tcPr>
          <w:p w14:paraId="04ABE00E" w14:textId="77777777" w:rsidR="00172A62" w:rsidRPr="00F63206" w:rsidRDefault="00172A62" w:rsidP="00AB688E">
            <w:pPr>
              <w:pStyle w:val="TableText"/>
            </w:pPr>
            <w:r w:rsidRPr="00F63206">
              <w:t>NTCO</w:t>
            </w:r>
          </w:p>
        </w:tc>
        <w:tc>
          <w:tcPr>
            <w:tcW w:w="1985" w:type="dxa"/>
          </w:tcPr>
          <w:p w14:paraId="50BF2C30" w14:textId="77777777" w:rsidR="00172A62" w:rsidRPr="00F63206" w:rsidRDefault="00172A62" w:rsidP="00AB688E">
            <w:pPr>
              <w:pStyle w:val="TableText"/>
            </w:pPr>
          </w:p>
        </w:tc>
      </w:tr>
      <w:tr w:rsidR="00172A62" w:rsidRPr="00F63206" w14:paraId="13D884F2" w14:textId="77777777" w:rsidTr="006F6DD1">
        <w:trPr>
          <w:trHeight w:val="809"/>
        </w:trPr>
        <w:tc>
          <w:tcPr>
            <w:tcW w:w="983" w:type="dxa"/>
          </w:tcPr>
          <w:p w14:paraId="47E4C87C" w14:textId="77777777" w:rsidR="00172A62" w:rsidRPr="00F63206" w:rsidRDefault="00172A62" w:rsidP="00AB688E">
            <w:pPr>
              <w:pStyle w:val="TableText"/>
            </w:pPr>
            <w:r w:rsidRPr="00F63206">
              <w:t>3</w:t>
            </w:r>
            <w:r w:rsidR="00F14B05">
              <w:t>.</w:t>
            </w:r>
          </w:p>
        </w:tc>
        <w:tc>
          <w:tcPr>
            <w:tcW w:w="9639" w:type="dxa"/>
          </w:tcPr>
          <w:p w14:paraId="2EEC0966" w14:textId="77777777" w:rsidR="00172A62" w:rsidRPr="00AB688E" w:rsidRDefault="00172A62" w:rsidP="00AB688E">
            <w:pPr>
              <w:pStyle w:val="TableText"/>
              <w:rPr>
                <w:b/>
                <w:bCs/>
              </w:rPr>
            </w:pPr>
            <w:r w:rsidRPr="00AB688E">
              <w:rPr>
                <w:b/>
                <w:bCs/>
              </w:rPr>
              <w:t>Reviewing EOIs</w:t>
            </w:r>
          </w:p>
          <w:p w14:paraId="30316B6B" w14:textId="73EF9E46" w:rsidR="00172A62" w:rsidRPr="00F63206" w:rsidRDefault="00172A62" w:rsidP="00AB688E">
            <w:pPr>
              <w:pStyle w:val="TableText"/>
            </w:pPr>
            <w:r w:rsidRPr="00F63206">
              <w:t xml:space="preserve">The NTCO reviews EOIs </w:t>
            </w:r>
            <w:r w:rsidR="00C01002">
              <w:t>on the basis of the</w:t>
            </w:r>
            <w:r w:rsidRPr="00F63206">
              <w:t xml:space="preserve"> pre-defined criteria (an example criteria </w:t>
            </w:r>
            <w:r w:rsidR="00F63206">
              <w:t xml:space="preserve">is </w:t>
            </w:r>
            <w:r w:rsidRPr="00F63206">
              <w:t xml:space="preserve">provided in the Framework for the </w:t>
            </w:r>
            <w:r w:rsidR="00413FC9">
              <w:t>EAP</w:t>
            </w:r>
            <w:r w:rsidRPr="00461E43">
              <w:t xml:space="preserve"> </w:t>
            </w:r>
            <w:r w:rsidR="00461E43" w:rsidRPr="00461E43">
              <w:t>(</w:t>
            </w:r>
            <w:r w:rsidR="00461E43">
              <w:fldChar w:fldCharType="begin"/>
            </w:r>
            <w:r w:rsidR="00461E43">
              <w:instrText xml:space="preserve"> REF App11_notitle \h </w:instrText>
            </w:r>
            <w:r w:rsidR="00AB688E">
              <w:instrText xml:space="preserve"> \* MERGEFORMAT </w:instrText>
            </w:r>
            <w:r w:rsidR="00461E43">
              <w:fldChar w:fldCharType="separate"/>
            </w:r>
            <w:r w:rsidR="00934D5E" w:rsidRPr="00B65F7F">
              <w:t xml:space="preserve">Appendix </w:t>
            </w:r>
            <w:r w:rsidR="00934D5E">
              <w:t>11</w:t>
            </w:r>
            <w:r w:rsidR="00461E43">
              <w:fldChar w:fldCharType="end"/>
            </w:r>
            <w:r w:rsidRPr="00461E43">
              <w:t>)</w:t>
            </w:r>
            <w:r w:rsidR="00C01002">
              <w:t>. On the basis of this review, the NTCO would determine which organisations participate in the EAP.</w:t>
            </w:r>
          </w:p>
          <w:p w14:paraId="72F2A7C8" w14:textId="77777777" w:rsidR="00172A62" w:rsidRPr="00F63206" w:rsidRDefault="00172A62" w:rsidP="00AB688E">
            <w:pPr>
              <w:pStyle w:val="TableText"/>
            </w:pPr>
            <w:r w:rsidRPr="00F63206">
              <w:t xml:space="preserve">The predefined criteria are established to assess the suitability of organisations </w:t>
            </w:r>
            <w:r w:rsidR="006C219B" w:rsidRPr="00F63206">
              <w:t>for the EAP</w:t>
            </w:r>
            <w:r w:rsidRPr="00F63206">
              <w:t xml:space="preserve">. </w:t>
            </w:r>
          </w:p>
          <w:p w14:paraId="621BA189" w14:textId="77777777" w:rsidR="00172A62" w:rsidRPr="00F63206" w:rsidRDefault="00172A62" w:rsidP="00AB688E">
            <w:pPr>
              <w:pStyle w:val="TableText"/>
            </w:pPr>
            <w:r w:rsidRPr="00F63206">
              <w:t>A committee from the NTCO reviews EOIs based on the criteria and selects the organisations to participate in the interviews and consultations.</w:t>
            </w:r>
          </w:p>
          <w:p w14:paraId="5910E49A" w14:textId="77777777" w:rsidR="00172A62" w:rsidRPr="00F63206" w:rsidRDefault="00172A62" w:rsidP="00AB688E">
            <w:pPr>
              <w:pStyle w:val="TableText"/>
              <w:rPr>
                <w:b/>
                <w:bCs/>
              </w:rPr>
            </w:pPr>
            <w:r w:rsidRPr="00F63206">
              <w:t>The NTCO should also provide clear feedback to all applicants</w:t>
            </w:r>
            <w:r w:rsidR="00F22D4F" w:rsidRPr="00F63206">
              <w:t xml:space="preserve"> on the outcome of the </w:t>
            </w:r>
            <w:r w:rsidR="005C61B0" w:rsidRPr="00F63206">
              <w:t>EOI process</w:t>
            </w:r>
            <w:r w:rsidRPr="00F63206">
              <w:t>.</w:t>
            </w:r>
          </w:p>
        </w:tc>
        <w:tc>
          <w:tcPr>
            <w:tcW w:w="1984" w:type="dxa"/>
          </w:tcPr>
          <w:p w14:paraId="781ECDFF" w14:textId="77777777" w:rsidR="00172A62" w:rsidRPr="00F63206" w:rsidRDefault="00172A62" w:rsidP="00AB688E">
            <w:pPr>
              <w:pStyle w:val="TableText"/>
            </w:pPr>
            <w:r w:rsidRPr="00F63206">
              <w:t>NTCO</w:t>
            </w:r>
          </w:p>
        </w:tc>
        <w:tc>
          <w:tcPr>
            <w:tcW w:w="1985" w:type="dxa"/>
          </w:tcPr>
          <w:p w14:paraId="50D1989C" w14:textId="77777777" w:rsidR="00172A62" w:rsidRPr="00F63206" w:rsidRDefault="00172A62" w:rsidP="00AB688E">
            <w:pPr>
              <w:pStyle w:val="TableText"/>
            </w:pPr>
          </w:p>
        </w:tc>
      </w:tr>
      <w:tr w:rsidR="00201DF7" w:rsidRPr="00F63206" w14:paraId="0E4BD001" w14:textId="77777777" w:rsidTr="006F6DD1">
        <w:trPr>
          <w:trHeight w:val="809"/>
        </w:trPr>
        <w:tc>
          <w:tcPr>
            <w:tcW w:w="983" w:type="dxa"/>
          </w:tcPr>
          <w:p w14:paraId="7470FD72" w14:textId="77777777" w:rsidR="00201DF7" w:rsidRPr="00F63206" w:rsidRDefault="00201DF7" w:rsidP="00AB688E">
            <w:pPr>
              <w:pStyle w:val="TableText"/>
            </w:pPr>
            <w:r w:rsidRPr="00F63206">
              <w:t>4</w:t>
            </w:r>
            <w:r w:rsidR="00F14B05">
              <w:t>.</w:t>
            </w:r>
          </w:p>
        </w:tc>
        <w:tc>
          <w:tcPr>
            <w:tcW w:w="9639" w:type="dxa"/>
          </w:tcPr>
          <w:p w14:paraId="2DB7EDD5" w14:textId="77777777" w:rsidR="00201DF7" w:rsidRPr="00AB688E" w:rsidRDefault="00201DF7" w:rsidP="00AB688E">
            <w:pPr>
              <w:pStyle w:val="TableText"/>
              <w:rPr>
                <w:b/>
                <w:bCs/>
              </w:rPr>
            </w:pPr>
            <w:r w:rsidRPr="00AB688E">
              <w:rPr>
                <w:b/>
                <w:bCs/>
              </w:rPr>
              <w:t>Interviews and consultations</w:t>
            </w:r>
          </w:p>
          <w:p w14:paraId="042BE21E" w14:textId="77777777" w:rsidR="00201DF7" w:rsidRPr="00F63206" w:rsidRDefault="00201DF7" w:rsidP="00AB688E">
            <w:pPr>
              <w:pStyle w:val="TableText"/>
            </w:pPr>
            <w:r w:rsidRPr="00F63206">
              <w:t>The NTCO conducts interviews and consultations with EOI candidates to confirm the final early adopter selection.</w:t>
            </w:r>
          </w:p>
          <w:p w14:paraId="228E554B" w14:textId="77777777" w:rsidR="00201DF7" w:rsidRPr="00F63206" w:rsidRDefault="00201DF7" w:rsidP="00AB688E">
            <w:pPr>
              <w:pStyle w:val="TableText"/>
            </w:pPr>
            <w:r w:rsidRPr="00F63206">
              <w:t xml:space="preserve">Selected organisations participate in interviews or consultations to further assess their readiness and commitment following the EOI process. </w:t>
            </w:r>
          </w:p>
          <w:p w14:paraId="496AE128" w14:textId="77777777" w:rsidR="00201DF7" w:rsidRPr="00F63206" w:rsidRDefault="00201DF7" w:rsidP="00AB688E">
            <w:pPr>
              <w:pStyle w:val="TableText"/>
            </w:pPr>
            <w:r w:rsidRPr="00F63206">
              <w:lastRenderedPageBreak/>
              <w:t>The NTCO communicates expectations, timelines and potential challenges to ensure mutual understanding.</w:t>
            </w:r>
          </w:p>
          <w:p w14:paraId="244C9D3D" w14:textId="77777777" w:rsidR="00201DF7" w:rsidRPr="00F63206" w:rsidRDefault="00201DF7" w:rsidP="00AB688E">
            <w:pPr>
              <w:pStyle w:val="TableText"/>
            </w:pPr>
            <w:r w:rsidRPr="00F63206">
              <w:t xml:space="preserve">This also provides the organisations with further opportunities to ask questions to determine and confirm their own capacity, suitability and readiness. </w:t>
            </w:r>
          </w:p>
          <w:p w14:paraId="2A39019B" w14:textId="77777777" w:rsidR="00201DF7" w:rsidRPr="00F63206" w:rsidRDefault="00201DF7" w:rsidP="00AB688E">
            <w:pPr>
              <w:pStyle w:val="TableText"/>
            </w:pPr>
            <w:r w:rsidRPr="00F63206">
              <w:t>The interview and consultation process should be transparent and fair. The NTCO should also provide clear feedback to all applicants.</w:t>
            </w:r>
          </w:p>
        </w:tc>
        <w:tc>
          <w:tcPr>
            <w:tcW w:w="1984" w:type="dxa"/>
          </w:tcPr>
          <w:p w14:paraId="67FF65FB" w14:textId="77777777" w:rsidR="00201DF7" w:rsidRPr="00F63206" w:rsidRDefault="00201DF7" w:rsidP="00AB688E">
            <w:pPr>
              <w:pStyle w:val="TableText"/>
            </w:pPr>
            <w:r w:rsidRPr="00F63206">
              <w:lastRenderedPageBreak/>
              <w:t>NTCO</w:t>
            </w:r>
          </w:p>
        </w:tc>
        <w:tc>
          <w:tcPr>
            <w:tcW w:w="1985" w:type="dxa"/>
          </w:tcPr>
          <w:p w14:paraId="4BF843BF" w14:textId="77777777" w:rsidR="00201DF7" w:rsidRPr="00F63206" w:rsidRDefault="00201DF7" w:rsidP="00AB688E">
            <w:pPr>
              <w:pStyle w:val="TableText"/>
            </w:pPr>
          </w:p>
        </w:tc>
      </w:tr>
      <w:tr w:rsidR="00201DF7" w:rsidRPr="00F63206" w14:paraId="713B2164" w14:textId="77777777" w:rsidTr="006F6DD1">
        <w:trPr>
          <w:trHeight w:val="809"/>
        </w:trPr>
        <w:tc>
          <w:tcPr>
            <w:tcW w:w="983" w:type="dxa"/>
          </w:tcPr>
          <w:p w14:paraId="0D777322" w14:textId="77777777" w:rsidR="00201DF7" w:rsidRPr="00F63206" w:rsidRDefault="00201DF7" w:rsidP="00AB688E">
            <w:pPr>
              <w:pStyle w:val="TableText"/>
            </w:pPr>
            <w:r w:rsidRPr="00F63206">
              <w:t>5</w:t>
            </w:r>
            <w:r w:rsidR="00F14B05">
              <w:t>.</w:t>
            </w:r>
          </w:p>
        </w:tc>
        <w:tc>
          <w:tcPr>
            <w:tcW w:w="9639" w:type="dxa"/>
          </w:tcPr>
          <w:p w14:paraId="3A889EBE" w14:textId="77777777" w:rsidR="00201DF7" w:rsidRPr="00AB688E" w:rsidRDefault="00201DF7" w:rsidP="00AB688E">
            <w:pPr>
              <w:pStyle w:val="TableText"/>
              <w:rPr>
                <w:b/>
                <w:bCs/>
              </w:rPr>
            </w:pPr>
            <w:r w:rsidRPr="00AB688E">
              <w:rPr>
                <w:b/>
                <w:bCs/>
              </w:rPr>
              <w:t xml:space="preserve">Agreement and commitment </w:t>
            </w:r>
          </w:p>
          <w:p w14:paraId="263EAC20" w14:textId="7F53F7DF" w:rsidR="00201DF7" w:rsidRPr="00F63206" w:rsidRDefault="00201DF7" w:rsidP="00AB688E">
            <w:pPr>
              <w:pStyle w:val="TableText"/>
            </w:pPr>
            <w:r w:rsidRPr="00F63206">
              <w:t xml:space="preserve">A formal agreement is established between </w:t>
            </w:r>
            <w:r w:rsidR="00F63206">
              <w:t>DoHAC</w:t>
            </w:r>
            <w:r w:rsidRPr="00F63206">
              <w:t xml:space="preserve"> (via the NTCO) and the selected organisations to execute the role of the selected organisation as a funding body. </w:t>
            </w:r>
          </w:p>
          <w:p w14:paraId="4D5E1DF1" w14:textId="77777777" w:rsidR="00201DF7" w:rsidRPr="00F63206" w:rsidRDefault="00201DF7" w:rsidP="00AB688E">
            <w:pPr>
              <w:pStyle w:val="TableText"/>
              <w:rPr>
                <w:b/>
                <w:bCs/>
              </w:rPr>
            </w:pPr>
            <w:r w:rsidRPr="00F63206">
              <w:t>Early adopters commit to providing regular feedback and data and participating in any evaluation activities undertaken by the NTCO.</w:t>
            </w:r>
          </w:p>
        </w:tc>
        <w:tc>
          <w:tcPr>
            <w:tcW w:w="1984" w:type="dxa"/>
          </w:tcPr>
          <w:p w14:paraId="2EAF89FB" w14:textId="77777777" w:rsidR="00201DF7" w:rsidRPr="00F63206" w:rsidRDefault="00201DF7" w:rsidP="00AB688E">
            <w:pPr>
              <w:pStyle w:val="TableText"/>
            </w:pPr>
            <w:r w:rsidRPr="00F63206">
              <w:t>NTCO</w:t>
            </w:r>
          </w:p>
        </w:tc>
        <w:tc>
          <w:tcPr>
            <w:tcW w:w="1985" w:type="dxa"/>
          </w:tcPr>
          <w:p w14:paraId="1F4D3D73" w14:textId="77777777" w:rsidR="00201DF7" w:rsidRPr="00F63206" w:rsidRDefault="00201DF7" w:rsidP="00AB688E">
            <w:pPr>
              <w:pStyle w:val="TableText"/>
            </w:pPr>
          </w:p>
        </w:tc>
      </w:tr>
      <w:tr w:rsidR="00091270" w:rsidRPr="00F63206" w14:paraId="71F65B3E" w14:textId="77777777" w:rsidTr="006F6DD1">
        <w:tc>
          <w:tcPr>
            <w:tcW w:w="983" w:type="dxa"/>
          </w:tcPr>
          <w:p w14:paraId="047CF783" w14:textId="77777777" w:rsidR="00091270" w:rsidRPr="00F63206" w:rsidRDefault="00201DF7" w:rsidP="00AB688E">
            <w:pPr>
              <w:pStyle w:val="TableText"/>
            </w:pPr>
            <w:r w:rsidRPr="00F63206">
              <w:t>6</w:t>
            </w:r>
            <w:r w:rsidR="00091270" w:rsidRPr="00F63206">
              <w:t>.</w:t>
            </w:r>
          </w:p>
        </w:tc>
        <w:tc>
          <w:tcPr>
            <w:tcW w:w="9639" w:type="dxa"/>
          </w:tcPr>
          <w:p w14:paraId="49300B92" w14:textId="77777777" w:rsidR="00091270" w:rsidRPr="00F63206" w:rsidRDefault="00091270" w:rsidP="00AB688E">
            <w:pPr>
              <w:pStyle w:val="TableText"/>
            </w:pPr>
            <w:r w:rsidRPr="00F63206">
              <w:rPr>
                <w:b/>
              </w:rPr>
              <w:t>Development of a comprehensive understanding of community needs and priorities</w:t>
            </w:r>
            <w:r w:rsidRPr="00F63206">
              <w:t xml:space="preserve"> as they relate to the Relevant Health Programs to inform the design of the funding </w:t>
            </w:r>
            <w:r w:rsidR="00201DF7" w:rsidRPr="00F63206">
              <w:t>arrangement for the selected organisations</w:t>
            </w:r>
            <w:r w:rsidR="00F63206">
              <w:t>.</w:t>
            </w:r>
          </w:p>
          <w:p w14:paraId="5338B59B" w14:textId="77777777" w:rsidR="00091270" w:rsidRPr="00F63206" w:rsidRDefault="00091270" w:rsidP="00AB688E">
            <w:pPr>
              <w:pStyle w:val="TableText"/>
            </w:pPr>
            <w:r w:rsidRPr="00F63206">
              <w:t xml:space="preserve">This understanding must span the breadth of the community, including the different sub-communities that may exist, to ensure the understanding reflects all needs (not just those who can advocate most effectively). </w:t>
            </w:r>
            <w:r w:rsidR="00D3733F" w:rsidRPr="00D3733F">
              <w:t xml:space="preserve">To ensure Transformation Feature 1 is realised, the process must </w:t>
            </w:r>
            <w:r w:rsidR="008234AC" w:rsidRPr="00D3733F">
              <w:t>document</w:t>
            </w:r>
            <w:r w:rsidR="008234AC" w:rsidRPr="00F63206">
              <w:t xml:space="preserve"> existing</w:t>
            </w:r>
            <w:r w:rsidRPr="00F63206">
              <w:t xml:space="preserve"> community choice and access. </w:t>
            </w:r>
          </w:p>
        </w:tc>
        <w:tc>
          <w:tcPr>
            <w:tcW w:w="1984" w:type="dxa"/>
          </w:tcPr>
          <w:p w14:paraId="419BE5C8" w14:textId="77777777" w:rsidR="00091270" w:rsidRPr="00F63206" w:rsidRDefault="00201DF7" w:rsidP="00AB688E">
            <w:pPr>
              <w:pStyle w:val="TableText"/>
            </w:pPr>
            <w:r w:rsidRPr="00F63206">
              <w:t xml:space="preserve">Early Adopter </w:t>
            </w:r>
            <w:r w:rsidR="00091270" w:rsidRPr="00F63206">
              <w:t>entity</w:t>
            </w:r>
            <w:r w:rsidRPr="00F63206">
              <w:t xml:space="preserve"> (or entities)</w:t>
            </w:r>
          </w:p>
        </w:tc>
        <w:tc>
          <w:tcPr>
            <w:tcW w:w="1985" w:type="dxa"/>
          </w:tcPr>
          <w:p w14:paraId="14CB07C5" w14:textId="77777777" w:rsidR="00091270" w:rsidRPr="00F63206" w:rsidRDefault="00091270" w:rsidP="00AB688E">
            <w:pPr>
              <w:pStyle w:val="TableText"/>
            </w:pPr>
            <w:r w:rsidRPr="00F63206">
              <w:t xml:space="preserve">Affiliates </w:t>
            </w:r>
          </w:p>
          <w:p w14:paraId="4BF5C970" w14:textId="77777777" w:rsidR="00091270" w:rsidRPr="00F63206" w:rsidRDefault="00091270" w:rsidP="00AB688E">
            <w:pPr>
              <w:pStyle w:val="TableText"/>
            </w:pPr>
            <w:r w:rsidRPr="00F63206">
              <w:t>NACCHO</w:t>
            </w:r>
          </w:p>
          <w:p w14:paraId="2F3DA25C" w14:textId="77777777" w:rsidR="00091270" w:rsidRPr="00F63206" w:rsidRDefault="00091270" w:rsidP="00AB688E">
            <w:pPr>
              <w:pStyle w:val="TableText"/>
            </w:pPr>
            <w:r w:rsidRPr="00F63206">
              <w:t>PHNs</w:t>
            </w:r>
          </w:p>
          <w:p w14:paraId="6A8A60A3" w14:textId="77777777" w:rsidR="00091270" w:rsidRPr="00F63206" w:rsidRDefault="00091270" w:rsidP="00AB688E">
            <w:pPr>
              <w:pStyle w:val="TableText"/>
            </w:pPr>
            <w:r w:rsidRPr="00F63206">
              <w:t xml:space="preserve">Local community </w:t>
            </w:r>
          </w:p>
          <w:p w14:paraId="59AA366A" w14:textId="77777777" w:rsidR="00091270" w:rsidRPr="00F63206" w:rsidRDefault="00091270" w:rsidP="00AB688E">
            <w:pPr>
              <w:pStyle w:val="TableText"/>
            </w:pPr>
            <w:r w:rsidRPr="00F63206">
              <w:t>NTCO</w:t>
            </w:r>
          </w:p>
        </w:tc>
      </w:tr>
      <w:tr w:rsidR="00091270" w:rsidRPr="00F63206" w14:paraId="330E974C" w14:textId="77777777" w:rsidTr="006F6DD1">
        <w:tc>
          <w:tcPr>
            <w:tcW w:w="983" w:type="dxa"/>
          </w:tcPr>
          <w:p w14:paraId="13175874" w14:textId="77777777" w:rsidR="00091270" w:rsidRPr="00F63206" w:rsidRDefault="00201DF7" w:rsidP="00AB688E">
            <w:pPr>
              <w:pStyle w:val="TableText"/>
            </w:pPr>
            <w:r w:rsidRPr="00F63206">
              <w:t>7</w:t>
            </w:r>
            <w:r w:rsidR="00091270" w:rsidRPr="00F63206">
              <w:t>.</w:t>
            </w:r>
          </w:p>
        </w:tc>
        <w:tc>
          <w:tcPr>
            <w:tcW w:w="9639" w:type="dxa"/>
          </w:tcPr>
          <w:p w14:paraId="01A92872" w14:textId="77777777" w:rsidR="00091270" w:rsidRPr="00F63206" w:rsidRDefault="00091270" w:rsidP="00AB688E">
            <w:pPr>
              <w:pStyle w:val="TableText"/>
            </w:pPr>
            <w:r w:rsidRPr="00F63206">
              <w:rPr>
                <w:b/>
              </w:rPr>
              <w:t xml:space="preserve">Designing of the </w:t>
            </w:r>
            <w:r w:rsidR="00FC128B" w:rsidRPr="00F63206">
              <w:rPr>
                <w:b/>
              </w:rPr>
              <w:t>Relevant Health Programs</w:t>
            </w:r>
            <w:r w:rsidRPr="00F63206">
              <w:rPr>
                <w:b/>
              </w:rPr>
              <w:t xml:space="preserve"> to meet the needs of the community.</w:t>
            </w:r>
            <w:r w:rsidRPr="00F63206">
              <w:t xml:space="preserve"> The process of design must prioritise genuine co-design, which includes the different sub-communities that may exist to ensure the design process reflects all needs (not just those who are able to advocate most effectively).</w:t>
            </w:r>
          </w:p>
        </w:tc>
        <w:tc>
          <w:tcPr>
            <w:tcW w:w="1984" w:type="dxa"/>
          </w:tcPr>
          <w:p w14:paraId="518149C5" w14:textId="77777777" w:rsidR="00091270" w:rsidRPr="00F63206" w:rsidRDefault="00201DF7" w:rsidP="00AB688E">
            <w:pPr>
              <w:pStyle w:val="TableText"/>
            </w:pPr>
            <w:r w:rsidRPr="00F63206">
              <w:t>Early Adopter entity (or entities)</w:t>
            </w:r>
          </w:p>
        </w:tc>
        <w:tc>
          <w:tcPr>
            <w:tcW w:w="1985" w:type="dxa"/>
          </w:tcPr>
          <w:p w14:paraId="67F7F8C9" w14:textId="77777777" w:rsidR="00091270" w:rsidRPr="00F63206" w:rsidRDefault="00091270" w:rsidP="00AB688E">
            <w:pPr>
              <w:pStyle w:val="TableText"/>
            </w:pPr>
            <w:r w:rsidRPr="00F63206">
              <w:t xml:space="preserve">Affiliates </w:t>
            </w:r>
          </w:p>
          <w:p w14:paraId="2F1023BE" w14:textId="77777777" w:rsidR="00091270" w:rsidRPr="00F63206" w:rsidRDefault="00091270" w:rsidP="00AB688E">
            <w:pPr>
              <w:pStyle w:val="TableText"/>
            </w:pPr>
            <w:r w:rsidRPr="00F63206">
              <w:t>NACCHO</w:t>
            </w:r>
          </w:p>
          <w:p w14:paraId="1937F902" w14:textId="77777777" w:rsidR="00091270" w:rsidRPr="00F63206" w:rsidRDefault="00091270" w:rsidP="00AB688E">
            <w:pPr>
              <w:pStyle w:val="TableText"/>
            </w:pPr>
            <w:r w:rsidRPr="00F63206">
              <w:t>PHNs</w:t>
            </w:r>
          </w:p>
          <w:p w14:paraId="1358720F" w14:textId="77777777" w:rsidR="00091270" w:rsidRPr="00F63206" w:rsidRDefault="00091270" w:rsidP="00AB688E">
            <w:pPr>
              <w:pStyle w:val="TableText"/>
            </w:pPr>
            <w:r w:rsidRPr="00F63206">
              <w:t>NTCO</w:t>
            </w:r>
          </w:p>
          <w:p w14:paraId="431C62FF" w14:textId="77777777" w:rsidR="00091270" w:rsidRPr="00F63206" w:rsidRDefault="00091270" w:rsidP="00AB688E">
            <w:pPr>
              <w:pStyle w:val="TableText"/>
            </w:pPr>
            <w:r w:rsidRPr="00F63206">
              <w:t>Local community</w:t>
            </w:r>
          </w:p>
        </w:tc>
      </w:tr>
      <w:tr w:rsidR="00091270" w:rsidRPr="00F63206" w14:paraId="59CA77E6" w14:textId="77777777" w:rsidTr="006F6DD1">
        <w:tc>
          <w:tcPr>
            <w:tcW w:w="983" w:type="dxa"/>
          </w:tcPr>
          <w:p w14:paraId="51CEFD19" w14:textId="77777777" w:rsidR="00091270" w:rsidRPr="00F63206" w:rsidRDefault="00201DF7" w:rsidP="00AB688E">
            <w:pPr>
              <w:pStyle w:val="TableText"/>
            </w:pPr>
            <w:r w:rsidRPr="00F63206">
              <w:t>8</w:t>
            </w:r>
            <w:r w:rsidR="00091270" w:rsidRPr="00F63206">
              <w:t>.</w:t>
            </w:r>
          </w:p>
        </w:tc>
        <w:tc>
          <w:tcPr>
            <w:tcW w:w="9639" w:type="dxa"/>
          </w:tcPr>
          <w:p w14:paraId="0CD094A8" w14:textId="77777777" w:rsidR="00091270" w:rsidRPr="00F63206" w:rsidRDefault="00091270" w:rsidP="00AB688E">
            <w:pPr>
              <w:pStyle w:val="TableText"/>
            </w:pPr>
            <w:r w:rsidRPr="00F63206">
              <w:rPr>
                <w:b/>
              </w:rPr>
              <w:t>Investment of resources to enable the</w:t>
            </w:r>
            <w:r w:rsidR="00201DF7" w:rsidRPr="00F63206">
              <w:rPr>
                <w:b/>
              </w:rPr>
              <w:t xml:space="preserve"> early adopter</w:t>
            </w:r>
            <w:r w:rsidRPr="00F63206">
              <w:rPr>
                <w:b/>
              </w:rPr>
              <w:t xml:space="preserve"> entity</w:t>
            </w:r>
            <w:r w:rsidR="006C5333" w:rsidRPr="00F63206">
              <w:rPr>
                <w:b/>
              </w:rPr>
              <w:t>/s</w:t>
            </w:r>
            <w:r w:rsidRPr="00F63206">
              <w:t xml:space="preserve"> to establish the nominated future funding arrangement (including, but not limited to, investment of resources to support community needs assessment).</w:t>
            </w:r>
          </w:p>
        </w:tc>
        <w:tc>
          <w:tcPr>
            <w:tcW w:w="1984" w:type="dxa"/>
          </w:tcPr>
          <w:p w14:paraId="38E3AC13" w14:textId="77777777" w:rsidR="00091270" w:rsidRPr="00F63206" w:rsidRDefault="00451DB6" w:rsidP="00AB688E">
            <w:pPr>
              <w:pStyle w:val="TableText"/>
            </w:pPr>
            <w:r w:rsidRPr="00F63206">
              <w:t>DoHAC</w:t>
            </w:r>
            <w:r w:rsidR="00091270" w:rsidRPr="00F63206">
              <w:t>/NTCO</w:t>
            </w:r>
          </w:p>
        </w:tc>
        <w:tc>
          <w:tcPr>
            <w:tcW w:w="1985" w:type="dxa"/>
          </w:tcPr>
          <w:p w14:paraId="114D33D7" w14:textId="77777777" w:rsidR="00091270" w:rsidRPr="00F63206" w:rsidRDefault="0054606C" w:rsidP="00AB688E">
            <w:pPr>
              <w:pStyle w:val="TableText"/>
            </w:pPr>
            <w:r>
              <w:t>EAP</w:t>
            </w:r>
            <w:r w:rsidR="00091270" w:rsidRPr="00F63206">
              <w:t xml:space="preserve"> entity</w:t>
            </w:r>
          </w:p>
        </w:tc>
      </w:tr>
      <w:tr w:rsidR="00091270" w:rsidRPr="00F63206" w14:paraId="599B47C7" w14:textId="77777777" w:rsidTr="006F6DD1">
        <w:tc>
          <w:tcPr>
            <w:tcW w:w="983" w:type="dxa"/>
          </w:tcPr>
          <w:p w14:paraId="4766A69E" w14:textId="77777777" w:rsidR="00091270" w:rsidRPr="00F63206" w:rsidRDefault="00201DF7" w:rsidP="00AB688E">
            <w:pPr>
              <w:pStyle w:val="TableText"/>
            </w:pPr>
            <w:r w:rsidRPr="00F63206">
              <w:t>9</w:t>
            </w:r>
            <w:r w:rsidR="00091270" w:rsidRPr="00F63206">
              <w:t>.</w:t>
            </w:r>
          </w:p>
        </w:tc>
        <w:tc>
          <w:tcPr>
            <w:tcW w:w="9639" w:type="dxa"/>
          </w:tcPr>
          <w:p w14:paraId="4812E319" w14:textId="77777777" w:rsidR="00091270" w:rsidRPr="00F63206" w:rsidRDefault="00091270" w:rsidP="00AB688E">
            <w:pPr>
              <w:pStyle w:val="TableText"/>
            </w:pPr>
            <w:r w:rsidRPr="00F63206">
              <w:rPr>
                <w:b/>
              </w:rPr>
              <w:t>Development of a</w:t>
            </w:r>
            <w:r w:rsidR="00201DF7" w:rsidRPr="00F63206">
              <w:rPr>
                <w:b/>
              </w:rPr>
              <w:t xml:space="preserve">n early adopter </w:t>
            </w:r>
            <w:r w:rsidRPr="00F63206">
              <w:rPr>
                <w:b/>
              </w:rPr>
              <w:t>entity</w:t>
            </w:r>
            <w:r w:rsidR="006C5333" w:rsidRPr="00F63206">
              <w:rPr>
                <w:b/>
              </w:rPr>
              <w:t>/s</w:t>
            </w:r>
            <w:r w:rsidRPr="00F63206">
              <w:rPr>
                <w:b/>
              </w:rPr>
              <w:t xml:space="preserve"> </w:t>
            </w:r>
            <w:r w:rsidRPr="00F63206" w:rsidDel="00433F02">
              <w:rPr>
                <w:b/>
              </w:rPr>
              <w:t xml:space="preserve">transition </w:t>
            </w:r>
            <w:r w:rsidRPr="00F63206">
              <w:rPr>
                <w:b/>
              </w:rPr>
              <w:t>plan (including timing)</w:t>
            </w:r>
            <w:r w:rsidRPr="00F63206">
              <w:t xml:space="preserve"> to enable the transition of existing arrangements for the Relevant Health Programs from PHNs to the entity</w:t>
            </w:r>
            <w:r w:rsidR="006C5333" w:rsidRPr="00F63206">
              <w:t>/s</w:t>
            </w:r>
            <w:r w:rsidRPr="00F63206">
              <w:t xml:space="preserve">. </w:t>
            </w:r>
          </w:p>
        </w:tc>
        <w:tc>
          <w:tcPr>
            <w:tcW w:w="1984" w:type="dxa"/>
          </w:tcPr>
          <w:p w14:paraId="179F1EE9" w14:textId="77777777" w:rsidR="00091270" w:rsidRPr="00F63206" w:rsidRDefault="0054606C" w:rsidP="00AB688E">
            <w:pPr>
              <w:pStyle w:val="TableText"/>
            </w:pPr>
            <w:r>
              <w:t>EAP</w:t>
            </w:r>
            <w:r w:rsidR="00091270" w:rsidRPr="00F63206">
              <w:t xml:space="preserve"> entity</w:t>
            </w:r>
            <w:r w:rsidR="006C5333" w:rsidRPr="00F63206">
              <w:t>/s</w:t>
            </w:r>
            <w:r w:rsidR="00091270" w:rsidRPr="00F63206">
              <w:t xml:space="preserve"> </w:t>
            </w:r>
          </w:p>
        </w:tc>
        <w:tc>
          <w:tcPr>
            <w:tcW w:w="1985" w:type="dxa"/>
          </w:tcPr>
          <w:p w14:paraId="4E71888A" w14:textId="77777777" w:rsidR="00091270" w:rsidRPr="00F63206" w:rsidRDefault="00091270" w:rsidP="00AB688E">
            <w:pPr>
              <w:pStyle w:val="TableText"/>
            </w:pPr>
            <w:r w:rsidRPr="00F63206">
              <w:t>Health/NTCO</w:t>
            </w:r>
          </w:p>
          <w:p w14:paraId="7490034D" w14:textId="77777777" w:rsidR="00091270" w:rsidRPr="00F63206" w:rsidRDefault="00091270" w:rsidP="00AB688E">
            <w:pPr>
              <w:pStyle w:val="TableText"/>
            </w:pPr>
            <w:r w:rsidRPr="00F63206">
              <w:t xml:space="preserve">Affiliates </w:t>
            </w:r>
          </w:p>
          <w:p w14:paraId="53DB93C3" w14:textId="77777777" w:rsidR="00091270" w:rsidRPr="00F63206" w:rsidRDefault="00091270" w:rsidP="00AB688E">
            <w:pPr>
              <w:pStyle w:val="TableText"/>
            </w:pPr>
            <w:r w:rsidRPr="00F63206">
              <w:t>NACCHO</w:t>
            </w:r>
          </w:p>
          <w:p w14:paraId="29C0842C" w14:textId="77777777" w:rsidR="00091270" w:rsidRPr="00F63206" w:rsidRDefault="00091270" w:rsidP="00AB688E">
            <w:pPr>
              <w:pStyle w:val="TableText"/>
            </w:pPr>
            <w:r w:rsidRPr="00F63206">
              <w:t>PHN</w:t>
            </w:r>
            <w:r w:rsidR="00113FA3">
              <w:t>s</w:t>
            </w:r>
          </w:p>
        </w:tc>
      </w:tr>
      <w:tr w:rsidR="004533D2" w:rsidRPr="00F63206" w14:paraId="6DD96BE9" w14:textId="77777777" w:rsidTr="006F6DD1">
        <w:tc>
          <w:tcPr>
            <w:tcW w:w="983" w:type="dxa"/>
          </w:tcPr>
          <w:p w14:paraId="351D752F" w14:textId="77777777" w:rsidR="004533D2" w:rsidRPr="00F63206" w:rsidRDefault="004533D2" w:rsidP="00AB688E">
            <w:pPr>
              <w:pStyle w:val="TableText"/>
            </w:pPr>
            <w:r w:rsidRPr="00F63206">
              <w:t>10</w:t>
            </w:r>
            <w:r w:rsidR="00F14B05">
              <w:t>.</w:t>
            </w:r>
          </w:p>
        </w:tc>
        <w:tc>
          <w:tcPr>
            <w:tcW w:w="9639" w:type="dxa"/>
          </w:tcPr>
          <w:p w14:paraId="46256863" w14:textId="77777777" w:rsidR="004533D2" w:rsidRPr="00F63206" w:rsidRDefault="004533D2" w:rsidP="00AB688E">
            <w:pPr>
              <w:pStyle w:val="TableText"/>
            </w:pPr>
            <w:r w:rsidRPr="00F63206">
              <w:rPr>
                <w:b/>
              </w:rPr>
              <w:t>Communication</w:t>
            </w:r>
            <w:r w:rsidRPr="00F63206">
              <w:t xml:space="preserve"> to all contracted service providers, notifying them of the agreed early adopter transition process.</w:t>
            </w:r>
          </w:p>
        </w:tc>
        <w:tc>
          <w:tcPr>
            <w:tcW w:w="1984" w:type="dxa"/>
          </w:tcPr>
          <w:p w14:paraId="24226F6A" w14:textId="77777777" w:rsidR="004533D2" w:rsidRPr="00F63206" w:rsidRDefault="00451DB6" w:rsidP="00AB688E">
            <w:pPr>
              <w:pStyle w:val="TableText"/>
            </w:pPr>
            <w:r w:rsidRPr="00F63206">
              <w:t>DoHAC</w:t>
            </w:r>
            <w:r w:rsidR="004533D2" w:rsidRPr="00F63206">
              <w:t>/NCTO</w:t>
            </w:r>
          </w:p>
        </w:tc>
        <w:tc>
          <w:tcPr>
            <w:tcW w:w="1985" w:type="dxa"/>
          </w:tcPr>
          <w:p w14:paraId="5818F9FE" w14:textId="77777777" w:rsidR="004533D2" w:rsidRPr="00F63206" w:rsidRDefault="004533D2" w:rsidP="00AB688E">
            <w:pPr>
              <w:pStyle w:val="TableText"/>
            </w:pPr>
            <w:r w:rsidRPr="00F63206">
              <w:t>Early adopter entity</w:t>
            </w:r>
            <w:r w:rsidR="006C5333" w:rsidRPr="00F63206">
              <w:t>/s</w:t>
            </w:r>
          </w:p>
          <w:p w14:paraId="513B5FDC" w14:textId="77777777" w:rsidR="004533D2" w:rsidRPr="00F63206" w:rsidRDefault="004533D2" w:rsidP="00AB688E">
            <w:pPr>
              <w:pStyle w:val="TableText"/>
            </w:pPr>
            <w:r w:rsidRPr="00F63206">
              <w:t>PHN</w:t>
            </w:r>
            <w:r w:rsidR="00113FA3">
              <w:t>s</w:t>
            </w:r>
          </w:p>
        </w:tc>
      </w:tr>
    </w:tbl>
    <w:p w14:paraId="490DC68D" w14:textId="54FCDB23" w:rsidR="00091270" w:rsidRPr="00B65F7F" w:rsidRDefault="00091270" w:rsidP="00754079">
      <w:pPr>
        <w:pStyle w:val="Heading4"/>
      </w:pPr>
      <w:r w:rsidRPr="00B65F7F">
        <w:lastRenderedPageBreak/>
        <w:t xml:space="preserve">Phase </w:t>
      </w:r>
      <w:r w:rsidR="00173776">
        <w:t>3</w:t>
      </w:r>
      <w:r w:rsidRPr="00B65F7F">
        <w:t xml:space="preserve">: </w:t>
      </w:r>
      <w:r w:rsidR="004533D2">
        <w:t xml:space="preserve">EAP </w:t>
      </w:r>
      <w:r w:rsidRPr="00B65F7F">
        <w:t>Transition</w:t>
      </w:r>
    </w:p>
    <w:p w14:paraId="3086E145" w14:textId="286E76D1" w:rsidR="00C42EAE" w:rsidRPr="00C42EAE" w:rsidRDefault="00091270" w:rsidP="00754079">
      <w:pPr>
        <w:pStyle w:val="BodyText"/>
      </w:pPr>
      <w:r w:rsidRPr="00B65F7F">
        <w:t xml:space="preserve">The purpose of Phase </w:t>
      </w:r>
      <w:r w:rsidR="00173776">
        <w:t>3</w:t>
      </w:r>
      <w:r w:rsidRPr="00B65F7F">
        <w:t xml:space="preserve"> is to execute the transition of funding arrangements of the refined </w:t>
      </w:r>
      <w:r>
        <w:t>R</w:t>
      </w:r>
      <w:r w:rsidRPr="00B65F7F">
        <w:t xml:space="preserve">elevant </w:t>
      </w:r>
      <w:r>
        <w:t>H</w:t>
      </w:r>
      <w:r w:rsidRPr="00B65F7F">
        <w:t xml:space="preserve">ealth </w:t>
      </w:r>
      <w:r>
        <w:t>Programs</w:t>
      </w:r>
      <w:r w:rsidRPr="00B65F7F">
        <w:t xml:space="preserve"> from </w:t>
      </w:r>
      <w:r w:rsidR="004533D2" w:rsidRPr="004533D2">
        <w:t>PHNs to the early adopter entities</w:t>
      </w:r>
      <w:r w:rsidR="004533D2">
        <w:t xml:space="preserve"> identified in Phase </w:t>
      </w:r>
      <w:r w:rsidR="00173776">
        <w:t>2</w:t>
      </w:r>
      <w:r w:rsidR="004533D2" w:rsidRPr="004533D2">
        <w:t xml:space="preserve">. A </w:t>
      </w:r>
      <w:r w:rsidR="002E0B8E">
        <w:t>f</w:t>
      </w:r>
      <w:r w:rsidR="004533D2" w:rsidRPr="004533D2">
        <w:t xml:space="preserve">ormative </w:t>
      </w:r>
      <w:r w:rsidR="002E0B8E">
        <w:t>e</w:t>
      </w:r>
      <w:r w:rsidR="004533D2" w:rsidRPr="004533D2">
        <w:t>valuation</w:t>
      </w:r>
      <w:r w:rsidR="00122824">
        <w:t xml:space="preserve"> to be conducted </w:t>
      </w:r>
      <w:r w:rsidR="000D504E">
        <w:t xml:space="preserve">during Phase </w:t>
      </w:r>
      <w:r w:rsidR="002E0B8E">
        <w:t>3</w:t>
      </w:r>
      <w:r w:rsidR="004533D2" w:rsidRPr="004533D2">
        <w:t xml:space="preserve"> will provide the opportunity to make a final decision as to how the national transition should occur.</w:t>
      </w:r>
      <w:r w:rsidR="00C42EAE" w:rsidRPr="00C42EAE">
        <w:t xml:space="preserve"> </w:t>
      </w:r>
      <w:r w:rsidR="00C42EAE" w:rsidRPr="00B65F7F">
        <w:t xml:space="preserve">The key features of Phase </w:t>
      </w:r>
      <w:r w:rsidR="00C42EAE">
        <w:t>3</w:t>
      </w:r>
      <w:r w:rsidR="00C42EAE" w:rsidRPr="00B65F7F">
        <w:t xml:space="preserve"> are set out in </w:t>
      </w:r>
      <w:r w:rsidR="00C42EAE">
        <w:rPr>
          <w:highlight w:val="yellow"/>
        </w:rPr>
        <w:fldChar w:fldCharType="begin"/>
      </w:r>
      <w:r w:rsidR="00C42EAE">
        <w:instrText xml:space="preserve"> REF _Ref151816066 \h </w:instrText>
      </w:r>
      <w:r w:rsidR="00C42EAE">
        <w:rPr>
          <w:highlight w:val="yellow"/>
        </w:rPr>
      </w:r>
      <w:r w:rsidR="00C42EAE">
        <w:rPr>
          <w:highlight w:val="yellow"/>
        </w:rPr>
        <w:fldChar w:fldCharType="separate"/>
      </w:r>
      <w:r w:rsidR="00934D5E" w:rsidRPr="00B65F7F">
        <w:t xml:space="preserve">Table </w:t>
      </w:r>
      <w:r w:rsidR="00934D5E">
        <w:rPr>
          <w:noProof/>
        </w:rPr>
        <w:t>3</w:t>
      </w:r>
      <w:r w:rsidR="00C42EAE">
        <w:rPr>
          <w:highlight w:val="yellow"/>
        </w:rPr>
        <w:fldChar w:fldCharType="end"/>
      </w:r>
      <w:r w:rsidR="00C42EAE" w:rsidRPr="00B65F7F">
        <w:t xml:space="preserve"> below. </w:t>
      </w:r>
    </w:p>
    <w:p w14:paraId="417CE9EF" w14:textId="77777777" w:rsidR="00091270" w:rsidRDefault="00091270" w:rsidP="00754079">
      <w:pPr>
        <w:pStyle w:val="BodyText"/>
      </w:pPr>
      <w:r w:rsidRPr="00C42EAE">
        <w:rPr>
          <w:b/>
          <w:bCs/>
        </w:rPr>
        <w:t xml:space="preserve">Note: </w:t>
      </w:r>
      <w:r w:rsidRPr="00C42EAE">
        <w:t>The activities identified below are in addit</w:t>
      </w:r>
      <w:r w:rsidRPr="00B65F7F">
        <w:t xml:space="preserve">ion to those listed in Phase </w:t>
      </w:r>
      <w:r w:rsidR="00173776">
        <w:t>1</w:t>
      </w:r>
      <w:r w:rsidRPr="00B65F7F">
        <w:t xml:space="preserve">. For example, the NTCO will be responsible for continuing to coordinate and engage throughout this </w:t>
      </w:r>
      <w:r>
        <w:t>p</w:t>
      </w:r>
      <w:r w:rsidRPr="00B65F7F">
        <w:t>hase.</w:t>
      </w:r>
    </w:p>
    <w:p w14:paraId="702755CE" w14:textId="4A9BB811" w:rsidR="00091270" w:rsidRPr="00B65F7F" w:rsidRDefault="00091270" w:rsidP="00091270">
      <w:pPr>
        <w:pStyle w:val="CaptionTable"/>
        <w:rPr>
          <w:b w:val="0"/>
          <w:bCs/>
        </w:rPr>
      </w:pPr>
      <w:bookmarkStart w:id="146" w:name="_Ref151816066"/>
      <w:bookmarkStart w:id="147" w:name="_Toc156932073"/>
      <w:r w:rsidRPr="00B65F7F">
        <w:t xml:space="preserve">Table </w:t>
      </w:r>
      <w:r w:rsidRPr="00B65F7F">
        <w:fldChar w:fldCharType="begin"/>
      </w:r>
      <w:r w:rsidRPr="00B65F7F">
        <w:instrText xml:space="preserve"> SEQ Table \* ARABIC </w:instrText>
      </w:r>
      <w:r w:rsidRPr="00B65F7F">
        <w:fldChar w:fldCharType="separate"/>
      </w:r>
      <w:r w:rsidR="00934D5E">
        <w:rPr>
          <w:noProof/>
        </w:rPr>
        <w:t>3</w:t>
      </w:r>
      <w:r w:rsidRPr="00B65F7F">
        <w:fldChar w:fldCharType="end"/>
      </w:r>
      <w:bookmarkEnd w:id="146"/>
      <w:r w:rsidRPr="00B65F7F">
        <w:t xml:space="preserve">: Key features of Phase </w:t>
      </w:r>
      <w:r w:rsidR="00173776">
        <w:t>3</w:t>
      </w:r>
      <w:bookmarkEnd w:id="147"/>
    </w:p>
    <w:tbl>
      <w:tblPr>
        <w:tblStyle w:val="Newtableforresport"/>
        <w:tblW w:w="14591" w:type="dxa"/>
        <w:tblInd w:w="10" w:type="dxa"/>
        <w:tblLayout w:type="fixed"/>
        <w:tblLook w:val="0620" w:firstRow="1" w:lastRow="0" w:firstColumn="0" w:lastColumn="0" w:noHBand="1" w:noVBand="1"/>
        <w:tblCaption w:val="Table 3: Key features of Phase 3"/>
        <w:tblDescription w:val="The table provides information on different transition activities in Phase 3 of the transition plan. &#10;&#10;The first column lists the number of activities. For example '1.' is in the first activity row, and '2.' is in the second activity row. The second column lists transition activities. The third column lists the lead entity responsible for the transition activity. For example, the Department of Health and Aged Care would be the lead responsible for continued investment into early adopter entities, Primary Health Networks and other relevant stakeholders. The fourth column lists the support entity responsible for the transition activity. For example, early adopter entity/s and Primary Health Networks would support communication to all contracted service providers. "/>
      </w:tblPr>
      <w:tblGrid>
        <w:gridCol w:w="983"/>
        <w:gridCol w:w="10489"/>
        <w:gridCol w:w="1418"/>
        <w:gridCol w:w="1701"/>
      </w:tblGrid>
      <w:tr w:rsidR="00091270" w:rsidRPr="0084559E" w14:paraId="108EFBCB" w14:textId="77777777" w:rsidTr="00D456E7">
        <w:trPr>
          <w:cnfStyle w:val="100000000000" w:firstRow="1" w:lastRow="0" w:firstColumn="0" w:lastColumn="0" w:oddVBand="0" w:evenVBand="0" w:oddHBand="0" w:evenHBand="0" w:firstRowFirstColumn="0" w:firstRowLastColumn="0" w:lastRowFirstColumn="0" w:lastRowLastColumn="0"/>
          <w:cantSplit/>
          <w:tblHeader/>
        </w:trPr>
        <w:tc>
          <w:tcPr>
            <w:tcW w:w="983" w:type="dxa"/>
          </w:tcPr>
          <w:p w14:paraId="3013B3D4" w14:textId="77777777" w:rsidR="00091270" w:rsidRPr="0084559E" w:rsidRDefault="00091270" w:rsidP="00754079">
            <w:pPr>
              <w:pStyle w:val="TableHeading"/>
              <w:rPr>
                <w:b w:val="0"/>
              </w:rPr>
            </w:pPr>
            <w:r w:rsidRPr="0084559E">
              <w:t>Number</w:t>
            </w:r>
          </w:p>
        </w:tc>
        <w:tc>
          <w:tcPr>
            <w:tcW w:w="10489" w:type="dxa"/>
          </w:tcPr>
          <w:p w14:paraId="7EE68662" w14:textId="77777777" w:rsidR="00091270" w:rsidRPr="0084559E" w:rsidRDefault="00091270" w:rsidP="00754079">
            <w:pPr>
              <w:pStyle w:val="TableHeading"/>
              <w:rPr>
                <w:b w:val="0"/>
              </w:rPr>
            </w:pPr>
            <w:r w:rsidRPr="0084559E">
              <w:t>Activity</w:t>
            </w:r>
          </w:p>
        </w:tc>
        <w:tc>
          <w:tcPr>
            <w:tcW w:w="1418" w:type="dxa"/>
          </w:tcPr>
          <w:p w14:paraId="6CBE4A8B" w14:textId="77777777" w:rsidR="00091270" w:rsidRPr="0084559E" w:rsidRDefault="00091270" w:rsidP="00754079">
            <w:pPr>
              <w:pStyle w:val="TableHeading"/>
              <w:rPr>
                <w:b w:val="0"/>
              </w:rPr>
            </w:pPr>
            <w:r w:rsidRPr="0084559E">
              <w:t>Responsible entity (lead)</w:t>
            </w:r>
          </w:p>
        </w:tc>
        <w:tc>
          <w:tcPr>
            <w:tcW w:w="1701" w:type="dxa"/>
          </w:tcPr>
          <w:p w14:paraId="5B3EBABE" w14:textId="77777777" w:rsidR="00091270" w:rsidRPr="0084559E" w:rsidRDefault="00091270" w:rsidP="00754079">
            <w:pPr>
              <w:pStyle w:val="TableHeading"/>
              <w:rPr>
                <w:b w:val="0"/>
              </w:rPr>
            </w:pPr>
            <w:r w:rsidRPr="0084559E">
              <w:t>Responsible entity (support)</w:t>
            </w:r>
          </w:p>
        </w:tc>
      </w:tr>
      <w:tr w:rsidR="00091270" w:rsidRPr="00B65F7F" w14:paraId="572A1AF9" w14:textId="77777777" w:rsidTr="00D456E7">
        <w:trPr>
          <w:cantSplit/>
        </w:trPr>
        <w:tc>
          <w:tcPr>
            <w:tcW w:w="983" w:type="dxa"/>
          </w:tcPr>
          <w:p w14:paraId="585E5C62" w14:textId="77777777" w:rsidR="00091270" w:rsidRPr="00B65F7F" w:rsidRDefault="00091270" w:rsidP="00754079">
            <w:pPr>
              <w:pStyle w:val="TableText"/>
            </w:pPr>
            <w:r>
              <w:t>1.</w:t>
            </w:r>
          </w:p>
        </w:tc>
        <w:tc>
          <w:tcPr>
            <w:tcW w:w="10489" w:type="dxa"/>
          </w:tcPr>
          <w:p w14:paraId="370AF9F0" w14:textId="77777777" w:rsidR="00091270" w:rsidRPr="00B65F7F" w:rsidRDefault="00091270" w:rsidP="00754079">
            <w:pPr>
              <w:pStyle w:val="TableText"/>
            </w:pPr>
            <w:r w:rsidRPr="00F0334E">
              <w:t xml:space="preserve">Continued investment to the </w:t>
            </w:r>
            <w:r w:rsidR="004533D2">
              <w:t xml:space="preserve">early adopter </w:t>
            </w:r>
            <w:r w:rsidRPr="00F0334E">
              <w:t>entit</w:t>
            </w:r>
            <w:r w:rsidR="004533D2">
              <w:t>ies</w:t>
            </w:r>
            <w:r w:rsidRPr="00F0334E">
              <w:t>, PHNs and other relevant stakeholders</w:t>
            </w:r>
            <w:r w:rsidRPr="00B65F7F">
              <w:t xml:space="preserve"> to enable Phase </w:t>
            </w:r>
            <w:r w:rsidR="00173776">
              <w:t>3</w:t>
            </w:r>
            <w:r w:rsidRPr="00B65F7F">
              <w:t xml:space="preserve"> of the Transition Roadmap to be executed.</w:t>
            </w:r>
          </w:p>
        </w:tc>
        <w:tc>
          <w:tcPr>
            <w:tcW w:w="1418" w:type="dxa"/>
          </w:tcPr>
          <w:p w14:paraId="3B2339F7" w14:textId="77777777" w:rsidR="00091270" w:rsidRPr="00B65F7F" w:rsidRDefault="00451DB6" w:rsidP="00754079">
            <w:pPr>
              <w:pStyle w:val="TableText"/>
            </w:pPr>
            <w:r>
              <w:t>DoHAC</w:t>
            </w:r>
          </w:p>
        </w:tc>
        <w:tc>
          <w:tcPr>
            <w:tcW w:w="1701" w:type="dxa"/>
          </w:tcPr>
          <w:p w14:paraId="51738109" w14:textId="77777777" w:rsidR="00091270" w:rsidRPr="00B65F7F" w:rsidRDefault="00091270" w:rsidP="00754079">
            <w:pPr>
              <w:pStyle w:val="TableText"/>
            </w:pPr>
          </w:p>
        </w:tc>
      </w:tr>
      <w:tr w:rsidR="00091270" w:rsidRPr="00B65F7F" w14:paraId="08EBA349" w14:textId="77777777" w:rsidTr="00D456E7">
        <w:trPr>
          <w:cantSplit/>
        </w:trPr>
        <w:tc>
          <w:tcPr>
            <w:tcW w:w="983" w:type="dxa"/>
          </w:tcPr>
          <w:p w14:paraId="0559A118" w14:textId="77777777" w:rsidR="00091270" w:rsidRPr="00B65F7F" w:rsidRDefault="00091270" w:rsidP="00754079">
            <w:pPr>
              <w:pStyle w:val="TableText"/>
            </w:pPr>
            <w:r>
              <w:t>2.</w:t>
            </w:r>
          </w:p>
        </w:tc>
        <w:tc>
          <w:tcPr>
            <w:tcW w:w="10489" w:type="dxa"/>
          </w:tcPr>
          <w:p w14:paraId="5A85D901" w14:textId="77777777" w:rsidR="00091270" w:rsidRPr="00B65F7F" w:rsidRDefault="00091270" w:rsidP="00754079">
            <w:pPr>
              <w:pStyle w:val="TableText"/>
            </w:pPr>
            <w:r w:rsidRPr="00F0334E">
              <w:rPr>
                <w:b/>
              </w:rPr>
              <w:t>Development of appropriate structures to enable the transfer of the funding arrangements</w:t>
            </w:r>
            <w:r w:rsidRPr="00B65F7F">
              <w:t xml:space="preserve"> of the </w:t>
            </w:r>
            <w:r>
              <w:t>R</w:t>
            </w:r>
            <w:r w:rsidRPr="00B65F7F">
              <w:t xml:space="preserve">elevant </w:t>
            </w:r>
            <w:r>
              <w:t>H</w:t>
            </w:r>
            <w:r w:rsidRPr="00B65F7F">
              <w:t xml:space="preserve">ealth </w:t>
            </w:r>
            <w:r>
              <w:t>Programs</w:t>
            </w:r>
            <w:r w:rsidRPr="00B65F7F">
              <w:t xml:space="preserve"> in line with the desired future-state funding arrangements and the updated service design set out in Phase </w:t>
            </w:r>
            <w:r w:rsidR="00173776">
              <w:t>2</w:t>
            </w:r>
            <w:r w:rsidRPr="00B65F7F">
              <w:t xml:space="preserve">. Such structures may include (but are not limited to) governance, financial management, reporting and community feedback mechanisms. </w:t>
            </w:r>
          </w:p>
          <w:p w14:paraId="5BE2D98C" w14:textId="77777777" w:rsidR="00091270" w:rsidRPr="00B65F7F" w:rsidRDefault="00091270" w:rsidP="00754079">
            <w:pPr>
              <w:pStyle w:val="TableText"/>
            </w:pPr>
            <w:r w:rsidRPr="00F0334E">
              <w:rPr>
                <w:b/>
              </w:rPr>
              <w:t>Note:</w:t>
            </w:r>
            <w:r w:rsidRPr="00B65F7F">
              <w:t xml:space="preserve"> </w:t>
            </w:r>
            <w:r w:rsidR="00C42EAE">
              <w:t>N</w:t>
            </w:r>
            <w:r w:rsidRPr="00B65F7F">
              <w:t xml:space="preserve">ominated </w:t>
            </w:r>
            <w:r w:rsidR="004533D2">
              <w:t xml:space="preserve">early adopter </w:t>
            </w:r>
            <w:r>
              <w:t>e</w:t>
            </w:r>
            <w:r w:rsidRPr="00B65F7F">
              <w:t xml:space="preserve">ntities may already have such structures in place. </w:t>
            </w:r>
          </w:p>
        </w:tc>
        <w:tc>
          <w:tcPr>
            <w:tcW w:w="1418" w:type="dxa"/>
          </w:tcPr>
          <w:p w14:paraId="28C0B610" w14:textId="77777777" w:rsidR="00091270" w:rsidRPr="00B65F7F" w:rsidRDefault="004533D2" w:rsidP="00754079">
            <w:pPr>
              <w:pStyle w:val="TableText"/>
            </w:pPr>
            <w:r>
              <w:t xml:space="preserve">Early adopter </w:t>
            </w:r>
            <w:r w:rsidR="00091270">
              <w:t>e</w:t>
            </w:r>
            <w:r w:rsidR="00091270" w:rsidRPr="00B65F7F">
              <w:t>ntity</w:t>
            </w:r>
            <w:r w:rsidR="006C5333">
              <w:t>/s</w:t>
            </w:r>
            <w:r w:rsidR="00091270" w:rsidRPr="00B65F7F">
              <w:t xml:space="preserve"> </w:t>
            </w:r>
          </w:p>
        </w:tc>
        <w:tc>
          <w:tcPr>
            <w:tcW w:w="1701" w:type="dxa"/>
          </w:tcPr>
          <w:p w14:paraId="0415545D" w14:textId="77777777" w:rsidR="00091270" w:rsidRPr="00B65F7F" w:rsidRDefault="00091270" w:rsidP="00754079">
            <w:pPr>
              <w:pStyle w:val="TableText"/>
            </w:pPr>
            <w:r w:rsidRPr="00B65F7F">
              <w:t>Health/NTCO</w:t>
            </w:r>
          </w:p>
          <w:p w14:paraId="41523160" w14:textId="77777777" w:rsidR="00091270" w:rsidRPr="00B65F7F" w:rsidRDefault="00091270" w:rsidP="00754079">
            <w:pPr>
              <w:pStyle w:val="TableText"/>
            </w:pPr>
            <w:r w:rsidRPr="00B65F7F">
              <w:t xml:space="preserve">Affiliates </w:t>
            </w:r>
          </w:p>
          <w:p w14:paraId="093D158E" w14:textId="77777777" w:rsidR="00091270" w:rsidRPr="00B65F7F" w:rsidRDefault="00091270" w:rsidP="00754079">
            <w:pPr>
              <w:pStyle w:val="TableText"/>
            </w:pPr>
            <w:r w:rsidRPr="00B65F7F">
              <w:t>NACCHO</w:t>
            </w:r>
          </w:p>
          <w:p w14:paraId="0770AEB9" w14:textId="77777777" w:rsidR="00091270" w:rsidRPr="00B65F7F" w:rsidRDefault="00091270" w:rsidP="00754079">
            <w:pPr>
              <w:pStyle w:val="TableText"/>
            </w:pPr>
            <w:r w:rsidRPr="00B65F7F">
              <w:t>PHN</w:t>
            </w:r>
          </w:p>
        </w:tc>
      </w:tr>
      <w:tr w:rsidR="00091270" w:rsidRPr="00B65F7F" w14:paraId="5097FC71" w14:textId="77777777" w:rsidTr="00D456E7">
        <w:trPr>
          <w:cantSplit/>
        </w:trPr>
        <w:tc>
          <w:tcPr>
            <w:tcW w:w="983" w:type="dxa"/>
          </w:tcPr>
          <w:p w14:paraId="52E3E436" w14:textId="77777777" w:rsidR="00091270" w:rsidRPr="00B65F7F" w:rsidRDefault="00091270" w:rsidP="00754079">
            <w:pPr>
              <w:pStyle w:val="TableText"/>
            </w:pPr>
            <w:r>
              <w:t>3.</w:t>
            </w:r>
          </w:p>
        </w:tc>
        <w:tc>
          <w:tcPr>
            <w:tcW w:w="10489" w:type="dxa"/>
          </w:tcPr>
          <w:p w14:paraId="0BB6CA68" w14:textId="77777777" w:rsidR="00091270" w:rsidRPr="00B65F7F" w:rsidRDefault="00091270" w:rsidP="00754079">
            <w:pPr>
              <w:pStyle w:val="TableText"/>
            </w:pPr>
            <w:r w:rsidRPr="00F0334E">
              <w:rPr>
                <w:b/>
              </w:rPr>
              <w:t>Communication</w:t>
            </w:r>
            <w:r w:rsidRPr="00B65F7F">
              <w:t xml:space="preserve"> to all contracted service providers, notifying them of the agreed transition process.</w:t>
            </w:r>
          </w:p>
        </w:tc>
        <w:tc>
          <w:tcPr>
            <w:tcW w:w="1418" w:type="dxa"/>
          </w:tcPr>
          <w:p w14:paraId="7E7FA2A3" w14:textId="77777777" w:rsidR="00091270" w:rsidRPr="00B65F7F" w:rsidRDefault="00451DB6" w:rsidP="00754079">
            <w:pPr>
              <w:pStyle w:val="TableText"/>
            </w:pPr>
            <w:r>
              <w:t>DoHAC</w:t>
            </w:r>
            <w:r w:rsidR="00091270" w:rsidRPr="00B65F7F">
              <w:t>/NCTO</w:t>
            </w:r>
          </w:p>
        </w:tc>
        <w:tc>
          <w:tcPr>
            <w:tcW w:w="1701" w:type="dxa"/>
          </w:tcPr>
          <w:p w14:paraId="018F4386" w14:textId="77777777" w:rsidR="00091270" w:rsidRPr="00B65F7F" w:rsidRDefault="004533D2" w:rsidP="00754079">
            <w:pPr>
              <w:pStyle w:val="TableText"/>
            </w:pPr>
            <w:r>
              <w:t xml:space="preserve">Early adopter </w:t>
            </w:r>
            <w:r w:rsidR="00091270">
              <w:t>e</w:t>
            </w:r>
            <w:r w:rsidR="00091270" w:rsidRPr="00B65F7F">
              <w:t>ntity</w:t>
            </w:r>
            <w:r w:rsidR="006C5333">
              <w:t>/s</w:t>
            </w:r>
          </w:p>
          <w:p w14:paraId="701E2C57" w14:textId="77777777" w:rsidR="00091270" w:rsidRPr="00B65F7F" w:rsidRDefault="00091270" w:rsidP="00754079">
            <w:pPr>
              <w:pStyle w:val="TableText"/>
            </w:pPr>
            <w:r w:rsidRPr="00B65F7F">
              <w:t>PHN</w:t>
            </w:r>
          </w:p>
        </w:tc>
      </w:tr>
      <w:tr w:rsidR="00091270" w:rsidRPr="00B65F7F" w14:paraId="5287B0C9" w14:textId="77777777" w:rsidTr="00D456E7">
        <w:trPr>
          <w:cantSplit/>
        </w:trPr>
        <w:tc>
          <w:tcPr>
            <w:tcW w:w="983" w:type="dxa"/>
          </w:tcPr>
          <w:p w14:paraId="71BC6393" w14:textId="77777777" w:rsidR="00091270" w:rsidRPr="00B65F7F" w:rsidRDefault="00091270" w:rsidP="00754079">
            <w:pPr>
              <w:pStyle w:val="TableText"/>
            </w:pPr>
            <w:r>
              <w:t>4.</w:t>
            </w:r>
          </w:p>
        </w:tc>
        <w:tc>
          <w:tcPr>
            <w:tcW w:w="10489" w:type="dxa"/>
          </w:tcPr>
          <w:p w14:paraId="6344E726" w14:textId="77777777" w:rsidR="00091270" w:rsidRPr="00B65F7F" w:rsidRDefault="00091270" w:rsidP="00754079">
            <w:pPr>
              <w:pStyle w:val="TableText"/>
            </w:pPr>
            <w:r w:rsidRPr="00F0334E">
              <w:rPr>
                <w:b/>
              </w:rPr>
              <w:t xml:space="preserve">Execution of the </w:t>
            </w:r>
            <w:r w:rsidR="0054606C">
              <w:rPr>
                <w:b/>
              </w:rPr>
              <w:t xml:space="preserve">EAP </w:t>
            </w:r>
            <w:r w:rsidRPr="00F0334E">
              <w:rPr>
                <w:b/>
              </w:rPr>
              <w:t>entity transition plan</w:t>
            </w:r>
            <w:r w:rsidRPr="00B65F7F">
              <w:t xml:space="preserve">, ensuring the timely transition of contracts for the </w:t>
            </w:r>
            <w:r>
              <w:t>R</w:t>
            </w:r>
            <w:r w:rsidRPr="00B65F7F">
              <w:t xml:space="preserve">elevant </w:t>
            </w:r>
            <w:r>
              <w:t>H</w:t>
            </w:r>
            <w:r w:rsidRPr="00B65F7F">
              <w:t xml:space="preserve">ealth </w:t>
            </w:r>
            <w:r>
              <w:t>Programs</w:t>
            </w:r>
            <w:r w:rsidRPr="00B65F7F">
              <w:t xml:space="preserve"> to the</w:t>
            </w:r>
            <w:r w:rsidR="004533D2">
              <w:t xml:space="preserve"> early adopter</w:t>
            </w:r>
            <w:r w:rsidRPr="00B65F7F">
              <w:t xml:space="preserve"> </w:t>
            </w:r>
            <w:r>
              <w:t>e</w:t>
            </w:r>
            <w:r w:rsidRPr="00B65F7F">
              <w:t>ntity</w:t>
            </w:r>
            <w:r w:rsidR="006C5333">
              <w:t>/s</w:t>
            </w:r>
            <w:r w:rsidRPr="00F675D0">
              <w:t xml:space="preserve"> </w:t>
            </w:r>
            <w:r w:rsidRPr="00B65F7F">
              <w:t>in accordance with the agreed time</w:t>
            </w:r>
            <w:r>
              <w:t xml:space="preserve"> </w:t>
            </w:r>
            <w:r w:rsidRPr="00B65F7F">
              <w:t>frame and processes set out in the transition plan.</w:t>
            </w:r>
          </w:p>
        </w:tc>
        <w:tc>
          <w:tcPr>
            <w:tcW w:w="1418" w:type="dxa"/>
          </w:tcPr>
          <w:p w14:paraId="65649A75" w14:textId="77777777" w:rsidR="008234AC" w:rsidRPr="00B65F7F" w:rsidRDefault="008234AC" w:rsidP="00754079">
            <w:pPr>
              <w:pStyle w:val="TableText"/>
            </w:pPr>
            <w:r>
              <w:t>Early adopter e</w:t>
            </w:r>
            <w:r w:rsidRPr="00B65F7F">
              <w:t>ntity</w:t>
            </w:r>
            <w:r>
              <w:t>/s</w:t>
            </w:r>
          </w:p>
          <w:p w14:paraId="5F866BCB" w14:textId="77777777" w:rsidR="00091270" w:rsidRPr="00B65F7F" w:rsidRDefault="00091270" w:rsidP="00754079">
            <w:pPr>
              <w:pStyle w:val="TableText"/>
            </w:pPr>
            <w:r w:rsidRPr="00B65F7F">
              <w:t>PHN</w:t>
            </w:r>
          </w:p>
          <w:p w14:paraId="42E23D29" w14:textId="77777777" w:rsidR="00091270" w:rsidRPr="00B65F7F" w:rsidRDefault="00451DB6" w:rsidP="00754079">
            <w:pPr>
              <w:pStyle w:val="TableText"/>
            </w:pPr>
            <w:r>
              <w:t>DoHAC</w:t>
            </w:r>
            <w:r w:rsidR="00091270" w:rsidRPr="00B65F7F">
              <w:t>/NCTO</w:t>
            </w:r>
          </w:p>
        </w:tc>
        <w:tc>
          <w:tcPr>
            <w:tcW w:w="1701" w:type="dxa"/>
          </w:tcPr>
          <w:p w14:paraId="7C5135BE" w14:textId="77777777" w:rsidR="00091270" w:rsidRPr="00B65F7F" w:rsidRDefault="00091270" w:rsidP="00754079">
            <w:pPr>
              <w:pStyle w:val="TableText"/>
            </w:pPr>
            <w:r w:rsidRPr="00B65F7F">
              <w:t xml:space="preserve"> </w:t>
            </w:r>
          </w:p>
        </w:tc>
      </w:tr>
      <w:tr w:rsidR="008234AC" w:rsidRPr="00B65F7F" w14:paraId="2EB512DB" w14:textId="77777777" w:rsidTr="00D456E7">
        <w:trPr>
          <w:cantSplit/>
        </w:trPr>
        <w:tc>
          <w:tcPr>
            <w:tcW w:w="983" w:type="dxa"/>
          </w:tcPr>
          <w:p w14:paraId="3A95E51D" w14:textId="77777777" w:rsidR="008234AC" w:rsidRDefault="008234AC" w:rsidP="00754079">
            <w:pPr>
              <w:pStyle w:val="TableText"/>
            </w:pPr>
            <w:r>
              <w:t xml:space="preserve">5. </w:t>
            </w:r>
          </w:p>
        </w:tc>
        <w:tc>
          <w:tcPr>
            <w:tcW w:w="10489" w:type="dxa"/>
          </w:tcPr>
          <w:p w14:paraId="23835810" w14:textId="77777777" w:rsidR="008234AC" w:rsidRPr="00E140A2" w:rsidRDefault="008234AC" w:rsidP="00754079">
            <w:pPr>
              <w:pStyle w:val="TableText"/>
              <w:rPr>
                <w:bCs/>
              </w:rPr>
            </w:pPr>
            <w:r>
              <w:rPr>
                <w:b/>
              </w:rPr>
              <w:t>Establishment of a peer learning and information process</w:t>
            </w:r>
            <w:r>
              <w:t xml:space="preserve"> between each of the organisations participating in the EAP. The purpose of this is to enable the organisations participating in the EAP to share resources</w:t>
            </w:r>
            <w:r w:rsidR="007C65AD">
              <w:t xml:space="preserve"> and</w:t>
            </w:r>
            <w:r>
              <w:t xml:space="preserve"> insights of how the transition plan has been executed, and create an opportunity to cultivate a level of consistency in how the transition is being rolled</w:t>
            </w:r>
            <w:r w:rsidR="007C65AD">
              <w:t xml:space="preserve"> </w:t>
            </w:r>
            <w:r>
              <w:t>out across different regions or locations.</w:t>
            </w:r>
          </w:p>
        </w:tc>
        <w:tc>
          <w:tcPr>
            <w:tcW w:w="1418" w:type="dxa"/>
          </w:tcPr>
          <w:p w14:paraId="00D61F14" w14:textId="77777777" w:rsidR="008234AC" w:rsidRPr="00B65F7F" w:rsidRDefault="008234AC" w:rsidP="00754079">
            <w:pPr>
              <w:pStyle w:val="TableText"/>
            </w:pPr>
            <w:r>
              <w:t>DoHAC</w:t>
            </w:r>
            <w:r w:rsidRPr="00B65F7F">
              <w:t>/NCTO</w:t>
            </w:r>
          </w:p>
        </w:tc>
        <w:tc>
          <w:tcPr>
            <w:tcW w:w="1701" w:type="dxa"/>
          </w:tcPr>
          <w:p w14:paraId="3172FDC3" w14:textId="77777777" w:rsidR="008234AC" w:rsidRPr="00B65F7F" w:rsidRDefault="008234AC" w:rsidP="00754079">
            <w:pPr>
              <w:pStyle w:val="TableText"/>
            </w:pPr>
            <w:r>
              <w:t>Early adopter e</w:t>
            </w:r>
            <w:r w:rsidRPr="00B65F7F">
              <w:t>ntity</w:t>
            </w:r>
            <w:r>
              <w:t>/s</w:t>
            </w:r>
          </w:p>
          <w:p w14:paraId="237DDDDC" w14:textId="77777777" w:rsidR="008234AC" w:rsidRPr="00B65F7F" w:rsidRDefault="008234AC" w:rsidP="00754079">
            <w:pPr>
              <w:pStyle w:val="TableText"/>
            </w:pPr>
          </w:p>
        </w:tc>
      </w:tr>
      <w:tr w:rsidR="004533D2" w:rsidRPr="00B65F7F" w14:paraId="5E86C9D0" w14:textId="77777777" w:rsidTr="00D456E7">
        <w:trPr>
          <w:cantSplit/>
        </w:trPr>
        <w:tc>
          <w:tcPr>
            <w:tcW w:w="983" w:type="dxa"/>
          </w:tcPr>
          <w:p w14:paraId="73A13A27" w14:textId="77777777" w:rsidR="004533D2" w:rsidRDefault="008234AC" w:rsidP="00754079">
            <w:pPr>
              <w:pStyle w:val="TableText"/>
            </w:pPr>
            <w:r>
              <w:lastRenderedPageBreak/>
              <w:t>6</w:t>
            </w:r>
            <w:r w:rsidR="00113FA3">
              <w:t>.</w:t>
            </w:r>
          </w:p>
        </w:tc>
        <w:tc>
          <w:tcPr>
            <w:tcW w:w="10489" w:type="dxa"/>
          </w:tcPr>
          <w:p w14:paraId="0B40E385" w14:textId="77777777" w:rsidR="004533D2" w:rsidRPr="00754079" w:rsidRDefault="004533D2" w:rsidP="00754079">
            <w:pPr>
              <w:pStyle w:val="TableText"/>
              <w:rPr>
                <w:b/>
                <w:bCs/>
              </w:rPr>
            </w:pPr>
            <w:r w:rsidRPr="00754079">
              <w:rPr>
                <w:b/>
                <w:bCs/>
              </w:rPr>
              <w:t xml:space="preserve">Formative </w:t>
            </w:r>
            <w:r w:rsidR="00113FA3" w:rsidRPr="00754079">
              <w:rPr>
                <w:b/>
                <w:bCs/>
              </w:rPr>
              <w:t>e</w:t>
            </w:r>
            <w:r w:rsidRPr="00754079">
              <w:rPr>
                <w:b/>
                <w:bCs/>
              </w:rPr>
              <w:t>valuation</w:t>
            </w:r>
          </w:p>
          <w:p w14:paraId="53650C0E" w14:textId="77777777" w:rsidR="004533D2" w:rsidRPr="004533D2" w:rsidRDefault="004533D2" w:rsidP="00754079">
            <w:pPr>
              <w:pStyle w:val="TableText"/>
              <w:rPr>
                <w:bCs/>
              </w:rPr>
            </w:pPr>
            <w:r w:rsidRPr="004533D2">
              <w:t xml:space="preserve">The NTCO is to undertake a </w:t>
            </w:r>
            <w:r w:rsidR="00113FA3">
              <w:t>f</w:t>
            </w:r>
            <w:r w:rsidRPr="004533D2">
              <w:t xml:space="preserve">ormative </w:t>
            </w:r>
            <w:r w:rsidR="00113FA3">
              <w:t>e</w:t>
            </w:r>
            <w:r w:rsidRPr="004533D2">
              <w:t xml:space="preserve">valuation of the </w:t>
            </w:r>
            <w:r w:rsidR="00113FA3">
              <w:t>e</w:t>
            </w:r>
            <w:r w:rsidRPr="004533D2">
              <w:t xml:space="preserve">arly </w:t>
            </w:r>
            <w:r w:rsidR="00113FA3">
              <w:t>a</w:t>
            </w:r>
            <w:r w:rsidRPr="004533D2">
              <w:t>dopter organisations</w:t>
            </w:r>
            <w:r w:rsidR="00113FA3">
              <w:t xml:space="preserve">, </w:t>
            </w:r>
            <w:r w:rsidRPr="004533D2">
              <w:t>to focus on the improvement and development of the transition and to provide feedback for ongoing improvement.</w:t>
            </w:r>
          </w:p>
          <w:p w14:paraId="668C4B67" w14:textId="77777777" w:rsidR="004533D2" w:rsidRPr="004533D2" w:rsidRDefault="004533D2" w:rsidP="00754079">
            <w:pPr>
              <w:pStyle w:val="TableText"/>
              <w:rPr>
                <w:bCs/>
              </w:rPr>
            </w:pPr>
            <w:r w:rsidRPr="004533D2">
              <w:t xml:space="preserve">Regular communication channels are established between the </w:t>
            </w:r>
            <w:r w:rsidR="00113FA3">
              <w:t>e</w:t>
            </w:r>
            <w:r w:rsidRPr="004533D2">
              <w:t xml:space="preserve">arly </w:t>
            </w:r>
            <w:r w:rsidR="00113FA3">
              <w:t>a</w:t>
            </w:r>
            <w:r w:rsidRPr="004533D2">
              <w:t>dopter organisations and the NTCO to address issues, collect feedback and share best practices.</w:t>
            </w:r>
          </w:p>
          <w:p w14:paraId="2F3591D9" w14:textId="77777777" w:rsidR="004533D2" w:rsidRDefault="004533D2" w:rsidP="00754079">
            <w:pPr>
              <w:pStyle w:val="TableText"/>
              <w:rPr>
                <w:bCs/>
              </w:rPr>
            </w:pPr>
            <w:r w:rsidRPr="004533D2">
              <w:t xml:space="preserve">The end goal of the </w:t>
            </w:r>
            <w:r w:rsidR="00113FA3">
              <w:t>f</w:t>
            </w:r>
            <w:r w:rsidRPr="004533D2">
              <w:t xml:space="preserve">ormative </w:t>
            </w:r>
            <w:r w:rsidR="00113FA3">
              <w:t>e</w:t>
            </w:r>
            <w:r w:rsidRPr="004533D2">
              <w:t xml:space="preserve">valuation process is to provide the NTCO and relevant governing authorities </w:t>
            </w:r>
            <w:r w:rsidR="00113FA3">
              <w:t xml:space="preserve">with </w:t>
            </w:r>
            <w:r w:rsidRPr="004533D2">
              <w:t>the opportunity to make a final decision as to how other catchments (and their respective service providers) should best transition, either through a blended approach to arrangements across different catchments or through a more unified approach, where one arrangement is preferred or deemed more suitable for national rollout.</w:t>
            </w:r>
          </w:p>
          <w:p w14:paraId="35290D18" w14:textId="42D0E3E0" w:rsidR="00FC7607" w:rsidRPr="008D25BF" w:rsidRDefault="00FC7607" w:rsidP="00754079">
            <w:pPr>
              <w:pStyle w:val="TableText"/>
              <w:rPr>
                <w:bCs/>
              </w:rPr>
            </w:pPr>
            <w:r>
              <w:t xml:space="preserve">Example key lines of </w:t>
            </w:r>
            <w:r w:rsidR="00113FA3">
              <w:t>inquiry</w:t>
            </w:r>
            <w:r>
              <w:t xml:space="preserve"> for the </w:t>
            </w:r>
            <w:r w:rsidR="00113FA3">
              <w:t>f</w:t>
            </w:r>
            <w:r>
              <w:t xml:space="preserve">ormative </w:t>
            </w:r>
            <w:r w:rsidR="00113FA3">
              <w:t>e</w:t>
            </w:r>
            <w:r>
              <w:t xml:space="preserve">valuation are </w:t>
            </w:r>
            <w:r w:rsidR="00461E43">
              <w:t>given</w:t>
            </w:r>
            <w:r>
              <w:t xml:space="preserve"> in </w:t>
            </w:r>
            <w:r w:rsidR="00461E43">
              <w:rPr>
                <w:bCs/>
                <w:highlight w:val="yellow"/>
              </w:rPr>
              <w:fldChar w:fldCharType="begin"/>
            </w:r>
            <w:r w:rsidR="00461E43">
              <w:instrText xml:space="preserve"> REF App11_withtitle \h </w:instrText>
            </w:r>
            <w:r w:rsidR="00461E43">
              <w:rPr>
                <w:bCs/>
                <w:highlight w:val="yellow"/>
              </w:rPr>
            </w:r>
            <w:r w:rsidR="00461E43">
              <w:rPr>
                <w:bCs/>
                <w:highlight w:val="yellow"/>
              </w:rPr>
              <w:fldChar w:fldCharType="separate"/>
            </w:r>
            <w:r w:rsidR="00934D5E" w:rsidRPr="00B65F7F">
              <w:t xml:space="preserve">Appendix </w:t>
            </w:r>
            <w:r w:rsidR="00934D5E">
              <w:t>11 –</w:t>
            </w:r>
            <w:r w:rsidR="00934D5E" w:rsidRPr="00B65F7F">
              <w:t xml:space="preserve"> </w:t>
            </w:r>
            <w:r w:rsidR="00934D5E" w:rsidRPr="00681A01">
              <w:t>Framework for the Early Adopter Period</w:t>
            </w:r>
            <w:r w:rsidR="00461E43">
              <w:rPr>
                <w:bCs/>
                <w:highlight w:val="yellow"/>
              </w:rPr>
              <w:fldChar w:fldCharType="end"/>
            </w:r>
            <w:r w:rsidR="00461E43">
              <w:t>.</w:t>
            </w:r>
          </w:p>
        </w:tc>
        <w:tc>
          <w:tcPr>
            <w:tcW w:w="1418" w:type="dxa"/>
          </w:tcPr>
          <w:p w14:paraId="02E834B4" w14:textId="77777777" w:rsidR="004533D2" w:rsidRPr="00B65F7F" w:rsidRDefault="004533D2" w:rsidP="00754079">
            <w:pPr>
              <w:pStyle w:val="TableText"/>
            </w:pPr>
          </w:p>
        </w:tc>
        <w:tc>
          <w:tcPr>
            <w:tcW w:w="1701" w:type="dxa"/>
          </w:tcPr>
          <w:p w14:paraId="213A8ED8" w14:textId="77777777" w:rsidR="004533D2" w:rsidRPr="00B65F7F" w:rsidRDefault="004533D2" w:rsidP="00754079">
            <w:pPr>
              <w:pStyle w:val="TableText"/>
            </w:pPr>
          </w:p>
        </w:tc>
      </w:tr>
    </w:tbl>
    <w:p w14:paraId="73F91D21" w14:textId="407796A3" w:rsidR="00F923B6" w:rsidRPr="007600D9" w:rsidRDefault="007600D9" w:rsidP="008C75B3">
      <w:pPr>
        <w:pStyle w:val="Heading4"/>
      </w:pPr>
      <w:r w:rsidRPr="007600D9">
        <w:t xml:space="preserve">Phase </w:t>
      </w:r>
      <w:r w:rsidR="00173776">
        <w:t>4</w:t>
      </w:r>
      <w:r w:rsidRPr="007600D9">
        <w:t xml:space="preserve">: Establish </w:t>
      </w:r>
      <w:r w:rsidR="00113FA3">
        <w:t>n</w:t>
      </w:r>
      <w:r w:rsidRPr="007600D9">
        <w:t xml:space="preserve">ational </w:t>
      </w:r>
      <w:r w:rsidR="00113FA3">
        <w:t>t</w:t>
      </w:r>
      <w:r w:rsidRPr="007600D9">
        <w:t>ransition</w:t>
      </w:r>
    </w:p>
    <w:p w14:paraId="36DF82C2" w14:textId="371F531C" w:rsidR="006B5421" w:rsidRPr="007600D9" w:rsidRDefault="006B5421" w:rsidP="008C75B3">
      <w:pPr>
        <w:pStyle w:val="BodyText"/>
      </w:pPr>
      <w:r w:rsidRPr="007600D9">
        <w:t>The purpose of Phase</w:t>
      </w:r>
      <w:r w:rsidR="007600D9">
        <w:t xml:space="preserve"> </w:t>
      </w:r>
      <w:r w:rsidR="00173776">
        <w:t>4</w:t>
      </w:r>
      <w:r w:rsidRPr="007600D9">
        <w:t xml:space="preserve"> is </w:t>
      </w:r>
      <w:r w:rsidR="00E3702A">
        <w:t>for the NTCO and government to determine what the national rollout will look like, based on the outcomes of</w:t>
      </w:r>
      <w:r w:rsidR="00E3702A" w:rsidRPr="00E3702A">
        <w:t xml:space="preserve"> the </w:t>
      </w:r>
      <w:r w:rsidR="00113FA3">
        <w:t>f</w:t>
      </w:r>
      <w:r w:rsidR="00E3702A" w:rsidRPr="00E3702A">
        <w:t xml:space="preserve">ormative </w:t>
      </w:r>
      <w:r w:rsidR="00113FA3">
        <w:t>e</w:t>
      </w:r>
      <w:r w:rsidR="00E3702A" w:rsidRPr="00E3702A">
        <w:t xml:space="preserve">valuation of Phase </w:t>
      </w:r>
      <w:r w:rsidR="00173776">
        <w:t>3</w:t>
      </w:r>
      <w:r w:rsidR="00E3702A" w:rsidRPr="00E3702A">
        <w:t xml:space="preserve">. This </w:t>
      </w:r>
      <w:r w:rsidR="00E3702A">
        <w:t xml:space="preserve">phase will include communicating the outcomes and commencing </w:t>
      </w:r>
      <w:r w:rsidR="00E3702A" w:rsidRPr="00E3702A">
        <w:t>collaborative planning with the lead entity</w:t>
      </w:r>
      <w:r w:rsidR="006C5333">
        <w:t>/s</w:t>
      </w:r>
      <w:r w:rsidR="00E3702A" w:rsidRPr="00E3702A">
        <w:t xml:space="preserve">, </w:t>
      </w:r>
      <w:r w:rsidR="00113FA3">
        <w:t>which</w:t>
      </w:r>
      <w:r w:rsidR="00E3702A">
        <w:t xml:space="preserve"> will be </w:t>
      </w:r>
      <w:r w:rsidR="00E3702A" w:rsidRPr="00E3702A">
        <w:t xml:space="preserve">responsible for </w:t>
      </w:r>
      <w:r w:rsidR="00E3702A">
        <w:t>refining</w:t>
      </w:r>
      <w:r w:rsidR="00E3702A" w:rsidRPr="00E3702A">
        <w:t xml:space="preserve"> the funding arrangement and leading the transition of funding for the Relevant Health Programs.</w:t>
      </w:r>
      <w:r w:rsidR="00E3702A">
        <w:t xml:space="preserve"> </w:t>
      </w:r>
      <w:r w:rsidRPr="007600D9">
        <w:t xml:space="preserve">The key features of Phase </w:t>
      </w:r>
      <w:r w:rsidR="007D5461">
        <w:t>4</w:t>
      </w:r>
      <w:r w:rsidRPr="007600D9">
        <w:t xml:space="preserve"> are set out in </w:t>
      </w:r>
      <w:r w:rsidR="00795026" w:rsidRPr="007600D9">
        <w:fldChar w:fldCharType="begin"/>
      </w:r>
      <w:r w:rsidR="00795026" w:rsidRPr="007600D9">
        <w:instrText xml:space="preserve"> REF _Ref145168336 \h </w:instrText>
      </w:r>
      <w:r w:rsidR="004533D2" w:rsidRPr="007600D9">
        <w:instrText xml:space="preserve"> \* MERGEFORMAT </w:instrText>
      </w:r>
      <w:r w:rsidR="00795026" w:rsidRPr="007600D9">
        <w:fldChar w:fldCharType="separate"/>
      </w:r>
      <w:r w:rsidR="00934D5E" w:rsidRPr="007600D9">
        <w:t xml:space="preserve">Table </w:t>
      </w:r>
      <w:r w:rsidR="00934D5E">
        <w:rPr>
          <w:noProof/>
        </w:rPr>
        <w:t>4</w:t>
      </w:r>
      <w:r w:rsidR="00795026" w:rsidRPr="007600D9">
        <w:fldChar w:fldCharType="end"/>
      </w:r>
      <w:r w:rsidRPr="007600D9">
        <w:t xml:space="preserve"> below. </w:t>
      </w:r>
    </w:p>
    <w:p w14:paraId="37A82B69" w14:textId="77777777" w:rsidR="00620D6B" w:rsidRPr="007600D9" w:rsidRDefault="00620D6B" w:rsidP="008C75B3">
      <w:pPr>
        <w:pStyle w:val="BodyText"/>
      </w:pPr>
      <w:r w:rsidRPr="007600D9">
        <w:rPr>
          <w:b/>
          <w:bCs/>
        </w:rPr>
        <w:t xml:space="preserve">Note: </w:t>
      </w:r>
      <w:r w:rsidRPr="007600D9">
        <w:t xml:space="preserve">The activities identified below are in addition to those listed in Phase </w:t>
      </w:r>
      <w:r w:rsidR="007D5461">
        <w:t>1</w:t>
      </w:r>
      <w:r w:rsidRPr="007600D9">
        <w:t xml:space="preserve">. For example, the NTCO will be responsible for continuing to coordinate and engage throughout this </w:t>
      </w:r>
      <w:r w:rsidR="00753D73" w:rsidRPr="007600D9">
        <w:t>p</w:t>
      </w:r>
      <w:r w:rsidRPr="007600D9">
        <w:t>hase.</w:t>
      </w:r>
    </w:p>
    <w:p w14:paraId="49963A4E" w14:textId="7EDA5DDC" w:rsidR="00795026" w:rsidRPr="007600D9" w:rsidRDefault="00795026" w:rsidP="00795026">
      <w:pPr>
        <w:pStyle w:val="CaptionTable"/>
        <w:rPr>
          <w:b w:val="0"/>
          <w:bCs/>
        </w:rPr>
      </w:pPr>
      <w:bookmarkStart w:id="148" w:name="_Ref145168336"/>
      <w:bookmarkStart w:id="149" w:name="_Toc145604946"/>
      <w:bookmarkStart w:id="150" w:name="_Toc156932074"/>
      <w:r w:rsidRPr="007600D9">
        <w:t xml:space="preserve">Table </w:t>
      </w:r>
      <w:r w:rsidRPr="007600D9">
        <w:fldChar w:fldCharType="begin"/>
      </w:r>
      <w:r w:rsidRPr="007600D9">
        <w:instrText xml:space="preserve"> SEQ Table \* ARABIC </w:instrText>
      </w:r>
      <w:r w:rsidRPr="007600D9">
        <w:fldChar w:fldCharType="separate"/>
      </w:r>
      <w:r w:rsidR="00934D5E">
        <w:rPr>
          <w:noProof/>
        </w:rPr>
        <w:t>4</w:t>
      </w:r>
      <w:r w:rsidRPr="007600D9">
        <w:fldChar w:fldCharType="end"/>
      </w:r>
      <w:bookmarkEnd w:id="148"/>
      <w:r w:rsidRPr="007600D9">
        <w:t xml:space="preserve">: Key features of Phase </w:t>
      </w:r>
      <w:r w:rsidR="00173776">
        <w:t>4</w:t>
      </w:r>
      <w:bookmarkEnd w:id="149"/>
      <w:bookmarkEnd w:id="150"/>
    </w:p>
    <w:tbl>
      <w:tblPr>
        <w:tblStyle w:val="Newtableforresport"/>
        <w:tblW w:w="14591" w:type="dxa"/>
        <w:tblInd w:w="10" w:type="dxa"/>
        <w:tblLayout w:type="fixed"/>
        <w:tblLook w:val="0620" w:firstRow="1" w:lastRow="0" w:firstColumn="0" w:lastColumn="0" w:noHBand="1" w:noVBand="1"/>
        <w:tblCaption w:val="Table 4: Key features of Phase 4"/>
        <w:tblDescription w:val="The table provides information on different transition activities in Phase 4 of the transition plan. &#10;&#10;The first column lists the number of activities. For example '1.' is in the first activity row, and '2.' is in the second activity row. The second column lists transition activities. The third column lists the lead entity responsible for the transition activity. For example, the National Transition Coordination Office would be the lead responsible for the determination of national rollout arrangements. The fourth column lists the support entity responsible for the transition activity. For example, Affiliates, the National Aboriginal Community Controlled Health Organisation and Primary Health Networks would support the determination of national rollout arrangements.&#10;"/>
      </w:tblPr>
      <w:tblGrid>
        <w:gridCol w:w="983"/>
        <w:gridCol w:w="9639"/>
        <w:gridCol w:w="1984"/>
        <w:gridCol w:w="1985"/>
      </w:tblGrid>
      <w:tr w:rsidR="006B5421" w:rsidRPr="00113FA3" w14:paraId="5FF8A0A8" w14:textId="77777777" w:rsidTr="00D456E7">
        <w:trPr>
          <w:cnfStyle w:val="100000000000" w:firstRow="1" w:lastRow="0" w:firstColumn="0" w:lastColumn="0" w:oddVBand="0" w:evenVBand="0" w:oddHBand="0" w:evenHBand="0" w:firstRowFirstColumn="0" w:firstRowLastColumn="0" w:lastRowFirstColumn="0" w:lastRowLastColumn="0"/>
          <w:cantSplit/>
          <w:tblHeader/>
        </w:trPr>
        <w:tc>
          <w:tcPr>
            <w:tcW w:w="983" w:type="dxa"/>
          </w:tcPr>
          <w:p w14:paraId="2347900A" w14:textId="77777777" w:rsidR="006B5421" w:rsidRPr="00113FA3" w:rsidRDefault="006B5421" w:rsidP="008C75B3">
            <w:pPr>
              <w:pStyle w:val="TableHeading"/>
              <w:rPr>
                <w:b w:val="0"/>
              </w:rPr>
            </w:pPr>
            <w:r w:rsidRPr="00113FA3">
              <w:t>Number</w:t>
            </w:r>
          </w:p>
        </w:tc>
        <w:tc>
          <w:tcPr>
            <w:tcW w:w="9639" w:type="dxa"/>
          </w:tcPr>
          <w:p w14:paraId="0B6D90F9" w14:textId="77777777" w:rsidR="006B5421" w:rsidRPr="00113FA3" w:rsidRDefault="006B5421" w:rsidP="008C75B3">
            <w:pPr>
              <w:pStyle w:val="TableHeading"/>
              <w:rPr>
                <w:b w:val="0"/>
              </w:rPr>
            </w:pPr>
            <w:r w:rsidRPr="00113FA3">
              <w:t>Activity</w:t>
            </w:r>
          </w:p>
        </w:tc>
        <w:tc>
          <w:tcPr>
            <w:tcW w:w="1984" w:type="dxa"/>
          </w:tcPr>
          <w:p w14:paraId="055F62EC" w14:textId="77777777" w:rsidR="006B5421" w:rsidRPr="00113FA3" w:rsidRDefault="006B5421" w:rsidP="008C75B3">
            <w:pPr>
              <w:pStyle w:val="TableHeading"/>
              <w:rPr>
                <w:b w:val="0"/>
              </w:rPr>
            </w:pPr>
            <w:r w:rsidRPr="00113FA3">
              <w:t xml:space="preserve">Responsible </w:t>
            </w:r>
            <w:r w:rsidR="005E43E3" w:rsidRPr="00113FA3">
              <w:t>e</w:t>
            </w:r>
            <w:r w:rsidRPr="00113FA3">
              <w:t>ntity (</w:t>
            </w:r>
            <w:r w:rsidR="005E43E3" w:rsidRPr="00113FA3">
              <w:t>l</w:t>
            </w:r>
            <w:r w:rsidRPr="00113FA3">
              <w:t>ead)</w:t>
            </w:r>
          </w:p>
        </w:tc>
        <w:tc>
          <w:tcPr>
            <w:tcW w:w="1985" w:type="dxa"/>
          </w:tcPr>
          <w:p w14:paraId="3762AFA2" w14:textId="77777777" w:rsidR="006B5421" w:rsidRPr="00113FA3" w:rsidRDefault="006B5421" w:rsidP="008C75B3">
            <w:pPr>
              <w:pStyle w:val="TableHeading"/>
              <w:rPr>
                <w:b w:val="0"/>
              </w:rPr>
            </w:pPr>
            <w:r w:rsidRPr="00113FA3">
              <w:t xml:space="preserve">Responsible </w:t>
            </w:r>
            <w:r w:rsidR="005E43E3" w:rsidRPr="00113FA3">
              <w:t>e</w:t>
            </w:r>
            <w:r w:rsidRPr="00113FA3">
              <w:t>ntity (</w:t>
            </w:r>
            <w:r w:rsidR="005E43E3" w:rsidRPr="00113FA3">
              <w:t>s</w:t>
            </w:r>
            <w:r w:rsidRPr="00113FA3">
              <w:t>upport)</w:t>
            </w:r>
          </w:p>
        </w:tc>
      </w:tr>
      <w:tr w:rsidR="006B5421" w:rsidRPr="00113FA3" w14:paraId="30BCF775" w14:textId="77777777" w:rsidTr="00D456E7">
        <w:trPr>
          <w:cantSplit/>
          <w:trHeight w:val="809"/>
        </w:trPr>
        <w:tc>
          <w:tcPr>
            <w:tcW w:w="983" w:type="dxa"/>
          </w:tcPr>
          <w:p w14:paraId="60383FD2" w14:textId="77777777" w:rsidR="006B5421" w:rsidRPr="00113FA3" w:rsidRDefault="005E43E3" w:rsidP="008C75B3">
            <w:pPr>
              <w:pStyle w:val="TableText"/>
            </w:pPr>
            <w:r w:rsidRPr="00113FA3">
              <w:t>1.</w:t>
            </w:r>
          </w:p>
        </w:tc>
        <w:tc>
          <w:tcPr>
            <w:tcW w:w="9639" w:type="dxa"/>
          </w:tcPr>
          <w:p w14:paraId="68F53F9E" w14:textId="77777777" w:rsidR="006B5421" w:rsidRPr="00113FA3" w:rsidRDefault="007C3A24" w:rsidP="008C75B3">
            <w:pPr>
              <w:pStyle w:val="TableText"/>
            </w:pPr>
            <w:r w:rsidRPr="00113FA3">
              <w:rPr>
                <w:b/>
              </w:rPr>
              <w:t>Determination of national rollout</w:t>
            </w:r>
            <w:r w:rsidR="008F54C8" w:rsidRPr="00113FA3">
              <w:rPr>
                <w:b/>
              </w:rPr>
              <w:t xml:space="preserve"> </w:t>
            </w:r>
            <w:r w:rsidR="004F5AD7" w:rsidRPr="00113FA3">
              <w:rPr>
                <w:b/>
              </w:rPr>
              <w:t>arrangements</w:t>
            </w:r>
            <w:r w:rsidR="004F5AD7" w:rsidRPr="00113FA3">
              <w:t xml:space="preserve"> to enable</w:t>
            </w:r>
            <w:r w:rsidRPr="00113FA3">
              <w:t xml:space="preserve"> </w:t>
            </w:r>
            <w:r w:rsidR="008F54C8" w:rsidRPr="00113FA3">
              <w:t xml:space="preserve">state/territory or </w:t>
            </w:r>
            <w:r w:rsidR="004F5AD7" w:rsidRPr="00113FA3">
              <w:t xml:space="preserve">regional </w:t>
            </w:r>
            <w:r w:rsidRPr="00113FA3">
              <w:t xml:space="preserve">collaboration (Arrangements A1 and A2) or a national approach (Arrangement C) </w:t>
            </w:r>
            <w:r w:rsidR="004F5AD7" w:rsidRPr="00113FA3">
              <w:t xml:space="preserve">to meet the needs of local </w:t>
            </w:r>
            <w:r w:rsidR="00D36FA0" w:rsidRPr="00113FA3">
              <w:t>Aboriginal and/or Torres Strait Islander</w:t>
            </w:r>
            <w:r w:rsidR="004F5AD7" w:rsidRPr="00113FA3">
              <w:t xml:space="preserve"> communities</w:t>
            </w:r>
            <w:r w:rsidRPr="00113FA3">
              <w:t xml:space="preserve">, based on the outcomes of </w:t>
            </w:r>
            <w:r w:rsidR="00113FA3" w:rsidRPr="00113FA3">
              <w:t>the f</w:t>
            </w:r>
            <w:r w:rsidRPr="00113FA3">
              <w:t xml:space="preserve">ormative </w:t>
            </w:r>
            <w:r w:rsidR="00113FA3" w:rsidRPr="00113FA3">
              <w:t>e</w:t>
            </w:r>
            <w:r w:rsidRPr="00113FA3">
              <w:t xml:space="preserve">valuation of Phase </w:t>
            </w:r>
            <w:r w:rsidR="00173776" w:rsidRPr="00113FA3">
              <w:t>3</w:t>
            </w:r>
            <w:r w:rsidRPr="00113FA3">
              <w:t>.</w:t>
            </w:r>
          </w:p>
        </w:tc>
        <w:tc>
          <w:tcPr>
            <w:tcW w:w="1984" w:type="dxa"/>
          </w:tcPr>
          <w:p w14:paraId="2396728E" w14:textId="77777777" w:rsidR="006B5421" w:rsidRPr="00113FA3" w:rsidRDefault="007C3A24" w:rsidP="008C75B3">
            <w:pPr>
              <w:pStyle w:val="TableText"/>
            </w:pPr>
            <w:r w:rsidRPr="00113FA3">
              <w:t xml:space="preserve">NTCO </w:t>
            </w:r>
          </w:p>
        </w:tc>
        <w:tc>
          <w:tcPr>
            <w:tcW w:w="1985" w:type="dxa"/>
          </w:tcPr>
          <w:p w14:paraId="5DB5897A" w14:textId="77777777" w:rsidR="009F5364" w:rsidRPr="00113FA3" w:rsidRDefault="009F5364" w:rsidP="008C75B3">
            <w:pPr>
              <w:pStyle w:val="TableText"/>
            </w:pPr>
            <w:r w:rsidRPr="00113FA3">
              <w:t xml:space="preserve">Affiliates </w:t>
            </w:r>
          </w:p>
          <w:p w14:paraId="1867E9A2" w14:textId="77777777" w:rsidR="006B5421" w:rsidRPr="00113FA3" w:rsidRDefault="009F5364" w:rsidP="008C75B3">
            <w:pPr>
              <w:pStyle w:val="TableText"/>
            </w:pPr>
            <w:r w:rsidRPr="00113FA3">
              <w:t>NACCHO</w:t>
            </w:r>
          </w:p>
          <w:p w14:paraId="657ABD4C" w14:textId="77777777" w:rsidR="005230BF" w:rsidRPr="00113FA3" w:rsidRDefault="009F5364" w:rsidP="008C75B3">
            <w:pPr>
              <w:pStyle w:val="TableText"/>
            </w:pPr>
            <w:r w:rsidRPr="00113FA3">
              <w:t>PHNs</w:t>
            </w:r>
          </w:p>
        </w:tc>
      </w:tr>
      <w:tr w:rsidR="006B5421" w:rsidRPr="00113FA3" w14:paraId="74ACE565" w14:textId="77777777" w:rsidTr="00D456E7">
        <w:trPr>
          <w:cantSplit/>
        </w:trPr>
        <w:tc>
          <w:tcPr>
            <w:tcW w:w="983" w:type="dxa"/>
          </w:tcPr>
          <w:p w14:paraId="5C6E1E17" w14:textId="77777777" w:rsidR="006B5421" w:rsidRPr="00113FA3" w:rsidRDefault="005E43E3" w:rsidP="008C75B3">
            <w:pPr>
              <w:pStyle w:val="TableText"/>
            </w:pPr>
            <w:r w:rsidRPr="00113FA3">
              <w:t>2.</w:t>
            </w:r>
          </w:p>
        </w:tc>
        <w:tc>
          <w:tcPr>
            <w:tcW w:w="9639" w:type="dxa"/>
          </w:tcPr>
          <w:p w14:paraId="0785495A" w14:textId="77777777" w:rsidR="00831024" w:rsidRPr="00113FA3" w:rsidRDefault="00831024" w:rsidP="008C75B3">
            <w:pPr>
              <w:pStyle w:val="TableText"/>
            </w:pPr>
            <w:r w:rsidRPr="00113FA3">
              <w:rPr>
                <w:b/>
              </w:rPr>
              <w:t xml:space="preserve">Self-determined nomination of a </w:t>
            </w:r>
            <w:r w:rsidR="004871CA" w:rsidRPr="00113FA3">
              <w:rPr>
                <w:b/>
              </w:rPr>
              <w:t>l</w:t>
            </w:r>
            <w:r w:rsidRPr="00113FA3">
              <w:rPr>
                <w:b/>
              </w:rPr>
              <w:t xml:space="preserve">ead </w:t>
            </w:r>
            <w:r w:rsidR="004871CA" w:rsidRPr="00113FA3">
              <w:rPr>
                <w:b/>
              </w:rPr>
              <w:t>e</w:t>
            </w:r>
            <w:r w:rsidRPr="00113FA3">
              <w:rPr>
                <w:b/>
              </w:rPr>
              <w:t>ntity</w:t>
            </w:r>
            <w:r w:rsidRPr="00113FA3">
              <w:t xml:space="preserve"> to lead the activities noted below for</w:t>
            </w:r>
            <w:r w:rsidR="00450356" w:rsidRPr="00113FA3">
              <w:t xml:space="preserve"> the</w:t>
            </w:r>
            <w:r w:rsidRPr="00113FA3">
              <w:t xml:space="preserve"> defined </w:t>
            </w:r>
            <w:r w:rsidR="00450356" w:rsidRPr="00113FA3">
              <w:t>catchment</w:t>
            </w:r>
            <w:r w:rsidRPr="00113FA3">
              <w:t xml:space="preserve">. A </w:t>
            </w:r>
            <w:r w:rsidR="004871CA" w:rsidRPr="00113FA3">
              <w:t>l</w:t>
            </w:r>
            <w:r w:rsidRPr="00113FA3">
              <w:t xml:space="preserve">ead </w:t>
            </w:r>
            <w:r w:rsidR="004871CA" w:rsidRPr="00113FA3">
              <w:t>e</w:t>
            </w:r>
            <w:r w:rsidRPr="00113FA3">
              <w:t>ntity</w:t>
            </w:r>
            <w:r w:rsidR="00F675D0" w:rsidRPr="00113FA3">
              <w:t xml:space="preserve"> (or lead entities) </w:t>
            </w:r>
            <w:r w:rsidRPr="00113FA3">
              <w:t>will be one of the following organisations</w:t>
            </w:r>
            <w:r w:rsidR="00450356" w:rsidRPr="00113FA3">
              <w:t xml:space="preserve"> based on the above determination</w:t>
            </w:r>
            <w:r w:rsidRPr="00113FA3">
              <w:t>:</w:t>
            </w:r>
          </w:p>
          <w:p w14:paraId="1F5BB1E0" w14:textId="77777777" w:rsidR="00315388" w:rsidRPr="00113FA3" w:rsidRDefault="004871CA" w:rsidP="004871CA">
            <w:pPr>
              <w:pStyle w:val="TableTextbullets"/>
              <w:ind w:left="322"/>
            </w:pPr>
            <w:r w:rsidRPr="00113FA3">
              <w:t>a</w:t>
            </w:r>
            <w:r w:rsidR="00315388" w:rsidRPr="00113FA3">
              <w:t>n affiliate (</w:t>
            </w:r>
            <w:r w:rsidR="00E420C0" w:rsidRPr="00113FA3">
              <w:t>Arrangement A1)</w:t>
            </w:r>
          </w:p>
          <w:p w14:paraId="1BC3B059" w14:textId="77777777" w:rsidR="00831024" w:rsidRPr="00113FA3" w:rsidRDefault="004871CA" w:rsidP="004871CA">
            <w:pPr>
              <w:pStyle w:val="TableTextbullets"/>
              <w:ind w:left="322"/>
            </w:pPr>
            <w:r w:rsidRPr="00113FA3">
              <w:t>a</w:t>
            </w:r>
            <w:r w:rsidR="00831024" w:rsidRPr="00113FA3">
              <w:t xml:space="preserve"> regional arrangement (newly created or existing)</w:t>
            </w:r>
            <w:r w:rsidR="00E420C0" w:rsidRPr="00113FA3">
              <w:t xml:space="preserve"> (Arrangement A2)</w:t>
            </w:r>
          </w:p>
          <w:p w14:paraId="3D51153B" w14:textId="77777777" w:rsidR="006B5421" w:rsidRPr="00113FA3" w:rsidRDefault="00450356" w:rsidP="005E43E3">
            <w:pPr>
              <w:pStyle w:val="TableTextbullets"/>
              <w:ind w:left="322"/>
            </w:pPr>
            <w:r w:rsidRPr="00113FA3">
              <w:t>NACCHO national approach</w:t>
            </w:r>
            <w:r w:rsidR="00E420C0" w:rsidRPr="00113FA3">
              <w:t xml:space="preserve"> (Arrangement </w:t>
            </w:r>
            <w:r w:rsidRPr="00113FA3">
              <w:t>C</w:t>
            </w:r>
            <w:r w:rsidR="00E420C0" w:rsidRPr="00113FA3">
              <w:t>)</w:t>
            </w:r>
            <w:r w:rsidR="004871CA" w:rsidRPr="00113FA3">
              <w:t>.</w:t>
            </w:r>
          </w:p>
        </w:tc>
        <w:tc>
          <w:tcPr>
            <w:tcW w:w="1984" w:type="dxa"/>
          </w:tcPr>
          <w:p w14:paraId="6AA85C89" w14:textId="77777777" w:rsidR="006B5421" w:rsidRPr="00113FA3" w:rsidRDefault="006B5421" w:rsidP="008C75B3">
            <w:pPr>
              <w:pStyle w:val="TableText"/>
            </w:pPr>
            <w:r w:rsidRPr="00113FA3">
              <w:t>As above</w:t>
            </w:r>
          </w:p>
        </w:tc>
        <w:tc>
          <w:tcPr>
            <w:tcW w:w="1985" w:type="dxa"/>
          </w:tcPr>
          <w:p w14:paraId="57F2E762" w14:textId="77777777" w:rsidR="006B5421" w:rsidRPr="00113FA3" w:rsidRDefault="00473DC7" w:rsidP="008C75B3">
            <w:pPr>
              <w:pStyle w:val="TableText"/>
            </w:pPr>
            <w:r w:rsidRPr="00113FA3">
              <w:t>Affiliate</w:t>
            </w:r>
          </w:p>
          <w:p w14:paraId="1CA37EDC" w14:textId="77777777" w:rsidR="006B5421" w:rsidRPr="00113FA3" w:rsidRDefault="00473DC7" w:rsidP="008C75B3">
            <w:pPr>
              <w:pStyle w:val="TableText"/>
            </w:pPr>
            <w:r w:rsidRPr="00113FA3">
              <w:t>NACCHO</w:t>
            </w:r>
          </w:p>
          <w:p w14:paraId="474672BF" w14:textId="77777777" w:rsidR="005230BF" w:rsidRPr="00113FA3" w:rsidRDefault="005230BF" w:rsidP="008C75B3">
            <w:pPr>
              <w:pStyle w:val="TableText"/>
            </w:pPr>
            <w:r w:rsidRPr="00113FA3">
              <w:t>NTCO</w:t>
            </w:r>
          </w:p>
        </w:tc>
      </w:tr>
      <w:tr w:rsidR="00384694" w:rsidRPr="00113FA3" w14:paraId="3CDD668C" w14:textId="77777777" w:rsidTr="00D456E7">
        <w:trPr>
          <w:cantSplit/>
        </w:trPr>
        <w:tc>
          <w:tcPr>
            <w:tcW w:w="983" w:type="dxa"/>
          </w:tcPr>
          <w:p w14:paraId="27E955FE" w14:textId="77777777" w:rsidR="00384694" w:rsidRPr="00113FA3" w:rsidRDefault="005E43E3" w:rsidP="008C75B3">
            <w:pPr>
              <w:pStyle w:val="TableText"/>
            </w:pPr>
            <w:r w:rsidRPr="00113FA3">
              <w:lastRenderedPageBreak/>
              <w:t>3.</w:t>
            </w:r>
          </w:p>
        </w:tc>
        <w:tc>
          <w:tcPr>
            <w:tcW w:w="9639" w:type="dxa"/>
          </w:tcPr>
          <w:p w14:paraId="3D94C651" w14:textId="77777777" w:rsidR="00A967C2" w:rsidRPr="00113FA3" w:rsidRDefault="00384694" w:rsidP="008C75B3">
            <w:pPr>
              <w:pStyle w:val="TableText"/>
            </w:pPr>
            <w:r w:rsidRPr="00113FA3">
              <w:rPr>
                <w:b/>
              </w:rPr>
              <w:t>Development of a comprehensive understanding of community needs</w:t>
            </w:r>
            <w:r w:rsidR="005A7833" w:rsidRPr="00113FA3">
              <w:rPr>
                <w:b/>
              </w:rPr>
              <w:t xml:space="preserve"> and priorities</w:t>
            </w:r>
            <w:r w:rsidRPr="00113FA3">
              <w:t xml:space="preserve"> as they relate to the </w:t>
            </w:r>
            <w:r w:rsidR="004871CA" w:rsidRPr="00113FA3">
              <w:t>R</w:t>
            </w:r>
            <w:r w:rsidRPr="00113FA3">
              <w:t xml:space="preserve">elevant </w:t>
            </w:r>
            <w:r w:rsidR="004871CA" w:rsidRPr="00113FA3">
              <w:t>H</w:t>
            </w:r>
            <w:r w:rsidRPr="00113FA3">
              <w:t xml:space="preserve">ealth </w:t>
            </w:r>
            <w:r w:rsidR="004871CA" w:rsidRPr="00113FA3">
              <w:t>Programs</w:t>
            </w:r>
            <w:r w:rsidRPr="00113FA3">
              <w:t xml:space="preserve"> to inform the </w:t>
            </w:r>
            <w:r w:rsidR="00450356" w:rsidRPr="00113FA3">
              <w:t xml:space="preserve">refinement </w:t>
            </w:r>
            <w:r w:rsidRPr="00113FA3">
              <w:t xml:space="preserve">of the future funding arrangement. </w:t>
            </w:r>
          </w:p>
          <w:p w14:paraId="0F88F17D" w14:textId="77777777" w:rsidR="00384694" w:rsidRPr="00113FA3" w:rsidRDefault="00384694" w:rsidP="008C75B3">
            <w:pPr>
              <w:pStyle w:val="TableText"/>
            </w:pPr>
            <w:r w:rsidRPr="00113FA3">
              <w:t>This understanding must span the breadth of the community, including the different sub-communities that may exist, to ensure the understanding reflects all needs (not just those who can advocate most effectively).</w:t>
            </w:r>
            <w:r w:rsidR="00200DC1" w:rsidRPr="00113FA3">
              <w:t xml:space="preserve"> </w:t>
            </w:r>
            <w:r w:rsidR="00D3733F" w:rsidRPr="00D3733F">
              <w:t>To ensure Transformation Feature 1 is realised, the process must document</w:t>
            </w:r>
            <w:r w:rsidR="00D3733F">
              <w:t xml:space="preserve"> </w:t>
            </w:r>
            <w:r w:rsidR="00B63138" w:rsidRPr="00113FA3">
              <w:t xml:space="preserve">existing community choice and access. </w:t>
            </w:r>
          </w:p>
        </w:tc>
        <w:tc>
          <w:tcPr>
            <w:tcW w:w="1984" w:type="dxa"/>
          </w:tcPr>
          <w:p w14:paraId="13A4F6A5" w14:textId="77777777" w:rsidR="00384694" w:rsidRPr="00113FA3" w:rsidRDefault="00384694" w:rsidP="008C75B3">
            <w:pPr>
              <w:pStyle w:val="TableText"/>
            </w:pPr>
            <w:r w:rsidRPr="00113FA3">
              <w:t>Lead entity</w:t>
            </w:r>
            <w:r w:rsidR="00B91F0F" w:rsidRPr="00113FA3">
              <w:t>/s</w:t>
            </w:r>
          </w:p>
        </w:tc>
        <w:tc>
          <w:tcPr>
            <w:tcW w:w="1985" w:type="dxa"/>
          </w:tcPr>
          <w:p w14:paraId="3A96CE31" w14:textId="77777777" w:rsidR="00384694" w:rsidRPr="00113FA3" w:rsidRDefault="00384694" w:rsidP="008C75B3">
            <w:pPr>
              <w:pStyle w:val="TableText"/>
            </w:pPr>
            <w:r w:rsidRPr="00113FA3">
              <w:t xml:space="preserve">Affiliates </w:t>
            </w:r>
          </w:p>
          <w:p w14:paraId="4670F4C2" w14:textId="77777777" w:rsidR="00384694" w:rsidRPr="00113FA3" w:rsidRDefault="00384694" w:rsidP="008C75B3">
            <w:pPr>
              <w:pStyle w:val="TableText"/>
            </w:pPr>
            <w:r w:rsidRPr="00113FA3">
              <w:t>NACCHO</w:t>
            </w:r>
          </w:p>
          <w:p w14:paraId="766A90D6" w14:textId="77777777" w:rsidR="00384694" w:rsidRPr="00113FA3" w:rsidRDefault="00384694" w:rsidP="008C75B3">
            <w:pPr>
              <w:pStyle w:val="TableText"/>
            </w:pPr>
            <w:r w:rsidRPr="00113FA3">
              <w:t>PHNs</w:t>
            </w:r>
          </w:p>
          <w:p w14:paraId="71436431" w14:textId="77777777" w:rsidR="00384694" w:rsidRPr="00113FA3" w:rsidRDefault="00384694" w:rsidP="008C75B3">
            <w:pPr>
              <w:pStyle w:val="TableText"/>
            </w:pPr>
            <w:r w:rsidRPr="00113FA3">
              <w:t xml:space="preserve">Local community </w:t>
            </w:r>
          </w:p>
          <w:p w14:paraId="41678EC8" w14:textId="77777777" w:rsidR="00A967C2" w:rsidRPr="00113FA3" w:rsidRDefault="00A967C2" w:rsidP="008C75B3">
            <w:pPr>
              <w:pStyle w:val="TableText"/>
            </w:pPr>
            <w:r w:rsidRPr="00113FA3">
              <w:t>NTCO</w:t>
            </w:r>
          </w:p>
        </w:tc>
      </w:tr>
      <w:tr w:rsidR="0099085C" w:rsidRPr="00113FA3" w14:paraId="5BA80CB6" w14:textId="77777777" w:rsidTr="00D456E7">
        <w:trPr>
          <w:cantSplit/>
        </w:trPr>
        <w:tc>
          <w:tcPr>
            <w:tcW w:w="983" w:type="dxa"/>
          </w:tcPr>
          <w:p w14:paraId="14B3E52D" w14:textId="77777777" w:rsidR="0099085C" w:rsidRPr="00113FA3" w:rsidRDefault="00F14B05" w:rsidP="008C75B3">
            <w:pPr>
              <w:pStyle w:val="TableText"/>
            </w:pPr>
            <w:r>
              <w:t>4</w:t>
            </w:r>
            <w:r w:rsidR="005E43E3" w:rsidRPr="00113FA3">
              <w:t>.</w:t>
            </w:r>
          </w:p>
        </w:tc>
        <w:tc>
          <w:tcPr>
            <w:tcW w:w="9639" w:type="dxa"/>
          </w:tcPr>
          <w:p w14:paraId="546B9A6E" w14:textId="77777777" w:rsidR="0099085C" w:rsidRPr="00113FA3" w:rsidRDefault="00384694" w:rsidP="008C75B3">
            <w:pPr>
              <w:pStyle w:val="TableText"/>
            </w:pPr>
            <w:r w:rsidRPr="00113FA3">
              <w:rPr>
                <w:b/>
              </w:rPr>
              <w:t>Design</w:t>
            </w:r>
            <w:r w:rsidR="003A6508" w:rsidRPr="00113FA3">
              <w:rPr>
                <w:b/>
              </w:rPr>
              <w:t>ing</w:t>
            </w:r>
            <w:r w:rsidR="0099085C" w:rsidRPr="00113FA3">
              <w:rPr>
                <w:b/>
              </w:rPr>
              <w:t xml:space="preserve"> of the </w:t>
            </w:r>
            <w:r w:rsidR="00FC128B" w:rsidRPr="00113FA3">
              <w:rPr>
                <w:b/>
              </w:rPr>
              <w:t>Relevant Health Programs</w:t>
            </w:r>
            <w:r w:rsidR="0099085C" w:rsidRPr="00113FA3">
              <w:rPr>
                <w:b/>
              </w:rPr>
              <w:t xml:space="preserve"> to meet the needs of the community.</w:t>
            </w:r>
            <w:r w:rsidR="0099085C" w:rsidRPr="00113FA3">
              <w:t xml:space="preserve"> The process of design must prioritise genuine co-design, which includes the different sub-communities that may exist to ensure the design process reflect</w:t>
            </w:r>
            <w:r w:rsidR="004871CA" w:rsidRPr="00113FA3">
              <w:t>s</w:t>
            </w:r>
            <w:r w:rsidR="0099085C" w:rsidRPr="00113FA3">
              <w:t xml:space="preserve"> all needs (not just those who are able to advocate most effectively)</w:t>
            </w:r>
            <w:r w:rsidR="004871CA" w:rsidRPr="00113FA3">
              <w:t>.</w:t>
            </w:r>
          </w:p>
        </w:tc>
        <w:tc>
          <w:tcPr>
            <w:tcW w:w="1984" w:type="dxa"/>
          </w:tcPr>
          <w:p w14:paraId="3F1058CF" w14:textId="77777777" w:rsidR="0099085C" w:rsidRPr="00113FA3" w:rsidRDefault="0099085C" w:rsidP="008C75B3">
            <w:pPr>
              <w:pStyle w:val="TableText"/>
            </w:pPr>
            <w:r w:rsidRPr="00113FA3">
              <w:t>Lead entity</w:t>
            </w:r>
            <w:r w:rsidR="00B91F0F" w:rsidRPr="00113FA3">
              <w:t>/s</w:t>
            </w:r>
          </w:p>
        </w:tc>
        <w:tc>
          <w:tcPr>
            <w:tcW w:w="1985" w:type="dxa"/>
          </w:tcPr>
          <w:p w14:paraId="712BD7C9" w14:textId="77777777" w:rsidR="0099085C" w:rsidRPr="00113FA3" w:rsidRDefault="0099085C" w:rsidP="008C75B3">
            <w:pPr>
              <w:pStyle w:val="TableText"/>
            </w:pPr>
            <w:r w:rsidRPr="00113FA3">
              <w:t xml:space="preserve">Affiliates </w:t>
            </w:r>
          </w:p>
          <w:p w14:paraId="3A022B03" w14:textId="77777777" w:rsidR="0099085C" w:rsidRPr="00113FA3" w:rsidRDefault="0099085C" w:rsidP="008C75B3">
            <w:pPr>
              <w:pStyle w:val="TableText"/>
            </w:pPr>
            <w:r w:rsidRPr="00113FA3">
              <w:t>NACCHO</w:t>
            </w:r>
          </w:p>
          <w:p w14:paraId="0038E8A3" w14:textId="77777777" w:rsidR="0099085C" w:rsidRPr="00113FA3" w:rsidRDefault="0099085C" w:rsidP="008C75B3">
            <w:pPr>
              <w:pStyle w:val="TableText"/>
            </w:pPr>
            <w:r w:rsidRPr="00113FA3">
              <w:t>PHNs</w:t>
            </w:r>
          </w:p>
          <w:p w14:paraId="224160D3" w14:textId="77777777" w:rsidR="00654612" w:rsidRPr="00113FA3" w:rsidRDefault="00654612" w:rsidP="008C75B3">
            <w:pPr>
              <w:pStyle w:val="TableText"/>
            </w:pPr>
            <w:r w:rsidRPr="00113FA3">
              <w:t>NTCO</w:t>
            </w:r>
          </w:p>
          <w:p w14:paraId="412C4D8E" w14:textId="77777777" w:rsidR="0099085C" w:rsidRPr="00113FA3" w:rsidRDefault="0099085C" w:rsidP="008C75B3">
            <w:pPr>
              <w:pStyle w:val="TableText"/>
            </w:pPr>
            <w:r w:rsidRPr="00113FA3">
              <w:t>Local community</w:t>
            </w:r>
          </w:p>
        </w:tc>
      </w:tr>
      <w:tr w:rsidR="00473DC7" w:rsidRPr="00113FA3" w14:paraId="0D6383FC" w14:textId="77777777" w:rsidTr="00D456E7">
        <w:trPr>
          <w:cantSplit/>
        </w:trPr>
        <w:tc>
          <w:tcPr>
            <w:tcW w:w="983" w:type="dxa"/>
          </w:tcPr>
          <w:p w14:paraId="58FC90EF" w14:textId="77777777" w:rsidR="00473DC7" w:rsidRPr="00113FA3" w:rsidRDefault="00F14B05" w:rsidP="008C75B3">
            <w:pPr>
              <w:pStyle w:val="TableText"/>
            </w:pPr>
            <w:r>
              <w:t>5</w:t>
            </w:r>
            <w:r w:rsidR="005E43E3" w:rsidRPr="00113FA3">
              <w:t>.</w:t>
            </w:r>
          </w:p>
        </w:tc>
        <w:tc>
          <w:tcPr>
            <w:tcW w:w="9639" w:type="dxa"/>
          </w:tcPr>
          <w:p w14:paraId="6C511376" w14:textId="77777777" w:rsidR="00473DC7" w:rsidRPr="00113FA3" w:rsidRDefault="00C61291" w:rsidP="008C75B3">
            <w:pPr>
              <w:pStyle w:val="TableText"/>
            </w:pPr>
            <w:r w:rsidRPr="00113FA3">
              <w:rPr>
                <w:b/>
              </w:rPr>
              <w:t>I</w:t>
            </w:r>
            <w:r w:rsidR="00BB2447" w:rsidRPr="00113FA3">
              <w:rPr>
                <w:b/>
              </w:rPr>
              <w:t>nvestment</w:t>
            </w:r>
            <w:r w:rsidRPr="00113FA3">
              <w:rPr>
                <w:b/>
              </w:rPr>
              <w:t xml:space="preserve"> of resources to enable the </w:t>
            </w:r>
            <w:r w:rsidR="004871CA" w:rsidRPr="00113FA3">
              <w:rPr>
                <w:b/>
              </w:rPr>
              <w:t>l</w:t>
            </w:r>
            <w:r w:rsidRPr="00113FA3">
              <w:rPr>
                <w:b/>
              </w:rPr>
              <w:t xml:space="preserve">ead </w:t>
            </w:r>
            <w:r w:rsidR="004871CA" w:rsidRPr="00113FA3">
              <w:rPr>
                <w:b/>
              </w:rPr>
              <w:t>e</w:t>
            </w:r>
            <w:r w:rsidRPr="00113FA3">
              <w:rPr>
                <w:b/>
              </w:rPr>
              <w:t>ntity</w:t>
            </w:r>
            <w:r w:rsidR="006C5333" w:rsidRPr="00113FA3">
              <w:rPr>
                <w:b/>
              </w:rPr>
              <w:t>/s</w:t>
            </w:r>
            <w:r w:rsidR="00F675D0" w:rsidRPr="00113FA3">
              <w:t xml:space="preserve"> </w:t>
            </w:r>
            <w:r w:rsidR="00B453E2" w:rsidRPr="00113FA3">
              <w:t>to establish the funding arrangement</w:t>
            </w:r>
            <w:r w:rsidR="006D1019" w:rsidRPr="00113FA3">
              <w:t xml:space="preserve"> (including, but not limited to, investment of resources to support community needs assessment)</w:t>
            </w:r>
            <w:r w:rsidR="00BB2447" w:rsidRPr="00113FA3">
              <w:t>.</w:t>
            </w:r>
          </w:p>
        </w:tc>
        <w:tc>
          <w:tcPr>
            <w:tcW w:w="1984" w:type="dxa"/>
          </w:tcPr>
          <w:p w14:paraId="7D64929F" w14:textId="77777777" w:rsidR="00473DC7" w:rsidRPr="00113FA3" w:rsidRDefault="00451DB6" w:rsidP="008C75B3">
            <w:pPr>
              <w:pStyle w:val="TableText"/>
            </w:pPr>
            <w:r w:rsidRPr="00113FA3">
              <w:t>DoHAC</w:t>
            </w:r>
            <w:r w:rsidR="00654612" w:rsidRPr="00113FA3">
              <w:t>/NTCO</w:t>
            </w:r>
          </w:p>
        </w:tc>
        <w:tc>
          <w:tcPr>
            <w:tcW w:w="1985" w:type="dxa"/>
          </w:tcPr>
          <w:p w14:paraId="1659C83D" w14:textId="77777777" w:rsidR="00473DC7" w:rsidRPr="00113FA3" w:rsidRDefault="00B453E2" w:rsidP="008C75B3">
            <w:pPr>
              <w:pStyle w:val="TableText"/>
            </w:pPr>
            <w:r w:rsidRPr="00113FA3">
              <w:t xml:space="preserve">Lead </w:t>
            </w:r>
            <w:r w:rsidR="004871CA" w:rsidRPr="00113FA3">
              <w:t>e</w:t>
            </w:r>
            <w:r w:rsidRPr="00113FA3">
              <w:t>ntity</w:t>
            </w:r>
            <w:r w:rsidR="00B91F0F" w:rsidRPr="00113FA3">
              <w:t>/s</w:t>
            </w:r>
          </w:p>
        </w:tc>
      </w:tr>
      <w:tr w:rsidR="0012676C" w:rsidRPr="00113FA3" w14:paraId="7252F269" w14:textId="77777777" w:rsidTr="00D456E7">
        <w:trPr>
          <w:cantSplit/>
        </w:trPr>
        <w:tc>
          <w:tcPr>
            <w:tcW w:w="983" w:type="dxa"/>
          </w:tcPr>
          <w:p w14:paraId="3DCB1A63" w14:textId="77777777" w:rsidR="0012676C" w:rsidRPr="00113FA3" w:rsidRDefault="00F14B05" w:rsidP="008C75B3">
            <w:pPr>
              <w:pStyle w:val="TableText"/>
            </w:pPr>
            <w:r>
              <w:t>6</w:t>
            </w:r>
            <w:r w:rsidR="005E43E3" w:rsidRPr="00113FA3">
              <w:t>.</w:t>
            </w:r>
          </w:p>
        </w:tc>
        <w:tc>
          <w:tcPr>
            <w:tcW w:w="9639" w:type="dxa"/>
          </w:tcPr>
          <w:p w14:paraId="33C01884" w14:textId="77777777" w:rsidR="0012676C" w:rsidRPr="00113FA3" w:rsidRDefault="0012676C" w:rsidP="008C75B3">
            <w:pPr>
              <w:pStyle w:val="TableText"/>
            </w:pPr>
            <w:r w:rsidRPr="00113FA3">
              <w:rPr>
                <w:b/>
              </w:rPr>
              <w:t xml:space="preserve">Development of a </w:t>
            </w:r>
            <w:r w:rsidR="004871CA" w:rsidRPr="00113FA3">
              <w:rPr>
                <w:b/>
              </w:rPr>
              <w:t>l</w:t>
            </w:r>
            <w:r w:rsidRPr="00113FA3">
              <w:rPr>
                <w:b/>
              </w:rPr>
              <w:t xml:space="preserve">ead </w:t>
            </w:r>
            <w:r w:rsidR="004871CA" w:rsidRPr="00113FA3">
              <w:rPr>
                <w:b/>
              </w:rPr>
              <w:t>e</w:t>
            </w:r>
            <w:r w:rsidRPr="00113FA3">
              <w:rPr>
                <w:b/>
              </w:rPr>
              <w:t xml:space="preserve">ntity </w:t>
            </w:r>
            <w:r w:rsidRPr="00113FA3" w:rsidDel="00433F02">
              <w:rPr>
                <w:b/>
              </w:rPr>
              <w:t xml:space="preserve">transition </w:t>
            </w:r>
            <w:r w:rsidRPr="00113FA3">
              <w:rPr>
                <w:b/>
              </w:rPr>
              <w:t>plan (including timing)</w:t>
            </w:r>
            <w:r w:rsidRPr="00113FA3">
              <w:t xml:space="preserve"> to enable the transition of existing arrangements for the </w:t>
            </w:r>
            <w:r w:rsidR="004871CA" w:rsidRPr="00113FA3">
              <w:t>R</w:t>
            </w:r>
            <w:r w:rsidRPr="00113FA3">
              <w:t xml:space="preserve">elevant </w:t>
            </w:r>
            <w:r w:rsidR="004871CA" w:rsidRPr="00113FA3">
              <w:t>H</w:t>
            </w:r>
            <w:r w:rsidRPr="00113FA3">
              <w:t xml:space="preserve">ealth </w:t>
            </w:r>
            <w:r w:rsidR="004871CA" w:rsidRPr="00113FA3">
              <w:t>Programs</w:t>
            </w:r>
            <w:r w:rsidRPr="00113FA3">
              <w:t xml:space="preserve"> from PHNs to the </w:t>
            </w:r>
            <w:r w:rsidR="004871CA" w:rsidRPr="00113FA3">
              <w:t>le</w:t>
            </w:r>
            <w:r w:rsidRPr="00113FA3">
              <w:t xml:space="preserve">ad </w:t>
            </w:r>
            <w:r w:rsidR="004871CA" w:rsidRPr="00113FA3">
              <w:t>e</w:t>
            </w:r>
            <w:r w:rsidRPr="00113FA3">
              <w:t>ntity</w:t>
            </w:r>
            <w:r w:rsidR="006C5333" w:rsidRPr="00113FA3">
              <w:t>/s</w:t>
            </w:r>
            <w:r w:rsidRPr="00113FA3">
              <w:t xml:space="preserve">. </w:t>
            </w:r>
          </w:p>
        </w:tc>
        <w:tc>
          <w:tcPr>
            <w:tcW w:w="1984" w:type="dxa"/>
          </w:tcPr>
          <w:p w14:paraId="6B793D8B" w14:textId="77777777" w:rsidR="0012676C" w:rsidRPr="00113FA3" w:rsidRDefault="0012676C" w:rsidP="008C75B3">
            <w:pPr>
              <w:pStyle w:val="TableText"/>
            </w:pPr>
            <w:r w:rsidRPr="00113FA3">
              <w:t xml:space="preserve">Lead </w:t>
            </w:r>
            <w:r w:rsidR="004871CA" w:rsidRPr="00113FA3">
              <w:t>e</w:t>
            </w:r>
            <w:r w:rsidRPr="00113FA3">
              <w:t>ntity</w:t>
            </w:r>
            <w:r w:rsidR="00B91F0F" w:rsidRPr="00113FA3">
              <w:t>/s</w:t>
            </w:r>
            <w:r w:rsidRPr="00113FA3">
              <w:t xml:space="preserve"> </w:t>
            </w:r>
          </w:p>
        </w:tc>
        <w:tc>
          <w:tcPr>
            <w:tcW w:w="1985" w:type="dxa"/>
          </w:tcPr>
          <w:p w14:paraId="253AE32D" w14:textId="77777777" w:rsidR="0012676C" w:rsidRPr="00113FA3" w:rsidRDefault="0012676C" w:rsidP="008C75B3">
            <w:pPr>
              <w:pStyle w:val="TableText"/>
            </w:pPr>
            <w:r w:rsidRPr="00113FA3">
              <w:t>Health/NTCO</w:t>
            </w:r>
          </w:p>
          <w:p w14:paraId="5F29FB8E" w14:textId="77777777" w:rsidR="0012676C" w:rsidRPr="00113FA3" w:rsidRDefault="0012676C" w:rsidP="008C75B3">
            <w:pPr>
              <w:pStyle w:val="TableText"/>
            </w:pPr>
            <w:r w:rsidRPr="00113FA3">
              <w:t xml:space="preserve">Affiliates </w:t>
            </w:r>
          </w:p>
          <w:p w14:paraId="68A457FE" w14:textId="77777777" w:rsidR="0012676C" w:rsidRPr="00113FA3" w:rsidRDefault="0012676C" w:rsidP="008C75B3">
            <w:pPr>
              <w:pStyle w:val="TableText"/>
            </w:pPr>
            <w:r w:rsidRPr="00113FA3">
              <w:t>NACCHO</w:t>
            </w:r>
          </w:p>
          <w:p w14:paraId="03D08A36" w14:textId="77777777" w:rsidR="0012676C" w:rsidRPr="00113FA3" w:rsidRDefault="0012676C" w:rsidP="008C75B3">
            <w:pPr>
              <w:pStyle w:val="TableText"/>
            </w:pPr>
            <w:r w:rsidRPr="00113FA3">
              <w:t>PHN</w:t>
            </w:r>
          </w:p>
        </w:tc>
      </w:tr>
      <w:tr w:rsidR="00450356" w:rsidRPr="00113FA3" w14:paraId="30B62221" w14:textId="77777777" w:rsidTr="00D456E7">
        <w:trPr>
          <w:cantSplit/>
        </w:trPr>
        <w:tc>
          <w:tcPr>
            <w:tcW w:w="983" w:type="dxa"/>
          </w:tcPr>
          <w:p w14:paraId="732A9A35" w14:textId="77777777" w:rsidR="00450356" w:rsidRPr="00113FA3" w:rsidRDefault="00F14B05" w:rsidP="008C75B3">
            <w:pPr>
              <w:pStyle w:val="TableText"/>
            </w:pPr>
            <w:r>
              <w:t>7</w:t>
            </w:r>
            <w:r w:rsidR="00450356" w:rsidRPr="00113FA3">
              <w:t>.</w:t>
            </w:r>
          </w:p>
        </w:tc>
        <w:tc>
          <w:tcPr>
            <w:tcW w:w="9639" w:type="dxa"/>
          </w:tcPr>
          <w:p w14:paraId="446ACB08" w14:textId="77777777" w:rsidR="00450356" w:rsidRPr="00113FA3" w:rsidRDefault="00450356" w:rsidP="008C75B3">
            <w:pPr>
              <w:pStyle w:val="TableText"/>
              <w:rPr>
                <w:rFonts w:ascii="Calibri" w:hAnsi="Calibri" w:cs="Calibri"/>
                <w:b/>
              </w:rPr>
            </w:pPr>
            <w:r w:rsidRPr="00113FA3">
              <w:rPr>
                <w:b/>
              </w:rPr>
              <w:t>Communication</w:t>
            </w:r>
            <w:r w:rsidRPr="00113FA3">
              <w:t xml:space="preserve"> to all contracted service providers, notifying them of the agreed transition process.</w:t>
            </w:r>
          </w:p>
        </w:tc>
        <w:tc>
          <w:tcPr>
            <w:tcW w:w="1984" w:type="dxa"/>
          </w:tcPr>
          <w:p w14:paraId="4FFBBB69" w14:textId="77777777" w:rsidR="00450356" w:rsidRPr="00113FA3" w:rsidRDefault="00451DB6" w:rsidP="008C75B3">
            <w:pPr>
              <w:pStyle w:val="TableText"/>
            </w:pPr>
            <w:r w:rsidRPr="00113FA3">
              <w:t>DoHAC</w:t>
            </w:r>
            <w:r w:rsidR="00450356" w:rsidRPr="00113FA3">
              <w:t>/NCTO</w:t>
            </w:r>
          </w:p>
        </w:tc>
        <w:tc>
          <w:tcPr>
            <w:tcW w:w="1985" w:type="dxa"/>
          </w:tcPr>
          <w:p w14:paraId="07518C41" w14:textId="77777777" w:rsidR="00450356" w:rsidRPr="00113FA3" w:rsidRDefault="00450356" w:rsidP="008C75B3">
            <w:pPr>
              <w:pStyle w:val="TableText"/>
            </w:pPr>
            <w:r w:rsidRPr="00113FA3">
              <w:t>Lead entity</w:t>
            </w:r>
            <w:r w:rsidR="00B91F0F" w:rsidRPr="00113FA3">
              <w:t>/s</w:t>
            </w:r>
          </w:p>
          <w:p w14:paraId="5E7E5CAC" w14:textId="77777777" w:rsidR="00450356" w:rsidRPr="00113FA3" w:rsidRDefault="00450356" w:rsidP="008C75B3">
            <w:pPr>
              <w:pStyle w:val="TableText"/>
            </w:pPr>
            <w:r w:rsidRPr="00113FA3">
              <w:t>PHN</w:t>
            </w:r>
          </w:p>
        </w:tc>
      </w:tr>
    </w:tbl>
    <w:p w14:paraId="56481830" w14:textId="77777777" w:rsidR="00D456E7" w:rsidRDefault="00D456E7" w:rsidP="00292E56">
      <w:pPr>
        <w:pStyle w:val="BodyText"/>
      </w:pPr>
    </w:p>
    <w:p w14:paraId="26D4DF3A" w14:textId="19C699AE" w:rsidR="00F923B6" w:rsidRPr="007600D9" w:rsidRDefault="00450356" w:rsidP="008C75B3">
      <w:pPr>
        <w:pStyle w:val="Heading4"/>
      </w:pPr>
      <w:r w:rsidRPr="00450356">
        <w:t xml:space="preserve">Phase </w:t>
      </w:r>
      <w:r w:rsidR="00173776">
        <w:t>5</w:t>
      </w:r>
      <w:r w:rsidRPr="00450356">
        <w:t xml:space="preserve">: National </w:t>
      </w:r>
      <w:r w:rsidR="00113FA3">
        <w:t>t</w:t>
      </w:r>
      <w:r w:rsidRPr="00450356">
        <w:t>ransition</w:t>
      </w:r>
    </w:p>
    <w:p w14:paraId="4F847C3A" w14:textId="070D9733" w:rsidR="008C0181" w:rsidRPr="007600D9" w:rsidRDefault="00681BD7" w:rsidP="008C75B3">
      <w:pPr>
        <w:pStyle w:val="BodyText"/>
      </w:pPr>
      <w:r w:rsidRPr="007600D9">
        <w:t xml:space="preserve">The purpose of Phase </w:t>
      </w:r>
      <w:r w:rsidR="00173776">
        <w:t>5</w:t>
      </w:r>
      <w:r w:rsidR="00450356" w:rsidRPr="007600D9">
        <w:t xml:space="preserve"> </w:t>
      </w:r>
      <w:r w:rsidRPr="007600D9">
        <w:t xml:space="preserve">is to </w:t>
      </w:r>
      <w:r w:rsidR="00E24DD4" w:rsidRPr="007600D9">
        <w:t xml:space="preserve">execute </w:t>
      </w:r>
      <w:r w:rsidR="0012676C" w:rsidRPr="007600D9">
        <w:t>the</w:t>
      </w:r>
      <w:r w:rsidR="00E24DD4" w:rsidRPr="007600D9">
        <w:t xml:space="preserve"> </w:t>
      </w:r>
      <w:r w:rsidRPr="007600D9">
        <w:t xml:space="preserve">transition </w:t>
      </w:r>
      <w:r w:rsidR="0012676C" w:rsidRPr="007600D9">
        <w:t xml:space="preserve">of </w:t>
      </w:r>
      <w:r w:rsidRPr="007600D9">
        <w:t xml:space="preserve">funding arrangements of the refined </w:t>
      </w:r>
      <w:r w:rsidR="004871CA" w:rsidRPr="007600D9">
        <w:t>R</w:t>
      </w:r>
      <w:r w:rsidRPr="007600D9">
        <w:t xml:space="preserve">elevant </w:t>
      </w:r>
      <w:r w:rsidR="004871CA" w:rsidRPr="007600D9">
        <w:t>H</w:t>
      </w:r>
      <w:r w:rsidRPr="007600D9">
        <w:t xml:space="preserve">ealth </w:t>
      </w:r>
      <w:r w:rsidR="004871CA" w:rsidRPr="007600D9">
        <w:t>Programs</w:t>
      </w:r>
      <w:r w:rsidRPr="007600D9">
        <w:t xml:space="preserve"> from</w:t>
      </w:r>
      <w:r w:rsidR="00450356" w:rsidRPr="00450356">
        <w:t xml:space="preserve"> PHNs to the lead entity</w:t>
      </w:r>
      <w:r w:rsidR="00B91F0F">
        <w:t>/s</w:t>
      </w:r>
      <w:r w:rsidR="00450356">
        <w:t xml:space="preserve"> </w:t>
      </w:r>
      <w:r w:rsidRPr="007600D9">
        <w:t xml:space="preserve">identified in Phase </w:t>
      </w:r>
      <w:r w:rsidR="00173776">
        <w:t>4</w:t>
      </w:r>
      <w:r w:rsidRPr="007600D9">
        <w:t>.</w:t>
      </w:r>
      <w:r w:rsidR="00D456E7">
        <w:t xml:space="preserve"> T</w:t>
      </w:r>
      <w:r w:rsidR="00D456E7" w:rsidRPr="00D456E7">
        <w:t xml:space="preserve">he key features of Phase </w:t>
      </w:r>
      <w:r w:rsidR="00D456E7">
        <w:t>5</w:t>
      </w:r>
      <w:r w:rsidR="00D456E7" w:rsidRPr="00D456E7">
        <w:t xml:space="preserve"> are set out in </w:t>
      </w:r>
      <w:r w:rsidR="00D456E7">
        <w:fldChar w:fldCharType="begin"/>
      </w:r>
      <w:r w:rsidR="00D456E7">
        <w:instrText xml:space="preserve"> REF _Ref151817029 \h </w:instrText>
      </w:r>
      <w:r w:rsidR="00D456E7">
        <w:fldChar w:fldCharType="separate"/>
      </w:r>
      <w:r w:rsidR="00934D5E" w:rsidRPr="007600D9">
        <w:t xml:space="preserve">Table </w:t>
      </w:r>
      <w:r w:rsidR="00934D5E">
        <w:rPr>
          <w:noProof/>
        </w:rPr>
        <w:t>5</w:t>
      </w:r>
      <w:r w:rsidR="00D456E7">
        <w:fldChar w:fldCharType="end"/>
      </w:r>
      <w:r w:rsidR="00D456E7" w:rsidRPr="00D456E7">
        <w:t xml:space="preserve"> below</w:t>
      </w:r>
      <w:r w:rsidR="00D456E7">
        <w:t>.</w:t>
      </w:r>
    </w:p>
    <w:p w14:paraId="289E93D7" w14:textId="77777777" w:rsidR="00D316F0" w:rsidRPr="007600D9" w:rsidRDefault="00D316F0" w:rsidP="008C75B3">
      <w:pPr>
        <w:pStyle w:val="BodyText"/>
      </w:pPr>
      <w:r w:rsidRPr="007600D9">
        <w:rPr>
          <w:b/>
          <w:bCs/>
        </w:rPr>
        <w:t xml:space="preserve">Note: </w:t>
      </w:r>
      <w:r w:rsidRPr="007600D9">
        <w:t xml:space="preserve">The activities identified below are in addition to those listed in Phase </w:t>
      </w:r>
      <w:r w:rsidR="00173776">
        <w:t>1</w:t>
      </w:r>
      <w:r w:rsidRPr="007600D9">
        <w:t xml:space="preserve">. For example, the NTCO will be responsible for continuing to coordinate and engage throughout this </w:t>
      </w:r>
      <w:r w:rsidR="004871CA" w:rsidRPr="007600D9">
        <w:t>p</w:t>
      </w:r>
      <w:r w:rsidRPr="007600D9">
        <w:t>hase.</w:t>
      </w:r>
    </w:p>
    <w:p w14:paraId="669A5F9E" w14:textId="2478398E" w:rsidR="00795026" w:rsidRPr="007600D9" w:rsidRDefault="00795026" w:rsidP="00795026">
      <w:pPr>
        <w:pStyle w:val="CaptionTable"/>
        <w:rPr>
          <w:b w:val="0"/>
          <w:bCs/>
        </w:rPr>
      </w:pPr>
      <w:bookmarkStart w:id="151" w:name="_Ref151817029"/>
      <w:bookmarkStart w:id="152" w:name="_Toc145604947"/>
      <w:bookmarkStart w:id="153" w:name="_Toc156932075"/>
      <w:r w:rsidRPr="007600D9">
        <w:lastRenderedPageBreak/>
        <w:t xml:space="preserve">Table </w:t>
      </w:r>
      <w:r w:rsidRPr="007600D9">
        <w:fldChar w:fldCharType="begin"/>
      </w:r>
      <w:r w:rsidRPr="007600D9">
        <w:instrText xml:space="preserve"> SEQ Table \* ARABIC </w:instrText>
      </w:r>
      <w:r w:rsidRPr="007600D9">
        <w:fldChar w:fldCharType="separate"/>
      </w:r>
      <w:r w:rsidR="00934D5E">
        <w:rPr>
          <w:noProof/>
        </w:rPr>
        <w:t>5</w:t>
      </w:r>
      <w:r w:rsidRPr="007600D9">
        <w:fldChar w:fldCharType="end"/>
      </w:r>
      <w:bookmarkEnd w:id="151"/>
      <w:r w:rsidRPr="007600D9">
        <w:t xml:space="preserve">: Key features of Phase </w:t>
      </w:r>
      <w:r w:rsidR="00173776">
        <w:t>5</w:t>
      </w:r>
      <w:bookmarkEnd w:id="152"/>
      <w:bookmarkEnd w:id="153"/>
    </w:p>
    <w:tbl>
      <w:tblPr>
        <w:tblStyle w:val="Newtableforresport"/>
        <w:tblW w:w="14591" w:type="dxa"/>
        <w:tblInd w:w="10" w:type="dxa"/>
        <w:tblLayout w:type="fixed"/>
        <w:tblLook w:val="0620" w:firstRow="1" w:lastRow="0" w:firstColumn="0" w:lastColumn="0" w:noHBand="1" w:noVBand="1"/>
        <w:tblCaption w:val="Table 5: Key features of phase 5"/>
        <w:tblDescription w:val="The table provides information on different transition activities in Phase 5 of the transition plan. &#10;&#10;The first column lists the number of activities. For example '1.' is in the first activity row, and '2.' is in the second activity row. The second column lists transition activities. The third column lists the lead entity responsible for the transition activity. For example, the Department of Health and Aged Care is responsible for continued investment to the lead entity/s, Primary Health Networks and other relevant stakeholders. The fourth column lists the support entity responsible for the transition activity. For example,  the Department of Health and Aged Care and the National Transition Coordination Office would support the lead entity with the execution of the lead entity transition plan."/>
      </w:tblPr>
      <w:tblGrid>
        <w:gridCol w:w="983"/>
        <w:gridCol w:w="9639"/>
        <w:gridCol w:w="1984"/>
        <w:gridCol w:w="1985"/>
      </w:tblGrid>
      <w:tr w:rsidR="00681BD7" w:rsidRPr="007600D9" w14:paraId="5AA74EAA" w14:textId="77777777" w:rsidTr="00D456E7">
        <w:trPr>
          <w:cnfStyle w:val="100000000000" w:firstRow="1" w:lastRow="0" w:firstColumn="0" w:lastColumn="0" w:oddVBand="0" w:evenVBand="0" w:oddHBand="0" w:evenHBand="0" w:firstRowFirstColumn="0" w:firstRowLastColumn="0" w:lastRowFirstColumn="0" w:lastRowLastColumn="0"/>
          <w:tblHeader/>
        </w:trPr>
        <w:tc>
          <w:tcPr>
            <w:tcW w:w="983" w:type="dxa"/>
          </w:tcPr>
          <w:p w14:paraId="4B53194C" w14:textId="77777777" w:rsidR="00681BD7" w:rsidRPr="007600D9" w:rsidRDefault="00681BD7" w:rsidP="00024E8D">
            <w:pPr>
              <w:pStyle w:val="TableHeading"/>
              <w:rPr>
                <w:b w:val="0"/>
              </w:rPr>
            </w:pPr>
            <w:r w:rsidRPr="007600D9">
              <w:t>Number</w:t>
            </w:r>
          </w:p>
        </w:tc>
        <w:tc>
          <w:tcPr>
            <w:tcW w:w="9639" w:type="dxa"/>
          </w:tcPr>
          <w:p w14:paraId="4DFE5DD6" w14:textId="77777777" w:rsidR="00681BD7" w:rsidRPr="007600D9" w:rsidRDefault="00681BD7" w:rsidP="00024E8D">
            <w:pPr>
              <w:pStyle w:val="TableHeading"/>
              <w:rPr>
                <w:b w:val="0"/>
              </w:rPr>
            </w:pPr>
            <w:r w:rsidRPr="007600D9">
              <w:t>Activity</w:t>
            </w:r>
          </w:p>
        </w:tc>
        <w:tc>
          <w:tcPr>
            <w:tcW w:w="1984" w:type="dxa"/>
          </w:tcPr>
          <w:p w14:paraId="3262C3CB" w14:textId="77777777" w:rsidR="00681BD7" w:rsidRPr="007600D9" w:rsidRDefault="00681BD7" w:rsidP="00024E8D">
            <w:pPr>
              <w:pStyle w:val="TableHeading"/>
              <w:rPr>
                <w:b w:val="0"/>
              </w:rPr>
            </w:pPr>
            <w:r w:rsidRPr="007600D9">
              <w:t xml:space="preserve">Responsible </w:t>
            </w:r>
            <w:r w:rsidR="0071657A" w:rsidRPr="007600D9">
              <w:t>e</w:t>
            </w:r>
            <w:r w:rsidRPr="007600D9">
              <w:t>ntity (</w:t>
            </w:r>
            <w:r w:rsidR="0071657A" w:rsidRPr="007600D9">
              <w:t>l</w:t>
            </w:r>
            <w:r w:rsidRPr="007600D9">
              <w:t>ead)</w:t>
            </w:r>
          </w:p>
        </w:tc>
        <w:tc>
          <w:tcPr>
            <w:tcW w:w="1985" w:type="dxa"/>
          </w:tcPr>
          <w:p w14:paraId="11FE0F8D" w14:textId="77777777" w:rsidR="00681BD7" w:rsidRPr="007600D9" w:rsidRDefault="00681BD7" w:rsidP="00024E8D">
            <w:pPr>
              <w:pStyle w:val="TableHeading"/>
              <w:rPr>
                <w:b w:val="0"/>
              </w:rPr>
            </w:pPr>
            <w:r w:rsidRPr="007600D9">
              <w:t xml:space="preserve">Responsible </w:t>
            </w:r>
            <w:r w:rsidR="0071657A" w:rsidRPr="007600D9">
              <w:t>e</w:t>
            </w:r>
            <w:r w:rsidRPr="007600D9">
              <w:t>ntity (</w:t>
            </w:r>
            <w:r w:rsidR="0071657A" w:rsidRPr="007600D9">
              <w:t>s</w:t>
            </w:r>
            <w:r w:rsidRPr="007600D9">
              <w:t>upport)</w:t>
            </w:r>
          </w:p>
        </w:tc>
      </w:tr>
      <w:tr w:rsidR="00D170BB" w:rsidRPr="007600D9" w14:paraId="1EB11805" w14:textId="77777777" w:rsidTr="0084559E">
        <w:tc>
          <w:tcPr>
            <w:tcW w:w="983" w:type="dxa"/>
          </w:tcPr>
          <w:p w14:paraId="5F81C3AC" w14:textId="77777777" w:rsidR="00D170BB" w:rsidRPr="007600D9" w:rsidRDefault="0071657A" w:rsidP="00024E8D">
            <w:pPr>
              <w:pStyle w:val="TableText"/>
            </w:pPr>
            <w:r w:rsidRPr="007600D9">
              <w:t>1.</w:t>
            </w:r>
          </w:p>
        </w:tc>
        <w:tc>
          <w:tcPr>
            <w:tcW w:w="9639" w:type="dxa"/>
          </w:tcPr>
          <w:p w14:paraId="103C7740" w14:textId="77777777" w:rsidR="00D170BB" w:rsidRPr="007600D9" w:rsidRDefault="00D170BB" w:rsidP="00024E8D">
            <w:pPr>
              <w:pStyle w:val="TableText"/>
            </w:pPr>
            <w:r w:rsidRPr="00024E8D">
              <w:rPr>
                <w:b/>
                <w:bCs/>
              </w:rPr>
              <w:t xml:space="preserve">Continued investment to the </w:t>
            </w:r>
            <w:r w:rsidR="0071657A" w:rsidRPr="00024E8D">
              <w:rPr>
                <w:b/>
                <w:bCs/>
              </w:rPr>
              <w:t>l</w:t>
            </w:r>
            <w:r w:rsidRPr="00024E8D">
              <w:rPr>
                <w:b/>
                <w:bCs/>
              </w:rPr>
              <w:t xml:space="preserve">ead </w:t>
            </w:r>
            <w:r w:rsidR="0071657A" w:rsidRPr="00024E8D">
              <w:rPr>
                <w:b/>
                <w:bCs/>
              </w:rPr>
              <w:t>e</w:t>
            </w:r>
            <w:r w:rsidRPr="00024E8D">
              <w:rPr>
                <w:b/>
                <w:bCs/>
              </w:rPr>
              <w:t>ntity</w:t>
            </w:r>
            <w:r w:rsidR="00B91F0F" w:rsidRPr="00024E8D">
              <w:rPr>
                <w:b/>
                <w:bCs/>
              </w:rPr>
              <w:t>/s</w:t>
            </w:r>
            <w:r w:rsidRPr="00024E8D">
              <w:rPr>
                <w:b/>
                <w:bCs/>
              </w:rPr>
              <w:t>, PHNs and other relevant stakeholders</w:t>
            </w:r>
            <w:r w:rsidRPr="007600D9">
              <w:t xml:space="preserve"> to enable Phase </w:t>
            </w:r>
            <w:r w:rsidR="00173776">
              <w:t>5</w:t>
            </w:r>
            <w:r w:rsidRPr="007600D9">
              <w:t xml:space="preserve"> of the Transition Roadmap to be executed.</w:t>
            </w:r>
          </w:p>
        </w:tc>
        <w:tc>
          <w:tcPr>
            <w:tcW w:w="1984" w:type="dxa"/>
          </w:tcPr>
          <w:p w14:paraId="7AB79CF3" w14:textId="77777777" w:rsidR="00D170BB" w:rsidRPr="007600D9" w:rsidRDefault="00451DB6" w:rsidP="00024E8D">
            <w:pPr>
              <w:pStyle w:val="TableText"/>
            </w:pPr>
            <w:r>
              <w:t>DoHAC</w:t>
            </w:r>
          </w:p>
        </w:tc>
        <w:tc>
          <w:tcPr>
            <w:tcW w:w="1985" w:type="dxa"/>
          </w:tcPr>
          <w:p w14:paraId="710D1A26" w14:textId="77777777" w:rsidR="00D170BB" w:rsidRPr="007600D9" w:rsidRDefault="00D170BB" w:rsidP="00024E8D">
            <w:pPr>
              <w:pStyle w:val="TableText"/>
            </w:pPr>
          </w:p>
        </w:tc>
      </w:tr>
      <w:tr w:rsidR="00681BD7" w:rsidRPr="007600D9" w14:paraId="06913363" w14:textId="77777777" w:rsidTr="0084559E">
        <w:tc>
          <w:tcPr>
            <w:tcW w:w="983" w:type="dxa"/>
          </w:tcPr>
          <w:p w14:paraId="0AF3472B" w14:textId="77777777" w:rsidR="00681BD7" w:rsidRPr="007600D9" w:rsidRDefault="0071657A" w:rsidP="00024E8D">
            <w:pPr>
              <w:pStyle w:val="TableText"/>
            </w:pPr>
            <w:r w:rsidRPr="007600D9">
              <w:t>2.</w:t>
            </w:r>
          </w:p>
        </w:tc>
        <w:tc>
          <w:tcPr>
            <w:tcW w:w="9639" w:type="dxa"/>
          </w:tcPr>
          <w:p w14:paraId="31FDFDCF" w14:textId="77777777" w:rsidR="005A36F5" w:rsidRPr="007600D9" w:rsidRDefault="00337E47" w:rsidP="00024E8D">
            <w:pPr>
              <w:pStyle w:val="TableText"/>
            </w:pPr>
            <w:r w:rsidRPr="007600D9">
              <w:rPr>
                <w:b/>
              </w:rPr>
              <w:t>Development of appropriate structures to enable the transfer of the funding arrangements</w:t>
            </w:r>
            <w:r w:rsidRPr="007600D9">
              <w:t xml:space="preserve"> of the </w:t>
            </w:r>
            <w:r w:rsidR="0071657A" w:rsidRPr="007600D9">
              <w:t>R</w:t>
            </w:r>
            <w:r w:rsidRPr="007600D9">
              <w:t xml:space="preserve">elevant </w:t>
            </w:r>
            <w:r w:rsidR="0071657A" w:rsidRPr="007600D9">
              <w:t>H</w:t>
            </w:r>
            <w:r w:rsidRPr="007600D9">
              <w:t xml:space="preserve">ealth </w:t>
            </w:r>
            <w:r w:rsidR="0071657A" w:rsidRPr="007600D9">
              <w:t>Programs</w:t>
            </w:r>
            <w:r w:rsidRPr="007600D9">
              <w:t xml:space="preserve"> in line with the funding arrangements and the updated service design set out in Phase </w:t>
            </w:r>
            <w:r w:rsidR="00173776">
              <w:t>4</w:t>
            </w:r>
            <w:r w:rsidRPr="007600D9">
              <w:t xml:space="preserve">. Such structures may include (but are not limited to) governance, financial management, reporting and community feedback mechanisms. </w:t>
            </w:r>
          </w:p>
          <w:p w14:paraId="77FEC916" w14:textId="77777777" w:rsidR="00681BD7" w:rsidRPr="007600D9" w:rsidRDefault="00337E47" w:rsidP="00024E8D">
            <w:pPr>
              <w:pStyle w:val="TableText"/>
            </w:pPr>
            <w:r w:rsidRPr="007600D9">
              <w:rPr>
                <w:b/>
              </w:rPr>
              <w:t>Note:</w:t>
            </w:r>
            <w:r w:rsidRPr="007600D9">
              <w:t xml:space="preserve"> </w:t>
            </w:r>
            <w:r w:rsidR="00F14B05">
              <w:t>N</w:t>
            </w:r>
            <w:r w:rsidRPr="007600D9">
              <w:t xml:space="preserve">ominated </w:t>
            </w:r>
            <w:r w:rsidR="0071657A" w:rsidRPr="007600D9">
              <w:t>l</w:t>
            </w:r>
            <w:r w:rsidRPr="007600D9">
              <w:t xml:space="preserve">ead </w:t>
            </w:r>
            <w:r w:rsidR="0071657A" w:rsidRPr="007600D9">
              <w:t>e</w:t>
            </w:r>
            <w:r w:rsidRPr="007600D9">
              <w:t xml:space="preserve">ntities </w:t>
            </w:r>
            <w:r w:rsidR="001560D5" w:rsidRPr="007600D9">
              <w:t xml:space="preserve">may </w:t>
            </w:r>
            <w:r w:rsidRPr="007600D9">
              <w:t xml:space="preserve">already have such structures in place. </w:t>
            </w:r>
          </w:p>
        </w:tc>
        <w:tc>
          <w:tcPr>
            <w:tcW w:w="1984" w:type="dxa"/>
          </w:tcPr>
          <w:p w14:paraId="04753780" w14:textId="77777777" w:rsidR="00681BD7" w:rsidRPr="007600D9" w:rsidRDefault="00337E47" w:rsidP="00024E8D">
            <w:pPr>
              <w:pStyle w:val="TableText"/>
            </w:pPr>
            <w:r w:rsidRPr="007600D9">
              <w:t xml:space="preserve">Lead </w:t>
            </w:r>
            <w:r w:rsidR="0071657A" w:rsidRPr="007600D9">
              <w:t>e</w:t>
            </w:r>
            <w:r w:rsidRPr="007600D9">
              <w:t>ntity</w:t>
            </w:r>
            <w:r w:rsidR="00B91F0F">
              <w:t>/s</w:t>
            </w:r>
            <w:r w:rsidR="00681BD7" w:rsidRPr="007600D9">
              <w:t xml:space="preserve"> </w:t>
            </w:r>
          </w:p>
        </w:tc>
        <w:tc>
          <w:tcPr>
            <w:tcW w:w="1985" w:type="dxa"/>
          </w:tcPr>
          <w:p w14:paraId="1FDEC932" w14:textId="77777777" w:rsidR="00337E47" w:rsidRPr="007600D9" w:rsidRDefault="00337E47" w:rsidP="00024E8D">
            <w:pPr>
              <w:pStyle w:val="TableText"/>
            </w:pPr>
            <w:r w:rsidRPr="007600D9">
              <w:t>Health</w:t>
            </w:r>
            <w:r w:rsidR="00193BA5" w:rsidRPr="007600D9">
              <w:t>/</w:t>
            </w:r>
            <w:r w:rsidR="005F5183" w:rsidRPr="007600D9">
              <w:t>NTCO</w:t>
            </w:r>
          </w:p>
          <w:p w14:paraId="40D956A2" w14:textId="77777777" w:rsidR="00681BD7" w:rsidRPr="007600D9" w:rsidRDefault="00681BD7" w:rsidP="00024E8D">
            <w:pPr>
              <w:pStyle w:val="TableText"/>
            </w:pPr>
            <w:r w:rsidRPr="007600D9">
              <w:t xml:space="preserve">Affiliates </w:t>
            </w:r>
          </w:p>
          <w:p w14:paraId="6CDD6C07" w14:textId="77777777" w:rsidR="00681BD7" w:rsidRPr="007600D9" w:rsidRDefault="00681BD7" w:rsidP="00024E8D">
            <w:pPr>
              <w:pStyle w:val="TableText"/>
            </w:pPr>
            <w:r w:rsidRPr="007600D9">
              <w:t>NACCHO</w:t>
            </w:r>
          </w:p>
          <w:p w14:paraId="058626F5" w14:textId="77777777" w:rsidR="00681BD7" w:rsidRPr="007600D9" w:rsidRDefault="00681BD7" w:rsidP="00024E8D">
            <w:pPr>
              <w:pStyle w:val="TableText"/>
            </w:pPr>
            <w:r w:rsidRPr="007600D9">
              <w:t>PHN</w:t>
            </w:r>
          </w:p>
        </w:tc>
      </w:tr>
      <w:tr w:rsidR="00681BD7" w:rsidRPr="007600D9" w14:paraId="349DD5CD" w14:textId="77777777" w:rsidTr="0084559E">
        <w:tc>
          <w:tcPr>
            <w:tcW w:w="983" w:type="dxa"/>
          </w:tcPr>
          <w:p w14:paraId="0B6D2127" w14:textId="77777777" w:rsidR="00681BD7" w:rsidRPr="007600D9" w:rsidRDefault="00450356" w:rsidP="00024E8D">
            <w:pPr>
              <w:pStyle w:val="TableText"/>
            </w:pPr>
            <w:r>
              <w:t>3.</w:t>
            </w:r>
          </w:p>
        </w:tc>
        <w:tc>
          <w:tcPr>
            <w:tcW w:w="9639" w:type="dxa"/>
          </w:tcPr>
          <w:p w14:paraId="749D93E1" w14:textId="77777777" w:rsidR="00681BD7" w:rsidRPr="007600D9" w:rsidRDefault="001F6DCF" w:rsidP="00024E8D">
            <w:pPr>
              <w:pStyle w:val="TableText"/>
            </w:pPr>
            <w:r w:rsidRPr="007600D9">
              <w:rPr>
                <w:b/>
              </w:rPr>
              <w:t>Execution of the</w:t>
            </w:r>
            <w:r w:rsidR="00EF2793" w:rsidRPr="007600D9">
              <w:rPr>
                <w:b/>
              </w:rPr>
              <w:t xml:space="preserve"> </w:t>
            </w:r>
            <w:r w:rsidR="0071657A" w:rsidRPr="007600D9">
              <w:rPr>
                <w:b/>
              </w:rPr>
              <w:t>l</w:t>
            </w:r>
            <w:r w:rsidR="00EF2793" w:rsidRPr="007600D9">
              <w:rPr>
                <w:b/>
              </w:rPr>
              <w:t xml:space="preserve">ead </w:t>
            </w:r>
            <w:r w:rsidR="0071657A" w:rsidRPr="007600D9">
              <w:rPr>
                <w:b/>
              </w:rPr>
              <w:t>e</w:t>
            </w:r>
            <w:r w:rsidR="00EF2793" w:rsidRPr="007600D9">
              <w:rPr>
                <w:b/>
              </w:rPr>
              <w:t>ntity</w:t>
            </w:r>
            <w:r w:rsidRPr="007600D9">
              <w:rPr>
                <w:b/>
              </w:rPr>
              <w:t xml:space="preserve"> transition plan</w:t>
            </w:r>
            <w:r w:rsidRPr="007600D9">
              <w:t xml:space="preserve">, ensuring the timely transition of contracts for the </w:t>
            </w:r>
            <w:r w:rsidR="0071657A" w:rsidRPr="007600D9">
              <w:t>R</w:t>
            </w:r>
            <w:r w:rsidRPr="007600D9">
              <w:t xml:space="preserve">elevant </w:t>
            </w:r>
            <w:r w:rsidR="0071657A" w:rsidRPr="007600D9">
              <w:t>H</w:t>
            </w:r>
            <w:r w:rsidRPr="007600D9">
              <w:t xml:space="preserve">ealth </w:t>
            </w:r>
            <w:r w:rsidR="0071657A" w:rsidRPr="007600D9">
              <w:t>Programs</w:t>
            </w:r>
            <w:r w:rsidRPr="007600D9">
              <w:t xml:space="preserve"> to the </w:t>
            </w:r>
            <w:r w:rsidR="0071657A" w:rsidRPr="007600D9">
              <w:t>l</w:t>
            </w:r>
            <w:r w:rsidRPr="007600D9">
              <w:t xml:space="preserve">ead </w:t>
            </w:r>
            <w:r w:rsidR="0071657A" w:rsidRPr="007600D9">
              <w:t>e</w:t>
            </w:r>
            <w:r w:rsidRPr="007600D9">
              <w:t>ntity</w:t>
            </w:r>
            <w:r w:rsidR="00B91F0F">
              <w:t>/s</w:t>
            </w:r>
            <w:r w:rsidR="00F675D0" w:rsidRPr="007600D9">
              <w:t xml:space="preserve"> </w:t>
            </w:r>
            <w:r w:rsidRPr="007600D9">
              <w:t>in accordance with the agreed time</w:t>
            </w:r>
            <w:r w:rsidR="0071657A" w:rsidRPr="007600D9">
              <w:t xml:space="preserve"> </w:t>
            </w:r>
            <w:r w:rsidRPr="007600D9">
              <w:t>frame and processes set out in the transition plan.</w:t>
            </w:r>
          </w:p>
        </w:tc>
        <w:tc>
          <w:tcPr>
            <w:tcW w:w="1984" w:type="dxa"/>
          </w:tcPr>
          <w:p w14:paraId="5C3F2037" w14:textId="77777777" w:rsidR="00681BD7" w:rsidRPr="007600D9" w:rsidRDefault="00681BD7" w:rsidP="00024E8D">
            <w:pPr>
              <w:pStyle w:val="TableText"/>
            </w:pPr>
            <w:r w:rsidRPr="007600D9">
              <w:t>Lead entity</w:t>
            </w:r>
            <w:r w:rsidR="00B91F0F">
              <w:t>/s</w:t>
            </w:r>
          </w:p>
          <w:p w14:paraId="7CC3B305" w14:textId="77777777" w:rsidR="001F6DCF" w:rsidRPr="007600D9" w:rsidRDefault="001F6DCF" w:rsidP="00024E8D">
            <w:pPr>
              <w:pStyle w:val="TableText"/>
            </w:pPr>
            <w:r w:rsidRPr="007600D9">
              <w:t>PHN</w:t>
            </w:r>
          </w:p>
          <w:p w14:paraId="7AB7CD3C" w14:textId="77777777" w:rsidR="00681BD7" w:rsidRPr="007600D9" w:rsidRDefault="00451DB6" w:rsidP="00024E8D">
            <w:pPr>
              <w:pStyle w:val="TableText"/>
            </w:pPr>
            <w:r>
              <w:t>DoHAC</w:t>
            </w:r>
            <w:r w:rsidR="005F5183" w:rsidRPr="007600D9">
              <w:t>/NCTO</w:t>
            </w:r>
          </w:p>
        </w:tc>
        <w:tc>
          <w:tcPr>
            <w:tcW w:w="1985" w:type="dxa"/>
          </w:tcPr>
          <w:p w14:paraId="784971C0" w14:textId="77777777" w:rsidR="00681BD7" w:rsidRPr="007600D9" w:rsidRDefault="00681BD7" w:rsidP="00024E8D">
            <w:pPr>
              <w:pStyle w:val="TableText"/>
            </w:pPr>
            <w:r w:rsidRPr="007600D9">
              <w:t xml:space="preserve"> </w:t>
            </w:r>
          </w:p>
        </w:tc>
      </w:tr>
    </w:tbl>
    <w:p w14:paraId="261FE77A" w14:textId="608C5027" w:rsidR="00F923B6" w:rsidRPr="007600D9" w:rsidRDefault="00F923B6" w:rsidP="00024E8D">
      <w:pPr>
        <w:pStyle w:val="Heading4"/>
      </w:pPr>
      <w:r w:rsidRPr="007600D9">
        <w:t xml:space="preserve">Phase </w:t>
      </w:r>
      <w:r w:rsidR="007D5461">
        <w:t>6</w:t>
      </w:r>
      <w:r w:rsidRPr="007600D9">
        <w:t>: Transform</w:t>
      </w:r>
    </w:p>
    <w:p w14:paraId="30FFEA2B" w14:textId="6E48AC2D" w:rsidR="00F14B05" w:rsidRPr="007F34E3" w:rsidRDefault="00EF6FAE" w:rsidP="00024E8D">
      <w:pPr>
        <w:pStyle w:val="BodyText"/>
      </w:pPr>
      <w:r w:rsidRPr="007600D9">
        <w:t xml:space="preserve">The purpose of Phase </w:t>
      </w:r>
      <w:r w:rsidR="007D5461">
        <w:t>6</w:t>
      </w:r>
      <w:r w:rsidR="00450356" w:rsidRPr="007600D9">
        <w:t xml:space="preserve"> </w:t>
      </w:r>
      <w:r w:rsidRPr="007600D9">
        <w:t xml:space="preserve">is to </w:t>
      </w:r>
      <w:r w:rsidR="0005362D" w:rsidRPr="007600D9">
        <w:t>transition</w:t>
      </w:r>
      <w:r w:rsidR="00FD00EC" w:rsidRPr="007600D9">
        <w:t xml:space="preserve"> all</w:t>
      </w:r>
      <w:r w:rsidR="0005362D" w:rsidRPr="007600D9">
        <w:t xml:space="preserve"> </w:t>
      </w:r>
      <w:r w:rsidR="00D36FA0" w:rsidRPr="007600D9">
        <w:t>Aboriginal and/or Torres Strait Islander</w:t>
      </w:r>
      <w:r w:rsidR="0025698E" w:rsidRPr="007600D9">
        <w:t>–</w:t>
      </w:r>
      <w:r w:rsidR="0005362D" w:rsidRPr="007600D9">
        <w:t xml:space="preserve">directed </w:t>
      </w:r>
      <w:r w:rsidR="007409B5" w:rsidRPr="007600D9">
        <w:t xml:space="preserve">health and wellbeing </w:t>
      </w:r>
      <w:r w:rsidR="0005362D" w:rsidRPr="007600D9">
        <w:t xml:space="preserve">funding provided by the Australian Government (beyond the </w:t>
      </w:r>
      <w:r w:rsidR="0025698E" w:rsidRPr="007600D9">
        <w:t>R</w:t>
      </w:r>
      <w:r w:rsidR="0005362D" w:rsidRPr="007600D9">
        <w:t xml:space="preserve">elevant </w:t>
      </w:r>
      <w:r w:rsidR="0025698E" w:rsidRPr="007600D9">
        <w:t>H</w:t>
      </w:r>
      <w:r w:rsidR="0005362D" w:rsidRPr="007600D9">
        <w:t xml:space="preserve">ealth </w:t>
      </w:r>
      <w:r w:rsidR="0025698E" w:rsidRPr="007600D9">
        <w:t>Programs</w:t>
      </w:r>
      <w:r w:rsidR="0005362D" w:rsidRPr="007600D9">
        <w:t xml:space="preserve">) </w:t>
      </w:r>
      <w:r w:rsidR="00450356">
        <w:rPr>
          <w:rFonts w:cs="Calibri"/>
          <w:color w:val="000000"/>
        </w:rPr>
        <w:t>to the lead entity</w:t>
      </w:r>
      <w:r w:rsidR="00B91F0F">
        <w:rPr>
          <w:rFonts w:cs="Calibri"/>
          <w:color w:val="000000"/>
        </w:rPr>
        <w:t>/s</w:t>
      </w:r>
      <w:r w:rsidR="00450356">
        <w:rPr>
          <w:rFonts w:cs="Calibri"/>
          <w:color w:val="000000"/>
        </w:rPr>
        <w:t xml:space="preserve"> </w:t>
      </w:r>
      <w:r w:rsidR="0005362D" w:rsidRPr="007600D9">
        <w:t>to</w:t>
      </w:r>
      <w:r w:rsidR="0005362D" w:rsidRPr="007600D9" w:rsidDel="00FD00EC">
        <w:t xml:space="preserve"> </w:t>
      </w:r>
      <w:r w:rsidR="0005362D" w:rsidRPr="007600D9">
        <w:t xml:space="preserve">meet the health and wellbeing needs of </w:t>
      </w:r>
      <w:r w:rsidR="00D36FA0" w:rsidRPr="007600D9">
        <w:t>Aboriginal and/or Torres Strait Islander</w:t>
      </w:r>
      <w:r w:rsidR="0005362D" w:rsidRPr="007600D9">
        <w:t xml:space="preserve"> communities.</w:t>
      </w:r>
      <w:r w:rsidR="00F14B05">
        <w:t xml:space="preserve"> </w:t>
      </w:r>
      <w:r w:rsidR="00D42999" w:rsidRPr="007F34E3">
        <w:t xml:space="preserve">The key features of Phase </w:t>
      </w:r>
      <w:r w:rsidR="007D5461" w:rsidRPr="007F34E3">
        <w:t>6</w:t>
      </w:r>
      <w:r w:rsidR="00450356" w:rsidRPr="007F34E3">
        <w:t xml:space="preserve"> </w:t>
      </w:r>
      <w:r w:rsidR="00D42999" w:rsidRPr="007F34E3">
        <w:t xml:space="preserve">are listed in </w:t>
      </w:r>
      <w:r w:rsidR="00F14B05" w:rsidRPr="007F34E3">
        <w:fldChar w:fldCharType="begin"/>
      </w:r>
      <w:r w:rsidR="00F14B05" w:rsidRPr="007F34E3">
        <w:instrText xml:space="preserve"> REF _Ref151817233 \h </w:instrText>
      </w:r>
      <w:r w:rsidR="00F14B05" w:rsidRPr="007F34E3">
        <w:fldChar w:fldCharType="separate"/>
      </w:r>
      <w:r w:rsidR="00934D5E" w:rsidRPr="007600D9">
        <w:t xml:space="preserve">Table </w:t>
      </w:r>
      <w:r w:rsidR="00934D5E">
        <w:rPr>
          <w:noProof/>
        </w:rPr>
        <w:t>6</w:t>
      </w:r>
      <w:r w:rsidR="00F14B05" w:rsidRPr="007F34E3">
        <w:fldChar w:fldCharType="end"/>
      </w:r>
      <w:r w:rsidR="00D42999" w:rsidRPr="007F34E3">
        <w:t xml:space="preserve"> below. </w:t>
      </w:r>
    </w:p>
    <w:p w14:paraId="64C74BF6" w14:textId="77777777" w:rsidR="00FD00EC" w:rsidRPr="007F34E3" w:rsidRDefault="00F14B05" w:rsidP="007F34E3">
      <w:pPr>
        <w:pStyle w:val="BodyText"/>
      </w:pPr>
      <w:r w:rsidRPr="007F34E3">
        <w:rPr>
          <w:b/>
          <w:bCs/>
        </w:rPr>
        <w:t xml:space="preserve">Note: </w:t>
      </w:r>
      <w:r w:rsidR="00D42999" w:rsidRPr="007F34E3">
        <w:t xml:space="preserve">The activities identified below are in addition to those listed in Phase </w:t>
      </w:r>
      <w:r w:rsidR="007D5461" w:rsidRPr="007F34E3">
        <w:t>1</w:t>
      </w:r>
      <w:r w:rsidR="00D42999" w:rsidRPr="007F34E3">
        <w:t xml:space="preserve">. For example, the NTCO will be responsible for continuing to coordinate and engage throughout this phase. </w:t>
      </w:r>
    </w:p>
    <w:p w14:paraId="4CB9FC20" w14:textId="5D362167" w:rsidR="00795026" w:rsidRPr="007600D9" w:rsidRDefault="00795026" w:rsidP="00795026">
      <w:pPr>
        <w:pStyle w:val="CaptionTable"/>
        <w:rPr>
          <w:b w:val="0"/>
          <w:bCs/>
        </w:rPr>
      </w:pPr>
      <w:bookmarkStart w:id="154" w:name="_Ref151817233"/>
      <w:bookmarkStart w:id="155" w:name="_Toc145604948"/>
      <w:bookmarkStart w:id="156" w:name="_Toc156932076"/>
      <w:r w:rsidRPr="007600D9">
        <w:t xml:space="preserve">Table </w:t>
      </w:r>
      <w:r w:rsidRPr="007600D9">
        <w:fldChar w:fldCharType="begin"/>
      </w:r>
      <w:r w:rsidRPr="007600D9">
        <w:instrText xml:space="preserve"> SEQ Table \* ARABIC </w:instrText>
      </w:r>
      <w:r w:rsidRPr="007600D9">
        <w:fldChar w:fldCharType="separate"/>
      </w:r>
      <w:r w:rsidR="00934D5E">
        <w:rPr>
          <w:noProof/>
        </w:rPr>
        <w:t>6</w:t>
      </w:r>
      <w:r w:rsidRPr="007600D9">
        <w:fldChar w:fldCharType="end"/>
      </w:r>
      <w:bookmarkEnd w:id="154"/>
      <w:r w:rsidRPr="007600D9">
        <w:t xml:space="preserve">: Key features of Phase </w:t>
      </w:r>
      <w:bookmarkEnd w:id="155"/>
      <w:r w:rsidR="00173776">
        <w:t>6</w:t>
      </w:r>
      <w:bookmarkEnd w:id="156"/>
    </w:p>
    <w:tbl>
      <w:tblPr>
        <w:tblStyle w:val="Newtableforresport"/>
        <w:tblW w:w="14591" w:type="dxa"/>
        <w:tblInd w:w="10" w:type="dxa"/>
        <w:tblLayout w:type="fixed"/>
        <w:tblLook w:val="0620" w:firstRow="1" w:lastRow="0" w:firstColumn="0" w:lastColumn="0" w:noHBand="1" w:noVBand="1"/>
        <w:tblCaption w:val="Table 6: Key features of phase 6"/>
        <w:tblDescription w:val="The table provides information on different transition activities in Phase 6 of the transition plan. &#10;&#10;The first column lists the number of activities. For example '1.' is in the first activity row, and '2.' is in the second activity row. The second column lists transition activities. The third column lists the lead entity responsible for the transition activity. For example, the Department of Health and Aged Care would be responsible for continued investment to the lead entity/s, Primary Health Networks and other relevant stakeholders. The fourth column lists the support entity responsible for the transition activity. For example,  the Department of Health and Aged Care and the National Transition Coordination Office would support the lead entity with the execution of the lead entity transition plan."/>
      </w:tblPr>
      <w:tblGrid>
        <w:gridCol w:w="983"/>
        <w:gridCol w:w="9213"/>
        <w:gridCol w:w="2197"/>
        <w:gridCol w:w="2198"/>
      </w:tblGrid>
      <w:tr w:rsidR="00AB0735" w:rsidRPr="007600D9" w14:paraId="1AE875AF" w14:textId="77777777" w:rsidTr="0084559E">
        <w:trPr>
          <w:cnfStyle w:val="100000000000" w:firstRow="1" w:lastRow="0" w:firstColumn="0" w:lastColumn="0" w:oddVBand="0" w:evenVBand="0" w:oddHBand="0" w:evenHBand="0" w:firstRowFirstColumn="0" w:firstRowLastColumn="0" w:lastRowFirstColumn="0" w:lastRowLastColumn="0"/>
          <w:tblHeader/>
        </w:trPr>
        <w:tc>
          <w:tcPr>
            <w:tcW w:w="983" w:type="dxa"/>
          </w:tcPr>
          <w:p w14:paraId="160A36B6" w14:textId="77777777" w:rsidR="00AB0735" w:rsidRPr="007600D9" w:rsidRDefault="00AB0735" w:rsidP="00024E8D">
            <w:pPr>
              <w:pStyle w:val="TableHeading"/>
              <w:rPr>
                <w:b w:val="0"/>
              </w:rPr>
            </w:pPr>
            <w:r w:rsidRPr="007600D9">
              <w:t>Number</w:t>
            </w:r>
          </w:p>
        </w:tc>
        <w:tc>
          <w:tcPr>
            <w:tcW w:w="9213" w:type="dxa"/>
          </w:tcPr>
          <w:p w14:paraId="20E1AADA" w14:textId="77777777" w:rsidR="00AB0735" w:rsidRPr="007600D9" w:rsidRDefault="00AB0735" w:rsidP="00024E8D">
            <w:pPr>
              <w:pStyle w:val="TableHeading"/>
              <w:rPr>
                <w:b w:val="0"/>
              </w:rPr>
            </w:pPr>
            <w:r w:rsidRPr="007600D9">
              <w:t>Activity</w:t>
            </w:r>
          </w:p>
        </w:tc>
        <w:tc>
          <w:tcPr>
            <w:tcW w:w="2197" w:type="dxa"/>
          </w:tcPr>
          <w:p w14:paraId="0C6432A8" w14:textId="77777777" w:rsidR="00AB0735" w:rsidRPr="007600D9" w:rsidRDefault="00AB0735" w:rsidP="00024E8D">
            <w:pPr>
              <w:pStyle w:val="TableHeading"/>
              <w:rPr>
                <w:b w:val="0"/>
              </w:rPr>
            </w:pPr>
            <w:r w:rsidRPr="007600D9">
              <w:t xml:space="preserve">Responsible </w:t>
            </w:r>
            <w:r w:rsidR="0025698E" w:rsidRPr="007600D9">
              <w:t>e</w:t>
            </w:r>
            <w:r w:rsidRPr="007600D9">
              <w:t>ntity (</w:t>
            </w:r>
            <w:r w:rsidR="0025698E" w:rsidRPr="007600D9">
              <w:t>l</w:t>
            </w:r>
            <w:r w:rsidRPr="007600D9">
              <w:t>ead)</w:t>
            </w:r>
          </w:p>
        </w:tc>
        <w:tc>
          <w:tcPr>
            <w:tcW w:w="2198" w:type="dxa"/>
          </w:tcPr>
          <w:p w14:paraId="7AF8191D" w14:textId="77777777" w:rsidR="00AB0735" w:rsidRPr="007600D9" w:rsidRDefault="00AB0735" w:rsidP="00024E8D">
            <w:pPr>
              <w:pStyle w:val="TableHeading"/>
              <w:rPr>
                <w:b w:val="0"/>
              </w:rPr>
            </w:pPr>
            <w:r w:rsidRPr="007600D9">
              <w:t xml:space="preserve">Responsible </w:t>
            </w:r>
            <w:r w:rsidR="0025698E" w:rsidRPr="007600D9">
              <w:t>e</w:t>
            </w:r>
            <w:r w:rsidRPr="007600D9">
              <w:t>ntity (</w:t>
            </w:r>
            <w:r w:rsidR="0025698E" w:rsidRPr="007600D9">
              <w:t>s</w:t>
            </w:r>
            <w:r w:rsidRPr="007600D9">
              <w:t>upport)</w:t>
            </w:r>
          </w:p>
        </w:tc>
      </w:tr>
      <w:tr w:rsidR="007D3D29" w:rsidRPr="007600D9" w14:paraId="0B8EE46F" w14:textId="77777777" w:rsidTr="0084559E">
        <w:tc>
          <w:tcPr>
            <w:tcW w:w="983" w:type="dxa"/>
          </w:tcPr>
          <w:p w14:paraId="62F76FB2" w14:textId="77777777" w:rsidR="007D3D29" w:rsidRPr="007600D9" w:rsidRDefault="0025698E" w:rsidP="00024E8D">
            <w:pPr>
              <w:pStyle w:val="TableText"/>
            </w:pPr>
            <w:r w:rsidRPr="007600D9">
              <w:t>1.</w:t>
            </w:r>
          </w:p>
        </w:tc>
        <w:tc>
          <w:tcPr>
            <w:tcW w:w="9213" w:type="dxa"/>
          </w:tcPr>
          <w:p w14:paraId="4984F78D" w14:textId="77777777" w:rsidR="007D3D29" w:rsidRPr="007600D9" w:rsidRDefault="007D3D29" w:rsidP="00024E8D">
            <w:pPr>
              <w:pStyle w:val="TableText"/>
            </w:pPr>
            <w:r w:rsidRPr="007600D9">
              <w:t xml:space="preserve">Continued investment to the </w:t>
            </w:r>
            <w:r w:rsidR="00D03B9A" w:rsidRPr="007600D9">
              <w:t>l</w:t>
            </w:r>
            <w:r w:rsidRPr="007600D9">
              <w:t xml:space="preserve">ead </w:t>
            </w:r>
            <w:r w:rsidR="00D03B9A" w:rsidRPr="007600D9">
              <w:t>e</w:t>
            </w:r>
            <w:r w:rsidRPr="007600D9">
              <w:t>ntity</w:t>
            </w:r>
            <w:r w:rsidR="00B91F0F">
              <w:t>/s</w:t>
            </w:r>
            <w:r w:rsidRPr="007600D9">
              <w:t xml:space="preserve">, PHNs and other relevant stakeholders to enable </w:t>
            </w:r>
            <w:r w:rsidR="00D170BB" w:rsidRPr="007600D9">
              <w:t xml:space="preserve">Phase </w:t>
            </w:r>
            <w:r w:rsidR="00F14B05">
              <w:t>6</w:t>
            </w:r>
            <w:r w:rsidR="00D170BB" w:rsidRPr="007600D9">
              <w:t xml:space="preserve"> of the Transition Roadmap</w:t>
            </w:r>
            <w:r w:rsidRPr="007600D9">
              <w:t xml:space="preserve"> to be executed.</w:t>
            </w:r>
          </w:p>
        </w:tc>
        <w:tc>
          <w:tcPr>
            <w:tcW w:w="2197" w:type="dxa"/>
          </w:tcPr>
          <w:p w14:paraId="0D19A7AE" w14:textId="77777777" w:rsidR="007D3D29" w:rsidRPr="007600D9" w:rsidRDefault="00451DB6" w:rsidP="00024E8D">
            <w:pPr>
              <w:pStyle w:val="TableText"/>
            </w:pPr>
            <w:r>
              <w:t>DoHAC</w:t>
            </w:r>
          </w:p>
        </w:tc>
        <w:tc>
          <w:tcPr>
            <w:tcW w:w="2198" w:type="dxa"/>
          </w:tcPr>
          <w:p w14:paraId="2C426E51" w14:textId="77777777" w:rsidR="007D3D29" w:rsidRPr="007600D9" w:rsidRDefault="007D3D29" w:rsidP="00024E8D">
            <w:pPr>
              <w:pStyle w:val="TableText"/>
            </w:pPr>
          </w:p>
        </w:tc>
      </w:tr>
      <w:tr w:rsidR="00AB0735" w:rsidRPr="007600D9" w14:paraId="46FD6638" w14:textId="77777777" w:rsidTr="0084559E">
        <w:tc>
          <w:tcPr>
            <w:tcW w:w="983" w:type="dxa"/>
          </w:tcPr>
          <w:p w14:paraId="03DE22FC" w14:textId="77777777" w:rsidR="00AB0735" w:rsidRPr="007600D9" w:rsidRDefault="0025698E" w:rsidP="00024E8D">
            <w:pPr>
              <w:pStyle w:val="TableText"/>
            </w:pPr>
            <w:r w:rsidRPr="007600D9">
              <w:t>2.</w:t>
            </w:r>
          </w:p>
        </w:tc>
        <w:tc>
          <w:tcPr>
            <w:tcW w:w="9213" w:type="dxa"/>
          </w:tcPr>
          <w:p w14:paraId="32CF6F7E" w14:textId="77777777" w:rsidR="00D35929" w:rsidRDefault="001A3493" w:rsidP="00024E8D">
            <w:pPr>
              <w:pStyle w:val="TableText"/>
            </w:pPr>
            <w:r w:rsidRPr="00024E8D">
              <w:rPr>
                <w:b/>
                <w:bCs/>
              </w:rPr>
              <w:t>Understand</w:t>
            </w:r>
            <w:r w:rsidR="003A6508" w:rsidRPr="00024E8D">
              <w:rPr>
                <w:b/>
                <w:bCs/>
              </w:rPr>
              <w:t>ing of</w:t>
            </w:r>
            <w:r w:rsidRPr="00024E8D">
              <w:rPr>
                <w:b/>
                <w:bCs/>
              </w:rPr>
              <w:t xml:space="preserve"> community needs</w:t>
            </w:r>
            <w:r w:rsidR="005A7833" w:rsidRPr="00024E8D">
              <w:rPr>
                <w:b/>
                <w:bCs/>
              </w:rPr>
              <w:t xml:space="preserve"> and priorities</w:t>
            </w:r>
            <w:r w:rsidRPr="00024E8D">
              <w:rPr>
                <w:b/>
                <w:bCs/>
              </w:rPr>
              <w:t xml:space="preserve"> as they relate to all </w:t>
            </w:r>
            <w:r w:rsidR="00D36FA0" w:rsidRPr="00024E8D">
              <w:rPr>
                <w:b/>
                <w:bCs/>
              </w:rPr>
              <w:t>Aboriginal and/or Torres Strait Islander</w:t>
            </w:r>
            <w:r w:rsidRPr="00024E8D">
              <w:rPr>
                <w:b/>
                <w:bCs/>
              </w:rPr>
              <w:t xml:space="preserve"> health and wellbeing services,</w:t>
            </w:r>
            <w:r w:rsidRPr="007600D9">
              <w:t xml:space="preserve"> as informed by deep engagement with the community. This understanding must span the breadth of the community, including the different sub-com</w:t>
            </w:r>
          </w:p>
          <w:p w14:paraId="7BF0DAE9" w14:textId="64051A51" w:rsidR="00AB0735" w:rsidRPr="007600D9" w:rsidRDefault="001A3493" w:rsidP="00024E8D">
            <w:pPr>
              <w:pStyle w:val="TableText"/>
            </w:pPr>
            <w:r w:rsidRPr="007600D9">
              <w:lastRenderedPageBreak/>
              <w:t>munities that may exist, to ensure the understanding reflects all health and wellbeing needs (not just those who can advocate most effectively).</w:t>
            </w:r>
            <w:r w:rsidR="00834FFE" w:rsidRPr="007600D9">
              <w:t xml:space="preserve"> </w:t>
            </w:r>
            <w:r w:rsidR="00D3733F" w:rsidRPr="00D3733F">
              <w:t>To ensure Transformation Feature 1 is realised, the process must document</w:t>
            </w:r>
            <w:r w:rsidR="00D3733F">
              <w:t xml:space="preserve"> </w:t>
            </w:r>
            <w:r w:rsidR="00325948" w:rsidRPr="007600D9">
              <w:t>preferences for</w:t>
            </w:r>
            <w:r w:rsidR="00834FFE" w:rsidRPr="007600D9">
              <w:t xml:space="preserve"> community choice and access.</w:t>
            </w:r>
          </w:p>
        </w:tc>
        <w:tc>
          <w:tcPr>
            <w:tcW w:w="2197" w:type="dxa"/>
          </w:tcPr>
          <w:p w14:paraId="620B13C7" w14:textId="77777777" w:rsidR="00AB0735" w:rsidRPr="007600D9" w:rsidRDefault="00AB0735" w:rsidP="00024E8D">
            <w:pPr>
              <w:pStyle w:val="TableText"/>
            </w:pPr>
            <w:r w:rsidRPr="007600D9">
              <w:lastRenderedPageBreak/>
              <w:t xml:space="preserve">Lead </w:t>
            </w:r>
            <w:r w:rsidR="00D03B9A" w:rsidRPr="007600D9">
              <w:t>e</w:t>
            </w:r>
            <w:r w:rsidRPr="007600D9">
              <w:t>ntity</w:t>
            </w:r>
            <w:r w:rsidR="00B91F0F">
              <w:t>/s</w:t>
            </w:r>
            <w:r w:rsidRPr="007600D9">
              <w:t xml:space="preserve"> </w:t>
            </w:r>
          </w:p>
        </w:tc>
        <w:tc>
          <w:tcPr>
            <w:tcW w:w="2198" w:type="dxa"/>
          </w:tcPr>
          <w:p w14:paraId="5E02B227" w14:textId="77777777" w:rsidR="00AB0735" w:rsidRPr="007600D9" w:rsidRDefault="00451DB6" w:rsidP="00024E8D">
            <w:pPr>
              <w:pStyle w:val="TableText"/>
            </w:pPr>
            <w:r>
              <w:t>DoHAC</w:t>
            </w:r>
            <w:r w:rsidR="00325948" w:rsidRPr="007600D9">
              <w:t>/NTCO</w:t>
            </w:r>
          </w:p>
          <w:p w14:paraId="28795B7C" w14:textId="77777777" w:rsidR="00AB0735" w:rsidRPr="007600D9" w:rsidRDefault="00AB0735" w:rsidP="00024E8D">
            <w:pPr>
              <w:pStyle w:val="TableText"/>
            </w:pPr>
            <w:r w:rsidRPr="007600D9">
              <w:t xml:space="preserve">Affiliates </w:t>
            </w:r>
          </w:p>
          <w:p w14:paraId="52B76B4E" w14:textId="77777777" w:rsidR="00AB0735" w:rsidRPr="007600D9" w:rsidRDefault="00AB0735" w:rsidP="00024E8D">
            <w:pPr>
              <w:pStyle w:val="TableText"/>
            </w:pPr>
            <w:r w:rsidRPr="007600D9">
              <w:t>NACCHO</w:t>
            </w:r>
          </w:p>
          <w:p w14:paraId="619C5F35" w14:textId="77777777" w:rsidR="00AB0735" w:rsidRPr="007600D9" w:rsidRDefault="00AB0735" w:rsidP="00024E8D">
            <w:pPr>
              <w:pStyle w:val="TableText"/>
            </w:pPr>
            <w:r w:rsidRPr="007600D9">
              <w:t>PHN</w:t>
            </w:r>
          </w:p>
        </w:tc>
      </w:tr>
      <w:tr w:rsidR="00AB0735" w:rsidRPr="007600D9" w14:paraId="2420E62B" w14:textId="77777777" w:rsidTr="0084559E">
        <w:tc>
          <w:tcPr>
            <w:tcW w:w="983" w:type="dxa"/>
          </w:tcPr>
          <w:p w14:paraId="024756C0" w14:textId="77777777" w:rsidR="00AB0735" w:rsidRPr="007600D9" w:rsidRDefault="0025698E" w:rsidP="00024E8D">
            <w:pPr>
              <w:pStyle w:val="TableText"/>
            </w:pPr>
            <w:r w:rsidRPr="007600D9">
              <w:t>3.</w:t>
            </w:r>
          </w:p>
        </w:tc>
        <w:tc>
          <w:tcPr>
            <w:tcW w:w="9213" w:type="dxa"/>
          </w:tcPr>
          <w:p w14:paraId="05D7C684" w14:textId="77777777" w:rsidR="00AB0735" w:rsidRPr="007600D9" w:rsidRDefault="00430F7F" w:rsidP="00024E8D">
            <w:pPr>
              <w:pStyle w:val="TableText"/>
            </w:pPr>
            <w:r w:rsidRPr="00024E8D">
              <w:rPr>
                <w:b/>
                <w:bCs/>
              </w:rPr>
              <w:t xml:space="preserve">Designing </w:t>
            </w:r>
            <w:r w:rsidR="00325948" w:rsidRPr="00024E8D">
              <w:rPr>
                <w:b/>
                <w:bCs/>
              </w:rPr>
              <w:t xml:space="preserve">all </w:t>
            </w:r>
            <w:r w:rsidR="00D36FA0" w:rsidRPr="00024E8D">
              <w:rPr>
                <w:b/>
                <w:bCs/>
              </w:rPr>
              <w:t>Aboriginal and/or Torres Strait Islander</w:t>
            </w:r>
            <w:r w:rsidR="00325948" w:rsidRPr="00024E8D">
              <w:rPr>
                <w:b/>
                <w:bCs/>
              </w:rPr>
              <w:t xml:space="preserve"> health and wellbeing </w:t>
            </w:r>
            <w:r w:rsidRPr="00024E8D">
              <w:rPr>
                <w:b/>
                <w:bCs/>
              </w:rPr>
              <w:t xml:space="preserve">services to meet the </w:t>
            </w:r>
            <w:r w:rsidR="006C581A" w:rsidRPr="00024E8D">
              <w:rPr>
                <w:b/>
                <w:bCs/>
              </w:rPr>
              <w:t xml:space="preserve">identified </w:t>
            </w:r>
            <w:r w:rsidRPr="00024E8D">
              <w:rPr>
                <w:b/>
                <w:bCs/>
              </w:rPr>
              <w:t>needs of the community</w:t>
            </w:r>
            <w:r w:rsidR="005A3FA6" w:rsidRPr="00024E8D">
              <w:rPr>
                <w:b/>
                <w:bCs/>
              </w:rPr>
              <w:t xml:space="preserve"> (including program guidelines and funding </w:t>
            </w:r>
            <w:r w:rsidR="005C0007" w:rsidRPr="00024E8D">
              <w:rPr>
                <w:b/>
                <w:bCs/>
              </w:rPr>
              <w:t xml:space="preserve">amount </w:t>
            </w:r>
            <w:r w:rsidR="005A3FA6" w:rsidRPr="00024E8D">
              <w:rPr>
                <w:b/>
                <w:bCs/>
              </w:rPr>
              <w:t>calculations)</w:t>
            </w:r>
            <w:r w:rsidR="007D3D29" w:rsidRPr="00024E8D">
              <w:rPr>
                <w:b/>
                <w:bCs/>
              </w:rPr>
              <w:t>.</w:t>
            </w:r>
            <w:r w:rsidRPr="00024E8D">
              <w:rPr>
                <w:b/>
                <w:bCs/>
              </w:rPr>
              <w:t xml:space="preserve"> </w:t>
            </w:r>
            <w:r w:rsidRPr="007600D9">
              <w:t>The process of design must prioritise genuine co-design, which includes the different sub-communities that may exist to ensure the design process reflect</w:t>
            </w:r>
            <w:r w:rsidR="00510921" w:rsidRPr="007600D9">
              <w:t>s</w:t>
            </w:r>
            <w:r w:rsidRPr="007600D9">
              <w:t xml:space="preserve"> all health and wellbeing needs (not just those who </w:t>
            </w:r>
            <w:r w:rsidR="00510921" w:rsidRPr="007600D9">
              <w:t>can</w:t>
            </w:r>
            <w:r w:rsidRPr="007600D9">
              <w:t xml:space="preserve"> advocate most effectively).</w:t>
            </w:r>
          </w:p>
        </w:tc>
        <w:tc>
          <w:tcPr>
            <w:tcW w:w="2197" w:type="dxa"/>
          </w:tcPr>
          <w:p w14:paraId="41E7635D" w14:textId="77777777" w:rsidR="00AB0735" w:rsidRPr="007600D9" w:rsidRDefault="00AB0735" w:rsidP="00024E8D">
            <w:pPr>
              <w:pStyle w:val="TableText"/>
            </w:pPr>
            <w:r w:rsidRPr="007600D9">
              <w:t xml:space="preserve">Lead </w:t>
            </w:r>
            <w:r w:rsidR="00D03B9A" w:rsidRPr="007600D9">
              <w:t>e</w:t>
            </w:r>
            <w:r w:rsidRPr="007600D9">
              <w:t>ntity</w:t>
            </w:r>
            <w:r w:rsidR="00B91F0F">
              <w:t>/s</w:t>
            </w:r>
            <w:r w:rsidRPr="007600D9">
              <w:t xml:space="preserve"> </w:t>
            </w:r>
          </w:p>
        </w:tc>
        <w:tc>
          <w:tcPr>
            <w:tcW w:w="2198" w:type="dxa"/>
          </w:tcPr>
          <w:p w14:paraId="64DBB41B" w14:textId="77777777" w:rsidR="00AB0735" w:rsidRPr="007600D9" w:rsidRDefault="00451DB6" w:rsidP="00024E8D">
            <w:pPr>
              <w:pStyle w:val="TableText"/>
            </w:pPr>
            <w:r>
              <w:t>DoHAC</w:t>
            </w:r>
            <w:r w:rsidR="00325948" w:rsidRPr="007600D9">
              <w:t>/NTCO</w:t>
            </w:r>
          </w:p>
          <w:p w14:paraId="5B995363" w14:textId="77777777" w:rsidR="00AB0735" w:rsidRPr="007600D9" w:rsidRDefault="00AB0735" w:rsidP="00024E8D">
            <w:pPr>
              <w:pStyle w:val="TableText"/>
            </w:pPr>
            <w:r w:rsidRPr="007600D9">
              <w:t>PHN</w:t>
            </w:r>
          </w:p>
        </w:tc>
      </w:tr>
      <w:tr w:rsidR="00AB0735" w:rsidRPr="007600D9" w14:paraId="7DF1B088" w14:textId="77777777" w:rsidTr="0084559E">
        <w:tc>
          <w:tcPr>
            <w:tcW w:w="983" w:type="dxa"/>
          </w:tcPr>
          <w:p w14:paraId="1D2AB400" w14:textId="77777777" w:rsidR="00AB0735" w:rsidRPr="007600D9" w:rsidRDefault="0025698E" w:rsidP="00024E8D">
            <w:pPr>
              <w:pStyle w:val="TableText"/>
            </w:pPr>
            <w:r w:rsidRPr="007600D9">
              <w:t>4.</w:t>
            </w:r>
          </w:p>
        </w:tc>
        <w:tc>
          <w:tcPr>
            <w:tcW w:w="9213" w:type="dxa"/>
          </w:tcPr>
          <w:p w14:paraId="0A481635" w14:textId="77777777" w:rsidR="007D3D29" w:rsidRPr="007600D9" w:rsidRDefault="003A6508" w:rsidP="00024E8D">
            <w:pPr>
              <w:pStyle w:val="TableText"/>
            </w:pPr>
            <w:r w:rsidRPr="007600D9">
              <w:rPr>
                <w:b/>
              </w:rPr>
              <w:t>D</w:t>
            </w:r>
            <w:r w:rsidR="00430F7F" w:rsidRPr="007600D9">
              <w:rPr>
                <w:b/>
              </w:rPr>
              <w:t>evelop</w:t>
            </w:r>
            <w:r w:rsidRPr="007600D9">
              <w:rPr>
                <w:b/>
              </w:rPr>
              <w:t>ment</w:t>
            </w:r>
            <w:r w:rsidR="00430F7F" w:rsidRPr="007600D9">
              <w:rPr>
                <w:b/>
              </w:rPr>
              <w:t xml:space="preserve"> </w:t>
            </w:r>
            <w:r w:rsidR="00510921" w:rsidRPr="007600D9">
              <w:rPr>
                <w:b/>
              </w:rPr>
              <w:t xml:space="preserve">of </w:t>
            </w:r>
            <w:r w:rsidR="00430F7F" w:rsidRPr="007600D9">
              <w:rPr>
                <w:b/>
              </w:rPr>
              <w:t xml:space="preserve">a </w:t>
            </w:r>
            <w:r w:rsidR="00510921" w:rsidRPr="007600D9">
              <w:rPr>
                <w:b/>
              </w:rPr>
              <w:t>l</w:t>
            </w:r>
            <w:r w:rsidR="00325948" w:rsidRPr="007600D9">
              <w:rPr>
                <w:b/>
              </w:rPr>
              <w:t xml:space="preserve">ead </w:t>
            </w:r>
            <w:r w:rsidR="00510921" w:rsidRPr="007600D9">
              <w:rPr>
                <w:b/>
              </w:rPr>
              <w:t>e</w:t>
            </w:r>
            <w:r w:rsidR="00325948" w:rsidRPr="007600D9">
              <w:rPr>
                <w:b/>
              </w:rPr>
              <w:t xml:space="preserve">ntity </w:t>
            </w:r>
            <w:r w:rsidR="00430F7F" w:rsidRPr="007600D9">
              <w:rPr>
                <w:b/>
              </w:rPr>
              <w:t>transition plan</w:t>
            </w:r>
            <w:r w:rsidR="00430F7F" w:rsidRPr="007600D9">
              <w:t xml:space="preserve"> (including timing) to enable the transition of existing arrangements from to the </w:t>
            </w:r>
            <w:r w:rsidR="00510921" w:rsidRPr="007600D9">
              <w:t>l</w:t>
            </w:r>
            <w:r w:rsidR="00430F7F" w:rsidRPr="007600D9">
              <w:t xml:space="preserve">ead </w:t>
            </w:r>
            <w:r w:rsidR="00510921" w:rsidRPr="007600D9">
              <w:t>e</w:t>
            </w:r>
            <w:r w:rsidR="00430F7F" w:rsidRPr="007600D9">
              <w:t>ntity</w:t>
            </w:r>
            <w:r w:rsidR="00B91F0F">
              <w:t>/s</w:t>
            </w:r>
            <w:r w:rsidR="00430F7F" w:rsidRPr="007600D9">
              <w:t xml:space="preserve">. </w:t>
            </w:r>
          </w:p>
          <w:p w14:paraId="0A889732" w14:textId="77777777" w:rsidR="00AB0735" w:rsidRPr="007600D9" w:rsidRDefault="007D3D29" w:rsidP="00024E8D">
            <w:pPr>
              <w:pStyle w:val="TableText"/>
            </w:pPr>
            <w:r w:rsidRPr="007600D9">
              <w:rPr>
                <w:b/>
              </w:rPr>
              <w:t>Note:</w:t>
            </w:r>
            <w:r w:rsidRPr="007600D9">
              <w:t xml:space="preserve"> </w:t>
            </w:r>
            <w:r w:rsidR="00430F7F" w:rsidRPr="007600D9">
              <w:t>This transition process must include a review by Health</w:t>
            </w:r>
            <w:r w:rsidR="00325948" w:rsidRPr="007600D9">
              <w:t xml:space="preserve"> and/or other relevant departments and agencies</w:t>
            </w:r>
            <w:r w:rsidR="00430F7F" w:rsidRPr="007600D9">
              <w:t xml:space="preserve"> of the funding amounts and program guidelines to enable service responses developed and community needs</w:t>
            </w:r>
            <w:r w:rsidR="005A7833" w:rsidRPr="007600D9">
              <w:t xml:space="preserve"> and priorities</w:t>
            </w:r>
            <w:r w:rsidR="00430F7F" w:rsidRPr="007600D9">
              <w:t xml:space="preserve"> identified by the </w:t>
            </w:r>
            <w:r w:rsidR="00510921" w:rsidRPr="007600D9">
              <w:t>l</w:t>
            </w:r>
            <w:r w:rsidR="00430F7F" w:rsidRPr="007600D9">
              <w:t xml:space="preserve">ead </w:t>
            </w:r>
            <w:r w:rsidR="00510921" w:rsidRPr="007600D9">
              <w:t>e</w:t>
            </w:r>
            <w:r w:rsidR="00430F7F" w:rsidRPr="007600D9">
              <w:t>ntity</w:t>
            </w:r>
            <w:r w:rsidR="00B91F0F">
              <w:t>/s</w:t>
            </w:r>
            <w:r w:rsidR="00B37BED" w:rsidRPr="007600D9">
              <w:t xml:space="preserve"> </w:t>
            </w:r>
            <w:r w:rsidR="00430F7F" w:rsidRPr="007600D9">
              <w:t>to be addressed as best as possible.</w:t>
            </w:r>
          </w:p>
        </w:tc>
        <w:tc>
          <w:tcPr>
            <w:tcW w:w="2197" w:type="dxa"/>
          </w:tcPr>
          <w:p w14:paraId="351D0586" w14:textId="77777777" w:rsidR="00AB0735" w:rsidRPr="007600D9" w:rsidRDefault="00AB0735" w:rsidP="00024E8D">
            <w:pPr>
              <w:pStyle w:val="TableText"/>
            </w:pPr>
            <w:r w:rsidRPr="007600D9">
              <w:t>Lead entity</w:t>
            </w:r>
            <w:r w:rsidR="00B91F0F">
              <w:t>/s</w:t>
            </w:r>
          </w:p>
          <w:p w14:paraId="3569AD89" w14:textId="77777777" w:rsidR="00AB0735" w:rsidRPr="007600D9" w:rsidRDefault="00451DB6" w:rsidP="00024E8D">
            <w:pPr>
              <w:pStyle w:val="TableText"/>
            </w:pPr>
            <w:r>
              <w:t>DoHAC</w:t>
            </w:r>
            <w:r w:rsidR="00325948" w:rsidRPr="007600D9">
              <w:t>/NTCO</w:t>
            </w:r>
          </w:p>
        </w:tc>
        <w:tc>
          <w:tcPr>
            <w:tcW w:w="2198" w:type="dxa"/>
          </w:tcPr>
          <w:p w14:paraId="32334207" w14:textId="77777777" w:rsidR="007D3D29" w:rsidRPr="007600D9" w:rsidRDefault="00216F83" w:rsidP="00024E8D">
            <w:pPr>
              <w:pStyle w:val="TableText"/>
            </w:pPr>
            <w:r w:rsidRPr="007600D9">
              <w:t>PHNs</w:t>
            </w:r>
          </w:p>
          <w:p w14:paraId="7378D78A" w14:textId="77777777" w:rsidR="00AB0735" w:rsidRPr="007600D9" w:rsidRDefault="00C3772B" w:rsidP="00024E8D">
            <w:pPr>
              <w:pStyle w:val="TableText"/>
            </w:pPr>
            <w:r w:rsidRPr="007600D9">
              <w:t xml:space="preserve">Other </w:t>
            </w:r>
            <w:r w:rsidR="006B75C1" w:rsidRPr="007600D9">
              <w:t xml:space="preserve">Australian Government department (e.g. National Indigenous </w:t>
            </w:r>
            <w:r w:rsidR="004314DF" w:rsidRPr="007600D9">
              <w:t>Australians</w:t>
            </w:r>
            <w:r w:rsidR="006B75C1" w:rsidRPr="007600D9">
              <w:t xml:space="preserve"> Agency)</w:t>
            </w:r>
          </w:p>
        </w:tc>
      </w:tr>
      <w:tr w:rsidR="00B1332A" w:rsidRPr="007600D9" w14:paraId="707FF5E3" w14:textId="77777777" w:rsidTr="0084559E">
        <w:tc>
          <w:tcPr>
            <w:tcW w:w="983" w:type="dxa"/>
          </w:tcPr>
          <w:p w14:paraId="3C0E44B9" w14:textId="77777777" w:rsidR="00B1332A" w:rsidRPr="007600D9" w:rsidRDefault="0025698E" w:rsidP="00024E8D">
            <w:pPr>
              <w:pStyle w:val="TableText"/>
            </w:pPr>
            <w:r w:rsidRPr="007600D9">
              <w:t>5.</w:t>
            </w:r>
          </w:p>
        </w:tc>
        <w:tc>
          <w:tcPr>
            <w:tcW w:w="9213" w:type="dxa"/>
          </w:tcPr>
          <w:p w14:paraId="0A6F35AB" w14:textId="77777777" w:rsidR="00B1332A" w:rsidRPr="007600D9" w:rsidRDefault="00B1332A" w:rsidP="00024E8D">
            <w:pPr>
              <w:pStyle w:val="TableText"/>
            </w:pPr>
            <w:r w:rsidRPr="007600D9">
              <w:rPr>
                <w:b/>
              </w:rPr>
              <w:t>Communication</w:t>
            </w:r>
            <w:r w:rsidRPr="007600D9">
              <w:t xml:space="preserve"> to all contracted service providers, notifying them of the agreed transition process.</w:t>
            </w:r>
          </w:p>
        </w:tc>
        <w:tc>
          <w:tcPr>
            <w:tcW w:w="2197" w:type="dxa"/>
          </w:tcPr>
          <w:p w14:paraId="676A8708" w14:textId="77777777" w:rsidR="00B1332A" w:rsidRPr="007600D9" w:rsidRDefault="00451DB6" w:rsidP="00024E8D">
            <w:pPr>
              <w:pStyle w:val="TableText"/>
            </w:pPr>
            <w:r>
              <w:t>DoHAC</w:t>
            </w:r>
            <w:r w:rsidR="00B1332A" w:rsidRPr="007600D9">
              <w:t>/NCTO</w:t>
            </w:r>
          </w:p>
        </w:tc>
        <w:tc>
          <w:tcPr>
            <w:tcW w:w="2198" w:type="dxa"/>
          </w:tcPr>
          <w:p w14:paraId="7CCB3AA9" w14:textId="77777777" w:rsidR="00B1332A" w:rsidRPr="007600D9" w:rsidRDefault="00B1332A" w:rsidP="00024E8D">
            <w:pPr>
              <w:pStyle w:val="TableText"/>
            </w:pPr>
            <w:r w:rsidRPr="007600D9">
              <w:t xml:space="preserve">Lead </w:t>
            </w:r>
            <w:r w:rsidR="008915EB">
              <w:t>e</w:t>
            </w:r>
            <w:r w:rsidRPr="007600D9">
              <w:t>ntity</w:t>
            </w:r>
            <w:r w:rsidR="00B91F0F">
              <w:t>/s</w:t>
            </w:r>
          </w:p>
          <w:p w14:paraId="1B964FCC" w14:textId="77777777" w:rsidR="00B1332A" w:rsidRPr="007600D9" w:rsidRDefault="00B1332A" w:rsidP="00024E8D">
            <w:pPr>
              <w:pStyle w:val="TableText"/>
            </w:pPr>
            <w:r w:rsidRPr="007600D9">
              <w:t>PHN</w:t>
            </w:r>
          </w:p>
        </w:tc>
      </w:tr>
      <w:tr w:rsidR="00430F7F" w:rsidRPr="00B65F7F" w14:paraId="049B799D" w14:textId="77777777" w:rsidTr="0084559E">
        <w:tc>
          <w:tcPr>
            <w:tcW w:w="983" w:type="dxa"/>
          </w:tcPr>
          <w:p w14:paraId="7808E8D1" w14:textId="77777777" w:rsidR="00430F7F" w:rsidRPr="007600D9" w:rsidRDefault="0025698E" w:rsidP="00024E8D">
            <w:pPr>
              <w:pStyle w:val="TableText"/>
            </w:pPr>
            <w:r w:rsidRPr="007600D9">
              <w:t>6.</w:t>
            </w:r>
          </w:p>
        </w:tc>
        <w:tc>
          <w:tcPr>
            <w:tcW w:w="9213" w:type="dxa"/>
          </w:tcPr>
          <w:p w14:paraId="08D89496" w14:textId="77777777" w:rsidR="00430F7F" w:rsidRPr="007600D9" w:rsidRDefault="00430F7F" w:rsidP="00024E8D">
            <w:pPr>
              <w:pStyle w:val="TableText"/>
            </w:pPr>
            <w:r w:rsidRPr="007600D9">
              <w:rPr>
                <w:b/>
              </w:rPr>
              <w:t>Execution of the</w:t>
            </w:r>
            <w:r w:rsidR="00B1332A" w:rsidRPr="007600D9">
              <w:rPr>
                <w:b/>
              </w:rPr>
              <w:t xml:space="preserve"> </w:t>
            </w:r>
            <w:r w:rsidR="00510921" w:rsidRPr="007600D9">
              <w:rPr>
                <w:b/>
              </w:rPr>
              <w:t>l</w:t>
            </w:r>
            <w:r w:rsidR="00B1332A" w:rsidRPr="007600D9">
              <w:rPr>
                <w:b/>
              </w:rPr>
              <w:t xml:space="preserve">ead </w:t>
            </w:r>
            <w:r w:rsidR="00510921" w:rsidRPr="007600D9">
              <w:rPr>
                <w:b/>
              </w:rPr>
              <w:t>e</w:t>
            </w:r>
            <w:r w:rsidR="00B1332A" w:rsidRPr="007600D9">
              <w:rPr>
                <w:b/>
              </w:rPr>
              <w:t>ntity</w:t>
            </w:r>
            <w:r w:rsidRPr="007600D9">
              <w:rPr>
                <w:b/>
              </w:rPr>
              <w:t xml:space="preserve"> transition plan</w:t>
            </w:r>
            <w:r w:rsidRPr="007600D9">
              <w:t xml:space="preserve">, ensuring the timely transition of contracts for the </w:t>
            </w:r>
            <w:r w:rsidR="00510921" w:rsidRPr="007600D9">
              <w:t>R</w:t>
            </w:r>
            <w:r w:rsidRPr="007600D9">
              <w:t xml:space="preserve">elevant </w:t>
            </w:r>
            <w:r w:rsidR="00510921" w:rsidRPr="007600D9">
              <w:t>H</w:t>
            </w:r>
            <w:r w:rsidRPr="007600D9">
              <w:t>ealth</w:t>
            </w:r>
            <w:r w:rsidRPr="007600D9" w:rsidDel="00510921">
              <w:t xml:space="preserve"> </w:t>
            </w:r>
            <w:r w:rsidR="00510921" w:rsidRPr="007600D9">
              <w:t xml:space="preserve">Programs </w:t>
            </w:r>
            <w:r w:rsidRPr="007600D9">
              <w:t xml:space="preserve">to the </w:t>
            </w:r>
            <w:r w:rsidR="00510921" w:rsidRPr="007600D9">
              <w:t>l</w:t>
            </w:r>
            <w:r w:rsidRPr="007600D9">
              <w:t xml:space="preserve">ead </w:t>
            </w:r>
            <w:r w:rsidR="00510921" w:rsidRPr="007600D9">
              <w:t>e</w:t>
            </w:r>
            <w:r w:rsidRPr="007600D9">
              <w:t>ntity</w:t>
            </w:r>
            <w:r w:rsidR="00B91F0F">
              <w:t>/s</w:t>
            </w:r>
            <w:r w:rsidRPr="007600D9">
              <w:t xml:space="preserve"> in accordance with the agreed time</w:t>
            </w:r>
            <w:r w:rsidR="00510921" w:rsidRPr="007600D9">
              <w:t xml:space="preserve"> </w:t>
            </w:r>
            <w:r w:rsidRPr="007600D9">
              <w:t>frame.</w:t>
            </w:r>
          </w:p>
        </w:tc>
        <w:tc>
          <w:tcPr>
            <w:tcW w:w="2197" w:type="dxa"/>
          </w:tcPr>
          <w:p w14:paraId="77C8FF4D" w14:textId="77777777" w:rsidR="004314DF" w:rsidRPr="007600D9" w:rsidRDefault="004314DF" w:rsidP="00024E8D">
            <w:pPr>
              <w:pStyle w:val="TableText"/>
            </w:pPr>
            <w:r w:rsidRPr="007600D9">
              <w:t>Lead entity</w:t>
            </w:r>
            <w:r w:rsidR="00B91F0F">
              <w:t>/s</w:t>
            </w:r>
          </w:p>
          <w:p w14:paraId="74F731BE" w14:textId="77777777" w:rsidR="00430F7F" w:rsidRPr="007600D9" w:rsidRDefault="00430F7F" w:rsidP="00024E8D">
            <w:pPr>
              <w:pStyle w:val="TableText"/>
            </w:pPr>
          </w:p>
        </w:tc>
        <w:tc>
          <w:tcPr>
            <w:tcW w:w="2198" w:type="dxa"/>
          </w:tcPr>
          <w:p w14:paraId="4A3C4121" w14:textId="77777777" w:rsidR="00430F7F" w:rsidRPr="00B65F7F" w:rsidRDefault="00451DB6" w:rsidP="00024E8D">
            <w:pPr>
              <w:pStyle w:val="TableText"/>
            </w:pPr>
            <w:r>
              <w:t>DoHAC</w:t>
            </w:r>
            <w:r w:rsidR="00B1332A" w:rsidRPr="007600D9">
              <w:t>/NTCO</w:t>
            </w:r>
          </w:p>
        </w:tc>
      </w:tr>
    </w:tbl>
    <w:p w14:paraId="5B9541B8" w14:textId="0C265E9A" w:rsidR="005E2D08" w:rsidRPr="00B65F7F" w:rsidRDefault="0043491A" w:rsidP="00024E8D">
      <w:pPr>
        <w:pStyle w:val="Heading4"/>
      </w:pPr>
      <w:r w:rsidRPr="00B65F7F">
        <w:t xml:space="preserve">Transformation </w:t>
      </w:r>
      <w:r w:rsidR="00510921">
        <w:t>e</w:t>
      </w:r>
      <w:r w:rsidR="005E2D08" w:rsidRPr="00B65F7F">
        <w:t xml:space="preserve">nablers </w:t>
      </w:r>
    </w:p>
    <w:p w14:paraId="080706D7" w14:textId="77777777" w:rsidR="00D92432" w:rsidRPr="00B65F7F" w:rsidRDefault="00D92432" w:rsidP="009442A3">
      <w:pPr>
        <w:pStyle w:val="BodyText"/>
      </w:pPr>
      <w:r w:rsidRPr="00B65F7F">
        <w:t xml:space="preserve">The </w:t>
      </w:r>
      <w:r w:rsidR="004104D0" w:rsidRPr="00B65F7F">
        <w:t>4</w:t>
      </w:r>
      <w:r w:rsidRPr="00B65F7F">
        <w:t xml:space="preserve"> enablers </w:t>
      </w:r>
      <w:r w:rsidR="00D7453E" w:rsidRPr="00B65F7F">
        <w:t>for</w:t>
      </w:r>
      <w:r w:rsidRPr="00B65F7F">
        <w:t xml:space="preserve"> </w:t>
      </w:r>
      <w:r w:rsidR="00690AB2" w:rsidRPr="00B65F7F">
        <w:t xml:space="preserve">the </w:t>
      </w:r>
      <w:r w:rsidRPr="00B65F7F">
        <w:t>Transfor</w:t>
      </w:r>
      <w:r w:rsidRPr="00510921">
        <w:t xml:space="preserve">mation </w:t>
      </w:r>
      <w:r w:rsidR="004104D0" w:rsidRPr="00510921">
        <w:t>Roadmap</w:t>
      </w:r>
      <w:r w:rsidRPr="00510921">
        <w:t xml:space="preserve"> are </w:t>
      </w:r>
      <w:r w:rsidR="004104D0" w:rsidRPr="00510921">
        <w:t xml:space="preserve">set out </w:t>
      </w:r>
      <w:r w:rsidRPr="00510921">
        <w:t>below.</w:t>
      </w:r>
      <w:r w:rsidR="0026792D" w:rsidRPr="00510921">
        <w:t xml:space="preserve"> These</w:t>
      </w:r>
      <w:r w:rsidR="0026792D" w:rsidRPr="00B65F7F">
        <w:t xml:space="preserve"> enablers reflect </w:t>
      </w:r>
      <w:r w:rsidR="003A2C73" w:rsidRPr="00B65F7F">
        <w:t xml:space="preserve">the key concepts </w:t>
      </w:r>
      <w:r w:rsidR="00DA78DE" w:rsidRPr="00B65F7F">
        <w:t>set out</w:t>
      </w:r>
      <w:r w:rsidR="003A2C73" w:rsidRPr="00B65F7F">
        <w:t xml:space="preserve"> in Priority Reforms 2</w:t>
      </w:r>
      <w:r w:rsidR="006736E5" w:rsidRPr="00B65F7F">
        <w:t>, 3 and</w:t>
      </w:r>
      <w:r w:rsidR="003A2C73" w:rsidRPr="00B65F7F">
        <w:t xml:space="preserve"> 4 of the National Agreement</w:t>
      </w:r>
      <w:r w:rsidR="00690AB2" w:rsidRPr="00B65F7F">
        <w:t xml:space="preserve">. For this reason, they have been summarised below rather than </w:t>
      </w:r>
      <w:r w:rsidR="004104D0" w:rsidRPr="00B65F7F">
        <w:t>being</w:t>
      </w:r>
      <w:r w:rsidR="00690AB2" w:rsidRPr="00B65F7F">
        <w:t xml:space="preserve"> restated</w:t>
      </w:r>
      <w:r w:rsidR="00DA78DE" w:rsidRPr="00B65F7F">
        <w:t xml:space="preserve">, as the National Agreement clearly articulates what is required </w:t>
      </w:r>
      <w:r w:rsidR="00E41700" w:rsidRPr="00B65F7F">
        <w:t>when referring to sector investment, sector and government transformation and data collection and sharing</w:t>
      </w:r>
      <w:r w:rsidR="00510921">
        <w:t>:</w:t>
      </w:r>
      <w:r w:rsidR="00E41700" w:rsidRPr="00B65F7F">
        <w:t xml:space="preserve"> </w:t>
      </w:r>
    </w:p>
    <w:p w14:paraId="109E152A" w14:textId="77777777" w:rsidR="00510921" w:rsidRPr="00DD1177" w:rsidRDefault="00510921" w:rsidP="009442A3">
      <w:pPr>
        <w:pStyle w:val="ListBullet2"/>
      </w:pPr>
      <w:r w:rsidRPr="00510921">
        <w:rPr>
          <w:b/>
          <w:bCs/>
        </w:rPr>
        <w:t xml:space="preserve">Transformation Enabler 1: Meaningful investment into </w:t>
      </w:r>
      <w:r w:rsidR="00EA3CA5">
        <w:rPr>
          <w:b/>
          <w:bCs/>
        </w:rPr>
        <w:t>ACCHOs</w:t>
      </w:r>
      <w:r>
        <w:t xml:space="preserve"> –</w:t>
      </w:r>
      <w:r w:rsidRPr="00B65F7F" w:rsidDel="00510921">
        <w:t xml:space="preserve"> </w:t>
      </w:r>
      <w:r w:rsidRPr="00B65F7F">
        <w:t xml:space="preserve">Sustained investment by all levels of </w:t>
      </w:r>
      <w:r w:rsidR="00320061">
        <w:t>g</w:t>
      </w:r>
      <w:r w:rsidRPr="00B65F7F">
        <w:t xml:space="preserve">overnment (led by </w:t>
      </w:r>
      <w:r w:rsidR="00320061">
        <w:t>DoHAC</w:t>
      </w:r>
      <w:r w:rsidRPr="00B65F7F">
        <w:t xml:space="preserve">) in </w:t>
      </w:r>
      <w:r w:rsidR="00EA3CA5">
        <w:t>ACCHOs</w:t>
      </w:r>
      <w:r w:rsidRPr="00B65F7F">
        <w:t xml:space="preserve"> to build the workforce, organisational resources, </w:t>
      </w:r>
      <w:r w:rsidR="00C44EB9" w:rsidRPr="00B65F7F">
        <w:t>skills</w:t>
      </w:r>
      <w:r w:rsidRPr="00B65F7F">
        <w:t xml:space="preserve"> </w:t>
      </w:r>
      <w:r w:rsidRPr="00DD1177">
        <w:t xml:space="preserve">and capabilities to meet the needs of the communities they </w:t>
      </w:r>
      <w:r w:rsidR="002B46E5" w:rsidRPr="00DD1177">
        <w:t>serve and</w:t>
      </w:r>
      <w:r w:rsidRPr="00DD1177">
        <w:t xml:space="preserve"> work collaboratively via regional arrangements (</w:t>
      </w:r>
      <w:r w:rsidR="00DD1177" w:rsidRPr="00DD1177">
        <w:t>Coalition of Peaks, 2020</w:t>
      </w:r>
      <w:r w:rsidRPr="00DD1177">
        <w:t>, 45).</w:t>
      </w:r>
    </w:p>
    <w:p w14:paraId="1B9EA26F" w14:textId="77777777" w:rsidR="00510921" w:rsidRPr="00DD1177" w:rsidRDefault="00510921" w:rsidP="009442A3">
      <w:pPr>
        <w:pStyle w:val="ListBullet2"/>
      </w:pPr>
      <w:r w:rsidRPr="00DD1177">
        <w:rPr>
          <w:b/>
          <w:bCs/>
        </w:rPr>
        <w:t>Transformation Enabler 2: Sector and government transformation</w:t>
      </w:r>
      <w:r w:rsidRPr="00DD1177">
        <w:t xml:space="preserve"> – </w:t>
      </w:r>
      <w:r w:rsidRPr="00DD1177" w:rsidDel="00406F3F">
        <w:t xml:space="preserve">Systemic and structural transformation of mainstream government organisations to improve accountability and respond to the needs of </w:t>
      </w:r>
      <w:r w:rsidR="00C92B46">
        <w:t>Aboriginal and/or Torres Strait Islander</w:t>
      </w:r>
      <w:r w:rsidRPr="00DD1177" w:rsidDel="00406F3F">
        <w:t xml:space="preserve"> people (</w:t>
      </w:r>
      <w:r w:rsidR="00DD1177" w:rsidRPr="00DD1177">
        <w:t>Coalition of Peaks, 2020</w:t>
      </w:r>
      <w:r w:rsidRPr="00DD1177" w:rsidDel="00406F3F">
        <w:t>, 58)</w:t>
      </w:r>
      <w:r w:rsidR="00320061">
        <w:t>.</w:t>
      </w:r>
    </w:p>
    <w:p w14:paraId="2FCA3C50" w14:textId="77777777" w:rsidR="00510921" w:rsidRPr="00DD1177" w:rsidRDefault="00510921" w:rsidP="009442A3">
      <w:pPr>
        <w:pStyle w:val="ListBullet2"/>
        <w:keepNext/>
      </w:pPr>
      <w:r w:rsidRPr="00DD1177">
        <w:rPr>
          <w:b/>
          <w:bCs/>
        </w:rPr>
        <w:lastRenderedPageBreak/>
        <w:t xml:space="preserve">Transformation Enabler 3: Data collection and sharing to ensure transparent information </w:t>
      </w:r>
      <w:r w:rsidRPr="00DD1177">
        <w:t xml:space="preserve">– </w:t>
      </w:r>
      <w:r w:rsidRPr="00DD1177" w:rsidDel="00406F3F">
        <w:t>Shared access to location</w:t>
      </w:r>
      <w:r w:rsidR="00320061">
        <w:t>-</w:t>
      </w:r>
      <w:r w:rsidRPr="00DD1177" w:rsidDel="00406F3F">
        <w:t xml:space="preserve">specific data and information that will support </w:t>
      </w:r>
      <w:r w:rsidR="00C92B46">
        <w:t>Aboriginal and/or Torres Strait Islander</w:t>
      </w:r>
      <w:r w:rsidRPr="00DD1177" w:rsidDel="00406F3F">
        <w:t xml:space="preserve"> communities and organisations to understand the needs of communities and design appropriate and contextually relevant funding arrangements (</w:t>
      </w:r>
      <w:r w:rsidR="00DD1177" w:rsidRPr="00DD1177">
        <w:t>Coalition of Peaks, 2020</w:t>
      </w:r>
      <w:r w:rsidRPr="00DD1177" w:rsidDel="00406F3F">
        <w:t>, 69).</w:t>
      </w:r>
    </w:p>
    <w:p w14:paraId="7C78A78B" w14:textId="77777777" w:rsidR="00510921" w:rsidRPr="00DD1177" w:rsidRDefault="00510921" w:rsidP="009442A3">
      <w:pPr>
        <w:pStyle w:val="ListBullet2"/>
      </w:pPr>
      <w:r w:rsidRPr="00DD1177">
        <w:rPr>
          <w:b/>
          <w:bCs/>
        </w:rPr>
        <w:t xml:space="preserve">Transformation Enabler 4: Promotion of </w:t>
      </w:r>
      <w:r w:rsidR="00320061">
        <w:rPr>
          <w:b/>
          <w:bCs/>
        </w:rPr>
        <w:t>c</w:t>
      </w:r>
      <w:r w:rsidRPr="00DD1177">
        <w:rPr>
          <w:b/>
          <w:bCs/>
        </w:rPr>
        <w:t xml:space="preserve">ultural </w:t>
      </w:r>
      <w:r w:rsidR="00320061">
        <w:rPr>
          <w:b/>
          <w:bCs/>
        </w:rPr>
        <w:t>s</w:t>
      </w:r>
      <w:r w:rsidRPr="00DD1177">
        <w:rPr>
          <w:b/>
          <w:bCs/>
        </w:rPr>
        <w:t xml:space="preserve">afety across the </w:t>
      </w:r>
      <w:r w:rsidR="00320061">
        <w:rPr>
          <w:b/>
          <w:bCs/>
        </w:rPr>
        <w:t>h</w:t>
      </w:r>
      <w:r w:rsidRPr="00DD1177">
        <w:rPr>
          <w:b/>
          <w:bCs/>
        </w:rPr>
        <w:t xml:space="preserve">ealth </w:t>
      </w:r>
      <w:r w:rsidR="00320061">
        <w:rPr>
          <w:b/>
          <w:bCs/>
        </w:rPr>
        <w:t>s</w:t>
      </w:r>
      <w:r w:rsidRPr="00DD1177">
        <w:rPr>
          <w:b/>
          <w:bCs/>
        </w:rPr>
        <w:t xml:space="preserve">ystem </w:t>
      </w:r>
      <w:r w:rsidRPr="00DD1177">
        <w:t xml:space="preserve">– Continued promotion and investment of a culturally safe and responsive healthcare system, where </w:t>
      </w:r>
      <w:r w:rsidR="00D36FA0">
        <w:t>Aboriginal and/or Torres Strait Islander</w:t>
      </w:r>
      <w:r w:rsidRPr="00DD1177">
        <w:t xml:space="preserve"> peoples can choose where to access health services, ensuring that these are free from racism (</w:t>
      </w:r>
      <w:r w:rsidR="00DD1177" w:rsidRPr="00DD1177">
        <w:t>Coalition of Peaks, 2020</w:t>
      </w:r>
      <w:r w:rsidRPr="00DD1177">
        <w:t xml:space="preserve">, 59). </w:t>
      </w:r>
    </w:p>
    <w:p w14:paraId="3BC08192" w14:textId="77777777" w:rsidR="009704D1" w:rsidRPr="00B65F7F" w:rsidRDefault="009704D1" w:rsidP="00E41700">
      <w:pPr>
        <w:rPr>
          <w:rFonts w:ascii="Calibri" w:hAnsi="Calibri" w:cs="Calibri"/>
          <w:sz w:val="22"/>
          <w:szCs w:val="22"/>
        </w:rPr>
      </w:pPr>
    </w:p>
    <w:p w14:paraId="6337A477" w14:textId="77777777" w:rsidR="00921CDD" w:rsidRPr="00B65F7F" w:rsidRDefault="00921CDD" w:rsidP="00E41700">
      <w:pPr>
        <w:rPr>
          <w:rFonts w:ascii="Calibri" w:hAnsi="Calibri" w:cs="Calibri"/>
          <w:sz w:val="22"/>
          <w:szCs w:val="22"/>
        </w:rPr>
        <w:sectPr w:rsidR="00921CDD" w:rsidRPr="00B65F7F" w:rsidSect="002B05C0">
          <w:headerReference w:type="default" r:id="rId43"/>
          <w:footerReference w:type="default" r:id="rId44"/>
          <w:pgSz w:w="16838" w:h="11906" w:orient="landscape" w:code="9"/>
          <w:pgMar w:top="1134" w:right="1134" w:bottom="1276" w:left="1134" w:header="720" w:footer="720" w:gutter="0"/>
          <w:cols w:space="720"/>
          <w:docGrid w:linePitch="326"/>
        </w:sectPr>
      </w:pPr>
    </w:p>
    <w:p w14:paraId="68AD4EAE" w14:textId="4BF30ECF" w:rsidR="00921CDD" w:rsidRPr="00B65F7F" w:rsidRDefault="00921CDD" w:rsidP="009442A3">
      <w:pPr>
        <w:pStyle w:val="Heading2"/>
      </w:pPr>
      <w:bookmarkStart w:id="157" w:name="_Toc156932010"/>
      <w:r w:rsidRPr="00B65F7F">
        <w:lastRenderedPageBreak/>
        <w:t xml:space="preserve">Next </w:t>
      </w:r>
      <w:r w:rsidR="009240EC" w:rsidRPr="00B65F7F">
        <w:t>s</w:t>
      </w:r>
      <w:r w:rsidRPr="00B65F7F">
        <w:t>teps</w:t>
      </w:r>
      <w:bookmarkEnd w:id="157"/>
    </w:p>
    <w:p w14:paraId="5BB0672A" w14:textId="77777777" w:rsidR="003A6950" w:rsidRDefault="003A6950" w:rsidP="009442A3">
      <w:pPr>
        <w:pStyle w:val="BodyText"/>
      </w:pPr>
      <w:r>
        <w:t xml:space="preserve">This report outlines an ambitious pathway to transform funding arrangements for all </w:t>
      </w:r>
      <w:r w:rsidRPr="00B65F7F">
        <w:t xml:space="preserve">programs and services designed to support </w:t>
      </w:r>
      <w:r>
        <w:t>Aboriginal and/or Torres Strait Islander</w:t>
      </w:r>
      <w:r w:rsidRPr="00B65F7F">
        <w:t xml:space="preserve"> people</w:t>
      </w:r>
      <w:r>
        <w:t xml:space="preserve">. While the scope of the </w:t>
      </w:r>
      <w:r w:rsidR="00251E32">
        <w:t>R</w:t>
      </w:r>
      <w:r>
        <w:t xml:space="preserve">eview was limited to the Relevant Health Programs, the </w:t>
      </w:r>
      <w:r w:rsidR="00251E32">
        <w:t>R</w:t>
      </w:r>
      <w:r>
        <w:t>eview identified that</w:t>
      </w:r>
      <w:r w:rsidRPr="00B65F7F">
        <w:t xml:space="preserve"> to be truly effective</w:t>
      </w:r>
      <w:r>
        <w:t xml:space="preserve"> and to align with the National Agreement</w:t>
      </w:r>
      <w:r w:rsidRPr="00B65F7F">
        <w:t>, the arrangements (including the principles</w:t>
      </w:r>
      <w:r>
        <w:t xml:space="preserve"> and enablers that underpin the preferred future-state funding arrangements</w:t>
      </w:r>
      <w:r w:rsidRPr="00B65F7F">
        <w:t>) must apply to all programs and services</w:t>
      </w:r>
      <w:r>
        <w:t xml:space="preserve">. It is only by doing so that genuine progress can be made to </w:t>
      </w:r>
      <w:r w:rsidRPr="00B65F7F">
        <w:t>improve</w:t>
      </w:r>
      <w:r>
        <w:t xml:space="preserve"> the</w:t>
      </w:r>
      <w:r w:rsidRPr="00B65F7F">
        <w:t xml:space="preserve"> health and wellbeing</w:t>
      </w:r>
      <w:r>
        <w:t xml:space="preserve"> of Aboriginal and/or Torres Strait Islander</w:t>
      </w:r>
      <w:r w:rsidRPr="00B65F7F">
        <w:t xml:space="preserve"> people</w:t>
      </w:r>
      <w:r>
        <w:t>.</w:t>
      </w:r>
    </w:p>
    <w:p w14:paraId="19729D10" w14:textId="77777777" w:rsidR="003A6950" w:rsidRDefault="00251E32" w:rsidP="009442A3">
      <w:pPr>
        <w:pStyle w:val="BodyText"/>
      </w:pPr>
      <w:r>
        <w:t>M</w:t>
      </w:r>
      <w:r w:rsidR="003A6950">
        <w:t>ov</w:t>
      </w:r>
      <w:r>
        <w:t>ing</w:t>
      </w:r>
      <w:r w:rsidR="003A6950">
        <w:t xml:space="preserve"> </w:t>
      </w:r>
      <w:r w:rsidR="003A6950" w:rsidRPr="00B65F7F">
        <w:t>from the current state to the</w:t>
      </w:r>
      <w:r w:rsidR="00BC18E3">
        <w:t xml:space="preserve"> recommended</w:t>
      </w:r>
      <w:r w:rsidR="003A6950" w:rsidRPr="00B65F7F">
        <w:t xml:space="preserve"> future-state funding arrangements will require a transformative effort</w:t>
      </w:r>
      <w:r w:rsidR="003A6950">
        <w:t xml:space="preserve"> by all stakeholders involved. Most critically, </w:t>
      </w:r>
      <w:r w:rsidR="003A6950" w:rsidRPr="00B65F7F">
        <w:t>such change will require patience, commitment, agility and openness to working differently</w:t>
      </w:r>
      <w:r w:rsidR="003A6950">
        <w:t xml:space="preserve"> –</w:t>
      </w:r>
      <w:r w:rsidR="003A6950" w:rsidRPr="00B65F7F">
        <w:t xml:space="preserve"> </w:t>
      </w:r>
      <w:r w:rsidR="003A6950">
        <w:t>p</w:t>
      </w:r>
      <w:r w:rsidR="003A6950" w:rsidRPr="00B65F7F">
        <w:t>articularly for the Australian Government. It will also require time</w:t>
      </w:r>
      <w:r w:rsidR="003A6950">
        <w:t xml:space="preserve"> (working at the </w:t>
      </w:r>
      <w:r w:rsidR="00791FF2">
        <w:t>pace</w:t>
      </w:r>
      <w:r w:rsidR="003A6950">
        <w:t xml:space="preserve"> of Aboriginal and/or Torres Strait Islander communities)</w:t>
      </w:r>
      <w:r w:rsidR="003A6950" w:rsidRPr="00B65F7F">
        <w:t xml:space="preserve"> and meaningful investment that extends beyond electoral cycles and the timing often afforded to government initiatives. Ultimately, it will require new ways of working and decision-making consistent with the National Agreement. </w:t>
      </w:r>
    </w:p>
    <w:p w14:paraId="5D002A61" w14:textId="77777777" w:rsidR="00BC18E3" w:rsidRDefault="003A6950" w:rsidP="009442A3">
      <w:pPr>
        <w:pStyle w:val="BodyText"/>
      </w:pPr>
      <w:r>
        <w:t>While the challenges are profound, the opportunities are also immense. It is therefore recommended that the Australian Government embrace both the challenges and the opportunities to transform the funding arrangements for Aboriginal and/or Torres Strait Islander-directed services</w:t>
      </w:r>
      <w:r w:rsidR="00BC18E3">
        <w:t xml:space="preserve">, starting with an </w:t>
      </w:r>
      <w:r w:rsidR="00413FC9">
        <w:t>EAP</w:t>
      </w:r>
      <w:r w:rsidR="00BC18E3">
        <w:t xml:space="preserve"> to provide lessons and clarity around the strengths and weaknesses of each funding arrangement. </w:t>
      </w:r>
    </w:p>
    <w:p w14:paraId="6A66B496" w14:textId="77777777" w:rsidR="003A6950" w:rsidRDefault="003A6950" w:rsidP="009442A3">
      <w:pPr>
        <w:pStyle w:val="BodyText"/>
      </w:pPr>
      <w:r>
        <w:t xml:space="preserve">By doing so, the Australian Government can take a significant and meaningful step towards ensuring that </w:t>
      </w:r>
      <w:r w:rsidRPr="00001BB5">
        <w:t>Aboriginal and</w:t>
      </w:r>
      <w:r>
        <w:t>/or</w:t>
      </w:r>
      <w:r w:rsidRPr="00001BB5">
        <w:t xml:space="preserve"> Torres Strait Islander people enjoy long and healthy lives</w:t>
      </w:r>
      <w:r>
        <w:t xml:space="preserve">, representing a key step </w:t>
      </w:r>
      <w:r w:rsidRPr="003059AB">
        <w:t xml:space="preserve">to </w:t>
      </w:r>
      <w:r>
        <w:t xml:space="preserve">ensuring the </w:t>
      </w:r>
      <w:r w:rsidRPr="003059AB">
        <w:t xml:space="preserve">life outcomes </w:t>
      </w:r>
      <w:r>
        <w:t xml:space="preserve">of Aboriginal and/or Torres Strait Islander peoples </w:t>
      </w:r>
      <w:r w:rsidRPr="003059AB">
        <w:t>are equal to those of all Australians</w:t>
      </w:r>
      <w:r>
        <w:t>.</w:t>
      </w:r>
    </w:p>
    <w:p w14:paraId="012AC72C" w14:textId="77777777" w:rsidR="00125246" w:rsidRPr="00B65F7F" w:rsidRDefault="00125246" w:rsidP="00292E56">
      <w:pPr>
        <w:pStyle w:val="BodyText"/>
      </w:pPr>
    </w:p>
    <w:p w14:paraId="61278CF1" w14:textId="77777777" w:rsidR="005E2D08" w:rsidRPr="00B65F7F" w:rsidRDefault="00921CDD" w:rsidP="00292E56">
      <w:pPr>
        <w:pStyle w:val="BodyText"/>
        <w:sectPr w:rsidR="005E2D08" w:rsidRPr="00B65F7F" w:rsidSect="002B05C0">
          <w:headerReference w:type="default" r:id="rId45"/>
          <w:footerReference w:type="default" r:id="rId46"/>
          <w:pgSz w:w="11906" w:h="16838" w:code="9"/>
          <w:pgMar w:top="1134" w:right="1134" w:bottom="1440" w:left="1134" w:header="720" w:footer="720" w:gutter="0"/>
          <w:cols w:space="720"/>
          <w:docGrid w:linePitch="326"/>
        </w:sectPr>
      </w:pPr>
      <w:r w:rsidRPr="00B65F7F">
        <w:t xml:space="preserve"> </w:t>
      </w:r>
    </w:p>
    <w:p w14:paraId="4556EEF7" w14:textId="0B684D85" w:rsidR="00F923B6" w:rsidRPr="00B65F7F" w:rsidRDefault="00F923B6" w:rsidP="009442A3">
      <w:pPr>
        <w:pStyle w:val="Heading2"/>
      </w:pPr>
      <w:bookmarkStart w:id="158" w:name="_mxvr7g2ep7cz" w:colFirst="0" w:colLast="0"/>
      <w:bookmarkStart w:id="159" w:name="_c4pt1civo049" w:colFirst="0" w:colLast="0"/>
      <w:bookmarkStart w:id="160" w:name="_Toc156932011"/>
      <w:bookmarkEnd w:id="158"/>
      <w:bookmarkEnd w:id="159"/>
      <w:r w:rsidRPr="00B65F7F">
        <w:lastRenderedPageBreak/>
        <w:t>References</w:t>
      </w:r>
      <w:bookmarkEnd w:id="160"/>
    </w:p>
    <w:p w14:paraId="331A50E0" w14:textId="77777777" w:rsidR="00F923B6" w:rsidRPr="007200E5" w:rsidRDefault="00F923B6" w:rsidP="009442A3">
      <w:pPr>
        <w:pStyle w:val="References"/>
      </w:pPr>
      <w:r w:rsidRPr="007200E5">
        <w:t xml:space="preserve">Australian Government (2020) </w:t>
      </w:r>
      <w:hyperlink r:id="rId47" w:history="1">
        <w:r w:rsidRPr="007200E5">
          <w:rPr>
            <w:rStyle w:val="Hyperlink"/>
            <w:i/>
          </w:rPr>
          <w:t>6. Priority Reform Two – Building the community-controlled sector</w:t>
        </w:r>
      </w:hyperlink>
      <w:r w:rsidR="00251E32" w:rsidRPr="007200E5">
        <w:t>,</w:t>
      </w:r>
      <w:r w:rsidRPr="007200E5">
        <w:t xml:space="preserve"> </w:t>
      </w:r>
      <w:r w:rsidR="00251E32" w:rsidRPr="007200E5">
        <w:t>Closing the Gap.</w:t>
      </w:r>
    </w:p>
    <w:p w14:paraId="139D5E5F" w14:textId="6E04EC67" w:rsidR="00CC375D" w:rsidRPr="007200E5" w:rsidRDefault="00CC375D" w:rsidP="007F34E3">
      <w:pPr>
        <w:pStyle w:val="References"/>
      </w:pPr>
      <w:r w:rsidRPr="007200E5">
        <w:t xml:space="preserve">Australian Institute of Aboriginal and Torres Strait Islander Studies (2020) </w:t>
      </w:r>
      <w:r w:rsidRPr="007200E5">
        <w:rPr>
          <w:i/>
          <w:iCs/>
        </w:rPr>
        <w:t xml:space="preserve">AIATSIS Code of </w:t>
      </w:r>
      <w:r w:rsidR="0002261D" w:rsidRPr="007200E5">
        <w:rPr>
          <w:i/>
          <w:iCs/>
        </w:rPr>
        <w:t>e</w:t>
      </w:r>
      <w:r w:rsidRPr="007200E5">
        <w:rPr>
          <w:i/>
          <w:iCs/>
        </w:rPr>
        <w:t xml:space="preserve">thics for Aboriginal and Torres Strait Islander </w:t>
      </w:r>
      <w:r w:rsidR="0002261D" w:rsidRPr="007200E5">
        <w:rPr>
          <w:i/>
          <w:iCs/>
        </w:rPr>
        <w:t>r</w:t>
      </w:r>
      <w:r w:rsidRPr="007200E5">
        <w:rPr>
          <w:i/>
          <w:iCs/>
        </w:rPr>
        <w:t>esearch</w:t>
      </w:r>
      <w:r w:rsidR="00251E32" w:rsidRPr="007200E5">
        <w:t>,</w:t>
      </w:r>
      <w:r w:rsidRPr="007200E5">
        <w:t xml:space="preserve"> AIATSIS, Canberra. </w:t>
      </w:r>
    </w:p>
    <w:p w14:paraId="173A1072" w14:textId="77777777" w:rsidR="00F923B6" w:rsidRPr="007200E5" w:rsidRDefault="00F923B6" w:rsidP="009442A3">
      <w:pPr>
        <w:pStyle w:val="References"/>
        <w:rPr>
          <w:color w:val="000000" w:themeColor="text1"/>
        </w:rPr>
      </w:pPr>
      <w:r w:rsidRPr="007200E5">
        <w:rPr>
          <w:color w:val="000000" w:themeColor="text1"/>
        </w:rPr>
        <w:t xml:space="preserve">Coalition of Peaks (2020) </w:t>
      </w:r>
      <w:hyperlink r:id="rId48" w:history="1">
        <w:r w:rsidRPr="007200E5">
          <w:rPr>
            <w:rStyle w:val="Hyperlink"/>
            <w:i/>
          </w:rPr>
          <w:t>National Agreement on Closing the Gap</w:t>
        </w:r>
      </w:hyperlink>
      <w:r w:rsidR="00251E32" w:rsidRPr="007200E5">
        <w:rPr>
          <w:color w:val="000000" w:themeColor="text1"/>
        </w:rPr>
        <w:t>,</w:t>
      </w:r>
      <w:r w:rsidRPr="007200E5">
        <w:rPr>
          <w:color w:val="000000" w:themeColor="text1"/>
        </w:rPr>
        <w:t xml:space="preserve"> </w:t>
      </w:r>
      <w:r w:rsidR="00251E32" w:rsidRPr="007200E5">
        <w:rPr>
          <w:color w:val="000000" w:themeColor="text1"/>
        </w:rPr>
        <w:t>Coalition of Aboriginal and Torres Strait Islander Peak Organisations, and all Australian Governments.</w:t>
      </w:r>
    </w:p>
    <w:p w14:paraId="2995A627" w14:textId="77777777" w:rsidR="008E63F9" w:rsidRPr="007200E5" w:rsidRDefault="008E63F9" w:rsidP="009442A3">
      <w:pPr>
        <w:pStyle w:val="References"/>
        <w:rPr>
          <w:color w:val="000000" w:themeColor="text1"/>
        </w:rPr>
      </w:pPr>
      <w:r w:rsidRPr="007200E5">
        <w:rPr>
          <w:color w:val="000000" w:themeColor="text1"/>
        </w:rPr>
        <w:t xml:space="preserve">Commonwealth of Australia (2017) </w:t>
      </w:r>
      <w:hyperlink r:id="rId49" w:history="1">
        <w:r w:rsidR="006B7B8F" w:rsidRPr="007200E5">
          <w:rPr>
            <w:rStyle w:val="Hyperlink"/>
            <w:i/>
          </w:rPr>
          <w:t>National Strategic Framework for Aboriginal and/or Torres Strait Islander Peoples’ Mental Health and Social and Emotional Wellbeing 2017-2023</w:t>
        </w:r>
      </w:hyperlink>
      <w:r w:rsidR="00251E32" w:rsidRPr="007200E5">
        <w:rPr>
          <w:color w:val="000000" w:themeColor="text1"/>
        </w:rPr>
        <w:t>,</w:t>
      </w:r>
      <w:r w:rsidRPr="007200E5">
        <w:rPr>
          <w:color w:val="000000" w:themeColor="text1"/>
        </w:rPr>
        <w:t xml:space="preserve"> Department of the Prime Minister and Cabinet</w:t>
      </w:r>
      <w:r w:rsidR="00251E32" w:rsidRPr="007200E5">
        <w:rPr>
          <w:color w:val="000000" w:themeColor="text1"/>
        </w:rPr>
        <w:t>, Canberra</w:t>
      </w:r>
      <w:r w:rsidRPr="007200E5">
        <w:rPr>
          <w:color w:val="000000" w:themeColor="text1"/>
        </w:rPr>
        <w:t>.</w:t>
      </w:r>
    </w:p>
    <w:p w14:paraId="488C378F" w14:textId="4DEE1331" w:rsidR="000C3F43" w:rsidRPr="007200E5" w:rsidRDefault="000C3F43" w:rsidP="000C3F43">
      <w:pPr>
        <w:pStyle w:val="References"/>
      </w:pPr>
      <w:r w:rsidRPr="007200E5">
        <w:t xml:space="preserve">Cooke M (2023) </w:t>
      </w:r>
      <w:hyperlink r:id="rId50" w:history="1">
        <w:r w:rsidRPr="007200E5">
          <w:rPr>
            <w:rStyle w:val="Hyperlink"/>
            <w:i/>
            <w:iCs/>
          </w:rPr>
          <w:t>Torres &amp; Cape Health Care (TORCH) Commissioning Fund</w:t>
        </w:r>
      </w:hyperlink>
      <w:r w:rsidRPr="007200E5">
        <w:t xml:space="preserve">, Queensland Aboriginal and Islander Health Council. </w:t>
      </w:r>
    </w:p>
    <w:p w14:paraId="013ACBF2" w14:textId="77777777" w:rsidR="006B7B8F" w:rsidRPr="007200E5" w:rsidRDefault="006B7B8F" w:rsidP="009442A3">
      <w:pPr>
        <w:pStyle w:val="References"/>
        <w:rPr>
          <w:color w:val="000000" w:themeColor="text1"/>
        </w:rPr>
      </w:pPr>
      <w:r w:rsidRPr="007200E5">
        <w:rPr>
          <w:color w:val="000000" w:themeColor="text1"/>
        </w:rPr>
        <w:t xml:space="preserve">Department of Health (2021) </w:t>
      </w:r>
      <w:hyperlink r:id="rId51" w:history="1">
        <w:r w:rsidRPr="007200E5">
          <w:rPr>
            <w:rStyle w:val="Hyperlink"/>
            <w:i/>
            <w:iCs/>
          </w:rPr>
          <w:t>National Aboriginal and Torres Strait Islander Health Plan 2021–2031</w:t>
        </w:r>
      </w:hyperlink>
      <w:r w:rsidRPr="007200E5">
        <w:rPr>
          <w:color w:val="000000" w:themeColor="text1"/>
        </w:rPr>
        <w:t>, Australian Government.</w:t>
      </w:r>
    </w:p>
    <w:p w14:paraId="47AEC527" w14:textId="77777777" w:rsidR="00B85CD0" w:rsidRPr="007200E5" w:rsidRDefault="00B85CD0" w:rsidP="009442A3">
      <w:pPr>
        <w:pStyle w:val="References"/>
        <w:rPr>
          <w:color w:val="000000" w:themeColor="text1"/>
        </w:rPr>
      </w:pPr>
      <w:r w:rsidRPr="007200E5">
        <w:rPr>
          <w:color w:val="000000" w:themeColor="text1"/>
        </w:rPr>
        <w:t xml:space="preserve">Department of Health and Ageing (2013) </w:t>
      </w:r>
      <w:hyperlink r:id="rId52" w:history="1">
        <w:r w:rsidRPr="007200E5">
          <w:rPr>
            <w:rStyle w:val="Hyperlink"/>
            <w:i/>
            <w:iCs/>
          </w:rPr>
          <w:t>National Aboriginal and Torres Strait Islander Health Plan 2013–2023</w:t>
        </w:r>
      </w:hyperlink>
      <w:r w:rsidRPr="007200E5">
        <w:rPr>
          <w:color w:val="000000" w:themeColor="text1"/>
        </w:rPr>
        <w:t>, Australian Government.</w:t>
      </w:r>
    </w:p>
    <w:p w14:paraId="16CE3287" w14:textId="77777777" w:rsidR="00385D8B" w:rsidRDefault="00385D8B" w:rsidP="009442A3">
      <w:pPr>
        <w:pStyle w:val="References"/>
      </w:pPr>
      <w:r w:rsidRPr="007200E5">
        <w:t>Dudgeon P, Br</w:t>
      </w:r>
      <w:r w:rsidRPr="00385D8B">
        <w:t>ay A, Darlaston-Jones D</w:t>
      </w:r>
      <w:r>
        <w:t xml:space="preserve"> and</w:t>
      </w:r>
      <w:r w:rsidRPr="00385D8B">
        <w:t xml:space="preserve"> Walker R</w:t>
      </w:r>
      <w:r>
        <w:t xml:space="preserve"> (</w:t>
      </w:r>
      <w:r w:rsidRPr="00385D8B">
        <w:t>2020</w:t>
      </w:r>
      <w:r>
        <w:t>)</w:t>
      </w:r>
      <w:r w:rsidRPr="00385D8B">
        <w:t xml:space="preserve"> </w:t>
      </w:r>
      <w:r w:rsidRPr="009442A3">
        <w:rPr>
          <w:i/>
          <w:iCs/>
        </w:rPr>
        <w:t>Aboriginal participatory action research: An Indigenous research methodology strengthening decolonisation and social and emotional wellbeing</w:t>
      </w:r>
      <w:r w:rsidRPr="00385D8B">
        <w:t>, Discussion Paper, Lowitja Institute, Melbourne</w:t>
      </w:r>
      <w:r>
        <w:t>, doi</w:t>
      </w:r>
      <w:r w:rsidRPr="00385D8B">
        <w:t>:10.48455/smch-8z2</w:t>
      </w:r>
      <w:r>
        <w:t>.</w:t>
      </w:r>
    </w:p>
    <w:p w14:paraId="7F751D50" w14:textId="77777777" w:rsidR="00B03E52" w:rsidRPr="007200E5" w:rsidRDefault="00B03E52" w:rsidP="009442A3">
      <w:pPr>
        <w:pStyle w:val="References"/>
        <w:rPr>
          <w:color w:val="000000" w:themeColor="text1"/>
        </w:rPr>
      </w:pPr>
      <w:r w:rsidRPr="007200E5">
        <w:rPr>
          <w:color w:val="000000" w:themeColor="text1"/>
        </w:rPr>
        <w:t>Gollan S and Stacey K (2021) </w:t>
      </w:r>
      <w:hyperlink r:id="rId53" w:tgtFrame="_blank" w:history="1">
        <w:r w:rsidRPr="007200E5">
          <w:rPr>
            <w:rStyle w:val="Hyperlink"/>
            <w:i/>
          </w:rPr>
          <w:t>First Nations cultural safety framework</w:t>
        </w:r>
      </w:hyperlink>
      <w:r w:rsidR="00285306" w:rsidRPr="007200E5">
        <w:rPr>
          <w:color w:val="000000" w:themeColor="text1"/>
        </w:rPr>
        <w:t>,</w:t>
      </w:r>
      <w:r w:rsidRPr="007200E5">
        <w:rPr>
          <w:color w:val="000000" w:themeColor="text1"/>
        </w:rPr>
        <w:t xml:space="preserve"> A</w:t>
      </w:r>
      <w:r w:rsidR="00285306" w:rsidRPr="007200E5">
        <w:rPr>
          <w:color w:val="000000" w:themeColor="text1"/>
        </w:rPr>
        <w:t xml:space="preserve">ustralian </w:t>
      </w:r>
      <w:r w:rsidRPr="007200E5">
        <w:rPr>
          <w:color w:val="000000" w:themeColor="text1"/>
        </w:rPr>
        <w:t>E</w:t>
      </w:r>
      <w:r w:rsidR="00285306" w:rsidRPr="007200E5">
        <w:rPr>
          <w:color w:val="000000" w:themeColor="text1"/>
        </w:rPr>
        <w:t xml:space="preserve">valuation </w:t>
      </w:r>
      <w:r w:rsidRPr="007200E5">
        <w:rPr>
          <w:color w:val="000000" w:themeColor="text1"/>
        </w:rPr>
        <w:t>S</w:t>
      </w:r>
      <w:r w:rsidR="00285306" w:rsidRPr="007200E5">
        <w:rPr>
          <w:color w:val="000000" w:themeColor="text1"/>
        </w:rPr>
        <w:t>ociety</w:t>
      </w:r>
      <w:r w:rsidRPr="007200E5">
        <w:rPr>
          <w:color w:val="000000" w:themeColor="text1"/>
        </w:rPr>
        <w:t>.</w:t>
      </w:r>
    </w:p>
    <w:p w14:paraId="520D486B" w14:textId="5B115B90" w:rsidR="00D6464B" w:rsidRPr="007200E5" w:rsidRDefault="00D6464B" w:rsidP="009442A3">
      <w:pPr>
        <w:pStyle w:val="References"/>
      </w:pPr>
      <w:r w:rsidRPr="007200E5">
        <w:t xml:space="preserve">IUIH (2016, unpublished) </w:t>
      </w:r>
      <w:r w:rsidRPr="007200E5">
        <w:rPr>
          <w:i/>
          <w:iCs/>
        </w:rPr>
        <w:t>Evaluation of the IUIH CSS program</w:t>
      </w:r>
      <w:r w:rsidRPr="007200E5">
        <w:t xml:space="preserve">, Institute of Urban Indigenous Health. </w:t>
      </w:r>
    </w:p>
    <w:p w14:paraId="4AF26FB6" w14:textId="69FAB561" w:rsidR="005B7E5F" w:rsidRPr="007200E5" w:rsidRDefault="005B7E5F" w:rsidP="009442A3">
      <w:pPr>
        <w:pStyle w:val="References"/>
      </w:pPr>
      <w:r w:rsidRPr="007200E5">
        <w:t xml:space="preserve">National Aboriginal and/or Torres Strait Islander Leadership in Mental Health (2015) </w:t>
      </w:r>
      <w:hyperlink r:id="rId54" w:history="1">
        <w:r w:rsidRPr="007200E5">
          <w:rPr>
            <w:rStyle w:val="Hyperlink"/>
            <w:i/>
            <w:iCs/>
          </w:rPr>
          <w:t>Gayaa Dhuwi (Proud Spirit) Declaration: A companion declaration to the Wharerātā Declaration for use by Aboriginal and/or Torres Strait Islander peoples</w:t>
        </w:r>
      </w:hyperlink>
      <w:r w:rsidRPr="007200E5">
        <w:t>, NATSILMH. </w:t>
      </w:r>
    </w:p>
    <w:p w14:paraId="51B4774D" w14:textId="77777777" w:rsidR="005B7E5F" w:rsidRPr="007200E5" w:rsidRDefault="005B7E5F" w:rsidP="009442A3">
      <w:pPr>
        <w:pStyle w:val="References"/>
      </w:pPr>
      <w:r w:rsidRPr="007200E5">
        <w:t xml:space="preserve">National Mental Health Commission (2015) </w:t>
      </w:r>
      <w:r w:rsidRPr="007200E5">
        <w:rPr>
          <w:i/>
          <w:iCs/>
        </w:rPr>
        <w:t>National Review of Mental Health Programmes and Services</w:t>
      </w:r>
      <w:r w:rsidRPr="007200E5">
        <w:t xml:space="preserve">, Australian Government. </w:t>
      </w:r>
    </w:p>
    <w:p w14:paraId="1351AB2E" w14:textId="77777777" w:rsidR="00820DD6" w:rsidRPr="00C36A9B" w:rsidRDefault="00820DD6" w:rsidP="009442A3">
      <w:pPr>
        <w:pStyle w:val="References"/>
        <w:rPr>
          <w:lang w:val="en-US"/>
        </w:rPr>
      </w:pPr>
      <w:r w:rsidRPr="007200E5">
        <w:t>NHMRC (Natio</w:t>
      </w:r>
      <w:r w:rsidRPr="00C36A9B">
        <w:t xml:space="preserve">nal Health and Medical Research Council) (2007, updated 2018) </w:t>
      </w:r>
      <w:r w:rsidRPr="00C36A9B">
        <w:rPr>
          <w:i/>
          <w:iCs/>
        </w:rPr>
        <w:t>National statement on ethical conduct in human research</w:t>
      </w:r>
      <w:r w:rsidRPr="00C36A9B">
        <w:t>, National Health and Medical Research Council, the Australian Research Council and Universities Australia, Commonwealth of Australia, Canberra.</w:t>
      </w:r>
      <w:r w:rsidRPr="00C36A9B">
        <w:rPr>
          <w:lang w:val="en-US"/>
        </w:rPr>
        <w:t> </w:t>
      </w:r>
    </w:p>
    <w:p w14:paraId="3F20ADE5" w14:textId="399F7ABD" w:rsidR="009A3A29" w:rsidRPr="00C36A9B" w:rsidRDefault="00B03E52" w:rsidP="009442A3">
      <w:pPr>
        <w:pStyle w:val="References"/>
        <w:rPr>
          <w:color w:val="000000"/>
        </w:rPr>
      </w:pPr>
      <w:r w:rsidRPr="007200E5">
        <w:rPr>
          <w:color w:val="000000"/>
        </w:rPr>
        <w:t>Productivity</w:t>
      </w:r>
      <w:r w:rsidRPr="00C36A9B">
        <w:rPr>
          <w:color w:val="000000"/>
        </w:rPr>
        <w:t xml:space="preserve"> Commission (2020)</w:t>
      </w:r>
      <w:r w:rsidR="002A529B" w:rsidRPr="00C36A9B">
        <w:rPr>
          <w:color w:val="000000"/>
        </w:rPr>
        <w:t xml:space="preserve"> </w:t>
      </w:r>
      <w:hyperlink r:id="rId55" w:tgtFrame="_blank" w:history="1">
        <w:r w:rsidR="0002261D">
          <w:rPr>
            <w:rStyle w:val="Hyperlink"/>
            <w:i/>
            <w:iCs/>
          </w:rPr>
          <w:t>Indigenous evaluation strategy</w:t>
        </w:r>
      </w:hyperlink>
      <w:r w:rsidR="00285306" w:rsidRPr="00C36A9B">
        <w:rPr>
          <w:color w:val="222222"/>
        </w:rPr>
        <w:t>,</w:t>
      </w:r>
      <w:r w:rsidRPr="00C36A9B">
        <w:rPr>
          <w:color w:val="222222"/>
        </w:rPr>
        <w:t xml:space="preserve"> </w:t>
      </w:r>
      <w:r w:rsidRPr="00C36A9B">
        <w:rPr>
          <w:color w:val="000000"/>
        </w:rPr>
        <w:t>PC,</w:t>
      </w:r>
      <w:r w:rsidR="00285306" w:rsidRPr="00C36A9B">
        <w:rPr>
          <w:color w:val="000000"/>
        </w:rPr>
        <w:t xml:space="preserve"> Canberra</w:t>
      </w:r>
      <w:r w:rsidRPr="00C36A9B">
        <w:rPr>
          <w:color w:val="000000"/>
        </w:rPr>
        <w:t>.</w:t>
      </w:r>
    </w:p>
    <w:p w14:paraId="01C5D016" w14:textId="38904DA5" w:rsidR="007E12C7" w:rsidRDefault="007E12C7" w:rsidP="009442A3">
      <w:pPr>
        <w:pStyle w:val="References"/>
      </w:pPr>
      <w:r w:rsidRPr="007200E5">
        <w:t>Torres</w:t>
      </w:r>
      <w:r w:rsidRPr="007E12C7">
        <w:t xml:space="preserve"> &amp; Cape Health Fund (2023) </w:t>
      </w:r>
      <w:hyperlink r:id="rId56" w:history="1">
        <w:r w:rsidRPr="007E12C7">
          <w:rPr>
            <w:rStyle w:val="Hyperlink"/>
            <w:i/>
            <w:iCs/>
          </w:rPr>
          <w:t>Torres &amp; Cape Health Care Commissioning Fund (TORCH)</w:t>
        </w:r>
      </w:hyperlink>
      <w:r>
        <w:t>, Queensland Government</w:t>
      </w:r>
      <w:r w:rsidRPr="007E12C7">
        <w:t xml:space="preserve">. </w:t>
      </w:r>
    </w:p>
    <w:p w14:paraId="4077871F" w14:textId="60002CDC" w:rsidR="00597B5E" w:rsidRPr="00600E01" w:rsidRDefault="00786D27" w:rsidP="009442A3">
      <w:pPr>
        <w:pStyle w:val="References"/>
        <w:sectPr w:rsidR="00597B5E" w:rsidRPr="00600E01" w:rsidSect="002B05C0">
          <w:headerReference w:type="default" r:id="rId57"/>
          <w:footerReference w:type="default" r:id="rId58"/>
          <w:pgSz w:w="11906" w:h="16838" w:code="9"/>
          <w:pgMar w:top="1134" w:right="1134" w:bottom="1440" w:left="1134" w:header="720" w:footer="720" w:gutter="0"/>
          <w:cols w:space="720"/>
          <w:docGrid w:linePitch="326"/>
        </w:sectPr>
      </w:pPr>
      <w:r w:rsidRPr="007200E5">
        <w:t>Vos</w:t>
      </w:r>
      <w:r w:rsidRPr="00C36A9B">
        <w:t xml:space="preserve"> T, Carter R, Barendregt J, Mihalopoulos C, Veerman JL, Magnus A, Cobiac L, Bertram MY,</w:t>
      </w:r>
      <w:r w:rsidR="000B479E" w:rsidRPr="00C36A9B">
        <w:t xml:space="preserve"> </w:t>
      </w:r>
      <w:r w:rsidRPr="00C36A9B">
        <w:t>Wallace AL</w:t>
      </w:r>
      <w:r w:rsidR="00285306" w:rsidRPr="00C36A9B">
        <w:t xml:space="preserve"> and</w:t>
      </w:r>
      <w:r w:rsidRPr="00C36A9B">
        <w:t xml:space="preserve"> ACE–P</w:t>
      </w:r>
      <w:r w:rsidRPr="00600E01">
        <w:t xml:space="preserve">revention Team (2010) </w:t>
      </w:r>
      <w:r w:rsidRPr="0098562E">
        <w:rPr>
          <w:i/>
          <w:iCs/>
        </w:rPr>
        <w:t xml:space="preserve">Assessing </w:t>
      </w:r>
      <w:r w:rsidR="00285306" w:rsidRPr="0098562E">
        <w:rPr>
          <w:i/>
          <w:iCs/>
        </w:rPr>
        <w:t>c</w:t>
      </w:r>
      <w:r w:rsidRPr="0098562E">
        <w:rPr>
          <w:i/>
          <w:iCs/>
        </w:rPr>
        <w:t>ost-</w:t>
      </w:r>
      <w:r w:rsidR="00285306" w:rsidRPr="0098562E">
        <w:rPr>
          <w:i/>
          <w:iCs/>
        </w:rPr>
        <w:t>e</w:t>
      </w:r>
      <w:r w:rsidRPr="0098562E">
        <w:rPr>
          <w:i/>
          <w:iCs/>
        </w:rPr>
        <w:t xml:space="preserve">ffectiveness in </w:t>
      </w:r>
      <w:r w:rsidR="00285306" w:rsidRPr="0098562E">
        <w:rPr>
          <w:i/>
          <w:iCs/>
        </w:rPr>
        <w:t>p</w:t>
      </w:r>
      <w:r w:rsidRPr="0098562E">
        <w:rPr>
          <w:i/>
          <w:iCs/>
        </w:rPr>
        <w:t>revention (ACE–Prevention): Final Report</w:t>
      </w:r>
      <w:r w:rsidR="00285306" w:rsidRPr="00600E01">
        <w:t>,</w:t>
      </w:r>
      <w:r w:rsidRPr="00600E01">
        <w:t xml:space="preserve"> University of Queensland, Brisbane and Deakin University, Melbourne.</w:t>
      </w:r>
      <w:bookmarkEnd w:id="43"/>
    </w:p>
    <w:p w14:paraId="44877665" w14:textId="1C78FE8A" w:rsidR="00597B5E" w:rsidRPr="00B65F7F" w:rsidRDefault="00597B5E" w:rsidP="00974A68">
      <w:pPr>
        <w:pStyle w:val="Heading1App"/>
        <w:rPr>
          <w:highlight w:val="yellow"/>
        </w:rPr>
      </w:pPr>
      <w:bookmarkStart w:id="161" w:name="Appendix1"/>
      <w:bookmarkStart w:id="162" w:name="_Toc145955266"/>
      <w:bookmarkStart w:id="163" w:name="_Toc156932012"/>
      <w:r w:rsidRPr="00B65F7F">
        <w:lastRenderedPageBreak/>
        <w:t>Appendix 1</w:t>
      </w:r>
      <w:bookmarkEnd w:id="161"/>
      <w:r w:rsidR="006C172C">
        <w:t xml:space="preserve"> –</w:t>
      </w:r>
      <w:r w:rsidRPr="00B65F7F">
        <w:t xml:space="preserve"> Towards self-determination</w:t>
      </w:r>
      <w:bookmarkEnd w:id="162"/>
      <w:bookmarkEnd w:id="163"/>
      <w:r w:rsidRPr="00B65F7F">
        <w:t xml:space="preserve"> </w:t>
      </w:r>
    </w:p>
    <w:p w14:paraId="1BD5DB22" w14:textId="77777777" w:rsidR="00597B5E" w:rsidRPr="00B65F7F" w:rsidRDefault="00597B5E" w:rsidP="009B2EA8">
      <w:pPr>
        <w:pStyle w:val="BodyText"/>
      </w:pPr>
      <w:r w:rsidRPr="00B65F7F">
        <w:t xml:space="preserve">This appendix explores Indigenous self-determination as it relates to the commissioning, funding, implementation, monitoring and governance of healthcare services for </w:t>
      </w:r>
      <w:r>
        <w:t>Aboriginal and/or Torres Strait Islander</w:t>
      </w:r>
      <w:r w:rsidRPr="00B65F7F">
        <w:t xml:space="preserve"> peoples. This is provided through:</w:t>
      </w:r>
    </w:p>
    <w:p w14:paraId="7644640A" w14:textId="77777777" w:rsidR="00597B5E" w:rsidRPr="00B65F7F" w:rsidRDefault="00597B5E" w:rsidP="009B2EA8">
      <w:pPr>
        <w:pStyle w:val="ListBullet2"/>
        <w:rPr>
          <w:rFonts w:eastAsia="Roboto"/>
        </w:rPr>
      </w:pPr>
      <w:r w:rsidRPr="00B65F7F">
        <w:rPr>
          <w:rFonts w:eastAsia="Roboto"/>
        </w:rPr>
        <w:t xml:space="preserve">a brief historical context of funding </w:t>
      </w:r>
      <w:r>
        <w:rPr>
          <w:rFonts w:eastAsia="Roboto"/>
        </w:rPr>
        <w:t>Aboriginal and/or Torres Strait Islander</w:t>
      </w:r>
      <w:r w:rsidRPr="00B65F7F">
        <w:rPr>
          <w:rFonts w:eastAsia="Roboto"/>
        </w:rPr>
        <w:t xml:space="preserve"> services (</w:t>
      </w:r>
      <w:r w:rsidRPr="00F0334E">
        <w:rPr>
          <w:rFonts w:eastAsia="Roboto"/>
          <w:b/>
          <w:bCs/>
        </w:rPr>
        <w:t>1</w:t>
      </w:r>
      <w:r w:rsidRPr="00B65F7F">
        <w:rPr>
          <w:rFonts w:eastAsia="Roboto"/>
          <w:b/>
          <w:bCs/>
        </w:rPr>
        <w:t>.</w:t>
      </w:r>
      <w:r w:rsidRPr="00B65F7F" w:rsidDel="00AC1532">
        <w:rPr>
          <w:rFonts w:eastAsia="Roboto"/>
          <w:b/>
          <w:bCs/>
        </w:rPr>
        <w:t>1</w:t>
      </w:r>
      <w:r w:rsidRPr="00B65F7F">
        <w:rPr>
          <w:rFonts w:eastAsia="Roboto"/>
        </w:rPr>
        <w:t>)</w:t>
      </w:r>
    </w:p>
    <w:p w14:paraId="38BED8C8" w14:textId="77777777" w:rsidR="00597B5E" w:rsidRPr="00B65F7F" w:rsidRDefault="00597B5E" w:rsidP="009B2EA8">
      <w:pPr>
        <w:pStyle w:val="ListBullet2"/>
        <w:rPr>
          <w:rFonts w:eastAsia="Roboto"/>
        </w:rPr>
      </w:pPr>
      <w:r>
        <w:rPr>
          <w:rFonts w:eastAsia="Roboto"/>
        </w:rPr>
        <w:t xml:space="preserve">an exploration of </w:t>
      </w:r>
      <w:r w:rsidRPr="00B65F7F">
        <w:rPr>
          <w:rFonts w:eastAsia="Roboto"/>
        </w:rPr>
        <w:t>Indigenous self-determination (</w:t>
      </w:r>
      <w:r w:rsidRPr="00B65F7F">
        <w:rPr>
          <w:rFonts w:eastAsia="Roboto"/>
          <w:b/>
          <w:bCs/>
        </w:rPr>
        <w:t>1.2</w:t>
      </w:r>
      <w:r w:rsidRPr="00B65F7F">
        <w:rPr>
          <w:rFonts w:eastAsia="Roboto"/>
        </w:rPr>
        <w:t xml:space="preserve">) </w:t>
      </w:r>
    </w:p>
    <w:p w14:paraId="0C8F41F5" w14:textId="77777777" w:rsidR="00597B5E" w:rsidRPr="00B65F7F" w:rsidRDefault="00597B5E" w:rsidP="009B2EA8">
      <w:pPr>
        <w:pStyle w:val="ListBullet2"/>
        <w:rPr>
          <w:rFonts w:eastAsia="Roboto"/>
        </w:rPr>
      </w:pPr>
      <w:r>
        <w:rPr>
          <w:rFonts w:eastAsia="Roboto"/>
        </w:rPr>
        <w:t xml:space="preserve">a look at </w:t>
      </w:r>
      <w:r w:rsidRPr="00B65F7F">
        <w:rPr>
          <w:rFonts w:eastAsia="Roboto"/>
        </w:rPr>
        <w:t>current policy priorities such as the National Agreement (</w:t>
      </w:r>
      <w:r w:rsidRPr="00B65F7F">
        <w:rPr>
          <w:rFonts w:eastAsia="Roboto"/>
          <w:b/>
          <w:bCs/>
        </w:rPr>
        <w:t>1.3</w:t>
      </w:r>
      <w:r w:rsidRPr="00B65F7F">
        <w:rPr>
          <w:rFonts w:eastAsia="Roboto"/>
        </w:rPr>
        <w:t>)</w:t>
      </w:r>
      <w:r>
        <w:rPr>
          <w:rFonts w:eastAsia="Roboto"/>
        </w:rPr>
        <w:t>.</w:t>
      </w:r>
      <w:r w:rsidRPr="00B65F7F">
        <w:rPr>
          <w:rFonts w:eastAsia="Roboto"/>
        </w:rPr>
        <w:t xml:space="preserve"> </w:t>
      </w:r>
    </w:p>
    <w:p w14:paraId="6EE20A8D" w14:textId="77777777" w:rsidR="00597B5E" w:rsidRPr="00B65F7F" w:rsidRDefault="00CC7DEE" w:rsidP="009B2EA8">
      <w:pPr>
        <w:pStyle w:val="BodyText1stparaafterlist"/>
      </w:pPr>
      <w:r>
        <w:t>S</w:t>
      </w:r>
      <w:r w:rsidR="00597B5E" w:rsidRPr="00B65F7F">
        <w:t xml:space="preserve">elf-determination </w:t>
      </w:r>
      <w:r>
        <w:t>is</w:t>
      </w:r>
      <w:r w:rsidR="00597B5E" w:rsidRPr="00B65F7F">
        <w:t xml:space="preserve"> critical for </w:t>
      </w:r>
      <w:r>
        <w:t>Aboriginal and/or Torres Strait Islander</w:t>
      </w:r>
      <w:r w:rsidRPr="00B65F7F">
        <w:t xml:space="preserve"> health and wellbeing services (and community and individual health and wellbeing)</w:t>
      </w:r>
      <w:r>
        <w:t>. T</w:t>
      </w:r>
      <w:r w:rsidR="00597B5E" w:rsidRPr="00B65F7F">
        <w:t xml:space="preserve">he </w:t>
      </w:r>
      <w:r w:rsidR="00867831">
        <w:t>Review Team</w:t>
      </w:r>
      <w:r w:rsidR="00597B5E" w:rsidRPr="00B65F7F">
        <w:t xml:space="preserve"> </w:t>
      </w:r>
      <w:r w:rsidR="00597B5E">
        <w:t>has</w:t>
      </w:r>
      <w:r w:rsidR="00597B5E" w:rsidRPr="00B65F7F">
        <w:t xml:space="preserve"> </w:t>
      </w:r>
      <w:r>
        <w:t xml:space="preserve">therefore </w:t>
      </w:r>
      <w:r w:rsidR="00597B5E" w:rsidRPr="00B65F7F">
        <w:t>centred self-determination as a central tenet to be embedded across each stage of the commissioning, funding, implementing, monitoring and governance processes.</w:t>
      </w:r>
    </w:p>
    <w:p w14:paraId="70BBA60D" w14:textId="5313E522" w:rsidR="00597B5E" w:rsidRPr="00B65F7F" w:rsidRDefault="00BB7F03" w:rsidP="006734AE">
      <w:pPr>
        <w:pStyle w:val="HeadingLevel2NoNumber"/>
      </w:pPr>
      <w:r>
        <w:t xml:space="preserve">A1.1 </w:t>
      </w:r>
      <w:r w:rsidR="00597B5E" w:rsidRPr="00B65F7F">
        <w:t xml:space="preserve">Historical funding of </w:t>
      </w:r>
      <w:r w:rsidR="00597B5E">
        <w:t>Aboriginal and/or Torres Strait Islander</w:t>
      </w:r>
      <w:r w:rsidR="00597B5E" w:rsidRPr="00B65F7F">
        <w:t xml:space="preserve"> services</w:t>
      </w:r>
    </w:p>
    <w:p w14:paraId="69DE310A" w14:textId="77777777" w:rsidR="00597B5E" w:rsidRPr="00B65F7F" w:rsidRDefault="00597B5E" w:rsidP="009B2EA8">
      <w:pPr>
        <w:pStyle w:val="BodyText"/>
      </w:pPr>
      <w:r w:rsidRPr="00B65F7F">
        <w:t xml:space="preserve">Over the years, </w:t>
      </w:r>
      <w:r>
        <w:t>Aboriginal and/or Torres Strait Islander</w:t>
      </w:r>
      <w:r w:rsidRPr="00B65F7F">
        <w:t xml:space="preserve"> funding has been administered by a number of government agencies and non-government organisations. Below is a brief description of a few key moments in the shift of funding between and away from government agencies. </w:t>
      </w:r>
    </w:p>
    <w:p w14:paraId="0C0C3144" w14:textId="77777777" w:rsidR="00597B5E" w:rsidRPr="00B65F7F" w:rsidRDefault="00597B5E" w:rsidP="00844472">
      <w:pPr>
        <w:pStyle w:val="HeadingLevel3NoNumber"/>
      </w:pPr>
      <w:bookmarkStart w:id="164" w:name="_f8njw2fudhym" w:colFirst="0" w:colLast="0"/>
      <w:bookmarkEnd w:id="164"/>
      <w:r w:rsidRPr="00B65F7F">
        <w:t xml:space="preserve">The </w:t>
      </w:r>
      <w:r>
        <w:t>Aboriginal and/or Torres Strait Islander</w:t>
      </w:r>
      <w:r w:rsidRPr="00B65F7F">
        <w:t xml:space="preserve"> Commission</w:t>
      </w:r>
    </w:p>
    <w:p w14:paraId="4ACAAF01" w14:textId="77777777" w:rsidR="00597B5E" w:rsidRPr="00754AE2" w:rsidRDefault="00597B5E" w:rsidP="009B2EA8">
      <w:pPr>
        <w:pStyle w:val="BodyText"/>
      </w:pPr>
      <w:r w:rsidRPr="00B65F7F">
        <w:t xml:space="preserve">The </w:t>
      </w:r>
      <w:r>
        <w:t>Aboriginal and/or Torres Strait Islander</w:t>
      </w:r>
      <w:r w:rsidRPr="00B65F7F">
        <w:t xml:space="preserve"> Commission (ATSIC) was an </w:t>
      </w:r>
      <w:r>
        <w:t>Aboriginal and/or Torres Strait Islander</w:t>
      </w:r>
      <w:r w:rsidRPr="00B65F7F">
        <w:t xml:space="preserve"> </w:t>
      </w:r>
      <w:r>
        <w:t>g</w:t>
      </w:r>
      <w:r w:rsidRPr="00B65F7F">
        <w:t xml:space="preserve">overnment agency, whose vision was to enable </w:t>
      </w:r>
      <w:r>
        <w:t>Aboriginal and/or Torres Strait Islander</w:t>
      </w:r>
      <w:r w:rsidRPr="00B65F7F">
        <w:t xml:space="preserve"> peoples to be formally involved in government processes affecting their lives</w:t>
      </w:r>
      <w:r>
        <w:t>.</w:t>
      </w:r>
      <w:r w:rsidRPr="00B65F7F">
        <w:t xml:space="preserve"> </w:t>
      </w:r>
      <w:r>
        <w:t>I</w:t>
      </w:r>
      <w:r w:rsidRPr="00B65F7F">
        <w:t>t was established in 1990 and subsequently dissolved in 200</w:t>
      </w:r>
      <w:r w:rsidRPr="00754AE2">
        <w:t xml:space="preserve">5 (Pratt and Bennett, 2004, </w:t>
      </w:r>
      <w:r>
        <w:t>p. </w:t>
      </w:r>
      <w:r w:rsidRPr="00754AE2">
        <w:t xml:space="preserve">7; Victorian Aboriginal Health Service, n.d.; Behrendt, 2005, </w:t>
      </w:r>
      <w:r>
        <w:t>p. </w:t>
      </w:r>
      <w:r w:rsidRPr="00754AE2">
        <w:t xml:space="preserve">1). </w:t>
      </w:r>
    </w:p>
    <w:p w14:paraId="5CA8A722" w14:textId="77777777" w:rsidR="00597B5E" w:rsidRPr="00B65F7F" w:rsidRDefault="00597B5E" w:rsidP="009B2EA8">
      <w:pPr>
        <w:pStyle w:val="BodyText"/>
      </w:pPr>
      <w:r w:rsidRPr="00754AE2">
        <w:t xml:space="preserve">The objectives of ATSIC were set out in Section 3 of the </w:t>
      </w:r>
      <w:r>
        <w:rPr>
          <w:i/>
        </w:rPr>
        <w:t>Aboriginal and/or Torres Strait Islander</w:t>
      </w:r>
      <w:r w:rsidRPr="00F0334E">
        <w:rPr>
          <w:i/>
        </w:rPr>
        <w:t xml:space="preserve"> Commission Act 1989</w:t>
      </w:r>
      <w:r w:rsidRPr="00754AE2">
        <w:t xml:space="preserve"> (Cth) and included (Pratt and Bennett, 2004, </w:t>
      </w:r>
      <w:r>
        <w:t>p. </w:t>
      </w:r>
      <w:r w:rsidRPr="00754AE2">
        <w:t xml:space="preserve">4; Behrendt, 2005, </w:t>
      </w:r>
      <w:r>
        <w:t>p. </w:t>
      </w:r>
      <w:r w:rsidRPr="00754AE2">
        <w:t>1):</w:t>
      </w:r>
    </w:p>
    <w:p w14:paraId="4D20A129" w14:textId="77777777" w:rsidR="00597B5E" w:rsidRPr="00B65F7F" w:rsidRDefault="00597B5E" w:rsidP="009B2EA8">
      <w:pPr>
        <w:pStyle w:val="ListBullet2"/>
        <w:rPr>
          <w:rFonts w:eastAsia="Roboto"/>
        </w:rPr>
      </w:pPr>
      <w:r w:rsidRPr="00B65F7F">
        <w:rPr>
          <w:rFonts w:eastAsia="Roboto"/>
        </w:rPr>
        <w:t xml:space="preserve">Ensuring ‘maximum participation of </w:t>
      </w:r>
      <w:r>
        <w:rPr>
          <w:rFonts w:eastAsia="Roboto"/>
        </w:rPr>
        <w:t>Aboriginal and/or Torres Strait Islander</w:t>
      </w:r>
      <w:r w:rsidRPr="00B65F7F">
        <w:rPr>
          <w:rFonts w:eastAsia="Roboto"/>
        </w:rPr>
        <w:t xml:space="preserve"> people in government policy formulation and implementation’</w:t>
      </w:r>
    </w:p>
    <w:p w14:paraId="77D38B9E" w14:textId="77777777" w:rsidR="00597B5E" w:rsidRPr="00B65F7F" w:rsidRDefault="00597B5E" w:rsidP="009B2EA8">
      <w:pPr>
        <w:pStyle w:val="ListBullet2"/>
        <w:rPr>
          <w:rFonts w:eastAsia="Roboto"/>
        </w:rPr>
      </w:pPr>
      <w:r w:rsidRPr="00B65F7F">
        <w:rPr>
          <w:rFonts w:eastAsia="Roboto"/>
        </w:rPr>
        <w:t xml:space="preserve">Promoting </w:t>
      </w:r>
      <w:r>
        <w:rPr>
          <w:rFonts w:eastAsia="Roboto"/>
        </w:rPr>
        <w:t>Aboriginal and/or Torres Strait Islander</w:t>
      </w:r>
      <w:r w:rsidRPr="00B65F7F">
        <w:rPr>
          <w:rFonts w:eastAsia="Roboto"/>
        </w:rPr>
        <w:t xml:space="preserve"> ‘self-management and self-sufficiency’</w:t>
      </w:r>
    </w:p>
    <w:p w14:paraId="09A0118E" w14:textId="77777777" w:rsidR="00597B5E" w:rsidRPr="00B65F7F" w:rsidRDefault="00597B5E" w:rsidP="009B2EA8">
      <w:pPr>
        <w:pStyle w:val="ListBullet2"/>
        <w:rPr>
          <w:rFonts w:eastAsia="Roboto"/>
        </w:rPr>
      </w:pPr>
      <w:r w:rsidRPr="00B65F7F">
        <w:rPr>
          <w:rFonts w:eastAsia="Roboto"/>
        </w:rPr>
        <w:t xml:space="preserve">Furthering </w:t>
      </w:r>
      <w:r>
        <w:rPr>
          <w:rFonts w:eastAsia="Roboto"/>
        </w:rPr>
        <w:t>Aboriginal and/or Torres Strait Islander</w:t>
      </w:r>
      <w:r w:rsidRPr="00B65F7F">
        <w:rPr>
          <w:rFonts w:eastAsia="Roboto"/>
        </w:rPr>
        <w:t xml:space="preserve"> ‘economic, social and cultural development’</w:t>
      </w:r>
      <w:r w:rsidRPr="00B65F7F" w:rsidDel="001A00A9">
        <w:rPr>
          <w:rFonts w:eastAsia="Roboto"/>
        </w:rPr>
        <w:t>,</w:t>
      </w:r>
    </w:p>
    <w:p w14:paraId="5CCE304D" w14:textId="77777777" w:rsidR="00597B5E" w:rsidRPr="00B65F7F" w:rsidRDefault="00597B5E" w:rsidP="009B2EA8">
      <w:pPr>
        <w:pStyle w:val="ListBullet2"/>
        <w:rPr>
          <w:rFonts w:eastAsia="Roboto"/>
        </w:rPr>
      </w:pPr>
      <w:r w:rsidRPr="00B65F7F">
        <w:rPr>
          <w:rFonts w:eastAsia="Roboto"/>
        </w:rPr>
        <w:t xml:space="preserve">Ensuring the ‘coordination of Commonwealth, state, territory and local government policy affecting’ </w:t>
      </w:r>
      <w:r>
        <w:rPr>
          <w:rFonts w:eastAsia="Roboto"/>
        </w:rPr>
        <w:t>Aboriginal and/or Torres Strait Islander</w:t>
      </w:r>
      <w:r w:rsidRPr="00B65F7F">
        <w:rPr>
          <w:rFonts w:eastAsia="Roboto"/>
        </w:rPr>
        <w:t xml:space="preserve"> peoples</w:t>
      </w:r>
      <w:r>
        <w:rPr>
          <w:rFonts w:eastAsia="Roboto"/>
        </w:rPr>
        <w:t>.</w:t>
      </w:r>
      <w:r w:rsidRPr="00B65F7F">
        <w:rPr>
          <w:rFonts w:eastAsia="Roboto"/>
        </w:rPr>
        <w:t xml:space="preserve"> </w:t>
      </w:r>
    </w:p>
    <w:p w14:paraId="6D1FF142" w14:textId="77777777" w:rsidR="00597B5E" w:rsidRPr="00754AE2" w:rsidRDefault="00597B5E" w:rsidP="009B2EA8">
      <w:pPr>
        <w:pStyle w:val="BodyText1stparaafterlist"/>
      </w:pPr>
      <w:r w:rsidRPr="00B65F7F">
        <w:t>These legislative mandates were completed through advisory and (limited) decision-making capacities, providing the ATSIC with an opportunity to negotiate the direction and prior</w:t>
      </w:r>
      <w:r w:rsidRPr="00754AE2">
        <w:t xml:space="preserve">ities of policy (Behrendt, 2005, </w:t>
      </w:r>
      <w:r>
        <w:t>p. </w:t>
      </w:r>
      <w:r w:rsidRPr="00754AE2">
        <w:t xml:space="preserve">2). It should be noted that the ATSIC did not have fiscal responsibility for education, lost fiscal responsibility for health in 1995 and had supplementary responsibility for social determinant areas including housing and domestic violence (Behrendt, 2005, </w:t>
      </w:r>
      <w:r>
        <w:t>p. </w:t>
      </w:r>
      <w:r w:rsidRPr="00754AE2">
        <w:t>1). The majority</w:t>
      </w:r>
      <w:r w:rsidRPr="00B65F7F">
        <w:t xml:space="preserve"> of</w:t>
      </w:r>
      <w:r w:rsidRPr="00B65F7F" w:rsidDel="001A00A9">
        <w:t xml:space="preserve"> </w:t>
      </w:r>
      <w:r w:rsidRPr="00B65F7F">
        <w:t xml:space="preserve">ATSIC’s budget was quarantined by the government to economic development programs (including the Community Development Employment Project scheme), programs aimed at improving </w:t>
      </w:r>
      <w:r>
        <w:t>Aboriginal and/or Torres Strait Islander</w:t>
      </w:r>
      <w:r w:rsidRPr="00B65F7F">
        <w:t xml:space="preserve"> peoples’ social and physical wellbeing (including the Community Housing and Infrastructure Program) and programs that sought to preserve and promote </w:t>
      </w:r>
      <w:r>
        <w:t>Aboriginal and/or Torres Strait Islander</w:t>
      </w:r>
      <w:r w:rsidRPr="00B65F7F">
        <w:t xml:space="preserve"> culture, heritage, rights and equi</w:t>
      </w:r>
      <w:r w:rsidRPr="00754AE2">
        <w:t xml:space="preserve">ty (Pratt and Bennett, 2004, </w:t>
      </w:r>
      <w:r>
        <w:t>p. </w:t>
      </w:r>
      <w:r w:rsidRPr="00754AE2">
        <w:t xml:space="preserve">9). </w:t>
      </w:r>
    </w:p>
    <w:p w14:paraId="7D775168" w14:textId="5CBEBAC1" w:rsidR="00597B5E" w:rsidRPr="00B65F7F" w:rsidRDefault="00597B5E" w:rsidP="009B2EA8">
      <w:pPr>
        <w:pStyle w:val="BodyText"/>
        <w:keepLines/>
      </w:pPr>
      <w:r w:rsidRPr="00754AE2">
        <w:lastRenderedPageBreak/>
        <w:t>Following ATSIC’s abolition, funding was shifted to federal government departments and portfolios, including many of its functions being superseded by the Office of Indigenous Policy Coordination within the Department of Immigration, Multicultural and Indigenous Affairs (Victorian Aboriginal Health Service, n.d.; Anderson</w:t>
      </w:r>
      <w:r w:rsidR="00D632EA">
        <w:t>,</w:t>
      </w:r>
      <w:r w:rsidRPr="00754AE2">
        <w:t xml:space="preserve"> 2006). Fu</w:t>
      </w:r>
      <w:r w:rsidRPr="00B65F7F">
        <w:t>nctions and funding of services shifted over time, and across many departments and agencies, to the current state at the time of writing this report.</w:t>
      </w:r>
    </w:p>
    <w:p w14:paraId="657AFA4A" w14:textId="77777777" w:rsidR="00597B5E" w:rsidRPr="00B65F7F" w:rsidRDefault="00597B5E" w:rsidP="00BB7F03">
      <w:pPr>
        <w:pStyle w:val="HeadingLevel3NoNumber"/>
      </w:pPr>
      <w:bookmarkStart w:id="165" w:name="_gfzp8on0sfr" w:colFirst="0" w:colLast="0"/>
      <w:bookmarkEnd w:id="165"/>
      <w:r w:rsidRPr="00B65F7F">
        <w:t>Multiple funding sources environment</w:t>
      </w:r>
    </w:p>
    <w:p w14:paraId="39E0DE4C" w14:textId="77777777" w:rsidR="00597B5E" w:rsidRPr="00B65F7F" w:rsidRDefault="00597B5E" w:rsidP="009B2EA8">
      <w:pPr>
        <w:pStyle w:val="BodyText"/>
      </w:pPr>
      <w:r w:rsidRPr="00B65F7F">
        <w:t xml:space="preserve">As of July 2023, </w:t>
      </w:r>
      <w:r>
        <w:t>Aboriginal and/or Torres Strait Islander</w:t>
      </w:r>
      <w:r w:rsidRPr="00B65F7F">
        <w:t xml:space="preserve"> health (including social and emotional wellbeing) is funded through a variety of </w:t>
      </w:r>
      <w:r w:rsidRPr="000E7449">
        <w:t xml:space="preserve">programs, strategies, </w:t>
      </w:r>
      <w:r w:rsidR="00C44EB9" w:rsidRPr="000E7449">
        <w:t>projects,</w:t>
      </w:r>
      <w:r w:rsidRPr="000E7449">
        <w:t xml:space="preserve"> and initiatives </w:t>
      </w:r>
      <w:r w:rsidRPr="00B65F7F">
        <w:t xml:space="preserve">at federal, state and territory and local government levels. </w:t>
      </w:r>
    </w:p>
    <w:p w14:paraId="02BCD54B" w14:textId="77777777" w:rsidR="00597B5E" w:rsidRPr="009B2EA8" w:rsidRDefault="00597B5E" w:rsidP="005D336F">
      <w:pPr>
        <w:pStyle w:val="HeadingLevel4NoNumber"/>
        <w:rPr>
          <w:b w:val="0"/>
        </w:rPr>
      </w:pPr>
      <w:r w:rsidRPr="009B2EA8">
        <w:t>The National Indigenous Australians Agency</w:t>
      </w:r>
    </w:p>
    <w:p w14:paraId="214F3CE5" w14:textId="77777777" w:rsidR="00597B5E" w:rsidRPr="00B65F7F" w:rsidRDefault="00597B5E" w:rsidP="009B2EA8">
      <w:pPr>
        <w:pStyle w:val="BodyText"/>
      </w:pPr>
      <w:r w:rsidRPr="00B65F7F">
        <w:t xml:space="preserve">The National Indigenous Australians Agency (NIAA) was established via Executive Order in May 2019 and seeks to work ‘in genuine partnership to enable the self-determination and aspirations’ of </w:t>
      </w:r>
      <w:r>
        <w:t>Aboriginal and/or Torres Strait Islander</w:t>
      </w:r>
      <w:r w:rsidRPr="00B65F7F">
        <w:t xml:space="preserve"> com</w:t>
      </w:r>
      <w:r w:rsidRPr="00754AE2">
        <w:t>munities (National I</w:t>
      </w:r>
      <w:r w:rsidRPr="00B65F7F">
        <w:t xml:space="preserve">ndigenous Australians Agency, n.d.). The NIAA has </w:t>
      </w:r>
      <w:r w:rsidR="00C44EB9" w:rsidRPr="00B65F7F">
        <w:t>several</w:t>
      </w:r>
      <w:r w:rsidRPr="00B65F7F">
        <w:t xml:space="preserve"> functions including (National Indigenous Australians Agency, n.d.):</w:t>
      </w:r>
    </w:p>
    <w:p w14:paraId="77DFDBD5" w14:textId="77777777" w:rsidR="00597B5E" w:rsidRPr="00B65F7F" w:rsidRDefault="00597B5E" w:rsidP="009B2EA8">
      <w:pPr>
        <w:pStyle w:val="ListBullet2"/>
        <w:rPr>
          <w:rFonts w:eastAsia="Roboto"/>
        </w:rPr>
      </w:pPr>
      <w:r>
        <w:rPr>
          <w:rFonts w:eastAsia="Roboto"/>
        </w:rPr>
        <w:t>l</w:t>
      </w:r>
      <w:r w:rsidRPr="00B65F7F">
        <w:rPr>
          <w:rFonts w:eastAsia="Roboto"/>
        </w:rPr>
        <w:t xml:space="preserve">eading and coordinating ‘policy development, program design and implementation and service delivery’ for </w:t>
      </w:r>
      <w:r>
        <w:rPr>
          <w:rFonts w:eastAsia="Roboto"/>
        </w:rPr>
        <w:t>Aboriginal and/or Torres Strait Islander</w:t>
      </w:r>
      <w:r w:rsidRPr="00B65F7F">
        <w:rPr>
          <w:rFonts w:eastAsia="Roboto"/>
        </w:rPr>
        <w:t xml:space="preserve"> peoples</w:t>
      </w:r>
    </w:p>
    <w:p w14:paraId="62016586" w14:textId="77777777" w:rsidR="00597B5E" w:rsidRPr="00B65F7F" w:rsidRDefault="00597B5E" w:rsidP="009B2EA8">
      <w:pPr>
        <w:pStyle w:val="ListBullet2"/>
        <w:rPr>
          <w:rFonts w:eastAsia="Roboto"/>
        </w:rPr>
      </w:pPr>
      <w:r>
        <w:rPr>
          <w:rFonts w:eastAsia="Roboto"/>
        </w:rPr>
        <w:t>p</w:t>
      </w:r>
      <w:r w:rsidRPr="00B65F7F">
        <w:rPr>
          <w:rFonts w:eastAsia="Roboto"/>
        </w:rPr>
        <w:t xml:space="preserve">roviding ‘advice to the Prime Minister and Minister of Indigenous Australians on whole-of-government priorities’ for </w:t>
      </w:r>
      <w:r>
        <w:rPr>
          <w:rFonts w:eastAsia="Roboto"/>
        </w:rPr>
        <w:t>Aboriginal and/or Torres Strait Islander</w:t>
      </w:r>
      <w:r w:rsidRPr="00B65F7F">
        <w:rPr>
          <w:rFonts w:eastAsia="Roboto"/>
        </w:rPr>
        <w:t xml:space="preserve"> peoples</w:t>
      </w:r>
    </w:p>
    <w:p w14:paraId="6AA0BC24" w14:textId="77777777" w:rsidR="00597B5E" w:rsidRPr="00B65F7F" w:rsidRDefault="00597B5E" w:rsidP="009B2EA8">
      <w:pPr>
        <w:pStyle w:val="ListBullet2"/>
        <w:rPr>
          <w:rFonts w:eastAsia="Roboto"/>
        </w:rPr>
      </w:pPr>
      <w:r>
        <w:rPr>
          <w:rFonts w:eastAsia="Roboto"/>
        </w:rPr>
        <w:t>l</w:t>
      </w:r>
      <w:r w:rsidRPr="00B65F7F">
        <w:rPr>
          <w:rFonts w:eastAsia="Roboto"/>
        </w:rPr>
        <w:t xml:space="preserve">eading and coordinating ‘the development and implementation of Australia’s Closing the Gap targets in partnership with </w:t>
      </w:r>
      <w:r>
        <w:rPr>
          <w:rFonts w:eastAsia="Roboto"/>
        </w:rPr>
        <w:t>Aboriginal and/or Torres Strait Islander</w:t>
      </w:r>
      <w:r w:rsidRPr="00B65F7F">
        <w:rPr>
          <w:rFonts w:eastAsia="Roboto"/>
        </w:rPr>
        <w:t xml:space="preserve"> peoples’</w:t>
      </w:r>
    </w:p>
    <w:p w14:paraId="335E9196" w14:textId="77777777" w:rsidR="00597B5E" w:rsidRPr="00B65F7F" w:rsidRDefault="00597B5E" w:rsidP="009B2EA8">
      <w:pPr>
        <w:pStyle w:val="ListBullet2"/>
        <w:rPr>
          <w:rFonts w:eastAsia="Roboto"/>
        </w:rPr>
      </w:pPr>
      <w:r>
        <w:rPr>
          <w:rFonts w:eastAsia="Roboto"/>
        </w:rPr>
        <w:t>l</w:t>
      </w:r>
      <w:r w:rsidRPr="00B65F7F">
        <w:rPr>
          <w:rFonts w:eastAsia="Roboto"/>
        </w:rPr>
        <w:t>eading Commonwealth activities to promote reconciliation</w:t>
      </w:r>
      <w:r>
        <w:rPr>
          <w:rFonts w:eastAsia="Roboto"/>
        </w:rPr>
        <w:t>.</w:t>
      </w:r>
    </w:p>
    <w:p w14:paraId="4E03FF88" w14:textId="77777777" w:rsidR="00597B5E" w:rsidRPr="00B65F7F" w:rsidRDefault="00597B5E" w:rsidP="009B2EA8">
      <w:pPr>
        <w:pStyle w:val="BodyText1stparaafterlist"/>
      </w:pPr>
      <w:r w:rsidRPr="00B65F7F">
        <w:t>While</w:t>
      </w:r>
      <w:r w:rsidRPr="00B65F7F" w:rsidDel="00DB15AE">
        <w:t xml:space="preserve"> </w:t>
      </w:r>
      <w:r>
        <w:t>Aboriginal and/or Torres Strait Islander</w:t>
      </w:r>
      <w:r w:rsidRPr="00B65F7F">
        <w:t xml:space="preserve"> health is funded </w:t>
      </w:r>
      <w:r>
        <w:t xml:space="preserve">at federal level </w:t>
      </w:r>
      <w:r w:rsidRPr="00B65F7F">
        <w:t xml:space="preserve">through </w:t>
      </w:r>
      <w:r w:rsidR="00F614BA">
        <w:t>DoHAC</w:t>
      </w:r>
      <w:r w:rsidRPr="00B65F7F">
        <w:t xml:space="preserve">, </w:t>
      </w:r>
      <w:r>
        <w:t>many s</w:t>
      </w:r>
      <w:r w:rsidRPr="00B65F7F">
        <w:t xml:space="preserve">ocial and </w:t>
      </w:r>
      <w:r>
        <w:t>e</w:t>
      </w:r>
      <w:r w:rsidRPr="00B65F7F">
        <w:t xml:space="preserve">motional </w:t>
      </w:r>
      <w:r>
        <w:t>w</w:t>
      </w:r>
      <w:r w:rsidRPr="00B65F7F">
        <w:t xml:space="preserve">ellbeing </w:t>
      </w:r>
      <w:r>
        <w:t>programs are</w:t>
      </w:r>
      <w:r w:rsidRPr="00B65F7F">
        <w:t xml:space="preserve"> </w:t>
      </w:r>
      <w:r>
        <w:t xml:space="preserve">funded via </w:t>
      </w:r>
      <w:r w:rsidRPr="00B65F7F">
        <w:t>NIAA</w:t>
      </w:r>
      <w:r>
        <w:t>.</w:t>
      </w:r>
    </w:p>
    <w:p w14:paraId="0A6EEEA8" w14:textId="77777777" w:rsidR="00597B5E" w:rsidRPr="009B2EA8" w:rsidRDefault="00597B5E" w:rsidP="005D336F">
      <w:pPr>
        <w:pStyle w:val="HeadingLevel4NoNumber"/>
        <w:rPr>
          <w:b w:val="0"/>
        </w:rPr>
      </w:pPr>
      <w:r w:rsidRPr="009B2EA8">
        <w:t xml:space="preserve">The Indigenous Australians’ Health Programme through </w:t>
      </w:r>
      <w:r w:rsidR="00F614BA" w:rsidRPr="009B2EA8">
        <w:t>DoHAC</w:t>
      </w:r>
    </w:p>
    <w:p w14:paraId="5CC66C3C" w14:textId="77777777" w:rsidR="00597B5E" w:rsidRPr="00B65F7F" w:rsidRDefault="00597B5E" w:rsidP="009B2EA8">
      <w:pPr>
        <w:pStyle w:val="BodyText"/>
      </w:pPr>
      <w:r w:rsidRPr="00B65F7F">
        <w:t xml:space="preserve">The Indigenous Australians’ Health Programme (IAHP) is a Commonwealth-funded </w:t>
      </w:r>
      <w:r>
        <w:t>Aboriginal and/or Torres Strait Islander</w:t>
      </w:r>
      <w:r w:rsidRPr="00B65F7F">
        <w:t xml:space="preserve"> health program delivering $4.1 billion over </w:t>
      </w:r>
      <w:r>
        <w:t>4</w:t>
      </w:r>
      <w:r w:rsidRPr="00B65F7F">
        <w:t xml:space="preserve"> years (2019</w:t>
      </w:r>
      <w:r>
        <w:t>–</w:t>
      </w:r>
      <w:r w:rsidRPr="00B65F7F">
        <w:t>20</w:t>
      </w:r>
      <w:r>
        <w:t xml:space="preserve"> to</w:t>
      </w:r>
      <w:r w:rsidRPr="00B65F7F">
        <w:t xml:space="preserve"> 2022</w:t>
      </w:r>
      <w:r>
        <w:t>–</w:t>
      </w:r>
      <w:r w:rsidRPr="00B65F7F">
        <w:t xml:space="preserve">23) directly to Aboriginal community-controlled health organisations and mainstream services to improve access for </w:t>
      </w:r>
      <w:r>
        <w:t>Aboriginal and/or Torres Strait Islander</w:t>
      </w:r>
      <w:r w:rsidRPr="00B65F7F">
        <w:t xml:space="preserve"> peoples to ‘high-quality, culturally appropriate primary health care in remote, regional and urban a</w:t>
      </w:r>
      <w:r w:rsidRPr="00754AE2">
        <w:t>reas’ (Department of Health and Aged Care, 2023; IAHP Yarnes, 2021). This includes funding work under 4 key th</w:t>
      </w:r>
      <w:r w:rsidRPr="00B65F7F">
        <w:t>emes:</w:t>
      </w:r>
    </w:p>
    <w:p w14:paraId="43332565" w14:textId="77777777" w:rsidR="00597B5E" w:rsidRPr="00B65F7F" w:rsidRDefault="00597B5E" w:rsidP="009B2EA8">
      <w:pPr>
        <w:pStyle w:val="ListBullet2"/>
        <w:rPr>
          <w:rFonts w:eastAsia="Roboto"/>
        </w:rPr>
      </w:pPr>
      <w:r>
        <w:rPr>
          <w:rFonts w:eastAsia="Roboto"/>
        </w:rPr>
        <w:t>p</w:t>
      </w:r>
      <w:r w:rsidRPr="00B65F7F">
        <w:rPr>
          <w:rFonts w:eastAsia="Roboto"/>
        </w:rPr>
        <w:t xml:space="preserve">rimary healthcare services, including immunisation, reducing </w:t>
      </w:r>
      <w:r w:rsidR="00C44EB9" w:rsidRPr="00B65F7F">
        <w:rPr>
          <w:rFonts w:eastAsia="Roboto"/>
        </w:rPr>
        <w:t>smoking,</w:t>
      </w:r>
      <w:r w:rsidRPr="00B65F7F">
        <w:rPr>
          <w:rFonts w:eastAsia="Roboto"/>
        </w:rPr>
        <w:t xml:space="preserve"> or improving service delivery</w:t>
      </w:r>
    </w:p>
    <w:p w14:paraId="1C2E673D" w14:textId="77777777" w:rsidR="00597B5E" w:rsidRPr="00B65F7F" w:rsidRDefault="00597B5E" w:rsidP="009B2EA8">
      <w:pPr>
        <w:pStyle w:val="ListBullet2"/>
        <w:rPr>
          <w:rFonts w:eastAsia="Roboto"/>
        </w:rPr>
      </w:pPr>
      <w:r>
        <w:rPr>
          <w:rFonts w:eastAsia="Roboto"/>
        </w:rPr>
        <w:t>i</w:t>
      </w:r>
      <w:r w:rsidRPr="00B65F7F">
        <w:rPr>
          <w:rFonts w:eastAsia="Roboto"/>
        </w:rPr>
        <w:t>mproving access to primary healthcare through care coordination across services, developing health workforce cultural competency and supporting outreach services</w:t>
      </w:r>
    </w:p>
    <w:p w14:paraId="3B3B56F1" w14:textId="77777777" w:rsidR="00597B5E" w:rsidRPr="00B65F7F" w:rsidRDefault="00597B5E" w:rsidP="009B2EA8">
      <w:pPr>
        <w:pStyle w:val="ListBullet2"/>
        <w:rPr>
          <w:rFonts w:eastAsia="Roboto"/>
        </w:rPr>
      </w:pPr>
      <w:r>
        <w:rPr>
          <w:rFonts w:eastAsia="Roboto"/>
        </w:rPr>
        <w:t>t</w:t>
      </w:r>
      <w:r w:rsidRPr="00B65F7F">
        <w:rPr>
          <w:rFonts w:eastAsia="Roboto"/>
        </w:rPr>
        <w:t xml:space="preserve">argeted health activities, including chronic disease management and initiatives to address mental health and </w:t>
      </w:r>
      <w:r>
        <w:rPr>
          <w:rFonts w:eastAsia="Roboto"/>
        </w:rPr>
        <w:t>alcohol and other drug</w:t>
      </w:r>
      <w:r w:rsidRPr="00B65F7F">
        <w:rPr>
          <w:rFonts w:eastAsia="Roboto"/>
        </w:rPr>
        <w:t xml:space="preserve"> use</w:t>
      </w:r>
    </w:p>
    <w:p w14:paraId="6E8335D6" w14:textId="77777777" w:rsidR="00597B5E" w:rsidRPr="00B65F7F" w:rsidRDefault="00597B5E" w:rsidP="009B2EA8">
      <w:pPr>
        <w:pStyle w:val="ListBullet2"/>
        <w:rPr>
          <w:rFonts w:eastAsia="Roboto"/>
        </w:rPr>
      </w:pPr>
      <w:r>
        <w:rPr>
          <w:rFonts w:eastAsia="Roboto"/>
        </w:rPr>
        <w:t>c</w:t>
      </w:r>
      <w:r w:rsidRPr="00B65F7F">
        <w:rPr>
          <w:rFonts w:eastAsia="Roboto"/>
        </w:rPr>
        <w:t>apital works, including buying/leasing/building/upgrading infrastructure</w:t>
      </w:r>
      <w:r>
        <w:rPr>
          <w:rFonts w:eastAsia="Roboto"/>
        </w:rPr>
        <w:t>.</w:t>
      </w:r>
    </w:p>
    <w:p w14:paraId="3AB54E3A" w14:textId="3774DD1B" w:rsidR="00597B5E" w:rsidRPr="00B65F7F" w:rsidRDefault="00597B5E" w:rsidP="009B2EA8">
      <w:pPr>
        <w:pStyle w:val="BodyText1stparaafterlist"/>
      </w:pPr>
      <w:r w:rsidRPr="00B65F7F">
        <w:t xml:space="preserve">The IAHP was established in 2014 by consolidating </w:t>
      </w:r>
      <w:r>
        <w:t>4</w:t>
      </w:r>
      <w:r w:rsidRPr="00B65F7F">
        <w:t xml:space="preserve"> existing Indigenous health funding streams administered by </w:t>
      </w:r>
      <w:r w:rsidR="00F614BA">
        <w:t xml:space="preserve">the then Department of Health </w:t>
      </w:r>
      <w:r w:rsidRPr="00754AE2">
        <w:t>(Australian Na</w:t>
      </w:r>
      <w:r w:rsidRPr="00B65F7F">
        <w:t>tional Audit Office, 201</w:t>
      </w:r>
      <w:r w:rsidR="00D632EA">
        <w:t>8</w:t>
      </w:r>
      <w:r w:rsidRPr="00B65F7F">
        <w:t xml:space="preserve">). This consolidation sought to reduce administrative burden and ‘improve the focus of the Indigenous </w:t>
      </w:r>
      <w:r>
        <w:t>h</w:t>
      </w:r>
      <w:r w:rsidRPr="00B65F7F">
        <w:t>ealth grants on basic health needs’ (</w:t>
      </w:r>
      <w:r w:rsidRPr="00754AE2">
        <w:t>Australian National</w:t>
      </w:r>
      <w:r w:rsidRPr="00B65F7F">
        <w:t xml:space="preserve"> Audit Office, 2018). The IAHP funding model combines a capitation and activity-based approach with ke</w:t>
      </w:r>
      <w:r w:rsidRPr="00754AE2">
        <w:t xml:space="preserve">y needs adjustments to distribute funding (Department of Health, 2020, </w:t>
      </w:r>
      <w:r>
        <w:t>p. </w:t>
      </w:r>
      <w:r w:rsidRPr="00754AE2">
        <w:t xml:space="preserve">1). </w:t>
      </w:r>
      <w:r w:rsidR="00F614BA">
        <w:t>The department</w:t>
      </w:r>
      <w:r w:rsidRPr="00754AE2">
        <w:t xml:space="preserve"> uses the Australian Bureau of Statistics (ABS) and Public Health Information Development Unit (PHIDU) data to calculate needs adjustments as appropriate, using remoteness structure components of the ABS’ Australian Statistical Geography Standard, and PHIDU’s Indigenous Relative </w:t>
      </w:r>
      <w:r w:rsidRPr="00754AE2">
        <w:lastRenderedPageBreak/>
        <w:t>Socioeconomic Outcomes index and measure of Years of Potential Life Lost (Department of Health, 202</w:t>
      </w:r>
      <w:r w:rsidRPr="00B65F7F">
        <w:t xml:space="preserve">0, </w:t>
      </w:r>
      <w:r>
        <w:t>p. </w:t>
      </w:r>
      <w:r w:rsidRPr="00B65F7F">
        <w:t>2).</w:t>
      </w:r>
      <w:r w:rsidR="009102BB">
        <w:t xml:space="preserve"> The activities funded as part of the IAHP are shown in </w:t>
      </w:r>
      <w:r w:rsidR="009102BB">
        <w:fldChar w:fldCharType="begin"/>
      </w:r>
      <w:r w:rsidR="009102BB">
        <w:instrText xml:space="preserve"> REF _Ref152082786 \h </w:instrText>
      </w:r>
      <w:r w:rsidR="009102BB">
        <w:fldChar w:fldCharType="separate"/>
      </w:r>
      <w:r w:rsidR="00934D5E" w:rsidRPr="00B65F7F">
        <w:t xml:space="preserve">Table </w:t>
      </w:r>
      <w:r w:rsidR="00934D5E">
        <w:rPr>
          <w:noProof/>
        </w:rPr>
        <w:t>7</w:t>
      </w:r>
      <w:r w:rsidR="009102BB">
        <w:fldChar w:fldCharType="end"/>
      </w:r>
      <w:r w:rsidR="009102BB">
        <w:t>.</w:t>
      </w:r>
      <w:r w:rsidRPr="00B65F7F">
        <w:t xml:space="preserve"> </w:t>
      </w:r>
    </w:p>
    <w:p w14:paraId="5886C7BB" w14:textId="382E79B4" w:rsidR="00597B5E" w:rsidRPr="00B65F7F" w:rsidRDefault="00597B5E" w:rsidP="00597B5E">
      <w:pPr>
        <w:pStyle w:val="CaptionTable"/>
        <w:rPr>
          <w:rFonts w:eastAsia="Roboto"/>
        </w:rPr>
      </w:pPr>
      <w:bookmarkStart w:id="166" w:name="_Ref152082786"/>
      <w:bookmarkStart w:id="167" w:name="_Toc145604949"/>
      <w:bookmarkStart w:id="168" w:name="_Toc145617821"/>
      <w:bookmarkStart w:id="169" w:name="_Toc156932077"/>
      <w:r w:rsidRPr="00B65F7F">
        <w:t xml:space="preserve">Table </w:t>
      </w:r>
      <w:r w:rsidRPr="00B65F7F">
        <w:fldChar w:fldCharType="begin"/>
      </w:r>
      <w:r w:rsidRPr="00B65F7F">
        <w:instrText xml:space="preserve"> SEQ Table \* ARABIC </w:instrText>
      </w:r>
      <w:r w:rsidRPr="00B65F7F">
        <w:fldChar w:fldCharType="separate"/>
      </w:r>
      <w:r w:rsidR="00934D5E">
        <w:rPr>
          <w:noProof/>
        </w:rPr>
        <w:t>7</w:t>
      </w:r>
      <w:r w:rsidRPr="00B65F7F">
        <w:fldChar w:fldCharType="end"/>
      </w:r>
      <w:bookmarkEnd w:id="166"/>
      <w:r w:rsidRPr="00B65F7F">
        <w:t xml:space="preserve">: </w:t>
      </w:r>
      <w:r w:rsidRPr="00B65F7F">
        <w:rPr>
          <w:rFonts w:eastAsia="Roboto"/>
        </w:rPr>
        <w:t>Activities funded as part of IAHP</w:t>
      </w:r>
      <w:bookmarkEnd w:id="167"/>
      <w:bookmarkEnd w:id="168"/>
      <w:bookmarkEnd w:id="169"/>
    </w:p>
    <w:tbl>
      <w:tblPr>
        <w:tblStyle w:val="Newtableforresport"/>
        <w:tblW w:w="9631" w:type="dxa"/>
        <w:tblInd w:w="8" w:type="dxa"/>
        <w:tblLayout w:type="fixed"/>
        <w:tblLook w:val="0620" w:firstRow="1" w:lastRow="0" w:firstColumn="0" w:lastColumn="0" w:noHBand="1" w:noVBand="1"/>
        <w:tblCaption w:val="Table 7: Activities funded as part of IAHP "/>
        <w:tblDescription w:val="Table describing activities funded under the Indigenous Australians Health Program (IAHP). The first column lists IAHP themes, also known as program guidelines. Examples of IAHP themes include capital works and targeted health activities. The second column lists sub-program activities administered under the key IAHP theme/program guidelines. For example, Indigenous targeted activities, Indigenous smoking and Indigenous mental health are sub-program activities of the broader targeted health activities. The third column lists activities included under the sub-program activities. For example, the Tackling Indigenous Smoking program is an activity included under the sub-program activity of Indigenous smoking.   "/>
      </w:tblPr>
      <w:tblGrid>
        <w:gridCol w:w="1693"/>
        <w:gridCol w:w="1843"/>
        <w:gridCol w:w="6095"/>
      </w:tblGrid>
      <w:tr w:rsidR="00597B5E" w:rsidRPr="00655B9E" w14:paraId="6174FFF0" w14:textId="77777777" w:rsidTr="00F614BA">
        <w:trPr>
          <w:cnfStyle w:val="100000000000" w:firstRow="1" w:lastRow="0" w:firstColumn="0" w:lastColumn="0" w:oddVBand="0" w:evenVBand="0" w:oddHBand="0" w:evenHBand="0" w:firstRowFirstColumn="0" w:firstRowLastColumn="0" w:lastRowFirstColumn="0" w:lastRowLastColumn="0"/>
          <w:cantSplit/>
          <w:tblHeader/>
        </w:trPr>
        <w:tc>
          <w:tcPr>
            <w:tcW w:w="1693" w:type="dxa"/>
            <w:vAlign w:val="center"/>
          </w:tcPr>
          <w:p w14:paraId="45A947C5" w14:textId="77777777" w:rsidR="00597B5E" w:rsidRPr="00655B9E" w:rsidRDefault="00597B5E" w:rsidP="00024E8D">
            <w:pPr>
              <w:pStyle w:val="TableHeading"/>
              <w:rPr>
                <w:rFonts w:eastAsia="Roboto"/>
                <w:b w:val="0"/>
              </w:rPr>
            </w:pPr>
            <w:r w:rsidRPr="00655B9E">
              <w:rPr>
                <w:rFonts w:eastAsia="Roboto"/>
              </w:rPr>
              <w:t>IAHP themes (program guidelines)</w:t>
            </w:r>
          </w:p>
        </w:tc>
        <w:tc>
          <w:tcPr>
            <w:tcW w:w="1843" w:type="dxa"/>
            <w:vAlign w:val="center"/>
          </w:tcPr>
          <w:p w14:paraId="0A332D8E" w14:textId="77777777" w:rsidR="00597B5E" w:rsidRPr="00655B9E" w:rsidRDefault="00597B5E" w:rsidP="00024E8D">
            <w:pPr>
              <w:pStyle w:val="TableHeading"/>
              <w:rPr>
                <w:rFonts w:eastAsia="Roboto"/>
                <w:b w:val="0"/>
              </w:rPr>
            </w:pPr>
            <w:r w:rsidRPr="00655B9E">
              <w:rPr>
                <w:rFonts w:eastAsia="Roboto"/>
              </w:rPr>
              <w:t>IAHP administered sub-program activities</w:t>
            </w:r>
          </w:p>
        </w:tc>
        <w:tc>
          <w:tcPr>
            <w:tcW w:w="6095" w:type="dxa"/>
            <w:vAlign w:val="center"/>
          </w:tcPr>
          <w:p w14:paraId="68676405" w14:textId="77777777" w:rsidR="00597B5E" w:rsidRPr="00655B9E" w:rsidRDefault="00597B5E" w:rsidP="00024E8D">
            <w:pPr>
              <w:pStyle w:val="TableHeading"/>
              <w:rPr>
                <w:rFonts w:eastAsia="Roboto"/>
                <w:b w:val="0"/>
              </w:rPr>
            </w:pPr>
            <w:r w:rsidRPr="00655B9E">
              <w:rPr>
                <w:rFonts w:eastAsia="Roboto"/>
              </w:rPr>
              <w:t>Activities included</w:t>
            </w:r>
          </w:p>
        </w:tc>
      </w:tr>
      <w:tr w:rsidR="00597B5E" w:rsidRPr="00B65F7F" w14:paraId="41A9DB14" w14:textId="77777777" w:rsidTr="00F614BA">
        <w:trPr>
          <w:cantSplit/>
        </w:trPr>
        <w:tc>
          <w:tcPr>
            <w:tcW w:w="1693" w:type="dxa"/>
          </w:tcPr>
          <w:p w14:paraId="608B7825" w14:textId="77777777" w:rsidR="00597B5E" w:rsidRPr="00B65F7F" w:rsidRDefault="00597B5E" w:rsidP="009B2EA8">
            <w:pPr>
              <w:pStyle w:val="TableText"/>
              <w:rPr>
                <w:rFonts w:eastAsia="Roboto"/>
              </w:rPr>
            </w:pPr>
            <w:r w:rsidRPr="00B65F7F">
              <w:rPr>
                <w:rFonts w:eastAsia="Roboto"/>
              </w:rPr>
              <w:t>PHC services</w:t>
            </w:r>
          </w:p>
        </w:tc>
        <w:tc>
          <w:tcPr>
            <w:tcW w:w="1843" w:type="dxa"/>
          </w:tcPr>
          <w:p w14:paraId="618D1B1A" w14:textId="77777777" w:rsidR="00597B5E" w:rsidRPr="00B65F7F" w:rsidRDefault="00597B5E" w:rsidP="009B2EA8">
            <w:pPr>
              <w:pStyle w:val="TableText"/>
              <w:rPr>
                <w:rFonts w:eastAsia="Roboto"/>
              </w:rPr>
            </w:pPr>
            <w:r w:rsidRPr="00B65F7F">
              <w:rPr>
                <w:rFonts w:eastAsia="Roboto"/>
              </w:rPr>
              <w:t>Indigenous primary healthcare services</w:t>
            </w:r>
          </w:p>
        </w:tc>
        <w:tc>
          <w:tcPr>
            <w:tcW w:w="6095" w:type="dxa"/>
          </w:tcPr>
          <w:p w14:paraId="7D55915A" w14:textId="77777777" w:rsidR="00597B5E" w:rsidRPr="00B65F7F" w:rsidRDefault="00597B5E" w:rsidP="009B2EA8">
            <w:pPr>
              <w:pStyle w:val="TableText"/>
              <w:rPr>
                <w:rFonts w:eastAsia="Roboto"/>
              </w:rPr>
            </w:pPr>
            <w:r w:rsidRPr="00B65F7F">
              <w:rPr>
                <w:rFonts w:eastAsia="Roboto"/>
              </w:rPr>
              <w:t>Indigenous PHC (continuity funding for comprehensive PHC)</w:t>
            </w:r>
          </w:p>
          <w:p w14:paraId="56B632E3" w14:textId="77777777" w:rsidR="00597B5E" w:rsidRPr="00B65F7F" w:rsidRDefault="00597B5E" w:rsidP="009B2EA8">
            <w:pPr>
              <w:pStyle w:val="TableText"/>
              <w:rPr>
                <w:rFonts w:eastAsia="Roboto"/>
              </w:rPr>
            </w:pPr>
            <w:r w:rsidRPr="00B65F7F">
              <w:rPr>
                <w:rFonts w:eastAsia="Roboto"/>
              </w:rPr>
              <w:t>Indigenous New Directions</w:t>
            </w:r>
          </w:p>
          <w:p w14:paraId="26CB1EC9" w14:textId="77777777" w:rsidR="00597B5E" w:rsidRPr="00B65F7F" w:rsidRDefault="00597B5E" w:rsidP="009B2EA8">
            <w:pPr>
              <w:pStyle w:val="TableText"/>
              <w:rPr>
                <w:rFonts w:eastAsia="Roboto"/>
              </w:rPr>
            </w:pPr>
            <w:r w:rsidRPr="00B65F7F">
              <w:rPr>
                <w:rFonts w:eastAsia="Roboto"/>
              </w:rPr>
              <w:t>Integrated Early Childhood</w:t>
            </w:r>
          </w:p>
          <w:p w14:paraId="5968C335" w14:textId="77777777" w:rsidR="00597B5E" w:rsidRPr="00B65F7F" w:rsidRDefault="00597B5E" w:rsidP="009B2EA8">
            <w:pPr>
              <w:pStyle w:val="TableText"/>
              <w:rPr>
                <w:rFonts w:eastAsia="Roboto"/>
              </w:rPr>
            </w:pPr>
            <w:r w:rsidRPr="00B65F7F">
              <w:rPr>
                <w:rFonts w:eastAsia="Roboto"/>
              </w:rPr>
              <w:t>Healthy for Life</w:t>
            </w:r>
          </w:p>
          <w:p w14:paraId="2315BF51" w14:textId="77777777" w:rsidR="00597B5E" w:rsidRPr="00655B9E" w:rsidRDefault="00597B5E" w:rsidP="009B2EA8">
            <w:pPr>
              <w:pStyle w:val="TableText"/>
              <w:rPr>
                <w:rFonts w:eastAsia="Roboto"/>
              </w:rPr>
            </w:pPr>
            <w:r w:rsidRPr="00B65F7F">
              <w:rPr>
                <w:rFonts w:eastAsia="Roboto"/>
              </w:rPr>
              <w:t>New Directions – Expansion, Australian Nurse Family Partnership Program</w:t>
            </w:r>
          </w:p>
          <w:p w14:paraId="145951F5" w14:textId="77777777" w:rsidR="00597B5E" w:rsidRPr="00B65F7F" w:rsidRDefault="00597B5E" w:rsidP="009B2EA8">
            <w:pPr>
              <w:pStyle w:val="TableText"/>
              <w:rPr>
                <w:rFonts w:eastAsia="Roboto"/>
              </w:rPr>
            </w:pPr>
            <w:r w:rsidRPr="00B65F7F">
              <w:rPr>
                <w:rFonts w:eastAsia="Roboto"/>
              </w:rPr>
              <w:t>Connected Beginnings</w:t>
            </w:r>
          </w:p>
        </w:tc>
      </w:tr>
      <w:tr w:rsidR="00597B5E" w:rsidRPr="00B65F7F" w14:paraId="67D92713" w14:textId="77777777" w:rsidTr="00F614BA">
        <w:trPr>
          <w:cantSplit/>
        </w:trPr>
        <w:tc>
          <w:tcPr>
            <w:tcW w:w="1693" w:type="dxa"/>
          </w:tcPr>
          <w:p w14:paraId="2C465526" w14:textId="77777777" w:rsidR="00597B5E" w:rsidRPr="00B65F7F" w:rsidRDefault="00597B5E" w:rsidP="009B2EA8">
            <w:pPr>
              <w:pStyle w:val="TableText"/>
              <w:rPr>
                <w:rFonts w:eastAsia="Roboto"/>
              </w:rPr>
            </w:pPr>
            <w:r w:rsidRPr="00B65F7F">
              <w:rPr>
                <w:rFonts w:eastAsia="Roboto"/>
              </w:rPr>
              <w:t xml:space="preserve">Improving access to PHC for </w:t>
            </w:r>
            <w:r>
              <w:rPr>
                <w:rFonts w:eastAsia="Roboto"/>
              </w:rPr>
              <w:t>Aboriginal and/or Torres Strait Islander</w:t>
            </w:r>
            <w:r w:rsidRPr="00B65F7F">
              <w:rPr>
                <w:rFonts w:eastAsia="Roboto"/>
              </w:rPr>
              <w:t xml:space="preserve"> people</w:t>
            </w:r>
          </w:p>
        </w:tc>
        <w:tc>
          <w:tcPr>
            <w:tcW w:w="1843" w:type="dxa"/>
          </w:tcPr>
          <w:p w14:paraId="213D6634" w14:textId="77777777" w:rsidR="00597B5E" w:rsidRPr="00B65F7F" w:rsidRDefault="00597B5E" w:rsidP="009B2EA8">
            <w:pPr>
              <w:pStyle w:val="TableText"/>
              <w:rPr>
                <w:rFonts w:eastAsia="Roboto"/>
              </w:rPr>
            </w:pPr>
            <w:r w:rsidRPr="00B65F7F">
              <w:rPr>
                <w:rFonts w:eastAsia="Roboto"/>
              </w:rPr>
              <w:t>Indigenous access</w:t>
            </w:r>
          </w:p>
        </w:tc>
        <w:tc>
          <w:tcPr>
            <w:tcW w:w="6095" w:type="dxa"/>
          </w:tcPr>
          <w:p w14:paraId="4B8692BC" w14:textId="77777777" w:rsidR="00597B5E" w:rsidRPr="00B65F7F" w:rsidRDefault="00597B5E" w:rsidP="009B2EA8">
            <w:pPr>
              <w:pStyle w:val="TableText"/>
              <w:rPr>
                <w:rFonts w:eastAsia="Roboto"/>
              </w:rPr>
            </w:pPr>
            <w:r w:rsidRPr="00B65F7F">
              <w:rPr>
                <w:rFonts w:eastAsia="Roboto"/>
              </w:rPr>
              <w:t>Remote Area Health Corps</w:t>
            </w:r>
          </w:p>
          <w:p w14:paraId="04B818D5" w14:textId="77777777" w:rsidR="00597B5E" w:rsidRPr="00B65F7F" w:rsidRDefault="00597B5E" w:rsidP="009B2EA8">
            <w:pPr>
              <w:pStyle w:val="TableText"/>
              <w:rPr>
                <w:rFonts w:eastAsia="Roboto"/>
              </w:rPr>
            </w:pPr>
            <w:r w:rsidRPr="00B65F7F">
              <w:rPr>
                <w:rFonts w:eastAsia="Roboto"/>
              </w:rPr>
              <w:t>Medical Outreach Indigenous Chronic Disease Programme</w:t>
            </w:r>
          </w:p>
          <w:p w14:paraId="259D5163" w14:textId="77777777" w:rsidR="00597B5E" w:rsidRPr="00B65F7F" w:rsidRDefault="00597B5E" w:rsidP="009B2EA8">
            <w:pPr>
              <w:pStyle w:val="TableText"/>
              <w:rPr>
                <w:rFonts w:eastAsia="Roboto"/>
              </w:rPr>
            </w:pPr>
            <w:r w:rsidRPr="00B65F7F">
              <w:rPr>
                <w:rFonts w:eastAsia="Roboto"/>
              </w:rPr>
              <w:t>Integrated Team Care</w:t>
            </w:r>
          </w:p>
          <w:p w14:paraId="1F480AAC" w14:textId="77777777" w:rsidR="00597B5E" w:rsidRPr="00B65F7F" w:rsidRDefault="00597B5E" w:rsidP="009B2EA8">
            <w:pPr>
              <w:pStyle w:val="TableText"/>
              <w:rPr>
                <w:rFonts w:eastAsia="Roboto"/>
              </w:rPr>
            </w:pPr>
            <w:r w:rsidRPr="00B65F7F">
              <w:rPr>
                <w:rFonts w:eastAsia="Roboto"/>
              </w:rPr>
              <w:t>Services of Concern</w:t>
            </w:r>
          </w:p>
          <w:p w14:paraId="29CE3BCE" w14:textId="77777777" w:rsidR="00597B5E" w:rsidRPr="00B65F7F" w:rsidRDefault="00597B5E" w:rsidP="009B2EA8">
            <w:pPr>
              <w:pStyle w:val="TableText"/>
              <w:rPr>
                <w:rFonts w:eastAsia="Roboto"/>
              </w:rPr>
            </w:pPr>
            <w:r w:rsidRPr="00B65F7F">
              <w:rPr>
                <w:rFonts w:eastAsia="Roboto"/>
              </w:rPr>
              <w:t>PBS CtG Co-payment</w:t>
            </w:r>
          </w:p>
        </w:tc>
      </w:tr>
      <w:tr w:rsidR="00597B5E" w:rsidRPr="00B65F7F" w14:paraId="0DC0723E" w14:textId="77777777" w:rsidTr="00F614BA">
        <w:trPr>
          <w:cantSplit/>
        </w:trPr>
        <w:tc>
          <w:tcPr>
            <w:tcW w:w="1693" w:type="dxa"/>
            <w:vMerge w:val="restart"/>
          </w:tcPr>
          <w:p w14:paraId="10BCEA8F" w14:textId="77777777" w:rsidR="00597B5E" w:rsidRPr="00B65F7F" w:rsidRDefault="00597B5E" w:rsidP="009B2EA8">
            <w:pPr>
              <w:pStyle w:val="TableText"/>
              <w:rPr>
                <w:rFonts w:eastAsia="Roboto"/>
              </w:rPr>
            </w:pPr>
            <w:r w:rsidRPr="00B65F7F">
              <w:rPr>
                <w:rFonts w:eastAsia="Roboto"/>
              </w:rPr>
              <w:t>Targeted health activities</w:t>
            </w:r>
          </w:p>
        </w:tc>
        <w:tc>
          <w:tcPr>
            <w:tcW w:w="1843" w:type="dxa"/>
          </w:tcPr>
          <w:p w14:paraId="3A7F1D95" w14:textId="77777777" w:rsidR="00597B5E" w:rsidRPr="00B65F7F" w:rsidRDefault="00597B5E" w:rsidP="009B2EA8">
            <w:pPr>
              <w:pStyle w:val="TableText"/>
              <w:rPr>
                <w:rFonts w:eastAsia="Roboto"/>
              </w:rPr>
            </w:pPr>
            <w:r w:rsidRPr="00B65F7F">
              <w:rPr>
                <w:rFonts w:eastAsia="Roboto"/>
              </w:rPr>
              <w:t>Indigenous targeted activities</w:t>
            </w:r>
          </w:p>
        </w:tc>
        <w:tc>
          <w:tcPr>
            <w:tcW w:w="6095" w:type="dxa"/>
          </w:tcPr>
          <w:p w14:paraId="399EA85C" w14:textId="77777777" w:rsidR="00597B5E" w:rsidRPr="00B65F7F" w:rsidRDefault="00597B5E" w:rsidP="009B2EA8">
            <w:pPr>
              <w:pStyle w:val="TableText"/>
              <w:rPr>
                <w:rFonts w:eastAsia="Roboto"/>
              </w:rPr>
            </w:pPr>
            <w:r w:rsidRPr="00B65F7F">
              <w:rPr>
                <w:rFonts w:eastAsia="Roboto"/>
              </w:rPr>
              <w:t>Indigenous Renal</w:t>
            </w:r>
          </w:p>
          <w:p w14:paraId="16AD92FD" w14:textId="77777777" w:rsidR="00597B5E" w:rsidRPr="00B65F7F" w:rsidRDefault="00597B5E" w:rsidP="009B2EA8">
            <w:pPr>
              <w:pStyle w:val="TableText"/>
              <w:rPr>
                <w:rFonts w:eastAsia="Roboto"/>
              </w:rPr>
            </w:pPr>
            <w:r w:rsidRPr="00B65F7F">
              <w:rPr>
                <w:rFonts w:eastAsia="Roboto"/>
              </w:rPr>
              <w:t>Indigenous Ear Health</w:t>
            </w:r>
          </w:p>
          <w:p w14:paraId="1BECA4EA" w14:textId="77777777" w:rsidR="00597B5E" w:rsidRPr="00B65F7F" w:rsidRDefault="00597B5E" w:rsidP="009B2EA8">
            <w:pPr>
              <w:pStyle w:val="TableText"/>
              <w:rPr>
                <w:rFonts w:eastAsia="Roboto"/>
              </w:rPr>
            </w:pPr>
            <w:r w:rsidRPr="00B65F7F">
              <w:rPr>
                <w:rFonts w:eastAsia="Roboto"/>
              </w:rPr>
              <w:t>Indigenous Eye Health</w:t>
            </w:r>
          </w:p>
          <w:p w14:paraId="607F76E7" w14:textId="77777777" w:rsidR="00597B5E" w:rsidRPr="00B65F7F" w:rsidRDefault="00597B5E" w:rsidP="009B2EA8">
            <w:pPr>
              <w:pStyle w:val="TableText"/>
              <w:rPr>
                <w:rFonts w:eastAsia="Roboto"/>
              </w:rPr>
            </w:pPr>
            <w:r w:rsidRPr="00B65F7F">
              <w:rPr>
                <w:rFonts w:eastAsia="Roboto"/>
              </w:rPr>
              <w:t>Indigenous Cardiac Care</w:t>
            </w:r>
          </w:p>
          <w:p w14:paraId="15016A37" w14:textId="77777777" w:rsidR="00597B5E" w:rsidRPr="00B65F7F" w:rsidRDefault="00597B5E" w:rsidP="009B2EA8">
            <w:pPr>
              <w:pStyle w:val="TableText"/>
              <w:rPr>
                <w:rFonts w:eastAsia="Roboto"/>
              </w:rPr>
            </w:pPr>
            <w:r w:rsidRPr="00B65F7F">
              <w:rPr>
                <w:rFonts w:eastAsia="Roboto"/>
              </w:rPr>
              <w:t>Indigenous Rheumatic Fever Strategy</w:t>
            </w:r>
          </w:p>
          <w:p w14:paraId="725481D7" w14:textId="77777777" w:rsidR="00597B5E" w:rsidRPr="00B65F7F" w:rsidRDefault="00597B5E" w:rsidP="009B2EA8">
            <w:pPr>
              <w:pStyle w:val="TableText"/>
              <w:rPr>
                <w:rFonts w:eastAsia="Roboto"/>
              </w:rPr>
            </w:pPr>
            <w:r w:rsidRPr="00B65F7F">
              <w:rPr>
                <w:rFonts w:eastAsia="Roboto"/>
              </w:rPr>
              <w:t>Indigenous Health Promotion</w:t>
            </w:r>
          </w:p>
          <w:p w14:paraId="2F060859" w14:textId="77777777" w:rsidR="00597B5E" w:rsidRPr="00B65F7F" w:rsidRDefault="00597B5E" w:rsidP="009B2EA8">
            <w:pPr>
              <w:pStyle w:val="TableText"/>
              <w:rPr>
                <w:rFonts w:eastAsia="Roboto"/>
              </w:rPr>
            </w:pPr>
            <w:r w:rsidRPr="00B65F7F">
              <w:rPr>
                <w:rFonts w:eastAsia="Roboto"/>
              </w:rPr>
              <w:t>Indigenous Health Protection</w:t>
            </w:r>
          </w:p>
          <w:p w14:paraId="157AFFBF" w14:textId="77777777" w:rsidR="00597B5E" w:rsidRPr="00B65F7F" w:rsidRDefault="00597B5E" w:rsidP="009B2EA8">
            <w:pPr>
              <w:pStyle w:val="TableText"/>
              <w:rPr>
                <w:rFonts w:eastAsia="Roboto"/>
              </w:rPr>
            </w:pPr>
            <w:r w:rsidRPr="00B65F7F">
              <w:rPr>
                <w:rFonts w:eastAsia="Roboto"/>
              </w:rPr>
              <w:t>Bowel Cancer Screening</w:t>
            </w:r>
          </w:p>
          <w:p w14:paraId="2AB20BD1" w14:textId="77777777" w:rsidR="00597B5E" w:rsidRPr="00B65F7F" w:rsidRDefault="00597B5E" w:rsidP="009B2EA8">
            <w:pPr>
              <w:pStyle w:val="TableText"/>
              <w:rPr>
                <w:rFonts w:eastAsia="Roboto"/>
              </w:rPr>
            </w:pPr>
            <w:r w:rsidRPr="00B65F7F">
              <w:rPr>
                <w:rFonts w:eastAsia="Roboto"/>
              </w:rPr>
              <w:t>Sexual Health, Nutrition</w:t>
            </w:r>
          </w:p>
          <w:p w14:paraId="0B7C2B11" w14:textId="77777777" w:rsidR="00597B5E" w:rsidRPr="00B65F7F" w:rsidRDefault="00597B5E" w:rsidP="009B2EA8">
            <w:pPr>
              <w:pStyle w:val="TableText"/>
              <w:rPr>
                <w:rFonts w:eastAsia="Roboto"/>
              </w:rPr>
            </w:pPr>
            <w:r w:rsidRPr="00B65F7F">
              <w:rPr>
                <w:rFonts w:eastAsia="Roboto"/>
              </w:rPr>
              <w:t>Oral Health, Youth</w:t>
            </w:r>
          </w:p>
          <w:p w14:paraId="358CF25C" w14:textId="77777777" w:rsidR="00597B5E" w:rsidRPr="00B65F7F" w:rsidRDefault="00597B5E" w:rsidP="009B2EA8">
            <w:pPr>
              <w:pStyle w:val="TableText"/>
              <w:rPr>
                <w:rFonts w:eastAsia="Roboto"/>
              </w:rPr>
            </w:pPr>
            <w:r w:rsidRPr="00B65F7F">
              <w:rPr>
                <w:rFonts w:eastAsia="Roboto"/>
              </w:rPr>
              <w:t>Indigenous Chronic Disease Programs</w:t>
            </w:r>
          </w:p>
          <w:p w14:paraId="7B3A7C53" w14:textId="77777777" w:rsidR="00597B5E" w:rsidRPr="00B65F7F" w:rsidRDefault="00597B5E" w:rsidP="009B2EA8">
            <w:pPr>
              <w:pStyle w:val="TableText"/>
              <w:rPr>
                <w:rFonts w:eastAsia="Roboto"/>
              </w:rPr>
            </w:pPr>
            <w:r w:rsidRPr="00B65F7F">
              <w:rPr>
                <w:rFonts w:eastAsia="Roboto"/>
              </w:rPr>
              <w:t>Workforce</w:t>
            </w:r>
          </w:p>
        </w:tc>
      </w:tr>
      <w:tr w:rsidR="00597B5E" w:rsidRPr="00B65F7F" w14:paraId="0E90DF2E" w14:textId="77777777" w:rsidTr="00F614BA">
        <w:trPr>
          <w:cantSplit/>
        </w:trPr>
        <w:tc>
          <w:tcPr>
            <w:tcW w:w="1693" w:type="dxa"/>
            <w:vMerge/>
          </w:tcPr>
          <w:p w14:paraId="2AEB7231" w14:textId="77777777" w:rsidR="00597B5E" w:rsidRPr="00B65F7F" w:rsidRDefault="00597B5E" w:rsidP="006F6DD1">
            <w:pPr>
              <w:pStyle w:val="TableText"/>
              <w:rPr>
                <w:rFonts w:eastAsia="Roboto"/>
              </w:rPr>
            </w:pPr>
          </w:p>
        </w:tc>
        <w:tc>
          <w:tcPr>
            <w:tcW w:w="1843" w:type="dxa"/>
          </w:tcPr>
          <w:p w14:paraId="25888816" w14:textId="77777777" w:rsidR="00597B5E" w:rsidRPr="00B65F7F" w:rsidRDefault="00597B5E" w:rsidP="009B2EA8">
            <w:pPr>
              <w:pStyle w:val="TableText"/>
              <w:rPr>
                <w:rFonts w:eastAsia="Roboto"/>
              </w:rPr>
            </w:pPr>
            <w:r w:rsidRPr="00B65F7F">
              <w:rPr>
                <w:rFonts w:eastAsia="Roboto"/>
              </w:rPr>
              <w:t>Indigenous smoking</w:t>
            </w:r>
          </w:p>
        </w:tc>
        <w:tc>
          <w:tcPr>
            <w:tcW w:w="6095" w:type="dxa"/>
          </w:tcPr>
          <w:p w14:paraId="01D97602" w14:textId="77777777" w:rsidR="00597B5E" w:rsidRPr="00B65F7F" w:rsidRDefault="00597B5E" w:rsidP="009B2EA8">
            <w:pPr>
              <w:pStyle w:val="TableText"/>
              <w:rPr>
                <w:rFonts w:eastAsia="Roboto"/>
              </w:rPr>
            </w:pPr>
            <w:r w:rsidRPr="00B65F7F">
              <w:rPr>
                <w:rFonts w:eastAsia="Roboto"/>
              </w:rPr>
              <w:t>Tackling Indigenous Smoking program</w:t>
            </w:r>
          </w:p>
        </w:tc>
      </w:tr>
      <w:tr w:rsidR="00597B5E" w:rsidRPr="00B65F7F" w14:paraId="231C8F62" w14:textId="77777777" w:rsidTr="00F614BA">
        <w:trPr>
          <w:cantSplit/>
        </w:trPr>
        <w:tc>
          <w:tcPr>
            <w:tcW w:w="1693" w:type="dxa"/>
            <w:vMerge/>
          </w:tcPr>
          <w:p w14:paraId="66CEA0E2" w14:textId="77777777" w:rsidR="00597B5E" w:rsidRPr="00B65F7F" w:rsidRDefault="00597B5E" w:rsidP="006F6DD1">
            <w:pPr>
              <w:pStyle w:val="TableText"/>
              <w:rPr>
                <w:rFonts w:eastAsia="Roboto"/>
              </w:rPr>
            </w:pPr>
          </w:p>
        </w:tc>
        <w:tc>
          <w:tcPr>
            <w:tcW w:w="1843" w:type="dxa"/>
          </w:tcPr>
          <w:p w14:paraId="1FFEDF49" w14:textId="77777777" w:rsidR="00597B5E" w:rsidRPr="00B65F7F" w:rsidRDefault="00597B5E" w:rsidP="009B2EA8">
            <w:pPr>
              <w:pStyle w:val="TableText"/>
              <w:rPr>
                <w:rFonts w:eastAsia="Roboto"/>
              </w:rPr>
            </w:pPr>
            <w:r w:rsidRPr="00B65F7F">
              <w:rPr>
                <w:rFonts w:eastAsia="Roboto"/>
              </w:rPr>
              <w:t>Indigenous mental health</w:t>
            </w:r>
          </w:p>
        </w:tc>
        <w:tc>
          <w:tcPr>
            <w:tcW w:w="6095" w:type="dxa"/>
          </w:tcPr>
          <w:p w14:paraId="0FC8BD8D" w14:textId="77777777" w:rsidR="00597B5E" w:rsidRPr="00B65F7F" w:rsidRDefault="00597B5E" w:rsidP="009B2EA8">
            <w:pPr>
              <w:pStyle w:val="TableText"/>
              <w:rPr>
                <w:rFonts w:eastAsia="Roboto"/>
              </w:rPr>
            </w:pPr>
            <w:r w:rsidRPr="00B65F7F">
              <w:rPr>
                <w:rFonts w:eastAsia="Roboto"/>
              </w:rPr>
              <w:t xml:space="preserve">Funding provided in response to the National Mental Health Commission’s </w:t>
            </w:r>
            <w:r>
              <w:rPr>
                <w:rFonts w:eastAsia="Roboto"/>
              </w:rPr>
              <w:t>r</w:t>
            </w:r>
            <w:r w:rsidRPr="00B65F7F">
              <w:rPr>
                <w:rFonts w:eastAsia="Roboto"/>
              </w:rPr>
              <w:t xml:space="preserve">eview of mental health services (2015) for Indigenous-specific mental health services commissioned through </w:t>
            </w:r>
            <w:r>
              <w:rPr>
                <w:rFonts w:eastAsia="Roboto"/>
              </w:rPr>
              <w:t>PHNs</w:t>
            </w:r>
          </w:p>
        </w:tc>
      </w:tr>
      <w:tr w:rsidR="00597B5E" w:rsidRPr="00B65F7F" w14:paraId="35507DEB" w14:textId="77777777" w:rsidTr="00F614BA">
        <w:trPr>
          <w:cantSplit/>
        </w:trPr>
        <w:tc>
          <w:tcPr>
            <w:tcW w:w="1693" w:type="dxa"/>
          </w:tcPr>
          <w:p w14:paraId="19B56F2E" w14:textId="77777777" w:rsidR="00597B5E" w:rsidRPr="00B65F7F" w:rsidRDefault="00597B5E" w:rsidP="009B2EA8">
            <w:pPr>
              <w:pStyle w:val="TableText"/>
              <w:rPr>
                <w:rFonts w:eastAsia="Roboto"/>
              </w:rPr>
            </w:pPr>
            <w:r w:rsidRPr="00B65F7F">
              <w:rPr>
                <w:rFonts w:eastAsia="Roboto"/>
              </w:rPr>
              <w:t>Capital works</w:t>
            </w:r>
          </w:p>
        </w:tc>
        <w:tc>
          <w:tcPr>
            <w:tcW w:w="1843" w:type="dxa"/>
          </w:tcPr>
          <w:p w14:paraId="6077039D" w14:textId="77777777" w:rsidR="00597B5E" w:rsidRPr="00B65F7F" w:rsidRDefault="00597B5E" w:rsidP="009B2EA8">
            <w:pPr>
              <w:pStyle w:val="TableText"/>
              <w:rPr>
                <w:rFonts w:eastAsia="Roboto"/>
              </w:rPr>
            </w:pPr>
            <w:r w:rsidRPr="00B65F7F">
              <w:rPr>
                <w:rFonts w:eastAsia="Roboto"/>
              </w:rPr>
              <w:t>Indigenous capital works</w:t>
            </w:r>
          </w:p>
        </w:tc>
        <w:tc>
          <w:tcPr>
            <w:tcW w:w="6095" w:type="dxa"/>
          </w:tcPr>
          <w:p w14:paraId="50D277F3" w14:textId="77777777" w:rsidR="00597B5E" w:rsidRPr="00B65F7F" w:rsidRDefault="00597B5E" w:rsidP="009B2EA8">
            <w:pPr>
              <w:pStyle w:val="TableText"/>
              <w:rPr>
                <w:rFonts w:eastAsia="Roboto"/>
              </w:rPr>
            </w:pPr>
            <w:r w:rsidRPr="00B65F7F">
              <w:rPr>
                <w:rFonts w:eastAsia="Roboto"/>
              </w:rPr>
              <w:t xml:space="preserve">Capital works for </w:t>
            </w:r>
            <w:r w:rsidRPr="00655B9E">
              <w:rPr>
                <w:rFonts w:eastAsia="Roboto"/>
              </w:rPr>
              <w:t>building</w:t>
            </w:r>
            <w:r w:rsidRPr="00B65F7F">
              <w:rPr>
                <w:rFonts w:eastAsia="Roboto"/>
              </w:rPr>
              <w:t xml:space="preserve"> refurbishment, etc</w:t>
            </w:r>
            <w:r>
              <w:rPr>
                <w:rFonts w:eastAsia="Roboto"/>
              </w:rPr>
              <w:t>.</w:t>
            </w:r>
            <w:r w:rsidRPr="00B65F7F">
              <w:rPr>
                <w:rFonts w:eastAsia="Roboto"/>
              </w:rPr>
              <w:t xml:space="preserve"> of A</w:t>
            </w:r>
            <w:r w:rsidR="00D8195F">
              <w:rPr>
                <w:rFonts w:eastAsia="Roboto"/>
              </w:rPr>
              <w:t>boriginal Community-Controlled Health Service</w:t>
            </w:r>
            <w:r w:rsidRPr="00B65F7F">
              <w:rPr>
                <w:rFonts w:eastAsia="Roboto"/>
              </w:rPr>
              <w:t xml:space="preserve"> clinics and associated staff accommodation including </w:t>
            </w:r>
            <w:r>
              <w:rPr>
                <w:rFonts w:eastAsia="Roboto"/>
              </w:rPr>
              <w:t>s</w:t>
            </w:r>
            <w:r w:rsidRPr="00B65F7F">
              <w:rPr>
                <w:rFonts w:eastAsia="Roboto"/>
              </w:rPr>
              <w:t xml:space="preserve">ervice and </w:t>
            </w:r>
            <w:r>
              <w:rPr>
                <w:rFonts w:eastAsia="Roboto"/>
              </w:rPr>
              <w:t>m</w:t>
            </w:r>
            <w:r w:rsidRPr="00B65F7F">
              <w:rPr>
                <w:rFonts w:eastAsia="Roboto"/>
              </w:rPr>
              <w:t xml:space="preserve">aintenance </w:t>
            </w:r>
            <w:r>
              <w:rPr>
                <w:rFonts w:eastAsia="Roboto"/>
              </w:rPr>
              <w:t>p</w:t>
            </w:r>
            <w:r w:rsidRPr="00B65F7F">
              <w:rPr>
                <w:rFonts w:eastAsia="Roboto"/>
              </w:rPr>
              <w:t>rogram</w:t>
            </w:r>
          </w:p>
        </w:tc>
      </w:tr>
      <w:tr w:rsidR="00597B5E" w:rsidRPr="00B65F7F" w14:paraId="3A082EDF" w14:textId="77777777" w:rsidTr="00F614BA">
        <w:trPr>
          <w:cantSplit/>
        </w:trPr>
        <w:tc>
          <w:tcPr>
            <w:tcW w:w="1693" w:type="dxa"/>
            <w:vMerge w:val="restart"/>
          </w:tcPr>
          <w:p w14:paraId="6BFB75A3" w14:textId="77777777" w:rsidR="00597B5E" w:rsidRPr="00B65F7F" w:rsidRDefault="00597B5E" w:rsidP="009B2EA8">
            <w:pPr>
              <w:pStyle w:val="TableText"/>
              <w:rPr>
                <w:rFonts w:eastAsia="Roboto"/>
              </w:rPr>
            </w:pPr>
            <w:r w:rsidRPr="00B65F7F">
              <w:rPr>
                <w:rFonts w:eastAsia="Roboto"/>
              </w:rPr>
              <w:t>Governance and effectiveness systems</w:t>
            </w:r>
          </w:p>
        </w:tc>
        <w:tc>
          <w:tcPr>
            <w:tcW w:w="1843" w:type="dxa"/>
          </w:tcPr>
          <w:p w14:paraId="28DCE32E" w14:textId="77777777" w:rsidR="00597B5E" w:rsidRPr="00B65F7F" w:rsidRDefault="00597B5E" w:rsidP="009B2EA8">
            <w:pPr>
              <w:pStyle w:val="TableText"/>
              <w:rPr>
                <w:rFonts w:eastAsia="Roboto"/>
              </w:rPr>
            </w:pPr>
            <w:r w:rsidRPr="00B65F7F">
              <w:rPr>
                <w:rFonts w:eastAsia="Roboto"/>
              </w:rPr>
              <w:t>Indigenous governance and system effectiveness</w:t>
            </w:r>
          </w:p>
        </w:tc>
        <w:tc>
          <w:tcPr>
            <w:tcW w:w="6095" w:type="dxa"/>
          </w:tcPr>
          <w:p w14:paraId="3D042404" w14:textId="77777777" w:rsidR="00597B5E" w:rsidRPr="00B65F7F" w:rsidRDefault="00597B5E" w:rsidP="009B2EA8">
            <w:pPr>
              <w:pStyle w:val="TableText"/>
              <w:rPr>
                <w:rFonts w:eastAsia="Roboto"/>
              </w:rPr>
            </w:pPr>
            <w:r w:rsidRPr="00B65F7F">
              <w:rPr>
                <w:rFonts w:eastAsia="Roboto"/>
              </w:rPr>
              <w:t>National Indigenous Continuous Quality Improvement</w:t>
            </w:r>
          </w:p>
          <w:p w14:paraId="62E69228" w14:textId="77777777" w:rsidR="00597B5E" w:rsidRPr="00B65F7F" w:rsidRDefault="00597B5E" w:rsidP="009B2EA8">
            <w:pPr>
              <w:pStyle w:val="TableText"/>
              <w:rPr>
                <w:rFonts w:eastAsia="Roboto"/>
              </w:rPr>
            </w:pPr>
            <w:r w:rsidRPr="00B65F7F">
              <w:rPr>
                <w:rFonts w:eastAsia="Roboto"/>
              </w:rPr>
              <w:t>Indigenous Monitoring and Evaluation</w:t>
            </w:r>
          </w:p>
          <w:p w14:paraId="4281E72A" w14:textId="77777777" w:rsidR="00597B5E" w:rsidRPr="00B65F7F" w:rsidRDefault="00597B5E" w:rsidP="009B2EA8">
            <w:pPr>
              <w:pStyle w:val="TableText"/>
              <w:rPr>
                <w:rFonts w:eastAsia="Roboto"/>
              </w:rPr>
            </w:pPr>
            <w:r w:rsidRPr="00B65F7F">
              <w:rPr>
                <w:rFonts w:eastAsia="Roboto"/>
              </w:rPr>
              <w:t>Indigenous Remote Service Delivery Traineeship</w:t>
            </w:r>
          </w:p>
          <w:p w14:paraId="0C8E1FE9" w14:textId="77777777" w:rsidR="00597B5E" w:rsidRPr="00B65F7F" w:rsidRDefault="00597B5E" w:rsidP="009B2EA8">
            <w:pPr>
              <w:pStyle w:val="TableText"/>
              <w:rPr>
                <w:rFonts w:eastAsia="Roboto"/>
              </w:rPr>
            </w:pPr>
            <w:r w:rsidRPr="00B65F7F">
              <w:rPr>
                <w:rFonts w:eastAsia="Roboto"/>
              </w:rPr>
              <w:t>Aboriginal Health Ministers’ Advisory Council contribution</w:t>
            </w:r>
          </w:p>
          <w:p w14:paraId="436AE577" w14:textId="77777777" w:rsidR="00597B5E" w:rsidRPr="00B65F7F" w:rsidRDefault="00597B5E" w:rsidP="009B2EA8">
            <w:pPr>
              <w:pStyle w:val="TableText"/>
              <w:rPr>
                <w:rFonts w:eastAsia="Roboto"/>
              </w:rPr>
            </w:pPr>
            <w:r w:rsidRPr="00B65F7F">
              <w:rPr>
                <w:rFonts w:eastAsia="Roboto"/>
              </w:rPr>
              <w:t>Implementation Plan</w:t>
            </w:r>
          </w:p>
          <w:p w14:paraId="76F1EC6E" w14:textId="77777777" w:rsidR="00597B5E" w:rsidRPr="00B65F7F" w:rsidRDefault="00597B5E" w:rsidP="009B2EA8">
            <w:pPr>
              <w:pStyle w:val="TableText"/>
              <w:rPr>
                <w:rFonts w:eastAsia="Roboto"/>
              </w:rPr>
            </w:pPr>
            <w:r w:rsidRPr="00B65F7F">
              <w:rPr>
                <w:rFonts w:eastAsia="Roboto"/>
              </w:rPr>
              <w:t>Regionalisation</w:t>
            </w:r>
          </w:p>
        </w:tc>
      </w:tr>
      <w:tr w:rsidR="00597B5E" w:rsidRPr="00B65F7F" w14:paraId="27470D70" w14:textId="77777777" w:rsidTr="00F614BA">
        <w:trPr>
          <w:cantSplit/>
        </w:trPr>
        <w:tc>
          <w:tcPr>
            <w:tcW w:w="1693" w:type="dxa"/>
            <w:vMerge/>
          </w:tcPr>
          <w:p w14:paraId="66FB050A" w14:textId="77777777" w:rsidR="00597B5E" w:rsidRPr="00B65F7F" w:rsidRDefault="00597B5E" w:rsidP="006F6DD1">
            <w:pPr>
              <w:pStyle w:val="TableText"/>
              <w:rPr>
                <w:rFonts w:eastAsia="Roboto"/>
              </w:rPr>
            </w:pPr>
          </w:p>
        </w:tc>
        <w:tc>
          <w:tcPr>
            <w:tcW w:w="1843" w:type="dxa"/>
          </w:tcPr>
          <w:p w14:paraId="46FD3D47" w14:textId="77777777" w:rsidR="00597B5E" w:rsidRPr="00B65F7F" w:rsidRDefault="00597B5E" w:rsidP="009B2EA8">
            <w:pPr>
              <w:pStyle w:val="TableText"/>
              <w:rPr>
                <w:rFonts w:eastAsia="Roboto"/>
              </w:rPr>
            </w:pPr>
            <w:r w:rsidRPr="00B65F7F">
              <w:rPr>
                <w:rFonts w:eastAsia="Roboto"/>
              </w:rPr>
              <w:t>NACCHO and affiliates</w:t>
            </w:r>
          </w:p>
        </w:tc>
        <w:tc>
          <w:tcPr>
            <w:tcW w:w="6095" w:type="dxa"/>
          </w:tcPr>
          <w:p w14:paraId="7C24B52A" w14:textId="77777777" w:rsidR="00597B5E" w:rsidRPr="00B65F7F" w:rsidRDefault="00597B5E" w:rsidP="009B2EA8">
            <w:pPr>
              <w:pStyle w:val="TableText"/>
              <w:rPr>
                <w:rFonts w:eastAsia="Roboto"/>
              </w:rPr>
            </w:pPr>
            <w:r w:rsidRPr="00B65F7F">
              <w:rPr>
                <w:rFonts w:eastAsia="Roboto"/>
              </w:rPr>
              <w:t>Includes peak body and affiliate funding agreements, and other costs associated with supporting affiliate activities</w:t>
            </w:r>
          </w:p>
        </w:tc>
      </w:tr>
    </w:tbl>
    <w:p w14:paraId="6BDB3ADB" w14:textId="77777777" w:rsidR="00597B5E" w:rsidRPr="00B65F7F" w:rsidRDefault="00597B5E" w:rsidP="00BB7F03">
      <w:pPr>
        <w:pStyle w:val="HeadingLevel3NoNumber"/>
      </w:pPr>
      <w:bookmarkStart w:id="170" w:name="_vqftd62jmamx" w:colFirst="0" w:colLast="0"/>
      <w:bookmarkEnd w:id="170"/>
      <w:r w:rsidRPr="00B65F7F">
        <w:lastRenderedPageBreak/>
        <w:t>State and territory funding</w:t>
      </w:r>
    </w:p>
    <w:p w14:paraId="546DD41A" w14:textId="77777777" w:rsidR="00597B5E" w:rsidRPr="00B65F7F" w:rsidRDefault="00597B5E" w:rsidP="009B2EA8">
      <w:pPr>
        <w:pStyle w:val="BodyText"/>
      </w:pPr>
      <w:r w:rsidRPr="00B65F7F">
        <w:t xml:space="preserve">Each state and territory government uses a context-specific approach to funding </w:t>
      </w:r>
      <w:r>
        <w:t>Aboriginal and/or Torres Strait Islander</w:t>
      </w:r>
      <w:r w:rsidRPr="00B65F7F">
        <w:t xml:space="preserve"> health services by providing funding directly to mainstream organisations, ACCHOs, ACCOs and AMSs. </w:t>
      </w:r>
    </w:p>
    <w:p w14:paraId="146EBC8B" w14:textId="77777777" w:rsidR="00597B5E" w:rsidRPr="00B65F7F" w:rsidRDefault="00597B5E" w:rsidP="009B2EA8">
      <w:pPr>
        <w:pStyle w:val="BodyText"/>
      </w:pPr>
      <w:r w:rsidRPr="00B65F7F">
        <w:t>The Productivity Commission’s draft Review of the National Agreement on Closing the Gap report (2023, p.</w:t>
      </w:r>
      <w:r>
        <w:t> </w:t>
      </w:r>
      <w:r w:rsidRPr="00B65F7F">
        <w:t xml:space="preserve">4) noted that many governments do not publish or undertake expenditure reviews, thereby minimising funding allocation transparency, particularly in the difference in allocation between community-controlled and mainstream organisations. </w:t>
      </w:r>
      <w:bookmarkStart w:id="171" w:name="_pyfo4bem4pun" w:colFirst="0" w:colLast="0"/>
      <w:bookmarkEnd w:id="171"/>
    </w:p>
    <w:p w14:paraId="7743E4D4" w14:textId="77777777" w:rsidR="00597B5E" w:rsidRPr="00B65F7F" w:rsidRDefault="00054B80" w:rsidP="006734AE">
      <w:pPr>
        <w:pStyle w:val="HeadingLevel2NoNumber"/>
      </w:pPr>
      <w:bookmarkStart w:id="172" w:name="_p3093kb2je8q" w:colFirst="0" w:colLast="0"/>
      <w:bookmarkEnd w:id="172"/>
      <w:r>
        <w:t>A</w:t>
      </w:r>
      <w:r w:rsidR="00597B5E" w:rsidRPr="00B65F7F">
        <w:t>1.2 Indigenous self-determination</w:t>
      </w:r>
    </w:p>
    <w:p w14:paraId="02AE8C09" w14:textId="77777777" w:rsidR="00597B5E" w:rsidRPr="00754AE2" w:rsidRDefault="00597B5E" w:rsidP="009B2EA8">
      <w:pPr>
        <w:pStyle w:val="BodyText"/>
      </w:pPr>
      <w:r w:rsidRPr="00B65F7F">
        <w:t xml:space="preserve">Throughout the </w:t>
      </w:r>
      <w:r w:rsidR="00C24956">
        <w:t>R</w:t>
      </w:r>
      <w:r w:rsidRPr="00B65F7F">
        <w:t>eview, self-determination was consistently identified as a key guiding principle for leading funding and delivery models, frameworks and approaches to support Indigenous peoples</w:t>
      </w:r>
      <w:r>
        <w:t>’</w:t>
      </w:r>
      <w:r w:rsidRPr="00B65F7F">
        <w:t xml:space="preserve"> health and wellbeing, nationally and internationall</w:t>
      </w:r>
      <w:r w:rsidRPr="00754AE2">
        <w:t xml:space="preserve">y (Auger </w:t>
      </w:r>
      <w:r>
        <w:t>et al</w:t>
      </w:r>
      <w:r w:rsidRPr="00754AE2">
        <w:t xml:space="preserve">., 2016; Centre of Best Practice in </w:t>
      </w:r>
      <w:r>
        <w:t>Aboriginal and/or Torres Strait Islander</w:t>
      </w:r>
      <w:r w:rsidRPr="00754AE2">
        <w:t xml:space="preserve"> Suicide Prevention, n.d.; National </w:t>
      </w:r>
      <w:r>
        <w:t>Aboriginal and/or Torres Strait Islander</w:t>
      </w:r>
      <w:r w:rsidRPr="00754AE2">
        <w:t xml:space="preserve"> Leadership in Mental Health, 2015; Sones </w:t>
      </w:r>
      <w:r>
        <w:t>et al</w:t>
      </w:r>
      <w:r w:rsidRPr="00754AE2">
        <w:t xml:space="preserve">., 2010, </w:t>
      </w:r>
      <w:r>
        <w:t>p. </w:t>
      </w:r>
      <w:r w:rsidRPr="00754AE2">
        <w:t xml:space="preserve">61). </w:t>
      </w:r>
    </w:p>
    <w:p w14:paraId="7D3EE1D9" w14:textId="77777777" w:rsidR="00597B5E" w:rsidRPr="00B65F7F" w:rsidRDefault="00597B5E" w:rsidP="009B2EA8">
      <w:pPr>
        <w:pStyle w:val="BodyText"/>
      </w:pPr>
      <w:r w:rsidRPr="00754AE2">
        <w:t>Self-determination is the right of Indigenous peoples to participate in governing and decision-making processes that affect their lives and communities (Department of Fa</w:t>
      </w:r>
      <w:r w:rsidRPr="00B65F7F">
        <w:t xml:space="preserve">milies, Fairness and Housing, 2020). Self-determination is enshrined and defined in Article 23 of the United Nations </w:t>
      </w:r>
      <w:r w:rsidRPr="00B65F7F">
        <w:rPr>
          <w:i/>
        </w:rPr>
        <w:t>Declaration on the Rights of Indigenous Peoples</w:t>
      </w:r>
      <w:r w:rsidRPr="00B65F7F">
        <w:t xml:space="preserve"> – a universal framework on minimum standards to guarantee the wellbeing, dignity and survival of Indigenous peoples:</w:t>
      </w:r>
    </w:p>
    <w:p w14:paraId="706B44F5" w14:textId="77777777" w:rsidR="00597B5E" w:rsidRPr="00696966" w:rsidRDefault="00597B5E" w:rsidP="00F76AFA">
      <w:pPr>
        <w:pStyle w:val="Quote"/>
        <w:rPr>
          <w:rFonts w:eastAsia="Roboto"/>
        </w:rPr>
      </w:pPr>
      <w:r w:rsidRPr="00696966">
        <w:rPr>
          <w:rFonts w:eastAsia="Roboto"/>
        </w:rPr>
        <w:t>Indigenous peoples have the right to determine and develop priorities and strategies for exercising their right to development. Indigenous peoples have the right to be actively involved in developing and determining health, housing and other economic and social programmes affecting them and, as far as possible, to administer such programmes through their own institutions. (United Nations, 2007, p. 20)</w:t>
      </w:r>
    </w:p>
    <w:p w14:paraId="5E4156D3" w14:textId="77777777" w:rsidR="00597B5E" w:rsidRPr="00754AE2" w:rsidRDefault="00597B5E" w:rsidP="009B2EA8">
      <w:pPr>
        <w:pStyle w:val="BodyText"/>
      </w:pPr>
      <w:r w:rsidRPr="00B65F7F">
        <w:t xml:space="preserve">Critically, self-determination is a focal point in the </w:t>
      </w:r>
      <w:r w:rsidRPr="00B65F7F">
        <w:rPr>
          <w:i/>
        </w:rPr>
        <w:t>Wharerātā Declaration</w:t>
      </w:r>
      <w:r w:rsidRPr="00B65F7F">
        <w:t xml:space="preserve">, an international model to frame and advance Indigenous health and mental health leadership. It is grounded in the notion that effective health and wellbeing strategies must be underpinned by Indigenous knowledge systems and leadership (Sones </w:t>
      </w:r>
      <w:r>
        <w:t>et al</w:t>
      </w:r>
      <w:r w:rsidRPr="00B65F7F">
        <w:t xml:space="preserve">., 2010, </w:t>
      </w:r>
      <w:r>
        <w:t>p. </w:t>
      </w:r>
      <w:r w:rsidRPr="00B65F7F">
        <w:t xml:space="preserve">61). </w:t>
      </w:r>
      <w:r w:rsidRPr="00B65F7F">
        <w:rPr>
          <w:i/>
        </w:rPr>
        <w:t>The Wharerātā Declaration</w:t>
      </w:r>
      <w:r w:rsidRPr="00B65F7F">
        <w:t xml:space="preserve"> and the </w:t>
      </w:r>
      <w:r w:rsidRPr="00B65F7F">
        <w:rPr>
          <w:i/>
        </w:rPr>
        <w:t>Gayaa Dhuwi (Proud Spirit) Declaration</w:t>
      </w:r>
      <w:r w:rsidRPr="00B65F7F">
        <w:t xml:space="preserve"> – a companion declaration adapted for use in </w:t>
      </w:r>
      <w:r>
        <w:t>Aboriginal and/or Torres Strait Islander</w:t>
      </w:r>
      <w:r w:rsidRPr="00B65F7F">
        <w:t xml:space="preserve"> contexts – posits self-determination as a critical enabler of I</w:t>
      </w:r>
      <w:r w:rsidRPr="00754AE2">
        <w:t xml:space="preserve">ndigenous health and wellbeing (National </w:t>
      </w:r>
      <w:r>
        <w:t>Aboriginal and/or Torres Strait Islander</w:t>
      </w:r>
      <w:r w:rsidRPr="00754AE2">
        <w:t xml:space="preserve"> Leadership in Mental Health, 2015; Productivity Commission, 2023, </w:t>
      </w:r>
      <w:r>
        <w:t>p. </w:t>
      </w:r>
      <w:r w:rsidRPr="00754AE2">
        <w:t xml:space="preserve">41). </w:t>
      </w:r>
    </w:p>
    <w:p w14:paraId="0BACC52E" w14:textId="77777777" w:rsidR="00597B5E" w:rsidRPr="00B65F7F" w:rsidRDefault="00597B5E" w:rsidP="009B2EA8">
      <w:pPr>
        <w:pStyle w:val="BodyText"/>
        <w:rPr>
          <w:rFonts w:ascii="Roboto" w:hAnsi="Roboto" w:cs="Roboto"/>
        </w:rPr>
      </w:pPr>
      <w:r w:rsidRPr="00754AE2">
        <w:t xml:space="preserve">The literature articulates a clear aspiration for self-determination to be embedded in all levels and all aspects of </w:t>
      </w:r>
      <w:r>
        <w:t>Aboriginal and/or Torres Strait Islander</w:t>
      </w:r>
      <w:r w:rsidRPr="00754AE2">
        <w:t xml:space="preserve"> health and wellbeing services and programs, from inception to funding, to evaluation and improvement to clinical governance (Harfield </w:t>
      </w:r>
      <w:r>
        <w:t>et al</w:t>
      </w:r>
      <w:r w:rsidRPr="00754AE2">
        <w:t xml:space="preserve">., 2018). This is supported by a growing body of international evidence demonstrating the positive health and wellbeing outcomes associated with Indigenous self-determination in health service planning and provision, including reduced hospital presentations and lower incidences of suicide (Groves </w:t>
      </w:r>
      <w:r>
        <w:t>et al</w:t>
      </w:r>
      <w:r w:rsidRPr="00754AE2">
        <w:t>., 2022; Productivity Commis</w:t>
      </w:r>
      <w:r w:rsidRPr="00B65F7F">
        <w:t xml:space="preserve">sion, 2023, </w:t>
      </w:r>
      <w:r>
        <w:t>p. </w:t>
      </w:r>
      <w:r w:rsidRPr="00B65F7F">
        <w:t xml:space="preserve">39). </w:t>
      </w:r>
    </w:p>
    <w:p w14:paraId="7E153818" w14:textId="77777777" w:rsidR="00597B5E" w:rsidRPr="00B65F7F" w:rsidRDefault="00054B80" w:rsidP="006734AE">
      <w:pPr>
        <w:pStyle w:val="HeadingLevel2NoNumber"/>
      </w:pPr>
      <w:bookmarkStart w:id="173" w:name="_7ll0uiga9ksh" w:colFirst="0" w:colLast="0"/>
      <w:bookmarkEnd w:id="173"/>
      <w:r>
        <w:t>A</w:t>
      </w:r>
      <w:r w:rsidR="00597B5E" w:rsidRPr="00B65F7F">
        <w:t xml:space="preserve">1.3 The National Agreement on Closing the Gap (the </w:t>
      </w:r>
      <w:r w:rsidR="00487A1F">
        <w:t>N</w:t>
      </w:r>
      <w:r w:rsidR="00597B5E" w:rsidRPr="00B65F7F">
        <w:t xml:space="preserve">ational </w:t>
      </w:r>
      <w:r w:rsidR="00487A1F">
        <w:t>A</w:t>
      </w:r>
      <w:r w:rsidR="00597B5E" w:rsidRPr="00B65F7F">
        <w:t>greement)</w:t>
      </w:r>
    </w:p>
    <w:p w14:paraId="0F15EE60" w14:textId="77777777" w:rsidR="00597B5E" w:rsidRPr="00B65F7F" w:rsidRDefault="00597B5E" w:rsidP="009B2EA8">
      <w:pPr>
        <w:pStyle w:val="BodyText"/>
      </w:pPr>
      <w:r w:rsidRPr="00B65F7F">
        <w:t xml:space="preserve">The National Agreement on Closing the Gap (the National Agreement) is underpinned by the belief that when </w:t>
      </w:r>
      <w:r>
        <w:t>Aboriginal and/or Torres Strait Islander</w:t>
      </w:r>
      <w:r w:rsidRPr="00B65F7F">
        <w:t xml:space="preserve"> peoples a</w:t>
      </w:r>
      <w:r w:rsidRPr="00754AE2">
        <w:t>nd communities ‘have a genuine say in the design and delivery of policies, programs and services that affect them, better life outcomes are achieved’ (Australian Government, 202</w:t>
      </w:r>
      <w:r>
        <w:t>0</w:t>
      </w:r>
      <w:r w:rsidRPr="00754AE2">
        <w:t xml:space="preserve">). Self-determination within the National Agreement largely emphasises embedding self-determination in governance and decision-making structures and community-controlled </w:t>
      </w:r>
      <w:r w:rsidRPr="00754AE2">
        <w:lastRenderedPageBreak/>
        <w:t>service delivery (see Priority Reform 1: Formal partnerships and shared decision-making and Priority Reform 2: Building the community-controlled sector) (Coalition of Peaks, 20</w:t>
      </w:r>
      <w:r w:rsidRPr="00B65F7F">
        <w:t xml:space="preserve">20). </w:t>
      </w:r>
    </w:p>
    <w:p w14:paraId="5766A3E1" w14:textId="77777777" w:rsidR="00597B5E" w:rsidRPr="00DD5DEA" w:rsidRDefault="00597B5E" w:rsidP="009B2EA8">
      <w:pPr>
        <w:pStyle w:val="ListBullet2"/>
        <w:rPr>
          <w:rFonts w:eastAsia="Roboto"/>
        </w:rPr>
      </w:pPr>
      <w:r w:rsidRPr="00F0334E" w:rsidDel="00AC1532">
        <w:rPr>
          <w:rFonts w:eastAsia="Roboto" w:cs="Calibri"/>
          <w:b/>
        </w:rPr>
        <w:t>Priority Reform</w:t>
      </w:r>
      <w:r w:rsidRPr="00F0334E">
        <w:rPr>
          <w:rFonts w:eastAsia="Roboto" w:cs="Calibri"/>
          <w:b/>
        </w:rPr>
        <w:t xml:space="preserve"> 1: Formal partnerships and shared decision-making – </w:t>
      </w:r>
      <w:r w:rsidRPr="00F0334E">
        <w:rPr>
          <w:rFonts w:eastAsia="Roboto"/>
          <w:b/>
          <w:bCs/>
        </w:rPr>
        <w:t xml:space="preserve">Outcome: </w:t>
      </w:r>
      <w:r>
        <w:rPr>
          <w:rFonts w:eastAsia="Roboto"/>
        </w:rPr>
        <w:t>Aboriginal and/or Torres Strait Islander</w:t>
      </w:r>
      <w:r w:rsidRPr="00DD5DEA">
        <w:rPr>
          <w:rFonts w:eastAsia="Roboto"/>
        </w:rPr>
        <w:t xml:space="preserve"> people are empowered to share decision-making authority with governments to accelerate policy and place-based progress on Closing the Gap through formal partnership arrangements. </w:t>
      </w:r>
    </w:p>
    <w:p w14:paraId="17A9C1C3" w14:textId="77777777" w:rsidR="00597B5E" w:rsidRPr="00DD5DEA" w:rsidRDefault="00597B5E" w:rsidP="009B2EA8">
      <w:pPr>
        <w:pStyle w:val="ListBullet2"/>
        <w:rPr>
          <w:rFonts w:eastAsia="Roboto"/>
        </w:rPr>
      </w:pPr>
      <w:r w:rsidRPr="00F0334E">
        <w:rPr>
          <w:rFonts w:eastAsia="Roboto" w:cs="Calibri"/>
          <w:b/>
        </w:rPr>
        <w:t xml:space="preserve">Priority Reform 2: Building the </w:t>
      </w:r>
      <w:r>
        <w:rPr>
          <w:rFonts w:eastAsia="Roboto" w:cs="Calibri"/>
          <w:b/>
        </w:rPr>
        <w:t>c</w:t>
      </w:r>
      <w:r w:rsidRPr="00F0334E">
        <w:rPr>
          <w:rFonts w:eastAsia="Roboto" w:cs="Calibri"/>
          <w:b/>
        </w:rPr>
        <w:t>ommunity-</w:t>
      </w:r>
      <w:r>
        <w:rPr>
          <w:rFonts w:eastAsia="Roboto" w:cs="Calibri"/>
          <w:b/>
        </w:rPr>
        <w:t>c</w:t>
      </w:r>
      <w:r w:rsidRPr="00F0334E">
        <w:rPr>
          <w:rFonts w:eastAsia="Roboto" w:cs="Calibri"/>
          <w:b/>
        </w:rPr>
        <w:t xml:space="preserve">ontrolled </w:t>
      </w:r>
      <w:r>
        <w:rPr>
          <w:rFonts w:eastAsia="Roboto" w:cs="Calibri"/>
          <w:b/>
        </w:rPr>
        <w:t>s</w:t>
      </w:r>
      <w:r w:rsidRPr="00F0334E">
        <w:rPr>
          <w:rFonts w:eastAsia="Roboto" w:cs="Calibri"/>
          <w:b/>
        </w:rPr>
        <w:t xml:space="preserve">ector – </w:t>
      </w:r>
      <w:r w:rsidRPr="00F0334E">
        <w:rPr>
          <w:rFonts w:eastAsia="Roboto"/>
          <w:b/>
        </w:rPr>
        <w:t xml:space="preserve">Outcome: </w:t>
      </w:r>
      <w:r w:rsidRPr="00DD5DEA">
        <w:rPr>
          <w:rFonts w:eastAsia="Roboto"/>
        </w:rPr>
        <w:t xml:space="preserve">There is a strong and sustainable </w:t>
      </w:r>
      <w:r>
        <w:rPr>
          <w:rFonts w:eastAsia="Roboto"/>
        </w:rPr>
        <w:t>Aboriginal and/or Torres Strait Islander</w:t>
      </w:r>
      <w:r w:rsidRPr="00DD5DEA">
        <w:rPr>
          <w:rFonts w:eastAsia="Roboto"/>
        </w:rPr>
        <w:t xml:space="preserve"> community-controlled sector delivering high quality services to meet the needs of </w:t>
      </w:r>
      <w:r>
        <w:rPr>
          <w:rFonts w:eastAsia="Roboto"/>
        </w:rPr>
        <w:t>Aboriginal and/or Torres Strait Islander</w:t>
      </w:r>
      <w:r w:rsidRPr="00DD5DEA">
        <w:rPr>
          <w:rFonts w:eastAsia="Roboto"/>
        </w:rPr>
        <w:t xml:space="preserve"> people across the country.</w:t>
      </w:r>
    </w:p>
    <w:p w14:paraId="667B1334" w14:textId="77777777" w:rsidR="00597B5E" w:rsidRPr="00DD5DEA" w:rsidRDefault="00597B5E" w:rsidP="009B2EA8">
      <w:pPr>
        <w:pStyle w:val="ListBullet2"/>
        <w:rPr>
          <w:rFonts w:eastAsia="Roboto"/>
        </w:rPr>
      </w:pPr>
      <w:r w:rsidRPr="00F0334E">
        <w:rPr>
          <w:rFonts w:eastAsia="Roboto" w:cs="Calibri"/>
          <w:b/>
        </w:rPr>
        <w:t xml:space="preserve">Priority Reform 3: Transforming </w:t>
      </w:r>
      <w:r>
        <w:rPr>
          <w:rFonts w:eastAsia="Roboto" w:cs="Calibri"/>
          <w:b/>
        </w:rPr>
        <w:t>g</w:t>
      </w:r>
      <w:r w:rsidRPr="00F0334E">
        <w:rPr>
          <w:rFonts w:eastAsia="Roboto" w:cs="Calibri"/>
          <w:b/>
        </w:rPr>
        <w:t xml:space="preserve">overnment </w:t>
      </w:r>
      <w:r>
        <w:rPr>
          <w:rFonts w:eastAsia="Roboto" w:cs="Calibri"/>
          <w:b/>
        </w:rPr>
        <w:t>o</w:t>
      </w:r>
      <w:r w:rsidRPr="00F0334E">
        <w:rPr>
          <w:rFonts w:eastAsia="Roboto" w:cs="Calibri"/>
          <w:b/>
        </w:rPr>
        <w:t xml:space="preserve">rganisations – </w:t>
      </w:r>
      <w:r w:rsidRPr="00F0334E">
        <w:rPr>
          <w:rFonts w:eastAsia="Roboto"/>
          <w:b/>
        </w:rPr>
        <w:t>Outcome:</w:t>
      </w:r>
      <w:r w:rsidRPr="00DD5DEA">
        <w:rPr>
          <w:rFonts w:eastAsia="Roboto"/>
        </w:rPr>
        <w:t xml:space="preserve"> Governments, their organisations and their institutions are accountable for Closing the Gap and are culturally safe and responsive to the needs of </w:t>
      </w:r>
      <w:r>
        <w:rPr>
          <w:rFonts w:eastAsia="Roboto"/>
        </w:rPr>
        <w:t>Aboriginal and/or Torres Strait Islander</w:t>
      </w:r>
      <w:r w:rsidRPr="00DD5DEA">
        <w:rPr>
          <w:rFonts w:eastAsia="Roboto"/>
        </w:rPr>
        <w:t xml:space="preserve"> people, including through the services they fund.</w:t>
      </w:r>
    </w:p>
    <w:p w14:paraId="1A9CA907" w14:textId="77777777" w:rsidR="00597B5E" w:rsidRPr="00DD5DEA" w:rsidRDefault="00597B5E" w:rsidP="009B2EA8">
      <w:pPr>
        <w:pStyle w:val="ListBullet2"/>
        <w:rPr>
          <w:rFonts w:eastAsia="Roboto"/>
        </w:rPr>
      </w:pPr>
      <w:r w:rsidRPr="00F0334E">
        <w:rPr>
          <w:rFonts w:eastAsia="Roboto" w:cs="Calibri"/>
          <w:b/>
        </w:rPr>
        <w:t xml:space="preserve">Priority Reform 4: Shared </w:t>
      </w:r>
      <w:r>
        <w:rPr>
          <w:rFonts w:eastAsia="Roboto" w:cs="Calibri"/>
          <w:b/>
        </w:rPr>
        <w:t>a</w:t>
      </w:r>
      <w:r w:rsidRPr="00F0334E">
        <w:rPr>
          <w:rFonts w:eastAsia="Roboto" w:cs="Calibri"/>
          <w:b/>
        </w:rPr>
        <w:t xml:space="preserve">ccess to </w:t>
      </w:r>
      <w:r>
        <w:rPr>
          <w:rFonts w:eastAsia="Roboto" w:cs="Calibri"/>
          <w:b/>
        </w:rPr>
        <w:t>d</w:t>
      </w:r>
      <w:r w:rsidRPr="00F0334E">
        <w:rPr>
          <w:rFonts w:eastAsia="Roboto" w:cs="Calibri"/>
          <w:b/>
        </w:rPr>
        <w:t xml:space="preserve">ata and </w:t>
      </w:r>
      <w:r>
        <w:rPr>
          <w:rFonts w:eastAsia="Roboto" w:cs="Calibri"/>
          <w:b/>
        </w:rPr>
        <w:t>i</w:t>
      </w:r>
      <w:r w:rsidRPr="00F0334E">
        <w:rPr>
          <w:rFonts w:eastAsia="Roboto" w:cs="Calibri"/>
          <w:b/>
        </w:rPr>
        <w:t xml:space="preserve">nformation at a </w:t>
      </w:r>
      <w:r>
        <w:rPr>
          <w:rFonts w:eastAsia="Roboto" w:cs="Calibri"/>
          <w:b/>
        </w:rPr>
        <w:t>r</w:t>
      </w:r>
      <w:r w:rsidRPr="00F0334E">
        <w:rPr>
          <w:rFonts w:eastAsia="Roboto" w:cs="Calibri"/>
          <w:b/>
        </w:rPr>
        <w:t xml:space="preserve">egional </w:t>
      </w:r>
      <w:r>
        <w:rPr>
          <w:rFonts w:eastAsia="Roboto" w:cs="Calibri"/>
          <w:b/>
        </w:rPr>
        <w:t>l</w:t>
      </w:r>
      <w:r w:rsidRPr="00F0334E">
        <w:rPr>
          <w:rFonts w:eastAsia="Roboto" w:cs="Calibri"/>
          <w:b/>
        </w:rPr>
        <w:t xml:space="preserve">evel – </w:t>
      </w:r>
      <w:r w:rsidRPr="00F0334E">
        <w:rPr>
          <w:rFonts w:eastAsia="Roboto"/>
          <w:b/>
        </w:rPr>
        <w:t xml:space="preserve">Outcome: </w:t>
      </w:r>
      <w:r>
        <w:rPr>
          <w:rFonts w:eastAsia="Roboto"/>
        </w:rPr>
        <w:t>Aboriginal and/or Torres Strait Islander</w:t>
      </w:r>
      <w:r w:rsidRPr="00DD5DEA">
        <w:rPr>
          <w:rFonts w:eastAsia="Roboto"/>
        </w:rPr>
        <w:t xml:space="preserve"> people have access to, and the capability to use, locally</w:t>
      </w:r>
      <w:r>
        <w:rPr>
          <w:rFonts w:eastAsia="Roboto"/>
        </w:rPr>
        <w:t xml:space="preserve"> </w:t>
      </w:r>
      <w:r w:rsidRPr="00DD5DEA">
        <w:rPr>
          <w:rFonts w:eastAsia="Roboto"/>
        </w:rPr>
        <w:t>relevant data and information to set and monitor the implementation of efforts to close the gap, their priorities and drive their own development.</w:t>
      </w:r>
    </w:p>
    <w:p w14:paraId="070D440B" w14:textId="5FCDC194" w:rsidR="00597B5E" w:rsidRPr="00E40DB1" w:rsidRDefault="00597B5E" w:rsidP="009B2EA8">
      <w:pPr>
        <w:pStyle w:val="BodyText1stparaafterlist"/>
      </w:pPr>
      <w:r w:rsidRPr="00B65F7F">
        <w:t>The aspiration for self-determination to be real</w:t>
      </w:r>
      <w:r w:rsidRPr="00E40DB1">
        <w:t>ised through community-controlled service provision was articulated in the National Agreement under Priority Reform 2 (Coalition of Peaks, 20</w:t>
      </w:r>
      <w:r w:rsidR="00B814AA">
        <w:t>20</w:t>
      </w:r>
      <w:r w:rsidRPr="00E40DB1">
        <w:t xml:space="preserve">; Australian Government, 2020; Productivity Commission, 2023, </w:t>
      </w:r>
      <w:r>
        <w:t>p. </w:t>
      </w:r>
      <w:r w:rsidRPr="00E40DB1">
        <w:t xml:space="preserve">39). </w:t>
      </w:r>
      <w:r>
        <w:t>Aboriginal and/or Torres Strait Islander</w:t>
      </w:r>
      <w:r w:rsidRPr="00E40DB1">
        <w:t xml:space="preserve"> community-controlled organisations have been consistently identified as an exemplar ‘of community governance models’ (Harfield </w:t>
      </w:r>
      <w:r>
        <w:t>et al</w:t>
      </w:r>
      <w:r w:rsidRPr="00E40DB1">
        <w:t xml:space="preserve">., 2018, </w:t>
      </w:r>
      <w:r>
        <w:t>p. </w:t>
      </w:r>
      <w:r w:rsidRPr="00E40DB1">
        <w:t xml:space="preserve">2) and expression of self-determination (McCalman </w:t>
      </w:r>
      <w:r>
        <w:t>et al</w:t>
      </w:r>
      <w:r w:rsidRPr="00E40DB1">
        <w:t xml:space="preserve">., 2021, </w:t>
      </w:r>
      <w:r>
        <w:t>p. </w:t>
      </w:r>
      <w:r w:rsidRPr="00E40DB1">
        <w:t xml:space="preserve">2; Australian Government, 2020). The community-controlled sector ultimately operates in alignment with the same values, principles, practices, knowledge and priorities as the communities they serve and are held accountable by (Harfield </w:t>
      </w:r>
      <w:r>
        <w:t>et al</w:t>
      </w:r>
      <w:r w:rsidRPr="00E40DB1">
        <w:t xml:space="preserve">., 2018, </w:t>
      </w:r>
      <w:r>
        <w:t>p. </w:t>
      </w:r>
      <w:r w:rsidRPr="00E40DB1">
        <w:t xml:space="preserve">2; Ninomiya </w:t>
      </w:r>
      <w:r>
        <w:t>et al</w:t>
      </w:r>
      <w:r w:rsidRPr="00E40DB1">
        <w:t xml:space="preserve">., 2020, </w:t>
      </w:r>
      <w:r>
        <w:t>p. </w:t>
      </w:r>
      <w:r w:rsidRPr="00E40DB1">
        <w:t xml:space="preserve">3; Jongen </w:t>
      </w:r>
      <w:r>
        <w:t>et al</w:t>
      </w:r>
      <w:r w:rsidRPr="00E40DB1">
        <w:t xml:space="preserve">., 2020, </w:t>
      </w:r>
      <w:r>
        <w:t>p. </w:t>
      </w:r>
      <w:r w:rsidRPr="00E40DB1">
        <w:t xml:space="preserve">2). </w:t>
      </w:r>
    </w:p>
    <w:p w14:paraId="22F80CF3" w14:textId="77777777" w:rsidR="00597B5E" w:rsidRPr="004A6F43" w:rsidRDefault="00597B5E" w:rsidP="009B2EA8">
      <w:pPr>
        <w:pStyle w:val="BodyText"/>
      </w:pPr>
      <w:r w:rsidRPr="00E40DB1">
        <w:t xml:space="preserve">Additionally, the community-controlled sector employs a substantial </w:t>
      </w:r>
      <w:r>
        <w:t>Aboriginal and/or Torres Strait Islander</w:t>
      </w:r>
      <w:r w:rsidRPr="00B65F7F">
        <w:t xml:space="preserve"> workforce, and </w:t>
      </w:r>
      <w:r>
        <w:t xml:space="preserve">these organisations </w:t>
      </w:r>
      <w:r w:rsidRPr="00B65F7F">
        <w:t xml:space="preserve">are the preferred care providers for many </w:t>
      </w:r>
      <w:r>
        <w:t>Aboriginal and/or Torres Strait Islander</w:t>
      </w:r>
      <w:r w:rsidRPr="00B65F7F">
        <w:t xml:space="preserve"> individuals and comm</w:t>
      </w:r>
      <w:r w:rsidRPr="004A6F43">
        <w:t xml:space="preserve">unities (Australian Government, 2020; National Aboriginal Community Controlled Health Organisation, 2022, </w:t>
      </w:r>
      <w:r>
        <w:t>p. </w:t>
      </w:r>
      <w:r w:rsidRPr="004A6F43">
        <w:t xml:space="preserve">5). They provide culturally safe, accessible and appropriate health services with improved availability and affordability to </w:t>
      </w:r>
      <w:r>
        <w:t>Aboriginal and/or Torres Strait Islander</w:t>
      </w:r>
      <w:r w:rsidRPr="004A6F43">
        <w:t xml:space="preserve"> communities (Jongen </w:t>
      </w:r>
      <w:r>
        <w:t>et al</w:t>
      </w:r>
      <w:r w:rsidRPr="004A6F43">
        <w:t xml:space="preserve">., 2020, </w:t>
      </w:r>
      <w:r>
        <w:t>p. </w:t>
      </w:r>
      <w:r w:rsidRPr="004A6F43">
        <w:t xml:space="preserve">2; Productivity Commission, 2023, </w:t>
      </w:r>
      <w:r>
        <w:t>p. </w:t>
      </w:r>
      <w:r w:rsidRPr="004A6F43">
        <w:t>3).</w:t>
      </w:r>
    </w:p>
    <w:p w14:paraId="21158D89" w14:textId="77777777" w:rsidR="00597B5E" w:rsidRPr="004A6F43" w:rsidRDefault="00597B5E" w:rsidP="009B2EA8">
      <w:pPr>
        <w:pStyle w:val="BodyText"/>
      </w:pPr>
      <w:r w:rsidRPr="004A6F43">
        <w:t xml:space="preserve">The Productivity Commission articulated that despite the unique service offerings the community-controlled sector provides to </w:t>
      </w:r>
      <w:r>
        <w:t>Aboriginal and/or Torres Strait Islander</w:t>
      </w:r>
      <w:r w:rsidRPr="004A6F43">
        <w:t xml:space="preserve"> peoples and communities, there is a pervasive ‘lack of government understanding of the knowledge and expertise that ACCOs possess’ which risks the continuation of unsuccessful progress to the National Agreement targets and at worst, risks causing harm to the community (Productivity Commission, 2023, p</w:t>
      </w:r>
      <w:r>
        <w:t>p. </w:t>
      </w:r>
      <w:r w:rsidRPr="004A6F43">
        <w:t>40–41).</w:t>
      </w:r>
    </w:p>
    <w:p w14:paraId="52E390A4" w14:textId="10B74AA4" w:rsidR="00597B5E" w:rsidRPr="00B65F7F" w:rsidRDefault="00597B5E" w:rsidP="009B2EA8">
      <w:pPr>
        <w:pStyle w:val="BodyText"/>
      </w:pPr>
      <w:r w:rsidRPr="004A6F43">
        <w:t>The 2023 Commonwealth Closing the Gap Implementation Plan also outlines key priority actions across each of the Priority Reforms and outcomes, including realising Outcome 1 (</w:t>
      </w:r>
      <w:r>
        <w:t>Aboriginal and/or Torres Strait Islander</w:t>
      </w:r>
      <w:r w:rsidRPr="004A6F43">
        <w:t xml:space="preserve"> people enjoy long and healthy lives) by enabling the mainstream health system to be more ‘culturally safe and responsive’ (</w:t>
      </w:r>
      <w:r w:rsidR="00B814AA" w:rsidRPr="00225D79">
        <w:t>Commonwealth of Australia</w:t>
      </w:r>
      <w:r w:rsidRPr="00B65F7F">
        <w:t xml:space="preserve">, 2023, </w:t>
      </w:r>
      <w:r>
        <w:t>p. </w:t>
      </w:r>
      <w:r w:rsidR="00B814AA">
        <w:t>28</w:t>
      </w:r>
      <w:r w:rsidRPr="00B65F7F">
        <w:t>) by:</w:t>
      </w:r>
    </w:p>
    <w:p w14:paraId="7F30D58A" w14:textId="77777777" w:rsidR="00597B5E" w:rsidRPr="00B65F7F" w:rsidRDefault="00597B5E" w:rsidP="009B2EA8">
      <w:pPr>
        <w:pStyle w:val="ListBullet2"/>
      </w:pPr>
      <w:r>
        <w:rPr>
          <w:rFonts w:eastAsia="Roboto"/>
        </w:rPr>
        <w:t>e</w:t>
      </w:r>
      <w:r w:rsidRPr="00B65F7F">
        <w:rPr>
          <w:rFonts w:eastAsia="Roboto"/>
        </w:rPr>
        <w:t xml:space="preserve">nsuring that </w:t>
      </w:r>
      <w:r>
        <w:rPr>
          <w:rFonts w:eastAsia="Roboto"/>
        </w:rPr>
        <w:t>Aboriginal and/or Torres Strait Islander</w:t>
      </w:r>
      <w:r w:rsidRPr="00B65F7F">
        <w:rPr>
          <w:rFonts w:eastAsia="Roboto"/>
        </w:rPr>
        <w:t xml:space="preserve"> priorities ‘are embedded in mainstream health reforms’</w:t>
      </w:r>
    </w:p>
    <w:p w14:paraId="0F7D19E7" w14:textId="77777777" w:rsidR="00597B5E" w:rsidRPr="00B65F7F" w:rsidRDefault="00597B5E" w:rsidP="009B2EA8">
      <w:pPr>
        <w:pStyle w:val="ListBullet2"/>
      </w:pPr>
      <w:r>
        <w:rPr>
          <w:rFonts w:eastAsia="Roboto"/>
        </w:rPr>
        <w:t>w</w:t>
      </w:r>
      <w:r w:rsidRPr="00B65F7F">
        <w:rPr>
          <w:rFonts w:eastAsia="Roboto"/>
        </w:rPr>
        <w:t>orking with state and territory governments to address racism and embed cultural safety across the entire healthcare system</w:t>
      </w:r>
    </w:p>
    <w:p w14:paraId="4D5775AE" w14:textId="77777777" w:rsidR="00597B5E" w:rsidRPr="00B65F7F" w:rsidRDefault="00597B5E" w:rsidP="009B2EA8">
      <w:pPr>
        <w:pStyle w:val="ListBullet2"/>
      </w:pPr>
      <w:r>
        <w:rPr>
          <w:rFonts w:eastAsia="Roboto"/>
        </w:rPr>
        <w:t>p</w:t>
      </w:r>
      <w:r w:rsidRPr="00B65F7F">
        <w:rPr>
          <w:rFonts w:eastAsia="Roboto"/>
        </w:rPr>
        <w:t xml:space="preserve">rioritising </w:t>
      </w:r>
      <w:r>
        <w:rPr>
          <w:rFonts w:eastAsia="Roboto"/>
        </w:rPr>
        <w:t>Aboriginal and/or Torres Strait Islander</w:t>
      </w:r>
      <w:r w:rsidRPr="00B65F7F">
        <w:rPr>
          <w:rFonts w:eastAsia="Roboto"/>
        </w:rPr>
        <w:t xml:space="preserve"> priorities as part of the Improving Care Pathways work commissioned by National Cabinet with state and territory governments </w:t>
      </w:r>
    </w:p>
    <w:p w14:paraId="2F4A67FB" w14:textId="5DC1EC86" w:rsidR="00597B5E" w:rsidRPr="004A6F43" w:rsidRDefault="00597B5E" w:rsidP="009B2EA8">
      <w:pPr>
        <w:pStyle w:val="ListBullet2"/>
      </w:pPr>
      <w:r>
        <w:rPr>
          <w:rFonts w:eastAsia="Roboto"/>
        </w:rPr>
        <w:lastRenderedPageBreak/>
        <w:t>s</w:t>
      </w:r>
      <w:r w:rsidRPr="00B65F7F">
        <w:rPr>
          <w:rFonts w:eastAsia="Roboto"/>
        </w:rPr>
        <w:t xml:space="preserve">upporting and growing the </w:t>
      </w:r>
      <w:r>
        <w:rPr>
          <w:rFonts w:eastAsia="Roboto"/>
        </w:rPr>
        <w:t>Aboriginal and/or Torres Strait Islander</w:t>
      </w:r>
      <w:r w:rsidRPr="00B65F7F">
        <w:rPr>
          <w:rFonts w:eastAsia="Roboto"/>
        </w:rPr>
        <w:t xml:space="preserve"> health workforce ‘across all levels, </w:t>
      </w:r>
      <w:r w:rsidR="00C44EB9" w:rsidRPr="00B65F7F">
        <w:rPr>
          <w:rFonts w:eastAsia="Roboto"/>
        </w:rPr>
        <w:t>roles,</w:t>
      </w:r>
      <w:r w:rsidRPr="00B65F7F">
        <w:rPr>
          <w:rFonts w:eastAsia="Roboto"/>
        </w:rPr>
        <w:t xml:space="preserve"> </w:t>
      </w:r>
      <w:r w:rsidRPr="004A6F43">
        <w:rPr>
          <w:rFonts w:eastAsia="Roboto"/>
        </w:rPr>
        <w:t>and locations’ to ensure mainstream health systems are ‘effective, accessible and culturally safe’ (</w:t>
      </w:r>
      <w:r w:rsidR="00B814AA" w:rsidRPr="00225D79">
        <w:t>Commonwealth of Australia</w:t>
      </w:r>
      <w:r w:rsidRPr="004A6F43">
        <w:rPr>
          <w:rFonts w:eastAsia="Roboto"/>
        </w:rPr>
        <w:t xml:space="preserve">, 2023, </w:t>
      </w:r>
      <w:r>
        <w:rPr>
          <w:rFonts w:eastAsia="Roboto"/>
        </w:rPr>
        <w:t>p. </w:t>
      </w:r>
      <w:r w:rsidR="00B814AA">
        <w:rPr>
          <w:rFonts w:eastAsia="Roboto"/>
        </w:rPr>
        <w:t>27</w:t>
      </w:r>
      <w:r w:rsidRPr="004A6F43">
        <w:rPr>
          <w:rFonts w:eastAsia="Roboto"/>
        </w:rPr>
        <w:t>)</w:t>
      </w:r>
      <w:r w:rsidR="00B814AA">
        <w:rPr>
          <w:rFonts w:eastAsia="Roboto"/>
        </w:rPr>
        <w:t>.</w:t>
      </w:r>
    </w:p>
    <w:p w14:paraId="5483E4DE" w14:textId="77777777" w:rsidR="00597B5E" w:rsidRPr="00B65F7F" w:rsidRDefault="00597B5E" w:rsidP="009B2EA8">
      <w:pPr>
        <w:pStyle w:val="BodyText1stparaafterlist"/>
        <w:keepLines/>
      </w:pPr>
      <w:r w:rsidRPr="004A6F43">
        <w:t>These high-level priorit</w:t>
      </w:r>
      <w:r w:rsidRPr="00B65F7F">
        <w:t xml:space="preserve">y actions ultimately speak to the need for continued investment in the mainstream health service system to ensure that </w:t>
      </w:r>
      <w:r>
        <w:t>Aboriginal and/or Torres Strait Islander</w:t>
      </w:r>
      <w:r w:rsidRPr="00B65F7F">
        <w:t xml:space="preserve"> peoples and communities</w:t>
      </w:r>
      <w:r w:rsidRPr="00B65F7F" w:rsidDel="00DD5DEA">
        <w:t xml:space="preserve"> </w:t>
      </w:r>
      <w:r w:rsidRPr="00B65F7F">
        <w:t>have adequate choice and access to culturally safe and responsive care, whether they choose to access healthcare from community-controlled or mainstream service providers.</w:t>
      </w:r>
      <w:r w:rsidRPr="00B65F7F" w:rsidDel="003A7FBF">
        <w:t xml:space="preserve"> </w:t>
      </w:r>
    </w:p>
    <w:p w14:paraId="62F00CEF" w14:textId="77777777" w:rsidR="00597B5E" w:rsidRPr="00754AE2" w:rsidRDefault="00054B80" w:rsidP="006734AE">
      <w:pPr>
        <w:pStyle w:val="HeadingLevel2NoNumber"/>
      </w:pPr>
      <w:r>
        <w:t>A</w:t>
      </w:r>
      <w:r w:rsidR="00597B5E" w:rsidRPr="00754AE2">
        <w:t>1.4 References</w:t>
      </w:r>
    </w:p>
    <w:p w14:paraId="2E2D296E" w14:textId="77777777" w:rsidR="00597B5E" w:rsidRPr="00EC4B03" w:rsidRDefault="00597B5E" w:rsidP="009B2EA8">
      <w:pPr>
        <w:pStyle w:val="References"/>
      </w:pPr>
      <w:r w:rsidRPr="00EC4B03">
        <w:t xml:space="preserve">Anderson I (2006) </w:t>
      </w:r>
      <w:r w:rsidR="00C24956" w:rsidRPr="00EC4B03">
        <w:t>‘</w:t>
      </w:r>
      <w:hyperlink r:id="rId59" w:history="1">
        <w:r w:rsidRPr="00EC4B03">
          <w:rPr>
            <w:rStyle w:val="Hyperlink"/>
          </w:rPr>
          <w:t>Mutual obligation, shared responsibility agreements &amp; [I]ndigenous health strategy</w:t>
        </w:r>
      </w:hyperlink>
      <w:r w:rsidR="00C24956" w:rsidRPr="00EC4B03">
        <w:t>’,</w:t>
      </w:r>
      <w:r w:rsidRPr="00EC4B03">
        <w:t xml:space="preserve"> </w:t>
      </w:r>
      <w:r w:rsidRPr="00EC4B03">
        <w:rPr>
          <w:i/>
        </w:rPr>
        <w:t>Australia and New Zealand Health Policy</w:t>
      </w:r>
      <w:r w:rsidRPr="00EC4B03">
        <w:t xml:space="preserve"> 3(10)</w:t>
      </w:r>
      <w:r w:rsidR="00C24956" w:rsidRPr="00EC4B03">
        <w:t>:</w:t>
      </w:r>
      <w:r w:rsidRPr="00EC4B03">
        <w:t>1</w:t>
      </w:r>
      <w:r w:rsidR="00C24956" w:rsidRPr="00EC4B03">
        <w:t>–</w:t>
      </w:r>
      <w:r w:rsidRPr="00EC4B03">
        <w:t xml:space="preserve">10. </w:t>
      </w:r>
    </w:p>
    <w:p w14:paraId="159B3D6D" w14:textId="77777777" w:rsidR="00597B5E" w:rsidRPr="00EC4B03" w:rsidRDefault="00597B5E" w:rsidP="009B2EA8">
      <w:pPr>
        <w:pStyle w:val="References"/>
      </w:pPr>
      <w:r w:rsidRPr="00EC4B03">
        <w:t>Auger M, Howell T</w:t>
      </w:r>
      <w:r w:rsidR="00C24956" w:rsidRPr="00EC4B03">
        <w:t xml:space="preserve"> and</w:t>
      </w:r>
      <w:r w:rsidRPr="00EC4B03">
        <w:t xml:space="preserve"> Gomes T (2016) </w:t>
      </w:r>
      <w:r w:rsidR="00C24956" w:rsidRPr="00EC4B03">
        <w:t>‘</w:t>
      </w:r>
      <w:hyperlink r:id="rId60" w:history="1">
        <w:r w:rsidRPr="00EC4B03">
          <w:rPr>
            <w:rStyle w:val="Hyperlink"/>
          </w:rPr>
          <w:t>Moving towards holistic wellness, empowerment and self-determination for Indigenous peoples in Canada: Can traditional Indigenous health care practices increase ownership over health and health care decisions?</w:t>
        </w:r>
      </w:hyperlink>
      <w:r w:rsidR="00C24956" w:rsidRPr="00EC4B03">
        <w:t>’</w:t>
      </w:r>
      <w:r w:rsidRPr="00EC4B03">
        <w:t xml:space="preserve"> </w:t>
      </w:r>
      <w:r w:rsidRPr="00EC4B03">
        <w:rPr>
          <w:i/>
        </w:rPr>
        <w:t>Canadian Journal of Public Health</w:t>
      </w:r>
      <w:r w:rsidRPr="00EC4B03">
        <w:rPr>
          <w:iCs/>
        </w:rPr>
        <w:t xml:space="preserve"> 107</w:t>
      </w:r>
      <w:r w:rsidR="00C24956" w:rsidRPr="00EC4B03">
        <w:rPr>
          <w:iCs/>
        </w:rPr>
        <w:t>:</w:t>
      </w:r>
      <w:r w:rsidRPr="00EC4B03">
        <w:t xml:space="preserve">e393–e398. </w:t>
      </w:r>
    </w:p>
    <w:p w14:paraId="7F90379D" w14:textId="77777777" w:rsidR="00597B5E" w:rsidRPr="00EC4B03" w:rsidRDefault="00C24956" w:rsidP="009B2EA8">
      <w:pPr>
        <w:pStyle w:val="References"/>
      </w:pPr>
      <w:r w:rsidRPr="00EC4B03">
        <w:t xml:space="preserve">Australian Government (2020) </w:t>
      </w:r>
      <w:hyperlink r:id="rId61" w:history="1">
        <w:r w:rsidRPr="00EC4B03">
          <w:rPr>
            <w:rStyle w:val="Hyperlink"/>
            <w:i/>
          </w:rPr>
          <w:t>6. Priority Reform Two – Building the community-controlled sector</w:t>
        </w:r>
      </w:hyperlink>
      <w:r w:rsidRPr="00EC4B03">
        <w:t>, Closing the Gap.</w:t>
      </w:r>
      <w:r w:rsidR="00597B5E" w:rsidRPr="00EC4B03">
        <w:t> </w:t>
      </w:r>
    </w:p>
    <w:p w14:paraId="5694F1F4" w14:textId="15B033C9" w:rsidR="00D632EA" w:rsidRPr="00EC4B03" w:rsidRDefault="00D632EA" w:rsidP="009B2EA8">
      <w:pPr>
        <w:pStyle w:val="References"/>
      </w:pPr>
      <w:r w:rsidRPr="00EC4B03">
        <w:t xml:space="preserve">Australian National Audit Office 2018) </w:t>
      </w:r>
      <w:hyperlink r:id="rId62" w:history="1">
        <w:r w:rsidRPr="00EC4B03">
          <w:rPr>
            <w:rStyle w:val="Hyperlink"/>
            <w:i/>
            <w:iCs/>
          </w:rPr>
          <w:t>Primary Healthcare Grants under the Indigenous Australians’ Health Program</w:t>
        </w:r>
      </w:hyperlink>
      <w:r w:rsidRPr="00EC4B03">
        <w:t>, ANAO.</w:t>
      </w:r>
    </w:p>
    <w:p w14:paraId="0E8B80B4" w14:textId="601667B2" w:rsidR="00597B5E" w:rsidRPr="00EC4B03" w:rsidRDefault="00597B5E" w:rsidP="009B2EA8">
      <w:pPr>
        <w:pStyle w:val="References"/>
      </w:pPr>
      <w:r w:rsidRPr="00EC4B03">
        <w:t xml:space="preserve">Behrendt L (2005) </w:t>
      </w:r>
      <w:hyperlink r:id="rId63" w:history="1">
        <w:r w:rsidRPr="00EC4B03">
          <w:rPr>
            <w:rStyle w:val="Hyperlink"/>
            <w:i/>
            <w:iCs/>
          </w:rPr>
          <w:t xml:space="preserve">The abolition of ATSIC </w:t>
        </w:r>
        <w:r w:rsidR="006D513D" w:rsidRPr="00EC4B03">
          <w:rPr>
            <w:rStyle w:val="Hyperlink"/>
            <w:i/>
            <w:iCs/>
          </w:rPr>
          <w:t>–</w:t>
        </w:r>
        <w:r w:rsidRPr="00EC4B03">
          <w:rPr>
            <w:rStyle w:val="Hyperlink"/>
            <w:i/>
            <w:iCs/>
          </w:rPr>
          <w:t xml:space="preserve"> Implications for democracy</w:t>
        </w:r>
      </w:hyperlink>
      <w:r w:rsidR="009B3CC7" w:rsidRPr="00EC4B03">
        <w:t>,</w:t>
      </w:r>
      <w:r w:rsidRPr="00EC4B03">
        <w:t xml:space="preserve"> </w:t>
      </w:r>
      <w:r w:rsidR="009B3CC7" w:rsidRPr="00EC4B03">
        <w:t>Democratic Audit of Australia.</w:t>
      </w:r>
    </w:p>
    <w:p w14:paraId="18D53CFB" w14:textId="3D246E4E" w:rsidR="00597B5E" w:rsidRPr="00EC4B03" w:rsidRDefault="00597B5E" w:rsidP="009B2EA8">
      <w:pPr>
        <w:pStyle w:val="References"/>
      </w:pPr>
      <w:r w:rsidRPr="00EC4B03">
        <w:t xml:space="preserve">Centre </w:t>
      </w:r>
      <w:r w:rsidR="00E54AF1" w:rsidRPr="00EC4B03">
        <w:t>of</w:t>
      </w:r>
      <w:r w:rsidRPr="00EC4B03">
        <w:t xml:space="preserve"> Best Practice in Aboriginal and/or Torres Strait Islander Suicide Prevention (2022) </w:t>
      </w:r>
      <w:hyperlink r:id="rId64" w:anchor="guidingprinciples" w:history="1">
        <w:r w:rsidRPr="00EC4B03">
          <w:rPr>
            <w:rStyle w:val="Hyperlink"/>
            <w:i/>
          </w:rPr>
          <w:t>About us</w:t>
        </w:r>
      </w:hyperlink>
      <w:r w:rsidR="009B3CC7" w:rsidRPr="00EC4B03">
        <w:t>, CBPATSISP.</w:t>
      </w:r>
      <w:r w:rsidRPr="00EC4B03">
        <w:t> </w:t>
      </w:r>
    </w:p>
    <w:p w14:paraId="47911684" w14:textId="77777777" w:rsidR="009B3CC7" w:rsidRPr="00EC4B03" w:rsidRDefault="009B3CC7" w:rsidP="009B2EA8">
      <w:pPr>
        <w:pStyle w:val="References"/>
        <w:rPr>
          <w:color w:val="000000" w:themeColor="text1"/>
        </w:rPr>
      </w:pPr>
      <w:r w:rsidRPr="00EC4B03">
        <w:rPr>
          <w:color w:val="000000" w:themeColor="text1"/>
        </w:rPr>
        <w:t xml:space="preserve">Coalition of Peaks (2020) </w:t>
      </w:r>
      <w:hyperlink r:id="rId65" w:history="1">
        <w:r w:rsidRPr="00EC4B03">
          <w:rPr>
            <w:rStyle w:val="Hyperlink"/>
            <w:i/>
          </w:rPr>
          <w:t>National Agreement on Closing the Gap</w:t>
        </w:r>
      </w:hyperlink>
      <w:r w:rsidRPr="00EC4B03">
        <w:rPr>
          <w:color w:val="000000" w:themeColor="text1"/>
        </w:rPr>
        <w:t>, Coalition of Aboriginal and Torres Strait Islander Peak Organisations, and all Australian Governments.</w:t>
      </w:r>
    </w:p>
    <w:p w14:paraId="24199BAC" w14:textId="77777777" w:rsidR="00597B5E" w:rsidRPr="00EC4B03" w:rsidRDefault="00597B5E" w:rsidP="009B2EA8">
      <w:pPr>
        <w:pStyle w:val="References"/>
      </w:pPr>
      <w:r w:rsidRPr="00EC4B03">
        <w:t xml:space="preserve">Commonwealth of Australia (2023) </w:t>
      </w:r>
      <w:hyperlink r:id="rId66" w:history="1">
        <w:r w:rsidRPr="00EC4B03">
          <w:rPr>
            <w:rStyle w:val="Hyperlink"/>
            <w:i/>
            <w:iCs/>
          </w:rPr>
          <w:t>Commonwealth Closing the Gap Implementation Plan</w:t>
        </w:r>
      </w:hyperlink>
      <w:r w:rsidR="00B75101" w:rsidRPr="00EC4B03">
        <w:t>, National Indigenous Australians Agency.</w:t>
      </w:r>
    </w:p>
    <w:p w14:paraId="0575E789" w14:textId="77777777" w:rsidR="00597B5E" w:rsidRPr="00EC4B03" w:rsidRDefault="00597B5E" w:rsidP="009B2EA8">
      <w:pPr>
        <w:pStyle w:val="References"/>
      </w:pPr>
      <w:r w:rsidRPr="00EC4B03">
        <w:t xml:space="preserve">Department of Families, Fairness and Housing (2020) </w:t>
      </w:r>
      <w:hyperlink r:id="rId67" w:history="1">
        <w:r w:rsidRPr="00EC4B03">
          <w:rPr>
            <w:rStyle w:val="Hyperlink"/>
            <w:i/>
          </w:rPr>
          <w:t>Dhelk Dja Monitoring, Evaluation and Accountability Plan</w:t>
        </w:r>
      </w:hyperlink>
      <w:r w:rsidR="00B75101" w:rsidRPr="00EC4B03">
        <w:t>,</w:t>
      </w:r>
      <w:r w:rsidRPr="00EC4B03">
        <w:t xml:space="preserve"> Victorian Government. </w:t>
      </w:r>
    </w:p>
    <w:p w14:paraId="17402247" w14:textId="77777777" w:rsidR="00597B5E" w:rsidRPr="00EC4B03" w:rsidRDefault="00597B5E" w:rsidP="009B2EA8">
      <w:pPr>
        <w:pStyle w:val="References"/>
      </w:pPr>
      <w:r w:rsidRPr="00EC4B03">
        <w:t xml:space="preserve">Department of Health (2020) </w:t>
      </w:r>
      <w:hyperlink r:id="rId68" w:history="1">
        <w:r w:rsidRPr="00EC4B03">
          <w:rPr>
            <w:rStyle w:val="Hyperlink"/>
            <w:i/>
          </w:rPr>
          <w:t>Indigenous Australians’ Health Programme Primary Health Care Funding Model Technical Factsheet</w:t>
        </w:r>
      </w:hyperlink>
      <w:r w:rsidR="00B75101" w:rsidRPr="00EC4B03">
        <w:t>,</w:t>
      </w:r>
      <w:r w:rsidRPr="00EC4B03">
        <w:t xml:space="preserve"> Australian Government. </w:t>
      </w:r>
    </w:p>
    <w:p w14:paraId="126FB76A" w14:textId="77777777" w:rsidR="00597B5E" w:rsidRPr="00EC4B03" w:rsidRDefault="00597B5E" w:rsidP="009B2EA8">
      <w:pPr>
        <w:pStyle w:val="References"/>
      </w:pPr>
      <w:r w:rsidRPr="00EC4B03">
        <w:t xml:space="preserve">Department of Health and Aged Care (2023) </w:t>
      </w:r>
      <w:hyperlink r:id="rId69" w:history="1">
        <w:r w:rsidRPr="00EC4B03">
          <w:rPr>
            <w:rStyle w:val="Hyperlink"/>
            <w:i/>
          </w:rPr>
          <w:t>Indigenous Australians’ Health Programme</w:t>
        </w:r>
      </w:hyperlink>
      <w:r w:rsidR="00B75101" w:rsidRPr="00EC4B03">
        <w:rPr>
          <w:iCs/>
        </w:rPr>
        <w:t>,</w:t>
      </w:r>
      <w:r w:rsidRPr="00EC4B03">
        <w:rPr>
          <w:i/>
        </w:rPr>
        <w:t xml:space="preserve"> </w:t>
      </w:r>
      <w:r w:rsidRPr="00EC4B03">
        <w:t xml:space="preserve">Australian Government. </w:t>
      </w:r>
    </w:p>
    <w:p w14:paraId="62DC2B22" w14:textId="77777777" w:rsidR="00597B5E" w:rsidRPr="00EC4B03" w:rsidRDefault="00597B5E" w:rsidP="009B2EA8">
      <w:pPr>
        <w:pStyle w:val="References"/>
      </w:pPr>
      <w:r w:rsidRPr="00EC4B03">
        <w:t>Groves K, Moran M</w:t>
      </w:r>
      <w:r w:rsidR="00B75101" w:rsidRPr="00EC4B03">
        <w:t xml:space="preserve"> and</w:t>
      </w:r>
      <w:r w:rsidRPr="00EC4B03">
        <w:t xml:space="preserve"> Bourne J (2022) </w:t>
      </w:r>
      <w:hyperlink r:id="rId70" w:history="1">
        <w:r w:rsidRPr="00EC4B03">
          <w:rPr>
            <w:rStyle w:val="Hyperlink"/>
            <w:i/>
          </w:rPr>
          <w:t>Indigenous self-governance for mental health and suicide prevention</w:t>
        </w:r>
      </w:hyperlink>
      <w:r w:rsidR="00B75101" w:rsidRPr="00EC4B03">
        <w:t>,</w:t>
      </w:r>
      <w:r w:rsidRPr="00EC4B03">
        <w:t xml:space="preserve"> Indigenous Mental Health and Suicide Prevention Clearinghouse. </w:t>
      </w:r>
    </w:p>
    <w:p w14:paraId="336F9816" w14:textId="77777777" w:rsidR="00597B5E" w:rsidRPr="00EC4B03" w:rsidRDefault="00597B5E" w:rsidP="009B2EA8">
      <w:pPr>
        <w:pStyle w:val="References"/>
      </w:pPr>
      <w:r w:rsidRPr="00EC4B03">
        <w:t xml:space="preserve">Harfield S, Davy C, McArthur A, Munn Z, Brown A </w:t>
      </w:r>
      <w:r w:rsidR="000B2744" w:rsidRPr="00EC4B03">
        <w:t>and</w:t>
      </w:r>
      <w:r w:rsidRPr="00EC4B03">
        <w:t xml:space="preserve"> Brown N (2018) </w:t>
      </w:r>
      <w:r w:rsidR="004C6CA1" w:rsidRPr="00EC4B03">
        <w:t>‘</w:t>
      </w:r>
      <w:hyperlink r:id="rId71" w:history="1">
        <w:r w:rsidRPr="00EC4B03">
          <w:rPr>
            <w:rStyle w:val="Hyperlink"/>
          </w:rPr>
          <w:t>Characteristics of Indigenous primary health care service delivery models: A systematic scoping review</w:t>
        </w:r>
      </w:hyperlink>
      <w:r w:rsidR="004C6CA1" w:rsidRPr="00EC4B03">
        <w:t>’</w:t>
      </w:r>
      <w:r w:rsidR="000B2744" w:rsidRPr="00EC4B03">
        <w:t>,</w:t>
      </w:r>
      <w:r w:rsidRPr="00EC4B03">
        <w:t xml:space="preserve"> </w:t>
      </w:r>
      <w:r w:rsidRPr="00EC4B03">
        <w:rPr>
          <w:i/>
        </w:rPr>
        <w:t xml:space="preserve">Globalization and Health </w:t>
      </w:r>
      <w:r w:rsidRPr="00EC4B03">
        <w:rPr>
          <w:iCs/>
        </w:rPr>
        <w:t>14</w:t>
      </w:r>
      <w:r w:rsidRPr="00EC4B03">
        <w:t>(12)</w:t>
      </w:r>
      <w:r w:rsidR="000B2744" w:rsidRPr="00EC4B03">
        <w:t>:</w:t>
      </w:r>
      <w:r w:rsidRPr="00EC4B03">
        <w:t xml:space="preserve"> 1–11. </w:t>
      </w:r>
    </w:p>
    <w:p w14:paraId="5B2A4A93" w14:textId="77777777" w:rsidR="00597B5E" w:rsidRPr="00EC4B03" w:rsidRDefault="00597B5E" w:rsidP="009B2EA8">
      <w:pPr>
        <w:pStyle w:val="References"/>
      </w:pPr>
      <w:r w:rsidRPr="00EC4B03">
        <w:t xml:space="preserve">IAHP Yarnes (2021) </w:t>
      </w:r>
      <w:hyperlink r:id="rId72" w:history="1">
        <w:r w:rsidRPr="00EC4B03">
          <w:rPr>
            <w:rStyle w:val="Hyperlink"/>
            <w:i/>
          </w:rPr>
          <w:t>The IAHP</w:t>
        </w:r>
      </w:hyperlink>
      <w:r w:rsidR="000B2744" w:rsidRPr="00EC4B03">
        <w:t>,</w:t>
      </w:r>
      <w:r w:rsidRPr="00EC4B03">
        <w:t xml:space="preserve"> </w:t>
      </w:r>
      <w:r w:rsidR="000B2744" w:rsidRPr="00EC4B03">
        <w:t>Indigenous Australians’ Health Programme.</w:t>
      </w:r>
    </w:p>
    <w:p w14:paraId="007BC74B" w14:textId="77777777" w:rsidR="00597B5E" w:rsidRPr="00EC4B03" w:rsidRDefault="00597B5E" w:rsidP="009B2EA8">
      <w:pPr>
        <w:pStyle w:val="References"/>
      </w:pPr>
      <w:r w:rsidRPr="00EC4B03">
        <w:t>Jongen C, Campbell S, McCalman J, Fagan R, Pearson K</w:t>
      </w:r>
      <w:r w:rsidR="000B2744" w:rsidRPr="00EC4B03">
        <w:t xml:space="preserve"> and</w:t>
      </w:r>
      <w:r w:rsidRPr="00EC4B03">
        <w:t xml:space="preserve"> Andrews S (2020) </w:t>
      </w:r>
      <w:r w:rsidR="004C6CA1" w:rsidRPr="00EC4B03">
        <w:t>‘</w:t>
      </w:r>
      <w:hyperlink r:id="rId73" w:history="1">
        <w:r w:rsidRPr="00EC4B03">
          <w:rPr>
            <w:rStyle w:val="Hyperlink"/>
          </w:rPr>
          <w:t>Transitioning to Aboriginal community control of primary health care: the process and strategies of one community-controlled health organisation in Queensland</w:t>
        </w:r>
      </w:hyperlink>
      <w:r w:rsidR="004C6CA1" w:rsidRPr="00EC4B03">
        <w:t>’</w:t>
      </w:r>
      <w:r w:rsidR="000B2744" w:rsidRPr="00EC4B03">
        <w:t>,</w:t>
      </w:r>
      <w:r w:rsidRPr="00EC4B03">
        <w:t xml:space="preserve"> </w:t>
      </w:r>
      <w:r w:rsidRPr="00EC4B03">
        <w:rPr>
          <w:i/>
        </w:rPr>
        <w:t xml:space="preserve">BMC Family Practice </w:t>
      </w:r>
      <w:r w:rsidRPr="00EC4B03">
        <w:rPr>
          <w:iCs/>
        </w:rPr>
        <w:t>21</w:t>
      </w:r>
      <w:r w:rsidRPr="00EC4B03">
        <w:t>(230)</w:t>
      </w:r>
      <w:r w:rsidR="000B2744" w:rsidRPr="00EC4B03">
        <w:t>:</w:t>
      </w:r>
      <w:r w:rsidRPr="00EC4B03">
        <w:t xml:space="preserve"> 1</w:t>
      </w:r>
      <w:r w:rsidR="000B2744" w:rsidRPr="00EC4B03">
        <w:t>–</w:t>
      </w:r>
      <w:r w:rsidRPr="00EC4B03">
        <w:t xml:space="preserve">12. </w:t>
      </w:r>
    </w:p>
    <w:p w14:paraId="27992C37" w14:textId="77777777" w:rsidR="00597B5E" w:rsidRPr="004A6F43" w:rsidRDefault="00597B5E" w:rsidP="009B2EA8">
      <w:pPr>
        <w:pStyle w:val="References"/>
      </w:pPr>
      <w:r w:rsidRPr="00EC4B03">
        <w:t>McCalman K, L</w:t>
      </w:r>
      <w:r w:rsidRPr="004A6F43">
        <w:t>ongbottom M, Fagan S, Fagan R, Andrews S</w:t>
      </w:r>
      <w:r w:rsidR="000B2744">
        <w:t xml:space="preserve"> and</w:t>
      </w:r>
      <w:r w:rsidRPr="004A6F43">
        <w:t xml:space="preserve"> Miller A (2021) </w:t>
      </w:r>
      <w:r w:rsidR="004C6CA1">
        <w:t>‘</w:t>
      </w:r>
      <w:hyperlink r:id="rId74" w:history="1">
        <w:r w:rsidRPr="00CF304B">
          <w:rPr>
            <w:rStyle w:val="Hyperlink"/>
          </w:rPr>
          <w:t>Leading with local solutions to keep Yarrabah safe: a grounded theory study of an Aboriginal community-controlled health organisation’s response to COVID-19</w:t>
        </w:r>
      </w:hyperlink>
      <w:r w:rsidR="004C6CA1">
        <w:t>’</w:t>
      </w:r>
      <w:r w:rsidR="00CF304B">
        <w:t>,</w:t>
      </w:r>
      <w:r w:rsidRPr="004A6F43">
        <w:t xml:space="preserve"> </w:t>
      </w:r>
      <w:r w:rsidRPr="004A6F43">
        <w:rPr>
          <w:i/>
        </w:rPr>
        <w:t>BMC Health Serv</w:t>
      </w:r>
      <w:r w:rsidR="00CF304B">
        <w:rPr>
          <w:i/>
        </w:rPr>
        <w:t>ices</w:t>
      </w:r>
      <w:r w:rsidRPr="004A6F43">
        <w:rPr>
          <w:i/>
        </w:rPr>
        <w:t xml:space="preserve"> Res</w:t>
      </w:r>
      <w:r w:rsidR="00CF304B">
        <w:rPr>
          <w:i/>
        </w:rPr>
        <w:t>earch</w:t>
      </w:r>
      <w:r w:rsidRPr="004A6F43">
        <w:rPr>
          <w:i/>
        </w:rPr>
        <w:t xml:space="preserve"> </w:t>
      </w:r>
      <w:r w:rsidRPr="0098562E">
        <w:rPr>
          <w:iCs/>
        </w:rPr>
        <w:t>21</w:t>
      </w:r>
      <w:r w:rsidRPr="004A6F43">
        <w:t>(1)</w:t>
      </w:r>
      <w:r w:rsidR="00CF304B">
        <w:t>:</w:t>
      </w:r>
      <w:r w:rsidRPr="004A6F43">
        <w:t>1</w:t>
      </w:r>
      <w:r w:rsidR="00CF304B">
        <w:t>–</w:t>
      </w:r>
      <w:r w:rsidRPr="004A6F43">
        <w:t xml:space="preserve">15. </w:t>
      </w:r>
    </w:p>
    <w:p w14:paraId="3A41F4A7" w14:textId="77777777" w:rsidR="00597B5E" w:rsidRPr="00EC4B03" w:rsidRDefault="00597B5E" w:rsidP="009B2EA8">
      <w:pPr>
        <w:pStyle w:val="References"/>
      </w:pPr>
      <w:r w:rsidRPr="00EC4B03">
        <w:lastRenderedPageBreak/>
        <w:t xml:space="preserve">National Aboriginal and/or Torres Strait Islander Leadership in Mental Health (2015) </w:t>
      </w:r>
      <w:hyperlink r:id="rId75" w:history="1">
        <w:r w:rsidRPr="00EC4B03">
          <w:rPr>
            <w:rStyle w:val="Hyperlink"/>
            <w:i/>
            <w:iCs/>
          </w:rPr>
          <w:t>Gayaa Dhuwi (Proud Spirit) Declaration: A companion declaration to the Wharerātā Declaration for use by Aboriginal and/or Torres Strait Islander peoples</w:t>
        </w:r>
      </w:hyperlink>
      <w:r w:rsidR="00CF304B" w:rsidRPr="00EC4B03">
        <w:t>, NATSILMH.</w:t>
      </w:r>
      <w:r w:rsidRPr="00EC4B03">
        <w:t> </w:t>
      </w:r>
    </w:p>
    <w:p w14:paraId="0F537244" w14:textId="77777777" w:rsidR="00597B5E" w:rsidRPr="00EC4B03" w:rsidRDefault="00597B5E" w:rsidP="009B2EA8">
      <w:pPr>
        <w:pStyle w:val="References"/>
      </w:pPr>
      <w:r w:rsidRPr="00EC4B03">
        <w:t xml:space="preserve">National Aboriginal Community Controlled Health Organisation (2022) </w:t>
      </w:r>
      <w:hyperlink r:id="rId76" w:history="1">
        <w:r w:rsidRPr="00EC4B03">
          <w:rPr>
            <w:rStyle w:val="Hyperlink"/>
            <w:i/>
          </w:rPr>
          <w:t>2022/23 Pre-budget submission</w:t>
        </w:r>
      </w:hyperlink>
      <w:r w:rsidR="00CF304B" w:rsidRPr="00EC4B03">
        <w:t>, NACCHO.</w:t>
      </w:r>
      <w:r w:rsidRPr="00EC4B03">
        <w:t xml:space="preserve"> </w:t>
      </w:r>
    </w:p>
    <w:p w14:paraId="0F53506E" w14:textId="77777777" w:rsidR="00597B5E" w:rsidRPr="00EC4B03" w:rsidRDefault="00597B5E" w:rsidP="009B2EA8">
      <w:pPr>
        <w:pStyle w:val="References"/>
      </w:pPr>
      <w:r w:rsidRPr="00EC4B03">
        <w:t xml:space="preserve">National Indigenous Australians Agency (n.d.) </w:t>
      </w:r>
      <w:hyperlink r:id="rId77" w:history="1">
        <w:r w:rsidRPr="00EC4B03">
          <w:rPr>
            <w:rStyle w:val="Hyperlink"/>
            <w:i/>
            <w:iCs/>
          </w:rPr>
          <w:t xml:space="preserve">Areas of </w:t>
        </w:r>
        <w:r w:rsidR="00CF304B" w:rsidRPr="00EC4B03">
          <w:rPr>
            <w:rStyle w:val="Hyperlink"/>
            <w:i/>
            <w:iCs/>
          </w:rPr>
          <w:t>f</w:t>
        </w:r>
        <w:r w:rsidRPr="00EC4B03">
          <w:rPr>
            <w:rStyle w:val="Hyperlink"/>
            <w:i/>
            <w:iCs/>
          </w:rPr>
          <w:t>ocus</w:t>
        </w:r>
      </w:hyperlink>
      <w:r w:rsidR="00CF304B" w:rsidRPr="00EC4B03">
        <w:t>, NIAA.</w:t>
      </w:r>
      <w:r w:rsidRPr="00EC4B03">
        <w:t xml:space="preserve"> </w:t>
      </w:r>
    </w:p>
    <w:p w14:paraId="0A414882" w14:textId="77777777" w:rsidR="00597B5E" w:rsidRPr="00EC4B03" w:rsidRDefault="00597B5E" w:rsidP="009B2EA8">
      <w:pPr>
        <w:pStyle w:val="References"/>
      </w:pPr>
      <w:r w:rsidRPr="00EC4B03">
        <w:t>Ninomiya MM, George N, George J, Linklater R, Bull J, Plain S, Graham K, Bernards S, Peach L, Stergiopoulos V, Kurdyak P, McKinley G, Donnelly P</w:t>
      </w:r>
      <w:r w:rsidR="00CF304B" w:rsidRPr="00EC4B03">
        <w:t xml:space="preserve"> and </w:t>
      </w:r>
      <w:r w:rsidRPr="00EC4B03">
        <w:t xml:space="preserve">Wells S (2020) </w:t>
      </w:r>
      <w:r w:rsidR="004C6CA1" w:rsidRPr="00EC4B03">
        <w:t>‘</w:t>
      </w:r>
      <w:hyperlink r:id="rId78" w:history="1">
        <w:r w:rsidRPr="00EC4B03">
          <w:rPr>
            <w:rStyle w:val="Hyperlink"/>
          </w:rPr>
          <w:t>A community-driven and evidence-based approach to developing mental wellness strategies in First Nations: a program protocol</w:t>
        </w:r>
      </w:hyperlink>
      <w:r w:rsidR="004C6CA1" w:rsidRPr="00EC4B03">
        <w:t>’</w:t>
      </w:r>
      <w:r w:rsidR="00CF304B" w:rsidRPr="00EC4B03">
        <w:t>,</w:t>
      </w:r>
      <w:r w:rsidRPr="00EC4B03">
        <w:t xml:space="preserve"> </w:t>
      </w:r>
      <w:r w:rsidRPr="00EC4B03">
        <w:rPr>
          <w:i/>
        </w:rPr>
        <w:t>Research Involvement and Engagement</w:t>
      </w:r>
      <w:r w:rsidRPr="00EC4B03">
        <w:t xml:space="preserve"> </w:t>
      </w:r>
      <w:r w:rsidRPr="00EC4B03">
        <w:rPr>
          <w:iCs/>
        </w:rPr>
        <w:t>6</w:t>
      </w:r>
      <w:r w:rsidRPr="00EC4B03">
        <w:t>(5)</w:t>
      </w:r>
      <w:r w:rsidR="00CF304B" w:rsidRPr="00EC4B03">
        <w:t>:</w:t>
      </w:r>
      <w:r w:rsidRPr="00EC4B03">
        <w:t>1–12. </w:t>
      </w:r>
    </w:p>
    <w:p w14:paraId="05874DB7" w14:textId="77777777" w:rsidR="00597B5E" w:rsidRPr="00EC4B03" w:rsidRDefault="00597B5E" w:rsidP="009B2EA8">
      <w:pPr>
        <w:pStyle w:val="References"/>
      </w:pPr>
      <w:r w:rsidRPr="00EC4B03">
        <w:t>Pratt A</w:t>
      </w:r>
      <w:r w:rsidR="00CF304B" w:rsidRPr="00EC4B03">
        <w:t xml:space="preserve"> and</w:t>
      </w:r>
      <w:r w:rsidRPr="00EC4B03">
        <w:t xml:space="preserve"> Bennett S (2004) </w:t>
      </w:r>
      <w:hyperlink r:id="rId79" w:anchor="search=%22library/prspub/FXED6%22" w:history="1">
        <w:r w:rsidRPr="00EC4B03">
          <w:rPr>
            <w:rStyle w:val="Hyperlink"/>
            <w:i/>
            <w:iCs/>
          </w:rPr>
          <w:t>The end of ATSIC and the future administration of Indigenous affairs</w:t>
        </w:r>
      </w:hyperlink>
      <w:r w:rsidR="00CF304B" w:rsidRPr="00EC4B03">
        <w:t xml:space="preserve">, Information and research services, Parliamentary Library. </w:t>
      </w:r>
    </w:p>
    <w:p w14:paraId="32BD1895" w14:textId="77777777" w:rsidR="00597B5E" w:rsidRPr="00EC4B03" w:rsidRDefault="00CF304B" w:rsidP="009B2EA8">
      <w:pPr>
        <w:pStyle w:val="References"/>
      </w:pPr>
      <w:r w:rsidRPr="00EC4B03">
        <w:t xml:space="preserve">Productivity Commission (2023) </w:t>
      </w:r>
      <w:hyperlink r:id="rId80" w:history="1">
        <w:r w:rsidRPr="00EC4B03">
          <w:rPr>
            <w:rStyle w:val="Hyperlink"/>
            <w:i/>
            <w:iCs/>
          </w:rPr>
          <w:t>Review of the National Agreement on Closing the Gap: Draft report</w:t>
        </w:r>
      </w:hyperlink>
      <w:r w:rsidRPr="00EC4B03">
        <w:t xml:space="preserve">, PC, Canberra. </w:t>
      </w:r>
    </w:p>
    <w:p w14:paraId="1B64E153" w14:textId="77777777" w:rsidR="00597B5E" w:rsidRPr="00EC4B03" w:rsidRDefault="00597B5E" w:rsidP="009B2EA8">
      <w:pPr>
        <w:pStyle w:val="References"/>
      </w:pPr>
      <w:r w:rsidRPr="00EC4B03">
        <w:t>Sones R, Hopkins C, Manson S</w:t>
      </w:r>
      <w:r w:rsidR="00CF304B" w:rsidRPr="00EC4B03">
        <w:t>,</w:t>
      </w:r>
      <w:r w:rsidRPr="00EC4B03">
        <w:t xml:space="preserve"> Watson R, Durie M</w:t>
      </w:r>
      <w:r w:rsidR="00CF304B" w:rsidRPr="00EC4B03">
        <w:t xml:space="preserve"> and</w:t>
      </w:r>
      <w:r w:rsidRPr="00EC4B03">
        <w:t xml:space="preserve"> Naquin V (2010) </w:t>
      </w:r>
      <w:r w:rsidR="004C6CA1" w:rsidRPr="00EC4B03">
        <w:t>‘</w:t>
      </w:r>
      <w:hyperlink r:id="rId81" w:history="1">
        <w:r w:rsidRPr="00EC4B03">
          <w:rPr>
            <w:rStyle w:val="Hyperlink"/>
          </w:rPr>
          <w:t>The Wharerata Declaration – the development of indigenous leaders in mental health</w:t>
        </w:r>
      </w:hyperlink>
      <w:r w:rsidR="004C6CA1" w:rsidRPr="00EC4B03">
        <w:t>’</w:t>
      </w:r>
      <w:r w:rsidR="00CF304B" w:rsidRPr="00EC4B03">
        <w:t>,</w:t>
      </w:r>
      <w:r w:rsidRPr="00EC4B03">
        <w:t xml:space="preserve"> </w:t>
      </w:r>
      <w:r w:rsidRPr="00EC4B03">
        <w:rPr>
          <w:i/>
        </w:rPr>
        <w:t>The International Journal of Leadership in Public Services</w:t>
      </w:r>
      <w:r w:rsidRPr="00EC4B03">
        <w:t xml:space="preserve"> </w:t>
      </w:r>
      <w:r w:rsidRPr="00EC4B03">
        <w:rPr>
          <w:iCs/>
        </w:rPr>
        <w:t>6</w:t>
      </w:r>
      <w:r w:rsidRPr="00EC4B03">
        <w:t>(1)</w:t>
      </w:r>
      <w:r w:rsidR="00CF304B" w:rsidRPr="00EC4B03">
        <w:t>:</w:t>
      </w:r>
      <w:r w:rsidRPr="00EC4B03">
        <w:t>53–63. </w:t>
      </w:r>
    </w:p>
    <w:p w14:paraId="0824F4CA" w14:textId="77777777" w:rsidR="00597B5E" w:rsidRPr="00EC4B03" w:rsidRDefault="00597B5E" w:rsidP="009B2EA8">
      <w:pPr>
        <w:pStyle w:val="References"/>
      </w:pPr>
      <w:r w:rsidRPr="00EC4B03">
        <w:t xml:space="preserve">United Nations (2007) </w:t>
      </w:r>
      <w:hyperlink r:id="rId82" w:history="1">
        <w:r w:rsidRPr="00EC4B03">
          <w:rPr>
            <w:rStyle w:val="Hyperlink"/>
            <w:i/>
          </w:rPr>
          <w:t>United Nations declaration on the rights of Indigenous peoples</w:t>
        </w:r>
      </w:hyperlink>
      <w:r w:rsidR="008541AC" w:rsidRPr="00EC4B03">
        <w:t>,</w:t>
      </w:r>
      <w:r w:rsidRPr="00EC4B03">
        <w:t xml:space="preserve"> </w:t>
      </w:r>
      <w:r w:rsidR="008541AC" w:rsidRPr="00EC4B03">
        <w:t>UN.</w:t>
      </w:r>
    </w:p>
    <w:p w14:paraId="0CCF8F60" w14:textId="77777777" w:rsidR="00597B5E" w:rsidRPr="004A6F43" w:rsidRDefault="00597B5E" w:rsidP="009B2EA8">
      <w:pPr>
        <w:pStyle w:val="References"/>
      </w:pPr>
      <w:r w:rsidRPr="00EC4B03">
        <w:t xml:space="preserve">Victorian Aboriginal Health Service (n.d.) </w:t>
      </w:r>
      <w:hyperlink r:id="rId83" w:history="1">
        <w:r w:rsidRPr="00EC4B03">
          <w:rPr>
            <w:rStyle w:val="Hyperlink"/>
            <w:i/>
          </w:rPr>
          <w:t>History-post 1967: major developments in national Aboriginal health policy since 1967</w:t>
        </w:r>
      </w:hyperlink>
      <w:r w:rsidR="008541AC" w:rsidRPr="00EC4B03">
        <w:t>, VAHS.</w:t>
      </w:r>
      <w:r w:rsidRPr="004A6F43">
        <w:t xml:space="preserve"> </w:t>
      </w:r>
    </w:p>
    <w:p w14:paraId="11BC0CE0" w14:textId="77777777" w:rsidR="00597B5E" w:rsidRDefault="00597B5E" w:rsidP="00597B5E">
      <w:pPr>
        <w:rPr>
          <w:rFonts w:eastAsia="Roboto"/>
        </w:rPr>
      </w:pPr>
    </w:p>
    <w:p w14:paraId="7646AD49" w14:textId="77777777" w:rsidR="00597B5E" w:rsidRPr="00B65F7F" w:rsidRDefault="00597B5E" w:rsidP="00597B5E">
      <w:pPr>
        <w:rPr>
          <w:rFonts w:eastAsia="Roboto" w:cstheme="minorHAnsi"/>
          <w:sz w:val="22"/>
          <w:szCs w:val="22"/>
          <w:lang w:eastAsia="en-US" w:bidi="en-US"/>
        </w:rPr>
      </w:pPr>
      <w:r w:rsidRPr="00B65F7F">
        <w:rPr>
          <w:rFonts w:eastAsia="Roboto"/>
        </w:rPr>
        <w:br w:type="page"/>
      </w:r>
    </w:p>
    <w:p w14:paraId="1072C767" w14:textId="41B76627" w:rsidR="00597B5E" w:rsidRPr="00B65F7F" w:rsidRDefault="00597B5E" w:rsidP="001611E1">
      <w:pPr>
        <w:pStyle w:val="Heading1App"/>
      </w:pPr>
      <w:bookmarkStart w:id="174" w:name="Appendix2"/>
      <w:bookmarkStart w:id="175" w:name="_Toc145955267"/>
      <w:bookmarkStart w:id="176" w:name="_Toc156932013"/>
      <w:r w:rsidRPr="00B65F7F">
        <w:lastRenderedPageBreak/>
        <w:t xml:space="preserve">Appendix </w:t>
      </w:r>
      <w:bookmarkEnd w:id="174"/>
      <w:r w:rsidRPr="00B65F7F">
        <w:t>2</w:t>
      </w:r>
      <w:r w:rsidR="006C172C">
        <w:t xml:space="preserve"> –</w:t>
      </w:r>
      <w:r w:rsidRPr="00B65F7F">
        <w:t xml:space="preserve"> The </w:t>
      </w:r>
      <w:r w:rsidR="002B5174">
        <w:t>Relevant Health Programs</w:t>
      </w:r>
      <w:r w:rsidRPr="00B65F7F">
        <w:t xml:space="preserve"> administered by Primary Health Networks</w:t>
      </w:r>
      <w:bookmarkEnd w:id="175"/>
      <w:bookmarkEnd w:id="176"/>
      <w:r w:rsidRPr="00B65F7F">
        <w:t xml:space="preserve"> </w:t>
      </w:r>
    </w:p>
    <w:p w14:paraId="1E5873E4" w14:textId="77777777" w:rsidR="00597B5E" w:rsidRPr="00B65F7F" w:rsidRDefault="00597B5E" w:rsidP="00CB243F">
      <w:pPr>
        <w:pStyle w:val="BodyText"/>
      </w:pPr>
      <w:bookmarkStart w:id="177" w:name="_v48iwsz3sakz" w:colFirst="0" w:colLast="0"/>
      <w:bookmarkEnd w:id="177"/>
      <w:r w:rsidRPr="00B65F7F">
        <w:t xml:space="preserve">The description of the Relevant Health Programs has been sourced from publicly available information and information. As noted </w:t>
      </w:r>
      <w:r w:rsidRPr="004919F4">
        <w:t xml:space="preserve">in </w:t>
      </w:r>
      <w:r w:rsidR="0033519E">
        <w:t>Appendix 4</w:t>
      </w:r>
      <w:r>
        <w:t xml:space="preserve">, </w:t>
      </w:r>
      <w:r w:rsidRPr="00B65F7F">
        <w:t xml:space="preserve">the </w:t>
      </w:r>
      <w:r w:rsidR="00867831">
        <w:t>Review Team</w:t>
      </w:r>
      <w:r w:rsidRPr="00B65F7F">
        <w:t xml:space="preserve"> understands that </w:t>
      </w:r>
      <w:r w:rsidR="00B324DD">
        <w:t>the description often does not align completely with how</w:t>
      </w:r>
      <w:r w:rsidRPr="00B65F7F">
        <w:t xml:space="preserve"> these programs operate in practice. </w:t>
      </w:r>
    </w:p>
    <w:p w14:paraId="4262B184" w14:textId="77777777" w:rsidR="00597B5E" w:rsidRPr="00B65F7F" w:rsidRDefault="00054B80" w:rsidP="006734AE">
      <w:pPr>
        <w:pStyle w:val="HeadingLevel2NoNumber"/>
      </w:pPr>
      <w:r>
        <w:t>A</w:t>
      </w:r>
      <w:r w:rsidR="00597B5E" w:rsidRPr="00B65F7F">
        <w:t>2.1 About the Integrated Team Care program</w:t>
      </w:r>
    </w:p>
    <w:p w14:paraId="5F40FDED" w14:textId="77777777" w:rsidR="00597B5E" w:rsidRPr="00B65F7F" w:rsidRDefault="00597B5E" w:rsidP="00CB243F">
      <w:pPr>
        <w:pStyle w:val="BodyText"/>
      </w:pPr>
      <w:r w:rsidRPr="00B65F7F">
        <w:t>The Integrated Team Care (ITC) program was established in 2016 and is a combination of predecessor programs</w:t>
      </w:r>
      <w:r>
        <w:t>:</w:t>
      </w:r>
      <w:r w:rsidRPr="00B65F7F">
        <w:t xml:space="preserve"> Improving Indigenous Access to Mainstream Primary Care (IIAMPC) Program </w:t>
      </w:r>
      <w:r>
        <w:t xml:space="preserve">and </w:t>
      </w:r>
      <w:r w:rsidRPr="00B65F7F">
        <w:t>the Care Coordination and Supplementary Services (CCSS) Program</w:t>
      </w:r>
      <w:r>
        <w:t xml:space="preserve"> (Health Policy Analysis, 2018). </w:t>
      </w:r>
      <w:r w:rsidRPr="00B65F7F">
        <w:t xml:space="preserve">The IIAMPC started in 2009 when funding shifted to multiple different stakeholders. The funding was provided to: </w:t>
      </w:r>
    </w:p>
    <w:p w14:paraId="5B5A594B" w14:textId="77777777" w:rsidR="00597B5E" w:rsidRPr="00B65F7F" w:rsidRDefault="00597B5E" w:rsidP="00CB243F">
      <w:pPr>
        <w:pStyle w:val="ListBullet2"/>
        <w:rPr>
          <w:rFonts w:eastAsia="Calibri"/>
        </w:rPr>
      </w:pPr>
      <w:r w:rsidRPr="00B65F7F">
        <w:rPr>
          <w:rFonts w:eastAsia="Calibri"/>
        </w:rPr>
        <w:t>Divisions of General Practice across Australia in 2009</w:t>
      </w:r>
    </w:p>
    <w:p w14:paraId="3420772D" w14:textId="77777777" w:rsidR="00597B5E" w:rsidRPr="00B65F7F" w:rsidRDefault="00597B5E" w:rsidP="00CB243F">
      <w:pPr>
        <w:pStyle w:val="ListBullet2"/>
        <w:rPr>
          <w:rFonts w:eastAsia="Calibri"/>
        </w:rPr>
      </w:pPr>
      <w:r w:rsidRPr="00B65F7F">
        <w:rPr>
          <w:rFonts w:eastAsia="Calibri"/>
        </w:rPr>
        <w:t>Australian General Practice Network in 2010</w:t>
      </w:r>
    </w:p>
    <w:p w14:paraId="5C88C686" w14:textId="77777777" w:rsidR="00597B5E" w:rsidRPr="00B65F7F" w:rsidRDefault="00597B5E" w:rsidP="00CB243F">
      <w:pPr>
        <w:pStyle w:val="ListBullet2"/>
        <w:rPr>
          <w:rFonts w:eastAsia="Calibri"/>
        </w:rPr>
      </w:pPr>
      <w:r w:rsidRPr="00B65F7F">
        <w:rPr>
          <w:rFonts w:eastAsia="Calibri"/>
        </w:rPr>
        <w:t xml:space="preserve">Medicare Locals in 2012 </w:t>
      </w:r>
    </w:p>
    <w:p w14:paraId="0634DFF8" w14:textId="77777777" w:rsidR="00597B5E" w:rsidRPr="00B65F7F" w:rsidRDefault="00597B5E" w:rsidP="00CB243F">
      <w:pPr>
        <w:pStyle w:val="ListBullet2"/>
        <w:rPr>
          <w:rFonts w:eastAsia="Calibri"/>
        </w:rPr>
      </w:pPr>
      <w:r>
        <w:rPr>
          <w:rFonts w:eastAsia="Calibri"/>
        </w:rPr>
        <w:t>PHNs</w:t>
      </w:r>
      <w:r w:rsidR="00FF181C">
        <w:rPr>
          <w:rFonts w:eastAsia="Calibri"/>
        </w:rPr>
        <w:t xml:space="preserve"> in 2015</w:t>
      </w:r>
      <w:r>
        <w:rPr>
          <w:rFonts w:eastAsia="Calibri"/>
        </w:rPr>
        <w:t xml:space="preserve"> (Health Policy Analysis, 2018).</w:t>
      </w:r>
    </w:p>
    <w:p w14:paraId="3580E60A" w14:textId="77777777" w:rsidR="00597B5E" w:rsidRPr="00B65F7F" w:rsidRDefault="00597B5E" w:rsidP="00CB243F">
      <w:pPr>
        <w:pStyle w:val="BodyText"/>
      </w:pPr>
      <w:r w:rsidRPr="00B65F7F">
        <w:t xml:space="preserve">The CCSS program was established in 2010 following the IIAMPC program. </w:t>
      </w:r>
      <w:r w:rsidR="00C44EB9" w:rsidRPr="00B65F7F">
        <w:t>Like</w:t>
      </w:r>
      <w:r w:rsidRPr="00B65F7F">
        <w:t xml:space="preserve"> the changes in funding management of IIAMPC, management of the CCSS program was given to: </w:t>
      </w:r>
    </w:p>
    <w:p w14:paraId="2D05E946" w14:textId="77777777" w:rsidR="00597B5E" w:rsidRPr="00B65F7F" w:rsidRDefault="00597B5E" w:rsidP="00CB243F">
      <w:pPr>
        <w:pStyle w:val="ListBullet2"/>
        <w:rPr>
          <w:rFonts w:eastAsia="Calibri"/>
        </w:rPr>
      </w:pPr>
      <w:r>
        <w:rPr>
          <w:rFonts w:eastAsia="Calibri"/>
        </w:rPr>
        <w:t>d</w:t>
      </w:r>
      <w:r w:rsidRPr="00B65F7F">
        <w:rPr>
          <w:rFonts w:eastAsia="Calibri"/>
        </w:rPr>
        <w:t xml:space="preserve">ivisions of General Practice, and their </w:t>
      </w:r>
      <w:r>
        <w:rPr>
          <w:rFonts w:eastAsia="Calibri"/>
        </w:rPr>
        <w:t>s</w:t>
      </w:r>
      <w:r w:rsidRPr="00B65F7F">
        <w:rPr>
          <w:rFonts w:eastAsia="Calibri"/>
        </w:rPr>
        <w:t xml:space="preserve">tate and </w:t>
      </w:r>
      <w:r>
        <w:rPr>
          <w:rFonts w:eastAsia="Calibri"/>
        </w:rPr>
        <w:t>n</w:t>
      </w:r>
      <w:r w:rsidRPr="00B65F7F">
        <w:rPr>
          <w:rFonts w:eastAsia="Calibri"/>
        </w:rPr>
        <w:t>ational organisations in 2010</w:t>
      </w:r>
    </w:p>
    <w:p w14:paraId="56D2DB86" w14:textId="77777777" w:rsidR="00597B5E" w:rsidRPr="00B65F7F" w:rsidRDefault="00597B5E" w:rsidP="00CB243F">
      <w:pPr>
        <w:pStyle w:val="ListBullet2"/>
        <w:rPr>
          <w:rFonts w:eastAsia="Calibri"/>
        </w:rPr>
      </w:pPr>
      <w:r w:rsidRPr="00B65F7F">
        <w:rPr>
          <w:rFonts w:eastAsia="Calibri"/>
        </w:rPr>
        <w:t>Medicare Locals in 2012 (where the Program Guidelines enabled Medicare Locals to subcontract positions funded under the Program to Indigenous and mainstream organisations</w:t>
      </w:r>
      <w:r>
        <w:rPr>
          <w:rFonts w:eastAsia="Calibri"/>
        </w:rPr>
        <w:t>;</w:t>
      </w:r>
      <w:r w:rsidRPr="00B65F7F">
        <w:rPr>
          <w:rFonts w:eastAsia="Calibri"/>
        </w:rPr>
        <w:t xml:space="preserve"> however, Medicare locals decided to deliver many of the services themselves)</w:t>
      </w:r>
    </w:p>
    <w:p w14:paraId="723C8D40" w14:textId="77777777" w:rsidR="00597B5E" w:rsidRPr="00B65F7F" w:rsidRDefault="00597B5E" w:rsidP="00CB243F">
      <w:pPr>
        <w:pStyle w:val="ListBullet2"/>
        <w:rPr>
          <w:rFonts w:eastAsia="Calibri"/>
        </w:rPr>
      </w:pPr>
      <w:r>
        <w:rPr>
          <w:rFonts w:eastAsia="Calibri"/>
        </w:rPr>
        <w:t>PHNs</w:t>
      </w:r>
      <w:r w:rsidRPr="00B65F7F">
        <w:rPr>
          <w:rFonts w:eastAsia="Calibri"/>
        </w:rPr>
        <w:t xml:space="preserve"> in 2015</w:t>
      </w:r>
      <w:r>
        <w:rPr>
          <w:rFonts w:eastAsia="Calibri"/>
        </w:rPr>
        <w:t xml:space="preserve"> (Health Policy Analysis, 2018).</w:t>
      </w:r>
      <w:r w:rsidRPr="00B65F7F">
        <w:rPr>
          <w:rFonts w:eastAsia="Calibri"/>
        </w:rPr>
        <w:t xml:space="preserve"> </w:t>
      </w:r>
    </w:p>
    <w:p w14:paraId="1803CDD5" w14:textId="77777777" w:rsidR="00597B5E" w:rsidRPr="00B65F7F" w:rsidRDefault="00597B5E" w:rsidP="00CB243F">
      <w:pPr>
        <w:pStyle w:val="BodyText1stparaafterlist"/>
      </w:pPr>
      <w:r w:rsidRPr="00B65F7F">
        <w:t xml:space="preserve">The primary changes to the IIAMPC program when integrated into the ITC Program were the changes to the role and emphasis of Indigenous Health Project Officer (IHPO). The CCSS program under the ITC Program shifted from defining target chronic diseases to no reference of defined chronic diseases and replaced by a broad definition. Further changes included the alignment of the criteria for the Supplementary Services with Care Coordination through broadening the patient eligibility criteria. The impact of these </w:t>
      </w:r>
      <w:r>
        <w:t>2</w:t>
      </w:r>
      <w:r w:rsidRPr="00B65F7F">
        <w:t xml:space="preserve"> programs merged under the ITC Program has further enabled workforce integration, streamlined patient care and coordinated and integrated approaches.</w:t>
      </w:r>
    </w:p>
    <w:p w14:paraId="64FC2856" w14:textId="77777777" w:rsidR="00597B5E" w:rsidRPr="00B65F7F" w:rsidRDefault="00F36925" w:rsidP="00CB243F">
      <w:pPr>
        <w:pStyle w:val="BodyText"/>
      </w:pPr>
      <w:r>
        <w:t xml:space="preserve">The </w:t>
      </w:r>
      <w:r w:rsidR="00597B5E" w:rsidRPr="00B65F7F">
        <w:t>ITC program sits under the Indigenous Australians</w:t>
      </w:r>
      <w:r w:rsidR="00597B5E">
        <w:t>’</w:t>
      </w:r>
      <w:r w:rsidR="00597B5E" w:rsidRPr="00B65F7F">
        <w:t xml:space="preserve"> Health Programme (IAHP), which is a collection of culturally appropriate initiatives aiming to increase health outcomes and access to healthcare for </w:t>
      </w:r>
      <w:r w:rsidR="00597B5E">
        <w:t>Aboriginal and/or Torres Strait Islander</w:t>
      </w:r>
      <w:r w:rsidR="00597B5E" w:rsidRPr="00B65F7F">
        <w:t xml:space="preserve"> people</w:t>
      </w:r>
      <w:r w:rsidR="00597B5E">
        <w:t xml:space="preserve"> (</w:t>
      </w:r>
      <w:r w:rsidR="00597B5E" w:rsidRPr="0037152E">
        <w:t>Department of Health and Aged Care</w:t>
      </w:r>
      <w:r w:rsidR="00597B5E">
        <w:t>,</w:t>
      </w:r>
      <w:r w:rsidR="00597B5E" w:rsidRPr="0037152E">
        <w:t xml:space="preserve"> 2023</w:t>
      </w:r>
      <w:r w:rsidR="00597B5E">
        <w:t>a</w:t>
      </w:r>
      <w:r w:rsidR="00597B5E" w:rsidRPr="0037152E">
        <w:t>)</w:t>
      </w:r>
      <w:r w:rsidR="00597B5E" w:rsidRPr="00B65F7F">
        <w:t xml:space="preserve">. The ITC program seeks to address significant inequalities in relation to the health and wellbeing of </w:t>
      </w:r>
      <w:r w:rsidR="00597B5E">
        <w:t>Aboriginal and/or Torres Strait Islander</w:t>
      </w:r>
      <w:r w:rsidR="00597B5E" w:rsidRPr="00B65F7F">
        <w:t xml:space="preserve"> people and is part of the Australian </w:t>
      </w:r>
      <w:r>
        <w:t>G</w:t>
      </w:r>
      <w:r w:rsidR="00597B5E" w:rsidRPr="00B65F7F">
        <w:t xml:space="preserve">overnment’s commitment to Closing the Gap in Indigenous </w:t>
      </w:r>
      <w:r w:rsidR="00597B5E">
        <w:t>h</w:t>
      </w:r>
      <w:r w:rsidR="00597B5E" w:rsidRPr="00B65F7F">
        <w:t xml:space="preserve">ealth. </w:t>
      </w:r>
    </w:p>
    <w:p w14:paraId="38A461C8" w14:textId="77777777" w:rsidR="00597B5E" w:rsidRPr="00B65F7F" w:rsidRDefault="00597B5E" w:rsidP="00482FCC">
      <w:pPr>
        <w:pStyle w:val="HeadingLevel3NoNumber"/>
      </w:pPr>
      <w:r w:rsidRPr="00B65F7F">
        <w:t>Aims and objectives of the program</w:t>
      </w:r>
    </w:p>
    <w:p w14:paraId="1547F6C6" w14:textId="77777777" w:rsidR="00597B5E" w:rsidRPr="00B65F7F" w:rsidRDefault="00597B5E" w:rsidP="00CB243F">
      <w:pPr>
        <w:pStyle w:val="BodyText"/>
      </w:pPr>
      <w:r w:rsidRPr="00B65F7F">
        <w:t xml:space="preserve">The ITC Program was designed to improve health outcomes and specialist services for </w:t>
      </w:r>
      <w:r>
        <w:t>Aboriginal and/or Torres Strait Islander</w:t>
      </w:r>
      <w:r w:rsidRPr="00B65F7F">
        <w:t xml:space="preserve"> people with complex chronic diseases through greater access to coordinated and multidisciplinary care through culturally appropriate services</w:t>
      </w:r>
      <w:r>
        <w:t xml:space="preserve"> (</w:t>
      </w:r>
      <w:r w:rsidRPr="0037152E">
        <w:t>Department of Health</w:t>
      </w:r>
      <w:r>
        <w:t>,</w:t>
      </w:r>
      <w:r w:rsidRPr="0037152E">
        <w:t xml:space="preserve"> 2019</w:t>
      </w:r>
      <w:r>
        <w:t>a</w:t>
      </w:r>
      <w:r w:rsidRPr="0037152E">
        <w:t>)</w:t>
      </w:r>
      <w:r w:rsidRPr="00B65F7F">
        <w:t xml:space="preserve">. The ITC program aims to foster collaboration between the </w:t>
      </w:r>
      <w:r>
        <w:t>Aboriginal and/or Torres Strait Islander</w:t>
      </w:r>
      <w:r w:rsidRPr="00B65F7F">
        <w:t xml:space="preserve"> health sector and the mainstream health sector through improved support and cooperation. The program provides care coordination of specialist and allied healthcare services, clear care pathways, service interconnection and </w:t>
      </w:r>
      <w:r w:rsidRPr="00B65F7F">
        <w:lastRenderedPageBreak/>
        <w:t>accelerated access to essential services for participants requiring assistance to manage their conditions</w:t>
      </w:r>
      <w:r>
        <w:t xml:space="preserve"> (</w:t>
      </w:r>
      <w:r w:rsidRPr="0037152E">
        <w:t>Department of Health</w:t>
      </w:r>
      <w:r>
        <w:t>,</w:t>
      </w:r>
      <w:r w:rsidRPr="0037152E">
        <w:t xml:space="preserve"> 2019</w:t>
      </w:r>
      <w:r>
        <w:t>a</w:t>
      </w:r>
      <w:r w:rsidRPr="0037152E">
        <w:t>)</w:t>
      </w:r>
      <w:r>
        <w:t>.</w:t>
      </w:r>
    </w:p>
    <w:p w14:paraId="04D2B77D" w14:textId="77777777" w:rsidR="00597B5E" w:rsidRPr="00B65F7F" w:rsidRDefault="00597B5E" w:rsidP="00E2348C">
      <w:pPr>
        <w:pStyle w:val="HeadingLevel3NoNumber"/>
      </w:pPr>
      <w:r w:rsidRPr="00B65F7F">
        <w:t xml:space="preserve">Program funding details </w:t>
      </w:r>
    </w:p>
    <w:p w14:paraId="22D5FAAC" w14:textId="77777777" w:rsidR="00597B5E" w:rsidRPr="00B65F7F" w:rsidRDefault="00F36925" w:rsidP="00CB243F">
      <w:pPr>
        <w:pStyle w:val="BodyText"/>
      </w:pPr>
      <w:r>
        <w:t xml:space="preserve">The </w:t>
      </w:r>
      <w:r w:rsidR="00597B5E" w:rsidRPr="00B65F7F">
        <w:t xml:space="preserve">ITC program funds PHNs through </w:t>
      </w:r>
      <w:r w:rsidR="00597B5E">
        <w:t>2</w:t>
      </w:r>
      <w:r w:rsidR="00597B5E" w:rsidRPr="00B65F7F">
        <w:t xml:space="preserve"> streams</w:t>
      </w:r>
      <w:r w:rsidR="00597B5E">
        <w:t>:</w:t>
      </w:r>
      <w:r w:rsidR="00597B5E" w:rsidRPr="00B65F7F">
        <w:t xml:space="preserve"> ‘Workforce’ and ‘Supplementary Services’. Within the Workforce stream the ITC program funds </w:t>
      </w:r>
      <w:r w:rsidR="00597B5E">
        <w:t>3</w:t>
      </w:r>
      <w:r w:rsidR="00597B5E" w:rsidRPr="00B65F7F">
        <w:t xml:space="preserve"> sets of workforces to deliver care to patients</w:t>
      </w:r>
      <w:r w:rsidR="00597B5E">
        <w:t>:</w:t>
      </w:r>
      <w:r w:rsidR="00597B5E" w:rsidRPr="00B65F7F">
        <w:t xml:space="preserve"> </w:t>
      </w:r>
      <w:r w:rsidR="00597B5E">
        <w:t>Aboriginal and/or Torres Strait Islander</w:t>
      </w:r>
      <w:r w:rsidR="00597B5E" w:rsidRPr="00B65F7F">
        <w:t xml:space="preserve"> Health Project Officers, </w:t>
      </w:r>
      <w:r w:rsidR="00597B5E">
        <w:t>Aboriginal and/or Torres Strait Islander</w:t>
      </w:r>
      <w:r w:rsidR="00597B5E" w:rsidRPr="00B65F7F">
        <w:t xml:space="preserve"> Outreach Workers and Care Coordinators</w:t>
      </w:r>
      <w:r w:rsidR="00597B5E">
        <w:t xml:space="preserve"> (</w:t>
      </w:r>
      <w:r w:rsidR="00597B5E" w:rsidRPr="0037152E">
        <w:t>Department of Health</w:t>
      </w:r>
      <w:r w:rsidR="00597B5E">
        <w:t>,</w:t>
      </w:r>
      <w:r w:rsidR="00597B5E" w:rsidRPr="0037152E">
        <w:t xml:space="preserve"> 2019</w:t>
      </w:r>
      <w:r w:rsidR="00597B5E">
        <w:t>a</w:t>
      </w:r>
      <w:r w:rsidR="00597B5E" w:rsidRPr="0037152E">
        <w:t>)</w:t>
      </w:r>
      <w:r w:rsidR="00597B5E" w:rsidRPr="00B65F7F">
        <w:t xml:space="preserve">. These </w:t>
      </w:r>
      <w:r w:rsidR="00597B5E">
        <w:t>3</w:t>
      </w:r>
      <w:r w:rsidR="00597B5E" w:rsidRPr="00B65F7F">
        <w:t xml:space="preserve"> workforces all have varied defined roles and responsibilities contributing to the overall care of patients. </w:t>
      </w:r>
    </w:p>
    <w:p w14:paraId="05FE5E2C" w14:textId="77777777" w:rsidR="00597B5E" w:rsidRPr="00B65F7F" w:rsidRDefault="00597B5E" w:rsidP="00CB243F">
      <w:pPr>
        <w:pStyle w:val="BodyText"/>
      </w:pPr>
      <w:r w:rsidRPr="00B65F7F">
        <w:t xml:space="preserve">In relation to Supplementary Services, a funding pool has been established </w:t>
      </w:r>
      <w:r>
        <w:t xml:space="preserve">that </w:t>
      </w:r>
      <w:r w:rsidRPr="00B65F7F">
        <w:t>can be used to expedite ITC clients</w:t>
      </w:r>
      <w:r>
        <w:t>’</w:t>
      </w:r>
      <w:r w:rsidRPr="00B65F7F">
        <w:t xml:space="preserve"> access to </w:t>
      </w:r>
      <w:r w:rsidR="00C44EB9" w:rsidRPr="00B65F7F">
        <w:t>services</w:t>
      </w:r>
      <w:r w:rsidRPr="00B65F7F">
        <w:t xml:space="preserve"> and enable access of specialists or medical professionals. This funding can also be used for transport and medical aids in urgent circumstances. The application of funding is specified to be split </w:t>
      </w:r>
      <w:r>
        <w:t xml:space="preserve">with </w:t>
      </w:r>
      <w:r w:rsidR="00694ED2">
        <w:t>6</w:t>
      </w:r>
      <w:r w:rsidRPr="00B65F7F">
        <w:t xml:space="preserve">0% allocated to the Care Coordination Workforce and </w:t>
      </w:r>
      <w:r w:rsidR="00694ED2">
        <w:t>4</w:t>
      </w:r>
      <w:r w:rsidRPr="00B65F7F">
        <w:t xml:space="preserve">0% allocated to the Supplementary Services within each service provider. </w:t>
      </w:r>
    </w:p>
    <w:p w14:paraId="0A6F6E9E" w14:textId="77777777" w:rsidR="00597B5E" w:rsidRPr="00B65F7F" w:rsidRDefault="00597B5E" w:rsidP="00CB243F">
      <w:pPr>
        <w:pStyle w:val="BodyText"/>
      </w:pPr>
      <w:r w:rsidRPr="00B65F7F">
        <w:t xml:space="preserve">Funding for the ITC program is proportionally allocated to the PHNs according to the number of </w:t>
      </w:r>
      <w:r>
        <w:t>Aboriginal and/or Torres Strait Islander</w:t>
      </w:r>
      <w:r w:rsidRPr="00B65F7F">
        <w:t xml:space="preserve"> people located in the PHN. Adjustments according to the local needs and regional requirements are considered when necessary. PHNs are required to perform a needs assessment in evaluating the allocation of funds and commissioning in their region</w:t>
      </w:r>
      <w:r>
        <w:t xml:space="preserve"> (</w:t>
      </w:r>
      <w:r w:rsidRPr="0037152E">
        <w:t>Health Policy Analysis</w:t>
      </w:r>
      <w:r>
        <w:t xml:space="preserve">, </w:t>
      </w:r>
      <w:r w:rsidRPr="0037152E">
        <w:t>2018</w:t>
      </w:r>
      <w:r>
        <w:t>)</w:t>
      </w:r>
      <w:r w:rsidRPr="00B65F7F">
        <w:t xml:space="preserve">. </w:t>
      </w:r>
    </w:p>
    <w:p w14:paraId="6FF35273" w14:textId="77777777" w:rsidR="00597B5E" w:rsidRPr="00B65F7F" w:rsidRDefault="00597B5E" w:rsidP="00CB243F">
      <w:pPr>
        <w:pStyle w:val="BodyText"/>
      </w:pPr>
      <w:r w:rsidRPr="00B65F7F">
        <w:t>Whil</w:t>
      </w:r>
      <w:r>
        <w:t>e</w:t>
      </w:r>
      <w:r w:rsidRPr="00B65F7F">
        <w:t xml:space="preserve"> </w:t>
      </w:r>
      <w:r>
        <w:t>the then Australian Government</w:t>
      </w:r>
      <w:r w:rsidRPr="00B65F7F">
        <w:t xml:space="preserve"> Department of Health developed reports outlin</w:t>
      </w:r>
      <w:r>
        <w:t>ing</w:t>
      </w:r>
      <w:r w:rsidRPr="00B65F7F">
        <w:t xml:space="preserve"> the funding for ITC from a high-level perspective, for service providers, the funding methodology and resource allocation model used to disseminate ITC funds often remain unclear. </w:t>
      </w:r>
    </w:p>
    <w:p w14:paraId="64AF08AD" w14:textId="77777777" w:rsidR="00597B5E" w:rsidRPr="00B65F7F" w:rsidRDefault="00597B5E" w:rsidP="00CB243F">
      <w:pPr>
        <w:pStyle w:val="BodyText"/>
      </w:pPr>
      <w:r w:rsidRPr="00B65F7F">
        <w:t xml:space="preserve">Funds provided to service providers can only be used for the following: </w:t>
      </w:r>
    </w:p>
    <w:p w14:paraId="29ECBB47" w14:textId="77777777" w:rsidR="00597B5E" w:rsidRPr="00B65F7F" w:rsidRDefault="00597B5E" w:rsidP="00CB243F">
      <w:pPr>
        <w:pStyle w:val="ListBullet2"/>
        <w:rPr>
          <w:rFonts w:eastAsia="Calibri"/>
        </w:rPr>
      </w:pPr>
      <w:r>
        <w:rPr>
          <w:rFonts w:eastAsia="Calibri"/>
        </w:rPr>
        <w:t>s</w:t>
      </w:r>
      <w:r w:rsidRPr="00B65F7F">
        <w:rPr>
          <w:rFonts w:eastAsia="Calibri"/>
        </w:rPr>
        <w:t>alaries and travel associated with employees</w:t>
      </w:r>
      <w:r>
        <w:rPr>
          <w:rFonts w:eastAsia="Calibri"/>
        </w:rPr>
        <w:t>’</w:t>
      </w:r>
      <w:r w:rsidRPr="00B65F7F">
        <w:rPr>
          <w:rFonts w:eastAsia="Calibri"/>
        </w:rPr>
        <w:t xml:space="preserve"> role </w:t>
      </w:r>
    </w:p>
    <w:p w14:paraId="79D951E1" w14:textId="77777777" w:rsidR="00597B5E" w:rsidRPr="00B65F7F" w:rsidRDefault="00597B5E" w:rsidP="00CB243F">
      <w:pPr>
        <w:pStyle w:val="ListBullet2"/>
        <w:rPr>
          <w:rFonts w:eastAsia="Calibri"/>
        </w:rPr>
      </w:pPr>
      <w:r>
        <w:rPr>
          <w:rFonts w:eastAsia="Calibri"/>
        </w:rPr>
        <w:t>c</w:t>
      </w:r>
      <w:r w:rsidRPr="00B65F7F">
        <w:rPr>
          <w:rFonts w:eastAsia="Calibri"/>
        </w:rPr>
        <w:t xml:space="preserve">are coordination support costs </w:t>
      </w:r>
    </w:p>
    <w:p w14:paraId="212722B2" w14:textId="77777777" w:rsidR="00597B5E" w:rsidRPr="00B65F7F" w:rsidRDefault="00597B5E" w:rsidP="00CB243F">
      <w:pPr>
        <w:pStyle w:val="ListBullet2"/>
        <w:rPr>
          <w:rFonts w:eastAsia="Calibri"/>
        </w:rPr>
      </w:pPr>
      <w:r>
        <w:rPr>
          <w:rFonts w:eastAsia="Calibri"/>
        </w:rPr>
        <w:t>t</w:t>
      </w:r>
      <w:r w:rsidRPr="00B65F7F">
        <w:rPr>
          <w:rFonts w:eastAsia="Calibri"/>
        </w:rPr>
        <w:t xml:space="preserve">ravel costs </w:t>
      </w:r>
    </w:p>
    <w:p w14:paraId="756AC72D" w14:textId="77777777" w:rsidR="00597B5E" w:rsidRPr="00B65F7F" w:rsidRDefault="00597B5E" w:rsidP="00CB243F">
      <w:pPr>
        <w:pStyle w:val="ListBullet2"/>
        <w:rPr>
          <w:rFonts w:eastAsia="Calibri"/>
        </w:rPr>
      </w:pPr>
      <w:r>
        <w:rPr>
          <w:rFonts w:eastAsia="Calibri"/>
        </w:rPr>
        <w:t>p</w:t>
      </w:r>
      <w:r w:rsidRPr="00B65F7F">
        <w:rPr>
          <w:rFonts w:eastAsia="Calibri"/>
        </w:rPr>
        <w:t xml:space="preserve">rofessional development and peer support </w:t>
      </w:r>
    </w:p>
    <w:p w14:paraId="1C67F240" w14:textId="77777777" w:rsidR="00597B5E" w:rsidRPr="00655B9E" w:rsidRDefault="00597B5E" w:rsidP="00CB243F">
      <w:pPr>
        <w:pStyle w:val="ListBullet2"/>
        <w:rPr>
          <w:rFonts w:eastAsia="Calibri"/>
        </w:rPr>
      </w:pPr>
      <w:r>
        <w:rPr>
          <w:rFonts w:eastAsia="Calibri"/>
        </w:rPr>
        <w:t>p</w:t>
      </w:r>
      <w:r w:rsidRPr="00B65F7F">
        <w:rPr>
          <w:rFonts w:eastAsia="Calibri"/>
        </w:rPr>
        <w:t>rogram administration</w:t>
      </w:r>
      <w:r>
        <w:rPr>
          <w:rFonts w:eastAsia="Calibri"/>
        </w:rPr>
        <w:t xml:space="preserve"> </w:t>
      </w:r>
      <w:r w:rsidRPr="0037152E">
        <w:rPr>
          <w:rFonts w:eastAsia="Calibri"/>
        </w:rPr>
        <w:t>(Department of Health, 2019</w:t>
      </w:r>
      <w:r>
        <w:rPr>
          <w:rFonts w:eastAsia="Calibri"/>
        </w:rPr>
        <w:t>a</w:t>
      </w:r>
      <w:r w:rsidRPr="0037152E">
        <w:rPr>
          <w:rFonts w:eastAsia="Calibri"/>
        </w:rPr>
        <w:t>)</w:t>
      </w:r>
      <w:r>
        <w:rPr>
          <w:rFonts w:eastAsia="Calibri"/>
        </w:rPr>
        <w:t>.</w:t>
      </w:r>
      <w:r w:rsidRPr="00B65F7F">
        <w:rPr>
          <w:rFonts w:eastAsia="Calibri"/>
        </w:rPr>
        <w:t xml:space="preserve"> </w:t>
      </w:r>
    </w:p>
    <w:p w14:paraId="5AC5401D" w14:textId="77777777" w:rsidR="00597B5E" w:rsidRPr="00B65F7F" w:rsidRDefault="00597B5E" w:rsidP="00E2348C">
      <w:pPr>
        <w:pStyle w:val="HeadingLevel3NoNumber"/>
        <w:rPr>
          <w:rFonts w:eastAsia="Calibri" w:cs="Calibri"/>
          <w:sz w:val="22"/>
          <w:szCs w:val="22"/>
        </w:rPr>
      </w:pPr>
      <w:r w:rsidRPr="004919F4">
        <w:t>Flexibility</w:t>
      </w:r>
    </w:p>
    <w:p w14:paraId="5C398195" w14:textId="77777777" w:rsidR="00597B5E" w:rsidRPr="00B65F7F" w:rsidRDefault="00597B5E" w:rsidP="00CB243F">
      <w:pPr>
        <w:pStyle w:val="BodyText"/>
      </w:pPr>
      <w:r w:rsidRPr="00B65F7F">
        <w:t>Currently, PHNs are responsible for their region’s ITC workforce and are encouraged to deploy a flexible approach when it comes to the roles and responsibilities of the ITC teams. This flexibility is intended to provide both the PHN and services with a localised approach, where place-based considerations specific to the community can be considered when implementing the program</w:t>
      </w:r>
      <w:r>
        <w:t xml:space="preserve"> (</w:t>
      </w:r>
      <w:r w:rsidRPr="0037152E">
        <w:t>Health Policy Analysis</w:t>
      </w:r>
      <w:r>
        <w:t>,</w:t>
      </w:r>
      <w:r w:rsidRPr="0037152E">
        <w:t xml:space="preserve"> 2018</w:t>
      </w:r>
      <w:r>
        <w:t>)</w:t>
      </w:r>
      <w:r w:rsidRPr="00B65F7F">
        <w:t xml:space="preserve">. The purpose of this flexibility is to ensure that the ITC </w:t>
      </w:r>
      <w:r>
        <w:t>p</w:t>
      </w:r>
      <w:r w:rsidRPr="00B65F7F">
        <w:t xml:space="preserve">rogram can expand on existing local services and ensure </w:t>
      </w:r>
      <w:r>
        <w:t>Aboriginal and/or Torres Strait Islander</w:t>
      </w:r>
      <w:r w:rsidRPr="00B65F7F">
        <w:t xml:space="preserve"> people access appropriate care. </w:t>
      </w:r>
    </w:p>
    <w:p w14:paraId="252D244C" w14:textId="77777777" w:rsidR="00597B5E" w:rsidRPr="00B65F7F" w:rsidRDefault="00597B5E" w:rsidP="00CB243F">
      <w:pPr>
        <w:pStyle w:val="BodyText"/>
      </w:pPr>
      <w:r w:rsidRPr="00B65F7F">
        <w:t>Additional flexibility has been given to the definition of chronic diseases and the subsequent eligibility criteria; however, no increase in funding has been provided to help accommodate this flexibility, which has posed a challenge for many</w:t>
      </w:r>
      <w:r>
        <w:t xml:space="preserve"> (</w:t>
      </w:r>
      <w:r w:rsidRPr="0037152E">
        <w:t>Health Policy Analysis</w:t>
      </w:r>
      <w:r>
        <w:t>,</w:t>
      </w:r>
      <w:r w:rsidRPr="0037152E">
        <w:t xml:space="preserve"> 2018</w:t>
      </w:r>
      <w:r>
        <w:t>)</w:t>
      </w:r>
      <w:r w:rsidRPr="00B65F7F">
        <w:t xml:space="preserve">. As PHNs have the autonomy to allocate funding, the use of funds varies based on the PHN location and can fund workforce, </w:t>
      </w:r>
      <w:r w:rsidR="00C44EB9" w:rsidRPr="00B65F7F">
        <w:t>services,</w:t>
      </w:r>
      <w:r w:rsidRPr="00B65F7F">
        <w:t xml:space="preserve"> and pathways. </w:t>
      </w:r>
    </w:p>
    <w:p w14:paraId="4FD6320E" w14:textId="77777777" w:rsidR="00597B5E" w:rsidRPr="00B65F7F" w:rsidRDefault="00597B5E" w:rsidP="00E2348C">
      <w:pPr>
        <w:pStyle w:val="HeadingLevel3NoNumber"/>
        <w:rPr>
          <w:rFonts w:eastAsia="Calibri" w:cs="Calibri"/>
          <w:sz w:val="22"/>
          <w:szCs w:val="22"/>
        </w:rPr>
      </w:pPr>
      <w:r w:rsidRPr="004919F4">
        <w:t>Reporting</w:t>
      </w:r>
      <w:r w:rsidRPr="00B65F7F">
        <w:rPr>
          <w:rFonts w:eastAsia="Calibri" w:cs="Calibri"/>
          <w:sz w:val="22"/>
          <w:szCs w:val="22"/>
        </w:rPr>
        <w:t xml:space="preserve"> </w:t>
      </w:r>
    </w:p>
    <w:p w14:paraId="674B10A2" w14:textId="77777777" w:rsidR="00597B5E" w:rsidRPr="00B65F7F" w:rsidRDefault="00597B5E" w:rsidP="00CB243F">
      <w:pPr>
        <w:pStyle w:val="BodyText"/>
      </w:pPr>
      <w:r w:rsidRPr="00B65F7F">
        <w:t xml:space="preserve">PHNs are required to submit a range of reporting documents including: </w:t>
      </w:r>
    </w:p>
    <w:p w14:paraId="45CA16FB" w14:textId="77777777" w:rsidR="00597B5E" w:rsidRPr="00B65F7F" w:rsidRDefault="00597B5E" w:rsidP="00CB243F">
      <w:pPr>
        <w:pStyle w:val="ListBullet2"/>
        <w:rPr>
          <w:rFonts w:eastAsia="Calibri"/>
        </w:rPr>
      </w:pPr>
      <w:r>
        <w:rPr>
          <w:rFonts w:eastAsia="Calibri"/>
        </w:rPr>
        <w:t>n</w:t>
      </w:r>
      <w:r w:rsidRPr="00B65F7F">
        <w:rPr>
          <w:rFonts w:eastAsia="Calibri"/>
        </w:rPr>
        <w:t xml:space="preserve">eeds </w:t>
      </w:r>
      <w:r>
        <w:rPr>
          <w:rFonts w:eastAsia="Calibri"/>
        </w:rPr>
        <w:t>a</w:t>
      </w:r>
      <w:r w:rsidRPr="00B65F7F">
        <w:rPr>
          <w:rFonts w:eastAsia="Calibri"/>
        </w:rPr>
        <w:t>ssessments</w:t>
      </w:r>
    </w:p>
    <w:p w14:paraId="74E065E2" w14:textId="77777777" w:rsidR="00597B5E" w:rsidRPr="00B65F7F" w:rsidRDefault="00597B5E" w:rsidP="00CB243F">
      <w:pPr>
        <w:pStyle w:val="ListBullet2"/>
        <w:rPr>
          <w:rFonts w:eastAsia="Calibri"/>
        </w:rPr>
      </w:pPr>
      <w:r>
        <w:rPr>
          <w:rFonts w:eastAsia="Calibri"/>
        </w:rPr>
        <w:t>a</w:t>
      </w:r>
      <w:r w:rsidRPr="00B65F7F">
        <w:rPr>
          <w:rFonts w:eastAsia="Calibri"/>
        </w:rPr>
        <w:t xml:space="preserve">ctivity </w:t>
      </w:r>
      <w:r>
        <w:rPr>
          <w:rFonts w:eastAsia="Calibri"/>
        </w:rPr>
        <w:t>w</w:t>
      </w:r>
      <w:r w:rsidRPr="00B65F7F">
        <w:rPr>
          <w:rFonts w:eastAsia="Calibri"/>
        </w:rPr>
        <w:t>ork</w:t>
      </w:r>
    </w:p>
    <w:p w14:paraId="5FB192F9" w14:textId="77777777" w:rsidR="00597B5E" w:rsidRPr="00B65F7F" w:rsidRDefault="00597B5E" w:rsidP="00CB243F">
      <w:pPr>
        <w:pStyle w:val="ListBullet2"/>
        <w:rPr>
          <w:rFonts w:eastAsia="Calibri"/>
        </w:rPr>
      </w:pPr>
      <w:r>
        <w:rPr>
          <w:rFonts w:eastAsia="Calibri"/>
        </w:rPr>
        <w:t>p</w:t>
      </w:r>
      <w:r w:rsidRPr="00B65F7F">
        <w:rPr>
          <w:rFonts w:eastAsia="Calibri"/>
        </w:rPr>
        <w:t xml:space="preserve">lans, annual </w:t>
      </w:r>
      <w:r w:rsidR="00C44EB9" w:rsidRPr="00B65F7F">
        <w:rPr>
          <w:rFonts w:eastAsia="Calibri"/>
        </w:rPr>
        <w:t>budgets,</w:t>
      </w:r>
      <w:r w:rsidRPr="00B65F7F">
        <w:rPr>
          <w:rFonts w:eastAsia="Calibri"/>
        </w:rPr>
        <w:t xml:space="preserve"> and </w:t>
      </w:r>
      <w:r>
        <w:rPr>
          <w:rFonts w:eastAsia="Calibri"/>
        </w:rPr>
        <w:t>6</w:t>
      </w:r>
      <w:r w:rsidRPr="00B65F7F">
        <w:rPr>
          <w:rFonts w:eastAsia="Calibri"/>
        </w:rPr>
        <w:t>-monthly performance reports (including financial reports)</w:t>
      </w:r>
    </w:p>
    <w:p w14:paraId="3A604EAC" w14:textId="77777777" w:rsidR="00597B5E" w:rsidRPr="00B65F7F" w:rsidRDefault="00597B5E" w:rsidP="00CB243F">
      <w:pPr>
        <w:pStyle w:val="ListBullet2"/>
        <w:rPr>
          <w:rFonts w:eastAsia="Calibri"/>
        </w:rPr>
      </w:pPr>
      <w:r>
        <w:rPr>
          <w:rFonts w:eastAsia="Calibri"/>
        </w:rPr>
        <w:t>r</w:t>
      </w:r>
      <w:r w:rsidRPr="00B65F7F">
        <w:rPr>
          <w:rFonts w:eastAsia="Calibri"/>
        </w:rPr>
        <w:t xml:space="preserve">eport and budget templates </w:t>
      </w:r>
    </w:p>
    <w:p w14:paraId="1BB6EBC3" w14:textId="77777777" w:rsidR="00597B5E" w:rsidRPr="00B65F7F" w:rsidRDefault="00597B5E" w:rsidP="00CB243F">
      <w:pPr>
        <w:pStyle w:val="ListBullet2"/>
        <w:rPr>
          <w:rFonts w:eastAsia="Calibri"/>
        </w:rPr>
      </w:pPr>
      <w:r>
        <w:rPr>
          <w:rFonts w:eastAsia="Calibri"/>
        </w:rPr>
        <w:lastRenderedPageBreak/>
        <w:t>f</w:t>
      </w:r>
      <w:r w:rsidRPr="00B65F7F">
        <w:rPr>
          <w:rFonts w:eastAsia="Calibri"/>
        </w:rPr>
        <w:t xml:space="preserve">inancial statements provided within budget templates include expenditure on PHN-employed and Commissioned Care Coordinator, IHPO and Outreach Worker expenses; Supplementary Services; and </w:t>
      </w:r>
      <w:r>
        <w:rPr>
          <w:rFonts w:eastAsia="Calibri"/>
        </w:rPr>
        <w:t>p</w:t>
      </w:r>
      <w:r w:rsidRPr="00B65F7F">
        <w:rPr>
          <w:rFonts w:eastAsia="Calibri"/>
        </w:rPr>
        <w:t>rogram administration</w:t>
      </w:r>
      <w:r>
        <w:rPr>
          <w:rFonts w:eastAsia="Calibri"/>
        </w:rPr>
        <w:t xml:space="preserve"> (</w:t>
      </w:r>
      <w:r w:rsidRPr="0037152E">
        <w:rPr>
          <w:rFonts w:eastAsia="Calibri"/>
        </w:rPr>
        <w:t>Department of Health</w:t>
      </w:r>
      <w:r>
        <w:rPr>
          <w:rFonts w:eastAsia="Calibri"/>
        </w:rPr>
        <w:t>,</w:t>
      </w:r>
      <w:r w:rsidRPr="0037152E">
        <w:rPr>
          <w:rFonts w:eastAsia="Calibri"/>
        </w:rPr>
        <w:t xml:space="preserve"> 2019</w:t>
      </w:r>
      <w:r>
        <w:rPr>
          <w:rFonts w:eastAsia="Calibri"/>
        </w:rPr>
        <w:t>a</w:t>
      </w:r>
      <w:r w:rsidRPr="0037152E">
        <w:rPr>
          <w:rFonts w:eastAsia="Calibri"/>
        </w:rPr>
        <w:t>)</w:t>
      </w:r>
      <w:r w:rsidRPr="00B65F7F">
        <w:rPr>
          <w:rFonts w:eastAsia="Calibri"/>
        </w:rPr>
        <w:t>.</w:t>
      </w:r>
    </w:p>
    <w:p w14:paraId="537F520F" w14:textId="77777777" w:rsidR="00597B5E" w:rsidRPr="00B65F7F" w:rsidRDefault="00597B5E" w:rsidP="00CB243F">
      <w:pPr>
        <w:pStyle w:val="BodyText"/>
      </w:pPr>
      <w:r w:rsidRPr="00B65F7F">
        <w:t>In many instances on top of the already established reporting requirements, PHNs add additional reporting requirements for service providers. The reporting obligations for the ITC program on a biannual basis has created a significant administrative burden for service providers for numerous reasons. The focus on activity data during reporting has placed an increasing emphasis on the quantity of ITC as opposed to the quality of the ITC program. This data requires the support of old patient management systems to gather enough data to fulfil the requirements</w:t>
      </w:r>
      <w:r>
        <w:t xml:space="preserve"> (</w:t>
      </w:r>
      <w:r w:rsidRPr="0037152E">
        <w:t>Health Policy Analysis</w:t>
      </w:r>
      <w:r>
        <w:t>,</w:t>
      </w:r>
      <w:r w:rsidRPr="0037152E">
        <w:t xml:space="preserve"> 2018</w:t>
      </w:r>
      <w:r>
        <w:t>)</w:t>
      </w:r>
      <w:r w:rsidRPr="00B65F7F">
        <w:t>. In many cases data on patient outcomes is not available</w:t>
      </w:r>
      <w:r>
        <w:t>,</w:t>
      </w:r>
      <w:r w:rsidRPr="00B65F7F">
        <w:t xml:space="preserve"> which makes it challenging to navigate the technical and ethical challenges as well as the administrative challenges associated with this data collection. This also includes understanding how the data will inform program outcomes</w:t>
      </w:r>
      <w:r>
        <w:t xml:space="preserve"> (</w:t>
      </w:r>
      <w:r w:rsidRPr="0037152E">
        <w:t>Health Policy Analysis</w:t>
      </w:r>
      <w:r>
        <w:t>,</w:t>
      </w:r>
      <w:r w:rsidRPr="0037152E">
        <w:t xml:space="preserve"> 2018</w:t>
      </w:r>
      <w:r>
        <w:t>)</w:t>
      </w:r>
      <w:r w:rsidRPr="00B65F7F">
        <w:t xml:space="preserve">. </w:t>
      </w:r>
    </w:p>
    <w:p w14:paraId="567BE875" w14:textId="77777777" w:rsidR="00597B5E" w:rsidRPr="00B65F7F" w:rsidRDefault="00597B5E" w:rsidP="00CB243F">
      <w:pPr>
        <w:pStyle w:val="BodyText"/>
      </w:pPr>
      <w:r w:rsidRPr="00B65F7F">
        <w:t xml:space="preserve">An additional barrier in relation to software and reporting is the use of client management software used in different services, and the ability for providers to generate automatic reports in the areas required by either </w:t>
      </w:r>
      <w:r w:rsidR="00840E8D">
        <w:t>DoHAC</w:t>
      </w:r>
      <w:r w:rsidRPr="00B65F7F">
        <w:t xml:space="preserve"> or </w:t>
      </w:r>
      <w:r w:rsidR="00840E8D">
        <w:t xml:space="preserve">the </w:t>
      </w:r>
      <w:r w:rsidRPr="00B65F7F">
        <w:t xml:space="preserve">respective PHN. </w:t>
      </w:r>
    </w:p>
    <w:p w14:paraId="6A91B6A1" w14:textId="77777777" w:rsidR="00597B5E" w:rsidRPr="00B65F7F" w:rsidRDefault="00597B5E" w:rsidP="00CB243F">
      <w:pPr>
        <w:pStyle w:val="BodyText"/>
      </w:pPr>
      <w:r w:rsidRPr="00B65F7F">
        <w:t xml:space="preserve">PHNs require reporting to include commentary on ITC care coordination, activities, managing patient numbers, improving access to mainstream </w:t>
      </w:r>
      <w:r w:rsidR="00C44EB9" w:rsidRPr="00B65F7F">
        <w:t>healthcare,</w:t>
      </w:r>
      <w:r w:rsidRPr="00B65F7F">
        <w:t xml:space="preserve"> and building culturally safe workplaces. However, it is evident that many service providers do find it challenging to understand what is explicitly included within the defined areas</w:t>
      </w:r>
      <w:r>
        <w:t xml:space="preserve"> (</w:t>
      </w:r>
      <w:r w:rsidRPr="0037152E">
        <w:t>Health Policy Analysis</w:t>
      </w:r>
      <w:r>
        <w:t>,</w:t>
      </w:r>
      <w:r w:rsidRPr="0037152E">
        <w:t xml:space="preserve"> 2018</w:t>
      </w:r>
      <w:r>
        <w:t>)</w:t>
      </w:r>
      <w:r w:rsidRPr="00B65F7F">
        <w:t xml:space="preserve">. </w:t>
      </w:r>
    </w:p>
    <w:p w14:paraId="73182E6E" w14:textId="77777777" w:rsidR="00597B5E" w:rsidRPr="00B65F7F" w:rsidRDefault="00597B5E" w:rsidP="00E2348C">
      <w:pPr>
        <w:pStyle w:val="HeadingLevel3NoNumber"/>
        <w:rPr>
          <w:rFonts w:eastAsia="Calibri" w:cs="Calibri"/>
          <w:sz w:val="22"/>
          <w:szCs w:val="22"/>
        </w:rPr>
      </w:pPr>
      <w:r w:rsidRPr="000C4718">
        <w:t xml:space="preserve">ITC </w:t>
      </w:r>
      <w:r w:rsidRPr="004919F4">
        <w:t>Evaluations</w:t>
      </w:r>
    </w:p>
    <w:p w14:paraId="01BA1A0A" w14:textId="77777777" w:rsidR="00597B5E" w:rsidRPr="00B65F7F" w:rsidRDefault="00597B5E" w:rsidP="00CB243F">
      <w:pPr>
        <w:pStyle w:val="BodyText"/>
      </w:pPr>
      <w:r w:rsidRPr="00B65F7F">
        <w:t>There is limited literature and data explor</w:t>
      </w:r>
      <w:r>
        <w:t>ing</w:t>
      </w:r>
      <w:r w:rsidRPr="00B65F7F">
        <w:t xml:space="preserve"> patient outcomes directly resulting from the ITC program. However, the </w:t>
      </w:r>
      <w:r>
        <w:t xml:space="preserve">then </w:t>
      </w:r>
      <w:r w:rsidRPr="00B65F7F">
        <w:t xml:space="preserve">Department of Health conducted a </w:t>
      </w:r>
      <w:bookmarkStart w:id="178" w:name="OLE_LINK3"/>
      <w:bookmarkStart w:id="179" w:name="OLE_LINK4"/>
      <w:r w:rsidRPr="00B65F7F">
        <w:t>review of Care Coordination within the Integrated Team Care Program</w:t>
      </w:r>
      <w:bookmarkEnd w:id="178"/>
      <w:bookmarkEnd w:id="179"/>
      <w:r w:rsidRPr="00B65F7F">
        <w:t>:</w:t>
      </w:r>
    </w:p>
    <w:p w14:paraId="5B85B0A5" w14:textId="77777777" w:rsidR="00597B5E" w:rsidRPr="00B65F7F" w:rsidRDefault="00597B5E" w:rsidP="00CB243F">
      <w:pPr>
        <w:pStyle w:val="ListBullet2"/>
        <w:rPr>
          <w:rFonts w:eastAsia="Calibri"/>
        </w:rPr>
      </w:pPr>
      <w:r w:rsidRPr="00F0334E">
        <w:rPr>
          <w:rFonts w:eastAsia="Calibri" w:cs="Calibri"/>
          <w:b/>
        </w:rPr>
        <w:t>Improved patient results:</w:t>
      </w:r>
      <w:r>
        <w:rPr>
          <w:rFonts w:eastAsia="Calibri" w:cs="Calibri"/>
          <w:i/>
        </w:rPr>
        <w:t xml:space="preserve"> </w:t>
      </w:r>
      <w:r w:rsidRPr="00B65F7F">
        <w:rPr>
          <w:rFonts w:eastAsia="Calibri"/>
        </w:rPr>
        <w:t xml:space="preserve">This report focused on the specific impact of care coordination within ITC as opposed </w:t>
      </w:r>
      <w:r w:rsidR="00D3733F">
        <w:rPr>
          <w:rFonts w:eastAsia="Calibri"/>
        </w:rPr>
        <w:t>to ITC as a whole</w:t>
      </w:r>
      <w:r w:rsidRPr="00B65F7F">
        <w:rPr>
          <w:rFonts w:eastAsia="Calibri"/>
        </w:rPr>
        <w:t>. The report found that care coordination did result in improved management of patients</w:t>
      </w:r>
      <w:r>
        <w:rPr>
          <w:rFonts w:eastAsia="Calibri"/>
        </w:rPr>
        <w:t>’</w:t>
      </w:r>
      <w:r w:rsidRPr="00B65F7F">
        <w:rPr>
          <w:rFonts w:eastAsia="Calibri"/>
        </w:rPr>
        <w:t xml:space="preserve"> chronic diseases through self-management and increased patient confidence, which ultimately led to improved health outcomes through appropriate treatment</w:t>
      </w:r>
      <w:r>
        <w:rPr>
          <w:rFonts w:eastAsia="Calibri"/>
        </w:rPr>
        <w:t xml:space="preserve"> (</w:t>
      </w:r>
      <w:r w:rsidRPr="0037152E">
        <w:rPr>
          <w:rFonts w:eastAsia="Calibri"/>
        </w:rPr>
        <w:t>Health Policy Analysis</w:t>
      </w:r>
      <w:r>
        <w:rPr>
          <w:rFonts w:eastAsia="Calibri"/>
        </w:rPr>
        <w:t>,</w:t>
      </w:r>
      <w:r w:rsidRPr="0037152E">
        <w:rPr>
          <w:rFonts w:eastAsia="Calibri"/>
        </w:rPr>
        <w:t xml:space="preserve"> 2018</w:t>
      </w:r>
      <w:r>
        <w:rPr>
          <w:rFonts w:eastAsia="Calibri"/>
        </w:rPr>
        <w:t>).</w:t>
      </w:r>
      <w:r w:rsidRPr="00B65F7F">
        <w:rPr>
          <w:rFonts w:eastAsia="Calibri"/>
        </w:rPr>
        <w:t xml:space="preserve"> The structure of care coordination did contribute to creating a sense of trust between the patient and the mainstream health system, where patients were empowered to autonomously navigate the health system and their own management plans</w:t>
      </w:r>
      <w:r>
        <w:rPr>
          <w:rFonts w:eastAsia="Calibri"/>
        </w:rPr>
        <w:t xml:space="preserve"> (</w:t>
      </w:r>
      <w:r w:rsidRPr="0037152E">
        <w:rPr>
          <w:rFonts w:eastAsia="Calibri"/>
        </w:rPr>
        <w:t>Health Policy Analysis</w:t>
      </w:r>
      <w:r>
        <w:rPr>
          <w:rFonts w:eastAsia="Calibri"/>
        </w:rPr>
        <w:t>,</w:t>
      </w:r>
      <w:r w:rsidRPr="0037152E">
        <w:rPr>
          <w:rFonts w:eastAsia="Calibri"/>
        </w:rPr>
        <w:t xml:space="preserve"> 2018</w:t>
      </w:r>
      <w:r>
        <w:rPr>
          <w:rFonts w:eastAsia="Calibri"/>
        </w:rPr>
        <w:t>)</w:t>
      </w:r>
      <w:r w:rsidRPr="00B65F7F">
        <w:rPr>
          <w:rFonts w:eastAsia="Calibri"/>
        </w:rPr>
        <w:t>. Care coordinators created stronger service linkages</w:t>
      </w:r>
      <w:r>
        <w:rPr>
          <w:rFonts w:eastAsia="Calibri"/>
        </w:rPr>
        <w:t>,</w:t>
      </w:r>
      <w:r w:rsidRPr="00B65F7F">
        <w:rPr>
          <w:rFonts w:eastAsia="Calibri"/>
        </w:rPr>
        <w:t xml:space="preserve"> which ultimately improved the continuity of care provided to patients. </w:t>
      </w:r>
    </w:p>
    <w:p w14:paraId="32D6A0EE" w14:textId="77777777" w:rsidR="00597B5E" w:rsidRPr="00B65F7F" w:rsidRDefault="00597B5E" w:rsidP="00CB243F">
      <w:pPr>
        <w:pStyle w:val="ListBullet2"/>
        <w:rPr>
          <w:rFonts w:eastAsia="Calibri"/>
        </w:rPr>
      </w:pPr>
      <w:r w:rsidRPr="000C4718">
        <w:rPr>
          <w:rFonts w:eastAsia="Calibri" w:cs="Calibri"/>
          <w:b/>
          <w:bCs/>
          <w:iCs/>
        </w:rPr>
        <w:t>System navigation improvements:</w:t>
      </w:r>
      <w:r>
        <w:rPr>
          <w:rFonts w:eastAsia="Calibri" w:cs="Calibri"/>
          <w:i/>
        </w:rPr>
        <w:t xml:space="preserve"> </w:t>
      </w:r>
      <w:r w:rsidRPr="00B65F7F">
        <w:rPr>
          <w:rFonts w:eastAsia="Calibri"/>
        </w:rPr>
        <w:t xml:space="preserve">It is reported that the structure of care coordination did improve the mainstream primary care level of cultural safety and appropriateness. The impact of this has meant that there is improved access and uptake of services within both primary care, allied </w:t>
      </w:r>
      <w:r w:rsidR="00C44EB9" w:rsidRPr="00B65F7F">
        <w:rPr>
          <w:rFonts w:eastAsia="Calibri"/>
        </w:rPr>
        <w:t>health</w:t>
      </w:r>
      <w:r w:rsidRPr="00B65F7F">
        <w:rPr>
          <w:rFonts w:eastAsia="Calibri"/>
        </w:rPr>
        <w:t xml:space="preserve"> and specialist healthcare. With the improvement of cultural safety and increased uptake of services, there has been an increase in the number of 715 Health Checks for </w:t>
      </w:r>
      <w:r>
        <w:rPr>
          <w:rFonts w:eastAsia="Calibri"/>
        </w:rPr>
        <w:t>Aboriginal and/or Torres Strait Islander</w:t>
      </w:r>
      <w:r w:rsidRPr="00B65F7F">
        <w:rPr>
          <w:rFonts w:eastAsia="Calibri"/>
        </w:rPr>
        <w:t xml:space="preserve"> people, which contributes to managing complex chronic conditions</w:t>
      </w:r>
      <w:r>
        <w:rPr>
          <w:rFonts w:eastAsia="Calibri"/>
        </w:rPr>
        <w:t xml:space="preserve"> (</w:t>
      </w:r>
      <w:r w:rsidRPr="0037152E">
        <w:rPr>
          <w:rFonts w:eastAsia="Calibri"/>
        </w:rPr>
        <w:t>Health Policy Analysis</w:t>
      </w:r>
      <w:r>
        <w:rPr>
          <w:rFonts w:eastAsia="Calibri"/>
        </w:rPr>
        <w:t>,</w:t>
      </w:r>
      <w:r w:rsidRPr="0037152E">
        <w:rPr>
          <w:rFonts w:eastAsia="Calibri"/>
        </w:rPr>
        <w:t xml:space="preserve"> 2018</w:t>
      </w:r>
      <w:r>
        <w:rPr>
          <w:rFonts w:eastAsia="Calibri"/>
        </w:rPr>
        <w:t>)</w:t>
      </w:r>
      <w:r w:rsidRPr="00B65F7F">
        <w:rPr>
          <w:rFonts w:eastAsia="Calibri"/>
        </w:rPr>
        <w:t>.</w:t>
      </w:r>
    </w:p>
    <w:p w14:paraId="6EE8A605" w14:textId="77777777" w:rsidR="00597B5E" w:rsidRPr="00B65F7F" w:rsidRDefault="00597B5E" w:rsidP="00CB243F">
      <w:pPr>
        <w:pStyle w:val="BodyText1stparaafterlist"/>
      </w:pPr>
      <w:r w:rsidRPr="00B65F7F">
        <w:t xml:space="preserve">The </w:t>
      </w:r>
      <w:r w:rsidR="00694ED2" w:rsidRPr="00B65F7F">
        <w:t>review of Care Coordination within the Integrated Team Care Program</w:t>
      </w:r>
      <w:r w:rsidR="00694ED2" w:rsidDel="00694ED2">
        <w:t xml:space="preserve"> </w:t>
      </w:r>
      <w:r w:rsidRPr="00B65F7F">
        <w:t xml:space="preserve"> endorse</w:t>
      </w:r>
      <w:r w:rsidR="00694ED2">
        <w:t>d</w:t>
      </w:r>
      <w:r w:rsidRPr="00B65F7F">
        <w:t xml:space="preserve"> the continuation of the ITC program</w:t>
      </w:r>
      <w:r>
        <w:t>;</w:t>
      </w:r>
      <w:r w:rsidRPr="00B65F7F">
        <w:t xml:space="preserve"> however, </w:t>
      </w:r>
      <w:r>
        <w:t xml:space="preserve">it </w:t>
      </w:r>
      <w:r w:rsidRPr="00B65F7F">
        <w:t xml:space="preserve">couched this endorsement with a set of recommendations. The recommendations centred around increasing the funding cycles for the program, as the current </w:t>
      </w:r>
      <w:r>
        <w:t>2-</w:t>
      </w:r>
      <w:r w:rsidRPr="00B65F7F">
        <w:t>year funding cycle creates challenges for the delivery of services and managing staff which ultimately had an impact on the outcomes delivered to patients</w:t>
      </w:r>
      <w:r>
        <w:t xml:space="preserve"> (</w:t>
      </w:r>
      <w:r w:rsidRPr="0037152E">
        <w:t>Health Policy Analysis</w:t>
      </w:r>
      <w:r>
        <w:t>,</w:t>
      </w:r>
      <w:r w:rsidRPr="0037152E">
        <w:t xml:space="preserve"> 2017</w:t>
      </w:r>
      <w:r>
        <w:t>)</w:t>
      </w:r>
      <w:r w:rsidRPr="00B65F7F">
        <w:t xml:space="preserve">. </w:t>
      </w:r>
    </w:p>
    <w:p w14:paraId="6E360CAB" w14:textId="77777777" w:rsidR="00597B5E" w:rsidRPr="00E0471F" w:rsidRDefault="00054B80" w:rsidP="006734AE">
      <w:pPr>
        <w:pStyle w:val="HeadingLevel2NoNumber"/>
      </w:pPr>
      <w:bookmarkStart w:id="180" w:name="_Toc145088786"/>
      <w:r>
        <w:t>A</w:t>
      </w:r>
      <w:r w:rsidR="00597B5E">
        <w:t>2</w:t>
      </w:r>
      <w:r w:rsidR="00597B5E" w:rsidRPr="00905939">
        <w:t xml:space="preserve">.2 About the </w:t>
      </w:r>
      <w:r w:rsidR="00597B5E">
        <w:t>m</w:t>
      </w:r>
      <w:r w:rsidR="00597B5E" w:rsidRPr="00905939">
        <w:t xml:space="preserve">ental </w:t>
      </w:r>
      <w:r w:rsidR="00597B5E">
        <w:t>h</w:t>
      </w:r>
      <w:r w:rsidR="00597B5E" w:rsidRPr="00905939">
        <w:t xml:space="preserve">ealth and </w:t>
      </w:r>
      <w:r w:rsidR="00597B5E">
        <w:t>s</w:t>
      </w:r>
      <w:r w:rsidR="00597B5E" w:rsidRPr="00905939">
        <w:t xml:space="preserve">uicide </w:t>
      </w:r>
      <w:r w:rsidR="00597B5E">
        <w:t>p</w:t>
      </w:r>
      <w:r w:rsidR="00597B5E" w:rsidRPr="00905939">
        <w:t>revention programs</w:t>
      </w:r>
      <w:bookmarkEnd w:id="180"/>
      <w:r w:rsidR="00597B5E">
        <w:t xml:space="preserve"> </w:t>
      </w:r>
    </w:p>
    <w:p w14:paraId="2A90E9E5" w14:textId="77777777" w:rsidR="00597B5E" w:rsidRPr="00B65F7F" w:rsidRDefault="00597B5E" w:rsidP="00CB243F">
      <w:pPr>
        <w:pStyle w:val="BodyText"/>
      </w:pPr>
      <w:r w:rsidRPr="00B65F7F">
        <w:t xml:space="preserve">Funding for </w:t>
      </w:r>
      <w:r>
        <w:t>m</w:t>
      </w:r>
      <w:r w:rsidRPr="00B65F7F">
        <w:t xml:space="preserve">ental </w:t>
      </w:r>
      <w:r>
        <w:t>h</w:t>
      </w:r>
      <w:r w:rsidRPr="00B65F7F">
        <w:t xml:space="preserve">ealth and </w:t>
      </w:r>
      <w:r>
        <w:t>s</w:t>
      </w:r>
      <w:r w:rsidRPr="00B65F7F">
        <w:t xml:space="preserve">uicide </w:t>
      </w:r>
      <w:r>
        <w:t>p</w:t>
      </w:r>
      <w:r w:rsidRPr="00B65F7F">
        <w:t xml:space="preserve">revention was provided in response to the National Mental Health Commission’s </w:t>
      </w:r>
      <w:r>
        <w:t>r</w:t>
      </w:r>
      <w:r w:rsidRPr="00B65F7F">
        <w:t xml:space="preserve">eview of mental health services (2015) for Indigenous-specific mental health services </w:t>
      </w:r>
      <w:r w:rsidRPr="00B65F7F">
        <w:lastRenderedPageBreak/>
        <w:t xml:space="preserve">commissioned through </w:t>
      </w:r>
      <w:r>
        <w:t>PHNs (Bailey et al., 2018)</w:t>
      </w:r>
      <w:r w:rsidRPr="00B65F7F">
        <w:t xml:space="preserve">. The purpose of </w:t>
      </w:r>
      <w:r>
        <w:t>m</w:t>
      </w:r>
      <w:r w:rsidRPr="00B65F7F">
        <w:t xml:space="preserve">ental </w:t>
      </w:r>
      <w:r>
        <w:t>h</w:t>
      </w:r>
      <w:r w:rsidRPr="00B65F7F">
        <w:t xml:space="preserve">ealth and </w:t>
      </w:r>
      <w:r>
        <w:t>s</w:t>
      </w:r>
      <w:r w:rsidRPr="00B65F7F">
        <w:t xml:space="preserve">uicide </w:t>
      </w:r>
      <w:r>
        <w:t>p</w:t>
      </w:r>
      <w:r w:rsidRPr="00B65F7F">
        <w:t xml:space="preserve">revention </w:t>
      </w:r>
      <w:r>
        <w:t>f</w:t>
      </w:r>
      <w:r w:rsidRPr="00B65F7F">
        <w:t xml:space="preserve">unding is to provide culturally appropriate access to mental health services to </w:t>
      </w:r>
      <w:r>
        <w:t>Aboriginal and/or Torres Strait Islander</w:t>
      </w:r>
      <w:r w:rsidRPr="00B65F7F">
        <w:t xml:space="preserve"> people</w:t>
      </w:r>
      <w:r>
        <w:t xml:space="preserve"> (</w:t>
      </w:r>
      <w:r w:rsidRPr="0037152E">
        <w:t>Department of Health</w:t>
      </w:r>
      <w:r w:rsidR="00075D9F">
        <w:t xml:space="preserve"> and Aged Care</w:t>
      </w:r>
      <w:r>
        <w:t>,</w:t>
      </w:r>
      <w:r w:rsidRPr="0037152E">
        <w:t xml:space="preserve"> 2023</w:t>
      </w:r>
      <w:r>
        <w:t>b)</w:t>
      </w:r>
      <w:r w:rsidRPr="00B65F7F">
        <w:t xml:space="preserve">. This funding is essential as it connects to The Fifth National Mental Health and Suicide Prevention Plan’s key priority area, which is improving </w:t>
      </w:r>
      <w:r>
        <w:t>Aboriginal and/or Torres Strait Islander</w:t>
      </w:r>
      <w:r w:rsidRPr="00B65F7F">
        <w:t xml:space="preserve"> mental health and suicide prevention. The Fifth Plan highlights the need for services to be empirically led through clinical practice and culturally informed services</w:t>
      </w:r>
      <w:r>
        <w:t xml:space="preserve"> (</w:t>
      </w:r>
      <w:r w:rsidRPr="003023AD">
        <w:t>Department of Health</w:t>
      </w:r>
      <w:r>
        <w:t>,</w:t>
      </w:r>
      <w:r w:rsidRPr="003023AD">
        <w:t xml:space="preserve"> 2019</w:t>
      </w:r>
      <w:r>
        <w:t>b</w:t>
      </w:r>
      <w:r w:rsidRPr="003023AD">
        <w:t>)</w:t>
      </w:r>
      <w:r w:rsidRPr="00B65F7F">
        <w:t xml:space="preserve">. </w:t>
      </w:r>
    </w:p>
    <w:p w14:paraId="1469ADB7" w14:textId="77777777" w:rsidR="00597B5E" w:rsidRPr="00B65F7F" w:rsidRDefault="00597B5E" w:rsidP="00E2348C">
      <w:pPr>
        <w:pStyle w:val="HeadingLevel3NoNumber"/>
      </w:pPr>
      <w:r w:rsidRPr="00B65F7F">
        <w:t xml:space="preserve">Program </w:t>
      </w:r>
      <w:r>
        <w:t>d</w:t>
      </w:r>
      <w:r w:rsidRPr="00B65F7F">
        <w:t>etails</w:t>
      </w:r>
    </w:p>
    <w:p w14:paraId="353A0FCF" w14:textId="77777777" w:rsidR="00597B5E" w:rsidRPr="00B65F7F" w:rsidRDefault="00597B5E" w:rsidP="00CB243F">
      <w:pPr>
        <w:pStyle w:val="BodyText"/>
      </w:pPr>
      <w:r w:rsidRPr="00B65F7F">
        <w:t xml:space="preserve">Mental health and </w:t>
      </w:r>
      <w:r>
        <w:t>s</w:t>
      </w:r>
      <w:r w:rsidRPr="00B65F7F">
        <w:t xml:space="preserve">uicide </w:t>
      </w:r>
      <w:r>
        <w:t>p</w:t>
      </w:r>
      <w:r w:rsidRPr="00B65F7F">
        <w:t xml:space="preserve">revention programs fund PHNs to commission mental health (and suicide prevention) services for </w:t>
      </w:r>
      <w:r>
        <w:t>Aboriginal and/or Torres Strait Islander</w:t>
      </w:r>
      <w:r w:rsidRPr="00B65F7F">
        <w:t xml:space="preserve"> people. The services are intended to be culturally sensitive and rooted in evidence-based practices</w:t>
      </w:r>
      <w:r>
        <w:t xml:space="preserve"> (</w:t>
      </w:r>
      <w:r w:rsidRPr="0037152E">
        <w:t>Department of Health</w:t>
      </w:r>
      <w:r w:rsidR="00075D9F">
        <w:t xml:space="preserve"> and Aged Care</w:t>
      </w:r>
      <w:r>
        <w:t>,</w:t>
      </w:r>
      <w:r w:rsidRPr="0037152E">
        <w:t xml:space="preserve"> 2023</w:t>
      </w:r>
      <w:r w:rsidR="00D3733F">
        <w:t>a</w:t>
      </w:r>
      <w:r>
        <w:t>)</w:t>
      </w:r>
      <w:r w:rsidRPr="00B65F7F">
        <w:t xml:space="preserve">. Services vary from low-intensity to high-intensity services for mental health, suicide prevention and social and emotional wellbeing (SEWB). </w:t>
      </w:r>
    </w:p>
    <w:p w14:paraId="0F7D593C" w14:textId="77777777" w:rsidR="00597B5E" w:rsidRPr="00B65F7F" w:rsidRDefault="00597B5E" w:rsidP="00CB243F">
      <w:pPr>
        <w:pStyle w:val="BodyText"/>
      </w:pPr>
      <w:r w:rsidRPr="00B65F7F">
        <w:t xml:space="preserve">The Mental Health Care Programme Guidelines state that the delivery of the services must be provided by a workforce that has both clinical and cultural competence and includes mental health professionals, Aboriginal health workers, Aboriginal peer support workers and </w:t>
      </w:r>
      <w:r>
        <w:t>g</w:t>
      </w:r>
      <w:r w:rsidRPr="00B65F7F">
        <w:t xml:space="preserve">eneral </w:t>
      </w:r>
      <w:r>
        <w:t>p</w:t>
      </w:r>
      <w:r w:rsidRPr="00B65F7F">
        <w:t>ractitioners</w:t>
      </w:r>
      <w:r>
        <w:t xml:space="preserve"> (</w:t>
      </w:r>
      <w:r w:rsidRPr="003023AD">
        <w:t>Department of Health</w:t>
      </w:r>
      <w:r>
        <w:t>,</w:t>
      </w:r>
      <w:r w:rsidRPr="003023AD">
        <w:t xml:space="preserve"> 2019</w:t>
      </w:r>
      <w:r>
        <w:t>b</w:t>
      </w:r>
      <w:r w:rsidRPr="003023AD">
        <w:t>)</w:t>
      </w:r>
      <w:r w:rsidRPr="00B65F7F">
        <w:t xml:space="preserve">. The location of these services can be provided through Aboriginal Medical Services, Aboriginal Community Controlled Health </w:t>
      </w:r>
      <w:r w:rsidR="00C44EB9" w:rsidRPr="00B65F7F">
        <w:t>Services,</w:t>
      </w:r>
      <w:r w:rsidRPr="00B65F7F">
        <w:t xml:space="preserve"> and mainstream services (including hospitals). </w:t>
      </w:r>
    </w:p>
    <w:p w14:paraId="56D50EE3" w14:textId="77777777" w:rsidR="00597B5E" w:rsidRPr="00B65F7F" w:rsidRDefault="00597B5E" w:rsidP="00CB243F">
      <w:pPr>
        <w:pStyle w:val="BodyText"/>
      </w:pPr>
      <w:r w:rsidRPr="00B65F7F">
        <w:t xml:space="preserve">Funding for </w:t>
      </w:r>
      <w:r>
        <w:t>m</w:t>
      </w:r>
      <w:r w:rsidRPr="00B65F7F">
        <w:t xml:space="preserve">ental </w:t>
      </w:r>
      <w:r>
        <w:t>h</w:t>
      </w:r>
      <w:r w:rsidRPr="00B65F7F">
        <w:t xml:space="preserve">ealth and </w:t>
      </w:r>
      <w:r>
        <w:t>s</w:t>
      </w:r>
      <w:r w:rsidRPr="00B65F7F">
        <w:t xml:space="preserve">uicide </w:t>
      </w:r>
      <w:r>
        <w:t>p</w:t>
      </w:r>
      <w:r w:rsidRPr="00B65F7F">
        <w:t>revention is funded through the IAHP</w:t>
      </w:r>
      <w:r>
        <w:t xml:space="preserve"> (</w:t>
      </w:r>
      <w:r w:rsidRPr="0037152E">
        <w:t>Department of Health</w:t>
      </w:r>
      <w:r w:rsidR="00075D9F">
        <w:t xml:space="preserve"> and Aged Care</w:t>
      </w:r>
      <w:r>
        <w:t>,</w:t>
      </w:r>
      <w:r w:rsidRPr="0037152E">
        <w:t xml:space="preserve"> 2023</w:t>
      </w:r>
      <w:r w:rsidR="00D3733F">
        <w:t>b</w:t>
      </w:r>
      <w:r>
        <w:t>)</w:t>
      </w:r>
      <w:r w:rsidRPr="00B65F7F">
        <w:t xml:space="preserve">. The commissioning of services is expected to fill existing gaps within the service system as well as work in tandem with existing local services to build upon existing capabilities and programs. </w:t>
      </w:r>
    </w:p>
    <w:p w14:paraId="46A90E3B" w14:textId="77777777" w:rsidR="00597B5E" w:rsidRPr="00B65F7F" w:rsidRDefault="00597B5E" w:rsidP="00E2348C">
      <w:pPr>
        <w:pStyle w:val="HeadingLevel3NoNumber"/>
      </w:pPr>
      <w:r w:rsidRPr="00B65F7F">
        <w:t>Flexibility</w:t>
      </w:r>
    </w:p>
    <w:p w14:paraId="5E93B942" w14:textId="77777777" w:rsidR="00597B5E" w:rsidRPr="00B65F7F" w:rsidRDefault="00597B5E" w:rsidP="00CB243F">
      <w:pPr>
        <w:pStyle w:val="BodyText"/>
      </w:pPr>
      <w:r w:rsidRPr="00B65F7F">
        <w:t xml:space="preserve">PHNs </w:t>
      </w:r>
      <w:r w:rsidR="00C44EB9" w:rsidRPr="00B65F7F">
        <w:t>can</w:t>
      </w:r>
      <w:r w:rsidRPr="00B65F7F">
        <w:t xml:space="preserve"> employ a flexible approach when commissioning funds for mental health and suicide prevention. </w:t>
      </w:r>
      <w:r w:rsidRPr="004C6CA1">
        <w:t>The purpose of this flexible approach is to ensure the needs of individuals are effectively met within the community (Department of Health, 2019b). PHNs have the flexibility to specify the commissioning of service models specific to the region, as well as the unique workforce appropriate to commission specific services. In relation to funding,</w:t>
      </w:r>
      <w:r w:rsidRPr="004C6CA1" w:rsidDel="00A3747F">
        <w:t xml:space="preserve"> </w:t>
      </w:r>
      <w:r w:rsidRPr="004C6CA1">
        <w:t>PHNs have the flexibility to employ additional funding to create an integrated approach by combining funding for menta</w:t>
      </w:r>
      <w:r w:rsidRPr="00B65F7F">
        <w:t>l health services with suicide prevention funding</w:t>
      </w:r>
      <w:r>
        <w:t xml:space="preserve"> (</w:t>
      </w:r>
      <w:r w:rsidRPr="003023AD">
        <w:t>Department of Health</w:t>
      </w:r>
      <w:r>
        <w:t>,</w:t>
      </w:r>
      <w:r w:rsidRPr="003023AD">
        <w:t xml:space="preserve"> 2019</w:t>
      </w:r>
      <w:r>
        <w:t>b</w:t>
      </w:r>
      <w:r w:rsidRPr="003023AD">
        <w:t>)</w:t>
      </w:r>
      <w:r w:rsidRPr="00B65F7F">
        <w:t>. This flexibility also enables PHNs to expand other services whil</w:t>
      </w:r>
      <w:r>
        <w:t>e</w:t>
      </w:r>
      <w:r w:rsidRPr="00B65F7F">
        <w:t xml:space="preserve"> embedding mental health services. Employing a more flexible approach helps to promote an integrated model of care</w:t>
      </w:r>
      <w:r>
        <w:t>,</w:t>
      </w:r>
      <w:r w:rsidRPr="00B65F7F">
        <w:t xml:space="preserve"> which aims to provide a holistic approach to services and increase access for </w:t>
      </w:r>
      <w:r>
        <w:t>Aboriginal and/or Torres Strait Islander</w:t>
      </w:r>
      <w:r w:rsidRPr="00B65F7F">
        <w:t xml:space="preserve"> people</w:t>
      </w:r>
      <w:r>
        <w:t xml:space="preserve"> (</w:t>
      </w:r>
      <w:r w:rsidRPr="003023AD">
        <w:t>Department of Health</w:t>
      </w:r>
      <w:r>
        <w:t>,</w:t>
      </w:r>
      <w:r w:rsidRPr="003023AD">
        <w:t xml:space="preserve"> 2019</w:t>
      </w:r>
      <w:r>
        <w:t>b</w:t>
      </w:r>
      <w:r w:rsidRPr="003023AD">
        <w:t>)</w:t>
      </w:r>
      <w:r w:rsidRPr="00B65F7F">
        <w:t>.</w:t>
      </w:r>
    </w:p>
    <w:p w14:paraId="64371249" w14:textId="77777777" w:rsidR="00597B5E" w:rsidRPr="00B65F7F" w:rsidRDefault="00597B5E" w:rsidP="00CB243F">
      <w:pPr>
        <w:pStyle w:val="BodyText"/>
        <w:rPr>
          <w:rFonts w:ascii="Roboto" w:eastAsia="Roboto" w:hAnsi="Roboto" w:cs="Roboto"/>
          <w:color w:val="444746"/>
        </w:rPr>
      </w:pPr>
      <w:r w:rsidRPr="00B65F7F">
        <w:t>It is important to</w:t>
      </w:r>
      <w:r w:rsidR="006D513D" w:rsidRPr="00B65F7F">
        <w:t xml:space="preserve"> </w:t>
      </w:r>
      <w:r w:rsidRPr="00B65F7F">
        <w:t>note that whil</w:t>
      </w:r>
      <w:r>
        <w:t>e</w:t>
      </w:r>
      <w:r w:rsidRPr="00B65F7F">
        <w:t xml:space="preserve"> a flexible approach is relevant for PHNs, the contracts with service providers do not always allow this same flexibility to be applied at the service delivery level. </w:t>
      </w:r>
    </w:p>
    <w:p w14:paraId="2FC55748" w14:textId="77777777" w:rsidR="00597B5E" w:rsidRPr="00754AE2" w:rsidRDefault="00054B80" w:rsidP="006734AE">
      <w:pPr>
        <w:pStyle w:val="HeadingLevel2NoNumber"/>
      </w:pPr>
      <w:r>
        <w:t>A</w:t>
      </w:r>
      <w:r w:rsidR="00597B5E">
        <w:t>2.3</w:t>
      </w:r>
      <w:r w:rsidR="00597B5E" w:rsidRPr="00754AE2">
        <w:t xml:space="preserve"> References</w:t>
      </w:r>
    </w:p>
    <w:p w14:paraId="40B23A0D" w14:textId="77777777" w:rsidR="00597B5E" w:rsidRPr="00470748" w:rsidRDefault="00597B5E" w:rsidP="00CB243F">
      <w:pPr>
        <w:pStyle w:val="References"/>
      </w:pPr>
      <w:r w:rsidRPr="00470748">
        <w:t>Bailey R, Hardie-Boys N, Bailie J, Carr J, Moodie D, McLean G, Scanlen A, Bainbridge R, Monaghan R, Walke</w:t>
      </w:r>
      <w:r w:rsidR="004C6CA1" w:rsidRPr="00470748">
        <w:t> </w:t>
      </w:r>
      <w:r w:rsidRPr="00470748">
        <w:t>E</w:t>
      </w:r>
      <w:r w:rsidR="004C6CA1" w:rsidRPr="00470748">
        <w:t xml:space="preserve"> and</w:t>
      </w:r>
      <w:r w:rsidRPr="00470748">
        <w:t xml:space="preserve"> Bailie R (2018) </w:t>
      </w:r>
      <w:r w:rsidRPr="00470748">
        <w:rPr>
          <w:i/>
          <w:iCs/>
        </w:rPr>
        <w:t xml:space="preserve">Evaluation of the Australian Government’s </w:t>
      </w:r>
      <w:r w:rsidR="004C6CA1" w:rsidRPr="00470748">
        <w:rPr>
          <w:i/>
          <w:iCs/>
        </w:rPr>
        <w:t>i</w:t>
      </w:r>
      <w:r w:rsidRPr="00470748">
        <w:rPr>
          <w:i/>
          <w:iCs/>
        </w:rPr>
        <w:t xml:space="preserve">nvestment in Aboriginal and/or Torres Strait Islander </w:t>
      </w:r>
      <w:r w:rsidR="004C6CA1" w:rsidRPr="00470748">
        <w:rPr>
          <w:i/>
          <w:iCs/>
        </w:rPr>
        <w:t>p</w:t>
      </w:r>
      <w:r w:rsidRPr="00470748">
        <w:rPr>
          <w:i/>
          <w:iCs/>
        </w:rPr>
        <w:t xml:space="preserve">rimary </w:t>
      </w:r>
      <w:r w:rsidR="004C6CA1" w:rsidRPr="00470748">
        <w:rPr>
          <w:i/>
          <w:iCs/>
        </w:rPr>
        <w:t>h</w:t>
      </w:r>
      <w:r w:rsidRPr="00470748">
        <w:rPr>
          <w:i/>
          <w:iCs/>
        </w:rPr>
        <w:t xml:space="preserve">ealth </w:t>
      </w:r>
      <w:r w:rsidR="004C6CA1" w:rsidRPr="00470748">
        <w:rPr>
          <w:i/>
          <w:iCs/>
        </w:rPr>
        <w:t>c</w:t>
      </w:r>
      <w:r w:rsidRPr="00470748">
        <w:rPr>
          <w:i/>
          <w:iCs/>
        </w:rPr>
        <w:t xml:space="preserve">are through the Indigenous Australians’ Health Programme: </w:t>
      </w:r>
      <w:r w:rsidR="004C6CA1" w:rsidRPr="00470748">
        <w:rPr>
          <w:i/>
          <w:iCs/>
        </w:rPr>
        <w:t>m</w:t>
      </w:r>
      <w:r w:rsidRPr="00470748">
        <w:rPr>
          <w:i/>
          <w:iCs/>
        </w:rPr>
        <w:t xml:space="preserve">onitoring and </w:t>
      </w:r>
      <w:r w:rsidR="004C6CA1" w:rsidRPr="00470748">
        <w:rPr>
          <w:i/>
          <w:iCs/>
        </w:rPr>
        <w:t>e</w:t>
      </w:r>
      <w:r w:rsidRPr="00470748">
        <w:rPr>
          <w:i/>
          <w:iCs/>
        </w:rPr>
        <w:t xml:space="preserve">valuation </w:t>
      </w:r>
      <w:r w:rsidR="004C6CA1" w:rsidRPr="00470748">
        <w:rPr>
          <w:i/>
          <w:iCs/>
        </w:rPr>
        <w:t>d</w:t>
      </w:r>
      <w:r w:rsidRPr="00470748">
        <w:rPr>
          <w:i/>
          <w:iCs/>
        </w:rPr>
        <w:t xml:space="preserve">esign </w:t>
      </w:r>
      <w:r w:rsidR="004C6CA1" w:rsidRPr="00470748">
        <w:rPr>
          <w:i/>
          <w:iCs/>
        </w:rPr>
        <w:t>r</w:t>
      </w:r>
      <w:r w:rsidRPr="00470748">
        <w:rPr>
          <w:i/>
          <w:iCs/>
        </w:rPr>
        <w:t>eport</w:t>
      </w:r>
      <w:r w:rsidR="004C6CA1" w:rsidRPr="00470748">
        <w:t>,</w:t>
      </w:r>
      <w:r w:rsidRPr="00470748">
        <w:t xml:space="preserve"> Allen + Clarke</w:t>
      </w:r>
      <w:r w:rsidR="004C6CA1" w:rsidRPr="00470748">
        <w:t>, Wellington.</w:t>
      </w:r>
    </w:p>
    <w:p w14:paraId="1069D6D9" w14:textId="77777777" w:rsidR="00597B5E" w:rsidRPr="00470748" w:rsidRDefault="00597B5E" w:rsidP="00CB243F">
      <w:pPr>
        <w:pStyle w:val="References"/>
      </w:pPr>
      <w:r w:rsidRPr="00470748">
        <w:t xml:space="preserve">Department of Health (2019a) </w:t>
      </w:r>
      <w:hyperlink r:id="rId84" w:history="1">
        <w:r w:rsidRPr="00470748">
          <w:rPr>
            <w:rStyle w:val="Hyperlink"/>
            <w:i/>
            <w:iCs/>
          </w:rPr>
          <w:t>Integrated Team Care Program Implementation Guidelines</w:t>
        </w:r>
      </w:hyperlink>
      <w:r w:rsidR="004C6CA1" w:rsidRPr="00470748">
        <w:t>, Australian Government, Canberra.</w:t>
      </w:r>
      <w:r w:rsidRPr="00470748">
        <w:t xml:space="preserve"> </w:t>
      </w:r>
    </w:p>
    <w:p w14:paraId="4763F94E" w14:textId="77777777" w:rsidR="00597B5E" w:rsidRPr="00470748" w:rsidRDefault="00597B5E" w:rsidP="00CB243F">
      <w:pPr>
        <w:pStyle w:val="References"/>
      </w:pPr>
      <w:r w:rsidRPr="00470748">
        <w:t xml:space="preserve">Department of Health (2019b) </w:t>
      </w:r>
      <w:hyperlink r:id="rId85" w:history="1">
        <w:r w:rsidRPr="00470748">
          <w:rPr>
            <w:rStyle w:val="Hyperlink"/>
            <w:i/>
            <w:iCs/>
          </w:rPr>
          <w:t>PHN Primary Mental Health Care Programme Guidance: Aboriginal and/or Torres Strait Islander Mental Health Services</w:t>
        </w:r>
      </w:hyperlink>
      <w:r w:rsidR="004C6CA1" w:rsidRPr="00470748">
        <w:t>, Australian Government, Canberra.</w:t>
      </w:r>
      <w:r w:rsidR="000B479E" w:rsidRPr="00470748">
        <w:t xml:space="preserve"> </w:t>
      </w:r>
    </w:p>
    <w:p w14:paraId="61600132" w14:textId="77777777" w:rsidR="00597B5E" w:rsidRPr="00470748" w:rsidRDefault="00597B5E" w:rsidP="00CB243F">
      <w:pPr>
        <w:pStyle w:val="References"/>
      </w:pPr>
      <w:r w:rsidRPr="00470748">
        <w:lastRenderedPageBreak/>
        <w:t xml:space="preserve">Department of Health and Aged Care (2023a) </w:t>
      </w:r>
      <w:hyperlink r:id="rId86" w:history="1">
        <w:r w:rsidRPr="00470748">
          <w:rPr>
            <w:rStyle w:val="Hyperlink"/>
            <w:i/>
            <w:iCs/>
          </w:rPr>
          <w:t>Indigenous Australians’ Health Programme</w:t>
        </w:r>
      </w:hyperlink>
      <w:r w:rsidR="004C6CA1" w:rsidRPr="00470748">
        <w:t>, Australian Government, Canberra.</w:t>
      </w:r>
      <w:r w:rsidRPr="00470748">
        <w:t xml:space="preserve"> </w:t>
      </w:r>
    </w:p>
    <w:p w14:paraId="3B1ACF87" w14:textId="77777777" w:rsidR="00597B5E" w:rsidRPr="00470748" w:rsidRDefault="00597B5E" w:rsidP="00CB243F">
      <w:pPr>
        <w:pStyle w:val="References"/>
      </w:pPr>
      <w:r w:rsidRPr="00470748">
        <w:t xml:space="preserve">Department of Health and Aged Care (2023b) </w:t>
      </w:r>
      <w:hyperlink r:id="rId87" w:history="1">
        <w:r w:rsidRPr="00470748">
          <w:rPr>
            <w:rStyle w:val="Hyperlink"/>
            <w:i/>
            <w:iCs/>
          </w:rPr>
          <w:t>Aboriginal and/or Torres Strait Islander mental health program</w:t>
        </w:r>
      </w:hyperlink>
      <w:r w:rsidR="004C6CA1" w:rsidRPr="00470748">
        <w:t>, Australian Government, Canberra</w:t>
      </w:r>
      <w:r w:rsidRPr="00470748">
        <w:t xml:space="preserve">. </w:t>
      </w:r>
    </w:p>
    <w:p w14:paraId="0E984B42" w14:textId="77777777" w:rsidR="00597B5E" w:rsidRPr="00470748" w:rsidRDefault="00597B5E" w:rsidP="00CB243F">
      <w:pPr>
        <w:pStyle w:val="References"/>
      </w:pPr>
      <w:r w:rsidRPr="00470748">
        <w:t xml:space="preserve">Health Policy Analysis (2017) Review of Care Coordination within the Integrated Team Care (ITC) Program – Review report, </w:t>
      </w:r>
      <w:r w:rsidR="004C6CA1" w:rsidRPr="00470748">
        <w:t xml:space="preserve">Australian Government </w:t>
      </w:r>
      <w:r w:rsidRPr="00470748">
        <w:t>Department of Health</w:t>
      </w:r>
      <w:r w:rsidR="004C6CA1" w:rsidRPr="00470748">
        <w:t>, Canberra.</w:t>
      </w:r>
    </w:p>
    <w:p w14:paraId="038BD4F5" w14:textId="77777777" w:rsidR="00597B5E" w:rsidRPr="00B65F7F" w:rsidRDefault="00597B5E" w:rsidP="00CB243F">
      <w:pPr>
        <w:pStyle w:val="References"/>
      </w:pPr>
      <w:r w:rsidRPr="00470748">
        <w:t>Health Policy An</w:t>
      </w:r>
      <w:r w:rsidRPr="0037152E">
        <w:t xml:space="preserve">alysis </w:t>
      </w:r>
      <w:r>
        <w:t>(</w:t>
      </w:r>
      <w:r w:rsidRPr="0037152E">
        <w:t>2018</w:t>
      </w:r>
      <w:r>
        <w:t>)</w:t>
      </w:r>
      <w:r w:rsidRPr="0037152E">
        <w:t xml:space="preserve"> </w:t>
      </w:r>
      <w:r w:rsidRPr="0098562E">
        <w:t>Review of Care Coordination within the Integrated Team Care (ITC) Program – Summary report</w:t>
      </w:r>
      <w:r w:rsidRPr="0037152E">
        <w:t xml:space="preserve">, </w:t>
      </w:r>
      <w:r w:rsidR="004C6CA1">
        <w:t>Australian Government</w:t>
      </w:r>
      <w:r w:rsidR="004C6CA1" w:rsidRPr="0037152E">
        <w:t xml:space="preserve"> </w:t>
      </w:r>
      <w:r w:rsidRPr="0037152E">
        <w:t>Department of Health</w:t>
      </w:r>
      <w:r w:rsidR="004C6CA1">
        <w:t>, Canberra</w:t>
      </w:r>
      <w:r w:rsidRPr="0037152E">
        <w:t>.</w:t>
      </w:r>
    </w:p>
    <w:p w14:paraId="26757467" w14:textId="77777777" w:rsidR="00597B5E" w:rsidRPr="00B65F7F" w:rsidRDefault="00597B5E" w:rsidP="00597B5E">
      <w:pPr>
        <w:rPr>
          <w:rFonts w:asciiTheme="majorHAnsi" w:eastAsiaTheme="majorEastAsia" w:hAnsiTheme="majorHAnsi" w:cs="Arial (Headings CS)"/>
          <w:b/>
          <w:bCs/>
          <w:sz w:val="40"/>
          <w:lang w:eastAsia="en-US" w:bidi="en-US"/>
        </w:rPr>
      </w:pPr>
      <w:r w:rsidRPr="00B65F7F">
        <w:br w:type="page"/>
      </w:r>
    </w:p>
    <w:p w14:paraId="02FF4C25" w14:textId="01FED664" w:rsidR="00F94F86" w:rsidRDefault="00F94F86" w:rsidP="001611E1">
      <w:pPr>
        <w:pStyle w:val="Heading1App"/>
      </w:pPr>
      <w:bookmarkStart w:id="181" w:name="App3_notitle"/>
      <w:bookmarkStart w:id="182" w:name="_Toc156932014"/>
      <w:bookmarkStart w:id="183" w:name="Appendix3"/>
      <w:bookmarkStart w:id="184" w:name="_Toc145955268"/>
      <w:r w:rsidRPr="00B65F7F">
        <w:lastRenderedPageBreak/>
        <w:t xml:space="preserve">Appendix </w:t>
      </w:r>
      <w:r>
        <w:t>3</w:t>
      </w:r>
      <w:bookmarkEnd w:id="181"/>
      <w:r w:rsidR="006C172C">
        <w:t xml:space="preserve"> –</w:t>
      </w:r>
      <w:r w:rsidRPr="00B65F7F">
        <w:t xml:space="preserve"> </w:t>
      </w:r>
      <w:r>
        <w:t xml:space="preserve">Cultural </w:t>
      </w:r>
      <w:r w:rsidR="003C0A54">
        <w:t>c</w:t>
      </w:r>
      <w:r>
        <w:t xml:space="preserve">redibility and </w:t>
      </w:r>
      <w:r w:rsidR="003C0A54">
        <w:t>p</w:t>
      </w:r>
      <w:r>
        <w:t>rotocols</w:t>
      </w:r>
      <w:bookmarkEnd w:id="182"/>
    </w:p>
    <w:p w14:paraId="1718C7D0" w14:textId="77777777" w:rsidR="00F94F86" w:rsidRDefault="00F94F86" w:rsidP="00CB243F">
      <w:pPr>
        <w:pStyle w:val="BodyText"/>
        <w:rPr>
          <w:color w:val="000000"/>
        </w:rPr>
      </w:pPr>
      <w:r>
        <w:rPr>
          <w:color w:val="000000"/>
        </w:rPr>
        <w:t xml:space="preserve">The Ninti </w:t>
      </w:r>
      <w:sdt>
        <w:sdtPr>
          <w:tag w:val="goog_rdk_1"/>
          <w:id w:val="-1106658745"/>
        </w:sdtPr>
        <w:sdtEndPr/>
        <w:sdtContent/>
      </w:sdt>
      <w:r>
        <w:rPr>
          <w:color w:val="000000"/>
        </w:rPr>
        <w:t xml:space="preserve">One </w:t>
      </w:r>
      <w:hyperlink r:id="rId88" w:history="1">
        <w:r w:rsidRPr="003C0A54">
          <w:rPr>
            <w:rStyle w:val="Hyperlink"/>
            <w:rFonts w:eastAsia="Calibri" w:cs="Calibri"/>
            <w:i/>
            <w:szCs w:val="22"/>
          </w:rPr>
          <w:t>Aboriginal Knowledge and Intellectual Property Protocol</w:t>
        </w:r>
      </w:hyperlink>
      <w:r>
        <w:rPr>
          <w:color w:val="000000"/>
        </w:rPr>
        <w:t xml:space="preserve"> (Orr et al. 2009) guided the planning, consultation, implementation an</w:t>
      </w:r>
      <w:r w:rsidRPr="003C633B">
        <w:rPr>
          <w:color w:val="000000"/>
        </w:rPr>
        <w:t xml:space="preserve">d reporting back on each </w:t>
      </w:r>
      <w:r w:rsidR="003C0A54" w:rsidRPr="003C633B">
        <w:t>R</w:t>
      </w:r>
      <w:r w:rsidRPr="003C633B">
        <w:t>eview phase</w:t>
      </w:r>
      <w:r w:rsidRPr="003C633B">
        <w:rPr>
          <w:color w:val="000000"/>
        </w:rPr>
        <w:t xml:space="preserve"> in pa</w:t>
      </w:r>
      <w:r>
        <w:rPr>
          <w:color w:val="000000"/>
        </w:rPr>
        <w:t xml:space="preserve">rtnership with the 6 stakeholder groups. The protocol outlined the rules for how the </w:t>
      </w:r>
      <w:r w:rsidR="000E5848">
        <w:rPr>
          <w:color w:val="000000"/>
        </w:rPr>
        <w:t>Review Team</w:t>
      </w:r>
      <w:r>
        <w:rPr>
          <w:color w:val="000000"/>
        </w:rPr>
        <w:t xml:space="preserve"> conducted the Review, which was:</w:t>
      </w:r>
    </w:p>
    <w:p w14:paraId="2CB63C06" w14:textId="77777777" w:rsidR="00F94F86" w:rsidRDefault="00F94F86" w:rsidP="00CB243F">
      <w:pPr>
        <w:pStyle w:val="ListBullet2"/>
      </w:pPr>
      <w:r>
        <w:rPr>
          <w:rFonts w:eastAsia="Calibri"/>
        </w:rPr>
        <w:t>respecting and valuing the voices and experiences of First Nations people</w:t>
      </w:r>
    </w:p>
    <w:p w14:paraId="66298B44" w14:textId="77777777" w:rsidR="00F94F86" w:rsidRDefault="00F94F86" w:rsidP="00CB243F">
      <w:pPr>
        <w:pStyle w:val="ListBullet2"/>
      </w:pPr>
      <w:r>
        <w:rPr>
          <w:rFonts w:eastAsia="Calibri"/>
        </w:rPr>
        <w:t>acknowledging and respecting the diversity of language and striving to ensure mutual understanding</w:t>
      </w:r>
    </w:p>
    <w:p w14:paraId="62D0AEC8" w14:textId="77777777" w:rsidR="00F94F86" w:rsidRDefault="00F94F86" w:rsidP="00CB243F">
      <w:pPr>
        <w:pStyle w:val="ListBullet2"/>
      </w:pPr>
      <w:r>
        <w:rPr>
          <w:rFonts w:eastAsia="Calibri"/>
        </w:rPr>
        <w:t xml:space="preserve">ensuring that everyone has the right information and that processes are transparent, </w:t>
      </w:r>
      <w:r w:rsidR="00C44EB9">
        <w:rPr>
          <w:rFonts w:eastAsia="Calibri"/>
        </w:rPr>
        <w:t>fair</w:t>
      </w:r>
      <w:r>
        <w:rPr>
          <w:rFonts w:eastAsia="Calibri"/>
        </w:rPr>
        <w:t xml:space="preserve"> and just, recognising that Aboriginal and Torres Strait Islander peoples own their knowledge and maintain their cultural and intellectual property.</w:t>
      </w:r>
    </w:p>
    <w:p w14:paraId="7ACE0AE4" w14:textId="77777777" w:rsidR="00F94F86" w:rsidRDefault="00F94F86" w:rsidP="00CB243F">
      <w:pPr>
        <w:pStyle w:val="BodyText"/>
      </w:pPr>
      <w:r>
        <w:t>This was realised through attention to ethics; confidentiality; free, prior and informed consent; benefit sharing; and full agreement with and understanding about recording, reporting and use of Indigenous knowledge according to Indigenous cultural and Australian privacy laws.</w:t>
      </w:r>
    </w:p>
    <w:p w14:paraId="4D84BDAB" w14:textId="77777777" w:rsidR="00F94F86" w:rsidRDefault="00F94F86" w:rsidP="00CB243F">
      <w:pPr>
        <w:pStyle w:val="BodyText"/>
      </w:pPr>
      <w:r>
        <w:t>To create a dynamic that was inclusive and enabled everyone to contribute, participants were asked during each engagement activity to endorse and commit to the following key principles:</w:t>
      </w:r>
    </w:p>
    <w:p w14:paraId="786D3816" w14:textId="77777777" w:rsidR="00F94F86" w:rsidRDefault="00F94F86" w:rsidP="00CB243F">
      <w:pPr>
        <w:pStyle w:val="ListBullet2"/>
      </w:pPr>
      <w:r>
        <w:rPr>
          <w:rFonts w:eastAsia="Calibri"/>
        </w:rPr>
        <w:t>to collectively build and maintain trust and respect</w:t>
      </w:r>
    </w:p>
    <w:p w14:paraId="110DA493" w14:textId="77777777" w:rsidR="00F94F86" w:rsidRDefault="00F94F86" w:rsidP="00CB243F">
      <w:pPr>
        <w:pStyle w:val="ListBullet2"/>
      </w:pPr>
      <w:r>
        <w:rPr>
          <w:rFonts w:eastAsia="Calibri"/>
        </w:rPr>
        <w:t>to respect and value the voices of all participants</w:t>
      </w:r>
    </w:p>
    <w:p w14:paraId="536F4330" w14:textId="77777777" w:rsidR="00F94F86" w:rsidRDefault="00F94F86" w:rsidP="00CB243F">
      <w:pPr>
        <w:pStyle w:val="ListBullet2"/>
      </w:pPr>
      <w:r>
        <w:rPr>
          <w:rFonts w:eastAsia="Calibri"/>
        </w:rPr>
        <w:t xml:space="preserve">to concentrate on finding </w:t>
      </w:r>
      <w:r>
        <w:t>win</w:t>
      </w:r>
      <w:r w:rsidR="003C633B">
        <w:t>–</w:t>
      </w:r>
      <w:r>
        <w:t>win</w:t>
      </w:r>
      <w:r>
        <w:rPr>
          <w:rFonts w:eastAsia="Calibri"/>
        </w:rPr>
        <w:t xml:space="preserve"> outcomes that represent success for all</w:t>
      </w:r>
    </w:p>
    <w:p w14:paraId="6E717395" w14:textId="77777777" w:rsidR="00F94F86" w:rsidRDefault="00F94F86" w:rsidP="00CB243F">
      <w:pPr>
        <w:pStyle w:val="ListBullet2"/>
      </w:pPr>
      <w:r>
        <w:rPr>
          <w:rFonts w:eastAsia="Calibri"/>
        </w:rPr>
        <w:t>to acknowledge and celebrate progress</w:t>
      </w:r>
    </w:p>
    <w:p w14:paraId="116C1198" w14:textId="77777777" w:rsidR="00F94F86" w:rsidRDefault="00F94F86" w:rsidP="00CB243F">
      <w:pPr>
        <w:pStyle w:val="ListBullet2"/>
      </w:pPr>
      <w:r>
        <w:rPr>
          <w:rFonts w:eastAsia="Calibri"/>
        </w:rPr>
        <w:t>to maintain a focus on the future</w:t>
      </w:r>
    </w:p>
    <w:p w14:paraId="79EBAE6F" w14:textId="77777777" w:rsidR="00F94F86" w:rsidRDefault="00F94F86" w:rsidP="00CB243F">
      <w:pPr>
        <w:pStyle w:val="ListBullet2"/>
      </w:pPr>
      <w:r>
        <w:rPr>
          <w:rFonts w:eastAsia="Calibri"/>
        </w:rPr>
        <w:t>to recognise that parties might not agree on everything discussed during the sessions and other engagement activities.</w:t>
      </w:r>
    </w:p>
    <w:p w14:paraId="618FDDB2" w14:textId="77777777" w:rsidR="00F94F86" w:rsidRDefault="00F94F86" w:rsidP="00CB243F">
      <w:pPr>
        <w:pStyle w:val="BodyText"/>
      </w:pPr>
    </w:p>
    <w:p w14:paraId="6738DBCA" w14:textId="77777777" w:rsidR="00F94F86" w:rsidRDefault="00135519" w:rsidP="006734AE">
      <w:pPr>
        <w:pStyle w:val="HeadingLevel2NoNumber"/>
      </w:pPr>
      <w:r>
        <w:t>A3.1 Reference</w:t>
      </w:r>
    </w:p>
    <w:p w14:paraId="0B54C454" w14:textId="77777777" w:rsidR="00135519" w:rsidRPr="00600E01" w:rsidRDefault="00135519" w:rsidP="00CB243F">
      <w:pPr>
        <w:pStyle w:val="References"/>
        <w:rPr>
          <w:rStyle w:val="Hyperlink"/>
          <w:color w:val="000000" w:themeColor="text1"/>
        </w:rPr>
      </w:pPr>
      <w:r w:rsidRPr="00285306">
        <w:t>Orr M, Ken</w:t>
      </w:r>
      <w:r w:rsidRPr="00600E01">
        <w:t xml:space="preserve">ny P, Gorey IN, Dixon T, Mir A, Cox E and Wilson J (2009) </w:t>
      </w:r>
      <w:r w:rsidRPr="007726E6">
        <w:rPr>
          <w:i/>
          <w:iCs/>
        </w:rPr>
        <w:t>Aboriginal knowledge and intellectual property protocol: Community guide</w:t>
      </w:r>
      <w:r w:rsidRPr="00600E01">
        <w:t>, 2</w:t>
      </w:r>
      <w:r w:rsidRPr="0096512C">
        <w:t>nd</w:t>
      </w:r>
      <w:r w:rsidRPr="00600E01">
        <w:t xml:space="preserve"> edn, Ninti One Limited, Alice Springs.</w:t>
      </w:r>
      <w:r w:rsidRPr="00600E01">
        <w:rPr>
          <w:lang w:val="en-US"/>
        </w:rPr>
        <w:t> </w:t>
      </w:r>
    </w:p>
    <w:p w14:paraId="48DC9688" w14:textId="77777777" w:rsidR="00F94F86" w:rsidRPr="00B30FBE" w:rsidRDefault="00F94F86" w:rsidP="003B07D3">
      <w:pPr>
        <w:pStyle w:val="Heading1"/>
        <w:numPr>
          <w:ilvl w:val="0"/>
          <w:numId w:val="7"/>
        </w:numPr>
      </w:pPr>
      <w:r w:rsidRPr="00B30FBE">
        <w:br w:type="page"/>
      </w:r>
    </w:p>
    <w:p w14:paraId="5187A829" w14:textId="18495141" w:rsidR="00F94F86" w:rsidRDefault="00F94F86" w:rsidP="001611E1">
      <w:pPr>
        <w:pStyle w:val="Heading1App"/>
      </w:pPr>
      <w:bookmarkStart w:id="185" w:name="App4_notitle"/>
      <w:bookmarkStart w:id="186" w:name="App4"/>
      <w:bookmarkStart w:id="187" w:name="_Toc156932015"/>
      <w:r w:rsidRPr="00B65F7F">
        <w:lastRenderedPageBreak/>
        <w:t xml:space="preserve">Appendix </w:t>
      </w:r>
      <w:r>
        <w:t>4</w:t>
      </w:r>
      <w:bookmarkEnd w:id="185"/>
      <w:r w:rsidR="006C172C">
        <w:t xml:space="preserve"> –</w:t>
      </w:r>
      <w:r w:rsidRPr="00B65F7F">
        <w:t xml:space="preserve"> </w:t>
      </w:r>
      <w:r>
        <w:t xml:space="preserve">Findings and </w:t>
      </w:r>
      <w:r w:rsidR="003C633B">
        <w:t>i</w:t>
      </w:r>
      <w:r>
        <w:t xml:space="preserve">nsights from Phase 2 </w:t>
      </w:r>
      <w:r w:rsidR="003C633B">
        <w:t>a</w:t>
      </w:r>
      <w:r>
        <w:t>ctivities</w:t>
      </w:r>
      <w:bookmarkEnd w:id="186"/>
      <w:bookmarkEnd w:id="187"/>
    </w:p>
    <w:p w14:paraId="5C4B150B" w14:textId="77777777" w:rsidR="00F94F86" w:rsidRPr="00B65F7F" w:rsidRDefault="00A30373" w:rsidP="006734AE">
      <w:pPr>
        <w:pStyle w:val="HeadingLevel2NoNumber"/>
      </w:pPr>
      <w:bookmarkStart w:id="188" w:name="Ch2Findings"/>
      <w:bookmarkStart w:id="189" w:name="_Toc145955241"/>
      <w:r>
        <w:t xml:space="preserve">A4.1 </w:t>
      </w:r>
      <w:r w:rsidR="00F94F86" w:rsidRPr="00B65F7F">
        <w:t>Literature review findings</w:t>
      </w:r>
      <w:bookmarkEnd w:id="188"/>
      <w:bookmarkEnd w:id="189"/>
    </w:p>
    <w:p w14:paraId="47733344" w14:textId="00E40299" w:rsidR="00F94F86" w:rsidRPr="00B65F7F" w:rsidRDefault="00F94F86" w:rsidP="00CB243F">
      <w:pPr>
        <w:pStyle w:val="BodyText"/>
      </w:pPr>
      <w:r w:rsidRPr="00B65F7F">
        <w:rPr>
          <w:rFonts w:eastAsia="Roboto"/>
        </w:rPr>
        <w:t xml:space="preserve">This </w:t>
      </w:r>
      <w:r w:rsidR="00AD2A40">
        <w:rPr>
          <w:rFonts w:eastAsia="Roboto"/>
        </w:rPr>
        <w:t xml:space="preserve">section </w:t>
      </w:r>
      <w:r w:rsidRPr="00B65F7F">
        <w:rPr>
          <w:rFonts w:eastAsia="Roboto"/>
        </w:rPr>
        <w:t xml:space="preserve">identifies the key insights from the </w:t>
      </w:r>
      <w:r w:rsidRPr="00B65F7F">
        <w:t xml:space="preserve">literature review (available at </w:t>
      </w:r>
      <w:r w:rsidR="00AD2A40">
        <w:fldChar w:fldCharType="begin"/>
      </w:r>
      <w:r w:rsidR="00AD2A40">
        <w:instrText xml:space="preserve"> REF Appendix9 \h </w:instrText>
      </w:r>
      <w:r w:rsidR="00AD2A40">
        <w:fldChar w:fldCharType="separate"/>
      </w:r>
      <w:r w:rsidR="00934D5E" w:rsidRPr="00B65F7F">
        <w:t xml:space="preserve">Appendix </w:t>
      </w:r>
      <w:r w:rsidR="00934D5E">
        <w:t>9 –</w:t>
      </w:r>
      <w:r w:rsidR="00934D5E" w:rsidRPr="00B65F7F">
        <w:t xml:space="preserve"> Literature review</w:t>
      </w:r>
      <w:r w:rsidR="00AD2A40">
        <w:fldChar w:fldCharType="end"/>
      </w:r>
      <w:r w:rsidRPr="00B65F7F">
        <w:t xml:space="preserve">) that was undertaken to identify national and international funding and delivery models, frameworks and approaches to First Nations health and wellbeing. The literature review analysed the applicability and effectiveness of these delivery models, frameworks and approaches compared to the Australian context. </w:t>
      </w:r>
    </w:p>
    <w:p w14:paraId="2982A39A" w14:textId="77777777" w:rsidR="00F94F86" w:rsidRPr="00B65F7F" w:rsidRDefault="00F94F86" w:rsidP="00CB243F">
      <w:pPr>
        <w:pStyle w:val="BodyText"/>
      </w:pPr>
      <w:r w:rsidRPr="00B65F7F">
        <w:t>The key insights derived from the literature review are grouped into the following categories:</w:t>
      </w:r>
    </w:p>
    <w:p w14:paraId="13CB1401" w14:textId="77777777" w:rsidR="00F94F86" w:rsidRPr="00B65F7F" w:rsidRDefault="00F94F86" w:rsidP="00CB243F">
      <w:pPr>
        <w:pStyle w:val="ListBullet2"/>
      </w:pPr>
      <w:r w:rsidRPr="00B65F7F">
        <w:t>approaches to purchasing and funding health and social services</w:t>
      </w:r>
    </w:p>
    <w:p w14:paraId="70CB21A8" w14:textId="77777777" w:rsidR="00F94F86" w:rsidRPr="00B65F7F" w:rsidRDefault="00F94F86" w:rsidP="00CB243F">
      <w:pPr>
        <w:pStyle w:val="ListBullet2"/>
      </w:pPr>
      <w:r w:rsidRPr="00B65F7F">
        <w:t>common principles of effective Indigenous health funding models initiatives</w:t>
      </w:r>
    </w:p>
    <w:p w14:paraId="3BD72C2F" w14:textId="77777777" w:rsidR="00F94F86" w:rsidRPr="00B65F7F" w:rsidRDefault="00F94F86" w:rsidP="00CB243F">
      <w:pPr>
        <w:pStyle w:val="ListBullet2"/>
      </w:pPr>
      <w:r w:rsidRPr="00B65F7F">
        <w:t>a comparison of First Nations funding and delivery models, approaches and frameworks.</w:t>
      </w:r>
    </w:p>
    <w:p w14:paraId="48C6CE2E" w14:textId="77777777" w:rsidR="00F94F86" w:rsidRPr="00B65F7F" w:rsidRDefault="00F94F86" w:rsidP="00CB243F">
      <w:pPr>
        <w:pStyle w:val="BodyText"/>
      </w:pPr>
      <w:r w:rsidRPr="00B65F7F">
        <w:t xml:space="preserve">The insights set out in this </w:t>
      </w:r>
      <w:r w:rsidR="00AD2A40">
        <w:t>section</w:t>
      </w:r>
      <w:r w:rsidRPr="00B65F7F">
        <w:t xml:space="preserve"> (and expanded on in the literature review)</w:t>
      </w:r>
      <w:r w:rsidR="00A30373">
        <w:t xml:space="preserve"> </w:t>
      </w:r>
      <w:r w:rsidRPr="00B65F7F">
        <w:t xml:space="preserve">were instructive in informing the work undertaken in this </w:t>
      </w:r>
      <w:r w:rsidR="00AD2A40">
        <w:t>R</w:t>
      </w:r>
      <w:r w:rsidRPr="00B65F7F">
        <w:t>eview.</w:t>
      </w:r>
    </w:p>
    <w:p w14:paraId="0DE0A304" w14:textId="77777777" w:rsidR="00F94F86" w:rsidRPr="00B65F7F" w:rsidRDefault="00F94F86" w:rsidP="00E2348C">
      <w:pPr>
        <w:pStyle w:val="HeadingLevel3NoNumber"/>
      </w:pPr>
      <w:bookmarkStart w:id="190" w:name="_ehz42hjyg4of" w:colFirst="0" w:colLast="0"/>
      <w:bookmarkStart w:id="191" w:name="Approaches21"/>
      <w:bookmarkStart w:id="192" w:name="_Toc145955242"/>
      <w:bookmarkEnd w:id="190"/>
      <w:r w:rsidRPr="00B65F7F">
        <w:t>Approaches to purchasing and funding health and social services</w:t>
      </w:r>
      <w:bookmarkEnd w:id="191"/>
      <w:bookmarkEnd w:id="192"/>
    </w:p>
    <w:p w14:paraId="7DDA7DEE" w14:textId="77777777" w:rsidR="00F94F86" w:rsidRPr="00B65F7F" w:rsidRDefault="00F94F86" w:rsidP="00CB243F">
      <w:pPr>
        <w:pStyle w:val="BodyText"/>
      </w:pPr>
      <w:bookmarkStart w:id="193" w:name="_pe1zt1bj4vlr" w:colFirst="0" w:colLast="0"/>
      <w:bookmarkEnd w:id="193"/>
      <w:r w:rsidRPr="00B65F7F">
        <w:t xml:space="preserve">The literature review explored different funding arrangements and models that are used across healthcare systems and services, both in Australia and internationally. This included analysis on the concept of purchasing healthcare through procurement and commissioning, which reflects the roles currently undertaken by PHNs for the Relevant Health Programs. </w:t>
      </w:r>
    </w:p>
    <w:p w14:paraId="421E1D7B" w14:textId="77777777" w:rsidR="00F94F86" w:rsidRPr="00B65F7F" w:rsidRDefault="00F94F86" w:rsidP="00E2348C">
      <w:pPr>
        <w:pStyle w:val="HeadingLevel4NoNumber"/>
      </w:pPr>
      <w:bookmarkStart w:id="194" w:name="_Hlk152085861"/>
      <w:r w:rsidRPr="00B65F7F">
        <w:t>Purchasing healthcare – procurement and commissioning</w:t>
      </w:r>
    </w:p>
    <w:bookmarkEnd w:id="194"/>
    <w:p w14:paraId="185DC17E" w14:textId="77777777" w:rsidR="00F94F86" w:rsidRPr="00B65F7F" w:rsidRDefault="00F94F86" w:rsidP="00CB243F">
      <w:pPr>
        <w:pStyle w:val="BodyText"/>
      </w:pPr>
      <w:r w:rsidRPr="00B65F7F">
        <w:t xml:space="preserve">Procurement in healthcare involves acquiring services (or goods) from external providers to support the operation and delivery of healthcare services. Procurement is generally a highly transactional approach, whereby goods or services to be purchased are specified, to which responses are sought that best meet the stated particulars of the procurement. For this reason, procurement processes can often be restrictive, as they rarely provide flexibility in how the stated services or goods can be delivered. </w:t>
      </w:r>
    </w:p>
    <w:p w14:paraId="5FD4AF07" w14:textId="77777777" w:rsidR="00F94F86" w:rsidRPr="00B65F7F" w:rsidRDefault="00F94F86" w:rsidP="00CB243F">
      <w:pPr>
        <w:pStyle w:val="BodyText"/>
      </w:pPr>
      <w:r w:rsidRPr="00B65F7F">
        <w:t xml:space="preserve">Commissioning, on the other hand, involves a comprehensive process. It includes assessing healthcare needs, planning services and procuring and managing the services needed to meet those pre-identified healthcare requirements. Given its nature, commissioning is designed to empower the commissioning body to determine exactly where and how to procure the goods or services. </w:t>
      </w:r>
    </w:p>
    <w:p w14:paraId="7D4B787B" w14:textId="5D841452" w:rsidR="00F94F86" w:rsidRPr="00B65F7F" w:rsidRDefault="00F94F86" w:rsidP="00CB243F">
      <w:pPr>
        <w:pStyle w:val="BodyText"/>
      </w:pPr>
      <w:r w:rsidRPr="00B65F7F">
        <w:t xml:space="preserve">The differences between the 2 approaches are given in </w:t>
      </w:r>
      <w:r w:rsidR="00C97F8A">
        <w:fldChar w:fldCharType="begin"/>
      </w:r>
      <w:r w:rsidR="00C97F8A">
        <w:instrText xml:space="preserve"> REF _Ref151895819 \h </w:instrText>
      </w:r>
      <w:r w:rsidR="00C97F8A">
        <w:fldChar w:fldCharType="separate"/>
      </w:r>
      <w:r w:rsidR="00934D5E">
        <w:t>Table A4.</w:t>
      </w:r>
      <w:r w:rsidR="00934D5E">
        <w:rPr>
          <w:noProof/>
        </w:rPr>
        <w:t>1</w:t>
      </w:r>
      <w:r w:rsidR="00C97F8A">
        <w:fldChar w:fldCharType="end"/>
      </w:r>
      <w:r w:rsidRPr="00B65F7F">
        <w:t>.</w:t>
      </w:r>
    </w:p>
    <w:p w14:paraId="5359F7D3" w14:textId="1CB00BE7" w:rsidR="00F94F86" w:rsidRPr="00B65F7F" w:rsidRDefault="00A30373" w:rsidP="00A237F8">
      <w:pPr>
        <w:pStyle w:val="CaptionTable"/>
      </w:pPr>
      <w:bookmarkStart w:id="195" w:name="_Ref151895819"/>
      <w:bookmarkStart w:id="196" w:name="_Toc145604935"/>
      <w:bookmarkStart w:id="197" w:name="_Toc145617807"/>
      <w:bookmarkStart w:id="198" w:name="_Toc156932078"/>
      <w:r>
        <w:t>Table A4.</w:t>
      </w:r>
      <w:r>
        <w:fldChar w:fldCharType="begin"/>
      </w:r>
      <w:r>
        <w:instrText xml:space="preserve"> SEQ Table_App4 \* ARABIC </w:instrText>
      </w:r>
      <w:r>
        <w:fldChar w:fldCharType="separate"/>
      </w:r>
      <w:r w:rsidR="00934D5E">
        <w:rPr>
          <w:noProof/>
        </w:rPr>
        <w:t>1</w:t>
      </w:r>
      <w:r>
        <w:fldChar w:fldCharType="end"/>
      </w:r>
      <w:bookmarkEnd w:id="195"/>
      <w:r>
        <w:t>:</w:t>
      </w:r>
      <w:r w:rsidR="00F94F86" w:rsidRPr="00B65F7F">
        <w:t>Differences between procurement and commissioning of health services</w:t>
      </w:r>
      <w:bookmarkEnd w:id="196"/>
      <w:bookmarkEnd w:id="197"/>
      <w:bookmarkEnd w:id="198"/>
    </w:p>
    <w:tbl>
      <w:tblPr>
        <w:tblStyle w:val="Newtableforresport"/>
        <w:tblW w:w="9639" w:type="dxa"/>
        <w:tblInd w:w="0" w:type="dxa"/>
        <w:tblLook w:val="04A0" w:firstRow="1" w:lastRow="0" w:firstColumn="1" w:lastColumn="0" w:noHBand="0" w:noVBand="1"/>
        <w:tblCaption w:val="Table A4.1: Differences between procurement and commissioning of health services"/>
        <w:tblDescription w:val="A table describing the differences between procurement and commissioning of health services. The first column lists differences between procurement and commissioning processes, such as scope and timeframes. The second column describes the procurement approach towards health services, while the third column lists the commissioning approach towards health services. "/>
      </w:tblPr>
      <w:tblGrid>
        <w:gridCol w:w="1560"/>
        <w:gridCol w:w="3685"/>
        <w:gridCol w:w="4394"/>
      </w:tblGrid>
      <w:tr w:rsidR="00F94F86" w:rsidRPr="000062F3" w14:paraId="473029DB" w14:textId="77777777" w:rsidTr="00090ED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60" w:type="dxa"/>
          </w:tcPr>
          <w:p w14:paraId="3D853E22" w14:textId="4E522A1D" w:rsidR="00F94F86" w:rsidRPr="000062F3" w:rsidRDefault="00090ED8" w:rsidP="00CB243F">
            <w:pPr>
              <w:pStyle w:val="TableHeading"/>
              <w:rPr>
                <w:rFonts w:eastAsia="Roboto"/>
              </w:rPr>
            </w:pPr>
            <w:r>
              <w:rPr>
                <w:rFonts w:eastAsia="Roboto"/>
              </w:rPr>
              <w:t>Differences</w:t>
            </w:r>
          </w:p>
        </w:tc>
        <w:tc>
          <w:tcPr>
            <w:tcW w:w="3685" w:type="dxa"/>
          </w:tcPr>
          <w:p w14:paraId="3BAD6815" w14:textId="77777777" w:rsidR="00F94F86" w:rsidRPr="000062F3" w:rsidRDefault="00F94F86" w:rsidP="00CB243F">
            <w:pPr>
              <w:pStyle w:val="TableHeading"/>
              <w:cnfStyle w:val="100000000000" w:firstRow="1" w:lastRow="0" w:firstColumn="0" w:lastColumn="0" w:oddVBand="0" w:evenVBand="0" w:oddHBand="0" w:evenHBand="0" w:firstRowFirstColumn="0" w:firstRowLastColumn="0" w:lastRowFirstColumn="0" w:lastRowLastColumn="0"/>
              <w:rPr>
                <w:rFonts w:eastAsia="Roboto"/>
              </w:rPr>
            </w:pPr>
            <w:r w:rsidRPr="000062F3">
              <w:rPr>
                <w:rFonts w:eastAsia="Roboto"/>
              </w:rPr>
              <w:t>Procurement</w:t>
            </w:r>
          </w:p>
        </w:tc>
        <w:tc>
          <w:tcPr>
            <w:tcW w:w="4394" w:type="dxa"/>
          </w:tcPr>
          <w:p w14:paraId="067EBD48" w14:textId="77777777" w:rsidR="00F94F86" w:rsidRPr="000062F3" w:rsidRDefault="00F94F86" w:rsidP="00CB243F">
            <w:pPr>
              <w:pStyle w:val="TableHeading"/>
              <w:cnfStyle w:val="100000000000" w:firstRow="1" w:lastRow="0" w:firstColumn="0" w:lastColumn="0" w:oddVBand="0" w:evenVBand="0" w:oddHBand="0" w:evenHBand="0" w:firstRowFirstColumn="0" w:firstRowLastColumn="0" w:lastRowFirstColumn="0" w:lastRowLastColumn="0"/>
              <w:rPr>
                <w:rFonts w:eastAsia="Roboto"/>
              </w:rPr>
            </w:pPr>
            <w:r w:rsidRPr="000062F3">
              <w:rPr>
                <w:rFonts w:eastAsia="Roboto"/>
              </w:rPr>
              <w:t>Commissioning</w:t>
            </w:r>
          </w:p>
        </w:tc>
      </w:tr>
      <w:tr w:rsidR="00F94F86" w:rsidRPr="00B65F7F" w14:paraId="1590B4B6" w14:textId="77777777" w:rsidTr="00090E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Pr>
          <w:p w14:paraId="1DC280F7" w14:textId="77777777" w:rsidR="00F94F86" w:rsidRPr="000062F3" w:rsidRDefault="00F94F86" w:rsidP="00CB243F">
            <w:pPr>
              <w:pStyle w:val="TableText"/>
              <w:rPr>
                <w:rFonts w:eastAsia="Roboto"/>
                <w:b w:val="0"/>
                <w:bCs/>
              </w:rPr>
            </w:pPr>
            <w:r w:rsidRPr="00542CEF">
              <w:rPr>
                <w:rFonts w:eastAsia="Roboto"/>
              </w:rPr>
              <w:t>Purpose and focus</w:t>
            </w:r>
          </w:p>
        </w:tc>
        <w:tc>
          <w:tcPr>
            <w:tcW w:w="3685" w:type="dxa"/>
          </w:tcPr>
          <w:p w14:paraId="49DA455E" w14:textId="77777777" w:rsidR="00F94F86" w:rsidRPr="00CB243F" w:rsidRDefault="00F94F86" w:rsidP="00CB243F">
            <w:pPr>
              <w:pStyle w:val="TableTextbullets"/>
              <w:cnfStyle w:val="000000100000" w:firstRow="0" w:lastRow="0" w:firstColumn="0" w:lastColumn="0" w:oddVBand="0" w:evenVBand="0" w:oddHBand="1" w:evenHBand="0" w:firstRowFirstColumn="0" w:firstRowLastColumn="0" w:lastRowFirstColumn="0" w:lastRowLastColumn="0"/>
              <w:rPr>
                <w:rFonts w:eastAsia="Roboto"/>
              </w:rPr>
            </w:pPr>
            <w:r w:rsidRPr="00CB243F">
              <w:rPr>
                <w:rFonts w:eastAsia="Roboto"/>
              </w:rPr>
              <w:t>focuses on the purchasing and acquisition of health services, or equipment required for healthcare delivery</w:t>
            </w:r>
          </w:p>
          <w:p w14:paraId="55A4057B" w14:textId="77777777" w:rsidR="00F94F86" w:rsidRPr="00CB243F" w:rsidRDefault="00F94F86" w:rsidP="00CB243F">
            <w:pPr>
              <w:pStyle w:val="TableTextbullets"/>
              <w:cnfStyle w:val="000000100000" w:firstRow="0" w:lastRow="0" w:firstColumn="0" w:lastColumn="0" w:oddVBand="0" w:evenVBand="0" w:oddHBand="1" w:evenHBand="0" w:firstRowFirstColumn="0" w:firstRowLastColumn="0" w:lastRowFirstColumn="0" w:lastRowLastColumn="0"/>
              <w:rPr>
                <w:rFonts w:eastAsia="Roboto"/>
              </w:rPr>
            </w:pPr>
            <w:r w:rsidRPr="00CB243F">
              <w:rPr>
                <w:rFonts w:eastAsia="Roboto"/>
              </w:rPr>
              <w:t>is often a transactional process aimed at obtaining the necessary resources efficiently and cost-effectively</w:t>
            </w:r>
          </w:p>
        </w:tc>
        <w:tc>
          <w:tcPr>
            <w:tcW w:w="4394" w:type="dxa"/>
          </w:tcPr>
          <w:p w14:paraId="107333D3" w14:textId="77777777" w:rsidR="00F94F86" w:rsidRPr="00CB243F" w:rsidRDefault="00F94F86" w:rsidP="00CB243F">
            <w:pPr>
              <w:pStyle w:val="TableTextbullets"/>
              <w:cnfStyle w:val="000000100000" w:firstRow="0" w:lastRow="0" w:firstColumn="0" w:lastColumn="0" w:oddVBand="0" w:evenVBand="0" w:oddHBand="1" w:evenHBand="0" w:firstRowFirstColumn="0" w:firstRowLastColumn="0" w:lastRowFirstColumn="0" w:lastRowLastColumn="0"/>
              <w:rPr>
                <w:rFonts w:eastAsia="Roboto"/>
              </w:rPr>
            </w:pPr>
            <w:r w:rsidRPr="00CB243F">
              <w:rPr>
                <w:rFonts w:eastAsia="Roboto"/>
              </w:rPr>
              <w:t>is a broader and more strategic process that involves planning, organising and ensuring the delivery of healthcare services to meet the needs of a specific population or community</w:t>
            </w:r>
          </w:p>
          <w:p w14:paraId="2E97EDF6" w14:textId="77777777" w:rsidR="00F94F86" w:rsidRPr="00CB243F" w:rsidRDefault="00F94F86" w:rsidP="00CB243F">
            <w:pPr>
              <w:pStyle w:val="TableTextbullets"/>
              <w:cnfStyle w:val="000000100000" w:firstRow="0" w:lastRow="0" w:firstColumn="0" w:lastColumn="0" w:oddVBand="0" w:evenVBand="0" w:oddHBand="1" w:evenHBand="0" w:firstRowFirstColumn="0" w:firstRowLastColumn="0" w:lastRowFirstColumn="0" w:lastRowLastColumn="0"/>
              <w:rPr>
                <w:rFonts w:eastAsia="Roboto"/>
              </w:rPr>
            </w:pPr>
            <w:r w:rsidRPr="00CB243F">
              <w:rPr>
                <w:rFonts w:eastAsia="Roboto"/>
              </w:rPr>
              <w:t>in theory,</w:t>
            </w:r>
            <w:r w:rsidRPr="00CB243F" w:rsidDel="00BF2371">
              <w:rPr>
                <w:rFonts w:eastAsia="Roboto"/>
              </w:rPr>
              <w:t xml:space="preserve"> </w:t>
            </w:r>
            <w:r w:rsidRPr="00CB243F">
              <w:rPr>
                <w:rFonts w:eastAsia="Roboto"/>
              </w:rPr>
              <w:t>encompasses the entire service delivery system, including assessing needs, designing services, contracting providers and monitoring performance</w:t>
            </w:r>
          </w:p>
        </w:tc>
      </w:tr>
      <w:tr w:rsidR="00F94F86" w:rsidRPr="00B65F7F" w14:paraId="17DEDCA0" w14:textId="77777777" w:rsidTr="00090ED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Pr>
          <w:p w14:paraId="6B716263" w14:textId="77777777" w:rsidR="00F94F86" w:rsidRPr="00542CEF" w:rsidRDefault="00F94F86" w:rsidP="00CB243F">
            <w:pPr>
              <w:pStyle w:val="TableText"/>
              <w:rPr>
                <w:rFonts w:eastAsia="Roboto"/>
                <w:b w:val="0"/>
                <w:bCs/>
              </w:rPr>
            </w:pPr>
            <w:r w:rsidRPr="00542CEF">
              <w:rPr>
                <w:rFonts w:eastAsia="Roboto"/>
              </w:rPr>
              <w:lastRenderedPageBreak/>
              <w:t>Scope</w:t>
            </w:r>
          </w:p>
        </w:tc>
        <w:tc>
          <w:tcPr>
            <w:tcW w:w="3685" w:type="dxa"/>
          </w:tcPr>
          <w:p w14:paraId="77D8599C" w14:textId="77777777" w:rsidR="00F94F86" w:rsidRPr="00CB243F" w:rsidRDefault="00F94F86" w:rsidP="00CB243F">
            <w:pPr>
              <w:pStyle w:val="TableTextbullets"/>
              <w:cnfStyle w:val="000000010000" w:firstRow="0" w:lastRow="0" w:firstColumn="0" w:lastColumn="0" w:oddVBand="0" w:evenVBand="0" w:oddHBand="0" w:evenHBand="1" w:firstRowFirstColumn="0" w:firstRowLastColumn="0" w:lastRowFirstColumn="0" w:lastRowLastColumn="0"/>
              <w:rPr>
                <w:rFonts w:eastAsia="Roboto"/>
              </w:rPr>
            </w:pPr>
            <w:r w:rsidRPr="00CB243F">
              <w:rPr>
                <w:rFonts w:eastAsia="Roboto"/>
              </w:rPr>
              <w:t>deals with specific items or services that are bought or contracted, such as medical equipment or outsourcing (purchasing) certain healthcare services</w:t>
            </w:r>
          </w:p>
        </w:tc>
        <w:tc>
          <w:tcPr>
            <w:tcW w:w="4394" w:type="dxa"/>
          </w:tcPr>
          <w:p w14:paraId="41F2BA38" w14:textId="77777777" w:rsidR="00F94F86" w:rsidRPr="00CB243F" w:rsidRDefault="00F94F86" w:rsidP="00CB243F">
            <w:pPr>
              <w:pStyle w:val="TableTextbullets"/>
              <w:cnfStyle w:val="000000010000" w:firstRow="0" w:lastRow="0" w:firstColumn="0" w:lastColumn="0" w:oddVBand="0" w:evenVBand="0" w:oddHBand="0" w:evenHBand="1" w:firstRowFirstColumn="0" w:firstRowLastColumn="0" w:lastRowFirstColumn="0" w:lastRowLastColumn="0"/>
              <w:rPr>
                <w:rFonts w:eastAsia="Roboto"/>
              </w:rPr>
            </w:pPr>
            <w:r w:rsidRPr="00CB243F">
              <w:rPr>
                <w:rFonts w:eastAsia="Roboto"/>
              </w:rPr>
              <w:t>encompasses the planning and coordination of a wide range of healthcare services, including primary care, specialty care, preventive services and public health initiatives</w:t>
            </w:r>
          </w:p>
        </w:tc>
      </w:tr>
      <w:tr w:rsidR="00F94F86" w:rsidRPr="00B65F7F" w14:paraId="759B2679" w14:textId="77777777" w:rsidTr="00090E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Pr>
          <w:p w14:paraId="5BC29747" w14:textId="77777777" w:rsidR="00F94F86" w:rsidRPr="00542CEF" w:rsidRDefault="00F94F86" w:rsidP="00CB243F">
            <w:pPr>
              <w:pStyle w:val="TableText"/>
              <w:rPr>
                <w:rFonts w:eastAsia="Roboto"/>
                <w:b w:val="0"/>
                <w:bCs/>
              </w:rPr>
            </w:pPr>
            <w:r w:rsidRPr="00542CEF">
              <w:rPr>
                <w:rFonts w:eastAsia="Roboto"/>
              </w:rPr>
              <w:t>Providers and suppliers</w:t>
            </w:r>
          </w:p>
        </w:tc>
        <w:tc>
          <w:tcPr>
            <w:tcW w:w="3685" w:type="dxa"/>
          </w:tcPr>
          <w:p w14:paraId="53325EA0" w14:textId="77777777" w:rsidR="00F94F86" w:rsidRPr="00CB243F" w:rsidRDefault="00F94F86" w:rsidP="00CB243F">
            <w:pPr>
              <w:pStyle w:val="TableTextbullets"/>
              <w:cnfStyle w:val="000000100000" w:firstRow="0" w:lastRow="0" w:firstColumn="0" w:lastColumn="0" w:oddVBand="0" w:evenVBand="0" w:oddHBand="1" w:evenHBand="0" w:firstRowFirstColumn="0" w:firstRowLastColumn="0" w:lastRowFirstColumn="0" w:lastRowLastColumn="0"/>
              <w:rPr>
                <w:rFonts w:eastAsia="Roboto"/>
              </w:rPr>
            </w:pPr>
            <w:r w:rsidRPr="00CB243F">
              <w:rPr>
                <w:rFonts w:eastAsia="Roboto"/>
              </w:rPr>
              <w:t>involves interactions with suppliers and vendors who provide services</w:t>
            </w:r>
          </w:p>
          <w:p w14:paraId="4E65062D" w14:textId="77777777" w:rsidR="00F94F86" w:rsidRPr="00CB243F" w:rsidRDefault="00F94F86" w:rsidP="00CB243F">
            <w:pPr>
              <w:pStyle w:val="TableTextbullets"/>
              <w:cnfStyle w:val="000000100000" w:firstRow="0" w:lastRow="0" w:firstColumn="0" w:lastColumn="0" w:oddVBand="0" w:evenVBand="0" w:oddHBand="1" w:evenHBand="0" w:firstRowFirstColumn="0" w:firstRowLastColumn="0" w:lastRowFirstColumn="0" w:lastRowLastColumn="0"/>
              <w:rPr>
                <w:rFonts w:eastAsia="Roboto"/>
              </w:rPr>
            </w:pPr>
            <w:r w:rsidRPr="00CB243F">
              <w:rPr>
                <w:rFonts w:eastAsia="Roboto"/>
              </w:rPr>
              <w:t>focuses</w:t>
            </w:r>
            <w:r w:rsidRPr="00CB243F" w:rsidDel="00A069A6">
              <w:rPr>
                <w:rFonts w:eastAsia="Roboto"/>
              </w:rPr>
              <w:t xml:space="preserve"> </w:t>
            </w:r>
            <w:r w:rsidRPr="00CB243F">
              <w:rPr>
                <w:rFonts w:eastAsia="Roboto"/>
              </w:rPr>
              <w:t>on selecting the most suitable suppliers based on factors like cost, quality, and reliability</w:t>
            </w:r>
          </w:p>
        </w:tc>
        <w:tc>
          <w:tcPr>
            <w:tcW w:w="4394" w:type="dxa"/>
          </w:tcPr>
          <w:p w14:paraId="14AAD553" w14:textId="77777777" w:rsidR="00F94F86" w:rsidRPr="00CB243F" w:rsidRDefault="00F94F86" w:rsidP="00CB243F">
            <w:pPr>
              <w:pStyle w:val="TableTextbullets"/>
              <w:cnfStyle w:val="000000100000" w:firstRow="0" w:lastRow="0" w:firstColumn="0" w:lastColumn="0" w:oddVBand="0" w:evenVBand="0" w:oddHBand="1" w:evenHBand="0" w:firstRowFirstColumn="0" w:firstRowLastColumn="0" w:lastRowFirstColumn="0" w:lastRowLastColumn="0"/>
              <w:rPr>
                <w:rFonts w:eastAsia="Roboto"/>
              </w:rPr>
            </w:pPr>
            <w:r w:rsidRPr="00CB243F">
              <w:rPr>
                <w:rFonts w:eastAsia="Roboto"/>
              </w:rPr>
              <w:t>involves engagement with a diverse range of healthcare providers, including hospitals, clinics, doctors, community and public health agencies</w:t>
            </w:r>
          </w:p>
          <w:p w14:paraId="78C696FB" w14:textId="77777777" w:rsidR="00F94F86" w:rsidRPr="00CB243F" w:rsidRDefault="00F94F86" w:rsidP="00CB243F">
            <w:pPr>
              <w:pStyle w:val="TableTextbullets"/>
              <w:cnfStyle w:val="000000100000" w:firstRow="0" w:lastRow="0" w:firstColumn="0" w:lastColumn="0" w:oddVBand="0" w:evenVBand="0" w:oddHBand="1" w:evenHBand="0" w:firstRowFirstColumn="0" w:firstRowLastColumn="0" w:lastRowFirstColumn="0" w:lastRowLastColumn="0"/>
              <w:rPr>
                <w:rFonts w:eastAsia="Roboto"/>
              </w:rPr>
            </w:pPr>
            <w:r w:rsidRPr="00CB243F">
              <w:rPr>
                <w:rFonts w:eastAsia="Roboto"/>
              </w:rPr>
              <w:t>emphasises designing the healthcare response and contracting with providers to deliver specific services to a defined population</w:t>
            </w:r>
          </w:p>
        </w:tc>
      </w:tr>
      <w:tr w:rsidR="00F94F86" w:rsidRPr="00B65F7F" w14:paraId="3869BC3A" w14:textId="77777777" w:rsidTr="00090ED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Pr>
          <w:p w14:paraId="5C1FE392" w14:textId="77777777" w:rsidR="00F94F86" w:rsidRPr="00542CEF" w:rsidRDefault="00F94F86" w:rsidP="00CB243F">
            <w:pPr>
              <w:pStyle w:val="TableText"/>
              <w:rPr>
                <w:rFonts w:eastAsia="Roboto"/>
                <w:b w:val="0"/>
                <w:bCs/>
              </w:rPr>
            </w:pPr>
            <w:r w:rsidRPr="00542CEF">
              <w:rPr>
                <w:rFonts w:eastAsia="Roboto"/>
              </w:rPr>
              <w:t>Time frame</w:t>
            </w:r>
          </w:p>
        </w:tc>
        <w:tc>
          <w:tcPr>
            <w:tcW w:w="3685" w:type="dxa"/>
          </w:tcPr>
          <w:p w14:paraId="4E6A3C5E" w14:textId="77777777" w:rsidR="00F94F86" w:rsidRPr="00B65F7F" w:rsidRDefault="00F94F86" w:rsidP="00F94F86">
            <w:pPr>
              <w:pStyle w:val="TableTextbullets"/>
              <w:cnfStyle w:val="000000010000" w:firstRow="0" w:lastRow="0" w:firstColumn="0" w:lastColumn="0" w:oddVBand="0" w:evenVBand="0" w:oddHBand="0" w:evenHBand="1" w:firstRowFirstColumn="0" w:firstRowLastColumn="0" w:lastRowFirstColumn="0" w:lastRowLastColumn="0"/>
              <w:rPr>
                <w:rFonts w:eastAsia="Roboto"/>
              </w:rPr>
            </w:pPr>
            <w:r w:rsidRPr="00B65F7F">
              <w:rPr>
                <w:rFonts w:eastAsia="Roboto"/>
              </w:rPr>
              <w:t>is often a shorter term process, with a focus on obtaining specific services (or goods)</w:t>
            </w:r>
          </w:p>
        </w:tc>
        <w:tc>
          <w:tcPr>
            <w:tcW w:w="4394" w:type="dxa"/>
          </w:tcPr>
          <w:p w14:paraId="5C9AC44E" w14:textId="77777777" w:rsidR="00F94F86" w:rsidRPr="00B65F7F" w:rsidRDefault="00F94F86" w:rsidP="00F94F86">
            <w:pPr>
              <w:pStyle w:val="TableTextbullets"/>
              <w:cnfStyle w:val="000000010000" w:firstRow="0" w:lastRow="0" w:firstColumn="0" w:lastColumn="0" w:oddVBand="0" w:evenVBand="0" w:oddHBand="0" w:evenHBand="1" w:firstRowFirstColumn="0" w:firstRowLastColumn="0" w:lastRowFirstColumn="0" w:lastRowLastColumn="0"/>
              <w:rPr>
                <w:rFonts w:eastAsia="Roboto"/>
              </w:rPr>
            </w:pPr>
            <w:r w:rsidRPr="00B65F7F">
              <w:rPr>
                <w:rFonts w:eastAsia="Roboto"/>
              </w:rPr>
              <w:t>is a more long-term and ongoing process that involves strategic planning, implementation and continuous monitoring and improvement of healthcare services over an extended period</w:t>
            </w:r>
          </w:p>
        </w:tc>
      </w:tr>
      <w:tr w:rsidR="00F94F86" w:rsidRPr="00B65F7F" w14:paraId="141D451A" w14:textId="77777777" w:rsidTr="00090E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Pr>
          <w:p w14:paraId="4B66D962" w14:textId="77777777" w:rsidR="00F94F86" w:rsidRPr="00542CEF" w:rsidRDefault="00F94F86" w:rsidP="00CB243F">
            <w:pPr>
              <w:pStyle w:val="TableText"/>
              <w:rPr>
                <w:rFonts w:eastAsia="Roboto"/>
                <w:b w:val="0"/>
                <w:bCs/>
              </w:rPr>
            </w:pPr>
            <w:r w:rsidRPr="00542CEF">
              <w:rPr>
                <w:rFonts w:eastAsia="Roboto"/>
              </w:rPr>
              <w:t>Outcomes</w:t>
            </w:r>
          </w:p>
        </w:tc>
        <w:tc>
          <w:tcPr>
            <w:tcW w:w="3685" w:type="dxa"/>
          </w:tcPr>
          <w:p w14:paraId="43AE560C" w14:textId="77777777" w:rsidR="00F94F86" w:rsidRPr="00B65F7F" w:rsidRDefault="00F94F86" w:rsidP="00F94F86">
            <w:pPr>
              <w:pStyle w:val="TableTextbullets"/>
              <w:cnfStyle w:val="000000100000" w:firstRow="0" w:lastRow="0" w:firstColumn="0" w:lastColumn="0" w:oddVBand="0" w:evenVBand="0" w:oddHBand="1" w:evenHBand="0" w:firstRowFirstColumn="0" w:firstRowLastColumn="0" w:lastRowFirstColumn="0" w:lastRowLastColumn="0"/>
              <w:rPr>
                <w:rFonts w:eastAsia="Roboto"/>
              </w:rPr>
            </w:pPr>
            <w:r w:rsidRPr="00B65F7F">
              <w:rPr>
                <w:rFonts w:eastAsia="Roboto"/>
              </w:rPr>
              <w:t>has the acquisition of services (or goods) in an efficient manner as the primary outcome</w:t>
            </w:r>
          </w:p>
        </w:tc>
        <w:tc>
          <w:tcPr>
            <w:tcW w:w="4394" w:type="dxa"/>
          </w:tcPr>
          <w:p w14:paraId="1227F536" w14:textId="77777777" w:rsidR="00F94F86" w:rsidRPr="00B65F7F" w:rsidRDefault="00F94F86" w:rsidP="00F94F86">
            <w:pPr>
              <w:pStyle w:val="TableTextbullets"/>
              <w:cnfStyle w:val="000000100000" w:firstRow="0" w:lastRow="0" w:firstColumn="0" w:lastColumn="0" w:oddVBand="0" w:evenVBand="0" w:oddHBand="1" w:evenHBand="0" w:firstRowFirstColumn="0" w:firstRowLastColumn="0" w:lastRowFirstColumn="0" w:lastRowLastColumn="0"/>
              <w:rPr>
                <w:rFonts w:eastAsia="Roboto"/>
              </w:rPr>
            </w:pPr>
            <w:r w:rsidRPr="00B65F7F">
              <w:rPr>
                <w:rFonts w:eastAsia="Roboto"/>
              </w:rPr>
              <w:t>has improved healthcare access and quality for a defined population as the primary outcomes</w:t>
            </w:r>
          </w:p>
          <w:p w14:paraId="21F6CCD8" w14:textId="77777777" w:rsidR="00F94F86" w:rsidRPr="00B65F7F" w:rsidRDefault="00F94F86" w:rsidP="00F94F86">
            <w:pPr>
              <w:pStyle w:val="TableTextbullets"/>
              <w:cnfStyle w:val="000000100000" w:firstRow="0" w:lastRow="0" w:firstColumn="0" w:lastColumn="0" w:oddVBand="0" w:evenVBand="0" w:oddHBand="1" w:evenHBand="0" w:firstRowFirstColumn="0" w:firstRowLastColumn="0" w:lastRowFirstColumn="0" w:lastRowLastColumn="0"/>
              <w:rPr>
                <w:rFonts w:eastAsia="Roboto"/>
              </w:rPr>
            </w:pPr>
            <w:r w:rsidRPr="00B65F7F">
              <w:rPr>
                <w:rFonts w:eastAsia="Roboto"/>
              </w:rPr>
              <w:t>aims to ensure that healthcare services are delivered in a way that meets the needs and preferences of patients and the community</w:t>
            </w:r>
          </w:p>
        </w:tc>
      </w:tr>
    </w:tbl>
    <w:p w14:paraId="41F0A6A0" w14:textId="430126F1" w:rsidR="00F94F86" w:rsidRPr="009D0DF0" w:rsidRDefault="00A30373" w:rsidP="00A237F8">
      <w:pPr>
        <w:pStyle w:val="CaptionBox"/>
      </w:pPr>
      <w:bookmarkStart w:id="199" w:name="_Toc145617788"/>
      <w:bookmarkStart w:id="200" w:name="_Toc156932062"/>
      <w:r>
        <w:t>Box A4.</w:t>
      </w:r>
      <w:r>
        <w:fldChar w:fldCharType="begin"/>
      </w:r>
      <w:r>
        <w:instrText xml:space="preserve"> SEQ Box_App4 \* ARABIC </w:instrText>
      </w:r>
      <w:r>
        <w:fldChar w:fldCharType="separate"/>
      </w:r>
      <w:r w:rsidR="00934D5E">
        <w:rPr>
          <w:noProof/>
        </w:rPr>
        <w:t>1</w:t>
      </w:r>
      <w:r>
        <w:fldChar w:fldCharType="end"/>
      </w:r>
      <w:r>
        <w:t xml:space="preserve">: </w:t>
      </w:r>
      <w:r w:rsidR="00F94F86" w:rsidRPr="009D0DF0">
        <w:t>Procurement compared with commissioning at PHNs</w:t>
      </w:r>
      <w:bookmarkEnd w:id="199"/>
      <w:bookmarkEnd w:id="200"/>
      <w:r w:rsidR="00F94F86" w:rsidRPr="009D0DF0">
        <w:t xml:space="preserve"> </w:t>
      </w:r>
    </w:p>
    <w:tbl>
      <w:tblPr>
        <w:tblStyle w:val="NintiBox"/>
        <w:tblW w:w="9634" w:type="dxa"/>
        <w:tblLayout w:type="fixed"/>
        <w:tblLook w:val="0620" w:firstRow="1" w:lastRow="0" w:firstColumn="0" w:lastColumn="0" w:noHBand="1" w:noVBand="1"/>
      </w:tblPr>
      <w:tblGrid>
        <w:gridCol w:w="9634"/>
      </w:tblGrid>
      <w:tr w:rsidR="00F94F86" w:rsidRPr="00B65F7F" w14:paraId="6FE61F06" w14:textId="77777777" w:rsidTr="0067319F">
        <w:tc>
          <w:tcPr>
            <w:tcW w:w="9634" w:type="dxa"/>
          </w:tcPr>
          <w:p w14:paraId="48351A19" w14:textId="77777777" w:rsidR="00F94F86" w:rsidRPr="00B65F7F" w:rsidRDefault="00F94F86" w:rsidP="00CB243F">
            <w:pPr>
              <w:pStyle w:val="BodyText"/>
            </w:pPr>
            <w:r w:rsidRPr="00B65F7F">
              <w:t xml:space="preserve">PHNs are generally considered to be commissioning bodies. However, when considered in the context of commissioning (above), PHNs are better described as using both procurement and commissioning methodologies. This is evident for the Relevant Health Programs, whereby: </w:t>
            </w:r>
          </w:p>
          <w:p w14:paraId="3836FFFB" w14:textId="77777777" w:rsidR="00F94F86" w:rsidRPr="00B65F7F" w:rsidRDefault="00F94F86" w:rsidP="00CB243F">
            <w:pPr>
              <w:pStyle w:val="ListBullet2"/>
              <w:rPr>
                <w:rFonts w:eastAsia="Roboto"/>
              </w:rPr>
            </w:pPr>
            <w:r>
              <w:rPr>
                <w:rFonts w:eastAsia="Roboto"/>
              </w:rPr>
              <w:t>Aboriginal and/or Torres Strait Islander</w:t>
            </w:r>
            <w:r w:rsidRPr="00B65F7F">
              <w:rPr>
                <w:rFonts w:eastAsia="Roboto"/>
              </w:rPr>
              <w:t xml:space="preserve"> mental health and suicide prevention programs are a hybrid between procurement and commissioning, as for some of these programs PHNs have the flexibility to determine which services are best to meet the needs of the communities they serve, while for others the guidelines are pre-determined by </w:t>
            </w:r>
            <w:r w:rsidR="00840E8D">
              <w:rPr>
                <w:rFonts w:eastAsia="Roboto"/>
              </w:rPr>
              <w:t>DoHAC</w:t>
            </w:r>
            <w:r w:rsidRPr="00B65F7F">
              <w:rPr>
                <w:rFonts w:eastAsia="Roboto"/>
              </w:rPr>
              <w:t>.</w:t>
            </w:r>
          </w:p>
          <w:p w14:paraId="3107244A" w14:textId="77777777" w:rsidR="00F94F86" w:rsidRPr="00B65F7F" w:rsidRDefault="00F94F86" w:rsidP="00CB243F">
            <w:pPr>
              <w:pStyle w:val="ListBullet2"/>
              <w:rPr>
                <w:rFonts w:eastAsia="Roboto"/>
              </w:rPr>
            </w:pPr>
            <w:r w:rsidRPr="00B65F7F">
              <w:rPr>
                <w:rFonts w:eastAsia="Roboto"/>
              </w:rPr>
              <w:t xml:space="preserve">ITC programs are closer to procurement, as the guidelines that are set by </w:t>
            </w:r>
            <w:r w:rsidR="00840E8D">
              <w:rPr>
                <w:rFonts w:eastAsia="Roboto"/>
              </w:rPr>
              <w:t>DoHAC</w:t>
            </w:r>
            <w:r w:rsidRPr="00B65F7F">
              <w:rPr>
                <w:rFonts w:eastAsia="Roboto"/>
              </w:rPr>
              <w:t xml:space="preserve"> are restrictive and pre-determine the nature of the services to be purchased by PHNs. </w:t>
            </w:r>
          </w:p>
          <w:p w14:paraId="1EC7149C" w14:textId="11E5C396" w:rsidR="00F94F86" w:rsidRPr="00B65F7F" w:rsidRDefault="00F94F86" w:rsidP="004E19C0">
            <w:pPr>
              <w:pStyle w:val="BodyText1stparaafterlist"/>
            </w:pPr>
            <w:r w:rsidRPr="00CB243F">
              <w:rPr>
                <w:b/>
                <w:bCs/>
              </w:rPr>
              <w:t xml:space="preserve">Why this is important in the context of the </w:t>
            </w:r>
            <w:r w:rsidR="002B031B">
              <w:rPr>
                <w:b/>
                <w:bCs/>
              </w:rPr>
              <w:t>R</w:t>
            </w:r>
            <w:r w:rsidRPr="00CB243F">
              <w:rPr>
                <w:b/>
                <w:bCs/>
              </w:rPr>
              <w:t>eview</w:t>
            </w:r>
            <w:r w:rsidR="004E19C0">
              <w:rPr>
                <w:b/>
                <w:bCs/>
              </w:rPr>
              <w:t xml:space="preserve">: </w:t>
            </w:r>
            <w:r w:rsidRPr="00B65F7F">
              <w:t xml:space="preserve">Drawing on the activities and processes involved in the procurement and commissioning of services, the </w:t>
            </w:r>
            <w:r w:rsidR="002B031B">
              <w:t>R</w:t>
            </w:r>
            <w:r w:rsidRPr="00B65F7F">
              <w:t xml:space="preserve">eview has identified the most common activities and processes present across these (and other) purchasing arrangements. It is these activities and processes that are used to describe the future-state funding arrangements </w:t>
            </w:r>
            <w:r>
              <w:t xml:space="preserve">in </w:t>
            </w:r>
            <w:r w:rsidR="009811ED">
              <w:fldChar w:fldCharType="begin"/>
            </w:r>
            <w:r w:rsidR="009811ED">
              <w:instrText xml:space="preserve"> REF Chapter3_withtitle \r \h </w:instrText>
            </w:r>
            <w:r w:rsidR="009811ED">
              <w:fldChar w:fldCharType="separate"/>
            </w:r>
            <w:r w:rsidR="00934D5E">
              <w:t>Chapter 3</w:t>
            </w:r>
            <w:r w:rsidR="009811ED">
              <w:fldChar w:fldCharType="end"/>
            </w:r>
            <w:r w:rsidRPr="00B65F7F">
              <w:t xml:space="preserve"> of this report. </w:t>
            </w:r>
          </w:p>
          <w:p w14:paraId="566E597F" w14:textId="77777777" w:rsidR="00F94F86" w:rsidRPr="00CB243F" w:rsidRDefault="00F94F86" w:rsidP="00CB243F">
            <w:pPr>
              <w:pStyle w:val="BodyText1stparaafterlist"/>
              <w:rPr>
                <w:b/>
                <w:bCs/>
              </w:rPr>
            </w:pPr>
            <w:r w:rsidRPr="00CB243F">
              <w:rPr>
                <w:b/>
                <w:bCs/>
              </w:rPr>
              <w:t>The identified funding activities and sub-activities of various funding arrangements</w:t>
            </w:r>
          </w:p>
          <w:p w14:paraId="626C3926" w14:textId="77777777" w:rsidR="00F94F86" w:rsidRPr="00CB243F" w:rsidRDefault="00F94F86" w:rsidP="00CB243F">
            <w:pPr>
              <w:pStyle w:val="BodyText1stparaafterlist"/>
              <w:rPr>
                <w:b/>
                <w:bCs/>
                <w:i/>
                <w:iCs/>
              </w:rPr>
            </w:pPr>
            <w:r w:rsidRPr="00CB243F">
              <w:rPr>
                <w:b/>
                <w:bCs/>
                <w:i/>
                <w:iCs/>
              </w:rPr>
              <w:t>Understanding community needs</w:t>
            </w:r>
            <w:r w:rsidR="005A7833" w:rsidRPr="00CB243F">
              <w:rPr>
                <w:b/>
                <w:bCs/>
                <w:i/>
                <w:iCs/>
              </w:rPr>
              <w:t xml:space="preserve"> and priorities</w:t>
            </w:r>
          </w:p>
          <w:p w14:paraId="6CD942BD" w14:textId="77777777" w:rsidR="00F94F86" w:rsidRPr="00B65F7F" w:rsidRDefault="00F94F86" w:rsidP="00CB243F">
            <w:pPr>
              <w:pStyle w:val="ListBullet2"/>
              <w:rPr>
                <w:rFonts w:eastAsia="Roboto"/>
              </w:rPr>
            </w:pPr>
            <w:r w:rsidRPr="00B65F7F">
              <w:rPr>
                <w:rFonts w:eastAsia="Roboto"/>
              </w:rPr>
              <w:t>Identifying the need/opportunity</w:t>
            </w:r>
          </w:p>
          <w:p w14:paraId="65E247FD" w14:textId="77777777" w:rsidR="00F94F86" w:rsidRPr="00B65F7F" w:rsidRDefault="00F94F86" w:rsidP="00CB243F">
            <w:pPr>
              <w:pStyle w:val="ListBullet2"/>
              <w:rPr>
                <w:rFonts w:eastAsia="Roboto"/>
              </w:rPr>
            </w:pPr>
            <w:r w:rsidRPr="00B65F7F">
              <w:rPr>
                <w:rFonts w:eastAsia="Roboto"/>
              </w:rPr>
              <w:t>Understanding service and sector capabilities and restraints</w:t>
            </w:r>
          </w:p>
          <w:p w14:paraId="34F0B45D" w14:textId="77777777" w:rsidR="00F94F86" w:rsidRPr="00B65F7F" w:rsidRDefault="00F94F86" w:rsidP="00CB243F">
            <w:pPr>
              <w:pStyle w:val="ListBullet2"/>
              <w:rPr>
                <w:rFonts w:eastAsia="Roboto"/>
              </w:rPr>
            </w:pPr>
            <w:r w:rsidRPr="00B65F7F">
              <w:rPr>
                <w:rFonts w:eastAsia="Roboto"/>
              </w:rPr>
              <w:t>Developing and articulating the case for funding</w:t>
            </w:r>
          </w:p>
          <w:p w14:paraId="11442C81" w14:textId="77777777" w:rsidR="00F94F86" w:rsidRPr="00CB243F" w:rsidRDefault="00F94F86" w:rsidP="00CB243F">
            <w:pPr>
              <w:pStyle w:val="BodyText1stparaafterlist"/>
              <w:rPr>
                <w:b/>
                <w:bCs/>
                <w:i/>
                <w:iCs/>
              </w:rPr>
            </w:pPr>
            <w:r w:rsidRPr="00CB243F">
              <w:rPr>
                <w:b/>
                <w:bCs/>
                <w:i/>
                <w:iCs/>
              </w:rPr>
              <w:t>Meeting community needs</w:t>
            </w:r>
            <w:r w:rsidR="005A7833" w:rsidRPr="00CB243F">
              <w:rPr>
                <w:b/>
                <w:bCs/>
                <w:i/>
                <w:iCs/>
              </w:rPr>
              <w:t xml:space="preserve"> and priorities</w:t>
            </w:r>
          </w:p>
          <w:p w14:paraId="7F6C06BC" w14:textId="77777777" w:rsidR="00F94F86" w:rsidRPr="00B65F7F" w:rsidRDefault="00F94F86" w:rsidP="00CB243F">
            <w:pPr>
              <w:pStyle w:val="ListBullet2"/>
              <w:rPr>
                <w:rFonts w:eastAsia="Roboto"/>
              </w:rPr>
            </w:pPr>
            <w:r w:rsidRPr="00B65F7F">
              <w:rPr>
                <w:rFonts w:eastAsia="Roboto"/>
              </w:rPr>
              <w:t xml:space="preserve">Determining the overall funding </w:t>
            </w:r>
            <w:r>
              <w:rPr>
                <w:rFonts w:eastAsia="Roboto"/>
              </w:rPr>
              <w:t>amount</w:t>
            </w:r>
          </w:p>
          <w:p w14:paraId="6E4B4B23" w14:textId="77777777" w:rsidR="00F94F86" w:rsidRPr="00B65F7F" w:rsidRDefault="00F94F86" w:rsidP="00CB243F">
            <w:pPr>
              <w:pStyle w:val="ListBullet2"/>
              <w:rPr>
                <w:rFonts w:eastAsia="Roboto"/>
              </w:rPr>
            </w:pPr>
            <w:r w:rsidRPr="00B65F7F">
              <w:rPr>
                <w:rFonts w:eastAsia="Roboto"/>
              </w:rPr>
              <w:t>Assessing and determining funds for each community, based on needs</w:t>
            </w:r>
          </w:p>
          <w:p w14:paraId="598E6CAF" w14:textId="77777777" w:rsidR="00F94F86" w:rsidRPr="00B65F7F" w:rsidRDefault="00F94F86" w:rsidP="00CB243F">
            <w:pPr>
              <w:pStyle w:val="ListBullet2"/>
              <w:rPr>
                <w:rFonts w:eastAsia="Roboto"/>
              </w:rPr>
            </w:pPr>
            <w:r w:rsidRPr="00B65F7F">
              <w:rPr>
                <w:rFonts w:eastAsia="Roboto"/>
              </w:rPr>
              <w:lastRenderedPageBreak/>
              <w:t>Determining requirements and scope of the broad program (not at individual provider level)</w:t>
            </w:r>
          </w:p>
          <w:p w14:paraId="47EC4FDD" w14:textId="77777777" w:rsidR="00F94F86" w:rsidRPr="00B65F7F" w:rsidRDefault="00F94F86" w:rsidP="00CB243F">
            <w:pPr>
              <w:pStyle w:val="ListBullet2"/>
              <w:rPr>
                <w:rFonts w:eastAsia="Roboto"/>
              </w:rPr>
            </w:pPr>
            <w:r w:rsidRPr="00B65F7F">
              <w:rPr>
                <w:rFonts w:eastAsia="Roboto"/>
              </w:rPr>
              <w:t>Determining the procurement method/strategy</w:t>
            </w:r>
          </w:p>
          <w:p w14:paraId="4FC0A667" w14:textId="77777777" w:rsidR="00F94F86" w:rsidRPr="00B65F7F" w:rsidRDefault="00F94F86" w:rsidP="00CB243F">
            <w:pPr>
              <w:pStyle w:val="ListBullet2"/>
              <w:rPr>
                <w:rFonts w:eastAsia="Roboto"/>
              </w:rPr>
            </w:pPr>
            <w:r w:rsidRPr="00B65F7F">
              <w:rPr>
                <w:rFonts w:eastAsia="Roboto"/>
              </w:rPr>
              <w:t>Preparing to approach the market, including determining contract characteristics</w:t>
            </w:r>
          </w:p>
          <w:p w14:paraId="2CBCA472" w14:textId="77777777" w:rsidR="00F94F86" w:rsidRPr="00B65F7F" w:rsidRDefault="00F94F86" w:rsidP="00CB243F">
            <w:pPr>
              <w:pStyle w:val="ListBullet2"/>
              <w:rPr>
                <w:rFonts w:eastAsia="Roboto"/>
              </w:rPr>
            </w:pPr>
            <w:r w:rsidRPr="00B65F7F">
              <w:rPr>
                <w:rFonts w:eastAsia="Roboto"/>
              </w:rPr>
              <w:t>Designing service response</w:t>
            </w:r>
          </w:p>
          <w:p w14:paraId="5BFD79E3" w14:textId="77777777" w:rsidR="00F94F86" w:rsidRPr="00B65F7F" w:rsidRDefault="00F94F86" w:rsidP="00CB243F">
            <w:pPr>
              <w:pStyle w:val="ListBullet2"/>
              <w:rPr>
                <w:rFonts w:eastAsia="Roboto"/>
              </w:rPr>
            </w:pPr>
            <w:r w:rsidRPr="00B65F7F">
              <w:rPr>
                <w:rFonts w:eastAsia="Roboto"/>
              </w:rPr>
              <w:t>Approaching the market</w:t>
            </w:r>
          </w:p>
          <w:p w14:paraId="2639D674" w14:textId="77777777" w:rsidR="00F94F86" w:rsidRPr="00B65F7F" w:rsidRDefault="00F94F86" w:rsidP="00CB243F">
            <w:pPr>
              <w:pStyle w:val="ListBullet2"/>
              <w:rPr>
                <w:rFonts w:eastAsia="Roboto"/>
              </w:rPr>
            </w:pPr>
            <w:r w:rsidRPr="00B65F7F">
              <w:rPr>
                <w:rFonts w:eastAsia="Roboto"/>
              </w:rPr>
              <w:t>Evaluating submissions and selecting provider/s</w:t>
            </w:r>
          </w:p>
          <w:p w14:paraId="13E4E394" w14:textId="77777777" w:rsidR="00F94F86" w:rsidRPr="00CB243F" w:rsidRDefault="00F94F86" w:rsidP="00CB243F">
            <w:pPr>
              <w:pStyle w:val="BodyText1stparaafterlist"/>
              <w:rPr>
                <w:b/>
                <w:bCs/>
              </w:rPr>
            </w:pPr>
            <w:r w:rsidRPr="00CB243F">
              <w:rPr>
                <w:b/>
                <w:bCs/>
              </w:rPr>
              <w:t>Monitoring and evaluation</w:t>
            </w:r>
          </w:p>
          <w:p w14:paraId="4EFB6A86" w14:textId="77777777" w:rsidR="00F94F86" w:rsidRPr="00B65F7F" w:rsidRDefault="00F94F86" w:rsidP="00CB243F">
            <w:pPr>
              <w:pStyle w:val="ListBullet2"/>
              <w:rPr>
                <w:rFonts w:eastAsia="Roboto"/>
              </w:rPr>
            </w:pPr>
            <w:r w:rsidRPr="00B65F7F">
              <w:rPr>
                <w:rFonts w:eastAsia="Roboto"/>
              </w:rPr>
              <w:t>Determining key performance indicators (KPIs) and other reporting requirements (placed on provider)</w:t>
            </w:r>
          </w:p>
          <w:p w14:paraId="1E3274A4" w14:textId="77777777" w:rsidR="00F94F86" w:rsidRPr="00B65F7F" w:rsidRDefault="00F94F86" w:rsidP="00CB243F">
            <w:pPr>
              <w:pStyle w:val="ListBullet2"/>
              <w:rPr>
                <w:rFonts w:eastAsia="Roboto"/>
              </w:rPr>
            </w:pPr>
            <w:r w:rsidRPr="00B65F7F">
              <w:rPr>
                <w:rFonts w:eastAsia="Roboto"/>
              </w:rPr>
              <w:t>Reporting of KPIs and other measures</w:t>
            </w:r>
          </w:p>
          <w:p w14:paraId="10B188E1" w14:textId="77777777" w:rsidR="00F94F86" w:rsidRPr="00B65F7F" w:rsidRDefault="00F94F86" w:rsidP="00CB243F">
            <w:pPr>
              <w:pStyle w:val="ListBullet2"/>
              <w:rPr>
                <w:rFonts w:eastAsia="Roboto"/>
              </w:rPr>
            </w:pPr>
            <w:r w:rsidRPr="00B65F7F">
              <w:rPr>
                <w:rFonts w:eastAsia="Roboto"/>
              </w:rPr>
              <w:t>Managing contract deliverables</w:t>
            </w:r>
          </w:p>
          <w:p w14:paraId="05DCD64A" w14:textId="77777777" w:rsidR="00F94F86" w:rsidRPr="00B65F7F" w:rsidRDefault="00F94F86" w:rsidP="00CB243F">
            <w:pPr>
              <w:pStyle w:val="ListBullet2"/>
              <w:rPr>
                <w:rFonts w:eastAsia="Roboto"/>
              </w:rPr>
            </w:pPr>
            <w:r w:rsidRPr="00B65F7F">
              <w:rPr>
                <w:rFonts w:eastAsia="Roboto"/>
              </w:rPr>
              <w:t>Evaluating efficacy of program</w:t>
            </w:r>
          </w:p>
          <w:p w14:paraId="0415915B" w14:textId="77777777" w:rsidR="00F94F86" w:rsidRPr="00CB243F" w:rsidRDefault="00F94F86" w:rsidP="00CB243F">
            <w:pPr>
              <w:pStyle w:val="BodyText1stparaafterlist"/>
              <w:rPr>
                <w:b/>
                <w:bCs/>
              </w:rPr>
            </w:pPr>
            <w:r w:rsidRPr="00CB243F">
              <w:rPr>
                <w:b/>
                <w:bCs/>
              </w:rPr>
              <w:t>Service sector strengthening</w:t>
            </w:r>
          </w:p>
          <w:p w14:paraId="4A75F393" w14:textId="77777777" w:rsidR="00F94F86" w:rsidRPr="00B65F7F" w:rsidRDefault="00F94F86" w:rsidP="00CB243F">
            <w:pPr>
              <w:pStyle w:val="ListBullet2"/>
              <w:rPr>
                <w:rFonts w:eastAsia="Roboto"/>
              </w:rPr>
            </w:pPr>
            <w:r w:rsidRPr="00B65F7F">
              <w:rPr>
                <w:rFonts w:eastAsia="Roboto"/>
              </w:rPr>
              <w:t>Building service workforce capacity and capability</w:t>
            </w:r>
          </w:p>
          <w:p w14:paraId="2A0E2BFD" w14:textId="77777777" w:rsidR="00F94F86" w:rsidRPr="00B65F7F" w:rsidRDefault="00F94F86" w:rsidP="00CB243F">
            <w:pPr>
              <w:pStyle w:val="ListBullet2"/>
              <w:rPr>
                <w:rFonts w:eastAsia="Roboto"/>
              </w:rPr>
            </w:pPr>
            <w:r w:rsidRPr="00B65F7F">
              <w:rPr>
                <w:rFonts w:eastAsia="Roboto"/>
              </w:rPr>
              <w:t>Building funder capacity and capability</w:t>
            </w:r>
          </w:p>
          <w:p w14:paraId="7CBA5DBA" w14:textId="77777777" w:rsidR="00F94F86" w:rsidRPr="00B65F7F" w:rsidRDefault="00F94F86" w:rsidP="00CB243F">
            <w:pPr>
              <w:pStyle w:val="ListBullet2"/>
              <w:rPr>
                <w:rFonts w:eastAsia="Roboto"/>
              </w:rPr>
            </w:pPr>
            <w:r w:rsidRPr="00B65F7F">
              <w:rPr>
                <w:rFonts w:eastAsia="Roboto"/>
              </w:rPr>
              <w:t>Building and strengthening governance mechanisms</w:t>
            </w:r>
          </w:p>
          <w:p w14:paraId="14AA9A17" w14:textId="77777777" w:rsidR="00F94F86" w:rsidRPr="00B65F7F" w:rsidRDefault="00F94F86" w:rsidP="00CB243F">
            <w:pPr>
              <w:pStyle w:val="ListBullet2"/>
              <w:rPr>
                <w:rFonts w:eastAsia="Roboto"/>
              </w:rPr>
            </w:pPr>
            <w:r w:rsidRPr="00B65F7F">
              <w:rPr>
                <w:rFonts w:eastAsia="Roboto"/>
              </w:rPr>
              <w:t>Enhancing the cultural safety of non-Indigenous service providers</w:t>
            </w:r>
          </w:p>
        </w:tc>
      </w:tr>
    </w:tbl>
    <w:p w14:paraId="6A410BA2" w14:textId="36028AC0" w:rsidR="00F94F86" w:rsidRPr="00B65F7F" w:rsidRDefault="00A30373" w:rsidP="00A237F8">
      <w:pPr>
        <w:pStyle w:val="CaptionBox"/>
      </w:pPr>
      <w:bookmarkStart w:id="201" w:name="_Toc145617789"/>
      <w:bookmarkStart w:id="202" w:name="_Toc156932063"/>
      <w:r>
        <w:lastRenderedPageBreak/>
        <w:t>Box A4.</w:t>
      </w:r>
      <w:r>
        <w:fldChar w:fldCharType="begin"/>
      </w:r>
      <w:r>
        <w:instrText xml:space="preserve"> SEQ Box_App4 \* ARABIC </w:instrText>
      </w:r>
      <w:r>
        <w:fldChar w:fldCharType="separate"/>
      </w:r>
      <w:r w:rsidR="00934D5E">
        <w:rPr>
          <w:noProof/>
        </w:rPr>
        <w:t>2</w:t>
      </w:r>
      <w:r>
        <w:fldChar w:fldCharType="end"/>
      </w:r>
      <w:r w:rsidR="00F94F86" w:rsidRPr="00B65F7F">
        <w:t xml:space="preserve">: Using the insights from the literature review to inform the </w:t>
      </w:r>
      <w:r w:rsidR="002B031B">
        <w:t>R</w:t>
      </w:r>
      <w:r w:rsidR="00F94F86" w:rsidRPr="00B65F7F">
        <w:t>eview</w:t>
      </w:r>
      <w:bookmarkEnd w:id="201"/>
      <w:bookmarkEnd w:id="202"/>
      <w:r w:rsidR="00F94F86" w:rsidRPr="00B65F7F">
        <w:t xml:space="preserve"> </w:t>
      </w:r>
    </w:p>
    <w:tbl>
      <w:tblPr>
        <w:tblStyle w:val="NintiBox"/>
        <w:tblW w:w="9634" w:type="dxa"/>
        <w:tblLayout w:type="fixed"/>
        <w:tblLook w:val="0620" w:firstRow="1" w:lastRow="0" w:firstColumn="0" w:lastColumn="0" w:noHBand="1" w:noVBand="1"/>
      </w:tblPr>
      <w:tblGrid>
        <w:gridCol w:w="9634"/>
      </w:tblGrid>
      <w:tr w:rsidR="00F94F86" w:rsidRPr="00B65F7F" w14:paraId="25772E3A" w14:textId="77777777" w:rsidTr="0067319F">
        <w:tc>
          <w:tcPr>
            <w:tcW w:w="9634" w:type="dxa"/>
          </w:tcPr>
          <w:p w14:paraId="5C68399D" w14:textId="1D06DE11" w:rsidR="00F94F86" w:rsidRPr="00B65F7F" w:rsidRDefault="00F94F86" w:rsidP="00CB243F">
            <w:pPr>
              <w:pStyle w:val="BodyText"/>
            </w:pPr>
            <w:r w:rsidRPr="00B65F7F">
              <w:t xml:space="preserve">The insights gained from the analysis of the approaches to funding health services arrangements were used throughout the course of the </w:t>
            </w:r>
            <w:r w:rsidR="002B031B">
              <w:t>R</w:t>
            </w:r>
            <w:r w:rsidRPr="00B65F7F">
              <w:t>eview to inform the way consultations were undertaken, the structuring of the findings (</w:t>
            </w:r>
            <w:r w:rsidRPr="00B65F7F">
              <w:fldChar w:fldCharType="begin"/>
            </w:r>
            <w:r w:rsidRPr="00B65F7F">
              <w:instrText xml:space="preserve"> REF Ch4FinalInsights \h  \* MERGEFORMAT </w:instrText>
            </w:r>
            <w:r w:rsidRPr="00B65F7F">
              <w:fldChar w:fldCharType="separate"/>
            </w:r>
            <w:r w:rsidR="00934D5E">
              <w:t xml:space="preserve">A4.3 </w:t>
            </w:r>
            <w:r w:rsidR="00934D5E" w:rsidRPr="00B65F7F">
              <w:t>Final insights</w:t>
            </w:r>
            <w:r w:rsidRPr="00B65F7F">
              <w:fldChar w:fldCharType="end"/>
            </w:r>
            <w:r w:rsidRPr="00B65F7F">
              <w:t>), and as an input into the design of the preferred future-state funding arrangements</w:t>
            </w:r>
            <w:r>
              <w:t xml:space="preserve"> (</w:t>
            </w:r>
            <w:r w:rsidR="00BB32F5">
              <w:fldChar w:fldCharType="begin"/>
            </w:r>
            <w:r w:rsidR="00BB32F5">
              <w:instrText xml:space="preserve"> REF Chapter3_withtitle \r \h </w:instrText>
            </w:r>
            <w:r w:rsidR="00BB32F5">
              <w:fldChar w:fldCharType="separate"/>
            </w:r>
            <w:r w:rsidR="00934D5E">
              <w:t>Chapter 3</w:t>
            </w:r>
            <w:r w:rsidR="00BB32F5">
              <w:fldChar w:fldCharType="end"/>
            </w:r>
            <w:r w:rsidRPr="00B65F7F">
              <w:t xml:space="preserve">). </w:t>
            </w:r>
          </w:p>
        </w:tc>
      </w:tr>
    </w:tbl>
    <w:p w14:paraId="68353A04" w14:textId="599BF08B" w:rsidR="00F94F86" w:rsidRPr="00A30373" w:rsidRDefault="00F94F86" w:rsidP="00E2348C">
      <w:pPr>
        <w:pStyle w:val="HeadingLevel4NoNumber"/>
      </w:pPr>
      <w:bookmarkStart w:id="203" w:name="_yj0sqkub4yhp" w:colFirst="0" w:colLast="0"/>
      <w:bookmarkEnd w:id="203"/>
      <w:r w:rsidRPr="00A30373">
        <w:t xml:space="preserve">Healthcare funding approaches </w:t>
      </w:r>
    </w:p>
    <w:p w14:paraId="5CFF8837" w14:textId="7DA06A41" w:rsidR="00F94F86" w:rsidRDefault="00F94F86" w:rsidP="00CB243F">
      <w:pPr>
        <w:pStyle w:val="BodyText"/>
      </w:pPr>
      <w:r w:rsidRPr="00B65F7F">
        <w:t xml:space="preserve">Closely related to the methods of procuring health services is the way services are funded. </w:t>
      </w:r>
      <w:r w:rsidR="00A30373">
        <w:fldChar w:fldCharType="begin"/>
      </w:r>
      <w:r w:rsidR="00A30373">
        <w:instrText xml:space="preserve"> REF Appendix9 \h </w:instrText>
      </w:r>
      <w:r w:rsidR="00A30373">
        <w:fldChar w:fldCharType="separate"/>
      </w:r>
      <w:r w:rsidR="00934D5E" w:rsidRPr="00B65F7F">
        <w:t xml:space="preserve">Appendix </w:t>
      </w:r>
      <w:r w:rsidR="00934D5E">
        <w:t>9 –</w:t>
      </w:r>
      <w:r w:rsidR="00934D5E" w:rsidRPr="00B65F7F">
        <w:t xml:space="preserve"> Literature review</w:t>
      </w:r>
      <w:r w:rsidR="00A30373">
        <w:fldChar w:fldCharType="end"/>
      </w:r>
      <w:r w:rsidRPr="00B65F7F">
        <w:t xml:space="preserve"> provides a brief analysis of the primary funding approaches used to procure health services (such as block funding, capitated funding, pay-for-performance, fee-for-service, activity-based funding and pooled funding), which are useful to understand the extent to which they can influence the efficacy of the different purchasing techniques.</w:t>
      </w:r>
    </w:p>
    <w:p w14:paraId="52197AE0" w14:textId="73DF80FF" w:rsidR="00F94F86" w:rsidRPr="00B65F7F" w:rsidRDefault="00A30373" w:rsidP="00A237F8">
      <w:pPr>
        <w:pStyle w:val="CaptionBox"/>
      </w:pPr>
      <w:bookmarkStart w:id="204" w:name="_Toc145617790"/>
      <w:bookmarkStart w:id="205" w:name="_Toc156932064"/>
      <w:r>
        <w:t>Box A4.</w:t>
      </w:r>
      <w:r>
        <w:fldChar w:fldCharType="begin"/>
      </w:r>
      <w:r>
        <w:instrText xml:space="preserve"> SEQ Box_App4 \* ARABIC </w:instrText>
      </w:r>
      <w:r>
        <w:fldChar w:fldCharType="separate"/>
      </w:r>
      <w:r w:rsidR="00934D5E">
        <w:rPr>
          <w:noProof/>
        </w:rPr>
        <w:t>3</w:t>
      </w:r>
      <w:r>
        <w:fldChar w:fldCharType="end"/>
      </w:r>
      <w:r w:rsidR="00F94F86" w:rsidRPr="00B65F7F">
        <w:t xml:space="preserve">: Healthcare funding approaches in the context of the </w:t>
      </w:r>
      <w:r w:rsidR="002B031B">
        <w:t>R</w:t>
      </w:r>
      <w:r w:rsidR="00F94F86" w:rsidRPr="00B65F7F">
        <w:t>eview</w:t>
      </w:r>
      <w:bookmarkEnd w:id="204"/>
      <w:bookmarkEnd w:id="205"/>
      <w:r w:rsidR="00F94F86" w:rsidRPr="00B65F7F">
        <w:t xml:space="preserve"> </w:t>
      </w:r>
    </w:p>
    <w:tbl>
      <w:tblPr>
        <w:tblStyle w:val="NintiBox"/>
        <w:tblW w:w="9634" w:type="dxa"/>
        <w:tblLook w:val="04A0" w:firstRow="1" w:lastRow="0" w:firstColumn="1" w:lastColumn="0" w:noHBand="0" w:noVBand="1"/>
      </w:tblPr>
      <w:tblGrid>
        <w:gridCol w:w="9634"/>
      </w:tblGrid>
      <w:tr w:rsidR="00F94F86" w:rsidRPr="00B65F7F" w14:paraId="28BEA5FA" w14:textId="77777777" w:rsidTr="006F6DD1">
        <w:tc>
          <w:tcPr>
            <w:tcW w:w="9634" w:type="dxa"/>
          </w:tcPr>
          <w:p w14:paraId="368BB57F" w14:textId="6536B788" w:rsidR="00F94F86" w:rsidRPr="00B65F7F" w:rsidRDefault="00F94F86" w:rsidP="00CB243F">
            <w:pPr>
              <w:pStyle w:val="BodyText"/>
            </w:pPr>
            <w:r w:rsidRPr="00B65F7F">
              <w:t xml:space="preserve">The IAHP funding model, which includes mental health and ITC program funding, combines a capitation and activity-based approach. While the approach to (and </w:t>
            </w:r>
            <w:r>
              <w:t xml:space="preserve">amount </w:t>
            </w:r>
            <w:r w:rsidRPr="00B65F7F">
              <w:t xml:space="preserve">of) funding is out of scope for this review, it is important to note and consider due to the implications and impact that the funding models can have on service provision. This became particularly evident through the engagement and consultations with service providers and community as detailed in </w:t>
            </w:r>
            <w:r w:rsidRPr="00B65F7F">
              <w:fldChar w:fldCharType="begin"/>
            </w:r>
            <w:r w:rsidRPr="00B65F7F">
              <w:instrText xml:space="preserve"> REF Ch4FinalInsights \h  \* MERGEFORMAT </w:instrText>
            </w:r>
            <w:r w:rsidRPr="00B65F7F">
              <w:fldChar w:fldCharType="separate"/>
            </w:r>
            <w:r w:rsidR="00934D5E">
              <w:t xml:space="preserve">A4.3 </w:t>
            </w:r>
            <w:r w:rsidR="00934D5E" w:rsidRPr="00B65F7F">
              <w:t>Final insights</w:t>
            </w:r>
            <w:r w:rsidRPr="00B65F7F">
              <w:fldChar w:fldCharType="end"/>
            </w:r>
            <w:r w:rsidRPr="00B65F7F">
              <w:t>.</w:t>
            </w:r>
          </w:p>
        </w:tc>
      </w:tr>
    </w:tbl>
    <w:p w14:paraId="34F21D52" w14:textId="77777777" w:rsidR="00F94F86" w:rsidRPr="00B65F7F" w:rsidRDefault="00F94F86" w:rsidP="00E2348C">
      <w:pPr>
        <w:pStyle w:val="HeadingLevel3NoNumber"/>
      </w:pPr>
      <w:bookmarkStart w:id="206" w:name="_Toc145955243"/>
      <w:r w:rsidRPr="00791FF2">
        <w:lastRenderedPageBreak/>
        <w:t>Common principles of effective Indigenous health funding models for health an</w:t>
      </w:r>
      <w:r>
        <w:t>d wellbeing initiatives</w:t>
      </w:r>
      <w:bookmarkEnd w:id="206"/>
    </w:p>
    <w:p w14:paraId="475BA0CA" w14:textId="0ED8C812" w:rsidR="00F94F86" w:rsidRPr="00B65F7F" w:rsidRDefault="00A30373" w:rsidP="00CB243F">
      <w:pPr>
        <w:pStyle w:val="BodyText"/>
      </w:pPr>
      <w:r>
        <w:rPr>
          <w:rFonts w:eastAsia="Arial"/>
        </w:rPr>
        <w:fldChar w:fldCharType="begin"/>
      </w:r>
      <w:r>
        <w:rPr>
          <w:rFonts w:eastAsia="Arial"/>
        </w:rPr>
        <w:instrText xml:space="preserve"> REF Appendix9 \h </w:instrText>
      </w:r>
      <w:r>
        <w:rPr>
          <w:rFonts w:eastAsia="Arial"/>
        </w:rPr>
      </w:r>
      <w:r>
        <w:rPr>
          <w:rFonts w:eastAsia="Arial"/>
        </w:rPr>
        <w:fldChar w:fldCharType="separate"/>
      </w:r>
      <w:r w:rsidR="00934D5E" w:rsidRPr="00B65F7F">
        <w:t xml:space="preserve">Appendix </w:t>
      </w:r>
      <w:r w:rsidR="00934D5E">
        <w:t>9 –</w:t>
      </w:r>
      <w:r w:rsidR="00934D5E" w:rsidRPr="00B65F7F">
        <w:t xml:space="preserve"> Literature review</w:t>
      </w:r>
      <w:r>
        <w:rPr>
          <w:rFonts w:eastAsia="Arial"/>
        </w:rPr>
        <w:fldChar w:fldCharType="end"/>
      </w:r>
      <w:r w:rsidR="00F94F86" w:rsidRPr="00B65F7F">
        <w:t xml:space="preserve"> identified common principles for funding relating to First Nations health and wellbeing initiatives (encompassing initiatives that address First Nations mental health, suicide prevention, and/or chronic disease). The central principle identified was First Nations self-determination. Supporting this principle were the following common principles: </w:t>
      </w:r>
    </w:p>
    <w:p w14:paraId="21344299" w14:textId="77777777" w:rsidR="00F94F86" w:rsidRPr="00B65F7F" w:rsidRDefault="00F94F86" w:rsidP="00CB243F">
      <w:pPr>
        <w:pStyle w:val="ListBullet2"/>
      </w:pPr>
      <w:r w:rsidRPr="00B65F7F">
        <w:t>community partnerships</w:t>
      </w:r>
    </w:p>
    <w:p w14:paraId="6CEB998F" w14:textId="77777777" w:rsidR="00F94F86" w:rsidRPr="00B65F7F" w:rsidRDefault="00F94F86" w:rsidP="00CB243F">
      <w:pPr>
        <w:pStyle w:val="ListBullet2"/>
      </w:pPr>
      <w:r w:rsidRPr="00B65F7F">
        <w:t>co-design and ownership</w:t>
      </w:r>
    </w:p>
    <w:p w14:paraId="256EE2B6" w14:textId="77777777" w:rsidR="00F94F86" w:rsidRPr="00B65F7F" w:rsidRDefault="00F94F86" w:rsidP="00CB243F">
      <w:pPr>
        <w:pStyle w:val="ListBullet2"/>
      </w:pPr>
      <w:r w:rsidRPr="00B65F7F">
        <w:t>strengths-based and place-based approaches</w:t>
      </w:r>
    </w:p>
    <w:p w14:paraId="29FC18D7" w14:textId="77777777" w:rsidR="00F94F86" w:rsidRPr="00B65F7F" w:rsidRDefault="00F94F86" w:rsidP="00CB243F">
      <w:pPr>
        <w:pStyle w:val="ListBullet2"/>
      </w:pPr>
      <w:r w:rsidRPr="00B65F7F">
        <w:t>Indigenous governance and leadership structures</w:t>
      </w:r>
    </w:p>
    <w:p w14:paraId="4751B6D6" w14:textId="77777777" w:rsidR="00F94F86" w:rsidRPr="00B65F7F" w:rsidRDefault="00F94F86" w:rsidP="00CB243F">
      <w:pPr>
        <w:pStyle w:val="ListBullet2"/>
      </w:pPr>
      <w:r w:rsidRPr="00B65F7F">
        <w:t>holistic understandings of Indigenous health and wellbeing</w:t>
      </w:r>
    </w:p>
    <w:p w14:paraId="24E01B91" w14:textId="77777777" w:rsidR="00F94F86" w:rsidRPr="00B65F7F" w:rsidRDefault="00F94F86" w:rsidP="00CB243F">
      <w:pPr>
        <w:pStyle w:val="ListBullet2"/>
      </w:pPr>
      <w:r w:rsidRPr="00B65F7F">
        <w:t xml:space="preserve">culturally safe and responsive health care and systems-based approaches. </w:t>
      </w:r>
    </w:p>
    <w:p w14:paraId="448E4BC3" w14:textId="0EDBA530" w:rsidR="00F94F86" w:rsidRPr="00B65F7F" w:rsidRDefault="00F94F86" w:rsidP="00CB243F">
      <w:pPr>
        <w:pStyle w:val="BodyText"/>
        <w:rPr>
          <w:rFonts w:eastAsia="Calibri"/>
        </w:rPr>
      </w:pPr>
      <w:r w:rsidRPr="00B65F7F">
        <w:t xml:space="preserve">Drawing on the principles noted above, </w:t>
      </w:r>
      <w:r w:rsidRPr="00B65F7F">
        <w:fldChar w:fldCharType="begin"/>
      </w:r>
      <w:r w:rsidRPr="00B65F7F">
        <w:instrText xml:space="preserve"> REF _Ref120716393 \h </w:instrText>
      </w:r>
      <w:r w:rsidRPr="00B65F7F">
        <w:fldChar w:fldCharType="separate"/>
      </w:r>
      <w:r w:rsidR="00934D5E" w:rsidRPr="00B65F7F">
        <w:t xml:space="preserve">Figure </w:t>
      </w:r>
      <w:r w:rsidR="00934D5E">
        <w:t>A4.</w:t>
      </w:r>
      <w:r w:rsidR="00934D5E">
        <w:rPr>
          <w:noProof/>
        </w:rPr>
        <w:t>1</w:t>
      </w:r>
      <w:r w:rsidRPr="00B65F7F">
        <w:fldChar w:fldCharType="end"/>
      </w:r>
      <w:r w:rsidRPr="00B65F7F">
        <w:t xml:space="preserve"> represents a framework that combines the principles with the key stakeholders (and their roles) involved in the funding arrangements of First Nations health and wellbeing initiatives. The purpose of presenting the principles and the key </w:t>
      </w:r>
      <w:r w:rsidRPr="009D0DF0">
        <w:t>stakeholders</w:t>
      </w:r>
      <w:r w:rsidRPr="00B65F7F">
        <w:t xml:space="preserve"> in </w:t>
      </w:r>
      <w:r w:rsidRPr="00B65F7F">
        <w:fldChar w:fldCharType="begin"/>
      </w:r>
      <w:r w:rsidRPr="00B65F7F">
        <w:instrText xml:space="preserve"> REF _Ref120716393 \h </w:instrText>
      </w:r>
      <w:r w:rsidRPr="00B65F7F">
        <w:fldChar w:fldCharType="separate"/>
      </w:r>
      <w:r w:rsidR="00934D5E" w:rsidRPr="00B65F7F">
        <w:t xml:space="preserve">Figure </w:t>
      </w:r>
      <w:r w:rsidR="00934D5E">
        <w:t>A4.</w:t>
      </w:r>
      <w:r w:rsidR="00934D5E">
        <w:rPr>
          <w:noProof/>
        </w:rPr>
        <w:t>1</w:t>
      </w:r>
      <w:r w:rsidRPr="00B65F7F">
        <w:fldChar w:fldCharType="end"/>
      </w:r>
      <w:r w:rsidRPr="00B65F7F">
        <w:t xml:space="preserve"> is to consolidate the key features of First Nations–focused funding arrangements that have been identified throughout the </w:t>
      </w:r>
      <w:r w:rsidR="002B031B">
        <w:t>R</w:t>
      </w:r>
      <w:r w:rsidRPr="00B65F7F">
        <w:t xml:space="preserve">eview. These principles are presented in lieu of any available evaluations or findings of best practice of Indigenous-led arrangements. </w:t>
      </w:r>
      <w:r w:rsidRPr="00B65F7F">
        <w:rPr>
          <w:rFonts w:eastAsia="Calibri"/>
        </w:rPr>
        <w:t xml:space="preserve">In </w:t>
      </w:r>
      <w:r w:rsidRPr="00B65F7F">
        <w:rPr>
          <w:rFonts w:eastAsia="Calibri"/>
        </w:rPr>
        <w:fldChar w:fldCharType="begin"/>
      </w:r>
      <w:r w:rsidRPr="00B65F7F">
        <w:rPr>
          <w:rFonts w:eastAsia="Calibri"/>
        </w:rPr>
        <w:instrText xml:space="preserve"> REF _Ref120716393 \h </w:instrText>
      </w:r>
      <w:r w:rsidRPr="00B65F7F">
        <w:rPr>
          <w:rFonts w:eastAsia="Calibri"/>
        </w:rPr>
      </w:r>
      <w:r w:rsidRPr="00B65F7F">
        <w:rPr>
          <w:rFonts w:eastAsia="Calibri"/>
        </w:rPr>
        <w:fldChar w:fldCharType="separate"/>
      </w:r>
      <w:r w:rsidR="00934D5E" w:rsidRPr="00B65F7F">
        <w:t xml:space="preserve">Figure </w:t>
      </w:r>
      <w:r w:rsidR="00934D5E">
        <w:t>A4.</w:t>
      </w:r>
      <w:r w:rsidR="00934D5E">
        <w:rPr>
          <w:noProof/>
        </w:rPr>
        <w:t>1</w:t>
      </w:r>
      <w:r w:rsidRPr="00B65F7F">
        <w:rPr>
          <w:rFonts w:eastAsia="Calibri"/>
        </w:rPr>
        <w:fldChar w:fldCharType="end"/>
      </w:r>
      <w:r w:rsidRPr="00B65F7F">
        <w:rPr>
          <w:rFonts w:eastAsia="Calibri"/>
        </w:rPr>
        <w:t>, the:</w:t>
      </w:r>
    </w:p>
    <w:p w14:paraId="21FD59A0" w14:textId="77777777" w:rsidR="00F94F86" w:rsidRPr="00B65F7F" w:rsidRDefault="00F94F86" w:rsidP="00CB243F">
      <w:pPr>
        <w:pStyle w:val="ListBullet2"/>
      </w:pPr>
      <w:r w:rsidRPr="00B65F7F">
        <w:rPr>
          <w:b/>
          <w:bCs/>
        </w:rPr>
        <w:t>inner circle</w:t>
      </w:r>
      <w:r w:rsidRPr="00B65F7F">
        <w:t xml:space="preserve"> depicts the centrality of self-determination to leading practice funding approaches to supporting First Nations health and wellbeing</w:t>
      </w:r>
    </w:p>
    <w:p w14:paraId="0F64042D" w14:textId="77777777" w:rsidR="00F94F86" w:rsidRPr="00B65F7F" w:rsidRDefault="00F94F86" w:rsidP="00CB243F">
      <w:pPr>
        <w:pStyle w:val="ListBullet2"/>
      </w:pPr>
      <w:r w:rsidRPr="00B65F7F">
        <w:rPr>
          <w:b/>
          <w:bCs/>
        </w:rPr>
        <w:t>second ring of circles</w:t>
      </w:r>
      <w:r w:rsidRPr="00B65F7F">
        <w:t xml:space="preserve"> outlines the guiding principles that emerged from the literature review</w:t>
      </w:r>
    </w:p>
    <w:p w14:paraId="0B00FCE8" w14:textId="77777777" w:rsidR="00F94F86" w:rsidRPr="00B65F7F" w:rsidRDefault="00F94F86" w:rsidP="00CB243F">
      <w:pPr>
        <w:pStyle w:val="ListBullet2"/>
      </w:pPr>
      <w:r w:rsidRPr="00B65F7F">
        <w:rPr>
          <w:b/>
          <w:bCs/>
        </w:rPr>
        <w:t>third ring</w:t>
      </w:r>
      <w:r w:rsidRPr="00B65F7F">
        <w:t xml:space="preserve"> identifies the key stakeholders involved in best practice funding approaches for First Nations initiatives</w:t>
      </w:r>
    </w:p>
    <w:p w14:paraId="3FF2F97E" w14:textId="77777777" w:rsidR="00F94F86" w:rsidRPr="00B65F7F" w:rsidRDefault="00F94F86" w:rsidP="00CB243F">
      <w:pPr>
        <w:pStyle w:val="ListBullet2"/>
      </w:pPr>
      <w:r w:rsidRPr="00B65F7F">
        <w:rPr>
          <w:b/>
          <w:bCs/>
        </w:rPr>
        <w:t>outer circles</w:t>
      </w:r>
      <w:r w:rsidRPr="00B65F7F">
        <w:t xml:space="preserve"> explore the roles and responsibilities of key stakeholders in the oversight and delivery of the funding arrangements.</w:t>
      </w:r>
    </w:p>
    <w:p w14:paraId="675A2CDD" w14:textId="77777777" w:rsidR="00F94F86" w:rsidRDefault="00F94F86" w:rsidP="00292E56">
      <w:pPr>
        <w:pStyle w:val="BodyText"/>
      </w:pPr>
    </w:p>
    <w:p w14:paraId="09780F2D" w14:textId="73E2318A" w:rsidR="00A30373" w:rsidRPr="00B65F7F" w:rsidRDefault="00A30373" w:rsidP="00A30373">
      <w:pPr>
        <w:pStyle w:val="CaptionFigure"/>
      </w:pPr>
      <w:bookmarkStart w:id="207" w:name="_Ref120716393"/>
      <w:bookmarkStart w:id="208" w:name="_Toc124427644"/>
      <w:bookmarkStart w:id="209" w:name="_Toc145104605"/>
      <w:bookmarkStart w:id="210" w:name="_Toc145617764"/>
      <w:bookmarkStart w:id="211" w:name="_Toc156932036"/>
      <w:r w:rsidRPr="00B65F7F">
        <w:lastRenderedPageBreak/>
        <w:t xml:space="preserve">Figure </w:t>
      </w:r>
      <w:r>
        <w:t>A4.</w:t>
      </w:r>
      <w:r>
        <w:fldChar w:fldCharType="begin"/>
      </w:r>
      <w:r>
        <w:instrText>SEQ Figure_App4 \* ARABIC</w:instrText>
      </w:r>
      <w:r>
        <w:fldChar w:fldCharType="separate"/>
      </w:r>
      <w:r w:rsidR="00934D5E">
        <w:rPr>
          <w:noProof/>
        </w:rPr>
        <w:t>1</w:t>
      </w:r>
      <w:r>
        <w:fldChar w:fldCharType="end"/>
      </w:r>
      <w:bookmarkEnd w:id="207"/>
      <w:r w:rsidRPr="00B65F7F">
        <w:t>: Principles for funding of Indigenous health and wellbeing initiatives</w:t>
      </w:r>
      <w:bookmarkEnd w:id="208"/>
      <w:bookmarkEnd w:id="209"/>
      <w:bookmarkEnd w:id="210"/>
      <w:bookmarkEnd w:id="211"/>
    </w:p>
    <w:p w14:paraId="5DEAF29C" w14:textId="77777777" w:rsidR="00A30373" w:rsidRPr="00B65F7F" w:rsidRDefault="00A30373" w:rsidP="00CB243F">
      <w:pPr>
        <w:pStyle w:val="BodyText"/>
      </w:pPr>
      <w:r>
        <w:rPr>
          <w:noProof/>
        </w:rPr>
        <w:drawing>
          <wp:inline distT="0" distB="0" distL="0" distR="0" wp14:anchorId="2447CA61" wp14:editId="2513E5A5">
            <wp:extent cx="6414821" cy="6530196"/>
            <wp:effectExtent l="0" t="0" r="0" b="0"/>
            <wp:docPr id="93966595" name="Picture 93966595" descr="Concentric circles of shapes in a dot painting style illustrate the framework that combines the principles with the key stakeholders and their roles involved in the funding arrangements. The meaning of each of the 4 rings shown is explained in section A4.1.2, and the principles were identified in Appendix 9, Literature Review.&#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66595" name="Picture 6" descr="Concentric circles of shapes in a dot painting style illustrate the framework that combines the principles with the key stakeholders and their roles involved in the funding arrangements. The meaning of each of the 4 rings shown is explained in section A4.1.2, and the principles were identified in Appendix 9, Literature Review.&#10;"/>
                    <pic:cNvPicPr/>
                  </pic:nvPicPr>
                  <pic:blipFill>
                    <a:blip r:embed="rId89" cstate="print">
                      <a:extLst>
                        <a:ext uri="{28A0092B-C50C-407E-A947-70E740481C1C}">
                          <a14:useLocalDpi xmlns:a14="http://schemas.microsoft.com/office/drawing/2010/main"/>
                        </a:ext>
                      </a:extLst>
                    </a:blip>
                    <a:stretch>
                      <a:fillRect/>
                    </a:stretch>
                  </pic:blipFill>
                  <pic:spPr>
                    <a:xfrm>
                      <a:off x="0" y="0"/>
                      <a:ext cx="6441308" cy="6557159"/>
                    </a:xfrm>
                    <a:prstGeom prst="rect">
                      <a:avLst/>
                    </a:prstGeom>
                  </pic:spPr>
                </pic:pic>
              </a:graphicData>
            </a:graphic>
          </wp:inline>
        </w:drawing>
      </w:r>
    </w:p>
    <w:p w14:paraId="196A2C88" w14:textId="7DED2E9B" w:rsidR="00F94F86" w:rsidRPr="00B65F7F" w:rsidRDefault="00A30373" w:rsidP="00A237F8">
      <w:pPr>
        <w:pStyle w:val="CaptionBox"/>
      </w:pPr>
      <w:bookmarkStart w:id="212" w:name="_Toc145617791"/>
      <w:bookmarkStart w:id="213" w:name="_Toc156932065"/>
      <w:r>
        <w:t>Box A4.</w:t>
      </w:r>
      <w:r>
        <w:fldChar w:fldCharType="begin"/>
      </w:r>
      <w:r>
        <w:instrText xml:space="preserve"> SEQ Box_App4 \* ARABIC </w:instrText>
      </w:r>
      <w:r>
        <w:fldChar w:fldCharType="separate"/>
      </w:r>
      <w:r w:rsidR="00934D5E">
        <w:rPr>
          <w:noProof/>
        </w:rPr>
        <w:t>4</w:t>
      </w:r>
      <w:r>
        <w:fldChar w:fldCharType="end"/>
      </w:r>
      <w:r w:rsidR="00F94F86" w:rsidRPr="00B65F7F">
        <w:t xml:space="preserve">: Using the insights from the literature review to inform the </w:t>
      </w:r>
      <w:r w:rsidR="002B031B">
        <w:t>R</w:t>
      </w:r>
      <w:r w:rsidR="00F94F86" w:rsidRPr="00B65F7F">
        <w:t>eview</w:t>
      </w:r>
      <w:bookmarkEnd w:id="212"/>
      <w:bookmarkEnd w:id="213"/>
      <w:r w:rsidR="00F94F86" w:rsidRPr="00B65F7F">
        <w:t xml:space="preserve"> </w:t>
      </w:r>
    </w:p>
    <w:tbl>
      <w:tblPr>
        <w:tblStyle w:val="NintiBox"/>
        <w:tblW w:w="9360" w:type="dxa"/>
        <w:tblLayout w:type="fixed"/>
        <w:tblLook w:val="0620" w:firstRow="1" w:lastRow="0" w:firstColumn="0" w:lastColumn="0" w:noHBand="1" w:noVBand="1"/>
      </w:tblPr>
      <w:tblGrid>
        <w:gridCol w:w="9360"/>
      </w:tblGrid>
      <w:tr w:rsidR="00F94F86" w:rsidRPr="00B65F7F" w14:paraId="0B4B3109" w14:textId="77777777" w:rsidTr="0067319F">
        <w:tc>
          <w:tcPr>
            <w:tcW w:w="9360" w:type="dxa"/>
          </w:tcPr>
          <w:p w14:paraId="193B196D" w14:textId="448B72AD" w:rsidR="00F94F86" w:rsidRPr="00B65F7F" w:rsidRDefault="00F94F86" w:rsidP="00CB243F">
            <w:pPr>
              <w:pStyle w:val="BodyText"/>
            </w:pPr>
            <w:r w:rsidRPr="00B65F7F">
              <w:t xml:space="preserve">The principles underpinning First Nations funding arrangements were used throughout the course of the </w:t>
            </w:r>
            <w:r w:rsidR="002B031B">
              <w:t>R</w:t>
            </w:r>
            <w:r w:rsidRPr="00B65F7F">
              <w:t>eview to inform the way consultations were undertaken, the structuring of the findings (</w:t>
            </w:r>
            <w:r w:rsidRPr="00B65F7F">
              <w:fldChar w:fldCharType="begin"/>
            </w:r>
            <w:r w:rsidRPr="00B65F7F">
              <w:instrText xml:space="preserve"> REF Ch4FinalInsights \h  \* MERGEFORMAT </w:instrText>
            </w:r>
            <w:r w:rsidRPr="00B65F7F">
              <w:fldChar w:fldCharType="separate"/>
            </w:r>
            <w:r w:rsidR="00934D5E">
              <w:t xml:space="preserve">A4.3 </w:t>
            </w:r>
            <w:r w:rsidR="00934D5E" w:rsidRPr="00B65F7F">
              <w:t>Final insights</w:t>
            </w:r>
            <w:r w:rsidRPr="00B65F7F">
              <w:fldChar w:fldCharType="end"/>
            </w:r>
            <w:r w:rsidRPr="00B65F7F">
              <w:t>), and as an input into the design of the preferred future-state funding arrangements</w:t>
            </w:r>
            <w:r>
              <w:t xml:space="preserve"> (Part 3 – Towards future state arrangements.</w:t>
            </w:r>
          </w:p>
        </w:tc>
      </w:tr>
    </w:tbl>
    <w:p w14:paraId="5EA4CFDA" w14:textId="77777777" w:rsidR="00F94F86" w:rsidRPr="00B65F7F" w:rsidRDefault="00F94F86" w:rsidP="00E2348C">
      <w:pPr>
        <w:pStyle w:val="HeadingLevel3NoNumber"/>
      </w:pPr>
      <w:bookmarkStart w:id="214" w:name="_Toc145955244"/>
      <w:r w:rsidRPr="00B65F7F">
        <w:t>A comparison of First Nations funding approaches</w:t>
      </w:r>
      <w:bookmarkEnd w:id="214"/>
      <w:r w:rsidRPr="00B65F7F">
        <w:t xml:space="preserve"> </w:t>
      </w:r>
    </w:p>
    <w:p w14:paraId="73C6D720" w14:textId="77777777" w:rsidR="00F94F86" w:rsidRPr="00B65F7F" w:rsidRDefault="00F94F86" w:rsidP="00CB243F">
      <w:pPr>
        <w:pStyle w:val="BodyText"/>
      </w:pPr>
      <w:r w:rsidRPr="00B65F7F">
        <w:t xml:space="preserve">The literature identified that there is no best practice approach to the design of funding arrangements for First Nations health services. Rather, best practice dictates that any approach ‘must be designed by the communities themselves to fit their unique needs’ </w:t>
      </w:r>
      <w:r w:rsidRPr="00C349CB">
        <w:t>(Halseth and Murdock, 2020,</w:t>
      </w:r>
      <w:r w:rsidRPr="00B65F7F">
        <w:t xml:space="preserve"> </w:t>
      </w:r>
      <w:r>
        <w:t>p. </w:t>
      </w:r>
      <w:r w:rsidRPr="00B65F7F">
        <w:t xml:space="preserve">5). Moreover, it is </w:t>
      </w:r>
      <w:r w:rsidRPr="00B65F7F">
        <w:lastRenderedPageBreak/>
        <w:t xml:space="preserve">essential that First Nations peoples and communities are given ‘full access to high-quality, responsive, comprehensive, culturally relevant, and coordinated health and social services that target the diverse determinants of health’ and the opportunity to self-determine their health and wellbeing priorities to achieve equitable health outcomes </w:t>
      </w:r>
      <w:r w:rsidRPr="00C349CB">
        <w:t>(Halseth and Murdock, 2020</w:t>
      </w:r>
      <w:r w:rsidRPr="00B65F7F">
        <w:t xml:space="preserve">, </w:t>
      </w:r>
      <w:r>
        <w:t>p. </w:t>
      </w:r>
      <w:r w:rsidRPr="00B65F7F">
        <w:t xml:space="preserve">5; </w:t>
      </w:r>
      <w:r w:rsidRPr="00C349CB">
        <w:t>Productivity</w:t>
      </w:r>
      <w:r w:rsidRPr="00B65F7F">
        <w:t xml:space="preserve"> Commission, 2023, </w:t>
      </w:r>
      <w:r>
        <w:t>p. </w:t>
      </w:r>
      <w:r w:rsidRPr="00B65F7F">
        <w:t xml:space="preserve">19; </w:t>
      </w:r>
      <w:r w:rsidRPr="00C349CB">
        <w:t>Australian</w:t>
      </w:r>
      <w:r w:rsidRPr="00B65F7F">
        <w:t xml:space="preserve"> Government, 2020).</w:t>
      </w:r>
    </w:p>
    <w:p w14:paraId="2E37ED46" w14:textId="7DBA1F9B" w:rsidR="00F94F86" w:rsidRPr="008C70B2" w:rsidRDefault="00F94F86" w:rsidP="00CB243F">
      <w:pPr>
        <w:pStyle w:val="BodyText"/>
      </w:pPr>
      <w:r w:rsidRPr="00B65F7F">
        <w:t xml:space="preserve">Further details on each arrangement in the table are provided in </w:t>
      </w:r>
      <w:r w:rsidR="00454731">
        <w:fldChar w:fldCharType="begin"/>
      </w:r>
      <w:r w:rsidR="00454731">
        <w:instrText xml:space="preserve"> REF Appendix9 \h </w:instrText>
      </w:r>
      <w:r w:rsidR="00454731">
        <w:fldChar w:fldCharType="separate"/>
      </w:r>
      <w:r w:rsidR="00934D5E" w:rsidRPr="00B65F7F">
        <w:t xml:space="preserve">Appendix </w:t>
      </w:r>
      <w:r w:rsidR="00934D5E">
        <w:t>9 –</w:t>
      </w:r>
      <w:r w:rsidR="00934D5E" w:rsidRPr="00B65F7F">
        <w:t xml:space="preserve"> Literature review</w:t>
      </w:r>
      <w:r w:rsidR="00454731">
        <w:fldChar w:fldCharType="end"/>
      </w:r>
      <w:r w:rsidRPr="008C70B2">
        <w:t>.</w:t>
      </w:r>
      <w:bookmarkStart w:id="215" w:name="_ugpqz8yw5yua" w:colFirst="0" w:colLast="0"/>
      <w:bookmarkStart w:id="216" w:name="_802kaybgn9o7" w:colFirst="0" w:colLast="0"/>
      <w:bookmarkEnd w:id="215"/>
      <w:bookmarkEnd w:id="216"/>
    </w:p>
    <w:p w14:paraId="329659A4" w14:textId="786682DA" w:rsidR="00F94F86" w:rsidRPr="009D0DF0" w:rsidRDefault="00454731" w:rsidP="00A237F8">
      <w:pPr>
        <w:pStyle w:val="CaptionBox"/>
        <w:rPr>
          <w:rFonts w:ascii="Calibri" w:eastAsia="Roboto" w:hAnsi="Calibri" w:cs="Calibri"/>
          <w:szCs w:val="22"/>
          <w:highlight w:val="yellow"/>
        </w:rPr>
      </w:pPr>
      <w:bookmarkStart w:id="217" w:name="_Toc145617792"/>
      <w:bookmarkStart w:id="218" w:name="_Toc156932066"/>
      <w:r>
        <w:t>Box A4.</w:t>
      </w:r>
      <w:r>
        <w:fldChar w:fldCharType="begin"/>
      </w:r>
      <w:r>
        <w:instrText xml:space="preserve"> SEQ Box_App4 \* ARABIC </w:instrText>
      </w:r>
      <w:r>
        <w:fldChar w:fldCharType="separate"/>
      </w:r>
      <w:r w:rsidR="00934D5E">
        <w:rPr>
          <w:noProof/>
        </w:rPr>
        <w:t>5</w:t>
      </w:r>
      <w:r>
        <w:fldChar w:fldCharType="end"/>
      </w:r>
      <w:r w:rsidR="00F94F86" w:rsidRPr="00B65F7F">
        <w:t>: The TORCH project – A</w:t>
      </w:r>
      <w:r w:rsidR="00F94F86">
        <w:t xml:space="preserve">n emerging </w:t>
      </w:r>
      <w:r w:rsidR="00F94F86" w:rsidRPr="00B65F7F">
        <w:t>approach to funding First Nations health and wellbeing</w:t>
      </w:r>
      <w:bookmarkEnd w:id="217"/>
      <w:bookmarkEnd w:id="218"/>
    </w:p>
    <w:tbl>
      <w:tblPr>
        <w:tblStyle w:val="NintiBox"/>
        <w:tblW w:w="9634" w:type="dxa"/>
        <w:tblLayout w:type="fixed"/>
        <w:tblLook w:val="0620" w:firstRow="1" w:lastRow="0" w:firstColumn="0" w:lastColumn="0" w:noHBand="1" w:noVBand="1"/>
      </w:tblPr>
      <w:tblGrid>
        <w:gridCol w:w="9634"/>
      </w:tblGrid>
      <w:tr w:rsidR="00F94F86" w:rsidRPr="00B65F7F" w14:paraId="465CD4D4" w14:textId="77777777" w:rsidTr="0067319F">
        <w:tc>
          <w:tcPr>
            <w:tcW w:w="9634" w:type="dxa"/>
          </w:tcPr>
          <w:p w14:paraId="4CF9BFCB" w14:textId="77777777" w:rsidR="00F94F86" w:rsidRPr="00B65F7F" w:rsidRDefault="00F94F86" w:rsidP="00CB243F">
            <w:pPr>
              <w:pStyle w:val="BodyText"/>
            </w:pPr>
            <w:r w:rsidRPr="00B65F7F">
              <w:rPr>
                <w:b/>
                <w:bCs/>
              </w:rPr>
              <w:t xml:space="preserve">A joint commitment to transforming healthcare: </w:t>
            </w:r>
            <w:r w:rsidRPr="00B65F7F">
              <w:t xml:space="preserve">In August 2023, the Transforming Our Regional Community Health (TORCH) project received formal support from the Minister for Health and Aged Care and the Minister for Health and Ambulance Services. The TORCH project represents the collaboration of state and federal governments, the Queensland Aboriginal and Islander Health Council (QAIHC), local governments, community leaders and service providers (SPs). </w:t>
            </w:r>
          </w:p>
          <w:p w14:paraId="243FB912" w14:textId="2B9E4E48" w:rsidR="00F94F86" w:rsidRPr="00DD1177" w:rsidRDefault="00F94F86" w:rsidP="00CB243F">
            <w:pPr>
              <w:pStyle w:val="BodyText"/>
            </w:pPr>
            <w:r w:rsidRPr="00B65F7F">
              <w:t>The TORCH project is a visionary 10-year initiative aimed at reshaping the way healthcare is commissioned and delivered. Its goals include improving health system effectiveness, efficiency and equity, ultimately enhancing the health and wellbeing of the entire popula</w:t>
            </w:r>
            <w:r w:rsidRPr="00DD1177">
              <w:t>tion (</w:t>
            </w:r>
            <w:r w:rsidR="000C3F43">
              <w:t>Cooke</w:t>
            </w:r>
            <w:r w:rsidRPr="00DD1177">
              <w:t xml:space="preserve">, 2023, </w:t>
            </w:r>
            <w:r>
              <w:t>p. </w:t>
            </w:r>
            <w:r w:rsidRPr="00DD1177">
              <w:t>3).</w:t>
            </w:r>
          </w:p>
          <w:p w14:paraId="3BABB7B7" w14:textId="732DDEA5" w:rsidR="00F94F86" w:rsidRPr="00B65F7F" w:rsidRDefault="00F94F86" w:rsidP="00CB243F">
            <w:pPr>
              <w:pStyle w:val="BodyText"/>
            </w:pPr>
            <w:r w:rsidRPr="00DD1177">
              <w:rPr>
                <w:b/>
                <w:bCs/>
              </w:rPr>
              <w:t xml:space="preserve">Four key elements: </w:t>
            </w:r>
            <w:r w:rsidRPr="00DD1177">
              <w:t>The primary objective of the TORCH project is to co-design with communities and establish ‘an independent, non-government joint regional healthcare commissioning entity backed by pooled funding for healthcare services from all levels of government and accountable to the communities of the region’</w:t>
            </w:r>
            <w:r w:rsidR="00F44027">
              <w:t>.</w:t>
            </w:r>
            <w:r w:rsidRPr="00DD1177">
              <w:t xml:space="preserve"> It is firmly committed to First Nations governance and local community control of healthcare commissioning and health outcomes (</w:t>
            </w:r>
            <w:r w:rsidR="000C3F43">
              <w:t>Cooke</w:t>
            </w:r>
            <w:r w:rsidRPr="00DD1177">
              <w:t>, 20</w:t>
            </w:r>
            <w:r w:rsidRPr="00B65F7F">
              <w:t xml:space="preserve">23, </w:t>
            </w:r>
            <w:r>
              <w:t>p. </w:t>
            </w:r>
            <w:r w:rsidRPr="00B65F7F">
              <w:t>3).</w:t>
            </w:r>
          </w:p>
          <w:p w14:paraId="45B3A898" w14:textId="77777777" w:rsidR="00F94F86" w:rsidRPr="00B65F7F" w:rsidRDefault="00F94F86" w:rsidP="00CB243F">
            <w:pPr>
              <w:pStyle w:val="BodyText"/>
            </w:pPr>
            <w:r w:rsidRPr="00B65F7F">
              <w:t>TORCH focuses on 4 key elements:</w:t>
            </w:r>
          </w:p>
          <w:p w14:paraId="1857A324" w14:textId="77777777" w:rsidR="00F94F86" w:rsidRPr="008444BD" w:rsidRDefault="00F94F86" w:rsidP="003B07D3">
            <w:pPr>
              <w:pStyle w:val="List1"/>
              <w:numPr>
                <w:ilvl w:val="0"/>
                <w:numId w:val="25"/>
              </w:numPr>
            </w:pPr>
            <w:r w:rsidRPr="008444BD">
              <w:t>Local and regional commissioning and decision-making</w:t>
            </w:r>
          </w:p>
          <w:p w14:paraId="751A6056" w14:textId="77777777" w:rsidR="00F94F86" w:rsidRPr="008444BD" w:rsidRDefault="00F94F86" w:rsidP="008444BD">
            <w:pPr>
              <w:pStyle w:val="List1"/>
            </w:pPr>
            <w:r w:rsidRPr="008444BD">
              <w:t xml:space="preserve">Equity of health access, </w:t>
            </w:r>
            <w:r w:rsidR="00C44EB9" w:rsidRPr="008444BD">
              <w:t>outcomes,</w:t>
            </w:r>
            <w:r w:rsidRPr="008444BD">
              <w:t xml:space="preserve"> and experience</w:t>
            </w:r>
          </w:p>
          <w:p w14:paraId="0FEEAF4B" w14:textId="77777777" w:rsidR="00F94F86" w:rsidRPr="008444BD" w:rsidRDefault="00F94F86" w:rsidP="008444BD">
            <w:pPr>
              <w:pStyle w:val="List1"/>
            </w:pPr>
            <w:r w:rsidRPr="008444BD">
              <w:t>Re-orienting local health systems to respond to evidence-based need</w:t>
            </w:r>
          </w:p>
          <w:p w14:paraId="52C780E0" w14:textId="41C34C83" w:rsidR="00F94F86" w:rsidRPr="008444BD" w:rsidRDefault="00F94F86" w:rsidP="008444BD">
            <w:pPr>
              <w:pStyle w:val="List1"/>
            </w:pPr>
            <w:r w:rsidRPr="008444BD">
              <w:t>Re-investment for efficiencies and innovation (</w:t>
            </w:r>
            <w:r w:rsidR="000C3F43">
              <w:t>Cooke</w:t>
            </w:r>
            <w:r w:rsidRPr="008444BD">
              <w:t>, 2023, p. 5).</w:t>
            </w:r>
          </w:p>
          <w:p w14:paraId="4AA7E6CB" w14:textId="7C5B1F11" w:rsidR="00F94F86" w:rsidRPr="00B65F7F" w:rsidRDefault="00F94F86" w:rsidP="00CB243F">
            <w:pPr>
              <w:pStyle w:val="BodyText"/>
            </w:pPr>
            <w:r w:rsidRPr="00B65F7F">
              <w:rPr>
                <w:b/>
              </w:rPr>
              <w:t xml:space="preserve">Building on key policy reforms: </w:t>
            </w:r>
            <w:r w:rsidRPr="00B65F7F">
              <w:t>The TORCH project will build on other key policy reforms – including the National Agreement, Making Tracks Together, Tracks to Treaty, the Health Equity Framework, and the National Health Reform Agreement – to create a more equitable and efficient healthcare system (</w:t>
            </w:r>
            <w:r w:rsidR="000C3F43">
              <w:t>Cooke</w:t>
            </w:r>
            <w:r w:rsidRPr="00B65F7F">
              <w:t xml:space="preserve">, 2023, </w:t>
            </w:r>
            <w:r>
              <w:t>p. </w:t>
            </w:r>
            <w:r w:rsidRPr="00B65F7F">
              <w:t>3).</w:t>
            </w:r>
          </w:p>
          <w:p w14:paraId="264DD649" w14:textId="77777777" w:rsidR="00F94F86" w:rsidRPr="00B65F7F" w:rsidRDefault="00F94F86" w:rsidP="00CB243F">
            <w:pPr>
              <w:pStyle w:val="BodyText"/>
              <w:rPr>
                <w:rFonts w:cs="Calibri"/>
              </w:rPr>
            </w:pPr>
            <w:r w:rsidRPr="00B65F7F">
              <w:t>The TORCH project represents a significant milestone in transforming healthcare, emphasising community involvement, equity and accountability. It showcases a collaborative effort towards improving health and wellbeing for all.</w:t>
            </w:r>
            <w:r w:rsidRPr="00B65F7F">
              <w:rPr>
                <w:rFonts w:cs="Calibri"/>
                <w:highlight w:val="yellow"/>
              </w:rPr>
              <w:t xml:space="preserve"> </w:t>
            </w:r>
          </w:p>
          <w:p w14:paraId="13226E83" w14:textId="77777777" w:rsidR="00F94F86" w:rsidRPr="00B65F7F" w:rsidRDefault="00F94F86" w:rsidP="00CB243F">
            <w:pPr>
              <w:pStyle w:val="BodyText"/>
            </w:pPr>
            <w:r w:rsidRPr="00B65F7F">
              <w:rPr>
                <w:b/>
                <w:bCs/>
              </w:rPr>
              <w:t xml:space="preserve">Why this is important in the context of the </w:t>
            </w:r>
            <w:r w:rsidR="00F44027">
              <w:rPr>
                <w:b/>
                <w:bCs/>
              </w:rPr>
              <w:t>R</w:t>
            </w:r>
            <w:r w:rsidRPr="00B65F7F">
              <w:rPr>
                <w:b/>
                <w:bCs/>
              </w:rPr>
              <w:t xml:space="preserve">eview: </w:t>
            </w:r>
            <w:r w:rsidRPr="00B65F7F">
              <w:t>The case study of the TORCH project has been used in this report to demonstrate the continued progression of funding arrangement design taking place in Australia. Moreover, the TORCH project demonstrates the genuine commitment of several governments, government agencies and First Nations organisations to work together to ‘transform’ funding arrangements that can more effectively meet the health and wellbeing needs of First Nations people.</w:t>
            </w:r>
          </w:p>
          <w:p w14:paraId="2AF64FB6" w14:textId="77777777" w:rsidR="00F94F86" w:rsidRPr="00B65F7F" w:rsidRDefault="00F94F86" w:rsidP="00CB243F">
            <w:pPr>
              <w:pStyle w:val="BodyText"/>
            </w:pPr>
            <w:r w:rsidRPr="00B65F7F">
              <w:t xml:space="preserve">Specifically for the purpose of this </w:t>
            </w:r>
            <w:r w:rsidR="00F44027">
              <w:t>R</w:t>
            </w:r>
            <w:r w:rsidRPr="00B65F7F">
              <w:t xml:space="preserve">eview, the TORCH </w:t>
            </w:r>
            <w:r w:rsidR="00F44027">
              <w:t>project</w:t>
            </w:r>
            <w:r w:rsidRPr="00B65F7F">
              <w:t xml:space="preserve"> demonstrates that any future funding arrangement must not only receive strong endorsement from</w:t>
            </w:r>
            <w:r w:rsidR="00E61661">
              <w:t xml:space="preserve"> all levels of</w:t>
            </w:r>
            <w:r w:rsidRPr="00B65F7F">
              <w:t xml:space="preserve"> government;</w:t>
            </w:r>
            <w:r w:rsidRPr="00B65F7F" w:rsidDel="00C7324F">
              <w:t xml:space="preserve"> </w:t>
            </w:r>
            <w:r w:rsidRPr="00B65F7F">
              <w:t>it also must allow sufficient time to enable the creation of genuine partnership and true self-determination by the community.</w:t>
            </w:r>
          </w:p>
        </w:tc>
      </w:tr>
    </w:tbl>
    <w:p w14:paraId="725DAF71" w14:textId="77777777" w:rsidR="00F94F86" w:rsidRDefault="00F44027" w:rsidP="006734AE">
      <w:pPr>
        <w:pStyle w:val="HeadingLevel2NoNumber"/>
      </w:pPr>
      <w:bookmarkStart w:id="219" w:name="Ch3CommissionedServicesDataFindings"/>
      <w:bookmarkStart w:id="220" w:name="_Toc145955245"/>
      <w:r>
        <w:lastRenderedPageBreak/>
        <w:t>A4.2</w:t>
      </w:r>
      <w:r w:rsidR="00F94F86" w:rsidRPr="00B65F7F">
        <w:t xml:space="preserve"> Commissioned services data findings</w:t>
      </w:r>
      <w:bookmarkEnd w:id="219"/>
      <w:bookmarkEnd w:id="220"/>
    </w:p>
    <w:p w14:paraId="0F206782" w14:textId="77777777" w:rsidR="00F94F86" w:rsidRPr="00B65F7F" w:rsidRDefault="00F94F86" w:rsidP="00CB243F">
      <w:pPr>
        <w:pStyle w:val="BodyText"/>
      </w:pPr>
      <w:r w:rsidRPr="00B65F7F">
        <w:t xml:space="preserve">This </w:t>
      </w:r>
      <w:r w:rsidR="00F44027">
        <w:t>section</w:t>
      </w:r>
      <w:r w:rsidRPr="00B65F7F">
        <w:t xml:space="preserve"> provides </w:t>
      </w:r>
      <w:r w:rsidR="00E61661">
        <w:t xml:space="preserve">an </w:t>
      </w:r>
      <w:r w:rsidRPr="00B65F7F">
        <w:t xml:space="preserve">analysis of the data provided by </w:t>
      </w:r>
      <w:r w:rsidR="00FF2396">
        <w:t xml:space="preserve">the Department of </w:t>
      </w:r>
      <w:r w:rsidRPr="00B65F7F">
        <w:t xml:space="preserve">Health </w:t>
      </w:r>
      <w:r w:rsidR="00FF2396">
        <w:t xml:space="preserve">and Aged Care (DoHAC) </w:t>
      </w:r>
      <w:r w:rsidRPr="00B65F7F">
        <w:t xml:space="preserve">relating to each the Relevant Health Programs delivered across Australia. Using this data, findings in relation to the following data </w:t>
      </w:r>
      <w:r w:rsidR="00E61661">
        <w:t>are</w:t>
      </w:r>
      <w:r w:rsidRPr="00B65F7F">
        <w:t xml:space="preserve"> set out below:</w:t>
      </w:r>
    </w:p>
    <w:p w14:paraId="692F9774" w14:textId="77777777" w:rsidR="00F94F86" w:rsidRPr="00B65F7F" w:rsidRDefault="00F94F86" w:rsidP="009F63BF">
      <w:pPr>
        <w:pStyle w:val="ListBullet2"/>
      </w:pPr>
      <w:r w:rsidRPr="00B65F7F">
        <w:t>contract data for the Relevant Health Programs delivered across Australia. This includes:</w:t>
      </w:r>
    </w:p>
    <w:p w14:paraId="61D223F1" w14:textId="77777777" w:rsidR="00F94F86" w:rsidRPr="009F63BF" w:rsidRDefault="00F94F86" w:rsidP="009F63BF">
      <w:pPr>
        <w:pStyle w:val="ListBullet3"/>
      </w:pPr>
      <w:r w:rsidRPr="009F63BF">
        <w:t xml:space="preserve">service provider type (Indigenous or non-Indigenous provider) </w:t>
      </w:r>
    </w:p>
    <w:p w14:paraId="55B9B67B" w14:textId="77777777" w:rsidR="00F94F86" w:rsidRPr="009F63BF" w:rsidRDefault="00F94F86" w:rsidP="009F63BF">
      <w:pPr>
        <w:pStyle w:val="ListBullet3"/>
      </w:pPr>
      <w:r w:rsidRPr="009F63BF">
        <w:t>number of service providers</w:t>
      </w:r>
    </w:p>
    <w:p w14:paraId="509A7608" w14:textId="77777777" w:rsidR="00F94F86" w:rsidRPr="009F63BF" w:rsidRDefault="00F94F86" w:rsidP="009F63BF">
      <w:pPr>
        <w:pStyle w:val="ListBullet3"/>
      </w:pPr>
      <w:r w:rsidRPr="009F63BF">
        <w:t>funding amount by PHN region and jurisdictional boundaries.</w:t>
      </w:r>
    </w:p>
    <w:p w14:paraId="50AEF995" w14:textId="77777777" w:rsidR="00F94F86" w:rsidRPr="00B65F7F" w:rsidRDefault="00F94F86" w:rsidP="009F63BF">
      <w:pPr>
        <w:pStyle w:val="ListBullet2"/>
      </w:pPr>
      <w:r w:rsidRPr="00B65F7F">
        <w:t>contract data for the Relevant Health Programs compared with relevant demographic indicators.</w:t>
      </w:r>
    </w:p>
    <w:p w14:paraId="63A99973" w14:textId="3305319F" w:rsidR="00F94F86" w:rsidRDefault="00F94F86" w:rsidP="009F63BF">
      <w:pPr>
        <w:pStyle w:val="ListBullet2"/>
      </w:pPr>
      <w:r w:rsidRPr="00B65F7F">
        <w:t xml:space="preserve">further information on the data, including limitations, methodology is provided in </w:t>
      </w:r>
      <w:r w:rsidR="00E418BB">
        <w:fldChar w:fldCharType="begin"/>
      </w:r>
      <w:r w:rsidR="00E418BB">
        <w:instrText xml:space="preserve"> REF App10_notitle \h </w:instrText>
      </w:r>
      <w:r w:rsidR="00E418BB">
        <w:fldChar w:fldCharType="separate"/>
      </w:r>
      <w:r w:rsidR="00934D5E" w:rsidRPr="00B65F7F">
        <w:t xml:space="preserve">Appendix </w:t>
      </w:r>
      <w:r w:rsidR="00934D5E">
        <w:t>10</w:t>
      </w:r>
      <w:r w:rsidR="00E418BB">
        <w:fldChar w:fldCharType="end"/>
      </w:r>
      <w:r w:rsidRPr="00B65F7F">
        <w:t xml:space="preserve">. </w:t>
      </w:r>
    </w:p>
    <w:p w14:paraId="7C70C630" w14:textId="77777777" w:rsidR="00F94F86" w:rsidRDefault="00F94F86" w:rsidP="009F63BF">
      <w:pPr>
        <w:pStyle w:val="BodyText1stparaafterlist"/>
      </w:pPr>
      <w:r>
        <w:t xml:space="preserve">The contract data findings below do not reflect the numerous contextual factors that may impact on the commissioning decisions of PHNs. The contract data alone is unable to identify the source (or sources) of differences, including the extent to which they reflect limitations of the current funding and delivery models, </w:t>
      </w:r>
      <w:r w:rsidR="00B324DD">
        <w:t>frameworks</w:t>
      </w:r>
      <w:r>
        <w:t xml:space="preserve"> and approaches of commissioning bodies. </w:t>
      </w:r>
    </w:p>
    <w:p w14:paraId="0D70117B" w14:textId="67979C54" w:rsidR="00F94F86" w:rsidRDefault="00F94F86" w:rsidP="009F63BF">
      <w:pPr>
        <w:pStyle w:val="BodyText"/>
      </w:pPr>
      <w:r w:rsidRPr="004D41BC">
        <w:t xml:space="preserve">However, through the consultations with PHNs, service providers and community members conducted as part of the </w:t>
      </w:r>
      <w:r w:rsidR="00545549">
        <w:t>R</w:t>
      </w:r>
      <w:r w:rsidRPr="004D41BC">
        <w:t xml:space="preserve">eview, the </w:t>
      </w:r>
      <w:r>
        <w:t xml:space="preserve">data </w:t>
      </w:r>
      <w:r w:rsidRPr="004D41BC">
        <w:t xml:space="preserve">findings below were explored. Additional insights were </w:t>
      </w:r>
      <w:r w:rsidRPr="00844AA3">
        <w:t xml:space="preserve">gathered relating to the funding arrangements and approaches, which </w:t>
      </w:r>
      <w:r>
        <w:t xml:space="preserve">provided </w:t>
      </w:r>
      <w:r w:rsidRPr="00844AA3">
        <w:t>further understanding</w:t>
      </w:r>
      <w:r>
        <w:t xml:space="preserve"> of </w:t>
      </w:r>
      <w:r w:rsidRPr="00844AA3">
        <w:t xml:space="preserve">the strengths and limitations of the current funding approaches. The final key insights are provided in </w:t>
      </w:r>
      <w:r w:rsidR="00545549" w:rsidRPr="00B65F7F">
        <w:fldChar w:fldCharType="begin"/>
      </w:r>
      <w:r w:rsidR="00545549" w:rsidRPr="00B65F7F">
        <w:instrText xml:space="preserve"> REF Ch4FinalInsights \h  \* MERGEFORMAT </w:instrText>
      </w:r>
      <w:r w:rsidR="00545549" w:rsidRPr="00B65F7F">
        <w:fldChar w:fldCharType="separate"/>
      </w:r>
      <w:r w:rsidR="00934D5E">
        <w:t xml:space="preserve">A4.3 </w:t>
      </w:r>
      <w:r w:rsidR="00934D5E" w:rsidRPr="00B65F7F">
        <w:t>Final insights</w:t>
      </w:r>
      <w:r w:rsidR="00545549" w:rsidRPr="00B65F7F">
        <w:fldChar w:fldCharType="end"/>
      </w:r>
      <w:r w:rsidRPr="00844AA3">
        <w:t>.</w:t>
      </w:r>
    </w:p>
    <w:p w14:paraId="1F5B60B2" w14:textId="77777777" w:rsidR="00A83CC8" w:rsidRDefault="00A83CC8" w:rsidP="009F63BF">
      <w:pPr>
        <w:pStyle w:val="BodyText"/>
      </w:pPr>
      <w:r>
        <w:rPr>
          <w:b/>
        </w:rPr>
        <w:t xml:space="preserve">Note: </w:t>
      </w:r>
      <w:r>
        <w:t xml:space="preserve">While the contract data was reviewed in detail by the Review Team, </w:t>
      </w:r>
      <w:r w:rsidR="00545549" w:rsidRPr="00545549">
        <w:t>it was considered so the Review Team could gain</w:t>
      </w:r>
      <w:r>
        <w:t xml:space="preserve"> a contextual understanding of the current contract and funding arrangements for the Relevant Health Programs. None of the data was relied on to inform the recommendations set out in this report. </w:t>
      </w:r>
    </w:p>
    <w:p w14:paraId="0F994B4F" w14:textId="0B0135BB" w:rsidR="00B324DD" w:rsidRPr="00B65F7F" w:rsidRDefault="00545549" w:rsidP="00A237F8">
      <w:pPr>
        <w:pStyle w:val="CaptionBox"/>
        <w:rPr>
          <w:rFonts w:ascii="Calibri" w:eastAsia="Roboto" w:hAnsi="Calibri" w:cs="Calibri"/>
          <w:szCs w:val="22"/>
          <w:highlight w:val="yellow"/>
        </w:rPr>
      </w:pPr>
      <w:bookmarkStart w:id="221" w:name="_Toc156932067"/>
      <w:r>
        <w:t>Box A4.</w:t>
      </w:r>
      <w:r>
        <w:fldChar w:fldCharType="begin"/>
      </w:r>
      <w:r>
        <w:instrText xml:space="preserve"> SEQ Box_App4 \* ARABIC </w:instrText>
      </w:r>
      <w:r>
        <w:fldChar w:fldCharType="separate"/>
      </w:r>
      <w:r w:rsidR="00934D5E">
        <w:rPr>
          <w:noProof/>
        </w:rPr>
        <w:t>6</w:t>
      </w:r>
      <w:r>
        <w:fldChar w:fldCharType="end"/>
      </w:r>
      <w:r w:rsidR="00B324DD" w:rsidRPr="00B65F7F">
        <w:t xml:space="preserve">: </w:t>
      </w:r>
      <w:r w:rsidR="00CB4462">
        <w:t>A note on the v</w:t>
      </w:r>
      <w:r w:rsidR="00B324DD">
        <w:t>alidation of and errors in the contract data</w:t>
      </w:r>
      <w:bookmarkEnd w:id="221"/>
      <w:r w:rsidR="00B324DD">
        <w:t xml:space="preserve"> </w:t>
      </w:r>
    </w:p>
    <w:tbl>
      <w:tblPr>
        <w:tblStyle w:val="NintiBox"/>
        <w:tblW w:w="9634" w:type="dxa"/>
        <w:tblLook w:val="04A0" w:firstRow="1" w:lastRow="0" w:firstColumn="1" w:lastColumn="0" w:noHBand="0" w:noVBand="1"/>
      </w:tblPr>
      <w:tblGrid>
        <w:gridCol w:w="9634"/>
      </w:tblGrid>
      <w:tr w:rsidR="00B324DD" w:rsidRPr="00B65F7F" w14:paraId="75B9821A" w14:textId="77777777" w:rsidTr="006F6DD1">
        <w:tc>
          <w:tcPr>
            <w:tcW w:w="9634" w:type="dxa"/>
          </w:tcPr>
          <w:p w14:paraId="06EAC37C" w14:textId="77777777" w:rsidR="00CB4462" w:rsidRDefault="00B324DD" w:rsidP="009F63BF">
            <w:pPr>
              <w:pStyle w:val="BodyText"/>
            </w:pPr>
            <w:r>
              <w:t xml:space="preserve">Following the submission of the Draft report, the </w:t>
            </w:r>
            <w:r w:rsidR="00867831">
              <w:t>Review Team</w:t>
            </w:r>
            <w:r>
              <w:t xml:space="preserve"> provided each PHN with a one-page </w:t>
            </w:r>
            <w:r w:rsidRPr="00B324DD">
              <w:t xml:space="preserve">summary of </w:t>
            </w:r>
            <w:r w:rsidR="00CB4462">
              <w:t>their r</w:t>
            </w:r>
            <w:r w:rsidRPr="00B324DD">
              <w:t xml:space="preserve">elevant contracts in scope for </w:t>
            </w:r>
            <w:r>
              <w:t xml:space="preserve">analysis for this section of the report. </w:t>
            </w:r>
          </w:p>
          <w:p w14:paraId="775A1ED8" w14:textId="77777777" w:rsidR="00CB4462" w:rsidRPr="00CB4462" w:rsidRDefault="00B324DD" w:rsidP="009F63BF">
            <w:pPr>
              <w:pStyle w:val="BodyText"/>
            </w:pPr>
            <w:r>
              <w:t xml:space="preserve">The purpose of </w:t>
            </w:r>
            <w:r w:rsidR="00CB4462">
              <w:t>providing each PHN with a summary of the</w:t>
            </w:r>
            <w:r w:rsidR="00CB4462" w:rsidRPr="00CB4462">
              <w:t xml:space="preserve"> contracts identified as part of the </w:t>
            </w:r>
            <w:r w:rsidR="00545549">
              <w:t>R</w:t>
            </w:r>
            <w:r w:rsidR="00CB4462" w:rsidRPr="00CB4462">
              <w:t xml:space="preserve">elevant </w:t>
            </w:r>
            <w:r w:rsidR="00545549">
              <w:t>H</w:t>
            </w:r>
            <w:r w:rsidR="00CB4462" w:rsidRPr="00CB4462">
              <w:t xml:space="preserve">ealth </w:t>
            </w:r>
            <w:r w:rsidR="00545549">
              <w:t>P</w:t>
            </w:r>
            <w:r w:rsidR="00CB4462" w:rsidRPr="00CB4462">
              <w:t xml:space="preserve">rograms </w:t>
            </w:r>
            <w:r w:rsidR="00CB4462">
              <w:t xml:space="preserve">was for information only. It was not in the scope of the Review to undertake validation and correction of any contract data errors. </w:t>
            </w:r>
          </w:p>
          <w:p w14:paraId="575E4A84" w14:textId="77777777" w:rsidR="00CB4462" w:rsidRDefault="00CB4462" w:rsidP="009F63BF">
            <w:pPr>
              <w:pStyle w:val="BodyText"/>
            </w:pPr>
            <w:r>
              <w:t xml:space="preserve">PHNs were </w:t>
            </w:r>
            <w:r w:rsidRPr="00CB4462">
              <w:t>advise</w:t>
            </w:r>
            <w:r>
              <w:t>d</w:t>
            </w:r>
            <w:r w:rsidRPr="00CB4462">
              <w:t xml:space="preserve"> </w:t>
            </w:r>
            <w:r>
              <w:t xml:space="preserve">to let the </w:t>
            </w:r>
            <w:r w:rsidR="00867831">
              <w:t>Review Team</w:t>
            </w:r>
            <w:r>
              <w:t xml:space="preserve"> know via</w:t>
            </w:r>
            <w:r w:rsidRPr="00CB4462">
              <w:t xml:space="preserve"> email if there </w:t>
            </w:r>
            <w:r>
              <w:t>were</w:t>
            </w:r>
            <w:r w:rsidRPr="00CB4462">
              <w:t xml:space="preserve"> any significant discrepancies, issues or errors in the data presented </w:t>
            </w:r>
            <w:r>
              <w:t>to them.</w:t>
            </w:r>
          </w:p>
          <w:p w14:paraId="575D8225" w14:textId="77777777" w:rsidR="00CB4462" w:rsidRDefault="00CB4462" w:rsidP="009F63BF">
            <w:pPr>
              <w:pStyle w:val="BodyText"/>
            </w:pPr>
            <w:r>
              <w:t xml:space="preserve">Many PHNs responded to indicate that the data provided (and therefore included in the Data </w:t>
            </w:r>
            <w:r w:rsidR="00545549">
              <w:t>f</w:t>
            </w:r>
            <w:r>
              <w:t xml:space="preserve">indings </w:t>
            </w:r>
            <w:r w:rsidR="00545549">
              <w:t>A4.2</w:t>
            </w:r>
            <w:r>
              <w:t xml:space="preserve">.1 and </w:t>
            </w:r>
            <w:r w:rsidR="00545549">
              <w:t>A4.2</w:t>
            </w:r>
            <w:r>
              <w:t>.2</w:t>
            </w:r>
            <w:r w:rsidR="00545549">
              <w:t>)</w:t>
            </w:r>
            <w:r>
              <w:t xml:space="preserve"> had errors and were incorrect. </w:t>
            </w:r>
          </w:p>
          <w:p w14:paraId="39569744" w14:textId="77777777" w:rsidR="00CB4462" w:rsidRPr="00CB4462" w:rsidRDefault="00CB4462" w:rsidP="009F63BF">
            <w:pPr>
              <w:pStyle w:val="BodyText"/>
            </w:pPr>
            <w:r>
              <w:t xml:space="preserve">As such, Data </w:t>
            </w:r>
            <w:r w:rsidR="00545549">
              <w:t>f</w:t>
            </w:r>
            <w:r>
              <w:t xml:space="preserve">indings </w:t>
            </w:r>
            <w:r w:rsidR="00545549">
              <w:t>A4.2.1 and A4.2.2</w:t>
            </w:r>
            <w:r>
              <w:t xml:space="preserve"> should be interpreted with caution, as the accuracy of the data is confirmed to be very low – as indicated in Data </w:t>
            </w:r>
            <w:r w:rsidR="00545549">
              <w:t>f</w:t>
            </w:r>
            <w:r>
              <w:t xml:space="preserve">inding </w:t>
            </w:r>
            <w:r w:rsidR="00545549">
              <w:t>A4.2</w:t>
            </w:r>
            <w:r>
              <w:t xml:space="preserve">.3. </w:t>
            </w:r>
          </w:p>
          <w:p w14:paraId="49F5CCAA" w14:textId="77777777" w:rsidR="00B324DD" w:rsidRPr="00B65F7F" w:rsidRDefault="00CB4462" w:rsidP="009F63BF">
            <w:pPr>
              <w:pStyle w:val="BodyText"/>
            </w:pPr>
            <w:r>
              <w:t>PHNs were advised that the</w:t>
            </w:r>
            <w:r w:rsidRPr="00CB4462">
              <w:t xml:space="preserve"> analysis and data presented in the report are for contextual purposes only</w:t>
            </w:r>
            <w:r>
              <w:t xml:space="preserve">, and so </w:t>
            </w:r>
            <w:r w:rsidRPr="00CB4462">
              <w:t xml:space="preserve">any discrepancies, issues or errors will not </w:t>
            </w:r>
            <w:r>
              <w:t>impact</w:t>
            </w:r>
            <w:r w:rsidRPr="00CB4462">
              <w:t xml:space="preserve"> the outcomes of the </w:t>
            </w:r>
            <w:r w:rsidR="00545549">
              <w:t>R</w:t>
            </w:r>
            <w:r w:rsidRPr="00CB4462">
              <w:t xml:space="preserve">eview (including </w:t>
            </w:r>
            <w:r>
              <w:t xml:space="preserve">contracts in scope for transition, report </w:t>
            </w:r>
            <w:r w:rsidRPr="00CB4462">
              <w:t>findings</w:t>
            </w:r>
            <w:r>
              <w:t xml:space="preserve"> and</w:t>
            </w:r>
            <w:r w:rsidRPr="00CB4462">
              <w:t xml:space="preserve"> recommendations).</w:t>
            </w:r>
          </w:p>
        </w:tc>
      </w:tr>
    </w:tbl>
    <w:p w14:paraId="68C1124F" w14:textId="77777777" w:rsidR="00B324DD" w:rsidRPr="00A83CC8" w:rsidRDefault="00B324DD" w:rsidP="00CE23E2">
      <w:pPr>
        <w:pStyle w:val="BodyText"/>
      </w:pPr>
    </w:p>
    <w:p w14:paraId="51E84C12" w14:textId="77777777" w:rsidR="00F94F86" w:rsidRPr="00B65F7F" w:rsidRDefault="00F94F86" w:rsidP="00E2348C">
      <w:pPr>
        <w:pStyle w:val="HeadingLevel3NoNumber"/>
      </w:pPr>
      <w:bookmarkStart w:id="222" w:name="_fb7bdo4ep1cj"/>
      <w:bookmarkStart w:id="223" w:name="_Toc145955246"/>
      <w:bookmarkStart w:id="224" w:name="_Toc145313165"/>
      <w:bookmarkEnd w:id="222"/>
      <w:r w:rsidRPr="00844AA3">
        <w:lastRenderedPageBreak/>
        <w:t>Data finding 1: The distribution</w:t>
      </w:r>
      <w:r w:rsidRPr="5C2F0F61">
        <w:t xml:space="preserve"> of mental health and suicide prevention </w:t>
      </w:r>
      <w:r>
        <w:t xml:space="preserve">services </w:t>
      </w:r>
      <w:r w:rsidRPr="5C2F0F61">
        <w:t xml:space="preserve">and ITC </w:t>
      </w:r>
      <w:r>
        <w:t xml:space="preserve">program </w:t>
      </w:r>
      <w:r w:rsidRPr="5C2F0F61">
        <w:t>contract</w:t>
      </w:r>
      <w:r>
        <w:t xml:space="preserve">s varies </w:t>
      </w:r>
      <w:r w:rsidRPr="5C2F0F61">
        <w:t>between Indigenous and non-Indigenous service providers</w:t>
      </w:r>
      <w:bookmarkEnd w:id="223"/>
      <w:r w:rsidRPr="5C2F0F61">
        <w:t xml:space="preserve"> </w:t>
      </w:r>
      <w:bookmarkEnd w:id="224"/>
    </w:p>
    <w:p w14:paraId="57BB338B" w14:textId="77777777" w:rsidR="00F94F86" w:rsidRDefault="00F94F86" w:rsidP="009F63BF">
      <w:pPr>
        <w:pStyle w:val="BodyText"/>
        <w:keepLines/>
      </w:pPr>
      <w:r w:rsidRPr="006C58E3">
        <w:t xml:space="preserve">The following figures (Figures </w:t>
      </w:r>
      <w:r w:rsidR="006C58E3" w:rsidRPr="006C58E3">
        <w:t>A4.</w:t>
      </w:r>
      <w:r w:rsidR="00271666">
        <w:t>2</w:t>
      </w:r>
      <w:r w:rsidRPr="006C58E3">
        <w:t xml:space="preserve"> to </w:t>
      </w:r>
      <w:r w:rsidR="006C58E3" w:rsidRPr="006C58E3">
        <w:t>A4.</w:t>
      </w:r>
      <w:r w:rsidR="00271666">
        <w:t>7</w:t>
      </w:r>
      <w:r w:rsidRPr="006C58E3">
        <w:t>) provi</w:t>
      </w:r>
      <w:r w:rsidRPr="5C2F0F61">
        <w:t xml:space="preserve">de a snapshot of the number of contracts PHNs have issued to Indigenous and non-Indigenous service providers </w:t>
      </w:r>
      <w:r>
        <w:t>d</w:t>
      </w:r>
      <w:r w:rsidRPr="00133EE0">
        <w:t>uring the period of 1 July 2016 to 30 June 2022</w:t>
      </w:r>
      <w:r w:rsidR="00A4635D">
        <w:t xml:space="preserve"> for the </w:t>
      </w:r>
      <w:r w:rsidR="002B5174">
        <w:t>Relevant Health Programs</w:t>
      </w:r>
      <w:r w:rsidRPr="5C2F0F61">
        <w:t xml:space="preserve">. The </w:t>
      </w:r>
      <w:r>
        <w:t>figures</w:t>
      </w:r>
      <w:r w:rsidRPr="5C2F0F61">
        <w:t xml:space="preserve"> also indicate the proportion of the population residing in the catchment identified as Aboriginal and/or Torres Strait Islander (based on 2021 census data). </w:t>
      </w:r>
    </w:p>
    <w:p w14:paraId="43B52FA4" w14:textId="77777777" w:rsidR="00F94F86" w:rsidRPr="00B65F7F" w:rsidRDefault="00F94F86" w:rsidP="009F63BF">
      <w:pPr>
        <w:pStyle w:val="BodyText"/>
      </w:pPr>
      <w:r>
        <w:t xml:space="preserve">For mental health and suicide prevention services for the period </w:t>
      </w:r>
      <w:r w:rsidRPr="00340F04">
        <w:t xml:space="preserve">1 July 2016 to 30 June </w:t>
      </w:r>
      <w:r>
        <w:t>2022:</w:t>
      </w:r>
    </w:p>
    <w:p w14:paraId="18F17FBF" w14:textId="77777777" w:rsidR="00F94F86" w:rsidRDefault="00F94F86" w:rsidP="009F63BF">
      <w:pPr>
        <w:pStyle w:val="ListBullet2"/>
      </w:pPr>
      <w:r>
        <w:t>72% of all contracts across Australia for the period were awarded to Indigenous service providers</w:t>
      </w:r>
    </w:p>
    <w:p w14:paraId="03BE7BB6" w14:textId="77777777" w:rsidR="00F94F86" w:rsidRDefault="00F94F86" w:rsidP="009F63BF">
      <w:pPr>
        <w:pStyle w:val="ListBullet2"/>
      </w:pPr>
      <w:r>
        <w:t>9 of 31 PHNs awarded all contracts (100%) to Indigenous service providers</w:t>
      </w:r>
    </w:p>
    <w:p w14:paraId="3D9CA6DF" w14:textId="77777777" w:rsidR="00F94F86" w:rsidRDefault="00F94F86" w:rsidP="009F63BF">
      <w:pPr>
        <w:pStyle w:val="ListBullet2"/>
      </w:pPr>
      <w:r>
        <w:t>3 of 31 PHNs did not award any contracts (0%) to Indigenous service providers</w:t>
      </w:r>
    </w:p>
    <w:p w14:paraId="3DBA83DE" w14:textId="77777777" w:rsidR="00F94F86" w:rsidRDefault="00F94F86" w:rsidP="009F63BF">
      <w:pPr>
        <w:pStyle w:val="ListBullet2"/>
      </w:pPr>
      <w:r>
        <w:t>24 of 31 PHNs awarded half or more (</w:t>
      </w:r>
      <w:r w:rsidRPr="00FB4017">
        <w:t>≥</w:t>
      </w:r>
      <w:r>
        <w:t>50%) to Indigenous service providers</w:t>
      </w:r>
      <w:r w:rsidR="00E031BC">
        <w:t>.</w:t>
      </w:r>
    </w:p>
    <w:p w14:paraId="3761A0BC" w14:textId="1D8AE5B6" w:rsidR="00F94F86" w:rsidRDefault="001B271F" w:rsidP="009F63BF">
      <w:pPr>
        <w:pStyle w:val="BodyText1stparaafterlist"/>
      </w:pPr>
      <w:r>
        <w:rPr>
          <w:highlight w:val="cyan"/>
        </w:rPr>
        <w:fldChar w:fldCharType="begin"/>
      </w:r>
      <w:r>
        <w:rPr>
          <w:highlight w:val="cyan"/>
        </w:rPr>
        <w:instrText xml:space="preserve"> REF _Ref151899705 \h </w:instrText>
      </w:r>
      <w:r>
        <w:rPr>
          <w:highlight w:val="cyan"/>
        </w:rPr>
      </w:r>
      <w:r>
        <w:rPr>
          <w:highlight w:val="cyan"/>
        </w:rPr>
        <w:fldChar w:fldCharType="separate"/>
      </w:r>
      <w:r w:rsidR="00934D5E">
        <w:t>Table A4.</w:t>
      </w:r>
      <w:r w:rsidR="00934D5E">
        <w:rPr>
          <w:noProof/>
        </w:rPr>
        <w:t>2</w:t>
      </w:r>
      <w:r>
        <w:rPr>
          <w:highlight w:val="cyan"/>
        </w:rPr>
        <w:fldChar w:fldCharType="end"/>
      </w:r>
      <w:r w:rsidR="00F94F86" w:rsidRPr="00B65F7F">
        <w:t xml:space="preserve"> below summarises the number and type of service providers commissioned for mental health and suicide prevention </w:t>
      </w:r>
      <w:r w:rsidR="00F94F86">
        <w:t xml:space="preserve">for the period </w:t>
      </w:r>
      <w:r w:rsidR="00F94F86" w:rsidRPr="00340F04">
        <w:t xml:space="preserve">1 July 2016 to 30 June </w:t>
      </w:r>
      <w:r w:rsidR="00F94F86">
        <w:t>2022</w:t>
      </w:r>
      <w:r w:rsidR="00F94F86" w:rsidRPr="00B65F7F">
        <w:t xml:space="preserve">. </w:t>
      </w:r>
    </w:p>
    <w:p w14:paraId="376011E8" w14:textId="77777777" w:rsidR="00F94F86" w:rsidRPr="00B65F7F" w:rsidRDefault="00F94F86" w:rsidP="009F63BF">
      <w:pPr>
        <w:pStyle w:val="BodyText"/>
      </w:pPr>
      <w:r>
        <w:t xml:space="preserve">For ITC services for the period </w:t>
      </w:r>
      <w:r w:rsidRPr="00340F04">
        <w:t xml:space="preserve">1 July 2016 to 30 June </w:t>
      </w:r>
      <w:r>
        <w:t>2022:</w:t>
      </w:r>
    </w:p>
    <w:p w14:paraId="7B9BC14D" w14:textId="77777777" w:rsidR="00F94F86" w:rsidRDefault="00F94F86" w:rsidP="009F63BF">
      <w:pPr>
        <w:pStyle w:val="ListBullet2"/>
      </w:pPr>
      <w:r>
        <w:t>65% of all contracts across Australia for the period were awarded to Indigenous service providers</w:t>
      </w:r>
    </w:p>
    <w:p w14:paraId="2153A6E1" w14:textId="77777777" w:rsidR="00F94F86" w:rsidRDefault="00F94F86" w:rsidP="009F63BF">
      <w:pPr>
        <w:pStyle w:val="ListBullet2"/>
      </w:pPr>
      <w:r>
        <w:t>6 of 31 PHNs awarded all contracts (100%) to Indigenous service providers</w:t>
      </w:r>
    </w:p>
    <w:p w14:paraId="2135BB9D" w14:textId="77777777" w:rsidR="00F94F86" w:rsidRDefault="00F94F86" w:rsidP="009F63BF">
      <w:pPr>
        <w:pStyle w:val="ListBullet2"/>
      </w:pPr>
      <w:r>
        <w:t>5 of 31 PHNs did not award any contracts (0%) to Indigenous service providers</w:t>
      </w:r>
    </w:p>
    <w:p w14:paraId="256B4084" w14:textId="77777777" w:rsidR="00F94F86" w:rsidRDefault="00F94F86" w:rsidP="009F63BF">
      <w:pPr>
        <w:pStyle w:val="ListBullet2"/>
      </w:pPr>
      <w:r>
        <w:t>22 of 31 PHNs awarded half or more (</w:t>
      </w:r>
      <w:r w:rsidRPr="00FB4017">
        <w:t>≥</w:t>
      </w:r>
      <w:r>
        <w:t>50%) to Indigenous service providers</w:t>
      </w:r>
      <w:r w:rsidR="00E031BC">
        <w:t>.</w:t>
      </w:r>
    </w:p>
    <w:p w14:paraId="1E96D090" w14:textId="099EE52E" w:rsidR="00F94F86" w:rsidRDefault="001B271F" w:rsidP="009F63BF">
      <w:pPr>
        <w:pStyle w:val="BodyText1stparaafterlist"/>
      </w:pPr>
      <w:r>
        <w:fldChar w:fldCharType="begin"/>
      </w:r>
      <w:r>
        <w:instrText xml:space="preserve"> REF _Ref151899712 \h </w:instrText>
      </w:r>
      <w:r>
        <w:fldChar w:fldCharType="separate"/>
      </w:r>
      <w:r w:rsidR="00934D5E">
        <w:t>Table A4.</w:t>
      </w:r>
      <w:r w:rsidR="00934D5E">
        <w:rPr>
          <w:noProof/>
        </w:rPr>
        <w:t>3</w:t>
      </w:r>
      <w:r>
        <w:fldChar w:fldCharType="end"/>
      </w:r>
      <w:r>
        <w:t xml:space="preserve"> </w:t>
      </w:r>
      <w:r w:rsidR="00F94F86" w:rsidRPr="00B65F7F">
        <w:t xml:space="preserve">below summarises the number and type of service providers commissioned for </w:t>
      </w:r>
      <w:r w:rsidR="00F94F86">
        <w:t>ITC</w:t>
      </w:r>
      <w:r w:rsidR="00F94F86" w:rsidRPr="00B65F7F">
        <w:t xml:space="preserve"> </w:t>
      </w:r>
      <w:r w:rsidR="00F94F86">
        <w:t xml:space="preserve">for the period </w:t>
      </w:r>
      <w:r w:rsidR="00F94F86" w:rsidRPr="00340F04">
        <w:t xml:space="preserve">1 July 2016 to 30 June </w:t>
      </w:r>
      <w:r w:rsidR="00F94F86">
        <w:t>2022</w:t>
      </w:r>
      <w:r w:rsidR="00F94F86" w:rsidRPr="00B65F7F">
        <w:t>.</w:t>
      </w:r>
    </w:p>
    <w:p w14:paraId="1ACBD82A" w14:textId="6E804C5B" w:rsidR="00F94F86" w:rsidRDefault="00F94F86" w:rsidP="009F63BF">
      <w:pPr>
        <w:pStyle w:val="BodyText"/>
        <w:rPr>
          <w:b/>
          <w:bCs/>
          <w:sz w:val="28"/>
          <w:szCs w:val="28"/>
        </w:rPr>
      </w:pPr>
      <w:r w:rsidRPr="00B65F7F">
        <w:t xml:space="preserve">Further data is available in </w:t>
      </w:r>
      <w:r w:rsidR="00E418BB">
        <w:rPr>
          <w:b/>
          <w:bCs/>
        </w:rPr>
        <w:fldChar w:fldCharType="begin"/>
      </w:r>
      <w:r w:rsidR="00E418BB">
        <w:instrText xml:space="preserve"> REF App10_notitle \h </w:instrText>
      </w:r>
      <w:r w:rsidR="00E418BB">
        <w:rPr>
          <w:b/>
          <w:bCs/>
        </w:rPr>
      </w:r>
      <w:r w:rsidR="00E418BB">
        <w:rPr>
          <w:b/>
          <w:bCs/>
        </w:rPr>
        <w:fldChar w:fldCharType="separate"/>
      </w:r>
      <w:r w:rsidR="00934D5E" w:rsidRPr="00B65F7F">
        <w:t xml:space="preserve">Appendix </w:t>
      </w:r>
      <w:r w:rsidR="00934D5E">
        <w:t>10</w:t>
      </w:r>
      <w:r w:rsidR="00E418BB">
        <w:rPr>
          <w:b/>
          <w:bCs/>
        </w:rPr>
        <w:fldChar w:fldCharType="end"/>
      </w:r>
      <w:r>
        <w:t>.</w:t>
      </w:r>
    </w:p>
    <w:p w14:paraId="19309169" w14:textId="77777777" w:rsidR="00F94F86" w:rsidRPr="00C34FFC" w:rsidRDefault="00F94F86" w:rsidP="00292E56">
      <w:pPr>
        <w:pStyle w:val="BodyText"/>
      </w:pPr>
    </w:p>
    <w:p w14:paraId="77472DED" w14:textId="77777777" w:rsidR="00F94F86" w:rsidRPr="00C34FFC" w:rsidRDefault="00F94F86" w:rsidP="00292E56">
      <w:pPr>
        <w:pStyle w:val="BodyText"/>
        <w:rPr>
          <w:rFonts w:eastAsia="Roboto"/>
        </w:rPr>
        <w:sectPr w:rsidR="00F94F86" w:rsidRPr="00C34FFC" w:rsidSect="002B05C0">
          <w:headerReference w:type="default" r:id="rId90"/>
          <w:footerReference w:type="default" r:id="rId91"/>
          <w:pgSz w:w="11907" w:h="16840" w:code="9"/>
          <w:pgMar w:top="1134" w:right="1134" w:bottom="1276" w:left="1134" w:header="720" w:footer="578" w:gutter="0"/>
          <w:cols w:space="720"/>
        </w:sectPr>
      </w:pPr>
    </w:p>
    <w:p w14:paraId="00B9D390" w14:textId="6F3A6A1F" w:rsidR="006C58E3" w:rsidRPr="00B65F7F" w:rsidRDefault="006C58E3" w:rsidP="006C58E3">
      <w:pPr>
        <w:pStyle w:val="CaptionFigure"/>
        <w:spacing w:before="0"/>
      </w:pPr>
      <w:bookmarkStart w:id="225" w:name="_Toc145313197"/>
      <w:bookmarkStart w:id="226" w:name="_Toc145617765"/>
      <w:bookmarkStart w:id="227" w:name="_Toc156932037"/>
      <w:r>
        <w:lastRenderedPageBreak/>
        <w:t>Figure A4.</w:t>
      </w:r>
      <w:r>
        <w:fldChar w:fldCharType="begin"/>
      </w:r>
      <w:r>
        <w:instrText>SEQ Figure_App4 \* ARABIC</w:instrText>
      </w:r>
      <w:r>
        <w:fldChar w:fldCharType="separate"/>
      </w:r>
      <w:r w:rsidR="00934D5E">
        <w:rPr>
          <w:noProof/>
        </w:rPr>
        <w:t>2</w:t>
      </w:r>
      <w:r>
        <w:fldChar w:fldCharType="end"/>
      </w:r>
      <w:r w:rsidRPr="00B65F7F">
        <w:t xml:space="preserve">: Number of mental health and suicide prevention and ITC contracts in New South Wales PHN regions, </w:t>
      </w:r>
      <w:r w:rsidRPr="003337CA">
        <w:t>1 July 2016 to 30 June 2022</w:t>
      </w:r>
      <w:r w:rsidRPr="00B65F7F">
        <w:t>, by service provider type</w:t>
      </w:r>
      <w:bookmarkEnd w:id="225"/>
      <w:bookmarkEnd w:id="226"/>
      <w:bookmarkEnd w:id="227"/>
    </w:p>
    <w:p w14:paraId="73F5F587" w14:textId="77777777" w:rsidR="00F94F86" w:rsidRPr="00B65F7F" w:rsidRDefault="006C58E3" w:rsidP="00401B30">
      <w:pPr>
        <w:pStyle w:val="BodyText"/>
      </w:pPr>
      <w:r>
        <w:rPr>
          <w:noProof/>
        </w:rPr>
        <w:drawing>
          <wp:inline distT="0" distB="0" distL="0" distR="0" wp14:anchorId="17BAE331" wp14:editId="3213CBAD">
            <wp:extent cx="4699783" cy="4019412"/>
            <wp:effectExtent l="0" t="0" r="0" b="0"/>
            <wp:docPr id="2114510576" name="Picture 2114510576" descr="A map of New South Wales is marked into 10 regions, and the numbers of Indigenous and non-Indigenous contracts in each category are shown for each region. The numbers are provided in Tables A4.2 and A4.3, set out by contract categor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510576" name="Picture 7" descr="A map of New South Wales is marked into 10 regions, and the numbers of Indigenous and non-Indigenous contracts in each category are shown for each region. The numbers are provided in Tables A4.2 and A4.3, set out by contract category.&#10;"/>
                    <pic:cNvPicPr/>
                  </pic:nvPicPr>
                  <pic:blipFill>
                    <a:blip r:embed="rId92" cstate="print">
                      <a:extLst>
                        <a:ext uri="{28A0092B-C50C-407E-A947-70E740481C1C}">
                          <a14:useLocalDpi xmlns:a14="http://schemas.microsoft.com/office/drawing/2010/main"/>
                        </a:ext>
                      </a:extLst>
                    </a:blip>
                    <a:stretch>
                      <a:fillRect/>
                    </a:stretch>
                  </pic:blipFill>
                  <pic:spPr>
                    <a:xfrm>
                      <a:off x="0" y="0"/>
                      <a:ext cx="4699783" cy="4019412"/>
                    </a:xfrm>
                    <a:prstGeom prst="rect">
                      <a:avLst/>
                    </a:prstGeom>
                  </pic:spPr>
                </pic:pic>
              </a:graphicData>
            </a:graphic>
          </wp:inline>
        </w:drawing>
      </w:r>
    </w:p>
    <w:p w14:paraId="3DD9416B" w14:textId="2D6D11FA" w:rsidR="006C58E3" w:rsidRPr="00B65F7F" w:rsidRDefault="006C58E3" w:rsidP="006C58E3">
      <w:pPr>
        <w:pStyle w:val="CaptionFigure"/>
      </w:pPr>
      <w:r>
        <w:rPr>
          <w:rFonts w:eastAsia="Roboto"/>
        </w:rPr>
        <w:br w:type="column"/>
      </w:r>
      <w:bookmarkStart w:id="228" w:name="_Toc145313198"/>
      <w:bookmarkStart w:id="229" w:name="_Toc145617766"/>
      <w:bookmarkStart w:id="230" w:name="_Toc156932038"/>
      <w:r>
        <w:t>Figure A4.</w:t>
      </w:r>
      <w:r>
        <w:fldChar w:fldCharType="begin"/>
      </w:r>
      <w:r>
        <w:instrText>SEQ Figure_App4 \* ARABIC</w:instrText>
      </w:r>
      <w:r>
        <w:fldChar w:fldCharType="separate"/>
      </w:r>
      <w:r w:rsidR="00934D5E">
        <w:rPr>
          <w:noProof/>
        </w:rPr>
        <w:t>3</w:t>
      </w:r>
      <w:r>
        <w:fldChar w:fldCharType="end"/>
      </w:r>
      <w:r w:rsidRPr="00B65F7F">
        <w:t>: Number of mental health and suicide prevention and ITC contracts in Victorian PHN regions</w:t>
      </w:r>
      <w:r>
        <w:t xml:space="preserve">, </w:t>
      </w:r>
      <w:r w:rsidRPr="003337CA">
        <w:t>1 July 2016 to 30 June 2022</w:t>
      </w:r>
      <w:r w:rsidRPr="00B65F7F">
        <w:t>, by service provider type</w:t>
      </w:r>
      <w:bookmarkEnd w:id="228"/>
      <w:bookmarkEnd w:id="229"/>
      <w:bookmarkEnd w:id="230"/>
      <w:r>
        <w:br/>
      </w:r>
    </w:p>
    <w:p w14:paraId="52AF712C" w14:textId="77777777" w:rsidR="006C58E3" w:rsidRDefault="006C58E3" w:rsidP="00401B30">
      <w:pPr>
        <w:pStyle w:val="BodyText"/>
      </w:pPr>
      <w:r>
        <w:rPr>
          <w:noProof/>
        </w:rPr>
        <w:drawing>
          <wp:inline distT="0" distB="0" distL="0" distR="0" wp14:anchorId="35905700" wp14:editId="1C1ECD37">
            <wp:extent cx="4269581" cy="3978000"/>
            <wp:effectExtent l="0" t="0" r="0" b="0"/>
            <wp:docPr id="1011403323" name="Picture 1011403323" descr="A map of Victoria is marked into 6 regions, and the numbers of Indigenous and non-Indigenous contracts in each category are shown for each region. The numbers are provided in Tables A4.2 and A4.3, set out by contract categor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403323" name="Picture 8" descr="A map of Victoria is marked into 6 regions, and the numbers of Indigenous and non-Indigenous contracts in each category are shown for each region. The numbers are provided in Tables A4.2 and A4.3, set out by contract category.&#10;"/>
                    <pic:cNvPicPr/>
                  </pic:nvPicPr>
                  <pic:blipFill>
                    <a:blip r:embed="rId93" cstate="print">
                      <a:extLst>
                        <a:ext uri="{28A0092B-C50C-407E-A947-70E740481C1C}">
                          <a14:useLocalDpi xmlns:a14="http://schemas.microsoft.com/office/drawing/2010/main"/>
                        </a:ext>
                      </a:extLst>
                    </a:blip>
                    <a:stretch>
                      <a:fillRect/>
                    </a:stretch>
                  </pic:blipFill>
                  <pic:spPr>
                    <a:xfrm>
                      <a:off x="0" y="0"/>
                      <a:ext cx="4269581" cy="3978000"/>
                    </a:xfrm>
                    <a:prstGeom prst="rect">
                      <a:avLst/>
                    </a:prstGeom>
                  </pic:spPr>
                </pic:pic>
              </a:graphicData>
            </a:graphic>
          </wp:inline>
        </w:drawing>
      </w:r>
    </w:p>
    <w:p w14:paraId="2F9593E1" w14:textId="77777777" w:rsidR="006C58E3" w:rsidRDefault="006C58E3">
      <w:pPr>
        <w:rPr>
          <w:rFonts w:ascii="Roboto" w:eastAsia="Roboto" w:hAnsi="Roboto" w:cs="Roboto"/>
          <w:b/>
          <w:bCs/>
          <w:sz w:val="22"/>
          <w:szCs w:val="22"/>
          <w:lang w:eastAsia="en-US" w:bidi="en-US"/>
        </w:rPr>
      </w:pPr>
      <w:r>
        <w:rPr>
          <w:rFonts w:ascii="Roboto" w:eastAsia="Roboto" w:hAnsi="Roboto" w:cs="Roboto"/>
          <w:b/>
          <w:bCs/>
        </w:rPr>
        <w:br w:type="page"/>
      </w:r>
    </w:p>
    <w:p w14:paraId="1856F1FD" w14:textId="70871501" w:rsidR="006C58E3" w:rsidRPr="00B65F7F" w:rsidRDefault="006C58E3" w:rsidP="006C58E3">
      <w:pPr>
        <w:pStyle w:val="CaptionFigure"/>
      </w:pPr>
      <w:bookmarkStart w:id="231" w:name="_Toc145313199"/>
      <w:bookmarkStart w:id="232" w:name="_Toc145617767"/>
      <w:bookmarkStart w:id="233" w:name="_Toc156932039"/>
      <w:r>
        <w:lastRenderedPageBreak/>
        <w:t>Figure A4.</w:t>
      </w:r>
      <w:r>
        <w:fldChar w:fldCharType="begin"/>
      </w:r>
      <w:r>
        <w:instrText>SEQ Figure_App4 \* ARABIC</w:instrText>
      </w:r>
      <w:r>
        <w:fldChar w:fldCharType="separate"/>
      </w:r>
      <w:r w:rsidR="00934D5E">
        <w:rPr>
          <w:noProof/>
        </w:rPr>
        <w:t>4</w:t>
      </w:r>
      <w:r>
        <w:fldChar w:fldCharType="end"/>
      </w:r>
      <w:r w:rsidRPr="00B65F7F">
        <w:t xml:space="preserve">: Number of mental health and suicide prevention and ITC contracts in Queensland PHN regions, </w:t>
      </w:r>
      <w:r w:rsidRPr="003337CA">
        <w:t>1 July 2016 to 30 June 2022</w:t>
      </w:r>
      <w:r w:rsidRPr="00B65F7F">
        <w:t>, by service provider type</w:t>
      </w:r>
      <w:bookmarkEnd w:id="231"/>
      <w:bookmarkEnd w:id="232"/>
      <w:bookmarkEnd w:id="233"/>
    </w:p>
    <w:p w14:paraId="5A8E22D1" w14:textId="77777777" w:rsidR="006C58E3" w:rsidRPr="00B65F7F" w:rsidRDefault="006C58E3" w:rsidP="00401B30">
      <w:pPr>
        <w:pStyle w:val="BodyText"/>
      </w:pPr>
    </w:p>
    <w:p w14:paraId="19DA96B4" w14:textId="77777777" w:rsidR="00F94F86" w:rsidRPr="00B65F7F" w:rsidRDefault="00F94F86" w:rsidP="00401B30">
      <w:pPr>
        <w:pStyle w:val="BodyText"/>
      </w:pPr>
      <w:r>
        <w:rPr>
          <w:noProof/>
        </w:rPr>
        <w:drawing>
          <wp:inline distT="0" distB="0" distL="0" distR="0" wp14:anchorId="2E5D6096" wp14:editId="2DD32E23">
            <wp:extent cx="4693493" cy="4140679"/>
            <wp:effectExtent l="0" t="0" r="5715" b="0"/>
            <wp:docPr id="2134822550" name="Picture 2134822550" descr="A map of Queensland is marked into 7 regions, and the numbers of Indigenous and non-Indigenous contracts in each category are shown for each region. The numbers are provided in Tables A4.2 and A4.3, set out by contract categor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822550" name="Picture 9" descr="A map of Queensland is marked into 7 regions, and the numbers of Indigenous and non-Indigenous contracts in each category are shown for each region. The numbers are provided in Tables A4.2 and A4.3, set out by contract category.&#10;"/>
                    <pic:cNvPicPr/>
                  </pic:nvPicPr>
                  <pic:blipFill>
                    <a:blip r:embed="rId94" cstate="print">
                      <a:extLst>
                        <a:ext uri="{28A0092B-C50C-407E-A947-70E740481C1C}">
                          <a14:useLocalDpi xmlns:a14="http://schemas.microsoft.com/office/drawing/2010/main"/>
                        </a:ext>
                      </a:extLst>
                    </a:blip>
                    <a:stretch>
                      <a:fillRect/>
                    </a:stretch>
                  </pic:blipFill>
                  <pic:spPr>
                    <a:xfrm>
                      <a:off x="0" y="0"/>
                      <a:ext cx="4701531" cy="4147770"/>
                    </a:xfrm>
                    <a:prstGeom prst="rect">
                      <a:avLst/>
                    </a:prstGeom>
                  </pic:spPr>
                </pic:pic>
              </a:graphicData>
            </a:graphic>
          </wp:inline>
        </w:drawing>
      </w:r>
    </w:p>
    <w:p w14:paraId="71D424A5" w14:textId="6A061791" w:rsidR="006C58E3" w:rsidRPr="00B65F7F" w:rsidRDefault="006C58E3" w:rsidP="002E3CFE">
      <w:pPr>
        <w:pStyle w:val="CaptionFigure"/>
      </w:pPr>
      <w:r>
        <w:br w:type="column"/>
      </w:r>
      <w:bookmarkStart w:id="234" w:name="_Toc145313200"/>
      <w:bookmarkStart w:id="235" w:name="_Toc145617768"/>
      <w:bookmarkStart w:id="236" w:name="_Toc156932040"/>
      <w:r>
        <w:t>Figure A4.</w:t>
      </w:r>
      <w:r>
        <w:fldChar w:fldCharType="begin"/>
      </w:r>
      <w:r>
        <w:instrText>SEQ Figure_App4 \* ARABIC</w:instrText>
      </w:r>
      <w:r>
        <w:fldChar w:fldCharType="separate"/>
      </w:r>
      <w:r w:rsidR="00934D5E">
        <w:rPr>
          <w:noProof/>
        </w:rPr>
        <w:t>5</w:t>
      </w:r>
      <w:r>
        <w:fldChar w:fldCharType="end"/>
      </w:r>
      <w:r w:rsidRPr="5C2F0F61">
        <w:t xml:space="preserve">: Number of mental health and suicide prevention and ITC contracts in South Australian PHN regions, </w:t>
      </w:r>
      <w:r w:rsidRPr="003337CA">
        <w:t>1 July 2016 to 30 June 2022</w:t>
      </w:r>
      <w:r w:rsidRPr="5C2F0F61">
        <w:t>, by service provider type</w:t>
      </w:r>
      <w:bookmarkEnd w:id="234"/>
      <w:bookmarkEnd w:id="235"/>
      <w:bookmarkEnd w:id="236"/>
    </w:p>
    <w:p w14:paraId="728EC30D" w14:textId="77777777" w:rsidR="00F94F86" w:rsidRPr="00B65F7F" w:rsidRDefault="00F94F86" w:rsidP="00401B30">
      <w:pPr>
        <w:pStyle w:val="BodyText"/>
      </w:pPr>
    </w:p>
    <w:p w14:paraId="69DDC654" w14:textId="77777777" w:rsidR="00F94F86" w:rsidRPr="00B65F7F" w:rsidRDefault="00F94F86" w:rsidP="00401B30">
      <w:pPr>
        <w:pStyle w:val="BodyText"/>
      </w:pPr>
      <w:r>
        <w:rPr>
          <w:noProof/>
        </w:rPr>
        <w:drawing>
          <wp:inline distT="0" distB="0" distL="0" distR="0" wp14:anchorId="2A55AC8C" wp14:editId="47BF5A9F">
            <wp:extent cx="4448510" cy="4121414"/>
            <wp:effectExtent l="0" t="0" r="0" b="0"/>
            <wp:docPr id="453891084" name="Picture 453891084" descr="A map of South Australia is marked into 2 regions, and the numbers of Indigenous and non-Indigenous contracts in each category are shown for each region. The numbers are provided in Tables A4.2 and A4.3, set out by contract categor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891084" name="Picture 10" descr="A map of South Australia is marked into 2 regions, and the numbers of Indigenous and non-Indigenous contracts in each category are shown for each region. The numbers are provided in Tables A4.2 and A4.3, set out by contract category.&#10;"/>
                    <pic:cNvPicPr/>
                  </pic:nvPicPr>
                  <pic:blipFill>
                    <a:blip r:embed="rId95" cstate="print">
                      <a:extLst>
                        <a:ext uri="{28A0092B-C50C-407E-A947-70E740481C1C}">
                          <a14:useLocalDpi xmlns:a14="http://schemas.microsoft.com/office/drawing/2010/main"/>
                        </a:ext>
                      </a:extLst>
                    </a:blip>
                    <a:stretch>
                      <a:fillRect/>
                    </a:stretch>
                  </pic:blipFill>
                  <pic:spPr>
                    <a:xfrm>
                      <a:off x="0" y="0"/>
                      <a:ext cx="4455939" cy="4128296"/>
                    </a:xfrm>
                    <a:prstGeom prst="rect">
                      <a:avLst/>
                    </a:prstGeom>
                  </pic:spPr>
                </pic:pic>
              </a:graphicData>
            </a:graphic>
          </wp:inline>
        </w:drawing>
      </w:r>
    </w:p>
    <w:p w14:paraId="7C0E610C" w14:textId="77777777" w:rsidR="006C58E3" w:rsidRDefault="006C58E3">
      <w:pPr>
        <w:rPr>
          <w:rFonts w:ascii="Roboto" w:eastAsia="Roboto" w:hAnsi="Roboto" w:cs="Roboto"/>
          <w:b/>
          <w:bCs/>
          <w:sz w:val="22"/>
          <w:szCs w:val="22"/>
          <w:lang w:eastAsia="en-US" w:bidi="en-US"/>
        </w:rPr>
      </w:pPr>
      <w:r>
        <w:rPr>
          <w:rFonts w:ascii="Roboto" w:eastAsia="Roboto" w:hAnsi="Roboto" w:cs="Roboto"/>
          <w:b/>
          <w:bCs/>
        </w:rPr>
        <w:br w:type="page"/>
      </w:r>
    </w:p>
    <w:p w14:paraId="4EAE1613" w14:textId="3A29CD58" w:rsidR="006C58E3" w:rsidRPr="00B65F7F" w:rsidRDefault="006C58E3" w:rsidP="006C58E3">
      <w:pPr>
        <w:pStyle w:val="CaptionFigure"/>
        <w:rPr>
          <w:rFonts w:ascii="Roboto" w:eastAsia="Roboto" w:hAnsi="Roboto" w:cs="Roboto"/>
          <w:bCs/>
        </w:rPr>
      </w:pPr>
      <w:bookmarkStart w:id="237" w:name="_Toc145313201"/>
      <w:bookmarkStart w:id="238" w:name="_Toc145617769"/>
      <w:bookmarkStart w:id="239" w:name="_Toc156932041"/>
      <w:r>
        <w:lastRenderedPageBreak/>
        <w:t>Figure A4.</w:t>
      </w:r>
      <w:r>
        <w:fldChar w:fldCharType="begin"/>
      </w:r>
      <w:r>
        <w:instrText>SEQ Figure_App4 \* ARABIC</w:instrText>
      </w:r>
      <w:r>
        <w:fldChar w:fldCharType="separate"/>
      </w:r>
      <w:r w:rsidR="00934D5E">
        <w:rPr>
          <w:noProof/>
        </w:rPr>
        <w:t>6</w:t>
      </w:r>
      <w:r>
        <w:fldChar w:fldCharType="end"/>
      </w:r>
      <w:r w:rsidRPr="00B65F7F">
        <w:t xml:space="preserve">: Number of mental health and suicide prevention and ITC contracts in Western Australian PHN regions, </w:t>
      </w:r>
      <w:r w:rsidRPr="003337CA">
        <w:t>1 July 2016 to 30 June 2022</w:t>
      </w:r>
      <w:r w:rsidRPr="00B65F7F">
        <w:t>, by service provider type</w:t>
      </w:r>
      <w:bookmarkEnd w:id="237"/>
      <w:bookmarkEnd w:id="238"/>
      <w:bookmarkEnd w:id="239"/>
    </w:p>
    <w:p w14:paraId="0791B564" w14:textId="77777777" w:rsidR="006C58E3" w:rsidRDefault="00F94F86" w:rsidP="00401B30">
      <w:pPr>
        <w:pStyle w:val="BodyText"/>
      </w:pPr>
      <w:r>
        <w:rPr>
          <w:noProof/>
        </w:rPr>
        <w:drawing>
          <wp:inline distT="0" distB="0" distL="0" distR="0" wp14:anchorId="4ABFB081" wp14:editId="0BC8BCCD">
            <wp:extent cx="4675878" cy="4106173"/>
            <wp:effectExtent l="0" t="0" r="0" b="0"/>
            <wp:docPr id="1158911714" name="Picture 1158911714" descr="A map of Western Australia is marked into 3 regions, and the numbers of Indigenous and non-Indigenous contracts in each category are shown for each region. The numbers are provided in Tables A4.2 and A4.3, set out by contract categor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911714" name="Picture 11" descr="A map of Western Australia is marked into 3 regions, and the numbers of Indigenous and non-Indigenous contracts in each category are shown for each region. The numbers are provided in Tables A4.2 and A4.3, set out by contract category.&#10;"/>
                    <pic:cNvPicPr/>
                  </pic:nvPicPr>
                  <pic:blipFill>
                    <a:blip r:embed="rId96" cstate="print">
                      <a:extLst>
                        <a:ext uri="{28A0092B-C50C-407E-A947-70E740481C1C}">
                          <a14:useLocalDpi xmlns:a14="http://schemas.microsoft.com/office/drawing/2010/main"/>
                        </a:ext>
                      </a:extLst>
                    </a:blip>
                    <a:stretch>
                      <a:fillRect/>
                    </a:stretch>
                  </pic:blipFill>
                  <pic:spPr>
                    <a:xfrm>
                      <a:off x="0" y="0"/>
                      <a:ext cx="4686919" cy="4115869"/>
                    </a:xfrm>
                    <a:prstGeom prst="rect">
                      <a:avLst/>
                    </a:prstGeom>
                  </pic:spPr>
                </pic:pic>
              </a:graphicData>
            </a:graphic>
          </wp:inline>
        </w:drawing>
      </w:r>
    </w:p>
    <w:p w14:paraId="7BE872AC" w14:textId="4E173F3F" w:rsidR="00F94F86" w:rsidRPr="00B65F7F" w:rsidRDefault="006C58E3" w:rsidP="006C58E3">
      <w:pPr>
        <w:pStyle w:val="CaptionFigure"/>
        <w:rPr>
          <w:rFonts w:ascii="Roboto" w:eastAsia="Roboto" w:hAnsi="Roboto" w:cs="Roboto"/>
          <w:b w:val="0"/>
          <w:bCs/>
          <w:lang w:val="en-AU"/>
        </w:rPr>
      </w:pPr>
      <w:r>
        <w:rPr>
          <w:rFonts w:ascii="Roboto" w:eastAsia="Roboto" w:hAnsi="Roboto" w:cs="Roboto"/>
          <w:b w:val="0"/>
          <w:bCs/>
          <w:lang w:val="en-AU"/>
        </w:rPr>
        <w:br w:type="column"/>
      </w:r>
      <w:bookmarkStart w:id="240" w:name="_Toc145313202"/>
      <w:bookmarkStart w:id="241" w:name="_Toc145617770"/>
      <w:bookmarkStart w:id="242" w:name="_Toc156932042"/>
      <w:r>
        <w:rPr>
          <w:lang w:val="en-AU"/>
        </w:rPr>
        <w:t>Figure A4.</w:t>
      </w:r>
      <w:r>
        <w:rPr>
          <w:lang w:val="en-AU"/>
        </w:rPr>
        <w:fldChar w:fldCharType="begin"/>
      </w:r>
      <w:r>
        <w:rPr>
          <w:lang w:val="en-AU"/>
        </w:rPr>
        <w:instrText xml:space="preserve"> SEQ Figure_App4 \* ARABIC </w:instrText>
      </w:r>
      <w:r>
        <w:rPr>
          <w:lang w:val="en-AU"/>
        </w:rPr>
        <w:fldChar w:fldCharType="separate"/>
      </w:r>
      <w:r w:rsidR="00934D5E">
        <w:rPr>
          <w:noProof/>
          <w:lang w:val="en-AU"/>
        </w:rPr>
        <w:t>7</w:t>
      </w:r>
      <w:r>
        <w:rPr>
          <w:lang w:val="en-AU"/>
        </w:rPr>
        <w:fldChar w:fldCharType="end"/>
      </w:r>
      <w:r w:rsidRPr="00B65F7F">
        <w:rPr>
          <w:lang w:val="en-AU"/>
        </w:rPr>
        <w:t xml:space="preserve">: Number of mental health and suicide prevention and ITC contracts in the Northern Territory, Australian Capital Territory and Tasmanian PHN regions, </w:t>
      </w:r>
      <w:r w:rsidRPr="003337CA">
        <w:rPr>
          <w:lang w:val="en-AU"/>
        </w:rPr>
        <w:t>1 July 2016 to 30 June 2022</w:t>
      </w:r>
      <w:r w:rsidRPr="00B65F7F">
        <w:rPr>
          <w:lang w:val="en-AU"/>
        </w:rPr>
        <w:t>, by service provider type</w:t>
      </w:r>
      <w:bookmarkEnd w:id="240"/>
      <w:bookmarkEnd w:id="241"/>
      <w:bookmarkEnd w:id="242"/>
    </w:p>
    <w:p w14:paraId="1F843D47" w14:textId="77777777" w:rsidR="00F94F86" w:rsidRPr="00B65F7F" w:rsidRDefault="00F94F86" w:rsidP="00401B30">
      <w:pPr>
        <w:pStyle w:val="BodyText"/>
      </w:pPr>
      <w:r>
        <w:rPr>
          <w:noProof/>
        </w:rPr>
        <w:drawing>
          <wp:inline distT="0" distB="0" distL="0" distR="0" wp14:anchorId="42994B80" wp14:editId="6B038AF9">
            <wp:extent cx="4421768" cy="4140679"/>
            <wp:effectExtent l="0" t="0" r="0" b="0"/>
            <wp:docPr id="1282689907" name="Picture 1282689907" descr="Maps of the Northern Territory, the Australian Capital Territory and Tasmania show one region each, and the numbers of Indigenous and non-Indigenous contracts in each category are shown for each. The numbers are provided in Tables A4.2 and A4.3, set out by contract categor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689907" name="Picture 12" descr="Maps of the Northern Territory, the Australian Capital Territory and Tasmania show one region each, and the numbers of Indigenous and non-Indigenous contracts in each category are shown for each. The numbers are provided in Tables A4.2 and A4.3, set out by contract category.&#10;"/>
                    <pic:cNvPicPr/>
                  </pic:nvPicPr>
                  <pic:blipFill>
                    <a:blip r:embed="rId97" cstate="print">
                      <a:extLst>
                        <a:ext uri="{28A0092B-C50C-407E-A947-70E740481C1C}">
                          <a14:useLocalDpi xmlns:a14="http://schemas.microsoft.com/office/drawing/2010/main"/>
                        </a:ext>
                      </a:extLst>
                    </a:blip>
                    <a:stretch>
                      <a:fillRect/>
                    </a:stretch>
                  </pic:blipFill>
                  <pic:spPr>
                    <a:xfrm>
                      <a:off x="0" y="0"/>
                      <a:ext cx="4431663" cy="4149945"/>
                    </a:xfrm>
                    <a:prstGeom prst="rect">
                      <a:avLst/>
                    </a:prstGeom>
                  </pic:spPr>
                </pic:pic>
              </a:graphicData>
            </a:graphic>
          </wp:inline>
        </w:drawing>
      </w:r>
    </w:p>
    <w:p w14:paraId="2F2F8BF5" w14:textId="77777777" w:rsidR="00F94F86" w:rsidRPr="00B65F7F" w:rsidRDefault="00F94F86" w:rsidP="00292E56">
      <w:pPr>
        <w:pStyle w:val="BodyText"/>
      </w:pPr>
    </w:p>
    <w:p w14:paraId="4E191490" w14:textId="77777777" w:rsidR="00F94F86" w:rsidRPr="00B65F7F" w:rsidRDefault="00F94F86" w:rsidP="00292E56">
      <w:pPr>
        <w:pStyle w:val="BodyText"/>
        <w:sectPr w:rsidR="00F94F86" w:rsidRPr="00B65F7F" w:rsidSect="002B05C0">
          <w:headerReference w:type="default" r:id="rId98"/>
          <w:footerReference w:type="default" r:id="rId99"/>
          <w:pgSz w:w="16840" w:h="11907" w:orient="landscape" w:code="9"/>
          <w:pgMar w:top="1134" w:right="1134" w:bottom="1440" w:left="1134" w:header="720" w:footer="720" w:gutter="0"/>
          <w:cols w:num="2" w:space="709"/>
        </w:sectPr>
      </w:pPr>
    </w:p>
    <w:p w14:paraId="3336BAFF" w14:textId="74A495E1" w:rsidR="00F94F86" w:rsidRPr="00B65F7F" w:rsidRDefault="00363DD8" w:rsidP="00A237F8">
      <w:pPr>
        <w:pStyle w:val="CaptionTable"/>
        <w:rPr>
          <w:rFonts w:ascii="Roboto" w:eastAsia="Roboto" w:hAnsi="Roboto" w:cs="Roboto"/>
          <w:bCs/>
        </w:rPr>
      </w:pPr>
      <w:bookmarkStart w:id="243" w:name="_Ref151899705"/>
      <w:bookmarkStart w:id="244" w:name="_Toc145313249"/>
      <w:bookmarkStart w:id="245" w:name="_Toc145604936"/>
      <w:bookmarkStart w:id="246" w:name="_Toc145617808"/>
      <w:bookmarkStart w:id="247" w:name="_Toc156932079"/>
      <w:r>
        <w:lastRenderedPageBreak/>
        <w:t>Table A4.</w:t>
      </w:r>
      <w:r>
        <w:fldChar w:fldCharType="begin"/>
      </w:r>
      <w:r>
        <w:instrText xml:space="preserve"> SEQ Table_App4 \* ARABIC </w:instrText>
      </w:r>
      <w:r>
        <w:fldChar w:fldCharType="separate"/>
      </w:r>
      <w:r w:rsidR="00934D5E">
        <w:rPr>
          <w:noProof/>
        </w:rPr>
        <w:t>2</w:t>
      </w:r>
      <w:r>
        <w:fldChar w:fldCharType="end"/>
      </w:r>
      <w:bookmarkEnd w:id="243"/>
      <w:r w:rsidR="00F94F86" w:rsidRPr="00B65F7F">
        <w:t>: Total number of mental health and suicide prevention contracts from 1 July 2016 to 30 June 2022, by commissioning body</w:t>
      </w:r>
      <w:bookmarkEnd w:id="244"/>
      <w:bookmarkEnd w:id="245"/>
      <w:bookmarkEnd w:id="246"/>
      <w:bookmarkEnd w:id="247"/>
    </w:p>
    <w:tbl>
      <w:tblPr>
        <w:tblStyle w:val="Newtableforresport"/>
        <w:tblW w:w="5000" w:type="pct"/>
        <w:tblInd w:w="0" w:type="dxa"/>
        <w:tblLayout w:type="fixed"/>
        <w:tblLook w:val="0660" w:firstRow="1" w:lastRow="1" w:firstColumn="0" w:lastColumn="0" w:noHBand="1" w:noVBand="1"/>
        <w:tblCaption w:val="Table A4.2: Total number of mental health and suicide prevention contracts from 1 July 2016 to 30 June 2022, by commissioning body"/>
        <w:tblDescription w:val="A table providing information on the total number of mental health and suicide prevention contracts from 1 July 2016 to 30 June 2022 by commissioning body. The first column lists commissioning bodies across Australia, such as the Australian Capital Territory Primary Health Network. The second column lists the number of non-Indigenous service providers that are contracted by the commissioning body to deliver mental health and suicide prevention services. The third column lists the percentage of all service providers contracted by the commissioning body to deliver mental health and suicide prevention services that are non-Indigenous. The fourth column lists the number of Indigenous service providers that are contracted by the commissioning body to deliver mental health and suicide prevention services. The fifth column lists the percentage of all service providers contracted by the commissioning body to deliver mental health and suicide prevention services that are Indigenous. The sixth column lists the total number of mental health and suicide prevention contracts under the commissioning body.  "/>
      </w:tblPr>
      <w:tblGrid>
        <w:gridCol w:w="4236"/>
        <w:gridCol w:w="1213"/>
        <w:gridCol w:w="1213"/>
        <w:gridCol w:w="1135"/>
        <w:gridCol w:w="1134"/>
        <w:gridCol w:w="708"/>
      </w:tblGrid>
      <w:tr w:rsidR="00F94F86" w:rsidRPr="00B2363F" w14:paraId="5A2096EB" w14:textId="77777777" w:rsidTr="00572E66">
        <w:trPr>
          <w:cnfStyle w:val="100000000000" w:firstRow="1" w:lastRow="0" w:firstColumn="0" w:lastColumn="0" w:oddVBand="0" w:evenVBand="0" w:oddHBand="0" w:evenHBand="0" w:firstRowFirstColumn="0" w:firstRowLastColumn="0" w:lastRowFirstColumn="0" w:lastRowLastColumn="0"/>
          <w:trHeight w:val="20"/>
          <w:tblHeader/>
        </w:trPr>
        <w:tc>
          <w:tcPr>
            <w:tcW w:w="2197" w:type="pct"/>
            <w:vAlign w:val="center"/>
          </w:tcPr>
          <w:p w14:paraId="55B08494" w14:textId="6F165AA7" w:rsidR="00F94F86" w:rsidRPr="00CE38A9" w:rsidRDefault="009E62CE" w:rsidP="00CE38A9">
            <w:pPr>
              <w:pStyle w:val="TableHeading"/>
              <w:rPr>
                <w:rFonts w:eastAsia="Calibri"/>
              </w:rPr>
            </w:pPr>
            <w:bookmarkStart w:id="248" w:name="_Toc124491699"/>
            <w:r>
              <w:rPr>
                <w:rFonts w:eastAsia="Calibri"/>
              </w:rPr>
              <w:t>Commissioning</w:t>
            </w:r>
            <w:r w:rsidR="00A93CE9">
              <w:rPr>
                <w:rFonts w:eastAsia="Calibri"/>
              </w:rPr>
              <w:t xml:space="preserve"> b</w:t>
            </w:r>
            <w:r>
              <w:rPr>
                <w:rFonts w:eastAsia="Calibri"/>
              </w:rPr>
              <w:t>ody</w:t>
            </w:r>
          </w:p>
        </w:tc>
        <w:tc>
          <w:tcPr>
            <w:tcW w:w="629" w:type="pct"/>
            <w:vAlign w:val="center"/>
          </w:tcPr>
          <w:p w14:paraId="6FDB0797" w14:textId="77777777" w:rsidR="00F94F86" w:rsidRPr="00B2363F" w:rsidRDefault="00F94F86" w:rsidP="00024E8D">
            <w:pPr>
              <w:pStyle w:val="TableHeading"/>
              <w:rPr>
                <w:rFonts w:eastAsia="Calibri"/>
                <w:b w:val="0"/>
              </w:rPr>
            </w:pPr>
            <w:r w:rsidRPr="00B2363F">
              <w:t>Non-Indigenous service providers</w:t>
            </w:r>
          </w:p>
        </w:tc>
        <w:tc>
          <w:tcPr>
            <w:tcW w:w="629" w:type="pct"/>
            <w:vAlign w:val="center"/>
          </w:tcPr>
          <w:p w14:paraId="40BF264A" w14:textId="77777777" w:rsidR="00F94F86" w:rsidRPr="00B2363F" w:rsidRDefault="00F94F86" w:rsidP="00024E8D">
            <w:pPr>
              <w:pStyle w:val="TableHeading"/>
              <w:rPr>
                <w:rFonts w:eastAsia="Calibri"/>
                <w:b w:val="0"/>
              </w:rPr>
            </w:pPr>
            <w:r w:rsidRPr="00B2363F">
              <w:t xml:space="preserve">% of all that are non-Indigenous </w:t>
            </w:r>
          </w:p>
        </w:tc>
        <w:tc>
          <w:tcPr>
            <w:tcW w:w="589" w:type="pct"/>
            <w:vAlign w:val="center"/>
          </w:tcPr>
          <w:p w14:paraId="002CB715" w14:textId="77777777" w:rsidR="00F94F86" w:rsidRPr="00B2363F" w:rsidRDefault="00F94F86" w:rsidP="00024E8D">
            <w:pPr>
              <w:pStyle w:val="TableHeading"/>
              <w:rPr>
                <w:rFonts w:eastAsia="Calibri"/>
                <w:b w:val="0"/>
              </w:rPr>
            </w:pPr>
            <w:r w:rsidRPr="00B2363F">
              <w:t>Indigenous service providers</w:t>
            </w:r>
          </w:p>
        </w:tc>
        <w:tc>
          <w:tcPr>
            <w:tcW w:w="588" w:type="pct"/>
            <w:vAlign w:val="center"/>
          </w:tcPr>
          <w:p w14:paraId="4E785E12" w14:textId="77777777" w:rsidR="00F94F86" w:rsidRPr="00B2363F" w:rsidRDefault="00F94F86" w:rsidP="00024E8D">
            <w:pPr>
              <w:pStyle w:val="TableHeading"/>
              <w:rPr>
                <w:rFonts w:eastAsia="Calibri"/>
                <w:b w:val="0"/>
              </w:rPr>
            </w:pPr>
            <w:r w:rsidRPr="00B2363F">
              <w:t>% of all that are Indigenous</w:t>
            </w:r>
          </w:p>
        </w:tc>
        <w:tc>
          <w:tcPr>
            <w:tcW w:w="367" w:type="pct"/>
            <w:vAlign w:val="center"/>
          </w:tcPr>
          <w:p w14:paraId="7ABDB047" w14:textId="77777777" w:rsidR="00F94F86" w:rsidRPr="00B2363F" w:rsidRDefault="00F94F86" w:rsidP="00024E8D">
            <w:pPr>
              <w:pStyle w:val="TableHeading"/>
              <w:rPr>
                <w:rFonts w:eastAsia="Calibri"/>
                <w:b w:val="0"/>
              </w:rPr>
            </w:pPr>
            <w:r w:rsidRPr="00B2363F">
              <w:t>Total</w:t>
            </w:r>
          </w:p>
        </w:tc>
      </w:tr>
      <w:tr w:rsidR="00F94F86" w:rsidRPr="00C34FFC" w14:paraId="122B5A54" w14:textId="77777777" w:rsidTr="00572E66">
        <w:trPr>
          <w:trHeight w:val="20"/>
        </w:trPr>
        <w:tc>
          <w:tcPr>
            <w:tcW w:w="2197" w:type="pct"/>
          </w:tcPr>
          <w:p w14:paraId="2F4A8A44" w14:textId="77777777" w:rsidR="00F94F86" w:rsidRPr="00C34FFC" w:rsidRDefault="00F94F86" w:rsidP="009F6441">
            <w:pPr>
              <w:pStyle w:val="TableText"/>
              <w:rPr>
                <w:rFonts w:eastAsia="Calibri"/>
              </w:rPr>
            </w:pPr>
            <w:r w:rsidRPr="00C34FFC">
              <w:t>ACT: Australian Capital Territory</w:t>
            </w:r>
          </w:p>
        </w:tc>
        <w:tc>
          <w:tcPr>
            <w:tcW w:w="629" w:type="pct"/>
          </w:tcPr>
          <w:p w14:paraId="59A724D3" w14:textId="77777777" w:rsidR="00F94F86" w:rsidRPr="00C34FFC" w:rsidRDefault="00F94F86" w:rsidP="009F6441">
            <w:pPr>
              <w:pStyle w:val="TableText"/>
              <w:jc w:val="right"/>
              <w:rPr>
                <w:rFonts w:eastAsia="Calibri"/>
              </w:rPr>
            </w:pPr>
            <w:r w:rsidRPr="00C34FFC">
              <w:t>1</w:t>
            </w:r>
          </w:p>
        </w:tc>
        <w:tc>
          <w:tcPr>
            <w:tcW w:w="629" w:type="pct"/>
          </w:tcPr>
          <w:p w14:paraId="7C3C8F7C" w14:textId="77777777" w:rsidR="00F94F86" w:rsidRPr="00C34FFC" w:rsidRDefault="00F94F86" w:rsidP="009F6441">
            <w:pPr>
              <w:pStyle w:val="TableText"/>
              <w:jc w:val="right"/>
              <w:rPr>
                <w:rFonts w:eastAsia="Calibri"/>
              </w:rPr>
            </w:pPr>
            <w:r w:rsidRPr="00C34FFC">
              <w:t>100%</w:t>
            </w:r>
          </w:p>
        </w:tc>
        <w:tc>
          <w:tcPr>
            <w:tcW w:w="589" w:type="pct"/>
          </w:tcPr>
          <w:p w14:paraId="3A598A46" w14:textId="77777777" w:rsidR="00F94F86" w:rsidRPr="00C34FFC" w:rsidRDefault="00F94F86" w:rsidP="009F6441">
            <w:pPr>
              <w:pStyle w:val="TableText"/>
              <w:jc w:val="right"/>
              <w:rPr>
                <w:rFonts w:eastAsia="Calibri"/>
              </w:rPr>
            </w:pPr>
            <w:r w:rsidRPr="00C34FFC">
              <w:t>0</w:t>
            </w:r>
          </w:p>
        </w:tc>
        <w:tc>
          <w:tcPr>
            <w:tcW w:w="588" w:type="pct"/>
          </w:tcPr>
          <w:p w14:paraId="181A6D6F" w14:textId="77777777" w:rsidR="00F94F86" w:rsidRPr="00C34FFC" w:rsidRDefault="00F94F86" w:rsidP="009F6441">
            <w:pPr>
              <w:pStyle w:val="TableText"/>
              <w:jc w:val="right"/>
              <w:rPr>
                <w:b/>
                <w:color w:val="000000"/>
              </w:rPr>
            </w:pPr>
            <w:r w:rsidRPr="00C34FFC">
              <w:t>0%</w:t>
            </w:r>
          </w:p>
        </w:tc>
        <w:tc>
          <w:tcPr>
            <w:tcW w:w="367" w:type="pct"/>
          </w:tcPr>
          <w:p w14:paraId="48E4F22C" w14:textId="77777777" w:rsidR="00F94F86" w:rsidRPr="009F6441" w:rsidRDefault="00F94F86" w:rsidP="009F6441">
            <w:pPr>
              <w:pStyle w:val="TableText"/>
              <w:jc w:val="right"/>
              <w:rPr>
                <w:b/>
                <w:bCs/>
              </w:rPr>
            </w:pPr>
            <w:r w:rsidRPr="009F6441">
              <w:rPr>
                <w:b/>
                <w:bCs/>
              </w:rPr>
              <w:t>1</w:t>
            </w:r>
          </w:p>
        </w:tc>
      </w:tr>
      <w:tr w:rsidR="00F94F86" w:rsidRPr="00C34FFC" w14:paraId="101B5041" w14:textId="77777777" w:rsidTr="00572E66">
        <w:trPr>
          <w:trHeight w:val="20"/>
        </w:trPr>
        <w:tc>
          <w:tcPr>
            <w:tcW w:w="2197" w:type="pct"/>
          </w:tcPr>
          <w:p w14:paraId="243501EA" w14:textId="77777777" w:rsidR="00F94F86" w:rsidRPr="00C34FFC" w:rsidRDefault="00F94F86" w:rsidP="009F6441">
            <w:pPr>
              <w:pStyle w:val="TableText"/>
              <w:rPr>
                <w:rFonts w:eastAsia="Calibri"/>
              </w:rPr>
            </w:pPr>
            <w:r w:rsidRPr="00C34FFC">
              <w:t>NSW: Central and Eastern Sydney</w:t>
            </w:r>
          </w:p>
        </w:tc>
        <w:tc>
          <w:tcPr>
            <w:tcW w:w="629" w:type="pct"/>
          </w:tcPr>
          <w:p w14:paraId="209726BB" w14:textId="77777777" w:rsidR="00F94F86" w:rsidRPr="00C34FFC" w:rsidRDefault="00F94F86" w:rsidP="009F6441">
            <w:pPr>
              <w:pStyle w:val="TableText"/>
              <w:jc w:val="right"/>
              <w:rPr>
                <w:rFonts w:eastAsia="Calibri"/>
              </w:rPr>
            </w:pPr>
            <w:r w:rsidRPr="00C34FFC">
              <w:t>4</w:t>
            </w:r>
          </w:p>
        </w:tc>
        <w:tc>
          <w:tcPr>
            <w:tcW w:w="629" w:type="pct"/>
          </w:tcPr>
          <w:p w14:paraId="61B59AAA" w14:textId="77777777" w:rsidR="00F94F86" w:rsidRPr="00C34FFC" w:rsidRDefault="00F94F86" w:rsidP="009F6441">
            <w:pPr>
              <w:pStyle w:val="TableText"/>
              <w:jc w:val="right"/>
              <w:rPr>
                <w:rFonts w:eastAsia="Calibri"/>
              </w:rPr>
            </w:pPr>
            <w:r w:rsidRPr="00C34FFC">
              <w:t>50%</w:t>
            </w:r>
          </w:p>
        </w:tc>
        <w:tc>
          <w:tcPr>
            <w:tcW w:w="589" w:type="pct"/>
          </w:tcPr>
          <w:p w14:paraId="0EFB5795" w14:textId="77777777" w:rsidR="00F94F86" w:rsidRPr="00C34FFC" w:rsidRDefault="00F94F86" w:rsidP="009F6441">
            <w:pPr>
              <w:pStyle w:val="TableText"/>
              <w:jc w:val="right"/>
              <w:rPr>
                <w:rFonts w:eastAsia="Calibri"/>
              </w:rPr>
            </w:pPr>
            <w:r w:rsidRPr="00C34FFC">
              <w:t>4</w:t>
            </w:r>
          </w:p>
        </w:tc>
        <w:tc>
          <w:tcPr>
            <w:tcW w:w="588" w:type="pct"/>
          </w:tcPr>
          <w:p w14:paraId="5B5BB137" w14:textId="77777777" w:rsidR="00F94F86" w:rsidRPr="00C34FFC" w:rsidRDefault="00F94F86" w:rsidP="009F6441">
            <w:pPr>
              <w:pStyle w:val="TableText"/>
              <w:jc w:val="right"/>
              <w:rPr>
                <w:b/>
                <w:color w:val="000000"/>
              </w:rPr>
            </w:pPr>
            <w:r w:rsidRPr="00C34FFC">
              <w:t>50%</w:t>
            </w:r>
          </w:p>
        </w:tc>
        <w:tc>
          <w:tcPr>
            <w:tcW w:w="367" w:type="pct"/>
          </w:tcPr>
          <w:p w14:paraId="67AA6CC3" w14:textId="77777777" w:rsidR="00F94F86" w:rsidRPr="009F6441" w:rsidRDefault="00F94F86" w:rsidP="009F6441">
            <w:pPr>
              <w:pStyle w:val="TableText"/>
              <w:jc w:val="right"/>
              <w:rPr>
                <w:b/>
                <w:bCs/>
              </w:rPr>
            </w:pPr>
            <w:r w:rsidRPr="009F6441">
              <w:rPr>
                <w:b/>
                <w:bCs/>
              </w:rPr>
              <w:t>8</w:t>
            </w:r>
          </w:p>
        </w:tc>
      </w:tr>
      <w:tr w:rsidR="00F94F86" w:rsidRPr="00C34FFC" w14:paraId="6B42B163" w14:textId="77777777" w:rsidTr="00572E66">
        <w:trPr>
          <w:trHeight w:val="20"/>
        </w:trPr>
        <w:tc>
          <w:tcPr>
            <w:tcW w:w="2197" w:type="pct"/>
          </w:tcPr>
          <w:p w14:paraId="02E2982C" w14:textId="77777777" w:rsidR="00F94F86" w:rsidRPr="00C34FFC" w:rsidRDefault="00F94F86" w:rsidP="009F6441">
            <w:pPr>
              <w:pStyle w:val="TableText"/>
              <w:rPr>
                <w:rFonts w:eastAsia="Calibri"/>
              </w:rPr>
            </w:pPr>
            <w:r w:rsidRPr="00C34FFC">
              <w:t>NSW: Hunter New England and Central Coast</w:t>
            </w:r>
          </w:p>
        </w:tc>
        <w:tc>
          <w:tcPr>
            <w:tcW w:w="629" w:type="pct"/>
          </w:tcPr>
          <w:p w14:paraId="49F47932" w14:textId="77777777" w:rsidR="00F94F86" w:rsidRPr="00C34FFC" w:rsidRDefault="00F94F86" w:rsidP="009F6441">
            <w:pPr>
              <w:pStyle w:val="TableText"/>
              <w:jc w:val="right"/>
              <w:rPr>
                <w:rFonts w:eastAsia="Calibri"/>
              </w:rPr>
            </w:pPr>
            <w:r w:rsidRPr="00C34FFC">
              <w:t>5</w:t>
            </w:r>
          </w:p>
        </w:tc>
        <w:tc>
          <w:tcPr>
            <w:tcW w:w="629" w:type="pct"/>
          </w:tcPr>
          <w:p w14:paraId="42DA4942" w14:textId="77777777" w:rsidR="00F94F86" w:rsidRPr="00C34FFC" w:rsidRDefault="00F94F86" w:rsidP="009F6441">
            <w:pPr>
              <w:pStyle w:val="TableText"/>
              <w:jc w:val="right"/>
              <w:rPr>
                <w:rFonts w:eastAsia="Calibri"/>
              </w:rPr>
            </w:pPr>
            <w:r w:rsidRPr="00C34FFC">
              <w:t>50%</w:t>
            </w:r>
          </w:p>
        </w:tc>
        <w:tc>
          <w:tcPr>
            <w:tcW w:w="589" w:type="pct"/>
          </w:tcPr>
          <w:p w14:paraId="4B394E81" w14:textId="77777777" w:rsidR="00F94F86" w:rsidRPr="00C34FFC" w:rsidRDefault="00F94F86" w:rsidP="009F6441">
            <w:pPr>
              <w:pStyle w:val="TableText"/>
              <w:jc w:val="right"/>
              <w:rPr>
                <w:rFonts w:eastAsia="Calibri"/>
              </w:rPr>
            </w:pPr>
            <w:r w:rsidRPr="00C34FFC">
              <w:t>5</w:t>
            </w:r>
          </w:p>
        </w:tc>
        <w:tc>
          <w:tcPr>
            <w:tcW w:w="588" w:type="pct"/>
          </w:tcPr>
          <w:p w14:paraId="7085896C" w14:textId="77777777" w:rsidR="00F94F86" w:rsidRPr="00C34FFC" w:rsidRDefault="00F94F86" w:rsidP="009F6441">
            <w:pPr>
              <w:pStyle w:val="TableText"/>
              <w:jc w:val="right"/>
              <w:rPr>
                <w:b/>
                <w:color w:val="000000"/>
              </w:rPr>
            </w:pPr>
            <w:r w:rsidRPr="00C34FFC">
              <w:t>50%</w:t>
            </w:r>
          </w:p>
        </w:tc>
        <w:tc>
          <w:tcPr>
            <w:tcW w:w="367" w:type="pct"/>
          </w:tcPr>
          <w:p w14:paraId="4DF5D6EA" w14:textId="77777777" w:rsidR="00F94F86" w:rsidRPr="009F6441" w:rsidRDefault="00F94F86" w:rsidP="009F6441">
            <w:pPr>
              <w:pStyle w:val="TableText"/>
              <w:jc w:val="right"/>
              <w:rPr>
                <w:b/>
                <w:bCs/>
              </w:rPr>
            </w:pPr>
            <w:r w:rsidRPr="009F6441">
              <w:rPr>
                <w:b/>
                <w:bCs/>
              </w:rPr>
              <w:t>10</w:t>
            </w:r>
          </w:p>
        </w:tc>
      </w:tr>
      <w:tr w:rsidR="00F94F86" w:rsidRPr="00C34FFC" w14:paraId="599ED6CF" w14:textId="77777777" w:rsidTr="00572E66">
        <w:trPr>
          <w:trHeight w:val="20"/>
        </w:trPr>
        <w:tc>
          <w:tcPr>
            <w:tcW w:w="2197" w:type="pct"/>
          </w:tcPr>
          <w:p w14:paraId="789C0FC2" w14:textId="77777777" w:rsidR="00F94F86" w:rsidRPr="00C34FFC" w:rsidRDefault="00F94F86" w:rsidP="009F6441">
            <w:pPr>
              <w:pStyle w:val="TableText"/>
              <w:rPr>
                <w:rFonts w:eastAsia="Calibri"/>
              </w:rPr>
            </w:pPr>
            <w:r w:rsidRPr="00C34FFC">
              <w:t>NSW: Murrumbidgee</w:t>
            </w:r>
          </w:p>
        </w:tc>
        <w:tc>
          <w:tcPr>
            <w:tcW w:w="629" w:type="pct"/>
          </w:tcPr>
          <w:p w14:paraId="16157BCB" w14:textId="77777777" w:rsidR="00F94F86" w:rsidRPr="00C34FFC" w:rsidRDefault="00F94F86" w:rsidP="009F6441">
            <w:pPr>
              <w:pStyle w:val="TableText"/>
              <w:jc w:val="right"/>
              <w:rPr>
                <w:rFonts w:eastAsia="Calibri"/>
              </w:rPr>
            </w:pPr>
            <w:r w:rsidRPr="00C34FFC">
              <w:t>2</w:t>
            </w:r>
          </w:p>
        </w:tc>
        <w:tc>
          <w:tcPr>
            <w:tcW w:w="629" w:type="pct"/>
          </w:tcPr>
          <w:p w14:paraId="513AC707" w14:textId="77777777" w:rsidR="00F94F86" w:rsidRPr="00C34FFC" w:rsidRDefault="00F94F86" w:rsidP="009F6441">
            <w:pPr>
              <w:pStyle w:val="TableText"/>
              <w:jc w:val="right"/>
              <w:rPr>
                <w:rFonts w:eastAsia="Calibri"/>
              </w:rPr>
            </w:pPr>
            <w:r w:rsidRPr="00C34FFC">
              <w:t>20%</w:t>
            </w:r>
          </w:p>
        </w:tc>
        <w:tc>
          <w:tcPr>
            <w:tcW w:w="589" w:type="pct"/>
          </w:tcPr>
          <w:p w14:paraId="56F23ECB" w14:textId="77777777" w:rsidR="00F94F86" w:rsidRPr="00C34FFC" w:rsidRDefault="00F94F86" w:rsidP="009F6441">
            <w:pPr>
              <w:pStyle w:val="TableText"/>
              <w:jc w:val="right"/>
              <w:rPr>
                <w:rFonts w:eastAsia="Calibri"/>
              </w:rPr>
            </w:pPr>
            <w:r w:rsidRPr="00C34FFC">
              <w:t>8</w:t>
            </w:r>
          </w:p>
        </w:tc>
        <w:tc>
          <w:tcPr>
            <w:tcW w:w="588" w:type="pct"/>
          </w:tcPr>
          <w:p w14:paraId="265FD720" w14:textId="77777777" w:rsidR="00F94F86" w:rsidRPr="00C34FFC" w:rsidRDefault="00F94F86" w:rsidP="009F6441">
            <w:pPr>
              <w:pStyle w:val="TableText"/>
              <w:jc w:val="right"/>
              <w:rPr>
                <w:b/>
                <w:color w:val="000000"/>
              </w:rPr>
            </w:pPr>
            <w:r w:rsidRPr="00C34FFC">
              <w:t>80%</w:t>
            </w:r>
          </w:p>
        </w:tc>
        <w:tc>
          <w:tcPr>
            <w:tcW w:w="367" w:type="pct"/>
          </w:tcPr>
          <w:p w14:paraId="45CCB73F" w14:textId="77777777" w:rsidR="00F94F86" w:rsidRPr="009F6441" w:rsidRDefault="00F94F86" w:rsidP="009F6441">
            <w:pPr>
              <w:pStyle w:val="TableText"/>
              <w:jc w:val="right"/>
              <w:rPr>
                <w:b/>
                <w:bCs/>
              </w:rPr>
            </w:pPr>
            <w:r w:rsidRPr="009F6441">
              <w:rPr>
                <w:b/>
                <w:bCs/>
              </w:rPr>
              <w:t>10</w:t>
            </w:r>
          </w:p>
        </w:tc>
      </w:tr>
      <w:tr w:rsidR="00F94F86" w:rsidRPr="00C34FFC" w14:paraId="33F0CE22" w14:textId="77777777" w:rsidTr="00572E66">
        <w:trPr>
          <w:trHeight w:val="20"/>
        </w:trPr>
        <w:tc>
          <w:tcPr>
            <w:tcW w:w="2197" w:type="pct"/>
          </w:tcPr>
          <w:p w14:paraId="3DA3A4C2" w14:textId="77777777" w:rsidR="00F94F86" w:rsidRPr="00C34FFC" w:rsidRDefault="00F94F86" w:rsidP="009F6441">
            <w:pPr>
              <w:pStyle w:val="TableText"/>
              <w:rPr>
                <w:rFonts w:eastAsia="Calibri"/>
              </w:rPr>
            </w:pPr>
            <w:r w:rsidRPr="00C34FFC">
              <w:t>NSW: Nepean Blue Mountains</w:t>
            </w:r>
          </w:p>
        </w:tc>
        <w:tc>
          <w:tcPr>
            <w:tcW w:w="629" w:type="pct"/>
          </w:tcPr>
          <w:p w14:paraId="49F46CFC" w14:textId="77777777" w:rsidR="00F94F86" w:rsidRPr="00C34FFC" w:rsidRDefault="00F94F86" w:rsidP="009F6441">
            <w:pPr>
              <w:pStyle w:val="TableText"/>
              <w:jc w:val="right"/>
              <w:rPr>
                <w:rFonts w:eastAsia="Calibri"/>
              </w:rPr>
            </w:pPr>
            <w:r w:rsidRPr="00C34FFC">
              <w:t>5</w:t>
            </w:r>
          </w:p>
        </w:tc>
        <w:tc>
          <w:tcPr>
            <w:tcW w:w="629" w:type="pct"/>
          </w:tcPr>
          <w:p w14:paraId="4105D677" w14:textId="77777777" w:rsidR="00F94F86" w:rsidRPr="00C34FFC" w:rsidRDefault="00F94F86" w:rsidP="009F6441">
            <w:pPr>
              <w:pStyle w:val="TableText"/>
              <w:jc w:val="right"/>
              <w:rPr>
                <w:rFonts w:eastAsia="Calibri"/>
              </w:rPr>
            </w:pPr>
            <w:r w:rsidRPr="00C34FFC">
              <w:t>71%</w:t>
            </w:r>
          </w:p>
        </w:tc>
        <w:tc>
          <w:tcPr>
            <w:tcW w:w="589" w:type="pct"/>
          </w:tcPr>
          <w:p w14:paraId="180161AF" w14:textId="77777777" w:rsidR="00F94F86" w:rsidRPr="00C34FFC" w:rsidRDefault="00F94F86" w:rsidP="009F6441">
            <w:pPr>
              <w:pStyle w:val="TableText"/>
              <w:jc w:val="right"/>
              <w:rPr>
                <w:rFonts w:eastAsia="Calibri"/>
              </w:rPr>
            </w:pPr>
            <w:r w:rsidRPr="00C34FFC">
              <w:t>2</w:t>
            </w:r>
          </w:p>
        </w:tc>
        <w:tc>
          <w:tcPr>
            <w:tcW w:w="588" w:type="pct"/>
          </w:tcPr>
          <w:p w14:paraId="080D30DF" w14:textId="77777777" w:rsidR="00F94F86" w:rsidRPr="00C34FFC" w:rsidRDefault="00F94F86" w:rsidP="009F6441">
            <w:pPr>
              <w:pStyle w:val="TableText"/>
              <w:jc w:val="right"/>
              <w:rPr>
                <w:b/>
                <w:color w:val="000000"/>
              </w:rPr>
            </w:pPr>
            <w:r w:rsidRPr="00C34FFC">
              <w:t>29%</w:t>
            </w:r>
          </w:p>
        </w:tc>
        <w:tc>
          <w:tcPr>
            <w:tcW w:w="367" w:type="pct"/>
          </w:tcPr>
          <w:p w14:paraId="7D189A9F" w14:textId="77777777" w:rsidR="00F94F86" w:rsidRPr="009F6441" w:rsidRDefault="00F94F86" w:rsidP="009F6441">
            <w:pPr>
              <w:pStyle w:val="TableText"/>
              <w:jc w:val="right"/>
              <w:rPr>
                <w:b/>
                <w:bCs/>
              </w:rPr>
            </w:pPr>
            <w:r w:rsidRPr="009F6441">
              <w:rPr>
                <w:b/>
                <w:bCs/>
              </w:rPr>
              <w:t>7</w:t>
            </w:r>
          </w:p>
        </w:tc>
      </w:tr>
      <w:tr w:rsidR="00F94F86" w:rsidRPr="00C34FFC" w14:paraId="69F44449" w14:textId="77777777" w:rsidTr="00572E66">
        <w:trPr>
          <w:trHeight w:val="20"/>
        </w:trPr>
        <w:tc>
          <w:tcPr>
            <w:tcW w:w="2197" w:type="pct"/>
          </w:tcPr>
          <w:p w14:paraId="3820B84E" w14:textId="77777777" w:rsidR="00F94F86" w:rsidRPr="00C34FFC" w:rsidRDefault="00F94F86" w:rsidP="009F6441">
            <w:pPr>
              <w:pStyle w:val="TableText"/>
              <w:rPr>
                <w:rFonts w:eastAsia="Calibri"/>
              </w:rPr>
            </w:pPr>
            <w:r w:rsidRPr="00C34FFC">
              <w:t>NSW: North Coast</w:t>
            </w:r>
          </w:p>
        </w:tc>
        <w:tc>
          <w:tcPr>
            <w:tcW w:w="629" w:type="pct"/>
          </w:tcPr>
          <w:p w14:paraId="5A4B6CE3" w14:textId="77777777" w:rsidR="00F94F86" w:rsidRPr="00C34FFC" w:rsidRDefault="00F94F86" w:rsidP="009F6441">
            <w:pPr>
              <w:pStyle w:val="TableText"/>
              <w:jc w:val="right"/>
              <w:rPr>
                <w:rFonts w:eastAsia="Calibri"/>
              </w:rPr>
            </w:pPr>
            <w:r w:rsidRPr="00C34FFC">
              <w:t>0</w:t>
            </w:r>
          </w:p>
        </w:tc>
        <w:tc>
          <w:tcPr>
            <w:tcW w:w="629" w:type="pct"/>
          </w:tcPr>
          <w:p w14:paraId="1A9D3787" w14:textId="77777777" w:rsidR="00F94F86" w:rsidRPr="00C34FFC" w:rsidRDefault="00F94F86" w:rsidP="009F6441">
            <w:pPr>
              <w:pStyle w:val="TableText"/>
              <w:jc w:val="right"/>
              <w:rPr>
                <w:rFonts w:eastAsia="Calibri"/>
              </w:rPr>
            </w:pPr>
            <w:r w:rsidRPr="00C34FFC">
              <w:t>0%</w:t>
            </w:r>
          </w:p>
        </w:tc>
        <w:tc>
          <w:tcPr>
            <w:tcW w:w="589" w:type="pct"/>
          </w:tcPr>
          <w:p w14:paraId="1C680193" w14:textId="77777777" w:rsidR="00F94F86" w:rsidRPr="00C34FFC" w:rsidRDefault="00F94F86" w:rsidP="009F6441">
            <w:pPr>
              <w:pStyle w:val="TableText"/>
              <w:jc w:val="right"/>
              <w:rPr>
                <w:rFonts w:eastAsia="Calibri"/>
              </w:rPr>
            </w:pPr>
            <w:r w:rsidRPr="00C34FFC">
              <w:t>19</w:t>
            </w:r>
          </w:p>
        </w:tc>
        <w:tc>
          <w:tcPr>
            <w:tcW w:w="588" w:type="pct"/>
          </w:tcPr>
          <w:p w14:paraId="5D111B79" w14:textId="77777777" w:rsidR="00F94F86" w:rsidRPr="00C34FFC" w:rsidRDefault="00F94F86" w:rsidP="009F6441">
            <w:pPr>
              <w:pStyle w:val="TableText"/>
              <w:jc w:val="right"/>
              <w:rPr>
                <w:b/>
                <w:color w:val="000000"/>
              </w:rPr>
            </w:pPr>
            <w:r w:rsidRPr="00C34FFC">
              <w:t>100%</w:t>
            </w:r>
          </w:p>
        </w:tc>
        <w:tc>
          <w:tcPr>
            <w:tcW w:w="367" w:type="pct"/>
          </w:tcPr>
          <w:p w14:paraId="7457DE33" w14:textId="77777777" w:rsidR="00F94F86" w:rsidRPr="009F6441" w:rsidRDefault="00F94F86" w:rsidP="009F6441">
            <w:pPr>
              <w:pStyle w:val="TableText"/>
              <w:jc w:val="right"/>
              <w:rPr>
                <w:b/>
                <w:bCs/>
              </w:rPr>
            </w:pPr>
            <w:r w:rsidRPr="009F6441">
              <w:rPr>
                <w:b/>
                <w:bCs/>
              </w:rPr>
              <w:t>19</w:t>
            </w:r>
          </w:p>
        </w:tc>
      </w:tr>
      <w:tr w:rsidR="00F94F86" w:rsidRPr="00C34FFC" w14:paraId="025D8C63" w14:textId="77777777" w:rsidTr="00572E66">
        <w:trPr>
          <w:trHeight w:val="20"/>
        </w:trPr>
        <w:tc>
          <w:tcPr>
            <w:tcW w:w="2197" w:type="pct"/>
          </w:tcPr>
          <w:p w14:paraId="5AEC84CD" w14:textId="77777777" w:rsidR="00F94F86" w:rsidRPr="00C34FFC" w:rsidRDefault="00F94F86" w:rsidP="009F6441">
            <w:pPr>
              <w:pStyle w:val="TableText"/>
              <w:rPr>
                <w:rFonts w:eastAsia="Calibri"/>
              </w:rPr>
            </w:pPr>
            <w:r w:rsidRPr="00C34FFC">
              <w:t>NSW: Northern Sydney</w:t>
            </w:r>
          </w:p>
        </w:tc>
        <w:tc>
          <w:tcPr>
            <w:tcW w:w="629" w:type="pct"/>
          </w:tcPr>
          <w:p w14:paraId="3EAF95F9" w14:textId="77777777" w:rsidR="00F94F86" w:rsidRPr="00C34FFC" w:rsidRDefault="00F94F86" w:rsidP="009F6441">
            <w:pPr>
              <w:pStyle w:val="TableText"/>
              <w:jc w:val="right"/>
              <w:rPr>
                <w:rFonts w:eastAsia="Calibri"/>
              </w:rPr>
            </w:pPr>
            <w:r w:rsidRPr="00C34FFC">
              <w:t>2</w:t>
            </w:r>
          </w:p>
        </w:tc>
        <w:tc>
          <w:tcPr>
            <w:tcW w:w="629" w:type="pct"/>
          </w:tcPr>
          <w:p w14:paraId="711941B4" w14:textId="77777777" w:rsidR="00F94F86" w:rsidRPr="00C34FFC" w:rsidRDefault="00F94F86" w:rsidP="009F6441">
            <w:pPr>
              <w:pStyle w:val="TableText"/>
              <w:jc w:val="right"/>
              <w:rPr>
                <w:rFonts w:eastAsia="Calibri"/>
              </w:rPr>
            </w:pPr>
            <w:r w:rsidRPr="00C34FFC">
              <w:t>100%</w:t>
            </w:r>
          </w:p>
        </w:tc>
        <w:tc>
          <w:tcPr>
            <w:tcW w:w="589" w:type="pct"/>
          </w:tcPr>
          <w:p w14:paraId="70FA84D5" w14:textId="77777777" w:rsidR="00F94F86" w:rsidRPr="00C34FFC" w:rsidRDefault="00F94F86" w:rsidP="009F6441">
            <w:pPr>
              <w:pStyle w:val="TableText"/>
              <w:jc w:val="right"/>
              <w:rPr>
                <w:rFonts w:eastAsia="Calibri"/>
              </w:rPr>
            </w:pPr>
            <w:r w:rsidRPr="00C34FFC">
              <w:t>0</w:t>
            </w:r>
          </w:p>
        </w:tc>
        <w:tc>
          <w:tcPr>
            <w:tcW w:w="588" w:type="pct"/>
          </w:tcPr>
          <w:p w14:paraId="55C6D58A" w14:textId="77777777" w:rsidR="00F94F86" w:rsidRPr="00C34FFC" w:rsidRDefault="00F94F86" w:rsidP="009F6441">
            <w:pPr>
              <w:pStyle w:val="TableText"/>
              <w:jc w:val="right"/>
              <w:rPr>
                <w:b/>
                <w:color w:val="000000"/>
              </w:rPr>
            </w:pPr>
            <w:r w:rsidRPr="00C34FFC">
              <w:t>0%</w:t>
            </w:r>
          </w:p>
        </w:tc>
        <w:tc>
          <w:tcPr>
            <w:tcW w:w="367" w:type="pct"/>
          </w:tcPr>
          <w:p w14:paraId="47FAFA35" w14:textId="77777777" w:rsidR="00F94F86" w:rsidRPr="009F6441" w:rsidRDefault="00F94F86" w:rsidP="009F6441">
            <w:pPr>
              <w:pStyle w:val="TableText"/>
              <w:jc w:val="right"/>
              <w:rPr>
                <w:b/>
                <w:bCs/>
              </w:rPr>
            </w:pPr>
            <w:r w:rsidRPr="009F6441">
              <w:rPr>
                <w:b/>
                <w:bCs/>
              </w:rPr>
              <w:t>2</w:t>
            </w:r>
          </w:p>
        </w:tc>
      </w:tr>
      <w:tr w:rsidR="00F94F86" w:rsidRPr="00C34FFC" w14:paraId="63531CCD" w14:textId="77777777" w:rsidTr="00572E66">
        <w:trPr>
          <w:trHeight w:val="20"/>
        </w:trPr>
        <w:tc>
          <w:tcPr>
            <w:tcW w:w="2197" w:type="pct"/>
          </w:tcPr>
          <w:p w14:paraId="59DF703B" w14:textId="77777777" w:rsidR="00F94F86" w:rsidRPr="00C34FFC" w:rsidRDefault="00F94F86" w:rsidP="009F6441">
            <w:pPr>
              <w:pStyle w:val="TableText"/>
              <w:rPr>
                <w:rFonts w:eastAsia="Calibri"/>
              </w:rPr>
            </w:pPr>
            <w:r w:rsidRPr="00C34FFC">
              <w:t>NSW: South Eastern NSW</w:t>
            </w:r>
          </w:p>
        </w:tc>
        <w:tc>
          <w:tcPr>
            <w:tcW w:w="629" w:type="pct"/>
          </w:tcPr>
          <w:p w14:paraId="6BE15F1A" w14:textId="77777777" w:rsidR="00F94F86" w:rsidRPr="00C34FFC" w:rsidRDefault="00F94F86" w:rsidP="009F6441">
            <w:pPr>
              <w:pStyle w:val="TableText"/>
              <w:jc w:val="right"/>
              <w:rPr>
                <w:rFonts w:eastAsia="Calibri"/>
              </w:rPr>
            </w:pPr>
            <w:r w:rsidRPr="00C34FFC">
              <w:t>1</w:t>
            </w:r>
          </w:p>
        </w:tc>
        <w:tc>
          <w:tcPr>
            <w:tcW w:w="629" w:type="pct"/>
          </w:tcPr>
          <w:p w14:paraId="400A46DB" w14:textId="77777777" w:rsidR="00F94F86" w:rsidRPr="00C34FFC" w:rsidRDefault="00F94F86" w:rsidP="009F6441">
            <w:pPr>
              <w:pStyle w:val="TableText"/>
              <w:jc w:val="right"/>
              <w:rPr>
                <w:rFonts w:eastAsia="Calibri"/>
              </w:rPr>
            </w:pPr>
            <w:r w:rsidRPr="00C34FFC">
              <w:t>13%</w:t>
            </w:r>
          </w:p>
        </w:tc>
        <w:tc>
          <w:tcPr>
            <w:tcW w:w="589" w:type="pct"/>
          </w:tcPr>
          <w:p w14:paraId="654D144D" w14:textId="77777777" w:rsidR="00F94F86" w:rsidRPr="00C34FFC" w:rsidRDefault="00F94F86" w:rsidP="009F6441">
            <w:pPr>
              <w:pStyle w:val="TableText"/>
              <w:jc w:val="right"/>
              <w:rPr>
                <w:rFonts w:eastAsia="Calibri"/>
              </w:rPr>
            </w:pPr>
            <w:r w:rsidRPr="00C34FFC">
              <w:t>7</w:t>
            </w:r>
          </w:p>
        </w:tc>
        <w:tc>
          <w:tcPr>
            <w:tcW w:w="588" w:type="pct"/>
          </w:tcPr>
          <w:p w14:paraId="5910B885" w14:textId="77777777" w:rsidR="00F94F86" w:rsidRPr="00C34FFC" w:rsidRDefault="00F94F86" w:rsidP="009F6441">
            <w:pPr>
              <w:pStyle w:val="TableText"/>
              <w:jc w:val="right"/>
              <w:rPr>
                <w:b/>
                <w:color w:val="000000"/>
              </w:rPr>
            </w:pPr>
            <w:r w:rsidRPr="00C34FFC">
              <w:t>88%</w:t>
            </w:r>
          </w:p>
        </w:tc>
        <w:tc>
          <w:tcPr>
            <w:tcW w:w="367" w:type="pct"/>
          </w:tcPr>
          <w:p w14:paraId="7183AB64" w14:textId="77777777" w:rsidR="00F94F86" w:rsidRPr="009F6441" w:rsidRDefault="00F94F86" w:rsidP="009F6441">
            <w:pPr>
              <w:pStyle w:val="TableText"/>
              <w:jc w:val="right"/>
              <w:rPr>
                <w:b/>
                <w:bCs/>
              </w:rPr>
            </w:pPr>
            <w:r w:rsidRPr="009F6441">
              <w:rPr>
                <w:b/>
                <w:bCs/>
              </w:rPr>
              <w:t>8</w:t>
            </w:r>
          </w:p>
        </w:tc>
      </w:tr>
      <w:tr w:rsidR="00F94F86" w:rsidRPr="00C34FFC" w14:paraId="2D4AE342" w14:textId="77777777" w:rsidTr="00572E66">
        <w:trPr>
          <w:trHeight w:val="20"/>
        </w:trPr>
        <w:tc>
          <w:tcPr>
            <w:tcW w:w="2197" w:type="pct"/>
          </w:tcPr>
          <w:p w14:paraId="0684DFE2" w14:textId="77777777" w:rsidR="00F94F86" w:rsidRPr="00C34FFC" w:rsidRDefault="00F94F86" w:rsidP="009F6441">
            <w:pPr>
              <w:pStyle w:val="TableText"/>
              <w:rPr>
                <w:rFonts w:eastAsia="Calibri"/>
              </w:rPr>
            </w:pPr>
            <w:r w:rsidRPr="00C34FFC">
              <w:t>NSW: South Western Sydney</w:t>
            </w:r>
          </w:p>
        </w:tc>
        <w:tc>
          <w:tcPr>
            <w:tcW w:w="629" w:type="pct"/>
          </w:tcPr>
          <w:p w14:paraId="328D9ACC" w14:textId="77777777" w:rsidR="00F94F86" w:rsidRPr="00C34FFC" w:rsidRDefault="00F94F86" w:rsidP="009F6441">
            <w:pPr>
              <w:pStyle w:val="TableText"/>
              <w:jc w:val="right"/>
              <w:rPr>
                <w:rFonts w:eastAsia="Calibri"/>
              </w:rPr>
            </w:pPr>
            <w:r w:rsidRPr="00C34FFC">
              <w:t>3</w:t>
            </w:r>
          </w:p>
        </w:tc>
        <w:tc>
          <w:tcPr>
            <w:tcW w:w="629" w:type="pct"/>
          </w:tcPr>
          <w:p w14:paraId="7D7858B3" w14:textId="77777777" w:rsidR="00F94F86" w:rsidRPr="00C34FFC" w:rsidRDefault="00F94F86" w:rsidP="009F6441">
            <w:pPr>
              <w:pStyle w:val="TableText"/>
              <w:jc w:val="right"/>
              <w:rPr>
                <w:rFonts w:eastAsia="Calibri"/>
              </w:rPr>
            </w:pPr>
            <w:r w:rsidRPr="00C34FFC">
              <w:t>50%</w:t>
            </w:r>
          </w:p>
        </w:tc>
        <w:tc>
          <w:tcPr>
            <w:tcW w:w="589" w:type="pct"/>
          </w:tcPr>
          <w:p w14:paraId="0CEFCE01" w14:textId="77777777" w:rsidR="00F94F86" w:rsidRPr="00C34FFC" w:rsidRDefault="00F94F86" w:rsidP="009F6441">
            <w:pPr>
              <w:pStyle w:val="TableText"/>
              <w:jc w:val="right"/>
              <w:rPr>
                <w:rFonts w:eastAsia="Calibri"/>
              </w:rPr>
            </w:pPr>
            <w:r w:rsidRPr="00C34FFC">
              <w:t>3</w:t>
            </w:r>
          </w:p>
        </w:tc>
        <w:tc>
          <w:tcPr>
            <w:tcW w:w="588" w:type="pct"/>
          </w:tcPr>
          <w:p w14:paraId="66BEC351" w14:textId="77777777" w:rsidR="00F94F86" w:rsidRPr="00C34FFC" w:rsidRDefault="00F94F86" w:rsidP="009F6441">
            <w:pPr>
              <w:pStyle w:val="TableText"/>
              <w:jc w:val="right"/>
              <w:rPr>
                <w:b/>
                <w:color w:val="000000"/>
              </w:rPr>
            </w:pPr>
            <w:r w:rsidRPr="00C34FFC">
              <w:t>50%</w:t>
            </w:r>
          </w:p>
        </w:tc>
        <w:tc>
          <w:tcPr>
            <w:tcW w:w="367" w:type="pct"/>
          </w:tcPr>
          <w:p w14:paraId="3F57FB27" w14:textId="77777777" w:rsidR="00F94F86" w:rsidRPr="009F6441" w:rsidRDefault="00F94F86" w:rsidP="009F6441">
            <w:pPr>
              <w:pStyle w:val="TableText"/>
              <w:jc w:val="right"/>
              <w:rPr>
                <w:b/>
                <w:bCs/>
              </w:rPr>
            </w:pPr>
            <w:r w:rsidRPr="009F6441">
              <w:rPr>
                <w:b/>
                <w:bCs/>
              </w:rPr>
              <w:t>6</w:t>
            </w:r>
          </w:p>
        </w:tc>
      </w:tr>
      <w:tr w:rsidR="00F94F86" w:rsidRPr="00C34FFC" w14:paraId="4B5A8443" w14:textId="77777777" w:rsidTr="00572E66">
        <w:trPr>
          <w:trHeight w:val="20"/>
        </w:trPr>
        <w:tc>
          <w:tcPr>
            <w:tcW w:w="2197" w:type="pct"/>
          </w:tcPr>
          <w:p w14:paraId="2CFD1785" w14:textId="77777777" w:rsidR="00F94F86" w:rsidRPr="00C34FFC" w:rsidRDefault="00F94F86" w:rsidP="009F6441">
            <w:pPr>
              <w:pStyle w:val="TableText"/>
              <w:rPr>
                <w:rFonts w:eastAsia="Calibri"/>
              </w:rPr>
            </w:pPr>
            <w:r w:rsidRPr="00C34FFC">
              <w:t>NSW: Western NSW</w:t>
            </w:r>
          </w:p>
        </w:tc>
        <w:tc>
          <w:tcPr>
            <w:tcW w:w="629" w:type="pct"/>
          </w:tcPr>
          <w:p w14:paraId="047C1A2B" w14:textId="77777777" w:rsidR="00F94F86" w:rsidRPr="00C34FFC" w:rsidRDefault="00F94F86" w:rsidP="009F6441">
            <w:pPr>
              <w:pStyle w:val="TableText"/>
              <w:jc w:val="right"/>
              <w:rPr>
                <w:rFonts w:eastAsia="Calibri"/>
              </w:rPr>
            </w:pPr>
            <w:r w:rsidRPr="00C34FFC">
              <w:t>1</w:t>
            </w:r>
          </w:p>
        </w:tc>
        <w:tc>
          <w:tcPr>
            <w:tcW w:w="629" w:type="pct"/>
          </w:tcPr>
          <w:p w14:paraId="280496B9" w14:textId="77777777" w:rsidR="00F94F86" w:rsidRPr="00C34FFC" w:rsidRDefault="00F94F86" w:rsidP="009F6441">
            <w:pPr>
              <w:pStyle w:val="TableText"/>
              <w:jc w:val="right"/>
              <w:rPr>
                <w:rFonts w:eastAsia="Calibri"/>
              </w:rPr>
            </w:pPr>
            <w:r w:rsidRPr="00C34FFC">
              <w:t>7%</w:t>
            </w:r>
          </w:p>
        </w:tc>
        <w:tc>
          <w:tcPr>
            <w:tcW w:w="589" w:type="pct"/>
          </w:tcPr>
          <w:p w14:paraId="53170C66" w14:textId="77777777" w:rsidR="00F94F86" w:rsidRPr="00C34FFC" w:rsidRDefault="00F94F86" w:rsidP="009F6441">
            <w:pPr>
              <w:pStyle w:val="TableText"/>
              <w:jc w:val="right"/>
              <w:rPr>
                <w:rFonts w:eastAsia="Calibri"/>
              </w:rPr>
            </w:pPr>
            <w:r w:rsidRPr="00C34FFC">
              <w:t>13</w:t>
            </w:r>
          </w:p>
        </w:tc>
        <w:tc>
          <w:tcPr>
            <w:tcW w:w="588" w:type="pct"/>
          </w:tcPr>
          <w:p w14:paraId="3643930D" w14:textId="77777777" w:rsidR="00F94F86" w:rsidRPr="00C34FFC" w:rsidRDefault="00F94F86" w:rsidP="009F6441">
            <w:pPr>
              <w:pStyle w:val="TableText"/>
              <w:jc w:val="right"/>
              <w:rPr>
                <w:b/>
                <w:color w:val="000000"/>
              </w:rPr>
            </w:pPr>
            <w:r w:rsidRPr="00C34FFC">
              <w:t>93%</w:t>
            </w:r>
          </w:p>
        </w:tc>
        <w:tc>
          <w:tcPr>
            <w:tcW w:w="367" w:type="pct"/>
          </w:tcPr>
          <w:p w14:paraId="596D2613" w14:textId="77777777" w:rsidR="00F94F86" w:rsidRPr="009F6441" w:rsidRDefault="00F94F86" w:rsidP="009F6441">
            <w:pPr>
              <w:pStyle w:val="TableText"/>
              <w:jc w:val="right"/>
              <w:rPr>
                <w:b/>
                <w:bCs/>
              </w:rPr>
            </w:pPr>
            <w:r w:rsidRPr="009F6441">
              <w:rPr>
                <w:b/>
                <w:bCs/>
              </w:rPr>
              <w:t>14</w:t>
            </w:r>
          </w:p>
        </w:tc>
      </w:tr>
      <w:tr w:rsidR="00F94F86" w:rsidRPr="00C34FFC" w14:paraId="0AF81E62" w14:textId="77777777" w:rsidTr="00572E66">
        <w:trPr>
          <w:trHeight w:val="20"/>
        </w:trPr>
        <w:tc>
          <w:tcPr>
            <w:tcW w:w="2197" w:type="pct"/>
          </w:tcPr>
          <w:p w14:paraId="6A90E49D" w14:textId="77777777" w:rsidR="00F94F86" w:rsidRPr="00C34FFC" w:rsidRDefault="00F94F86" w:rsidP="009F6441">
            <w:pPr>
              <w:pStyle w:val="TableText"/>
              <w:rPr>
                <w:rFonts w:eastAsia="Calibri"/>
              </w:rPr>
            </w:pPr>
            <w:r w:rsidRPr="00C34FFC">
              <w:t>NSW: Western Sydney</w:t>
            </w:r>
          </w:p>
        </w:tc>
        <w:tc>
          <w:tcPr>
            <w:tcW w:w="629" w:type="pct"/>
          </w:tcPr>
          <w:p w14:paraId="539F58EA" w14:textId="77777777" w:rsidR="00F94F86" w:rsidRPr="00C34FFC" w:rsidRDefault="00F94F86" w:rsidP="009F6441">
            <w:pPr>
              <w:pStyle w:val="TableText"/>
              <w:jc w:val="right"/>
              <w:rPr>
                <w:rFonts w:eastAsia="Calibri"/>
              </w:rPr>
            </w:pPr>
            <w:r w:rsidRPr="00C34FFC">
              <w:t>7</w:t>
            </w:r>
          </w:p>
        </w:tc>
        <w:tc>
          <w:tcPr>
            <w:tcW w:w="629" w:type="pct"/>
          </w:tcPr>
          <w:p w14:paraId="2322E8D8" w14:textId="77777777" w:rsidR="00F94F86" w:rsidRPr="00C34FFC" w:rsidRDefault="00F94F86" w:rsidP="009F6441">
            <w:pPr>
              <w:pStyle w:val="TableText"/>
              <w:jc w:val="right"/>
              <w:rPr>
                <w:rFonts w:eastAsia="Calibri"/>
              </w:rPr>
            </w:pPr>
            <w:r w:rsidRPr="00C34FFC">
              <w:t>100%</w:t>
            </w:r>
          </w:p>
        </w:tc>
        <w:tc>
          <w:tcPr>
            <w:tcW w:w="589" w:type="pct"/>
          </w:tcPr>
          <w:p w14:paraId="0D4B6629" w14:textId="77777777" w:rsidR="00F94F86" w:rsidRPr="00C34FFC" w:rsidRDefault="00F94F86" w:rsidP="009F6441">
            <w:pPr>
              <w:pStyle w:val="TableText"/>
              <w:jc w:val="right"/>
              <w:rPr>
                <w:rFonts w:eastAsia="Calibri"/>
              </w:rPr>
            </w:pPr>
            <w:r w:rsidRPr="00C34FFC">
              <w:t>0</w:t>
            </w:r>
          </w:p>
        </w:tc>
        <w:tc>
          <w:tcPr>
            <w:tcW w:w="588" w:type="pct"/>
          </w:tcPr>
          <w:p w14:paraId="209AF582" w14:textId="77777777" w:rsidR="00F94F86" w:rsidRPr="00C34FFC" w:rsidRDefault="00F94F86" w:rsidP="009F6441">
            <w:pPr>
              <w:pStyle w:val="TableText"/>
              <w:jc w:val="right"/>
              <w:rPr>
                <w:b/>
                <w:color w:val="000000"/>
              </w:rPr>
            </w:pPr>
            <w:r w:rsidRPr="00C34FFC">
              <w:t>0%</w:t>
            </w:r>
          </w:p>
        </w:tc>
        <w:tc>
          <w:tcPr>
            <w:tcW w:w="367" w:type="pct"/>
          </w:tcPr>
          <w:p w14:paraId="73C9420F" w14:textId="77777777" w:rsidR="00F94F86" w:rsidRPr="009F6441" w:rsidRDefault="00F94F86" w:rsidP="009F6441">
            <w:pPr>
              <w:pStyle w:val="TableText"/>
              <w:jc w:val="right"/>
              <w:rPr>
                <w:b/>
                <w:bCs/>
              </w:rPr>
            </w:pPr>
            <w:r w:rsidRPr="009F6441">
              <w:rPr>
                <w:b/>
                <w:bCs/>
              </w:rPr>
              <w:t>7</w:t>
            </w:r>
          </w:p>
        </w:tc>
      </w:tr>
      <w:tr w:rsidR="00F94F86" w:rsidRPr="00C34FFC" w14:paraId="2D625140" w14:textId="77777777" w:rsidTr="00572E66">
        <w:trPr>
          <w:trHeight w:val="20"/>
        </w:trPr>
        <w:tc>
          <w:tcPr>
            <w:tcW w:w="2197" w:type="pct"/>
          </w:tcPr>
          <w:p w14:paraId="6BB23C7D" w14:textId="77777777" w:rsidR="00F94F86" w:rsidRPr="00C34FFC" w:rsidRDefault="00F94F86" w:rsidP="009F6441">
            <w:pPr>
              <w:pStyle w:val="TableText"/>
              <w:rPr>
                <w:rFonts w:eastAsia="Calibri"/>
              </w:rPr>
            </w:pPr>
            <w:r w:rsidRPr="00C34FFC">
              <w:t>NT: Northern Territory</w:t>
            </w:r>
          </w:p>
        </w:tc>
        <w:tc>
          <w:tcPr>
            <w:tcW w:w="629" w:type="pct"/>
          </w:tcPr>
          <w:p w14:paraId="2FC76BAA" w14:textId="77777777" w:rsidR="00F94F86" w:rsidRPr="00C34FFC" w:rsidRDefault="00F94F86" w:rsidP="009F6441">
            <w:pPr>
              <w:pStyle w:val="TableText"/>
              <w:jc w:val="right"/>
              <w:rPr>
                <w:rFonts w:eastAsia="Calibri"/>
              </w:rPr>
            </w:pPr>
            <w:r w:rsidRPr="00C34FFC">
              <w:t>5</w:t>
            </w:r>
          </w:p>
        </w:tc>
        <w:tc>
          <w:tcPr>
            <w:tcW w:w="629" w:type="pct"/>
          </w:tcPr>
          <w:p w14:paraId="107A33F3" w14:textId="77777777" w:rsidR="00F94F86" w:rsidRPr="00C34FFC" w:rsidRDefault="00F94F86" w:rsidP="009F6441">
            <w:pPr>
              <w:pStyle w:val="TableText"/>
              <w:jc w:val="right"/>
              <w:rPr>
                <w:rFonts w:eastAsia="Calibri"/>
              </w:rPr>
            </w:pPr>
            <w:r w:rsidRPr="00C34FFC">
              <w:t>14%</w:t>
            </w:r>
          </w:p>
        </w:tc>
        <w:tc>
          <w:tcPr>
            <w:tcW w:w="589" w:type="pct"/>
          </w:tcPr>
          <w:p w14:paraId="3B27A6ED" w14:textId="77777777" w:rsidR="00F94F86" w:rsidRPr="00C34FFC" w:rsidRDefault="00F94F86" w:rsidP="009F6441">
            <w:pPr>
              <w:pStyle w:val="TableText"/>
              <w:jc w:val="right"/>
              <w:rPr>
                <w:rFonts w:eastAsia="Calibri"/>
              </w:rPr>
            </w:pPr>
            <w:r w:rsidRPr="00C34FFC">
              <w:t>31</w:t>
            </w:r>
          </w:p>
        </w:tc>
        <w:tc>
          <w:tcPr>
            <w:tcW w:w="588" w:type="pct"/>
          </w:tcPr>
          <w:p w14:paraId="7B3BAE08" w14:textId="77777777" w:rsidR="00F94F86" w:rsidRPr="00C34FFC" w:rsidRDefault="00F94F86" w:rsidP="009F6441">
            <w:pPr>
              <w:pStyle w:val="TableText"/>
              <w:jc w:val="right"/>
              <w:rPr>
                <w:b/>
                <w:color w:val="000000"/>
              </w:rPr>
            </w:pPr>
            <w:r w:rsidRPr="00C34FFC">
              <w:t>86%</w:t>
            </w:r>
          </w:p>
        </w:tc>
        <w:tc>
          <w:tcPr>
            <w:tcW w:w="367" w:type="pct"/>
          </w:tcPr>
          <w:p w14:paraId="3B90643D" w14:textId="77777777" w:rsidR="00F94F86" w:rsidRPr="009F6441" w:rsidRDefault="00F94F86" w:rsidP="009F6441">
            <w:pPr>
              <w:pStyle w:val="TableText"/>
              <w:jc w:val="right"/>
              <w:rPr>
                <w:b/>
                <w:bCs/>
              </w:rPr>
            </w:pPr>
            <w:r w:rsidRPr="009F6441">
              <w:rPr>
                <w:b/>
                <w:bCs/>
              </w:rPr>
              <w:t>36</w:t>
            </w:r>
          </w:p>
        </w:tc>
      </w:tr>
      <w:tr w:rsidR="00F94F86" w:rsidRPr="00C34FFC" w14:paraId="69F89010" w14:textId="77777777" w:rsidTr="00572E66">
        <w:trPr>
          <w:trHeight w:val="20"/>
        </w:trPr>
        <w:tc>
          <w:tcPr>
            <w:tcW w:w="2197" w:type="pct"/>
          </w:tcPr>
          <w:p w14:paraId="2FD3DCF7" w14:textId="77777777" w:rsidR="00F94F86" w:rsidRPr="00C34FFC" w:rsidRDefault="00F94F86" w:rsidP="009F6441">
            <w:pPr>
              <w:pStyle w:val="TableText"/>
              <w:rPr>
                <w:rFonts w:eastAsia="Calibri"/>
              </w:rPr>
            </w:pPr>
            <w:r w:rsidRPr="00C34FFC">
              <w:t>Qld: Brisbane North</w:t>
            </w:r>
          </w:p>
        </w:tc>
        <w:tc>
          <w:tcPr>
            <w:tcW w:w="629" w:type="pct"/>
          </w:tcPr>
          <w:p w14:paraId="6DD0CBF7" w14:textId="77777777" w:rsidR="00F94F86" w:rsidRPr="00C34FFC" w:rsidRDefault="00F94F86" w:rsidP="009F6441">
            <w:pPr>
              <w:pStyle w:val="TableText"/>
              <w:jc w:val="right"/>
              <w:rPr>
                <w:rFonts w:eastAsia="Calibri"/>
              </w:rPr>
            </w:pPr>
            <w:r w:rsidRPr="00C34FFC">
              <w:t>0</w:t>
            </w:r>
          </w:p>
        </w:tc>
        <w:tc>
          <w:tcPr>
            <w:tcW w:w="629" w:type="pct"/>
          </w:tcPr>
          <w:p w14:paraId="7E2DB392" w14:textId="77777777" w:rsidR="00F94F86" w:rsidRPr="00C34FFC" w:rsidRDefault="00F94F86" w:rsidP="009F6441">
            <w:pPr>
              <w:pStyle w:val="TableText"/>
              <w:jc w:val="right"/>
              <w:rPr>
                <w:rFonts w:eastAsia="Calibri"/>
              </w:rPr>
            </w:pPr>
            <w:r w:rsidRPr="00C34FFC">
              <w:t>0%</w:t>
            </w:r>
          </w:p>
        </w:tc>
        <w:tc>
          <w:tcPr>
            <w:tcW w:w="589" w:type="pct"/>
          </w:tcPr>
          <w:p w14:paraId="3A4ED702" w14:textId="77777777" w:rsidR="00F94F86" w:rsidRPr="00C34FFC" w:rsidRDefault="00F94F86" w:rsidP="009F6441">
            <w:pPr>
              <w:pStyle w:val="TableText"/>
              <w:jc w:val="right"/>
              <w:rPr>
                <w:rFonts w:eastAsia="Calibri"/>
              </w:rPr>
            </w:pPr>
            <w:r w:rsidRPr="00C34FFC">
              <w:t>2</w:t>
            </w:r>
          </w:p>
        </w:tc>
        <w:tc>
          <w:tcPr>
            <w:tcW w:w="588" w:type="pct"/>
          </w:tcPr>
          <w:p w14:paraId="7D9B4203" w14:textId="77777777" w:rsidR="00F94F86" w:rsidRPr="00C34FFC" w:rsidRDefault="00F94F86" w:rsidP="009F6441">
            <w:pPr>
              <w:pStyle w:val="TableText"/>
              <w:jc w:val="right"/>
              <w:rPr>
                <w:b/>
                <w:color w:val="000000"/>
              </w:rPr>
            </w:pPr>
            <w:r w:rsidRPr="00C34FFC">
              <w:t>100%</w:t>
            </w:r>
          </w:p>
        </w:tc>
        <w:tc>
          <w:tcPr>
            <w:tcW w:w="367" w:type="pct"/>
          </w:tcPr>
          <w:p w14:paraId="48406892" w14:textId="77777777" w:rsidR="00F94F86" w:rsidRPr="009F6441" w:rsidRDefault="00F94F86" w:rsidP="009F6441">
            <w:pPr>
              <w:pStyle w:val="TableText"/>
              <w:jc w:val="right"/>
              <w:rPr>
                <w:b/>
                <w:bCs/>
              </w:rPr>
            </w:pPr>
            <w:r w:rsidRPr="009F6441">
              <w:rPr>
                <w:b/>
                <w:bCs/>
              </w:rPr>
              <w:t>2</w:t>
            </w:r>
          </w:p>
        </w:tc>
      </w:tr>
      <w:tr w:rsidR="00F94F86" w:rsidRPr="00C34FFC" w14:paraId="569E12B2" w14:textId="77777777" w:rsidTr="00572E66">
        <w:trPr>
          <w:trHeight w:val="20"/>
        </w:trPr>
        <w:tc>
          <w:tcPr>
            <w:tcW w:w="2197" w:type="pct"/>
          </w:tcPr>
          <w:p w14:paraId="7FBBACA5" w14:textId="77777777" w:rsidR="00F94F86" w:rsidRPr="00C34FFC" w:rsidRDefault="00F94F86" w:rsidP="009F6441">
            <w:pPr>
              <w:pStyle w:val="TableText"/>
              <w:rPr>
                <w:rFonts w:eastAsia="Calibri"/>
              </w:rPr>
            </w:pPr>
            <w:r w:rsidRPr="00C34FFC">
              <w:t>Qld: Brisbane South</w:t>
            </w:r>
          </w:p>
        </w:tc>
        <w:tc>
          <w:tcPr>
            <w:tcW w:w="629" w:type="pct"/>
          </w:tcPr>
          <w:p w14:paraId="5DDB394A" w14:textId="77777777" w:rsidR="00F94F86" w:rsidRPr="00C34FFC" w:rsidRDefault="00F94F86" w:rsidP="009F6441">
            <w:pPr>
              <w:pStyle w:val="TableText"/>
              <w:jc w:val="right"/>
              <w:rPr>
                <w:rFonts w:eastAsia="Calibri"/>
              </w:rPr>
            </w:pPr>
            <w:r w:rsidRPr="00C34FFC">
              <w:t>2</w:t>
            </w:r>
          </w:p>
        </w:tc>
        <w:tc>
          <w:tcPr>
            <w:tcW w:w="629" w:type="pct"/>
          </w:tcPr>
          <w:p w14:paraId="3E31B5C2" w14:textId="77777777" w:rsidR="00F94F86" w:rsidRPr="00C34FFC" w:rsidRDefault="00F94F86" w:rsidP="009F6441">
            <w:pPr>
              <w:pStyle w:val="TableText"/>
              <w:jc w:val="right"/>
              <w:rPr>
                <w:rFonts w:eastAsia="Calibri"/>
              </w:rPr>
            </w:pPr>
            <w:r w:rsidRPr="00C34FFC">
              <w:t>17%</w:t>
            </w:r>
          </w:p>
        </w:tc>
        <w:tc>
          <w:tcPr>
            <w:tcW w:w="589" w:type="pct"/>
          </w:tcPr>
          <w:p w14:paraId="1416A035" w14:textId="77777777" w:rsidR="00F94F86" w:rsidRPr="00C34FFC" w:rsidRDefault="00F94F86" w:rsidP="009F6441">
            <w:pPr>
              <w:pStyle w:val="TableText"/>
              <w:jc w:val="right"/>
              <w:rPr>
                <w:rFonts w:eastAsia="Calibri"/>
              </w:rPr>
            </w:pPr>
            <w:r w:rsidRPr="00C34FFC">
              <w:t>10</w:t>
            </w:r>
          </w:p>
        </w:tc>
        <w:tc>
          <w:tcPr>
            <w:tcW w:w="588" w:type="pct"/>
          </w:tcPr>
          <w:p w14:paraId="430CC4BB" w14:textId="77777777" w:rsidR="00F94F86" w:rsidRPr="00C34FFC" w:rsidRDefault="00F94F86" w:rsidP="009F6441">
            <w:pPr>
              <w:pStyle w:val="TableText"/>
              <w:jc w:val="right"/>
              <w:rPr>
                <w:b/>
                <w:color w:val="000000"/>
              </w:rPr>
            </w:pPr>
            <w:r w:rsidRPr="00C34FFC">
              <w:t>83%</w:t>
            </w:r>
          </w:p>
        </w:tc>
        <w:tc>
          <w:tcPr>
            <w:tcW w:w="367" w:type="pct"/>
          </w:tcPr>
          <w:p w14:paraId="5BE40B9B" w14:textId="77777777" w:rsidR="00F94F86" w:rsidRPr="009F6441" w:rsidRDefault="00F94F86" w:rsidP="009F6441">
            <w:pPr>
              <w:pStyle w:val="TableText"/>
              <w:jc w:val="right"/>
              <w:rPr>
                <w:b/>
                <w:bCs/>
              </w:rPr>
            </w:pPr>
            <w:r w:rsidRPr="009F6441">
              <w:rPr>
                <w:b/>
                <w:bCs/>
              </w:rPr>
              <w:t>12</w:t>
            </w:r>
          </w:p>
        </w:tc>
      </w:tr>
      <w:tr w:rsidR="00F94F86" w:rsidRPr="00C34FFC" w14:paraId="26E4E449" w14:textId="77777777" w:rsidTr="00572E66">
        <w:trPr>
          <w:trHeight w:val="20"/>
        </w:trPr>
        <w:tc>
          <w:tcPr>
            <w:tcW w:w="2197" w:type="pct"/>
          </w:tcPr>
          <w:p w14:paraId="09402B42" w14:textId="77777777" w:rsidR="00F94F86" w:rsidRPr="00C34FFC" w:rsidRDefault="00F94F86" w:rsidP="009F6441">
            <w:pPr>
              <w:pStyle w:val="TableText"/>
              <w:rPr>
                <w:rFonts w:eastAsia="Calibri"/>
              </w:rPr>
            </w:pPr>
            <w:r w:rsidRPr="00C34FFC">
              <w:t xml:space="preserve">Qld: Central Queensland, Wide Bay, Sunshine </w:t>
            </w:r>
          </w:p>
        </w:tc>
        <w:tc>
          <w:tcPr>
            <w:tcW w:w="629" w:type="pct"/>
          </w:tcPr>
          <w:p w14:paraId="7DC8285D" w14:textId="77777777" w:rsidR="00F94F86" w:rsidRPr="00C34FFC" w:rsidRDefault="00F94F86" w:rsidP="009F6441">
            <w:pPr>
              <w:pStyle w:val="TableText"/>
              <w:jc w:val="right"/>
              <w:rPr>
                <w:rFonts w:eastAsia="Calibri"/>
              </w:rPr>
            </w:pPr>
            <w:r w:rsidRPr="00C34FFC">
              <w:t>11</w:t>
            </w:r>
          </w:p>
        </w:tc>
        <w:tc>
          <w:tcPr>
            <w:tcW w:w="629" w:type="pct"/>
          </w:tcPr>
          <w:p w14:paraId="02C16A21" w14:textId="77777777" w:rsidR="00F94F86" w:rsidRPr="00C34FFC" w:rsidRDefault="00F94F86" w:rsidP="009F6441">
            <w:pPr>
              <w:pStyle w:val="TableText"/>
              <w:jc w:val="right"/>
              <w:rPr>
                <w:rFonts w:eastAsia="Calibri"/>
              </w:rPr>
            </w:pPr>
            <w:r w:rsidRPr="00C34FFC">
              <w:t>73%</w:t>
            </w:r>
          </w:p>
        </w:tc>
        <w:tc>
          <w:tcPr>
            <w:tcW w:w="589" w:type="pct"/>
          </w:tcPr>
          <w:p w14:paraId="51112E82" w14:textId="77777777" w:rsidR="00F94F86" w:rsidRPr="00C34FFC" w:rsidRDefault="00F94F86" w:rsidP="009F6441">
            <w:pPr>
              <w:pStyle w:val="TableText"/>
              <w:jc w:val="right"/>
              <w:rPr>
                <w:rFonts w:eastAsia="Calibri"/>
              </w:rPr>
            </w:pPr>
            <w:r w:rsidRPr="00C34FFC">
              <w:t>4</w:t>
            </w:r>
          </w:p>
        </w:tc>
        <w:tc>
          <w:tcPr>
            <w:tcW w:w="588" w:type="pct"/>
          </w:tcPr>
          <w:p w14:paraId="1B3205C0" w14:textId="77777777" w:rsidR="00F94F86" w:rsidRPr="00C34FFC" w:rsidRDefault="00F94F86" w:rsidP="009F6441">
            <w:pPr>
              <w:pStyle w:val="TableText"/>
              <w:jc w:val="right"/>
              <w:rPr>
                <w:b/>
                <w:color w:val="000000"/>
              </w:rPr>
            </w:pPr>
            <w:r w:rsidRPr="00C34FFC">
              <w:t>27%</w:t>
            </w:r>
          </w:p>
        </w:tc>
        <w:tc>
          <w:tcPr>
            <w:tcW w:w="367" w:type="pct"/>
          </w:tcPr>
          <w:p w14:paraId="69135D08" w14:textId="77777777" w:rsidR="00F94F86" w:rsidRPr="009F6441" w:rsidRDefault="00F94F86" w:rsidP="009F6441">
            <w:pPr>
              <w:pStyle w:val="TableText"/>
              <w:jc w:val="right"/>
              <w:rPr>
                <w:b/>
                <w:bCs/>
              </w:rPr>
            </w:pPr>
            <w:r w:rsidRPr="009F6441">
              <w:rPr>
                <w:b/>
                <w:bCs/>
              </w:rPr>
              <w:t>15</w:t>
            </w:r>
          </w:p>
        </w:tc>
      </w:tr>
      <w:tr w:rsidR="00F94F86" w:rsidRPr="00C34FFC" w14:paraId="6F55FBEA" w14:textId="77777777" w:rsidTr="00572E66">
        <w:trPr>
          <w:trHeight w:val="20"/>
        </w:trPr>
        <w:tc>
          <w:tcPr>
            <w:tcW w:w="2197" w:type="pct"/>
          </w:tcPr>
          <w:p w14:paraId="361678F8" w14:textId="77777777" w:rsidR="00F94F86" w:rsidRPr="00C34FFC" w:rsidRDefault="00F94F86" w:rsidP="009F6441">
            <w:pPr>
              <w:pStyle w:val="TableText"/>
              <w:rPr>
                <w:rFonts w:eastAsia="Calibri"/>
              </w:rPr>
            </w:pPr>
            <w:r w:rsidRPr="00C34FFC">
              <w:t>Qld: Darling Downs and West Moreton</w:t>
            </w:r>
          </w:p>
        </w:tc>
        <w:tc>
          <w:tcPr>
            <w:tcW w:w="629" w:type="pct"/>
          </w:tcPr>
          <w:p w14:paraId="172BA1A1" w14:textId="77777777" w:rsidR="00F94F86" w:rsidRPr="00C34FFC" w:rsidRDefault="00F94F86" w:rsidP="009F6441">
            <w:pPr>
              <w:pStyle w:val="TableText"/>
              <w:jc w:val="right"/>
              <w:rPr>
                <w:rFonts w:eastAsia="Calibri"/>
              </w:rPr>
            </w:pPr>
            <w:r w:rsidRPr="00C34FFC">
              <w:t>1</w:t>
            </w:r>
          </w:p>
        </w:tc>
        <w:tc>
          <w:tcPr>
            <w:tcW w:w="629" w:type="pct"/>
          </w:tcPr>
          <w:p w14:paraId="7FE467AA" w14:textId="77777777" w:rsidR="00F94F86" w:rsidRPr="00C34FFC" w:rsidRDefault="00F94F86" w:rsidP="009F6441">
            <w:pPr>
              <w:pStyle w:val="TableText"/>
              <w:jc w:val="right"/>
              <w:rPr>
                <w:rFonts w:eastAsia="Calibri"/>
              </w:rPr>
            </w:pPr>
            <w:r w:rsidRPr="00C34FFC">
              <w:t>10%</w:t>
            </w:r>
          </w:p>
        </w:tc>
        <w:tc>
          <w:tcPr>
            <w:tcW w:w="589" w:type="pct"/>
          </w:tcPr>
          <w:p w14:paraId="7869DE37" w14:textId="77777777" w:rsidR="00F94F86" w:rsidRPr="00C34FFC" w:rsidRDefault="00F94F86" w:rsidP="009F6441">
            <w:pPr>
              <w:pStyle w:val="TableText"/>
              <w:jc w:val="right"/>
              <w:rPr>
                <w:rFonts w:eastAsia="Calibri"/>
              </w:rPr>
            </w:pPr>
            <w:r w:rsidRPr="00C34FFC">
              <w:t>9</w:t>
            </w:r>
          </w:p>
        </w:tc>
        <w:tc>
          <w:tcPr>
            <w:tcW w:w="588" w:type="pct"/>
          </w:tcPr>
          <w:p w14:paraId="107ECEC2" w14:textId="77777777" w:rsidR="00F94F86" w:rsidRPr="00C34FFC" w:rsidRDefault="00F94F86" w:rsidP="009F6441">
            <w:pPr>
              <w:pStyle w:val="TableText"/>
              <w:jc w:val="right"/>
              <w:rPr>
                <w:b/>
                <w:color w:val="000000"/>
              </w:rPr>
            </w:pPr>
            <w:r w:rsidRPr="00C34FFC">
              <w:t>90%</w:t>
            </w:r>
          </w:p>
        </w:tc>
        <w:tc>
          <w:tcPr>
            <w:tcW w:w="367" w:type="pct"/>
          </w:tcPr>
          <w:p w14:paraId="6BCE95CE" w14:textId="77777777" w:rsidR="00F94F86" w:rsidRPr="009F6441" w:rsidRDefault="00F94F86" w:rsidP="009F6441">
            <w:pPr>
              <w:pStyle w:val="TableText"/>
              <w:jc w:val="right"/>
              <w:rPr>
                <w:b/>
                <w:bCs/>
              </w:rPr>
            </w:pPr>
            <w:r w:rsidRPr="009F6441">
              <w:rPr>
                <w:b/>
                <w:bCs/>
              </w:rPr>
              <w:t>10</w:t>
            </w:r>
          </w:p>
        </w:tc>
      </w:tr>
      <w:tr w:rsidR="00F94F86" w:rsidRPr="00C34FFC" w14:paraId="3B4FCA41" w14:textId="77777777" w:rsidTr="00572E66">
        <w:trPr>
          <w:trHeight w:val="20"/>
        </w:trPr>
        <w:tc>
          <w:tcPr>
            <w:tcW w:w="2197" w:type="pct"/>
          </w:tcPr>
          <w:p w14:paraId="50AE386B" w14:textId="77777777" w:rsidR="00F94F86" w:rsidRPr="00C34FFC" w:rsidRDefault="00F94F86" w:rsidP="009F6441">
            <w:pPr>
              <w:pStyle w:val="TableText"/>
              <w:rPr>
                <w:rFonts w:eastAsia="Calibri"/>
              </w:rPr>
            </w:pPr>
            <w:r w:rsidRPr="00C34FFC">
              <w:t>Qld: Gold Coast</w:t>
            </w:r>
          </w:p>
        </w:tc>
        <w:tc>
          <w:tcPr>
            <w:tcW w:w="629" w:type="pct"/>
          </w:tcPr>
          <w:p w14:paraId="46B736D0" w14:textId="77777777" w:rsidR="00F94F86" w:rsidRPr="00C34FFC" w:rsidRDefault="00F94F86" w:rsidP="009F6441">
            <w:pPr>
              <w:pStyle w:val="TableText"/>
              <w:jc w:val="right"/>
              <w:rPr>
                <w:rFonts w:eastAsia="Calibri"/>
              </w:rPr>
            </w:pPr>
            <w:r w:rsidRPr="00C34FFC">
              <w:t>0</w:t>
            </w:r>
          </w:p>
        </w:tc>
        <w:tc>
          <w:tcPr>
            <w:tcW w:w="629" w:type="pct"/>
          </w:tcPr>
          <w:p w14:paraId="7DBEB083" w14:textId="77777777" w:rsidR="00F94F86" w:rsidRPr="00C34FFC" w:rsidRDefault="00F94F86" w:rsidP="009F6441">
            <w:pPr>
              <w:pStyle w:val="TableText"/>
              <w:jc w:val="right"/>
              <w:rPr>
                <w:rFonts w:eastAsia="Calibri"/>
              </w:rPr>
            </w:pPr>
            <w:r w:rsidRPr="00C34FFC">
              <w:t>0%</w:t>
            </w:r>
          </w:p>
        </w:tc>
        <w:tc>
          <w:tcPr>
            <w:tcW w:w="589" w:type="pct"/>
          </w:tcPr>
          <w:p w14:paraId="17868176" w14:textId="77777777" w:rsidR="00F94F86" w:rsidRPr="00C34FFC" w:rsidRDefault="00F94F86" w:rsidP="009F6441">
            <w:pPr>
              <w:pStyle w:val="TableText"/>
              <w:jc w:val="right"/>
              <w:rPr>
                <w:rFonts w:eastAsia="Calibri"/>
              </w:rPr>
            </w:pPr>
            <w:r w:rsidRPr="00C34FFC">
              <w:t>1</w:t>
            </w:r>
          </w:p>
        </w:tc>
        <w:tc>
          <w:tcPr>
            <w:tcW w:w="588" w:type="pct"/>
          </w:tcPr>
          <w:p w14:paraId="1E2146B0" w14:textId="77777777" w:rsidR="00F94F86" w:rsidRPr="00C34FFC" w:rsidRDefault="00F94F86" w:rsidP="009F6441">
            <w:pPr>
              <w:pStyle w:val="TableText"/>
              <w:jc w:val="right"/>
              <w:rPr>
                <w:rFonts w:eastAsia="Calibri"/>
                <w:b/>
              </w:rPr>
            </w:pPr>
            <w:r w:rsidRPr="00C34FFC">
              <w:t>100%</w:t>
            </w:r>
          </w:p>
        </w:tc>
        <w:tc>
          <w:tcPr>
            <w:tcW w:w="367" w:type="pct"/>
          </w:tcPr>
          <w:p w14:paraId="7DA197F7" w14:textId="77777777" w:rsidR="00F94F86" w:rsidRPr="009F6441" w:rsidRDefault="00F94F86" w:rsidP="009F6441">
            <w:pPr>
              <w:pStyle w:val="TableText"/>
              <w:jc w:val="right"/>
              <w:rPr>
                <w:b/>
                <w:bCs/>
              </w:rPr>
            </w:pPr>
            <w:r w:rsidRPr="009F6441">
              <w:rPr>
                <w:b/>
                <w:bCs/>
              </w:rPr>
              <w:t>1</w:t>
            </w:r>
          </w:p>
        </w:tc>
      </w:tr>
      <w:tr w:rsidR="00F94F86" w:rsidRPr="00C34FFC" w14:paraId="2D43D998" w14:textId="77777777" w:rsidTr="00572E66">
        <w:trPr>
          <w:trHeight w:val="20"/>
        </w:trPr>
        <w:tc>
          <w:tcPr>
            <w:tcW w:w="2197" w:type="pct"/>
          </w:tcPr>
          <w:p w14:paraId="7F0EEC43" w14:textId="77777777" w:rsidR="00F94F86" w:rsidRPr="00C34FFC" w:rsidRDefault="00F94F86" w:rsidP="009F6441">
            <w:pPr>
              <w:pStyle w:val="TableText"/>
              <w:rPr>
                <w:rFonts w:eastAsia="Calibri"/>
              </w:rPr>
            </w:pPr>
            <w:r w:rsidRPr="00C34FFC">
              <w:t>Qld: Northern Queensland</w:t>
            </w:r>
          </w:p>
        </w:tc>
        <w:tc>
          <w:tcPr>
            <w:tcW w:w="629" w:type="pct"/>
          </w:tcPr>
          <w:p w14:paraId="7A8ABF92" w14:textId="77777777" w:rsidR="00F94F86" w:rsidRPr="00C34FFC" w:rsidRDefault="00F94F86" w:rsidP="009F6441">
            <w:pPr>
              <w:pStyle w:val="TableText"/>
              <w:jc w:val="right"/>
              <w:rPr>
                <w:color w:val="000000"/>
              </w:rPr>
            </w:pPr>
            <w:r w:rsidRPr="00C34FFC">
              <w:t>0</w:t>
            </w:r>
          </w:p>
        </w:tc>
        <w:tc>
          <w:tcPr>
            <w:tcW w:w="629" w:type="pct"/>
          </w:tcPr>
          <w:p w14:paraId="37E44032" w14:textId="77777777" w:rsidR="00F94F86" w:rsidRPr="00C34FFC" w:rsidRDefault="00F94F86" w:rsidP="009F6441">
            <w:pPr>
              <w:pStyle w:val="TableText"/>
              <w:jc w:val="right"/>
              <w:rPr>
                <w:color w:val="000000"/>
              </w:rPr>
            </w:pPr>
            <w:r w:rsidRPr="00C34FFC">
              <w:t>0%</w:t>
            </w:r>
          </w:p>
        </w:tc>
        <w:tc>
          <w:tcPr>
            <w:tcW w:w="589" w:type="pct"/>
          </w:tcPr>
          <w:p w14:paraId="4A7F9741" w14:textId="77777777" w:rsidR="00F94F86" w:rsidRPr="00C34FFC" w:rsidRDefault="00F94F86" w:rsidP="009F6441">
            <w:pPr>
              <w:pStyle w:val="TableText"/>
              <w:jc w:val="right"/>
              <w:rPr>
                <w:color w:val="000000"/>
              </w:rPr>
            </w:pPr>
            <w:r w:rsidRPr="00C34FFC">
              <w:t>4</w:t>
            </w:r>
          </w:p>
        </w:tc>
        <w:tc>
          <w:tcPr>
            <w:tcW w:w="588" w:type="pct"/>
          </w:tcPr>
          <w:p w14:paraId="1BDA7155" w14:textId="77777777" w:rsidR="00F94F86" w:rsidRPr="00C34FFC" w:rsidRDefault="00F94F86" w:rsidP="009F6441">
            <w:pPr>
              <w:pStyle w:val="TableText"/>
              <w:jc w:val="right"/>
              <w:rPr>
                <w:b/>
                <w:color w:val="000000"/>
              </w:rPr>
            </w:pPr>
            <w:r w:rsidRPr="00C34FFC">
              <w:t>100%</w:t>
            </w:r>
          </w:p>
        </w:tc>
        <w:tc>
          <w:tcPr>
            <w:tcW w:w="367" w:type="pct"/>
          </w:tcPr>
          <w:p w14:paraId="263A7FC1" w14:textId="77777777" w:rsidR="00F94F86" w:rsidRPr="009F6441" w:rsidRDefault="00F94F86" w:rsidP="009F6441">
            <w:pPr>
              <w:pStyle w:val="TableText"/>
              <w:jc w:val="right"/>
              <w:rPr>
                <w:b/>
                <w:bCs/>
              </w:rPr>
            </w:pPr>
            <w:r w:rsidRPr="009F6441">
              <w:rPr>
                <w:b/>
                <w:bCs/>
              </w:rPr>
              <w:t>4</w:t>
            </w:r>
          </w:p>
        </w:tc>
      </w:tr>
      <w:tr w:rsidR="00F94F86" w:rsidRPr="00C34FFC" w14:paraId="77D81C2F" w14:textId="77777777" w:rsidTr="00572E66">
        <w:trPr>
          <w:trHeight w:val="20"/>
        </w:trPr>
        <w:tc>
          <w:tcPr>
            <w:tcW w:w="2197" w:type="pct"/>
          </w:tcPr>
          <w:p w14:paraId="1EFF64D4" w14:textId="77777777" w:rsidR="00F94F86" w:rsidRPr="00C34FFC" w:rsidRDefault="00F94F86" w:rsidP="009F6441">
            <w:pPr>
              <w:pStyle w:val="TableText"/>
              <w:rPr>
                <w:rFonts w:eastAsia="Calibri"/>
              </w:rPr>
            </w:pPr>
            <w:r w:rsidRPr="00C34FFC">
              <w:t>Qld: Western Queensland</w:t>
            </w:r>
          </w:p>
        </w:tc>
        <w:tc>
          <w:tcPr>
            <w:tcW w:w="629" w:type="pct"/>
          </w:tcPr>
          <w:p w14:paraId="46CBCCDE" w14:textId="77777777" w:rsidR="00F94F86" w:rsidRPr="00C34FFC" w:rsidRDefault="00F94F86" w:rsidP="009F6441">
            <w:pPr>
              <w:pStyle w:val="TableText"/>
              <w:jc w:val="right"/>
              <w:rPr>
                <w:color w:val="000000"/>
              </w:rPr>
            </w:pPr>
            <w:r w:rsidRPr="00C34FFC">
              <w:t>0</w:t>
            </w:r>
          </w:p>
        </w:tc>
        <w:tc>
          <w:tcPr>
            <w:tcW w:w="629" w:type="pct"/>
          </w:tcPr>
          <w:p w14:paraId="137F2ECD" w14:textId="77777777" w:rsidR="00F94F86" w:rsidRPr="00C34FFC" w:rsidRDefault="00F94F86" w:rsidP="009F6441">
            <w:pPr>
              <w:pStyle w:val="TableText"/>
              <w:jc w:val="right"/>
              <w:rPr>
                <w:color w:val="000000"/>
              </w:rPr>
            </w:pPr>
            <w:r w:rsidRPr="00C34FFC">
              <w:t>0%</w:t>
            </w:r>
          </w:p>
        </w:tc>
        <w:tc>
          <w:tcPr>
            <w:tcW w:w="589" w:type="pct"/>
          </w:tcPr>
          <w:p w14:paraId="11333343" w14:textId="77777777" w:rsidR="00F94F86" w:rsidRPr="00C34FFC" w:rsidRDefault="00F94F86" w:rsidP="009F6441">
            <w:pPr>
              <w:pStyle w:val="TableText"/>
              <w:jc w:val="right"/>
              <w:rPr>
                <w:color w:val="000000"/>
              </w:rPr>
            </w:pPr>
            <w:r w:rsidRPr="00C34FFC">
              <w:t>4</w:t>
            </w:r>
          </w:p>
        </w:tc>
        <w:tc>
          <w:tcPr>
            <w:tcW w:w="588" w:type="pct"/>
          </w:tcPr>
          <w:p w14:paraId="74423B12" w14:textId="77777777" w:rsidR="00F94F86" w:rsidRPr="00C34FFC" w:rsidRDefault="00F94F86" w:rsidP="009F6441">
            <w:pPr>
              <w:pStyle w:val="TableText"/>
              <w:jc w:val="right"/>
              <w:rPr>
                <w:b/>
                <w:color w:val="000000"/>
              </w:rPr>
            </w:pPr>
            <w:r w:rsidRPr="00C34FFC">
              <w:t>100%</w:t>
            </w:r>
          </w:p>
        </w:tc>
        <w:tc>
          <w:tcPr>
            <w:tcW w:w="367" w:type="pct"/>
          </w:tcPr>
          <w:p w14:paraId="2BE12869" w14:textId="77777777" w:rsidR="00F94F86" w:rsidRPr="009F6441" w:rsidRDefault="00F94F86" w:rsidP="009F6441">
            <w:pPr>
              <w:pStyle w:val="TableText"/>
              <w:jc w:val="right"/>
              <w:rPr>
                <w:b/>
                <w:bCs/>
              </w:rPr>
            </w:pPr>
            <w:r w:rsidRPr="009F6441">
              <w:rPr>
                <w:b/>
                <w:bCs/>
              </w:rPr>
              <w:t>4</w:t>
            </w:r>
          </w:p>
        </w:tc>
      </w:tr>
      <w:tr w:rsidR="00F94F86" w:rsidRPr="00C34FFC" w14:paraId="307330ED" w14:textId="77777777" w:rsidTr="00572E66">
        <w:trPr>
          <w:trHeight w:val="20"/>
        </w:trPr>
        <w:tc>
          <w:tcPr>
            <w:tcW w:w="2197" w:type="pct"/>
          </w:tcPr>
          <w:p w14:paraId="38BE2153" w14:textId="77777777" w:rsidR="00F94F86" w:rsidRPr="00C34FFC" w:rsidRDefault="00F94F86" w:rsidP="009F6441">
            <w:pPr>
              <w:pStyle w:val="TableText"/>
              <w:rPr>
                <w:rFonts w:eastAsia="Calibri"/>
              </w:rPr>
            </w:pPr>
            <w:r w:rsidRPr="00C34FFC">
              <w:t>SA: Adelaide</w:t>
            </w:r>
          </w:p>
        </w:tc>
        <w:tc>
          <w:tcPr>
            <w:tcW w:w="629" w:type="pct"/>
          </w:tcPr>
          <w:p w14:paraId="7111365B" w14:textId="77777777" w:rsidR="00F94F86" w:rsidRPr="00C34FFC" w:rsidRDefault="00F94F86" w:rsidP="009F6441">
            <w:pPr>
              <w:pStyle w:val="TableText"/>
              <w:jc w:val="right"/>
              <w:rPr>
                <w:color w:val="000000"/>
              </w:rPr>
            </w:pPr>
            <w:r w:rsidRPr="00C34FFC">
              <w:t>1</w:t>
            </w:r>
          </w:p>
        </w:tc>
        <w:tc>
          <w:tcPr>
            <w:tcW w:w="629" w:type="pct"/>
          </w:tcPr>
          <w:p w14:paraId="3C5F2CA8" w14:textId="77777777" w:rsidR="00F94F86" w:rsidRPr="00C34FFC" w:rsidRDefault="00F94F86" w:rsidP="009F6441">
            <w:pPr>
              <w:pStyle w:val="TableText"/>
              <w:jc w:val="right"/>
              <w:rPr>
                <w:color w:val="000000"/>
              </w:rPr>
            </w:pPr>
            <w:r w:rsidRPr="00C34FFC">
              <w:t>33%</w:t>
            </w:r>
          </w:p>
        </w:tc>
        <w:tc>
          <w:tcPr>
            <w:tcW w:w="589" w:type="pct"/>
          </w:tcPr>
          <w:p w14:paraId="2A40FC94" w14:textId="77777777" w:rsidR="00F94F86" w:rsidRPr="00C34FFC" w:rsidRDefault="00F94F86" w:rsidP="009F6441">
            <w:pPr>
              <w:pStyle w:val="TableText"/>
              <w:jc w:val="right"/>
              <w:rPr>
                <w:color w:val="000000"/>
              </w:rPr>
            </w:pPr>
            <w:r w:rsidRPr="00C34FFC">
              <w:t>2</w:t>
            </w:r>
          </w:p>
        </w:tc>
        <w:tc>
          <w:tcPr>
            <w:tcW w:w="588" w:type="pct"/>
          </w:tcPr>
          <w:p w14:paraId="1A26818D" w14:textId="77777777" w:rsidR="00F94F86" w:rsidRPr="00C34FFC" w:rsidRDefault="00F94F86" w:rsidP="009F6441">
            <w:pPr>
              <w:pStyle w:val="TableText"/>
              <w:jc w:val="right"/>
              <w:rPr>
                <w:b/>
                <w:color w:val="000000"/>
              </w:rPr>
            </w:pPr>
            <w:r w:rsidRPr="00C34FFC">
              <w:t>67%</w:t>
            </w:r>
          </w:p>
        </w:tc>
        <w:tc>
          <w:tcPr>
            <w:tcW w:w="367" w:type="pct"/>
          </w:tcPr>
          <w:p w14:paraId="5244B226" w14:textId="77777777" w:rsidR="00F94F86" w:rsidRPr="009F6441" w:rsidRDefault="00F94F86" w:rsidP="009F6441">
            <w:pPr>
              <w:pStyle w:val="TableText"/>
              <w:jc w:val="right"/>
              <w:rPr>
                <w:b/>
                <w:bCs/>
              </w:rPr>
            </w:pPr>
            <w:r w:rsidRPr="009F6441">
              <w:rPr>
                <w:b/>
                <w:bCs/>
              </w:rPr>
              <w:t>3</w:t>
            </w:r>
          </w:p>
        </w:tc>
      </w:tr>
      <w:tr w:rsidR="00F94F86" w:rsidRPr="00C34FFC" w14:paraId="2795F0CA" w14:textId="77777777" w:rsidTr="00572E66">
        <w:trPr>
          <w:trHeight w:val="20"/>
        </w:trPr>
        <w:tc>
          <w:tcPr>
            <w:tcW w:w="2197" w:type="pct"/>
          </w:tcPr>
          <w:p w14:paraId="4E28B4C3" w14:textId="77777777" w:rsidR="00F94F86" w:rsidRPr="00C34FFC" w:rsidRDefault="00F94F86" w:rsidP="009F6441">
            <w:pPr>
              <w:pStyle w:val="TableText"/>
              <w:rPr>
                <w:rFonts w:eastAsia="Calibri"/>
              </w:rPr>
            </w:pPr>
            <w:r w:rsidRPr="00C34FFC">
              <w:t>SA: Country SA</w:t>
            </w:r>
          </w:p>
        </w:tc>
        <w:tc>
          <w:tcPr>
            <w:tcW w:w="629" w:type="pct"/>
          </w:tcPr>
          <w:p w14:paraId="0AAB6D51" w14:textId="77777777" w:rsidR="00F94F86" w:rsidRPr="00C34FFC" w:rsidRDefault="00F94F86" w:rsidP="009F6441">
            <w:pPr>
              <w:pStyle w:val="TableText"/>
              <w:jc w:val="right"/>
              <w:rPr>
                <w:color w:val="000000"/>
              </w:rPr>
            </w:pPr>
            <w:r w:rsidRPr="00C34FFC">
              <w:t>2</w:t>
            </w:r>
          </w:p>
        </w:tc>
        <w:tc>
          <w:tcPr>
            <w:tcW w:w="629" w:type="pct"/>
          </w:tcPr>
          <w:p w14:paraId="6D8D730C" w14:textId="77777777" w:rsidR="00F94F86" w:rsidRPr="00C34FFC" w:rsidRDefault="00F94F86" w:rsidP="009F6441">
            <w:pPr>
              <w:pStyle w:val="TableText"/>
              <w:jc w:val="right"/>
              <w:rPr>
                <w:color w:val="000000"/>
              </w:rPr>
            </w:pPr>
            <w:r w:rsidRPr="00C34FFC">
              <w:t>20%</w:t>
            </w:r>
          </w:p>
        </w:tc>
        <w:tc>
          <w:tcPr>
            <w:tcW w:w="589" w:type="pct"/>
          </w:tcPr>
          <w:p w14:paraId="66837D28" w14:textId="77777777" w:rsidR="00F94F86" w:rsidRPr="00C34FFC" w:rsidRDefault="00F94F86" w:rsidP="009F6441">
            <w:pPr>
              <w:pStyle w:val="TableText"/>
              <w:jc w:val="right"/>
              <w:rPr>
                <w:color w:val="000000"/>
              </w:rPr>
            </w:pPr>
            <w:r w:rsidRPr="00C34FFC">
              <w:t>8</w:t>
            </w:r>
          </w:p>
        </w:tc>
        <w:tc>
          <w:tcPr>
            <w:tcW w:w="588" w:type="pct"/>
          </w:tcPr>
          <w:p w14:paraId="5D6553A7" w14:textId="77777777" w:rsidR="00F94F86" w:rsidRPr="00C34FFC" w:rsidRDefault="00F94F86" w:rsidP="009F6441">
            <w:pPr>
              <w:pStyle w:val="TableText"/>
              <w:jc w:val="right"/>
              <w:rPr>
                <w:b/>
                <w:color w:val="000000"/>
              </w:rPr>
            </w:pPr>
            <w:r w:rsidRPr="00C34FFC">
              <w:t>80%</w:t>
            </w:r>
          </w:p>
        </w:tc>
        <w:tc>
          <w:tcPr>
            <w:tcW w:w="367" w:type="pct"/>
          </w:tcPr>
          <w:p w14:paraId="13470BA2" w14:textId="77777777" w:rsidR="00F94F86" w:rsidRPr="009F6441" w:rsidRDefault="00F94F86" w:rsidP="009F6441">
            <w:pPr>
              <w:pStyle w:val="TableText"/>
              <w:jc w:val="right"/>
              <w:rPr>
                <w:b/>
                <w:bCs/>
              </w:rPr>
            </w:pPr>
            <w:r w:rsidRPr="009F6441">
              <w:rPr>
                <w:b/>
                <w:bCs/>
              </w:rPr>
              <w:t>10</w:t>
            </w:r>
          </w:p>
        </w:tc>
      </w:tr>
      <w:tr w:rsidR="00F94F86" w:rsidRPr="00C34FFC" w14:paraId="12338C11" w14:textId="77777777" w:rsidTr="00572E66">
        <w:trPr>
          <w:trHeight w:val="20"/>
        </w:trPr>
        <w:tc>
          <w:tcPr>
            <w:tcW w:w="2197" w:type="pct"/>
          </w:tcPr>
          <w:p w14:paraId="3E432BEE" w14:textId="77777777" w:rsidR="00F94F86" w:rsidRPr="00C34FFC" w:rsidRDefault="00F94F86" w:rsidP="009F6441">
            <w:pPr>
              <w:pStyle w:val="TableText"/>
              <w:rPr>
                <w:rFonts w:eastAsia="Calibri"/>
              </w:rPr>
            </w:pPr>
            <w:r w:rsidRPr="00C34FFC">
              <w:t>Tas: Tasmania</w:t>
            </w:r>
          </w:p>
        </w:tc>
        <w:tc>
          <w:tcPr>
            <w:tcW w:w="629" w:type="pct"/>
          </w:tcPr>
          <w:p w14:paraId="31F92C4B" w14:textId="77777777" w:rsidR="00F94F86" w:rsidRPr="00C34FFC" w:rsidRDefault="00F94F86" w:rsidP="009F6441">
            <w:pPr>
              <w:pStyle w:val="TableText"/>
              <w:jc w:val="right"/>
              <w:rPr>
                <w:color w:val="000000"/>
              </w:rPr>
            </w:pPr>
            <w:r w:rsidRPr="00C34FFC">
              <w:t>0</w:t>
            </w:r>
          </w:p>
        </w:tc>
        <w:tc>
          <w:tcPr>
            <w:tcW w:w="629" w:type="pct"/>
          </w:tcPr>
          <w:p w14:paraId="3F250320" w14:textId="77777777" w:rsidR="00F94F86" w:rsidRPr="00C34FFC" w:rsidRDefault="00F94F86" w:rsidP="009F6441">
            <w:pPr>
              <w:pStyle w:val="TableText"/>
              <w:jc w:val="right"/>
              <w:rPr>
                <w:color w:val="000000"/>
              </w:rPr>
            </w:pPr>
            <w:r w:rsidRPr="00C34FFC">
              <w:t>0%</w:t>
            </w:r>
          </w:p>
        </w:tc>
        <w:tc>
          <w:tcPr>
            <w:tcW w:w="589" w:type="pct"/>
          </w:tcPr>
          <w:p w14:paraId="09F5C037" w14:textId="77777777" w:rsidR="00F94F86" w:rsidRPr="00C34FFC" w:rsidRDefault="00F94F86" w:rsidP="009F6441">
            <w:pPr>
              <w:pStyle w:val="TableText"/>
              <w:jc w:val="right"/>
              <w:rPr>
                <w:color w:val="000000"/>
              </w:rPr>
            </w:pPr>
            <w:r w:rsidRPr="00C34FFC">
              <w:t>8</w:t>
            </w:r>
          </w:p>
        </w:tc>
        <w:tc>
          <w:tcPr>
            <w:tcW w:w="588" w:type="pct"/>
          </w:tcPr>
          <w:p w14:paraId="33DBAC70" w14:textId="77777777" w:rsidR="00F94F86" w:rsidRPr="00C34FFC" w:rsidRDefault="00F94F86" w:rsidP="009F6441">
            <w:pPr>
              <w:pStyle w:val="TableText"/>
              <w:jc w:val="right"/>
              <w:rPr>
                <w:rFonts w:eastAsia="Calibri"/>
                <w:b/>
              </w:rPr>
            </w:pPr>
            <w:r w:rsidRPr="00C34FFC">
              <w:t>100%</w:t>
            </w:r>
          </w:p>
        </w:tc>
        <w:tc>
          <w:tcPr>
            <w:tcW w:w="367" w:type="pct"/>
          </w:tcPr>
          <w:p w14:paraId="0D730FD8" w14:textId="77777777" w:rsidR="00F94F86" w:rsidRPr="009F6441" w:rsidRDefault="00F94F86" w:rsidP="009F6441">
            <w:pPr>
              <w:pStyle w:val="TableText"/>
              <w:jc w:val="right"/>
              <w:rPr>
                <w:b/>
                <w:bCs/>
              </w:rPr>
            </w:pPr>
            <w:r w:rsidRPr="009F6441">
              <w:rPr>
                <w:b/>
                <w:bCs/>
              </w:rPr>
              <w:t>8</w:t>
            </w:r>
          </w:p>
        </w:tc>
      </w:tr>
      <w:tr w:rsidR="00F94F86" w:rsidRPr="00C34FFC" w14:paraId="6D407774" w14:textId="77777777" w:rsidTr="00572E66">
        <w:trPr>
          <w:trHeight w:val="20"/>
        </w:trPr>
        <w:tc>
          <w:tcPr>
            <w:tcW w:w="2197" w:type="pct"/>
          </w:tcPr>
          <w:p w14:paraId="5E911D4C" w14:textId="77777777" w:rsidR="00F94F86" w:rsidRPr="00C34FFC" w:rsidRDefault="00F94F86" w:rsidP="009F6441">
            <w:pPr>
              <w:pStyle w:val="TableText"/>
              <w:rPr>
                <w:rFonts w:eastAsia="Calibri"/>
              </w:rPr>
            </w:pPr>
            <w:r w:rsidRPr="00C34FFC">
              <w:t>Vic: Eastern Melbourne</w:t>
            </w:r>
          </w:p>
        </w:tc>
        <w:tc>
          <w:tcPr>
            <w:tcW w:w="629" w:type="pct"/>
          </w:tcPr>
          <w:p w14:paraId="001DE480" w14:textId="77777777" w:rsidR="00F94F86" w:rsidRPr="00C34FFC" w:rsidRDefault="00F94F86" w:rsidP="009F6441">
            <w:pPr>
              <w:pStyle w:val="TableText"/>
              <w:jc w:val="right"/>
              <w:rPr>
                <w:color w:val="000000"/>
              </w:rPr>
            </w:pPr>
            <w:r w:rsidRPr="00C34FFC">
              <w:t>2</w:t>
            </w:r>
          </w:p>
        </w:tc>
        <w:tc>
          <w:tcPr>
            <w:tcW w:w="629" w:type="pct"/>
          </w:tcPr>
          <w:p w14:paraId="15D3A798" w14:textId="77777777" w:rsidR="00F94F86" w:rsidRPr="00C34FFC" w:rsidRDefault="00F94F86" w:rsidP="009F6441">
            <w:pPr>
              <w:pStyle w:val="TableText"/>
              <w:jc w:val="right"/>
              <w:rPr>
                <w:color w:val="000000"/>
              </w:rPr>
            </w:pPr>
            <w:r w:rsidRPr="00C34FFC">
              <w:t>33%</w:t>
            </w:r>
          </w:p>
        </w:tc>
        <w:tc>
          <w:tcPr>
            <w:tcW w:w="589" w:type="pct"/>
          </w:tcPr>
          <w:p w14:paraId="73D12252" w14:textId="77777777" w:rsidR="00F94F86" w:rsidRPr="00C34FFC" w:rsidRDefault="00F94F86" w:rsidP="009F6441">
            <w:pPr>
              <w:pStyle w:val="TableText"/>
              <w:jc w:val="right"/>
              <w:rPr>
                <w:color w:val="000000"/>
              </w:rPr>
            </w:pPr>
            <w:r w:rsidRPr="00C34FFC">
              <w:t>4</w:t>
            </w:r>
          </w:p>
        </w:tc>
        <w:tc>
          <w:tcPr>
            <w:tcW w:w="588" w:type="pct"/>
          </w:tcPr>
          <w:p w14:paraId="391EA386" w14:textId="77777777" w:rsidR="00F94F86" w:rsidRPr="00C34FFC" w:rsidRDefault="00F94F86" w:rsidP="009F6441">
            <w:pPr>
              <w:pStyle w:val="TableText"/>
              <w:jc w:val="right"/>
              <w:rPr>
                <w:b/>
                <w:color w:val="000000"/>
              </w:rPr>
            </w:pPr>
            <w:r w:rsidRPr="00C34FFC">
              <w:t>67%</w:t>
            </w:r>
          </w:p>
        </w:tc>
        <w:tc>
          <w:tcPr>
            <w:tcW w:w="367" w:type="pct"/>
          </w:tcPr>
          <w:p w14:paraId="677421C5" w14:textId="77777777" w:rsidR="00F94F86" w:rsidRPr="009F6441" w:rsidRDefault="00F94F86" w:rsidP="009F6441">
            <w:pPr>
              <w:pStyle w:val="TableText"/>
              <w:jc w:val="right"/>
              <w:rPr>
                <w:b/>
                <w:bCs/>
              </w:rPr>
            </w:pPr>
            <w:r w:rsidRPr="009F6441">
              <w:rPr>
                <w:b/>
                <w:bCs/>
              </w:rPr>
              <w:t>6</w:t>
            </w:r>
          </w:p>
        </w:tc>
      </w:tr>
      <w:tr w:rsidR="00F94F86" w:rsidRPr="00C34FFC" w14:paraId="18863FD9" w14:textId="77777777" w:rsidTr="00572E66">
        <w:trPr>
          <w:trHeight w:val="20"/>
        </w:trPr>
        <w:tc>
          <w:tcPr>
            <w:tcW w:w="2197" w:type="pct"/>
          </w:tcPr>
          <w:p w14:paraId="5D3384C4" w14:textId="77777777" w:rsidR="00F94F86" w:rsidRPr="00C34FFC" w:rsidRDefault="00F94F86" w:rsidP="009F6441">
            <w:pPr>
              <w:pStyle w:val="TableText"/>
              <w:rPr>
                <w:rFonts w:eastAsia="Calibri"/>
              </w:rPr>
            </w:pPr>
            <w:r w:rsidRPr="00C34FFC">
              <w:t>Vic: Gippsland</w:t>
            </w:r>
          </w:p>
        </w:tc>
        <w:tc>
          <w:tcPr>
            <w:tcW w:w="629" w:type="pct"/>
          </w:tcPr>
          <w:p w14:paraId="1C793523" w14:textId="77777777" w:rsidR="00F94F86" w:rsidRPr="00C34FFC" w:rsidRDefault="00F94F86" w:rsidP="009F6441">
            <w:pPr>
              <w:pStyle w:val="TableText"/>
              <w:jc w:val="right"/>
              <w:rPr>
                <w:color w:val="000000"/>
              </w:rPr>
            </w:pPr>
            <w:r w:rsidRPr="00C34FFC">
              <w:t>2</w:t>
            </w:r>
          </w:p>
        </w:tc>
        <w:tc>
          <w:tcPr>
            <w:tcW w:w="629" w:type="pct"/>
          </w:tcPr>
          <w:p w14:paraId="70F842B3" w14:textId="77777777" w:rsidR="00F94F86" w:rsidRPr="00C34FFC" w:rsidRDefault="00F94F86" w:rsidP="009F6441">
            <w:pPr>
              <w:pStyle w:val="TableText"/>
              <w:jc w:val="right"/>
              <w:rPr>
                <w:color w:val="000000"/>
              </w:rPr>
            </w:pPr>
            <w:r w:rsidRPr="00C34FFC">
              <w:t>67%</w:t>
            </w:r>
          </w:p>
        </w:tc>
        <w:tc>
          <w:tcPr>
            <w:tcW w:w="589" w:type="pct"/>
          </w:tcPr>
          <w:p w14:paraId="7F23B5B3" w14:textId="77777777" w:rsidR="00F94F86" w:rsidRPr="00C34FFC" w:rsidRDefault="00F94F86" w:rsidP="009F6441">
            <w:pPr>
              <w:pStyle w:val="TableText"/>
              <w:jc w:val="right"/>
              <w:rPr>
                <w:color w:val="000000"/>
              </w:rPr>
            </w:pPr>
            <w:r w:rsidRPr="00C34FFC">
              <w:t>1</w:t>
            </w:r>
          </w:p>
        </w:tc>
        <w:tc>
          <w:tcPr>
            <w:tcW w:w="588" w:type="pct"/>
          </w:tcPr>
          <w:p w14:paraId="17FE8ACB" w14:textId="77777777" w:rsidR="00F94F86" w:rsidRPr="00C34FFC" w:rsidRDefault="00F94F86" w:rsidP="009F6441">
            <w:pPr>
              <w:pStyle w:val="TableText"/>
              <w:jc w:val="right"/>
              <w:rPr>
                <w:b/>
                <w:color w:val="000000"/>
              </w:rPr>
            </w:pPr>
            <w:r w:rsidRPr="00C34FFC">
              <w:t>33%</w:t>
            </w:r>
          </w:p>
        </w:tc>
        <w:tc>
          <w:tcPr>
            <w:tcW w:w="367" w:type="pct"/>
          </w:tcPr>
          <w:p w14:paraId="1B1F3D7A" w14:textId="77777777" w:rsidR="00F94F86" w:rsidRPr="009F6441" w:rsidRDefault="00F94F86" w:rsidP="009F6441">
            <w:pPr>
              <w:pStyle w:val="TableText"/>
              <w:jc w:val="right"/>
              <w:rPr>
                <w:b/>
                <w:bCs/>
              </w:rPr>
            </w:pPr>
            <w:r w:rsidRPr="009F6441">
              <w:rPr>
                <w:b/>
                <w:bCs/>
              </w:rPr>
              <w:t>3</w:t>
            </w:r>
          </w:p>
        </w:tc>
      </w:tr>
      <w:tr w:rsidR="00F94F86" w:rsidRPr="00C34FFC" w14:paraId="2D66FF62" w14:textId="77777777" w:rsidTr="00572E66">
        <w:trPr>
          <w:trHeight w:val="20"/>
        </w:trPr>
        <w:tc>
          <w:tcPr>
            <w:tcW w:w="2197" w:type="pct"/>
          </w:tcPr>
          <w:p w14:paraId="714C2918" w14:textId="77777777" w:rsidR="00F94F86" w:rsidRPr="00C34FFC" w:rsidRDefault="00F94F86" w:rsidP="009F6441">
            <w:pPr>
              <w:pStyle w:val="TableText"/>
              <w:rPr>
                <w:rFonts w:eastAsia="Calibri"/>
              </w:rPr>
            </w:pPr>
            <w:r w:rsidRPr="00C34FFC">
              <w:t>Vic: Murray</w:t>
            </w:r>
          </w:p>
        </w:tc>
        <w:tc>
          <w:tcPr>
            <w:tcW w:w="629" w:type="pct"/>
          </w:tcPr>
          <w:p w14:paraId="11D15F94" w14:textId="77777777" w:rsidR="00F94F86" w:rsidRPr="00C34FFC" w:rsidRDefault="00F94F86" w:rsidP="009F6441">
            <w:pPr>
              <w:pStyle w:val="TableText"/>
              <w:jc w:val="right"/>
              <w:rPr>
                <w:color w:val="000000"/>
              </w:rPr>
            </w:pPr>
            <w:r w:rsidRPr="00C34FFC">
              <w:t>0</w:t>
            </w:r>
          </w:p>
        </w:tc>
        <w:tc>
          <w:tcPr>
            <w:tcW w:w="629" w:type="pct"/>
          </w:tcPr>
          <w:p w14:paraId="284C6CC9" w14:textId="77777777" w:rsidR="00F94F86" w:rsidRPr="00C34FFC" w:rsidRDefault="00F94F86" w:rsidP="009F6441">
            <w:pPr>
              <w:pStyle w:val="TableText"/>
              <w:jc w:val="right"/>
              <w:rPr>
                <w:color w:val="000000"/>
              </w:rPr>
            </w:pPr>
            <w:r w:rsidRPr="00C34FFC">
              <w:t>0%</w:t>
            </w:r>
          </w:p>
        </w:tc>
        <w:tc>
          <w:tcPr>
            <w:tcW w:w="589" w:type="pct"/>
          </w:tcPr>
          <w:p w14:paraId="16F62174" w14:textId="77777777" w:rsidR="00F94F86" w:rsidRPr="00C34FFC" w:rsidRDefault="00F94F86" w:rsidP="009F6441">
            <w:pPr>
              <w:pStyle w:val="TableText"/>
              <w:jc w:val="right"/>
              <w:rPr>
                <w:color w:val="000000"/>
              </w:rPr>
            </w:pPr>
            <w:r w:rsidRPr="00C34FFC">
              <w:t>22</w:t>
            </w:r>
          </w:p>
        </w:tc>
        <w:tc>
          <w:tcPr>
            <w:tcW w:w="588" w:type="pct"/>
          </w:tcPr>
          <w:p w14:paraId="7B6E2F16" w14:textId="77777777" w:rsidR="00F94F86" w:rsidRPr="00C34FFC" w:rsidRDefault="00F94F86" w:rsidP="009F6441">
            <w:pPr>
              <w:pStyle w:val="TableText"/>
              <w:jc w:val="right"/>
              <w:rPr>
                <w:b/>
                <w:color w:val="000000"/>
              </w:rPr>
            </w:pPr>
            <w:r w:rsidRPr="00C34FFC">
              <w:t>100%</w:t>
            </w:r>
          </w:p>
        </w:tc>
        <w:tc>
          <w:tcPr>
            <w:tcW w:w="367" w:type="pct"/>
          </w:tcPr>
          <w:p w14:paraId="4D1157ED" w14:textId="77777777" w:rsidR="00F94F86" w:rsidRPr="009F6441" w:rsidRDefault="00F94F86" w:rsidP="009F6441">
            <w:pPr>
              <w:pStyle w:val="TableText"/>
              <w:jc w:val="right"/>
              <w:rPr>
                <w:b/>
                <w:bCs/>
              </w:rPr>
            </w:pPr>
            <w:r w:rsidRPr="009F6441">
              <w:rPr>
                <w:b/>
                <w:bCs/>
              </w:rPr>
              <w:t>22</w:t>
            </w:r>
          </w:p>
        </w:tc>
      </w:tr>
      <w:tr w:rsidR="00F94F86" w:rsidRPr="00C34FFC" w14:paraId="7978C08D" w14:textId="77777777" w:rsidTr="00572E66">
        <w:trPr>
          <w:trHeight w:val="20"/>
        </w:trPr>
        <w:tc>
          <w:tcPr>
            <w:tcW w:w="2197" w:type="pct"/>
          </w:tcPr>
          <w:p w14:paraId="636015BC" w14:textId="77777777" w:rsidR="00F94F86" w:rsidRPr="00C34FFC" w:rsidRDefault="00F94F86" w:rsidP="009F6441">
            <w:pPr>
              <w:pStyle w:val="TableText"/>
              <w:rPr>
                <w:rFonts w:eastAsia="Calibri"/>
              </w:rPr>
            </w:pPr>
            <w:r w:rsidRPr="00C34FFC">
              <w:t>Vic: North Western Melbourne</w:t>
            </w:r>
          </w:p>
        </w:tc>
        <w:tc>
          <w:tcPr>
            <w:tcW w:w="629" w:type="pct"/>
          </w:tcPr>
          <w:p w14:paraId="782EC3E8" w14:textId="77777777" w:rsidR="00F94F86" w:rsidRPr="00C34FFC" w:rsidRDefault="00F94F86" w:rsidP="009F6441">
            <w:pPr>
              <w:pStyle w:val="TableText"/>
              <w:jc w:val="right"/>
              <w:rPr>
                <w:color w:val="000000"/>
              </w:rPr>
            </w:pPr>
            <w:r w:rsidRPr="00C34FFC">
              <w:t>0</w:t>
            </w:r>
          </w:p>
        </w:tc>
        <w:tc>
          <w:tcPr>
            <w:tcW w:w="629" w:type="pct"/>
          </w:tcPr>
          <w:p w14:paraId="351E89BA" w14:textId="77777777" w:rsidR="00F94F86" w:rsidRPr="00C34FFC" w:rsidRDefault="00F94F86" w:rsidP="009F6441">
            <w:pPr>
              <w:pStyle w:val="TableText"/>
              <w:jc w:val="right"/>
              <w:rPr>
                <w:color w:val="000000"/>
              </w:rPr>
            </w:pPr>
            <w:r w:rsidRPr="00C34FFC">
              <w:t>0%</w:t>
            </w:r>
          </w:p>
        </w:tc>
        <w:tc>
          <w:tcPr>
            <w:tcW w:w="589" w:type="pct"/>
          </w:tcPr>
          <w:p w14:paraId="6F96745E" w14:textId="77777777" w:rsidR="00F94F86" w:rsidRPr="00C34FFC" w:rsidRDefault="00F94F86" w:rsidP="009F6441">
            <w:pPr>
              <w:pStyle w:val="TableText"/>
              <w:jc w:val="right"/>
              <w:rPr>
                <w:color w:val="000000"/>
              </w:rPr>
            </w:pPr>
            <w:r w:rsidRPr="00C34FFC">
              <w:t>3</w:t>
            </w:r>
          </w:p>
        </w:tc>
        <w:tc>
          <w:tcPr>
            <w:tcW w:w="588" w:type="pct"/>
          </w:tcPr>
          <w:p w14:paraId="79FB2525" w14:textId="77777777" w:rsidR="00F94F86" w:rsidRPr="00C34FFC" w:rsidRDefault="00F94F86" w:rsidP="009F6441">
            <w:pPr>
              <w:pStyle w:val="TableText"/>
              <w:jc w:val="right"/>
              <w:rPr>
                <w:b/>
                <w:color w:val="000000"/>
              </w:rPr>
            </w:pPr>
            <w:r w:rsidRPr="00C34FFC">
              <w:t>100%</w:t>
            </w:r>
          </w:p>
        </w:tc>
        <w:tc>
          <w:tcPr>
            <w:tcW w:w="367" w:type="pct"/>
          </w:tcPr>
          <w:p w14:paraId="32CCE4F8" w14:textId="77777777" w:rsidR="00F94F86" w:rsidRPr="009F6441" w:rsidRDefault="00F94F86" w:rsidP="009F6441">
            <w:pPr>
              <w:pStyle w:val="TableText"/>
              <w:jc w:val="right"/>
              <w:rPr>
                <w:b/>
                <w:bCs/>
              </w:rPr>
            </w:pPr>
            <w:r w:rsidRPr="009F6441">
              <w:rPr>
                <w:b/>
                <w:bCs/>
              </w:rPr>
              <w:t>3</w:t>
            </w:r>
          </w:p>
        </w:tc>
      </w:tr>
      <w:tr w:rsidR="00F94F86" w:rsidRPr="00C34FFC" w14:paraId="5EE1E500" w14:textId="77777777" w:rsidTr="00572E66">
        <w:trPr>
          <w:trHeight w:val="20"/>
        </w:trPr>
        <w:tc>
          <w:tcPr>
            <w:tcW w:w="2197" w:type="pct"/>
          </w:tcPr>
          <w:p w14:paraId="287FE5D9" w14:textId="77777777" w:rsidR="00F94F86" w:rsidRPr="00C34FFC" w:rsidRDefault="00F94F86" w:rsidP="009F6441">
            <w:pPr>
              <w:pStyle w:val="TableText"/>
              <w:rPr>
                <w:rFonts w:eastAsia="Calibri"/>
              </w:rPr>
            </w:pPr>
            <w:r w:rsidRPr="00C34FFC">
              <w:t>Vic: South Eastern Melbourne</w:t>
            </w:r>
          </w:p>
        </w:tc>
        <w:tc>
          <w:tcPr>
            <w:tcW w:w="629" w:type="pct"/>
          </w:tcPr>
          <w:p w14:paraId="4DA17CA4" w14:textId="77777777" w:rsidR="00F94F86" w:rsidRPr="00C34FFC" w:rsidRDefault="00F94F86" w:rsidP="009F6441">
            <w:pPr>
              <w:pStyle w:val="TableText"/>
              <w:jc w:val="right"/>
              <w:rPr>
                <w:color w:val="000000"/>
              </w:rPr>
            </w:pPr>
            <w:r w:rsidRPr="00C34FFC">
              <w:t>1</w:t>
            </w:r>
          </w:p>
        </w:tc>
        <w:tc>
          <w:tcPr>
            <w:tcW w:w="629" w:type="pct"/>
          </w:tcPr>
          <w:p w14:paraId="47376C01" w14:textId="77777777" w:rsidR="00F94F86" w:rsidRPr="00C34FFC" w:rsidRDefault="00F94F86" w:rsidP="009F6441">
            <w:pPr>
              <w:pStyle w:val="TableText"/>
              <w:jc w:val="right"/>
              <w:rPr>
                <w:color w:val="000000"/>
              </w:rPr>
            </w:pPr>
            <w:r w:rsidRPr="00C34FFC">
              <w:t>13%</w:t>
            </w:r>
          </w:p>
        </w:tc>
        <w:tc>
          <w:tcPr>
            <w:tcW w:w="589" w:type="pct"/>
          </w:tcPr>
          <w:p w14:paraId="343746B1" w14:textId="77777777" w:rsidR="00F94F86" w:rsidRPr="00C34FFC" w:rsidRDefault="00F94F86" w:rsidP="009F6441">
            <w:pPr>
              <w:pStyle w:val="TableText"/>
              <w:jc w:val="right"/>
              <w:rPr>
                <w:color w:val="000000"/>
              </w:rPr>
            </w:pPr>
            <w:r w:rsidRPr="00C34FFC">
              <w:t>7</w:t>
            </w:r>
          </w:p>
        </w:tc>
        <w:tc>
          <w:tcPr>
            <w:tcW w:w="588" w:type="pct"/>
          </w:tcPr>
          <w:p w14:paraId="479FD675" w14:textId="77777777" w:rsidR="00F94F86" w:rsidRPr="00C34FFC" w:rsidRDefault="00F94F86" w:rsidP="009F6441">
            <w:pPr>
              <w:pStyle w:val="TableText"/>
              <w:jc w:val="right"/>
              <w:rPr>
                <w:b/>
                <w:color w:val="000000"/>
              </w:rPr>
            </w:pPr>
            <w:r w:rsidRPr="00C34FFC">
              <w:t>88%</w:t>
            </w:r>
          </w:p>
        </w:tc>
        <w:tc>
          <w:tcPr>
            <w:tcW w:w="367" w:type="pct"/>
          </w:tcPr>
          <w:p w14:paraId="59F31E65" w14:textId="77777777" w:rsidR="00F94F86" w:rsidRPr="009F6441" w:rsidRDefault="00F94F86" w:rsidP="009F6441">
            <w:pPr>
              <w:pStyle w:val="TableText"/>
              <w:jc w:val="right"/>
              <w:rPr>
                <w:b/>
                <w:bCs/>
              </w:rPr>
            </w:pPr>
            <w:r w:rsidRPr="009F6441">
              <w:rPr>
                <w:b/>
                <w:bCs/>
              </w:rPr>
              <w:t>8</w:t>
            </w:r>
          </w:p>
        </w:tc>
      </w:tr>
      <w:tr w:rsidR="00F94F86" w:rsidRPr="00C34FFC" w14:paraId="13B1554E" w14:textId="77777777" w:rsidTr="00572E66">
        <w:trPr>
          <w:trHeight w:val="20"/>
        </w:trPr>
        <w:tc>
          <w:tcPr>
            <w:tcW w:w="2197" w:type="pct"/>
          </w:tcPr>
          <w:p w14:paraId="1B1B28D0" w14:textId="77777777" w:rsidR="00F94F86" w:rsidRPr="00C34FFC" w:rsidRDefault="00F94F86" w:rsidP="009F6441">
            <w:pPr>
              <w:pStyle w:val="TableText"/>
              <w:rPr>
                <w:rFonts w:eastAsia="Calibri"/>
              </w:rPr>
            </w:pPr>
            <w:r w:rsidRPr="00C34FFC">
              <w:t>Vic: Western Victoria</w:t>
            </w:r>
          </w:p>
        </w:tc>
        <w:tc>
          <w:tcPr>
            <w:tcW w:w="629" w:type="pct"/>
          </w:tcPr>
          <w:p w14:paraId="7BF9780B" w14:textId="77777777" w:rsidR="00F94F86" w:rsidRPr="00C34FFC" w:rsidRDefault="00F94F86" w:rsidP="009F6441">
            <w:pPr>
              <w:pStyle w:val="TableText"/>
              <w:jc w:val="right"/>
              <w:rPr>
                <w:color w:val="000000"/>
              </w:rPr>
            </w:pPr>
            <w:r w:rsidRPr="00C34FFC">
              <w:t>0</w:t>
            </w:r>
          </w:p>
        </w:tc>
        <w:tc>
          <w:tcPr>
            <w:tcW w:w="629" w:type="pct"/>
          </w:tcPr>
          <w:p w14:paraId="2C7F3EF3" w14:textId="77777777" w:rsidR="00F94F86" w:rsidRPr="00C34FFC" w:rsidRDefault="00F94F86" w:rsidP="009F6441">
            <w:pPr>
              <w:pStyle w:val="TableText"/>
              <w:jc w:val="right"/>
              <w:rPr>
                <w:color w:val="000000"/>
              </w:rPr>
            </w:pPr>
            <w:r w:rsidRPr="00C34FFC">
              <w:t>0%</w:t>
            </w:r>
          </w:p>
        </w:tc>
        <w:tc>
          <w:tcPr>
            <w:tcW w:w="589" w:type="pct"/>
          </w:tcPr>
          <w:p w14:paraId="289EBAFC" w14:textId="77777777" w:rsidR="00F94F86" w:rsidRPr="00C34FFC" w:rsidRDefault="00F94F86" w:rsidP="009F6441">
            <w:pPr>
              <w:pStyle w:val="TableText"/>
              <w:jc w:val="right"/>
              <w:rPr>
                <w:color w:val="000000"/>
              </w:rPr>
            </w:pPr>
            <w:r w:rsidRPr="00C34FFC">
              <w:t>13</w:t>
            </w:r>
          </w:p>
        </w:tc>
        <w:tc>
          <w:tcPr>
            <w:tcW w:w="588" w:type="pct"/>
          </w:tcPr>
          <w:p w14:paraId="6C780CB1" w14:textId="77777777" w:rsidR="00F94F86" w:rsidRPr="00C34FFC" w:rsidRDefault="00F94F86" w:rsidP="009F6441">
            <w:pPr>
              <w:pStyle w:val="TableText"/>
              <w:jc w:val="right"/>
              <w:rPr>
                <w:b/>
                <w:color w:val="000000"/>
              </w:rPr>
            </w:pPr>
            <w:r w:rsidRPr="00C34FFC">
              <w:t>100%</w:t>
            </w:r>
          </w:p>
        </w:tc>
        <w:tc>
          <w:tcPr>
            <w:tcW w:w="367" w:type="pct"/>
          </w:tcPr>
          <w:p w14:paraId="548BD683" w14:textId="77777777" w:rsidR="00F94F86" w:rsidRPr="009F6441" w:rsidRDefault="00F94F86" w:rsidP="009F6441">
            <w:pPr>
              <w:pStyle w:val="TableText"/>
              <w:jc w:val="right"/>
              <w:rPr>
                <w:b/>
                <w:bCs/>
              </w:rPr>
            </w:pPr>
            <w:r w:rsidRPr="009F6441">
              <w:rPr>
                <w:b/>
                <w:bCs/>
              </w:rPr>
              <w:t>13</w:t>
            </w:r>
          </w:p>
        </w:tc>
      </w:tr>
      <w:tr w:rsidR="00F94F86" w:rsidRPr="00C34FFC" w14:paraId="7E4086B6" w14:textId="77777777" w:rsidTr="00572E66">
        <w:trPr>
          <w:trHeight w:val="20"/>
        </w:trPr>
        <w:tc>
          <w:tcPr>
            <w:tcW w:w="2197" w:type="pct"/>
          </w:tcPr>
          <w:p w14:paraId="15225287" w14:textId="77777777" w:rsidR="00F94F86" w:rsidRPr="00C34FFC" w:rsidRDefault="00F94F86" w:rsidP="009F6441">
            <w:pPr>
              <w:pStyle w:val="TableText"/>
              <w:rPr>
                <w:rFonts w:eastAsia="Calibri"/>
              </w:rPr>
            </w:pPr>
            <w:r w:rsidRPr="00C34FFC">
              <w:t>WA: Country WA</w:t>
            </w:r>
          </w:p>
        </w:tc>
        <w:tc>
          <w:tcPr>
            <w:tcW w:w="629" w:type="pct"/>
          </w:tcPr>
          <w:p w14:paraId="60C4B991" w14:textId="77777777" w:rsidR="00F94F86" w:rsidRPr="00C34FFC" w:rsidRDefault="00F94F86" w:rsidP="009F6441">
            <w:pPr>
              <w:pStyle w:val="TableText"/>
              <w:jc w:val="right"/>
              <w:rPr>
                <w:color w:val="000000"/>
              </w:rPr>
            </w:pPr>
            <w:r w:rsidRPr="00C34FFC">
              <w:t>9</w:t>
            </w:r>
          </w:p>
        </w:tc>
        <w:tc>
          <w:tcPr>
            <w:tcW w:w="629" w:type="pct"/>
          </w:tcPr>
          <w:p w14:paraId="760FD62D" w14:textId="77777777" w:rsidR="00F94F86" w:rsidRPr="00C34FFC" w:rsidRDefault="00F94F86" w:rsidP="009F6441">
            <w:pPr>
              <w:pStyle w:val="TableText"/>
              <w:jc w:val="right"/>
              <w:rPr>
                <w:color w:val="000000"/>
              </w:rPr>
            </w:pPr>
            <w:r w:rsidRPr="00C34FFC">
              <w:t>50%</w:t>
            </w:r>
          </w:p>
        </w:tc>
        <w:tc>
          <w:tcPr>
            <w:tcW w:w="589" w:type="pct"/>
          </w:tcPr>
          <w:p w14:paraId="589868C5" w14:textId="77777777" w:rsidR="00F94F86" w:rsidRPr="00C34FFC" w:rsidRDefault="00F94F86" w:rsidP="009F6441">
            <w:pPr>
              <w:pStyle w:val="TableText"/>
              <w:jc w:val="right"/>
              <w:rPr>
                <w:color w:val="000000"/>
              </w:rPr>
            </w:pPr>
            <w:r w:rsidRPr="00C34FFC">
              <w:t>9</w:t>
            </w:r>
          </w:p>
        </w:tc>
        <w:tc>
          <w:tcPr>
            <w:tcW w:w="588" w:type="pct"/>
          </w:tcPr>
          <w:p w14:paraId="69F8211C" w14:textId="77777777" w:rsidR="00F94F86" w:rsidRPr="00C34FFC" w:rsidRDefault="00F94F86" w:rsidP="009F6441">
            <w:pPr>
              <w:pStyle w:val="TableText"/>
              <w:jc w:val="right"/>
              <w:rPr>
                <w:b/>
                <w:color w:val="000000"/>
              </w:rPr>
            </w:pPr>
            <w:r w:rsidRPr="00C34FFC">
              <w:t>50%</w:t>
            </w:r>
          </w:p>
        </w:tc>
        <w:tc>
          <w:tcPr>
            <w:tcW w:w="367" w:type="pct"/>
          </w:tcPr>
          <w:p w14:paraId="6F1B1D50" w14:textId="77777777" w:rsidR="00F94F86" w:rsidRPr="009F6441" w:rsidRDefault="00F94F86" w:rsidP="009F6441">
            <w:pPr>
              <w:pStyle w:val="TableText"/>
              <w:jc w:val="right"/>
              <w:rPr>
                <w:b/>
                <w:bCs/>
              </w:rPr>
            </w:pPr>
            <w:r w:rsidRPr="009F6441">
              <w:rPr>
                <w:b/>
                <w:bCs/>
              </w:rPr>
              <w:t>18</w:t>
            </w:r>
          </w:p>
        </w:tc>
      </w:tr>
      <w:tr w:rsidR="00F94F86" w:rsidRPr="00C34FFC" w14:paraId="2A833D96" w14:textId="77777777" w:rsidTr="00572E66">
        <w:trPr>
          <w:trHeight w:val="20"/>
        </w:trPr>
        <w:tc>
          <w:tcPr>
            <w:tcW w:w="2197" w:type="pct"/>
          </w:tcPr>
          <w:p w14:paraId="0C7CEFAD" w14:textId="77777777" w:rsidR="00F94F86" w:rsidRPr="00C34FFC" w:rsidRDefault="00F94F86" w:rsidP="009F6441">
            <w:pPr>
              <w:pStyle w:val="TableText"/>
              <w:rPr>
                <w:rFonts w:eastAsia="Calibri"/>
              </w:rPr>
            </w:pPr>
            <w:r w:rsidRPr="00C34FFC">
              <w:t>WA: Perth North</w:t>
            </w:r>
          </w:p>
        </w:tc>
        <w:tc>
          <w:tcPr>
            <w:tcW w:w="629" w:type="pct"/>
          </w:tcPr>
          <w:p w14:paraId="3003878E" w14:textId="77777777" w:rsidR="00F94F86" w:rsidRPr="00C34FFC" w:rsidRDefault="00F94F86" w:rsidP="009F6441">
            <w:pPr>
              <w:pStyle w:val="TableText"/>
              <w:jc w:val="right"/>
              <w:rPr>
                <w:color w:val="000000"/>
              </w:rPr>
            </w:pPr>
            <w:r w:rsidRPr="00C34FFC">
              <w:t>12</w:t>
            </w:r>
          </w:p>
        </w:tc>
        <w:tc>
          <w:tcPr>
            <w:tcW w:w="629" w:type="pct"/>
          </w:tcPr>
          <w:p w14:paraId="127425E9" w14:textId="77777777" w:rsidR="00F94F86" w:rsidRPr="00C34FFC" w:rsidRDefault="00F94F86" w:rsidP="009F6441">
            <w:pPr>
              <w:pStyle w:val="TableText"/>
              <w:jc w:val="right"/>
              <w:rPr>
                <w:color w:val="000000"/>
              </w:rPr>
            </w:pPr>
            <w:r w:rsidRPr="00C34FFC">
              <w:t>60%</w:t>
            </w:r>
          </w:p>
        </w:tc>
        <w:tc>
          <w:tcPr>
            <w:tcW w:w="589" w:type="pct"/>
          </w:tcPr>
          <w:p w14:paraId="0CDF0E86" w14:textId="77777777" w:rsidR="00F94F86" w:rsidRPr="00C34FFC" w:rsidRDefault="00F94F86" w:rsidP="009F6441">
            <w:pPr>
              <w:pStyle w:val="TableText"/>
              <w:jc w:val="right"/>
              <w:rPr>
                <w:color w:val="000000"/>
              </w:rPr>
            </w:pPr>
            <w:r w:rsidRPr="00C34FFC">
              <w:t>8</w:t>
            </w:r>
          </w:p>
        </w:tc>
        <w:tc>
          <w:tcPr>
            <w:tcW w:w="588" w:type="pct"/>
          </w:tcPr>
          <w:p w14:paraId="643CEAF7" w14:textId="77777777" w:rsidR="00F94F86" w:rsidRPr="00C34FFC" w:rsidRDefault="00F94F86" w:rsidP="009F6441">
            <w:pPr>
              <w:pStyle w:val="TableText"/>
              <w:jc w:val="right"/>
              <w:rPr>
                <w:b/>
                <w:color w:val="000000"/>
              </w:rPr>
            </w:pPr>
            <w:r w:rsidRPr="00C34FFC">
              <w:t>40%</w:t>
            </w:r>
          </w:p>
        </w:tc>
        <w:tc>
          <w:tcPr>
            <w:tcW w:w="367" w:type="pct"/>
          </w:tcPr>
          <w:p w14:paraId="100F0017" w14:textId="77777777" w:rsidR="00F94F86" w:rsidRPr="009F6441" w:rsidRDefault="00F94F86" w:rsidP="009F6441">
            <w:pPr>
              <w:pStyle w:val="TableText"/>
              <w:jc w:val="right"/>
              <w:rPr>
                <w:b/>
                <w:bCs/>
              </w:rPr>
            </w:pPr>
            <w:r w:rsidRPr="009F6441">
              <w:rPr>
                <w:b/>
                <w:bCs/>
              </w:rPr>
              <w:t>20</w:t>
            </w:r>
          </w:p>
        </w:tc>
      </w:tr>
      <w:tr w:rsidR="00F94F86" w:rsidRPr="00C34FFC" w14:paraId="4C9473C8" w14:textId="77777777" w:rsidTr="00572E66">
        <w:trPr>
          <w:trHeight w:val="20"/>
        </w:trPr>
        <w:tc>
          <w:tcPr>
            <w:tcW w:w="2197" w:type="pct"/>
          </w:tcPr>
          <w:p w14:paraId="07DE650F" w14:textId="77777777" w:rsidR="00F94F86" w:rsidRPr="00C34FFC" w:rsidRDefault="00F94F86" w:rsidP="009F6441">
            <w:pPr>
              <w:pStyle w:val="TableText"/>
              <w:rPr>
                <w:rFonts w:eastAsia="Calibri"/>
              </w:rPr>
            </w:pPr>
            <w:r w:rsidRPr="00C34FFC">
              <w:t>WA: Perth South</w:t>
            </w:r>
          </w:p>
        </w:tc>
        <w:tc>
          <w:tcPr>
            <w:tcW w:w="629" w:type="pct"/>
          </w:tcPr>
          <w:p w14:paraId="79D7A173" w14:textId="77777777" w:rsidR="00F94F86" w:rsidRPr="00C34FFC" w:rsidRDefault="00F94F86" w:rsidP="009F6441">
            <w:pPr>
              <w:pStyle w:val="TableText"/>
              <w:jc w:val="right"/>
              <w:rPr>
                <w:color w:val="000000"/>
              </w:rPr>
            </w:pPr>
            <w:r w:rsidRPr="00C34FFC">
              <w:t>4</w:t>
            </w:r>
          </w:p>
        </w:tc>
        <w:tc>
          <w:tcPr>
            <w:tcW w:w="629" w:type="pct"/>
          </w:tcPr>
          <w:p w14:paraId="6059B109" w14:textId="77777777" w:rsidR="00F94F86" w:rsidRPr="00C34FFC" w:rsidRDefault="00F94F86" w:rsidP="009F6441">
            <w:pPr>
              <w:pStyle w:val="TableText"/>
              <w:jc w:val="right"/>
              <w:rPr>
                <w:color w:val="000000"/>
              </w:rPr>
            </w:pPr>
            <w:r w:rsidRPr="00C34FFC">
              <w:t>50%</w:t>
            </w:r>
          </w:p>
        </w:tc>
        <w:tc>
          <w:tcPr>
            <w:tcW w:w="589" w:type="pct"/>
          </w:tcPr>
          <w:p w14:paraId="6BE994A3" w14:textId="77777777" w:rsidR="00F94F86" w:rsidRPr="00C34FFC" w:rsidRDefault="00F94F86" w:rsidP="009F6441">
            <w:pPr>
              <w:pStyle w:val="TableText"/>
              <w:jc w:val="right"/>
              <w:rPr>
                <w:color w:val="000000"/>
              </w:rPr>
            </w:pPr>
            <w:r w:rsidRPr="00C34FFC">
              <w:t>4</w:t>
            </w:r>
          </w:p>
        </w:tc>
        <w:tc>
          <w:tcPr>
            <w:tcW w:w="588" w:type="pct"/>
          </w:tcPr>
          <w:p w14:paraId="7AF82068" w14:textId="77777777" w:rsidR="00F94F86" w:rsidRPr="00C34FFC" w:rsidRDefault="00F94F86" w:rsidP="009F6441">
            <w:pPr>
              <w:pStyle w:val="TableText"/>
              <w:jc w:val="right"/>
              <w:rPr>
                <w:b/>
                <w:color w:val="000000"/>
              </w:rPr>
            </w:pPr>
            <w:r w:rsidRPr="00C34FFC">
              <w:t>50%</w:t>
            </w:r>
          </w:p>
        </w:tc>
        <w:tc>
          <w:tcPr>
            <w:tcW w:w="367" w:type="pct"/>
          </w:tcPr>
          <w:p w14:paraId="1C0024E7" w14:textId="77777777" w:rsidR="00F94F86" w:rsidRPr="009F6441" w:rsidRDefault="00F94F86" w:rsidP="009F6441">
            <w:pPr>
              <w:pStyle w:val="TableText"/>
              <w:jc w:val="right"/>
              <w:rPr>
                <w:b/>
                <w:bCs/>
              </w:rPr>
            </w:pPr>
            <w:r w:rsidRPr="009F6441">
              <w:rPr>
                <w:b/>
                <w:bCs/>
              </w:rPr>
              <w:t>8</w:t>
            </w:r>
          </w:p>
        </w:tc>
      </w:tr>
      <w:tr w:rsidR="00F94F86" w:rsidRPr="00B2363F" w14:paraId="1F49324C" w14:textId="77777777" w:rsidTr="00572E66">
        <w:trPr>
          <w:cnfStyle w:val="010000000000" w:firstRow="0" w:lastRow="1" w:firstColumn="0" w:lastColumn="0" w:oddVBand="0" w:evenVBand="0" w:oddHBand="0" w:evenHBand="0" w:firstRowFirstColumn="0" w:firstRowLastColumn="0" w:lastRowFirstColumn="0" w:lastRowLastColumn="0"/>
          <w:trHeight w:val="20"/>
        </w:trPr>
        <w:tc>
          <w:tcPr>
            <w:tcW w:w="2197" w:type="pct"/>
          </w:tcPr>
          <w:p w14:paraId="762A8C88" w14:textId="77777777" w:rsidR="00F94F86" w:rsidRPr="009F6441" w:rsidRDefault="00F94F86" w:rsidP="009F6441">
            <w:pPr>
              <w:pStyle w:val="TableText"/>
              <w:rPr>
                <w:rFonts w:eastAsia="Calibri"/>
                <w:b/>
                <w:bCs/>
              </w:rPr>
            </w:pPr>
            <w:r w:rsidRPr="009F6441">
              <w:rPr>
                <w:b/>
                <w:bCs/>
              </w:rPr>
              <w:t>Total</w:t>
            </w:r>
          </w:p>
        </w:tc>
        <w:tc>
          <w:tcPr>
            <w:tcW w:w="629" w:type="pct"/>
          </w:tcPr>
          <w:p w14:paraId="595E252E" w14:textId="77777777" w:rsidR="00F94F86" w:rsidRPr="009F6441" w:rsidRDefault="00F94F86" w:rsidP="009F6441">
            <w:pPr>
              <w:pStyle w:val="TableText"/>
              <w:jc w:val="right"/>
              <w:rPr>
                <w:rFonts w:eastAsia="Calibri"/>
                <w:b/>
                <w:bCs/>
              </w:rPr>
            </w:pPr>
            <w:r w:rsidRPr="009F6441">
              <w:rPr>
                <w:b/>
                <w:bCs/>
              </w:rPr>
              <w:t>83</w:t>
            </w:r>
          </w:p>
        </w:tc>
        <w:tc>
          <w:tcPr>
            <w:tcW w:w="629" w:type="pct"/>
          </w:tcPr>
          <w:p w14:paraId="0BC54595" w14:textId="77777777" w:rsidR="00F94F86" w:rsidRPr="009F6441" w:rsidRDefault="00F94F86" w:rsidP="009F6441">
            <w:pPr>
              <w:pStyle w:val="TableText"/>
              <w:jc w:val="right"/>
              <w:rPr>
                <w:rFonts w:eastAsia="Calibri"/>
                <w:b/>
                <w:bCs/>
              </w:rPr>
            </w:pPr>
            <w:r w:rsidRPr="009F6441">
              <w:rPr>
                <w:b/>
                <w:bCs/>
              </w:rPr>
              <w:t>28%</w:t>
            </w:r>
          </w:p>
        </w:tc>
        <w:tc>
          <w:tcPr>
            <w:tcW w:w="589" w:type="pct"/>
          </w:tcPr>
          <w:p w14:paraId="2A0B1FE0" w14:textId="77777777" w:rsidR="00F94F86" w:rsidRPr="009F6441" w:rsidRDefault="00F94F86" w:rsidP="009F6441">
            <w:pPr>
              <w:pStyle w:val="TableText"/>
              <w:jc w:val="right"/>
              <w:rPr>
                <w:rFonts w:eastAsia="Calibri"/>
                <w:b/>
                <w:bCs/>
              </w:rPr>
            </w:pPr>
            <w:r w:rsidRPr="009F6441">
              <w:rPr>
                <w:b/>
                <w:bCs/>
              </w:rPr>
              <w:t>215</w:t>
            </w:r>
          </w:p>
        </w:tc>
        <w:tc>
          <w:tcPr>
            <w:tcW w:w="588" w:type="pct"/>
          </w:tcPr>
          <w:p w14:paraId="07D29771" w14:textId="77777777" w:rsidR="00F94F86" w:rsidRPr="009F6441" w:rsidRDefault="00F94F86" w:rsidP="009F6441">
            <w:pPr>
              <w:pStyle w:val="TableText"/>
              <w:jc w:val="right"/>
              <w:rPr>
                <w:b/>
                <w:bCs/>
                <w:color w:val="000000"/>
              </w:rPr>
            </w:pPr>
            <w:r w:rsidRPr="009F6441">
              <w:rPr>
                <w:b/>
                <w:bCs/>
              </w:rPr>
              <w:t>72%</w:t>
            </w:r>
          </w:p>
        </w:tc>
        <w:tc>
          <w:tcPr>
            <w:tcW w:w="367" w:type="pct"/>
          </w:tcPr>
          <w:p w14:paraId="35086CF8" w14:textId="77777777" w:rsidR="00F94F86" w:rsidRPr="009F6441" w:rsidRDefault="00F94F86" w:rsidP="009F6441">
            <w:pPr>
              <w:pStyle w:val="TableText"/>
              <w:jc w:val="right"/>
              <w:rPr>
                <w:rFonts w:eastAsia="Calibri"/>
                <w:b/>
                <w:bCs/>
              </w:rPr>
            </w:pPr>
            <w:r w:rsidRPr="009F6441">
              <w:rPr>
                <w:b/>
                <w:bCs/>
              </w:rPr>
              <w:t>298</w:t>
            </w:r>
          </w:p>
        </w:tc>
      </w:tr>
    </w:tbl>
    <w:p w14:paraId="561B5D08" w14:textId="0D0EB7C3" w:rsidR="00F94F86" w:rsidRPr="00B65F7F" w:rsidRDefault="00363DD8" w:rsidP="00F94F86">
      <w:pPr>
        <w:pStyle w:val="CaptionTable"/>
        <w:rPr>
          <w:bCs/>
        </w:rPr>
      </w:pPr>
      <w:bookmarkStart w:id="249" w:name="_Ref151899712"/>
      <w:bookmarkStart w:id="250" w:name="_Toc145313250"/>
      <w:bookmarkStart w:id="251" w:name="_Toc145604937"/>
      <w:bookmarkStart w:id="252" w:name="_Toc145617809"/>
      <w:bookmarkStart w:id="253" w:name="_Toc156932080"/>
      <w:bookmarkStart w:id="254" w:name="_Toc145103781"/>
      <w:r>
        <w:lastRenderedPageBreak/>
        <w:t>Table A4.</w:t>
      </w:r>
      <w:r>
        <w:fldChar w:fldCharType="begin"/>
      </w:r>
      <w:r>
        <w:instrText xml:space="preserve"> SEQ Table_App4 \* ARABIC </w:instrText>
      </w:r>
      <w:r>
        <w:fldChar w:fldCharType="separate"/>
      </w:r>
      <w:r w:rsidR="00934D5E">
        <w:rPr>
          <w:noProof/>
        </w:rPr>
        <w:t>3</w:t>
      </w:r>
      <w:r>
        <w:fldChar w:fldCharType="end"/>
      </w:r>
      <w:bookmarkEnd w:id="249"/>
      <w:r w:rsidRPr="00B65F7F">
        <w:t>: T</w:t>
      </w:r>
      <w:r w:rsidR="00F94F86" w:rsidRPr="00B65F7F">
        <w:t>otal number of ITC contracts from 1 July 2016 to 30 June 2022, by commissioning body</w:t>
      </w:r>
      <w:bookmarkEnd w:id="250"/>
      <w:bookmarkEnd w:id="251"/>
      <w:bookmarkEnd w:id="252"/>
      <w:bookmarkEnd w:id="253"/>
      <w:r w:rsidR="00F94F86" w:rsidRPr="00B65F7F">
        <w:t xml:space="preserve"> </w:t>
      </w:r>
      <w:bookmarkEnd w:id="248"/>
      <w:bookmarkEnd w:id="254"/>
    </w:p>
    <w:tbl>
      <w:tblPr>
        <w:tblStyle w:val="Newtableforresport"/>
        <w:tblW w:w="5000" w:type="pct"/>
        <w:tblInd w:w="0" w:type="dxa"/>
        <w:tblLook w:val="0660" w:firstRow="1" w:lastRow="1" w:firstColumn="0" w:lastColumn="0" w:noHBand="1" w:noVBand="1"/>
        <w:tblCaption w:val="Table A4.3: Total number of ITC contracts from 1 July 2016 to 30 June 2022, by commissioning body"/>
        <w:tblDescription w:val="A table providing information on the total number of Integrated Team Care (ITC) contracts from 1 July 2016 to 30 June 2022 by commissioning body. The first column lists commissioning bodies across Australia, such as the Australian Capital Territory Primary Health Network. The second column lists the number of non-Indigenous service providers that are contracted by the commissioning body for the ITC program. The third column lists the percentage of all service providers contracted by the commissioning body for the ITC program that are non-Indigenous. The fourth column lists the number of Indigenous service providers that are contracted by the commissioning body for the ITC program. The fifth column lists the percentage of all service providers contracted by the commissioning body for the ITC program that are Indigenous. The sixth column lists the total number of ITC program contracts under the commissioning body.  "/>
      </w:tblPr>
      <w:tblGrid>
        <w:gridCol w:w="4237"/>
        <w:gridCol w:w="1213"/>
        <w:gridCol w:w="1162"/>
        <w:gridCol w:w="1159"/>
        <w:gridCol w:w="1186"/>
        <w:gridCol w:w="682"/>
      </w:tblGrid>
      <w:tr w:rsidR="00F94F86" w:rsidRPr="00B2363F" w14:paraId="42194287" w14:textId="77777777" w:rsidTr="009D4C69">
        <w:trPr>
          <w:cnfStyle w:val="100000000000" w:firstRow="1" w:lastRow="0" w:firstColumn="0" w:lastColumn="0" w:oddVBand="0" w:evenVBand="0" w:oddHBand="0" w:evenHBand="0" w:firstRowFirstColumn="0" w:firstRowLastColumn="0" w:lastRowFirstColumn="0" w:lastRowLastColumn="0"/>
          <w:trHeight w:val="20"/>
          <w:tblHeader/>
        </w:trPr>
        <w:tc>
          <w:tcPr>
            <w:tcW w:w="2198" w:type="pct"/>
            <w:vAlign w:val="center"/>
          </w:tcPr>
          <w:p w14:paraId="72CCEA6C" w14:textId="0D7EDAFA" w:rsidR="00F94F86" w:rsidRPr="00A93CE9" w:rsidRDefault="00A93CE9" w:rsidP="00A93CE9">
            <w:pPr>
              <w:pStyle w:val="TableHeading"/>
              <w:rPr>
                <w:rFonts w:eastAsia="Calibri" w:cs="Calibri"/>
              </w:rPr>
            </w:pPr>
            <w:r>
              <w:rPr>
                <w:rFonts w:eastAsia="Calibri" w:cs="Calibri"/>
              </w:rPr>
              <w:t>Commissioning body</w:t>
            </w:r>
          </w:p>
        </w:tc>
        <w:tc>
          <w:tcPr>
            <w:tcW w:w="629" w:type="pct"/>
            <w:vAlign w:val="center"/>
          </w:tcPr>
          <w:p w14:paraId="3A4A2E5E" w14:textId="77777777" w:rsidR="00F94F86" w:rsidRPr="00B2363F" w:rsidRDefault="00F94F86" w:rsidP="00024E8D">
            <w:pPr>
              <w:pStyle w:val="TableHeading"/>
              <w:rPr>
                <w:rFonts w:eastAsia="Calibri"/>
                <w:b w:val="0"/>
              </w:rPr>
            </w:pPr>
            <w:r w:rsidRPr="00B2363F">
              <w:t>Non-Indigenous service providers</w:t>
            </w:r>
          </w:p>
        </w:tc>
        <w:tc>
          <w:tcPr>
            <w:tcW w:w="603" w:type="pct"/>
            <w:vAlign w:val="center"/>
          </w:tcPr>
          <w:p w14:paraId="4AE18CA9" w14:textId="77777777" w:rsidR="00F94F86" w:rsidRPr="00B2363F" w:rsidRDefault="00F94F86" w:rsidP="00024E8D">
            <w:pPr>
              <w:pStyle w:val="TableHeading"/>
              <w:rPr>
                <w:rFonts w:eastAsia="Calibri"/>
                <w:b w:val="0"/>
              </w:rPr>
            </w:pPr>
            <w:r w:rsidRPr="00B2363F">
              <w:t xml:space="preserve">% of all that are non-Indigenous </w:t>
            </w:r>
          </w:p>
        </w:tc>
        <w:tc>
          <w:tcPr>
            <w:tcW w:w="601" w:type="pct"/>
            <w:vAlign w:val="center"/>
          </w:tcPr>
          <w:p w14:paraId="49DE184B" w14:textId="77777777" w:rsidR="00F94F86" w:rsidRPr="00B2363F" w:rsidRDefault="00F94F86" w:rsidP="00024E8D">
            <w:pPr>
              <w:pStyle w:val="TableHeading"/>
              <w:rPr>
                <w:rFonts w:eastAsia="Calibri"/>
                <w:b w:val="0"/>
              </w:rPr>
            </w:pPr>
            <w:r w:rsidRPr="00B2363F">
              <w:t>Indigenous service providers</w:t>
            </w:r>
          </w:p>
        </w:tc>
        <w:tc>
          <w:tcPr>
            <w:tcW w:w="615" w:type="pct"/>
            <w:vAlign w:val="center"/>
          </w:tcPr>
          <w:p w14:paraId="6856DA79" w14:textId="77777777" w:rsidR="00F94F86" w:rsidRPr="00B2363F" w:rsidRDefault="00F94F86" w:rsidP="00024E8D">
            <w:pPr>
              <w:pStyle w:val="TableHeading"/>
              <w:rPr>
                <w:rFonts w:eastAsia="Calibri"/>
                <w:b w:val="0"/>
              </w:rPr>
            </w:pPr>
            <w:r w:rsidRPr="00B2363F">
              <w:t>% of all that are Indigenous</w:t>
            </w:r>
          </w:p>
        </w:tc>
        <w:tc>
          <w:tcPr>
            <w:tcW w:w="354" w:type="pct"/>
            <w:vAlign w:val="center"/>
          </w:tcPr>
          <w:p w14:paraId="67083D01" w14:textId="77777777" w:rsidR="00F94F86" w:rsidRPr="00B2363F" w:rsidRDefault="00F94F86" w:rsidP="00024E8D">
            <w:pPr>
              <w:pStyle w:val="TableHeading"/>
              <w:rPr>
                <w:rFonts w:eastAsia="Calibri"/>
                <w:b w:val="0"/>
              </w:rPr>
            </w:pPr>
            <w:r w:rsidRPr="00B2363F">
              <w:t>Total</w:t>
            </w:r>
          </w:p>
        </w:tc>
      </w:tr>
      <w:tr w:rsidR="00F94F86" w:rsidRPr="00C34FFC" w14:paraId="1269EAAF" w14:textId="77777777" w:rsidTr="006F6DD1">
        <w:trPr>
          <w:trHeight w:val="20"/>
        </w:trPr>
        <w:tc>
          <w:tcPr>
            <w:tcW w:w="2198" w:type="pct"/>
          </w:tcPr>
          <w:p w14:paraId="5E1A15D9" w14:textId="77777777" w:rsidR="00F94F86" w:rsidRPr="00C34FFC" w:rsidRDefault="00F94F86" w:rsidP="000507E1">
            <w:pPr>
              <w:pStyle w:val="TableText"/>
              <w:rPr>
                <w:rFonts w:eastAsia="Calibri"/>
              </w:rPr>
            </w:pPr>
            <w:r w:rsidRPr="00C34FFC">
              <w:t>ACT: Australian Capital Territory</w:t>
            </w:r>
          </w:p>
        </w:tc>
        <w:tc>
          <w:tcPr>
            <w:tcW w:w="629" w:type="pct"/>
          </w:tcPr>
          <w:p w14:paraId="29C519BF" w14:textId="77777777" w:rsidR="00F94F86" w:rsidRPr="005C3BD8" w:rsidRDefault="00F94F86" w:rsidP="000507E1">
            <w:pPr>
              <w:pStyle w:val="TableText"/>
              <w:jc w:val="right"/>
              <w:rPr>
                <w:rFonts w:eastAsia="Calibri"/>
              </w:rPr>
            </w:pPr>
            <w:r w:rsidRPr="005C3BD8">
              <w:t>4</w:t>
            </w:r>
          </w:p>
        </w:tc>
        <w:tc>
          <w:tcPr>
            <w:tcW w:w="603" w:type="pct"/>
          </w:tcPr>
          <w:p w14:paraId="09798E28" w14:textId="77777777" w:rsidR="00F94F86" w:rsidRPr="005C3BD8" w:rsidRDefault="00F94F86" w:rsidP="000507E1">
            <w:pPr>
              <w:pStyle w:val="TableText"/>
              <w:jc w:val="right"/>
              <w:rPr>
                <w:rFonts w:eastAsia="Calibri"/>
              </w:rPr>
            </w:pPr>
            <w:r w:rsidRPr="005C3BD8">
              <w:t>67%</w:t>
            </w:r>
          </w:p>
        </w:tc>
        <w:tc>
          <w:tcPr>
            <w:tcW w:w="601" w:type="pct"/>
          </w:tcPr>
          <w:p w14:paraId="174F38E0" w14:textId="77777777" w:rsidR="00F94F86" w:rsidRPr="005C3BD8" w:rsidRDefault="00F94F86" w:rsidP="000507E1">
            <w:pPr>
              <w:pStyle w:val="TableText"/>
              <w:jc w:val="right"/>
              <w:rPr>
                <w:rFonts w:eastAsia="Calibri"/>
              </w:rPr>
            </w:pPr>
            <w:r w:rsidRPr="005C3BD8">
              <w:t>2</w:t>
            </w:r>
          </w:p>
        </w:tc>
        <w:tc>
          <w:tcPr>
            <w:tcW w:w="615" w:type="pct"/>
          </w:tcPr>
          <w:p w14:paraId="5545A085" w14:textId="77777777" w:rsidR="00F94F86" w:rsidRPr="005C3BD8" w:rsidRDefault="00F94F86" w:rsidP="000507E1">
            <w:pPr>
              <w:pStyle w:val="TableText"/>
              <w:jc w:val="right"/>
              <w:rPr>
                <w:b/>
                <w:color w:val="000000"/>
              </w:rPr>
            </w:pPr>
            <w:r w:rsidRPr="005C3BD8">
              <w:t>33%</w:t>
            </w:r>
          </w:p>
        </w:tc>
        <w:tc>
          <w:tcPr>
            <w:tcW w:w="354" w:type="pct"/>
          </w:tcPr>
          <w:p w14:paraId="6B2C0287" w14:textId="77777777" w:rsidR="00F94F86" w:rsidRPr="000507E1" w:rsidRDefault="00F94F86" w:rsidP="000507E1">
            <w:pPr>
              <w:pStyle w:val="TableText"/>
              <w:jc w:val="right"/>
              <w:rPr>
                <w:rFonts w:eastAsia="Calibri"/>
                <w:b/>
                <w:bCs/>
              </w:rPr>
            </w:pPr>
            <w:r w:rsidRPr="000507E1">
              <w:rPr>
                <w:b/>
                <w:bCs/>
              </w:rPr>
              <w:t>6</w:t>
            </w:r>
          </w:p>
        </w:tc>
      </w:tr>
      <w:tr w:rsidR="00F94F86" w:rsidRPr="00C34FFC" w14:paraId="7179CE9E" w14:textId="77777777" w:rsidTr="006F6DD1">
        <w:trPr>
          <w:trHeight w:val="20"/>
        </w:trPr>
        <w:tc>
          <w:tcPr>
            <w:tcW w:w="2198" w:type="pct"/>
          </w:tcPr>
          <w:p w14:paraId="045CF5CC" w14:textId="77777777" w:rsidR="00F94F86" w:rsidRPr="00C34FFC" w:rsidRDefault="00F94F86" w:rsidP="000507E1">
            <w:pPr>
              <w:pStyle w:val="TableText"/>
              <w:rPr>
                <w:rFonts w:eastAsia="Calibri"/>
              </w:rPr>
            </w:pPr>
            <w:r w:rsidRPr="00C34FFC">
              <w:t>NSW: Central and Eastern Sydney</w:t>
            </w:r>
          </w:p>
        </w:tc>
        <w:tc>
          <w:tcPr>
            <w:tcW w:w="629" w:type="pct"/>
          </w:tcPr>
          <w:p w14:paraId="7D4E4BC0" w14:textId="77777777" w:rsidR="00F94F86" w:rsidRPr="005C3BD8" w:rsidRDefault="00F94F86" w:rsidP="000507E1">
            <w:pPr>
              <w:pStyle w:val="TableText"/>
              <w:jc w:val="right"/>
              <w:rPr>
                <w:rFonts w:eastAsia="Calibri"/>
              </w:rPr>
            </w:pPr>
            <w:r w:rsidRPr="005C3BD8">
              <w:t>5</w:t>
            </w:r>
          </w:p>
        </w:tc>
        <w:tc>
          <w:tcPr>
            <w:tcW w:w="603" w:type="pct"/>
          </w:tcPr>
          <w:p w14:paraId="3FBD113E" w14:textId="77777777" w:rsidR="00F94F86" w:rsidRPr="005C3BD8" w:rsidRDefault="00F94F86" w:rsidP="000507E1">
            <w:pPr>
              <w:pStyle w:val="TableText"/>
              <w:jc w:val="right"/>
              <w:rPr>
                <w:rFonts w:eastAsia="Calibri"/>
              </w:rPr>
            </w:pPr>
            <w:r w:rsidRPr="005C3BD8">
              <w:t>71%</w:t>
            </w:r>
          </w:p>
        </w:tc>
        <w:tc>
          <w:tcPr>
            <w:tcW w:w="601" w:type="pct"/>
          </w:tcPr>
          <w:p w14:paraId="534B412D" w14:textId="77777777" w:rsidR="00F94F86" w:rsidRPr="005C3BD8" w:rsidRDefault="00F94F86" w:rsidP="000507E1">
            <w:pPr>
              <w:pStyle w:val="TableText"/>
              <w:jc w:val="right"/>
              <w:rPr>
                <w:rFonts w:eastAsia="Calibri"/>
              </w:rPr>
            </w:pPr>
            <w:r w:rsidRPr="005C3BD8">
              <w:t>2</w:t>
            </w:r>
          </w:p>
        </w:tc>
        <w:tc>
          <w:tcPr>
            <w:tcW w:w="615" w:type="pct"/>
          </w:tcPr>
          <w:p w14:paraId="09104A65" w14:textId="77777777" w:rsidR="00F94F86" w:rsidRPr="005C3BD8" w:rsidRDefault="00F94F86" w:rsidP="000507E1">
            <w:pPr>
              <w:pStyle w:val="TableText"/>
              <w:jc w:val="right"/>
              <w:rPr>
                <w:b/>
                <w:color w:val="000000"/>
              </w:rPr>
            </w:pPr>
            <w:r w:rsidRPr="005C3BD8">
              <w:t>29%</w:t>
            </w:r>
          </w:p>
        </w:tc>
        <w:tc>
          <w:tcPr>
            <w:tcW w:w="354" w:type="pct"/>
          </w:tcPr>
          <w:p w14:paraId="5102BF82" w14:textId="77777777" w:rsidR="00F94F86" w:rsidRPr="000507E1" w:rsidRDefault="00F94F86" w:rsidP="000507E1">
            <w:pPr>
              <w:pStyle w:val="TableText"/>
              <w:jc w:val="right"/>
              <w:rPr>
                <w:rFonts w:eastAsia="Calibri"/>
                <w:b/>
                <w:bCs/>
              </w:rPr>
            </w:pPr>
            <w:r w:rsidRPr="000507E1">
              <w:rPr>
                <w:b/>
                <w:bCs/>
              </w:rPr>
              <w:t>7</w:t>
            </w:r>
          </w:p>
        </w:tc>
      </w:tr>
      <w:tr w:rsidR="00F94F86" w:rsidRPr="00C34FFC" w14:paraId="040E1A91" w14:textId="77777777" w:rsidTr="006F6DD1">
        <w:trPr>
          <w:trHeight w:val="20"/>
        </w:trPr>
        <w:tc>
          <w:tcPr>
            <w:tcW w:w="2198" w:type="pct"/>
          </w:tcPr>
          <w:p w14:paraId="68F86EEB" w14:textId="77777777" w:rsidR="00F94F86" w:rsidRPr="00C34FFC" w:rsidRDefault="00F94F86" w:rsidP="000507E1">
            <w:pPr>
              <w:pStyle w:val="TableText"/>
              <w:rPr>
                <w:rFonts w:eastAsia="Calibri"/>
              </w:rPr>
            </w:pPr>
            <w:r w:rsidRPr="00C34FFC">
              <w:t>NSW: Hunter New England and Central Coast</w:t>
            </w:r>
          </w:p>
        </w:tc>
        <w:tc>
          <w:tcPr>
            <w:tcW w:w="629" w:type="pct"/>
          </w:tcPr>
          <w:p w14:paraId="1DC42063" w14:textId="77777777" w:rsidR="00F94F86" w:rsidRPr="005C3BD8" w:rsidRDefault="00F94F86" w:rsidP="000507E1">
            <w:pPr>
              <w:pStyle w:val="TableText"/>
              <w:jc w:val="right"/>
              <w:rPr>
                <w:rFonts w:eastAsia="Calibri"/>
              </w:rPr>
            </w:pPr>
            <w:r w:rsidRPr="005C3BD8">
              <w:t>4</w:t>
            </w:r>
          </w:p>
        </w:tc>
        <w:tc>
          <w:tcPr>
            <w:tcW w:w="603" w:type="pct"/>
          </w:tcPr>
          <w:p w14:paraId="081B48D7" w14:textId="77777777" w:rsidR="00F94F86" w:rsidRPr="005C3BD8" w:rsidRDefault="00F94F86" w:rsidP="000507E1">
            <w:pPr>
              <w:pStyle w:val="TableText"/>
              <w:jc w:val="right"/>
              <w:rPr>
                <w:rFonts w:eastAsia="Calibri"/>
              </w:rPr>
            </w:pPr>
            <w:r w:rsidRPr="005C3BD8">
              <w:t>40%</w:t>
            </w:r>
          </w:p>
        </w:tc>
        <w:tc>
          <w:tcPr>
            <w:tcW w:w="601" w:type="pct"/>
          </w:tcPr>
          <w:p w14:paraId="19C60F8A" w14:textId="77777777" w:rsidR="00F94F86" w:rsidRPr="005C3BD8" w:rsidRDefault="00F94F86" w:rsidP="000507E1">
            <w:pPr>
              <w:pStyle w:val="TableText"/>
              <w:jc w:val="right"/>
              <w:rPr>
                <w:rFonts w:eastAsia="Calibri"/>
              </w:rPr>
            </w:pPr>
            <w:r w:rsidRPr="005C3BD8">
              <w:t>6</w:t>
            </w:r>
          </w:p>
        </w:tc>
        <w:tc>
          <w:tcPr>
            <w:tcW w:w="615" w:type="pct"/>
          </w:tcPr>
          <w:p w14:paraId="5E4ED3C8" w14:textId="77777777" w:rsidR="00F94F86" w:rsidRPr="005C3BD8" w:rsidRDefault="00F94F86" w:rsidP="000507E1">
            <w:pPr>
              <w:pStyle w:val="TableText"/>
              <w:jc w:val="right"/>
              <w:rPr>
                <w:b/>
                <w:color w:val="000000"/>
              </w:rPr>
            </w:pPr>
            <w:r w:rsidRPr="005C3BD8">
              <w:t>60%</w:t>
            </w:r>
          </w:p>
        </w:tc>
        <w:tc>
          <w:tcPr>
            <w:tcW w:w="354" w:type="pct"/>
          </w:tcPr>
          <w:p w14:paraId="111F97C5" w14:textId="77777777" w:rsidR="00F94F86" w:rsidRPr="000507E1" w:rsidRDefault="00F94F86" w:rsidP="000507E1">
            <w:pPr>
              <w:pStyle w:val="TableText"/>
              <w:jc w:val="right"/>
              <w:rPr>
                <w:rFonts w:eastAsia="Calibri"/>
                <w:b/>
                <w:bCs/>
              </w:rPr>
            </w:pPr>
            <w:r w:rsidRPr="000507E1">
              <w:rPr>
                <w:b/>
                <w:bCs/>
              </w:rPr>
              <w:t>10</w:t>
            </w:r>
          </w:p>
        </w:tc>
      </w:tr>
      <w:tr w:rsidR="00F94F86" w:rsidRPr="00C34FFC" w14:paraId="521AFB9E" w14:textId="77777777" w:rsidTr="006F6DD1">
        <w:trPr>
          <w:trHeight w:val="20"/>
        </w:trPr>
        <w:tc>
          <w:tcPr>
            <w:tcW w:w="2198" w:type="pct"/>
          </w:tcPr>
          <w:p w14:paraId="2C1DD06B" w14:textId="77777777" w:rsidR="00F94F86" w:rsidRPr="00C34FFC" w:rsidRDefault="00F94F86" w:rsidP="000507E1">
            <w:pPr>
              <w:pStyle w:val="TableText"/>
              <w:rPr>
                <w:rFonts w:eastAsia="Calibri"/>
              </w:rPr>
            </w:pPr>
            <w:r w:rsidRPr="00C34FFC">
              <w:t>NSW: Murrumbidgee</w:t>
            </w:r>
          </w:p>
        </w:tc>
        <w:tc>
          <w:tcPr>
            <w:tcW w:w="629" w:type="pct"/>
          </w:tcPr>
          <w:p w14:paraId="0ED16500" w14:textId="77777777" w:rsidR="00F94F86" w:rsidRPr="005C3BD8" w:rsidRDefault="00F94F86" w:rsidP="000507E1">
            <w:pPr>
              <w:pStyle w:val="TableText"/>
              <w:jc w:val="right"/>
              <w:rPr>
                <w:rFonts w:eastAsia="Calibri"/>
              </w:rPr>
            </w:pPr>
            <w:r w:rsidRPr="005C3BD8">
              <w:t>2</w:t>
            </w:r>
          </w:p>
        </w:tc>
        <w:tc>
          <w:tcPr>
            <w:tcW w:w="603" w:type="pct"/>
          </w:tcPr>
          <w:p w14:paraId="121C7975" w14:textId="77777777" w:rsidR="00F94F86" w:rsidRPr="005C3BD8" w:rsidRDefault="00F94F86" w:rsidP="000507E1">
            <w:pPr>
              <w:pStyle w:val="TableText"/>
              <w:jc w:val="right"/>
              <w:rPr>
                <w:rFonts w:eastAsia="Calibri"/>
              </w:rPr>
            </w:pPr>
            <w:r w:rsidRPr="005C3BD8">
              <w:t>29%</w:t>
            </w:r>
          </w:p>
        </w:tc>
        <w:tc>
          <w:tcPr>
            <w:tcW w:w="601" w:type="pct"/>
          </w:tcPr>
          <w:p w14:paraId="696C49C7" w14:textId="77777777" w:rsidR="00F94F86" w:rsidRPr="005C3BD8" w:rsidRDefault="00F94F86" w:rsidP="000507E1">
            <w:pPr>
              <w:pStyle w:val="TableText"/>
              <w:jc w:val="right"/>
              <w:rPr>
                <w:rFonts w:eastAsia="Calibri"/>
              </w:rPr>
            </w:pPr>
            <w:r w:rsidRPr="005C3BD8">
              <w:t>5</w:t>
            </w:r>
          </w:p>
        </w:tc>
        <w:tc>
          <w:tcPr>
            <w:tcW w:w="615" w:type="pct"/>
          </w:tcPr>
          <w:p w14:paraId="7A57540C" w14:textId="77777777" w:rsidR="00F94F86" w:rsidRPr="005C3BD8" w:rsidRDefault="00F94F86" w:rsidP="000507E1">
            <w:pPr>
              <w:pStyle w:val="TableText"/>
              <w:jc w:val="right"/>
              <w:rPr>
                <w:b/>
                <w:color w:val="000000"/>
              </w:rPr>
            </w:pPr>
            <w:r w:rsidRPr="005C3BD8">
              <w:t>71%</w:t>
            </w:r>
          </w:p>
        </w:tc>
        <w:tc>
          <w:tcPr>
            <w:tcW w:w="354" w:type="pct"/>
          </w:tcPr>
          <w:p w14:paraId="03403AC3" w14:textId="77777777" w:rsidR="00F94F86" w:rsidRPr="000507E1" w:rsidRDefault="00F94F86" w:rsidP="000507E1">
            <w:pPr>
              <w:pStyle w:val="TableText"/>
              <w:jc w:val="right"/>
              <w:rPr>
                <w:rFonts w:eastAsia="Calibri"/>
                <w:b/>
                <w:bCs/>
              </w:rPr>
            </w:pPr>
            <w:r w:rsidRPr="000507E1">
              <w:rPr>
                <w:b/>
                <w:bCs/>
              </w:rPr>
              <w:t>7</w:t>
            </w:r>
          </w:p>
        </w:tc>
      </w:tr>
      <w:tr w:rsidR="00F94F86" w:rsidRPr="00C34FFC" w14:paraId="508FF418" w14:textId="77777777" w:rsidTr="006F6DD1">
        <w:trPr>
          <w:trHeight w:val="20"/>
        </w:trPr>
        <w:tc>
          <w:tcPr>
            <w:tcW w:w="2198" w:type="pct"/>
          </w:tcPr>
          <w:p w14:paraId="7033BFC1" w14:textId="77777777" w:rsidR="00F94F86" w:rsidRPr="00C34FFC" w:rsidRDefault="00F94F86" w:rsidP="000507E1">
            <w:pPr>
              <w:pStyle w:val="TableText"/>
              <w:rPr>
                <w:rFonts w:eastAsia="Calibri"/>
              </w:rPr>
            </w:pPr>
            <w:r w:rsidRPr="00C34FFC">
              <w:t>NSW: Nepean Blue Mountains</w:t>
            </w:r>
          </w:p>
        </w:tc>
        <w:tc>
          <w:tcPr>
            <w:tcW w:w="629" w:type="pct"/>
          </w:tcPr>
          <w:p w14:paraId="0C503A6A" w14:textId="77777777" w:rsidR="00F94F86" w:rsidRPr="005C3BD8" w:rsidRDefault="00F94F86" w:rsidP="000507E1">
            <w:pPr>
              <w:pStyle w:val="TableText"/>
              <w:jc w:val="right"/>
              <w:rPr>
                <w:rFonts w:eastAsia="Calibri"/>
              </w:rPr>
            </w:pPr>
            <w:r w:rsidRPr="005C3BD8">
              <w:t>1</w:t>
            </w:r>
          </w:p>
        </w:tc>
        <w:tc>
          <w:tcPr>
            <w:tcW w:w="603" w:type="pct"/>
          </w:tcPr>
          <w:p w14:paraId="7CDDAC2D" w14:textId="77777777" w:rsidR="00F94F86" w:rsidRPr="005C3BD8" w:rsidRDefault="00F94F86" w:rsidP="000507E1">
            <w:pPr>
              <w:pStyle w:val="TableText"/>
              <w:jc w:val="right"/>
              <w:rPr>
                <w:rFonts w:eastAsia="Calibri"/>
              </w:rPr>
            </w:pPr>
            <w:r w:rsidRPr="005C3BD8">
              <w:t>100%</w:t>
            </w:r>
          </w:p>
        </w:tc>
        <w:tc>
          <w:tcPr>
            <w:tcW w:w="601" w:type="pct"/>
          </w:tcPr>
          <w:p w14:paraId="5F2338FA" w14:textId="77777777" w:rsidR="00F94F86" w:rsidRPr="005C3BD8" w:rsidRDefault="00F94F86" w:rsidP="000507E1">
            <w:pPr>
              <w:pStyle w:val="TableText"/>
              <w:jc w:val="right"/>
              <w:rPr>
                <w:rFonts w:eastAsia="Calibri"/>
              </w:rPr>
            </w:pPr>
            <w:r w:rsidRPr="005C3BD8">
              <w:t>0</w:t>
            </w:r>
          </w:p>
        </w:tc>
        <w:tc>
          <w:tcPr>
            <w:tcW w:w="615" w:type="pct"/>
          </w:tcPr>
          <w:p w14:paraId="654DA79C" w14:textId="77777777" w:rsidR="00F94F86" w:rsidRPr="005C3BD8" w:rsidRDefault="00F94F86" w:rsidP="000507E1">
            <w:pPr>
              <w:pStyle w:val="TableText"/>
              <w:jc w:val="right"/>
              <w:rPr>
                <w:b/>
                <w:color w:val="000000"/>
              </w:rPr>
            </w:pPr>
            <w:r w:rsidRPr="005C3BD8">
              <w:t>0%</w:t>
            </w:r>
          </w:p>
        </w:tc>
        <w:tc>
          <w:tcPr>
            <w:tcW w:w="354" w:type="pct"/>
          </w:tcPr>
          <w:p w14:paraId="6F23EEE0" w14:textId="77777777" w:rsidR="00F94F86" w:rsidRPr="000507E1" w:rsidRDefault="00F94F86" w:rsidP="000507E1">
            <w:pPr>
              <w:pStyle w:val="TableText"/>
              <w:jc w:val="right"/>
              <w:rPr>
                <w:rFonts w:eastAsia="Calibri"/>
                <w:b/>
                <w:bCs/>
              </w:rPr>
            </w:pPr>
            <w:r w:rsidRPr="000507E1">
              <w:rPr>
                <w:b/>
                <w:bCs/>
              </w:rPr>
              <w:t>1</w:t>
            </w:r>
          </w:p>
        </w:tc>
      </w:tr>
      <w:tr w:rsidR="00F94F86" w:rsidRPr="00C34FFC" w14:paraId="288CE8F9" w14:textId="77777777" w:rsidTr="006F6DD1">
        <w:trPr>
          <w:trHeight w:val="20"/>
        </w:trPr>
        <w:tc>
          <w:tcPr>
            <w:tcW w:w="2198" w:type="pct"/>
          </w:tcPr>
          <w:p w14:paraId="3D942C23" w14:textId="77777777" w:rsidR="00F94F86" w:rsidRPr="00C34FFC" w:rsidRDefault="00F94F86" w:rsidP="000507E1">
            <w:pPr>
              <w:pStyle w:val="TableText"/>
              <w:rPr>
                <w:rFonts w:eastAsia="Calibri"/>
              </w:rPr>
            </w:pPr>
            <w:r w:rsidRPr="00C34FFC">
              <w:t>NSW: North Coast</w:t>
            </w:r>
          </w:p>
        </w:tc>
        <w:tc>
          <w:tcPr>
            <w:tcW w:w="629" w:type="pct"/>
          </w:tcPr>
          <w:p w14:paraId="786E185F" w14:textId="77777777" w:rsidR="00F94F86" w:rsidRPr="005C3BD8" w:rsidRDefault="00F94F86" w:rsidP="000507E1">
            <w:pPr>
              <w:pStyle w:val="TableText"/>
              <w:jc w:val="right"/>
              <w:rPr>
                <w:rFonts w:eastAsia="Calibri"/>
              </w:rPr>
            </w:pPr>
            <w:r w:rsidRPr="005C3BD8">
              <w:t>0</w:t>
            </w:r>
          </w:p>
        </w:tc>
        <w:tc>
          <w:tcPr>
            <w:tcW w:w="603" w:type="pct"/>
          </w:tcPr>
          <w:p w14:paraId="32A9F6AA" w14:textId="77777777" w:rsidR="00F94F86" w:rsidRPr="005C3BD8" w:rsidRDefault="00F94F86" w:rsidP="000507E1">
            <w:pPr>
              <w:pStyle w:val="TableText"/>
              <w:jc w:val="right"/>
              <w:rPr>
                <w:rFonts w:eastAsia="Calibri"/>
              </w:rPr>
            </w:pPr>
            <w:r w:rsidRPr="005C3BD8">
              <w:t>0%</w:t>
            </w:r>
          </w:p>
        </w:tc>
        <w:tc>
          <w:tcPr>
            <w:tcW w:w="601" w:type="pct"/>
          </w:tcPr>
          <w:p w14:paraId="3D689EDE" w14:textId="77777777" w:rsidR="00F94F86" w:rsidRPr="005C3BD8" w:rsidRDefault="00F94F86" w:rsidP="000507E1">
            <w:pPr>
              <w:pStyle w:val="TableText"/>
              <w:jc w:val="right"/>
              <w:rPr>
                <w:rFonts w:eastAsia="Calibri"/>
              </w:rPr>
            </w:pPr>
            <w:r w:rsidRPr="005C3BD8">
              <w:t>24</w:t>
            </w:r>
          </w:p>
        </w:tc>
        <w:tc>
          <w:tcPr>
            <w:tcW w:w="615" w:type="pct"/>
          </w:tcPr>
          <w:p w14:paraId="71A36C95" w14:textId="77777777" w:rsidR="00F94F86" w:rsidRPr="005C3BD8" w:rsidRDefault="00F94F86" w:rsidP="000507E1">
            <w:pPr>
              <w:pStyle w:val="TableText"/>
              <w:jc w:val="right"/>
              <w:rPr>
                <w:b/>
                <w:color w:val="000000"/>
              </w:rPr>
            </w:pPr>
            <w:r w:rsidRPr="005C3BD8">
              <w:t>100%</w:t>
            </w:r>
          </w:p>
        </w:tc>
        <w:tc>
          <w:tcPr>
            <w:tcW w:w="354" w:type="pct"/>
          </w:tcPr>
          <w:p w14:paraId="25898A57" w14:textId="77777777" w:rsidR="00F94F86" w:rsidRPr="000507E1" w:rsidRDefault="00F94F86" w:rsidP="000507E1">
            <w:pPr>
              <w:pStyle w:val="TableText"/>
              <w:jc w:val="right"/>
              <w:rPr>
                <w:rFonts w:eastAsia="Calibri"/>
                <w:b/>
                <w:bCs/>
              </w:rPr>
            </w:pPr>
            <w:r w:rsidRPr="000507E1">
              <w:rPr>
                <w:b/>
                <w:bCs/>
              </w:rPr>
              <w:t>24</w:t>
            </w:r>
          </w:p>
        </w:tc>
      </w:tr>
      <w:tr w:rsidR="00F94F86" w:rsidRPr="00C34FFC" w14:paraId="41EB1EFA" w14:textId="77777777" w:rsidTr="006F6DD1">
        <w:trPr>
          <w:trHeight w:val="20"/>
        </w:trPr>
        <w:tc>
          <w:tcPr>
            <w:tcW w:w="2198" w:type="pct"/>
          </w:tcPr>
          <w:p w14:paraId="40D2693B" w14:textId="77777777" w:rsidR="00F94F86" w:rsidRPr="00C34FFC" w:rsidRDefault="00F94F86" w:rsidP="000507E1">
            <w:pPr>
              <w:pStyle w:val="TableText"/>
              <w:rPr>
                <w:rFonts w:eastAsia="Calibri"/>
              </w:rPr>
            </w:pPr>
            <w:r w:rsidRPr="00C34FFC">
              <w:t>NSW: Northern Sydney</w:t>
            </w:r>
          </w:p>
        </w:tc>
        <w:tc>
          <w:tcPr>
            <w:tcW w:w="629" w:type="pct"/>
          </w:tcPr>
          <w:p w14:paraId="631BCEEE" w14:textId="77777777" w:rsidR="00F94F86" w:rsidRPr="005C3BD8" w:rsidRDefault="00F94F86" w:rsidP="000507E1">
            <w:pPr>
              <w:pStyle w:val="TableText"/>
              <w:jc w:val="right"/>
              <w:rPr>
                <w:rFonts w:eastAsia="Calibri"/>
              </w:rPr>
            </w:pPr>
            <w:r w:rsidRPr="005C3BD8">
              <w:t>0</w:t>
            </w:r>
          </w:p>
        </w:tc>
        <w:tc>
          <w:tcPr>
            <w:tcW w:w="603" w:type="pct"/>
          </w:tcPr>
          <w:p w14:paraId="3CDE59C7" w14:textId="77777777" w:rsidR="00F94F86" w:rsidRPr="005C3BD8" w:rsidRDefault="00F94F86" w:rsidP="000507E1">
            <w:pPr>
              <w:pStyle w:val="TableText"/>
              <w:jc w:val="right"/>
              <w:rPr>
                <w:rFonts w:eastAsia="Calibri"/>
              </w:rPr>
            </w:pPr>
            <w:r w:rsidRPr="005C3BD8">
              <w:t>0%</w:t>
            </w:r>
          </w:p>
        </w:tc>
        <w:tc>
          <w:tcPr>
            <w:tcW w:w="601" w:type="pct"/>
          </w:tcPr>
          <w:p w14:paraId="3926EE8D" w14:textId="77777777" w:rsidR="00F94F86" w:rsidRPr="005C3BD8" w:rsidRDefault="00F94F86" w:rsidP="000507E1">
            <w:pPr>
              <w:pStyle w:val="TableText"/>
              <w:jc w:val="right"/>
              <w:rPr>
                <w:rFonts w:eastAsia="Calibri"/>
              </w:rPr>
            </w:pPr>
            <w:r w:rsidRPr="005C3BD8">
              <w:t>2</w:t>
            </w:r>
          </w:p>
        </w:tc>
        <w:tc>
          <w:tcPr>
            <w:tcW w:w="615" w:type="pct"/>
          </w:tcPr>
          <w:p w14:paraId="259A6719" w14:textId="77777777" w:rsidR="00F94F86" w:rsidRPr="005C3BD8" w:rsidRDefault="00F94F86" w:rsidP="000507E1">
            <w:pPr>
              <w:pStyle w:val="TableText"/>
              <w:jc w:val="right"/>
              <w:rPr>
                <w:b/>
                <w:color w:val="000000"/>
              </w:rPr>
            </w:pPr>
            <w:r w:rsidRPr="005C3BD8">
              <w:t>100%</w:t>
            </w:r>
          </w:p>
        </w:tc>
        <w:tc>
          <w:tcPr>
            <w:tcW w:w="354" w:type="pct"/>
          </w:tcPr>
          <w:p w14:paraId="2F71F5B0" w14:textId="77777777" w:rsidR="00F94F86" w:rsidRPr="000507E1" w:rsidRDefault="00F94F86" w:rsidP="000507E1">
            <w:pPr>
              <w:pStyle w:val="TableText"/>
              <w:jc w:val="right"/>
              <w:rPr>
                <w:rFonts w:eastAsia="Calibri"/>
                <w:b/>
                <w:bCs/>
              </w:rPr>
            </w:pPr>
            <w:r w:rsidRPr="000507E1">
              <w:rPr>
                <w:b/>
                <w:bCs/>
              </w:rPr>
              <w:t>2</w:t>
            </w:r>
          </w:p>
        </w:tc>
      </w:tr>
      <w:tr w:rsidR="00F94F86" w:rsidRPr="00C34FFC" w14:paraId="5427CE42" w14:textId="77777777" w:rsidTr="006F6DD1">
        <w:trPr>
          <w:trHeight w:val="20"/>
        </w:trPr>
        <w:tc>
          <w:tcPr>
            <w:tcW w:w="2198" w:type="pct"/>
          </w:tcPr>
          <w:p w14:paraId="741045F1" w14:textId="77777777" w:rsidR="00F94F86" w:rsidRPr="00C34FFC" w:rsidRDefault="00F94F86" w:rsidP="000507E1">
            <w:pPr>
              <w:pStyle w:val="TableText"/>
              <w:rPr>
                <w:rFonts w:eastAsia="Calibri"/>
              </w:rPr>
            </w:pPr>
            <w:r w:rsidRPr="00C34FFC">
              <w:t>NSW: South Eastern NSW</w:t>
            </w:r>
          </w:p>
        </w:tc>
        <w:tc>
          <w:tcPr>
            <w:tcW w:w="629" w:type="pct"/>
          </w:tcPr>
          <w:p w14:paraId="2F5828AF" w14:textId="77777777" w:rsidR="00F94F86" w:rsidRPr="005C3BD8" w:rsidRDefault="00F94F86" w:rsidP="000507E1">
            <w:pPr>
              <w:pStyle w:val="TableText"/>
              <w:jc w:val="right"/>
              <w:rPr>
                <w:rFonts w:eastAsia="Calibri"/>
              </w:rPr>
            </w:pPr>
            <w:r w:rsidRPr="005C3BD8">
              <w:t>2</w:t>
            </w:r>
          </w:p>
        </w:tc>
        <w:tc>
          <w:tcPr>
            <w:tcW w:w="603" w:type="pct"/>
          </w:tcPr>
          <w:p w14:paraId="641D9E42" w14:textId="77777777" w:rsidR="00F94F86" w:rsidRPr="005C3BD8" w:rsidRDefault="00F94F86" w:rsidP="000507E1">
            <w:pPr>
              <w:pStyle w:val="TableText"/>
              <w:jc w:val="right"/>
              <w:rPr>
                <w:rFonts w:eastAsia="Calibri"/>
              </w:rPr>
            </w:pPr>
            <w:r w:rsidRPr="005C3BD8">
              <w:t>20%</w:t>
            </w:r>
          </w:p>
        </w:tc>
        <w:tc>
          <w:tcPr>
            <w:tcW w:w="601" w:type="pct"/>
          </w:tcPr>
          <w:p w14:paraId="5F4D3E44" w14:textId="77777777" w:rsidR="00F94F86" w:rsidRPr="005C3BD8" w:rsidRDefault="00F94F86" w:rsidP="000507E1">
            <w:pPr>
              <w:pStyle w:val="TableText"/>
              <w:jc w:val="right"/>
              <w:rPr>
                <w:rFonts w:eastAsia="Calibri"/>
              </w:rPr>
            </w:pPr>
            <w:r w:rsidRPr="005C3BD8">
              <w:t>8</w:t>
            </w:r>
          </w:p>
        </w:tc>
        <w:tc>
          <w:tcPr>
            <w:tcW w:w="615" w:type="pct"/>
          </w:tcPr>
          <w:p w14:paraId="315A8CF2" w14:textId="77777777" w:rsidR="00F94F86" w:rsidRPr="005C3BD8" w:rsidRDefault="00F94F86" w:rsidP="000507E1">
            <w:pPr>
              <w:pStyle w:val="TableText"/>
              <w:jc w:val="right"/>
              <w:rPr>
                <w:b/>
                <w:color w:val="000000"/>
              </w:rPr>
            </w:pPr>
            <w:r w:rsidRPr="005C3BD8">
              <w:t>80%</w:t>
            </w:r>
          </w:p>
        </w:tc>
        <w:tc>
          <w:tcPr>
            <w:tcW w:w="354" w:type="pct"/>
          </w:tcPr>
          <w:p w14:paraId="79DDFC5F" w14:textId="77777777" w:rsidR="00F94F86" w:rsidRPr="000507E1" w:rsidRDefault="00F94F86" w:rsidP="000507E1">
            <w:pPr>
              <w:pStyle w:val="TableText"/>
              <w:jc w:val="right"/>
              <w:rPr>
                <w:rFonts w:eastAsia="Calibri"/>
                <w:b/>
                <w:bCs/>
              </w:rPr>
            </w:pPr>
            <w:r w:rsidRPr="000507E1">
              <w:rPr>
                <w:b/>
                <w:bCs/>
              </w:rPr>
              <w:t>10</w:t>
            </w:r>
          </w:p>
        </w:tc>
      </w:tr>
      <w:tr w:rsidR="00F94F86" w:rsidRPr="00C34FFC" w14:paraId="51D393F9" w14:textId="77777777" w:rsidTr="006F6DD1">
        <w:trPr>
          <w:trHeight w:val="20"/>
        </w:trPr>
        <w:tc>
          <w:tcPr>
            <w:tcW w:w="2198" w:type="pct"/>
          </w:tcPr>
          <w:p w14:paraId="16209CA9" w14:textId="77777777" w:rsidR="00F94F86" w:rsidRPr="00C34FFC" w:rsidRDefault="00F94F86" w:rsidP="000507E1">
            <w:pPr>
              <w:pStyle w:val="TableText"/>
              <w:rPr>
                <w:rFonts w:eastAsia="Calibri"/>
              </w:rPr>
            </w:pPr>
            <w:r w:rsidRPr="00C34FFC">
              <w:t>NSW: South Western Sydney</w:t>
            </w:r>
          </w:p>
        </w:tc>
        <w:tc>
          <w:tcPr>
            <w:tcW w:w="629" w:type="pct"/>
          </w:tcPr>
          <w:p w14:paraId="7C26BB55" w14:textId="77777777" w:rsidR="00F94F86" w:rsidRPr="005C3BD8" w:rsidRDefault="00F94F86" w:rsidP="000507E1">
            <w:pPr>
              <w:pStyle w:val="TableText"/>
              <w:jc w:val="right"/>
              <w:rPr>
                <w:rFonts w:eastAsia="Calibri"/>
              </w:rPr>
            </w:pPr>
            <w:r w:rsidRPr="005C3BD8">
              <w:t>2</w:t>
            </w:r>
          </w:p>
        </w:tc>
        <w:tc>
          <w:tcPr>
            <w:tcW w:w="603" w:type="pct"/>
          </w:tcPr>
          <w:p w14:paraId="74EDB811" w14:textId="77777777" w:rsidR="00F94F86" w:rsidRPr="005C3BD8" w:rsidRDefault="00F94F86" w:rsidP="000507E1">
            <w:pPr>
              <w:pStyle w:val="TableText"/>
              <w:jc w:val="right"/>
              <w:rPr>
                <w:rFonts w:eastAsia="Calibri"/>
              </w:rPr>
            </w:pPr>
            <w:r w:rsidRPr="005C3BD8">
              <w:t>100%</w:t>
            </w:r>
          </w:p>
        </w:tc>
        <w:tc>
          <w:tcPr>
            <w:tcW w:w="601" w:type="pct"/>
          </w:tcPr>
          <w:p w14:paraId="5EBB5EAF" w14:textId="77777777" w:rsidR="00F94F86" w:rsidRPr="005C3BD8" w:rsidRDefault="00F94F86" w:rsidP="000507E1">
            <w:pPr>
              <w:pStyle w:val="TableText"/>
              <w:jc w:val="right"/>
              <w:rPr>
                <w:rFonts w:eastAsia="Calibri"/>
              </w:rPr>
            </w:pPr>
            <w:r w:rsidRPr="005C3BD8">
              <w:t>0</w:t>
            </w:r>
          </w:p>
        </w:tc>
        <w:tc>
          <w:tcPr>
            <w:tcW w:w="615" w:type="pct"/>
          </w:tcPr>
          <w:p w14:paraId="552C38D0" w14:textId="77777777" w:rsidR="00F94F86" w:rsidRPr="005C3BD8" w:rsidRDefault="00F94F86" w:rsidP="000507E1">
            <w:pPr>
              <w:pStyle w:val="TableText"/>
              <w:jc w:val="right"/>
              <w:rPr>
                <w:b/>
                <w:color w:val="000000"/>
              </w:rPr>
            </w:pPr>
            <w:r w:rsidRPr="005C3BD8">
              <w:t>0%</w:t>
            </w:r>
          </w:p>
        </w:tc>
        <w:tc>
          <w:tcPr>
            <w:tcW w:w="354" w:type="pct"/>
          </w:tcPr>
          <w:p w14:paraId="1C8C6A37" w14:textId="77777777" w:rsidR="00F94F86" w:rsidRPr="000507E1" w:rsidRDefault="00F94F86" w:rsidP="000507E1">
            <w:pPr>
              <w:pStyle w:val="TableText"/>
              <w:jc w:val="right"/>
              <w:rPr>
                <w:rFonts w:eastAsia="Calibri"/>
                <w:b/>
                <w:bCs/>
              </w:rPr>
            </w:pPr>
            <w:r w:rsidRPr="000507E1">
              <w:rPr>
                <w:b/>
                <w:bCs/>
              </w:rPr>
              <w:t>2</w:t>
            </w:r>
          </w:p>
        </w:tc>
      </w:tr>
      <w:tr w:rsidR="00F94F86" w:rsidRPr="00C34FFC" w14:paraId="08FCE9A2" w14:textId="77777777" w:rsidTr="006F6DD1">
        <w:trPr>
          <w:trHeight w:val="20"/>
        </w:trPr>
        <w:tc>
          <w:tcPr>
            <w:tcW w:w="2198" w:type="pct"/>
          </w:tcPr>
          <w:p w14:paraId="3CE0A90D" w14:textId="77777777" w:rsidR="00F94F86" w:rsidRPr="00C34FFC" w:rsidRDefault="00F94F86" w:rsidP="000507E1">
            <w:pPr>
              <w:pStyle w:val="TableText"/>
              <w:rPr>
                <w:rFonts w:eastAsia="Calibri"/>
              </w:rPr>
            </w:pPr>
            <w:r w:rsidRPr="00C34FFC">
              <w:t>NSW: Western NSW</w:t>
            </w:r>
          </w:p>
        </w:tc>
        <w:tc>
          <w:tcPr>
            <w:tcW w:w="629" w:type="pct"/>
          </w:tcPr>
          <w:p w14:paraId="11C2194A" w14:textId="77777777" w:rsidR="00F94F86" w:rsidRPr="005C3BD8" w:rsidRDefault="00F94F86" w:rsidP="000507E1">
            <w:pPr>
              <w:pStyle w:val="TableText"/>
              <w:jc w:val="right"/>
              <w:rPr>
                <w:rFonts w:eastAsia="Calibri"/>
              </w:rPr>
            </w:pPr>
            <w:r w:rsidRPr="005C3BD8">
              <w:t>1</w:t>
            </w:r>
          </w:p>
        </w:tc>
        <w:tc>
          <w:tcPr>
            <w:tcW w:w="603" w:type="pct"/>
          </w:tcPr>
          <w:p w14:paraId="5E50DCE2" w14:textId="77777777" w:rsidR="00F94F86" w:rsidRPr="005C3BD8" w:rsidRDefault="00F94F86" w:rsidP="000507E1">
            <w:pPr>
              <w:pStyle w:val="TableText"/>
              <w:jc w:val="right"/>
              <w:rPr>
                <w:rFonts w:eastAsia="Calibri"/>
              </w:rPr>
            </w:pPr>
            <w:r w:rsidRPr="005C3BD8">
              <w:t>33%</w:t>
            </w:r>
          </w:p>
        </w:tc>
        <w:tc>
          <w:tcPr>
            <w:tcW w:w="601" w:type="pct"/>
          </w:tcPr>
          <w:p w14:paraId="5F36C25C" w14:textId="77777777" w:rsidR="00F94F86" w:rsidRPr="005C3BD8" w:rsidRDefault="00F94F86" w:rsidP="000507E1">
            <w:pPr>
              <w:pStyle w:val="TableText"/>
              <w:jc w:val="right"/>
              <w:rPr>
                <w:rFonts w:eastAsia="Calibri"/>
              </w:rPr>
            </w:pPr>
            <w:r w:rsidRPr="005C3BD8">
              <w:t>2</w:t>
            </w:r>
          </w:p>
        </w:tc>
        <w:tc>
          <w:tcPr>
            <w:tcW w:w="615" w:type="pct"/>
          </w:tcPr>
          <w:p w14:paraId="52CB31B7" w14:textId="77777777" w:rsidR="00F94F86" w:rsidRPr="005C3BD8" w:rsidRDefault="00F94F86" w:rsidP="000507E1">
            <w:pPr>
              <w:pStyle w:val="TableText"/>
              <w:jc w:val="right"/>
              <w:rPr>
                <w:b/>
                <w:color w:val="000000"/>
              </w:rPr>
            </w:pPr>
            <w:r w:rsidRPr="005C3BD8">
              <w:t>67%</w:t>
            </w:r>
          </w:p>
        </w:tc>
        <w:tc>
          <w:tcPr>
            <w:tcW w:w="354" w:type="pct"/>
          </w:tcPr>
          <w:p w14:paraId="583F21B4" w14:textId="77777777" w:rsidR="00F94F86" w:rsidRPr="000507E1" w:rsidRDefault="00F94F86" w:rsidP="000507E1">
            <w:pPr>
              <w:pStyle w:val="TableText"/>
              <w:jc w:val="right"/>
              <w:rPr>
                <w:rFonts w:eastAsia="Calibri"/>
                <w:b/>
                <w:bCs/>
              </w:rPr>
            </w:pPr>
            <w:r w:rsidRPr="000507E1">
              <w:rPr>
                <w:b/>
                <w:bCs/>
              </w:rPr>
              <w:t>3</w:t>
            </w:r>
          </w:p>
        </w:tc>
      </w:tr>
      <w:tr w:rsidR="00F94F86" w:rsidRPr="00C34FFC" w14:paraId="1131742E" w14:textId="77777777" w:rsidTr="006F6DD1">
        <w:trPr>
          <w:trHeight w:val="20"/>
        </w:trPr>
        <w:tc>
          <w:tcPr>
            <w:tcW w:w="2198" w:type="pct"/>
          </w:tcPr>
          <w:p w14:paraId="699BAD43" w14:textId="77777777" w:rsidR="00F94F86" w:rsidRPr="00C34FFC" w:rsidRDefault="00F94F86" w:rsidP="000507E1">
            <w:pPr>
              <w:pStyle w:val="TableText"/>
              <w:rPr>
                <w:rFonts w:eastAsia="Calibri"/>
              </w:rPr>
            </w:pPr>
            <w:r w:rsidRPr="00C34FFC">
              <w:t>NSW: Western Sydney</w:t>
            </w:r>
          </w:p>
        </w:tc>
        <w:tc>
          <w:tcPr>
            <w:tcW w:w="629" w:type="pct"/>
          </w:tcPr>
          <w:p w14:paraId="1452D323" w14:textId="77777777" w:rsidR="00F94F86" w:rsidRPr="005C3BD8" w:rsidRDefault="00F94F86" w:rsidP="000507E1">
            <w:pPr>
              <w:pStyle w:val="TableText"/>
              <w:jc w:val="right"/>
              <w:rPr>
                <w:rFonts w:eastAsia="Calibri"/>
              </w:rPr>
            </w:pPr>
            <w:r w:rsidRPr="005C3BD8">
              <w:t>4</w:t>
            </w:r>
          </w:p>
        </w:tc>
        <w:tc>
          <w:tcPr>
            <w:tcW w:w="603" w:type="pct"/>
          </w:tcPr>
          <w:p w14:paraId="487A997D" w14:textId="77777777" w:rsidR="00F94F86" w:rsidRPr="005C3BD8" w:rsidRDefault="00F94F86" w:rsidP="000507E1">
            <w:pPr>
              <w:pStyle w:val="TableText"/>
              <w:jc w:val="right"/>
              <w:rPr>
                <w:rFonts w:eastAsia="Calibri"/>
              </w:rPr>
            </w:pPr>
            <w:r w:rsidRPr="005C3BD8">
              <w:t>100%</w:t>
            </w:r>
          </w:p>
        </w:tc>
        <w:tc>
          <w:tcPr>
            <w:tcW w:w="601" w:type="pct"/>
          </w:tcPr>
          <w:p w14:paraId="225F3DF5" w14:textId="77777777" w:rsidR="00F94F86" w:rsidRPr="005C3BD8" w:rsidRDefault="00F94F86" w:rsidP="000507E1">
            <w:pPr>
              <w:pStyle w:val="TableText"/>
              <w:jc w:val="right"/>
              <w:rPr>
                <w:rFonts w:eastAsia="Calibri"/>
              </w:rPr>
            </w:pPr>
            <w:r w:rsidRPr="005C3BD8">
              <w:t>0</w:t>
            </w:r>
          </w:p>
        </w:tc>
        <w:tc>
          <w:tcPr>
            <w:tcW w:w="615" w:type="pct"/>
          </w:tcPr>
          <w:p w14:paraId="3AD8A8E9" w14:textId="77777777" w:rsidR="00F94F86" w:rsidRPr="005C3BD8" w:rsidRDefault="00F94F86" w:rsidP="000507E1">
            <w:pPr>
              <w:pStyle w:val="TableText"/>
              <w:jc w:val="right"/>
              <w:rPr>
                <w:b/>
                <w:color w:val="000000"/>
              </w:rPr>
            </w:pPr>
            <w:r w:rsidRPr="005C3BD8">
              <w:t>0%</w:t>
            </w:r>
          </w:p>
        </w:tc>
        <w:tc>
          <w:tcPr>
            <w:tcW w:w="354" w:type="pct"/>
          </w:tcPr>
          <w:p w14:paraId="24D4C25F" w14:textId="77777777" w:rsidR="00F94F86" w:rsidRPr="000507E1" w:rsidRDefault="00F94F86" w:rsidP="000507E1">
            <w:pPr>
              <w:pStyle w:val="TableText"/>
              <w:jc w:val="right"/>
              <w:rPr>
                <w:rFonts w:eastAsia="Calibri"/>
                <w:b/>
                <w:bCs/>
              </w:rPr>
            </w:pPr>
            <w:r w:rsidRPr="000507E1">
              <w:rPr>
                <w:b/>
                <w:bCs/>
              </w:rPr>
              <w:t>4</w:t>
            </w:r>
          </w:p>
        </w:tc>
      </w:tr>
      <w:tr w:rsidR="00F94F86" w:rsidRPr="00C34FFC" w14:paraId="6686CFB3" w14:textId="77777777" w:rsidTr="006F6DD1">
        <w:trPr>
          <w:trHeight w:val="20"/>
        </w:trPr>
        <w:tc>
          <w:tcPr>
            <w:tcW w:w="2198" w:type="pct"/>
          </w:tcPr>
          <w:p w14:paraId="3142CEFF" w14:textId="77777777" w:rsidR="00F94F86" w:rsidRPr="00C34FFC" w:rsidRDefault="00F94F86" w:rsidP="000507E1">
            <w:pPr>
              <w:pStyle w:val="TableText"/>
              <w:rPr>
                <w:rFonts w:eastAsia="Calibri"/>
              </w:rPr>
            </w:pPr>
            <w:r w:rsidRPr="00C34FFC">
              <w:t>NT: Northern Territory</w:t>
            </w:r>
          </w:p>
        </w:tc>
        <w:tc>
          <w:tcPr>
            <w:tcW w:w="629" w:type="pct"/>
          </w:tcPr>
          <w:p w14:paraId="6B0BCEA5" w14:textId="77777777" w:rsidR="00F94F86" w:rsidRPr="005C3BD8" w:rsidRDefault="00F94F86" w:rsidP="000507E1">
            <w:pPr>
              <w:pStyle w:val="TableText"/>
              <w:jc w:val="right"/>
              <w:rPr>
                <w:rFonts w:eastAsia="Calibri"/>
              </w:rPr>
            </w:pPr>
            <w:r w:rsidRPr="005C3BD8">
              <w:t>4</w:t>
            </w:r>
          </w:p>
        </w:tc>
        <w:tc>
          <w:tcPr>
            <w:tcW w:w="603" w:type="pct"/>
          </w:tcPr>
          <w:p w14:paraId="3F03911E" w14:textId="77777777" w:rsidR="00F94F86" w:rsidRPr="005C3BD8" w:rsidRDefault="00F94F86" w:rsidP="000507E1">
            <w:pPr>
              <w:pStyle w:val="TableText"/>
              <w:jc w:val="right"/>
              <w:rPr>
                <w:rFonts w:eastAsia="Calibri"/>
              </w:rPr>
            </w:pPr>
            <w:r w:rsidRPr="005C3BD8">
              <w:t>13%</w:t>
            </w:r>
          </w:p>
        </w:tc>
        <w:tc>
          <w:tcPr>
            <w:tcW w:w="601" w:type="pct"/>
          </w:tcPr>
          <w:p w14:paraId="06E30B70" w14:textId="77777777" w:rsidR="00F94F86" w:rsidRPr="005C3BD8" w:rsidRDefault="00F94F86" w:rsidP="000507E1">
            <w:pPr>
              <w:pStyle w:val="TableText"/>
              <w:jc w:val="right"/>
              <w:rPr>
                <w:rFonts w:eastAsia="Calibri"/>
              </w:rPr>
            </w:pPr>
            <w:r w:rsidRPr="005C3BD8">
              <w:t>27</w:t>
            </w:r>
          </w:p>
        </w:tc>
        <w:tc>
          <w:tcPr>
            <w:tcW w:w="615" w:type="pct"/>
          </w:tcPr>
          <w:p w14:paraId="4F3A6B81" w14:textId="77777777" w:rsidR="00F94F86" w:rsidRPr="005C3BD8" w:rsidRDefault="00F94F86" w:rsidP="000507E1">
            <w:pPr>
              <w:pStyle w:val="TableText"/>
              <w:jc w:val="right"/>
              <w:rPr>
                <w:b/>
                <w:color w:val="000000"/>
              </w:rPr>
            </w:pPr>
            <w:r w:rsidRPr="005C3BD8">
              <w:t>87%</w:t>
            </w:r>
          </w:p>
        </w:tc>
        <w:tc>
          <w:tcPr>
            <w:tcW w:w="354" w:type="pct"/>
          </w:tcPr>
          <w:p w14:paraId="0F3B06F6" w14:textId="77777777" w:rsidR="00F94F86" w:rsidRPr="000507E1" w:rsidRDefault="00F94F86" w:rsidP="000507E1">
            <w:pPr>
              <w:pStyle w:val="TableText"/>
              <w:jc w:val="right"/>
              <w:rPr>
                <w:rFonts w:eastAsia="Calibri"/>
                <w:b/>
                <w:bCs/>
              </w:rPr>
            </w:pPr>
            <w:r w:rsidRPr="000507E1">
              <w:rPr>
                <w:b/>
                <w:bCs/>
              </w:rPr>
              <w:t>31</w:t>
            </w:r>
          </w:p>
        </w:tc>
      </w:tr>
      <w:tr w:rsidR="00F94F86" w:rsidRPr="00C34FFC" w14:paraId="54A978D2" w14:textId="77777777" w:rsidTr="006F6DD1">
        <w:trPr>
          <w:trHeight w:val="20"/>
        </w:trPr>
        <w:tc>
          <w:tcPr>
            <w:tcW w:w="2198" w:type="pct"/>
          </w:tcPr>
          <w:p w14:paraId="5CDAF90A" w14:textId="77777777" w:rsidR="00F94F86" w:rsidRPr="00C34FFC" w:rsidRDefault="00F94F86" w:rsidP="000507E1">
            <w:pPr>
              <w:pStyle w:val="TableText"/>
              <w:rPr>
                <w:rFonts w:eastAsia="Calibri"/>
              </w:rPr>
            </w:pPr>
            <w:r w:rsidRPr="00C34FFC">
              <w:t>Qld: Brisbane North</w:t>
            </w:r>
          </w:p>
        </w:tc>
        <w:tc>
          <w:tcPr>
            <w:tcW w:w="629" w:type="pct"/>
          </w:tcPr>
          <w:p w14:paraId="5790EDDE" w14:textId="77777777" w:rsidR="00F94F86" w:rsidRPr="005C3BD8" w:rsidRDefault="00F94F86" w:rsidP="000507E1">
            <w:pPr>
              <w:pStyle w:val="TableText"/>
              <w:jc w:val="right"/>
              <w:rPr>
                <w:rFonts w:eastAsia="Calibri"/>
              </w:rPr>
            </w:pPr>
            <w:r w:rsidRPr="005C3BD8">
              <w:t>0</w:t>
            </w:r>
          </w:p>
        </w:tc>
        <w:tc>
          <w:tcPr>
            <w:tcW w:w="603" w:type="pct"/>
          </w:tcPr>
          <w:p w14:paraId="6E023370" w14:textId="77777777" w:rsidR="00F94F86" w:rsidRPr="005C3BD8" w:rsidRDefault="00F94F86" w:rsidP="000507E1">
            <w:pPr>
              <w:pStyle w:val="TableText"/>
              <w:jc w:val="right"/>
              <w:rPr>
                <w:rFonts w:eastAsia="Calibri"/>
              </w:rPr>
            </w:pPr>
            <w:r w:rsidRPr="005C3BD8">
              <w:t>0%</w:t>
            </w:r>
          </w:p>
        </w:tc>
        <w:tc>
          <w:tcPr>
            <w:tcW w:w="601" w:type="pct"/>
          </w:tcPr>
          <w:p w14:paraId="657C4F10" w14:textId="77777777" w:rsidR="00F94F86" w:rsidRPr="005C3BD8" w:rsidRDefault="00F94F86" w:rsidP="000507E1">
            <w:pPr>
              <w:pStyle w:val="TableText"/>
              <w:jc w:val="right"/>
              <w:rPr>
                <w:rFonts w:eastAsia="Calibri"/>
              </w:rPr>
            </w:pPr>
            <w:r w:rsidRPr="005C3BD8">
              <w:t>2</w:t>
            </w:r>
          </w:p>
        </w:tc>
        <w:tc>
          <w:tcPr>
            <w:tcW w:w="615" w:type="pct"/>
          </w:tcPr>
          <w:p w14:paraId="6CF210EC" w14:textId="77777777" w:rsidR="00F94F86" w:rsidRPr="005C3BD8" w:rsidRDefault="00F94F86" w:rsidP="000507E1">
            <w:pPr>
              <w:pStyle w:val="TableText"/>
              <w:jc w:val="right"/>
              <w:rPr>
                <w:b/>
                <w:color w:val="000000"/>
              </w:rPr>
            </w:pPr>
            <w:r w:rsidRPr="005C3BD8">
              <w:t>100%</w:t>
            </w:r>
          </w:p>
        </w:tc>
        <w:tc>
          <w:tcPr>
            <w:tcW w:w="354" w:type="pct"/>
          </w:tcPr>
          <w:p w14:paraId="1D800E18" w14:textId="77777777" w:rsidR="00F94F86" w:rsidRPr="000507E1" w:rsidRDefault="00F94F86" w:rsidP="000507E1">
            <w:pPr>
              <w:pStyle w:val="TableText"/>
              <w:jc w:val="right"/>
              <w:rPr>
                <w:rFonts w:eastAsia="Calibri"/>
                <w:b/>
                <w:bCs/>
              </w:rPr>
            </w:pPr>
            <w:r w:rsidRPr="000507E1">
              <w:rPr>
                <w:b/>
                <w:bCs/>
              </w:rPr>
              <w:t>2</w:t>
            </w:r>
          </w:p>
        </w:tc>
      </w:tr>
      <w:tr w:rsidR="00F94F86" w:rsidRPr="00C34FFC" w14:paraId="26E7122D" w14:textId="77777777" w:rsidTr="006F6DD1">
        <w:trPr>
          <w:trHeight w:val="20"/>
        </w:trPr>
        <w:tc>
          <w:tcPr>
            <w:tcW w:w="2198" w:type="pct"/>
          </w:tcPr>
          <w:p w14:paraId="048D02C9" w14:textId="77777777" w:rsidR="00F94F86" w:rsidRPr="00C34FFC" w:rsidRDefault="00F94F86" w:rsidP="000507E1">
            <w:pPr>
              <w:pStyle w:val="TableText"/>
              <w:rPr>
                <w:rFonts w:eastAsia="Calibri"/>
              </w:rPr>
            </w:pPr>
            <w:r w:rsidRPr="00C34FFC">
              <w:t>Qld: Brisbane South</w:t>
            </w:r>
          </w:p>
        </w:tc>
        <w:tc>
          <w:tcPr>
            <w:tcW w:w="629" w:type="pct"/>
          </w:tcPr>
          <w:p w14:paraId="30B07B1D" w14:textId="77777777" w:rsidR="00F94F86" w:rsidRPr="005C3BD8" w:rsidRDefault="00F94F86" w:rsidP="000507E1">
            <w:pPr>
              <w:pStyle w:val="TableText"/>
              <w:jc w:val="right"/>
              <w:rPr>
                <w:rFonts w:eastAsia="Calibri"/>
              </w:rPr>
            </w:pPr>
            <w:r w:rsidRPr="005C3BD8">
              <w:t>2</w:t>
            </w:r>
          </w:p>
        </w:tc>
        <w:tc>
          <w:tcPr>
            <w:tcW w:w="603" w:type="pct"/>
          </w:tcPr>
          <w:p w14:paraId="7D6FD3CF" w14:textId="77777777" w:rsidR="00F94F86" w:rsidRPr="005C3BD8" w:rsidRDefault="00F94F86" w:rsidP="000507E1">
            <w:pPr>
              <w:pStyle w:val="TableText"/>
              <w:jc w:val="right"/>
              <w:rPr>
                <w:rFonts w:eastAsia="Calibri"/>
              </w:rPr>
            </w:pPr>
            <w:r w:rsidRPr="005C3BD8">
              <w:t>50%</w:t>
            </w:r>
          </w:p>
        </w:tc>
        <w:tc>
          <w:tcPr>
            <w:tcW w:w="601" w:type="pct"/>
          </w:tcPr>
          <w:p w14:paraId="461DA8F4" w14:textId="77777777" w:rsidR="00F94F86" w:rsidRPr="005C3BD8" w:rsidRDefault="00F94F86" w:rsidP="000507E1">
            <w:pPr>
              <w:pStyle w:val="TableText"/>
              <w:jc w:val="right"/>
              <w:rPr>
                <w:rFonts w:eastAsia="Calibri"/>
              </w:rPr>
            </w:pPr>
            <w:r w:rsidRPr="005C3BD8">
              <w:t>2</w:t>
            </w:r>
          </w:p>
        </w:tc>
        <w:tc>
          <w:tcPr>
            <w:tcW w:w="615" w:type="pct"/>
          </w:tcPr>
          <w:p w14:paraId="7AE7831C" w14:textId="77777777" w:rsidR="00F94F86" w:rsidRPr="005C3BD8" w:rsidRDefault="00F94F86" w:rsidP="000507E1">
            <w:pPr>
              <w:pStyle w:val="TableText"/>
              <w:jc w:val="right"/>
              <w:rPr>
                <w:b/>
                <w:color w:val="000000"/>
              </w:rPr>
            </w:pPr>
            <w:r w:rsidRPr="005C3BD8">
              <w:t>50%</w:t>
            </w:r>
          </w:p>
        </w:tc>
        <w:tc>
          <w:tcPr>
            <w:tcW w:w="354" w:type="pct"/>
          </w:tcPr>
          <w:p w14:paraId="1E9DCDA6" w14:textId="77777777" w:rsidR="00F94F86" w:rsidRPr="000507E1" w:rsidRDefault="00F94F86" w:rsidP="000507E1">
            <w:pPr>
              <w:pStyle w:val="TableText"/>
              <w:jc w:val="right"/>
              <w:rPr>
                <w:rFonts w:eastAsia="Calibri"/>
                <w:b/>
                <w:bCs/>
              </w:rPr>
            </w:pPr>
            <w:r w:rsidRPr="000507E1">
              <w:rPr>
                <w:b/>
                <w:bCs/>
              </w:rPr>
              <w:t>4</w:t>
            </w:r>
          </w:p>
        </w:tc>
      </w:tr>
      <w:tr w:rsidR="00F94F86" w:rsidRPr="00C34FFC" w14:paraId="4E87DE09" w14:textId="77777777" w:rsidTr="006F6DD1">
        <w:trPr>
          <w:trHeight w:val="20"/>
        </w:trPr>
        <w:tc>
          <w:tcPr>
            <w:tcW w:w="2198" w:type="pct"/>
          </w:tcPr>
          <w:p w14:paraId="09B11D05" w14:textId="77777777" w:rsidR="00F94F86" w:rsidRPr="00C34FFC" w:rsidRDefault="00F94F86" w:rsidP="000507E1">
            <w:pPr>
              <w:pStyle w:val="TableText"/>
              <w:rPr>
                <w:rFonts w:eastAsia="Calibri"/>
              </w:rPr>
            </w:pPr>
            <w:r w:rsidRPr="00C34FFC">
              <w:t xml:space="preserve">Qld: Central Queensland, Wide Bay, Sunshine </w:t>
            </w:r>
          </w:p>
        </w:tc>
        <w:tc>
          <w:tcPr>
            <w:tcW w:w="629" w:type="pct"/>
          </w:tcPr>
          <w:p w14:paraId="6AB30608" w14:textId="77777777" w:rsidR="00F94F86" w:rsidRPr="005C3BD8" w:rsidRDefault="00F94F86" w:rsidP="000507E1">
            <w:pPr>
              <w:pStyle w:val="TableText"/>
              <w:jc w:val="right"/>
              <w:rPr>
                <w:rFonts w:eastAsia="Calibri"/>
              </w:rPr>
            </w:pPr>
            <w:r w:rsidRPr="005C3BD8">
              <w:t>7</w:t>
            </w:r>
          </w:p>
        </w:tc>
        <w:tc>
          <w:tcPr>
            <w:tcW w:w="603" w:type="pct"/>
          </w:tcPr>
          <w:p w14:paraId="70FB4A1A" w14:textId="77777777" w:rsidR="00F94F86" w:rsidRPr="005C3BD8" w:rsidRDefault="00F94F86" w:rsidP="000507E1">
            <w:pPr>
              <w:pStyle w:val="TableText"/>
              <w:jc w:val="right"/>
              <w:rPr>
                <w:rFonts w:eastAsia="Calibri"/>
              </w:rPr>
            </w:pPr>
            <w:r w:rsidRPr="005C3BD8">
              <w:t>41%</w:t>
            </w:r>
          </w:p>
        </w:tc>
        <w:tc>
          <w:tcPr>
            <w:tcW w:w="601" w:type="pct"/>
          </w:tcPr>
          <w:p w14:paraId="7356C88B" w14:textId="77777777" w:rsidR="00F94F86" w:rsidRPr="005C3BD8" w:rsidRDefault="00F94F86" w:rsidP="000507E1">
            <w:pPr>
              <w:pStyle w:val="TableText"/>
              <w:jc w:val="right"/>
              <w:rPr>
                <w:rFonts w:eastAsia="Calibri"/>
              </w:rPr>
            </w:pPr>
            <w:r w:rsidRPr="005C3BD8">
              <w:t>10</w:t>
            </w:r>
          </w:p>
        </w:tc>
        <w:tc>
          <w:tcPr>
            <w:tcW w:w="615" w:type="pct"/>
          </w:tcPr>
          <w:p w14:paraId="63587B7F" w14:textId="77777777" w:rsidR="00F94F86" w:rsidRPr="005C3BD8" w:rsidRDefault="00F94F86" w:rsidP="000507E1">
            <w:pPr>
              <w:pStyle w:val="TableText"/>
              <w:jc w:val="right"/>
              <w:rPr>
                <w:b/>
                <w:color w:val="000000"/>
              </w:rPr>
            </w:pPr>
            <w:r w:rsidRPr="005C3BD8">
              <w:t>59%</w:t>
            </w:r>
          </w:p>
        </w:tc>
        <w:tc>
          <w:tcPr>
            <w:tcW w:w="354" w:type="pct"/>
          </w:tcPr>
          <w:p w14:paraId="5486B2D8" w14:textId="77777777" w:rsidR="00F94F86" w:rsidRPr="000507E1" w:rsidRDefault="00F94F86" w:rsidP="000507E1">
            <w:pPr>
              <w:pStyle w:val="TableText"/>
              <w:jc w:val="right"/>
              <w:rPr>
                <w:rFonts w:eastAsia="Calibri"/>
                <w:b/>
                <w:bCs/>
              </w:rPr>
            </w:pPr>
            <w:r w:rsidRPr="000507E1">
              <w:rPr>
                <w:b/>
                <w:bCs/>
              </w:rPr>
              <w:t>17</w:t>
            </w:r>
          </w:p>
        </w:tc>
      </w:tr>
      <w:tr w:rsidR="00F94F86" w:rsidRPr="00C34FFC" w14:paraId="51EE9E45" w14:textId="77777777" w:rsidTr="006F6DD1">
        <w:trPr>
          <w:trHeight w:val="20"/>
        </w:trPr>
        <w:tc>
          <w:tcPr>
            <w:tcW w:w="2198" w:type="pct"/>
          </w:tcPr>
          <w:p w14:paraId="4D5DE9BE" w14:textId="77777777" w:rsidR="00F94F86" w:rsidRPr="00C34FFC" w:rsidRDefault="00F94F86" w:rsidP="000507E1">
            <w:pPr>
              <w:pStyle w:val="TableText"/>
              <w:rPr>
                <w:rFonts w:eastAsia="Calibri"/>
              </w:rPr>
            </w:pPr>
            <w:r w:rsidRPr="00C34FFC">
              <w:t>Qld: Darling Downs and West Moreton</w:t>
            </w:r>
          </w:p>
        </w:tc>
        <w:tc>
          <w:tcPr>
            <w:tcW w:w="629" w:type="pct"/>
          </w:tcPr>
          <w:p w14:paraId="26DCFC23" w14:textId="77777777" w:rsidR="00F94F86" w:rsidRPr="005C3BD8" w:rsidRDefault="00F94F86" w:rsidP="000507E1">
            <w:pPr>
              <w:pStyle w:val="TableText"/>
              <w:jc w:val="right"/>
              <w:rPr>
                <w:rFonts w:eastAsia="Calibri"/>
              </w:rPr>
            </w:pPr>
            <w:r w:rsidRPr="005C3BD8">
              <w:t>3</w:t>
            </w:r>
          </w:p>
        </w:tc>
        <w:tc>
          <w:tcPr>
            <w:tcW w:w="603" w:type="pct"/>
          </w:tcPr>
          <w:p w14:paraId="06C18397" w14:textId="77777777" w:rsidR="00F94F86" w:rsidRPr="005C3BD8" w:rsidRDefault="00F94F86" w:rsidP="000507E1">
            <w:pPr>
              <w:pStyle w:val="TableText"/>
              <w:jc w:val="right"/>
              <w:rPr>
                <w:rFonts w:eastAsia="Calibri"/>
              </w:rPr>
            </w:pPr>
            <w:r w:rsidRPr="005C3BD8">
              <w:t>38%</w:t>
            </w:r>
          </w:p>
        </w:tc>
        <w:tc>
          <w:tcPr>
            <w:tcW w:w="601" w:type="pct"/>
          </w:tcPr>
          <w:p w14:paraId="48E1E629" w14:textId="77777777" w:rsidR="00F94F86" w:rsidRPr="005C3BD8" w:rsidRDefault="00F94F86" w:rsidP="000507E1">
            <w:pPr>
              <w:pStyle w:val="TableText"/>
              <w:jc w:val="right"/>
              <w:rPr>
                <w:rFonts w:eastAsia="Calibri"/>
              </w:rPr>
            </w:pPr>
            <w:r w:rsidRPr="005C3BD8">
              <w:t>5</w:t>
            </w:r>
          </w:p>
        </w:tc>
        <w:tc>
          <w:tcPr>
            <w:tcW w:w="615" w:type="pct"/>
          </w:tcPr>
          <w:p w14:paraId="1D47967A" w14:textId="77777777" w:rsidR="00F94F86" w:rsidRPr="005C3BD8" w:rsidRDefault="00F94F86" w:rsidP="000507E1">
            <w:pPr>
              <w:pStyle w:val="TableText"/>
              <w:jc w:val="right"/>
              <w:rPr>
                <w:b/>
                <w:color w:val="000000"/>
              </w:rPr>
            </w:pPr>
            <w:r w:rsidRPr="005C3BD8">
              <w:t>63%</w:t>
            </w:r>
          </w:p>
        </w:tc>
        <w:tc>
          <w:tcPr>
            <w:tcW w:w="354" w:type="pct"/>
          </w:tcPr>
          <w:p w14:paraId="5E648928" w14:textId="77777777" w:rsidR="00F94F86" w:rsidRPr="000507E1" w:rsidRDefault="00F94F86" w:rsidP="000507E1">
            <w:pPr>
              <w:pStyle w:val="TableText"/>
              <w:jc w:val="right"/>
              <w:rPr>
                <w:rFonts w:eastAsia="Calibri"/>
                <w:b/>
                <w:bCs/>
              </w:rPr>
            </w:pPr>
            <w:r w:rsidRPr="000507E1">
              <w:rPr>
                <w:b/>
                <w:bCs/>
              </w:rPr>
              <w:t>8</w:t>
            </w:r>
          </w:p>
        </w:tc>
      </w:tr>
      <w:tr w:rsidR="00F94F86" w:rsidRPr="00C34FFC" w14:paraId="204F825A" w14:textId="77777777" w:rsidTr="006F6DD1">
        <w:trPr>
          <w:trHeight w:val="20"/>
        </w:trPr>
        <w:tc>
          <w:tcPr>
            <w:tcW w:w="2198" w:type="pct"/>
          </w:tcPr>
          <w:p w14:paraId="4A3A95A2" w14:textId="77777777" w:rsidR="00F94F86" w:rsidRPr="00C34FFC" w:rsidRDefault="00F94F86" w:rsidP="000507E1">
            <w:pPr>
              <w:pStyle w:val="TableText"/>
              <w:rPr>
                <w:rFonts w:eastAsia="Calibri"/>
              </w:rPr>
            </w:pPr>
            <w:r w:rsidRPr="00C34FFC">
              <w:t>Qld: Gold Coast</w:t>
            </w:r>
          </w:p>
        </w:tc>
        <w:tc>
          <w:tcPr>
            <w:tcW w:w="629" w:type="pct"/>
          </w:tcPr>
          <w:p w14:paraId="448B3627" w14:textId="77777777" w:rsidR="00F94F86" w:rsidRPr="005C3BD8" w:rsidRDefault="00F94F86" w:rsidP="000507E1">
            <w:pPr>
              <w:pStyle w:val="TableText"/>
              <w:jc w:val="right"/>
              <w:rPr>
                <w:rFonts w:eastAsia="Calibri"/>
              </w:rPr>
            </w:pPr>
            <w:r w:rsidRPr="005C3BD8">
              <w:t>1</w:t>
            </w:r>
          </w:p>
        </w:tc>
        <w:tc>
          <w:tcPr>
            <w:tcW w:w="603" w:type="pct"/>
          </w:tcPr>
          <w:p w14:paraId="2BA948E4" w14:textId="77777777" w:rsidR="00F94F86" w:rsidRPr="005C3BD8" w:rsidRDefault="00F94F86" w:rsidP="000507E1">
            <w:pPr>
              <w:pStyle w:val="TableText"/>
              <w:jc w:val="right"/>
              <w:rPr>
                <w:rFonts w:eastAsia="Calibri"/>
              </w:rPr>
            </w:pPr>
            <w:r w:rsidRPr="005C3BD8">
              <w:t>50%</w:t>
            </w:r>
          </w:p>
        </w:tc>
        <w:tc>
          <w:tcPr>
            <w:tcW w:w="601" w:type="pct"/>
          </w:tcPr>
          <w:p w14:paraId="185E1AB0" w14:textId="77777777" w:rsidR="00F94F86" w:rsidRPr="005C3BD8" w:rsidRDefault="00F94F86" w:rsidP="000507E1">
            <w:pPr>
              <w:pStyle w:val="TableText"/>
              <w:jc w:val="right"/>
              <w:rPr>
                <w:rFonts w:eastAsia="Calibri"/>
              </w:rPr>
            </w:pPr>
            <w:r w:rsidRPr="005C3BD8">
              <w:t>1</w:t>
            </w:r>
          </w:p>
        </w:tc>
        <w:tc>
          <w:tcPr>
            <w:tcW w:w="615" w:type="pct"/>
          </w:tcPr>
          <w:p w14:paraId="6D328CD4" w14:textId="77777777" w:rsidR="00F94F86" w:rsidRPr="005C3BD8" w:rsidRDefault="00F94F86" w:rsidP="000507E1">
            <w:pPr>
              <w:pStyle w:val="TableText"/>
              <w:jc w:val="right"/>
              <w:rPr>
                <w:rFonts w:eastAsia="Calibri"/>
                <w:b/>
              </w:rPr>
            </w:pPr>
            <w:r w:rsidRPr="005C3BD8">
              <w:t>50%</w:t>
            </w:r>
          </w:p>
        </w:tc>
        <w:tc>
          <w:tcPr>
            <w:tcW w:w="354" w:type="pct"/>
          </w:tcPr>
          <w:p w14:paraId="47519860" w14:textId="77777777" w:rsidR="00F94F86" w:rsidRPr="000507E1" w:rsidRDefault="00F94F86" w:rsidP="000507E1">
            <w:pPr>
              <w:pStyle w:val="TableText"/>
              <w:jc w:val="right"/>
              <w:rPr>
                <w:rFonts w:eastAsia="Calibri"/>
                <w:b/>
                <w:bCs/>
              </w:rPr>
            </w:pPr>
            <w:r w:rsidRPr="000507E1">
              <w:rPr>
                <w:b/>
                <w:bCs/>
              </w:rPr>
              <w:t>2</w:t>
            </w:r>
          </w:p>
        </w:tc>
      </w:tr>
      <w:tr w:rsidR="00F94F86" w:rsidRPr="00C34FFC" w14:paraId="0D1E296D" w14:textId="77777777" w:rsidTr="006F6DD1">
        <w:trPr>
          <w:trHeight w:val="20"/>
        </w:trPr>
        <w:tc>
          <w:tcPr>
            <w:tcW w:w="2198" w:type="pct"/>
          </w:tcPr>
          <w:p w14:paraId="25488A9E" w14:textId="77777777" w:rsidR="00F94F86" w:rsidRPr="00C34FFC" w:rsidRDefault="00F94F86" w:rsidP="000507E1">
            <w:pPr>
              <w:pStyle w:val="TableText"/>
              <w:rPr>
                <w:rFonts w:eastAsia="Calibri"/>
              </w:rPr>
            </w:pPr>
            <w:r w:rsidRPr="00C34FFC">
              <w:t>Qld: Northern Queensland</w:t>
            </w:r>
          </w:p>
        </w:tc>
        <w:tc>
          <w:tcPr>
            <w:tcW w:w="629" w:type="pct"/>
          </w:tcPr>
          <w:p w14:paraId="6AFA93A8" w14:textId="77777777" w:rsidR="00F94F86" w:rsidRPr="005C3BD8" w:rsidRDefault="00F94F86" w:rsidP="000507E1">
            <w:pPr>
              <w:pStyle w:val="TableText"/>
              <w:jc w:val="right"/>
              <w:rPr>
                <w:color w:val="000000"/>
              </w:rPr>
            </w:pPr>
            <w:r w:rsidRPr="005C3BD8">
              <w:t>0</w:t>
            </w:r>
          </w:p>
        </w:tc>
        <w:tc>
          <w:tcPr>
            <w:tcW w:w="603" w:type="pct"/>
          </w:tcPr>
          <w:p w14:paraId="29FF8014" w14:textId="77777777" w:rsidR="00F94F86" w:rsidRPr="005C3BD8" w:rsidRDefault="00F94F86" w:rsidP="000507E1">
            <w:pPr>
              <w:pStyle w:val="TableText"/>
              <w:jc w:val="right"/>
              <w:rPr>
                <w:color w:val="000000"/>
              </w:rPr>
            </w:pPr>
            <w:r w:rsidRPr="005C3BD8">
              <w:t>0%</w:t>
            </w:r>
          </w:p>
        </w:tc>
        <w:tc>
          <w:tcPr>
            <w:tcW w:w="601" w:type="pct"/>
          </w:tcPr>
          <w:p w14:paraId="49E15642" w14:textId="77777777" w:rsidR="00F94F86" w:rsidRPr="005C3BD8" w:rsidRDefault="00F94F86" w:rsidP="000507E1">
            <w:pPr>
              <w:pStyle w:val="TableText"/>
              <w:jc w:val="right"/>
              <w:rPr>
                <w:color w:val="000000"/>
              </w:rPr>
            </w:pPr>
            <w:r w:rsidRPr="005C3BD8">
              <w:t>1</w:t>
            </w:r>
          </w:p>
        </w:tc>
        <w:tc>
          <w:tcPr>
            <w:tcW w:w="615" w:type="pct"/>
          </w:tcPr>
          <w:p w14:paraId="64B6F765" w14:textId="77777777" w:rsidR="00F94F86" w:rsidRPr="005C3BD8" w:rsidRDefault="00F94F86" w:rsidP="000507E1">
            <w:pPr>
              <w:pStyle w:val="TableText"/>
              <w:jc w:val="right"/>
              <w:rPr>
                <w:b/>
                <w:color w:val="000000"/>
              </w:rPr>
            </w:pPr>
            <w:r w:rsidRPr="005C3BD8">
              <w:t>100%</w:t>
            </w:r>
          </w:p>
        </w:tc>
        <w:tc>
          <w:tcPr>
            <w:tcW w:w="354" w:type="pct"/>
          </w:tcPr>
          <w:p w14:paraId="5A3DBA3A" w14:textId="77777777" w:rsidR="00F94F86" w:rsidRPr="000507E1" w:rsidRDefault="00F94F86" w:rsidP="000507E1">
            <w:pPr>
              <w:pStyle w:val="TableText"/>
              <w:jc w:val="right"/>
              <w:rPr>
                <w:rFonts w:eastAsia="Calibri"/>
                <w:b/>
                <w:bCs/>
              </w:rPr>
            </w:pPr>
            <w:r w:rsidRPr="000507E1">
              <w:rPr>
                <w:b/>
                <w:bCs/>
              </w:rPr>
              <w:t>1</w:t>
            </w:r>
          </w:p>
        </w:tc>
      </w:tr>
      <w:tr w:rsidR="00F94F86" w:rsidRPr="00C34FFC" w14:paraId="785A91E1" w14:textId="77777777" w:rsidTr="006F6DD1">
        <w:trPr>
          <w:trHeight w:val="20"/>
        </w:trPr>
        <w:tc>
          <w:tcPr>
            <w:tcW w:w="2198" w:type="pct"/>
          </w:tcPr>
          <w:p w14:paraId="5927F2B8" w14:textId="77777777" w:rsidR="00F94F86" w:rsidRPr="00C34FFC" w:rsidRDefault="00F94F86" w:rsidP="000507E1">
            <w:pPr>
              <w:pStyle w:val="TableText"/>
              <w:rPr>
                <w:rFonts w:eastAsia="Calibri"/>
              </w:rPr>
            </w:pPr>
            <w:r w:rsidRPr="00C34FFC">
              <w:t>Qld: Western Queensland</w:t>
            </w:r>
          </w:p>
        </w:tc>
        <w:tc>
          <w:tcPr>
            <w:tcW w:w="629" w:type="pct"/>
          </w:tcPr>
          <w:p w14:paraId="6C97588E" w14:textId="77777777" w:rsidR="00F94F86" w:rsidRPr="005C3BD8" w:rsidRDefault="00F94F86" w:rsidP="000507E1">
            <w:pPr>
              <w:pStyle w:val="TableText"/>
              <w:jc w:val="right"/>
              <w:rPr>
                <w:color w:val="000000"/>
              </w:rPr>
            </w:pPr>
            <w:r w:rsidRPr="005C3BD8">
              <w:t>0</w:t>
            </w:r>
          </w:p>
        </w:tc>
        <w:tc>
          <w:tcPr>
            <w:tcW w:w="603" w:type="pct"/>
          </w:tcPr>
          <w:p w14:paraId="052D2604" w14:textId="77777777" w:rsidR="00F94F86" w:rsidRPr="005C3BD8" w:rsidRDefault="00F94F86" w:rsidP="000507E1">
            <w:pPr>
              <w:pStyle w:val="TableText"/>
              <w:jc w:val="right"/>
              <w:rPr>
                <w:color w:val="000000"/>
              </w:rPr>
            </w:pPr>
            <w:r w:rsidRPr="005C3BD8">
              <w:t>0%</w:t>
            </w:r>
          </w:p>
        </w:tc>
        <w:tc>
          <w:tcPr>
            <w:tcW w:w="601" w:type="pct"/>
          </w:tcPr>
          <w:p w14:paraId="3018269E" w14:textId="77777777" w:rsidR="00F94F86" w:rsidRPr="005C3BD8" w:rsidRDefault="00F94F86" w:rsidP="000507E1">
            <w:pPr>
              <w:pStyle w:val="TableText"/>
              <w:jc w:val="right"/>
              <w:rPr>
                <w:color w:val="000000"/>
              </w:rPr>
            </w:pPr>
            <w:r w:rsidRPr="005C3BD8">
              <w:t>11</w:t>
            </w:r>
          </w:p>
        </w:tc>
        <w:tc>
          <w:tcPr>
            <w:tcW w:w="615" w:type="pct"/>
          </w:tcPr>
          <w:p w14:paraId="298E59F6" w14:textId="77777777" w:rsidR="00F94F86" w:rsidRPr="005C3BD8" w:rsidRDefault="00F94F86" w:rsidP="000507E1">
            <w:pPr>
              <w:pStyle w:val="TableText"/>
              <w:jc w:val="right"/>
              <w:rPr>
                <w:b/>
                <w:color w:val="000000"/>
              </w:rPr>
            </w:pPr>
            <w:r w:rsidRPr="005C3BD8">
              <w:t>100%</w:t>
            </w:r>
          </w:p>
        </w:tc>
        <w:tc>
          <w:tcPr>
            <w:tcW w:w="354" w:type="pct"/>
          </w:tcPr>
          <w:p w14:paraId="551DEEAF" w14:textId="77777777" w:rsidR="00F94F86" w:rsidRPr="000507E1" w:rsidRDefault="00F94F86" w:rsidP="000507E1">
            <w:pPr>
              <w:pStyle w:val="TableText"/>
              <w:jc w:val="right"/>
              <w:rPr>
                <w:rFonts w:eastAsia="Calibri"/>
                <w:b/>
                <w:bCs/>
              </w:rPr>
            </w:pPr>
            <w:r w:rsidRPr="000507E1">
              <w:rPr>
                <w:b/>
                <w:bCs/>
              </w:rPr>
              <w:t>11</w:t>
            </w:r>
          </w:p>
        </w:tc>
      </w:tr>
      <w:tr w:rsidR="00F94F86" w:rsidRPr="00C34FFC" w14:paraId="4316C052" w14:textId="77777777" w:rsidTr="006F6DD1">
        <w:trPr>
          <w:trHeight w:val="20"/>
        </w:trPr>
        <w:tc>
          <w:tcPr>
            <w:tcW w:w="2198" w:type="pct"/>
          </w:tcPr>
          <w:p w14:paraId="459B4A91" w14:textId="77777777" w:rsidR="00F94F86" w:rsidRPr="00C34FFC" w:rsidRDefault="00F94F86" w:rsidP="000507E1">
            <w:pPr>
              <w:pStyle w:val="TableText"/>
              <w:rPr>
                <w:rFonts w:eastAsia="Calibri"/>
              </w:rPr>
            </w:pPr>
            <w:r w:rsidRPr="00C34FFC">
              <w:t>SA: Adelaide</w:t>
            </w:r>
          </w:p>
        </w:tc>
        <w:tc>
          <w:tcPr>
            <w:tcW w:w="629" w:type="pct"/>
          </w:tcPr>
          <w:p w14:paraId="718870D1" w14:textId="77777777" w:rsidR="00F94F86" w:rsidRPr="005C3BD8" w:rsidRDefault="00F94F86" w:rsidP="000507E1">
            <w:pPr>
              <w:pStyle w:val="TableText"/>
              <w:jc w:val="right"/>
              <w:rPr>
                <w:color w:val="000000"/>
              </w:rPr>
            </w:pPr>
            <w:r w:rsidRPr="005C3BD8">
              <w:t>4</w:t>
            </w:r>
          </w:p>
        </w:tc>
        <w:tc>
          <w:tcPr>
            <w:tcW w:w="603" w:type="pct"/>
          </w:tcPr>
          <w:p w14:paraId="1A5D0175" w14:textId="77777777" w:rsidR="00F94F86" w:rsidRPr="005C3BD8" w:rsidRDefault="00F94F86" w:rsidP="000507E1">
            <w:pPr>
              <w:pStyle w:val="TableText"/>
              <w:jc w:val="right"/>
              <w:rPr>
                <w:color w:val="000000"/>
              </w:rPr>
            </w:pPr>
            <w:r w:rsidRPr="005C3BD8">
              <w:t>100%</w:t>
            </w:r>
          </w:p>
        </w:tc>
        <w:tc>
          <w:tcPr>
            <w:tcW w:w="601" w:type="pct"/>
          </w:tcPr>
          <w:p w14:paraId="7D0D9ED2" w14:textId="77777777" w:rsidR="00F94F86" w:rsidRPr="005C3BD8" w:rsidRDefault="00F94F86" w:rsidP="000507E1">
            <w:pPr>
              <w:pStyle w:val="TableText"/>
              <w:jc w:val="right"/>
              <w:rPr>
                <w:color w:val="000000"/>
              </w:rPr>
            </w:pPr>
            <w:r w:rsidRPr="005C3BD8">
              <w:t>0</w:t>
            </w:r>
          </w:p>
        </w:tc>
        <w:tc>
          <w:tcPr>
            <w:tcW w:w="615" w:type="pct"/>
          </w:tcPr>
          <w:p w14:paraId="0E92DCC5" w14:textId="77777777" w:rsidR="00F94F86" w:rsidRPr="005C3BD8" w:rsidRDefault="00F94F86" w:rsidP="000507E1">
            <w:pPr>
              <w:pStyle w:val="TableText"/>
              <w:jc w:val="right"/>
              <w:rPr>
                <w:b/>
                <w:color w:val="000000"/>
              </w:rPr>
            </w:pPr>
            <w:r w:rsidRPr="005C3BD8">
              <w:t>0%</w:t>
            </w:r>
          </w:p>
        </w:tc>
        <w:tc>
          <w:tcPr>
            <w:tcW w:w="354" w:type="pct"/>
          </w:tcPr>
          <w:p w14:paraId="332C3C6C" w14:textId="77777777" w:rsidR="00F94F86" w:rsidRPr="000507E1" w:rsidRDefault="00F94F86" w:rsidP="000507E1">
            <w:pPr>
              <w:pStyle w:val="TableText"/>
              <w:jc w:val="right"/>
              <w:rPr>
                <w:rFonts w:eastAsia="Calibri"/>
                <w:b/>
                <w:bCs/>
              </w:rPr>
            </w:pPr>
            <w:r w:rsidRPr="000507E1">
              <w:rPr>
                <w:b/>
                <w:bCs/>
              </w:rPr>
              <w:t>4</w:t>
            </w:r>
          </w:p>
        </w:tc>
      </w:tr>
      <w:tr w:rsidR="00F94F86" w:rsidRPr="00C34FFC" w14:paraId="431A6944" w14:textId="77777777" w:rsidTr="006F6DD1">
        <w:trPr>
          <w:trHeight w:val="20"/>
        </w:trPr>
        <w:tc>
          <w:tcPr>
            <w:tcW w:w="2198" w:type="pct"/>
          </w:tcPr>
          <w:p w14:paraId="5ADCCF65" w14:textId="77777777" w:rsidR="00F94F86" w:rsidRPr="00C34FFC" w:rsidRDefault="00F94F86" w:rsidP="000507E1">
            <w:pPr>
              <w:pStyle w:val="TableText"/>
              <w:rPr>
                <w:rFonts w:eastAsia="Calibri"/>
              </w:rPr>
            </w:pPr>
            <w:r w:rsidRPr="00C34FFC">
              <w:t>SA: Country SA</w:t>
            </w:r>
          </w:p>
        </w:tc>
        <w:tc>
          <w:tcPr>
            <w:tcW w:w="629" w:type="pct"/>
          </w:tcPr>
          <w:p w14:paraId="640D4C14" w14:textId="77777777" w:rsidR="00F94F86" w:rsidRPr="005C3BD8" w:rsidRDefault="00F94F86" w:rsidP="000507E1">
            <w:pPr>
              <w:pStyle w:val="TableText"/>
              <w:jc w:val="right"/>
              <w:rPr>
                <w:color w:val="000000"/>
              </w:rPr>
            </w:pPr>
            <w:r w:rsidRPr="005C3BD8">
              <w:t>11</w:t>
            </w:r>
          </w:p>
        </w:tc>
        <w:tc>
          <w:tcPr>
            <w:tcW w:w="603" w:type="pct"/>
          </w:tcPr>
          <w:p w14:paraId="6D2C74CD" w14:textId="77777777" w:rsidR="00F94F86" w:rsidRPr="005C3BD8" w:rsidRDefault="00F94F86" w:rsidP="000507E1">
            <w:pPr>
              <w:pStyle w:val="TableText"/>
              <w:jc w:val="right"/>
              <w:rPr>
                <w:color w:val="000000"/>
              </w:rPr>
            </w:pPr>
            <w:r w:rsidRPr="005C3BD8">
              <w:t>46%</w:t>
            </w:r>
          </w:p>
        </w:tc>
        <w:tc>
          <w:tcPr>
            <w:tcW w:w="601" w:type="pct"/>
          </w:tcPr>
          <w:p w14:paraId="5D89DEFF" w14:textId="77777777" w:rsidR="00F94F86" w:rsidRPr="005C3BD8" w:rsidRDefault="00F94F86" w:rsidP="000507E1">
            <w:pPr>
              <w:pStyle w:val="TableText"/>
              <w:jc w:val="right"/>
              <w:rPr>
                <w:color w:val="000000"/>
              </w:rPr>
            </w:pPr>
            <w:r w:rsidRPr="005C3BD8">
              <w:t>13</w:t>
            </w:r>
          </w:p>
        </w:tc>
        <w:tc>
          <w:tcPr>
            <w:tcW w:w="615" w:type="pct"/>
          </w:tcPr>
          <w:p w14:paraId="0D3CC684" w14:textId="77777777" w:rsidR="00F94F86" w:rsidRPr="005C3BD8" w:rsidRDefault="00F94F86" w:rsidP="000507E1">
            <w:pPr>
              <w:pStyle w:val="TableText"/>
              <w:jc w:val="right"/>
              <w:rPr>
                <w:b/>
                <w:color w:val="000000"/>
              </w:rPr>
            </w:pPr>
            <w:r w:rsidRPr="005C3BD8">
              <w:t>54%</w:t>
            </w:r>
          </w:p>
        </w:tc>
        <w:tc>
          <w:tcPr>
            <w:tcW w:w="354" w:type="pct"/>
          </w:tcPr>
          <w:p w14:paraId="6F985C50" w14:textId="77777777" w:rsidR="00F94F86" w:rsidRPr="000507E1" w:rsidRDefault="00F94F86" w:rsidP="000507E1">
            <w:pPr>
              <w:pStyle w:val="TableText"/>
              <w:jc w:val="right"/>
              <w:rPr>
                <w:rFonts w:eastAsia="Calibri"/>
                <w:b/>
                <w:bCs/>
              </w:rPr>
            </w:pPr>
            <w:r w:rsidRPr="000507E1">
              <w:rPr>
                <w:b/>
                <w:bCs/>
              </w:rPr>
              <w:t>24</w:t>
            </w:r>
          </w:p>
        </w:tc>
      </w:tr>
      <w:tr w:rsidR="00F94F86" w:rsidRPr="00C34FFC" w14:paraId="02AB8C24" w14:textId="77777777" w:rsidTr="006F6DD1">
        <w:trPr>
          <w:trHeight w:val="20"/>
        </w:trPr>
        <w:tc>
          <w:tcPr>
            <w:tcW w:w="2198" w:type="pct"/>
          </w:tcPr>
          <w:p w14:paraId="67452773" w14:textId="77777777" w:rsidR="00F94F86" w:rsidRPr="00C34FFC" w:rsidRDefault="00F94F86" w:rsidP="000507E1">
            <w:pPr>
              <w:pStyle w:val="TableText"/>
              <w:rPr>
                <w:rFonts w:eastAsia="Calibri"/>
              </w:rPr>
            </w:pPr>
            <w:r w:rsidRPr="00C34FFC">
              <w:t>Tas: Tasmania</w:t>
            </w:r>
          </w:p>
        </w:tc>
        <w:tc>
          <w:tcPr>
            <w:tcW w:w="629" w:type="pct"/>
          </w:tcPr>
          <w:p w14:paraId="63074722" w14:textId="77777777" w:rsidR="00F94F86" w:rsidRPr="005C3BD8" w:rsidRDefault="00F94F86" w:rsidP="000507E1">
            <w:pPr>
              <w:pStyle w:val="TableText"/>
              <w:jc w:val="right"/>
              <w:rPr>
                <w:color w:val="000000"/>
              </w:rPr>
            </w:pPr>
            <w:r w:rsidRPr="005C3BD8">
              <w:t>2</w:t>
            </w:r>
          </w:p>
        </w:tc>
        <w:tc>
          <w:tcPr>
            <w:tcW w:w="603" w:type="pct"/>
          </w:tcPr>
          <w:p w14:paraId="2940D3D2" w14:textId="77777777" w:rsidR="00F94F86" w:rsidRPr="005C3BD8" w:rsidRDefault="00F94F86" w:rsidP="000507E1">
            <w:pPr>
              <w:pStyle w:val="TableText"/>
              <w:jc w:val="right"/>
              <w:rPr>
                <w:color w:val="000000"/>
              </w:rPr>
            </w:pPr>
            <w:r w:rsidRPr="005C3BD8">
              <w:t>17%</w:t>
            </w:r>
          </w:p>
        </w:tc>
        <w:tc>
          <w:tcPr>
            <w:tcW w:w="601" w:type="pct"/>
          </w:tcPr>
          <w:p w14:paraId="370AEB6B" w14:textId="77777777" w:rsidR="00F94F86" w:rsidRPr="005C3BD8" w:rsidRDefault="00F94F86" w:rsidP="000507E1">
            <w:pPr>
              <w:pStyle w:val="TableText"/>
              <w:jc w:val="right"/>
              <w:rPr>
                <w:color w:val="000000"/>
              </w:rPr>
            </w:pPr>
            <w:r w:rsidRPr="005C3BD8">
              <w:t>10</w:t>
            </w:r>
          </w:p>
        </w:tc>
        <w:tc>
          <w:tcPr>
            <w:tcW w:w="615" w:type="pct"/>
          </w:tcPr>
          <w:p w14:paraId="38F63054" w14:textId="77777777" w:rsidR="00F94F86" w:rsidRPr="005C3BD8" w:rsidRDefault="00F94F86" w:rsidP="000507E1">
            <w:pPr>
              <w:pStyle w:val="TableText"/>
              <w:jc w:val="right"/>
              <w:rPr>
                <w:rFonts w:eastAsia="Calibri"/>
                <w:b/>
              </w:rPr>
            </w:pPr>
            <w:r w:rsidRPr="005C3BD8">
              <w:t>83%</w:t>
            </w:r>
          </w:p>
        </w:tc>
        <w:tc>
          <w:tcPr>
            <w:tcW w:w="354" w:type="pct"/>
          </w:tcPr>
          <w:p w14:paraId="57A8D2CB" w14:textId="77777777" w:rsidR="00F94F86" w:rsidRPr="000507E1" w:rsidRDefault="00F94F86" w:rsidP="000507E1">
            <w:pPr>
              <w:pStyle w:val="TableText"/>
              <w:jc w:val="right"/>
              <w:rPr>
                <w:rFonts w:eastAsia="Calibri"/>
                <w:b/>
                <w:bCs/>
              </w:rPr>
            </w:pPr>
            <w:r w:rsidRPr="000507E1">
              <w:rPr>
                <w:b/>
                <w:bCs/>
              </w:rPr>
              <w:t>12</w:t>
            </w:r>
          </w:p>
        </w:tc>
      </w:tr>
      <w:tr w:rsidR="00F94F86" w:rsidRPr="00C34FFC" w14:paraId="78559966" w14:textId="77777777" w:rsidTr="006F6DD1">
        <w:trPr>
          <w:trHeight w:val="20"/>
        </w:trPr>
        <w:tc>
          <w:tcPr>
            <w:tcW w:w="2198" w:type="pct"/>
          </w:tcPr>
          <w:p w14:paraId="0A2C051E" w14:textId="77777777" w:rsidR="00F94F86" w:rsidRPr="00C34FFC" w:rsidRDefault="00F94F86" w:rsidP="000507E1">
            <w:pPr>
              <w:pStyle w:val="TableText"/>
              <w:rPr>
                <w:rFonts w:eastAsia="Calibri"/>
              </w:rPr>
            </w:pPr>
            <w:r w:rsidRPr="00C34FFC">
              <w:t>Vic: Eastern Melbourne</w:t>
            </w:r>
          </w:p>
        </w:tc>
        <w:tc>
          <w:tcPr>
            <w:tcW w:w="629" w:type="pct"/>
          </w:tcPr>
          <w:p w14:paraId="55CD00AE" w14:textId="77777777" w:rsidR="00F94F86" w:rsidRPr="005C3BD8" w:rsidRDefault="00F94F86" w:rsidP="000507E1">
            <w:pPr>
              <w:pStyle w:val="TableText"/>
              <w:jc w:val="right"/>
              <w:rPr>
                <w:color w:val="000000"/>
              </w:rPr>
            </w:pPr>
            <w:r w:rsidRPr="005C3BD8">
              <w:t>11</w:t>
            </w:r>
          </w:p>
        </w:tc>
        <w:tc>
          <w:tcPr>
            <w:tcW w:w="603" w:type="pct"/>
          </w:tcPr>
          <w:p w14:paraId="349FE732" w14:textId="77777777" w:rsidR="00F94F86" w:rsidRPr="005C3BD8" w:rsidRDefault="00F94F86" w:rsidP="000507E1">
            <w:pPr>
              <w:pStyle w:val="TableText"/>
              <w:jc w:val="right"/>
              <w:rPr>
                <w:color w:val="000000"/>
              </w:rPr>
            </w:pPr>
            <w:r w:rsidRPr="005C3BD8">
              <w:t>100%</w:t>
            </w:r>
          </w:p>
        </w:tc>
        <w:tc>
          <w:tcPr>
            <w:tcW w:w="601" w:type="pct"/>
          </w:tcPr>
          <w:p w14:paraId="75754B78" w14:textId="77777777" w:rsidR="00F94F86" w:rsidRPr="005C3BD8" w:rsidRDefault="00F94F86" w:rsidP="000507E1">
            <w:pPr>
              <w:pStyle w:val="TableText"/>
              <w:jc w:val="right"/>
              <w:rPr>
                <w:color w:val="000000"/>
              </w:rPr>
            </w:pPr>
            <w:r w:rsidRPr="005C3BD8">
              <w:t>0</w:t>
            </w:r>
          </w:p>
        </w:tc>
        <w:tc>
          <w:tcPr>
            <w:tcW w:w="615" w:type="pct"/>
          </w:tcPr>
          <w:p w14:paraId="2FDD206C" w14:textId="77777777" w:rsidR="00F94F86" w:rsidRPr="005C3BD8" w:rsidRDefault="00F94F86" w:rsidP="000507E1">
            <w:pPr>
              <w:pStyle w:val="TableText"/>
              <w:jc w:val="right"/>
              <w:rPr>
                <w:b/>
                <w:color w:val="000000"/>
              </w:rPr>
            </w:pPr>
            <w:r w:rsidRPr="005C3BD8">
              <w:t>0%</w:t>
            </w:r>
          </w:p>
        </w:tc>
        <w:tc>
          <w:tcPr>
            <w:tcW w:w="354" w:type="pct"/>
          </w:tcPr>
          <w:p w14:paraId="5131A361" w14:textId="77777777" w:rsidR="00F94F86" w:rsidRPr="000507E1" w:rsidRDefault="00F94F86" w:rsidP="000507E1">
            <w:pPr>
              <w:pStyle w:val="TableText"/>
              <w:jc w:val="right"/>
              <w:rPr>
                <w:rFonts w:eastAsia="Calibri"/>
                <w:b/>
                <w:bCs/>
              </w:rPr>
            </w:pPr>
            <w:r w:rsidRPr="000507E1">
              <w:rPr>
                <w:b/>
                <w:bCs/>
              </w:rPr>
              <w:t>11</w:t>
            </w:r>
          </w:p>
        </w:tc>
      </w:tr>
      <w:tr w:rsidR="00F94F86" w:rsidRPr="00C34FFC" w14:paraId="065B2BA6" w14:textId="77777777" w:rsidTr="006F6DD1">
        <w:trPr>
          <w:trHeight w:val="20"/>
        </w:trPr>
        <w:tc>
          <w:tcPr>
            <w:tcW w:w="2198" w:type="pct"/>
          </w:tcPr>
          <w:p w14:paraId="06EAE41B" w14:textId="77777777" w:rsidR="00F94F86" w:rsidRPr="00C34FFC" w:rsidRDefault="00F94F86" w:rsidP="000507E1">
            <w:pPr>
              <w:pStyle w:val="TableText"/>
              <w:rPr>
                <w:rFonts w:eastAsia="Calibri"/>
              </w:rPr>
            </w:pPr>
            <w:r w:rsidRPr="00C34FFC">
              <w:t>Vic: Gippsland</w:t>
            </w:r>
          </w:p>
        </w:tc>
        <w:tc>
          <w:tcPr>
            <w:tcW w:w="629" w:type="pct"/>
          </w:tcPr>
          <w:p w14:paraId="7C3D91A2" w14:textId="77777777" w:rsidR="00F94F86" w:rsidRPr="005C3BD8" w:rsidRDefault="00F94F86" w:rsidP="000507E1">
            <w:pPr>
              <w:pStyle w:val="TableText"/>
              <w:jc w:val="right"/>
              <w:rPr>
                <w:color w:val="000000"/>
              </w:rPr>
            </w:pPr>
            <w:r w:rsidRPr="005C3BD8">
              <w:t>4</w:t>
            </w:r>
          </w:p>
        </w:tc>
        <w:tc>
          <w:tcPr>
            <w:tcW w:w="603" w:type="pct"/>
          </w:tcPr>
          <w:p w14:paraId="6108EC09" w14:textId="77777777" w:rsidR="00F94F86" w:rsidRPr="005C3BD8" w:rsidRDefault="00F94F86" w:rsidP="000507E1">
            <w:pPr>
              <w:pStyle w:val="TableText"/>
              <w:jc w:val="right"/>
              <w:rPr>
                <w:color w:val="000000"/>
              </w:rPr>
            </w:pPr>
            <w:r w:rsidRPr="005C3BD8">
              <w:t>22%</w:t>
            </w:r>
          </w:p>
        </w:tc>
        <w:tc>
          <w:tcPr>
            <w:tcW w:w="601" w:type="pct"/>
          </w:tcPr>
          <w:p w14:paraId="2E53FC99" w14:textId="77777777" w:rsidR="00F94F86" w:rsidRPr="005C3BD8" w:rsidRDefault="00F94F86" w:rsidP="000507E1">
            <w:pPr>
              <w:pStyle w:val="TableText"/>
              <w:jc w:val="right"/>
              <w:rPr>
                <w:color w:val="000000"/>
              </w:rPr>
            </w:pPr>
            <w:r w:rsidRPr="005C3BD8">
              <w:t>14</w:t>
            </w:r>
          </w:p>
        </w:tc>
        <w:tc>
          <w:tcPr>
            <w:tcW w:w="615" w:type="pct"/>
          </w:tcPr>
          <w:p w14:paraId="670E3F90" w14:textId="77777777" w:rsidR="00F94F86" w:rsidRPr="005C3BD8" w:rsidRDefault="00F94F86" w:rsidP="000507E1">
            <w:pPr>
              <w:pStyle w:val="TableText"/>
              <w:jc w:val="right"/>
              <w:rPr>
                <w:b/>
                <w:color w:val="000000"/>
              </w:rPr>
            </w:pPr>
            <w:r w:rsidRPr="005C3BD8">
              <w:t>78%</w:t>
            </w:r>
          </w:p>
        </w:tc>
        <w:tc>
          <w:tcPr>
            <w:tcW w:w="354" w:type="pct"/>
          </w:tcPr>
          <w:p w14:paraId="28A96A2E" w14:textId="77777777" w:rsidR="00F94F86" w:rsidRPr="000507E1" w:rsidRDefault="00F94F86" w:rsidP="000507E1">
            <w:pPr>
              <w:pStyle w:val="TableText"/>
              <w:jc w:val="right"/>
              <w:rPr>
                <w:rFonts w:eastAsia="Calibri"/>
                <w:b/>
                <w:bCs/>
              </w:rPr>
            </w:pPr>
            <w:r w:rsidRPr="000507E1">
              <w:rPr>
                <w:b/>
                <w:bCs/>
              </w:rPr>
              <w:t>18</w:t>
            </w:r>
          </w:p>
        </w:tc>
      </w:tr>
      <w:tr w:rsidR="00F94F86" w:rsidRPr="00C34FFC" w14:paraId="07554086" w14:textId="77777777" w:rsidTr="006F6DD1">
        <w:trPr>
          <w:trHeight w:val="20"/>
        </w:trPr>
        <w:tc>
          <w:tcPr>
            <w:tcW w:w="2198" w:type="pct"/>
          </w:tcPr>
          <w:p w14:paraId="72A636F9" w14:textId="77777777" w:rsidR="00F94F86" w:rsidRPr="00C34FFC" w:rsidRDefault="00F94F86" w:rsidP="000507E1">
            <w:pPr>
              <w:pStyle w:val="TableText"/>
              <w:rPr>
                <w:rFonts w:eastAsia="Calibri"/>
              </w:rPr>
            </w:pPr>
            <w:r w:rsidRPr="00C34FFC">
              <w:t>Vic: Murray</w:t>
            </w:r>
          </w:p>
        </w:tc>
        <w:tc>
          <w:tcPr>
            <w:tcW w:w="629" w:type="pct"/>
          </w:tcPr>
          <w:p w14:paraId="6D97ED15" w14:textId="77777777" w:rsidR="00F94F86" w:rsidRPr="005C3BD8" w:rsidRDefault="00F94F86" w:rsidP="000507E1">
            <w:pPr>
              <w:pStyle w:val="TableText"/>
              <w:jc w:val="right"/>
              <w:rPr>
                <w:color w:val="000000"/>
              </w:rPr>
            </w:pPr>
            <w:r w:rsidRPr="005C3BD8">
              <w:t>2</w:t>
            </w:r>
          </w:p>
        </w:tc>
        <w:tc>
          <w:tcPr>
            <w:tcW w:w="603" w:type="pct"/>
          </w:tcPr>
          <w:p w14:paraId="786F3DC7" w14:textId="77777777" w:rsidR="00F94F86" w:rsidRPr="005C3BD8" w:rsidRDefault="00F94F86" w:rsidP="000507E1">
            <w:pPr>
              <w:pStyle w:val="TableText"/>
              <w:jc w:val="right"/>
              <w:rPr>
                <w:color w:val="000000"/>
              </w:rPr>
            </w:pPr>
            <w:r w:rsidRPr="005C3BD8">
              <w:t>9%</w:t>
            </w:r>
          </w:p>
        </w:tc>
        <w:tc>
          <w:tcPr>
            <w:tcW w:w="601" w:type="pct"/>
          </w:tcPr>
          <w:p w14:paraId="5EA204EF" w14:textId="77777777" w:rsidR="00F94F86" w:rsidRPr="005C3BD8" w:rsidRDefault="00F94F86" w:rsidP="000507E1">
            <w:pPr>
              <w:pStyle w:val="TableText"/>
              <w:jc w:val="right"/>
              <w:rPr>
                <w:color w:val="000000"/>
              </w:rPr>
            </w:pPr>
            <w:r w:rsidRPr="005C3BD8">
              <w:t>20</w:t>
            </w:r>
          </w:p>
        </w:tc>
        <w:tc>
          <w:tcPr>
            <w:tcW w:w="615" w:type="pct"/>
          </w:tcPr>
          <w:p w14:paraId="08A43898" w14:textId="77777777" w:rsidR="00F94F86" w:rsidRPr="005C3BD8" w:rsidRDefault="00F94F86" w:rsidP="000507E1">
            <w:pPr>
              <w:pStyle w:val="TableText"/>
              <w:jc w:val="right"/>
              <w:rPr>
                <w:b/>
                <w:color w:val="000000"/>
              </w:rPr>
            </w:pPr>
            <w:r w:rsidRPr="005C3BD8">
              <w:t>91%</w:t>
            </w:r>
          </w:p>
        </w:tc>
        <w:tc>
          <w:tcPr>
            <w:tcW w:w="354" w:type="pct"/>
          </w:tcPr>
          <w:p w14:paraId="1F1BC4AF" w14:textId="77777777" w:rsidR="00F94F86" w:rsidRPr="000507E1" w:rsidRDefault="00F94F86" w:rsidP="000507E1">
            <w:pPr>
              <w:pStyle w:val="TableText"/>
              <w:jc w:val="right"/>
              <w:rPr>
                <w:rFonts w:eastAsia="Calibri"/>
                <w:b/>
                <w:bCs/>
              </w:rPr>
            </w:pPr>
            <w:r w:rsidRPr="000507E1">
              <w:rPr>
                <w:b/>
                <w:bCs/>
              </w:rPr>
              <w:t>22</w:t>
            </w:r>
          </w:p>
        </w:tc>
      </w:tr>
      <w:tr w:rsidR="00F94F86" w:rsidRPr="00C34FFC" w14:paraId="00F7718C" w14:textId="77777777" w:rsidTr="006F6DD1">
        <w:trPr>
          <w:trHeight w:val="20"/>
        </w:trPr>
        <w:tc>
          <w:tcPr>
            <w:tcW w:w="2198" w:type="pct"/>
          </w:tcPr>
          <w:p w14:paraId="6C990B13" w14:textId="77777777" w:rsidR="00F94F86" w:rsidRPr="00C34FFC" w:rsidRDefault="00F94F86" w:rsidP="000507E1">
            <w:pPr>
              <w:pStyle w:val="TableText"/>
              <w:rPr>
                <w:rFonts w:eastAsia="Calibri"/>
              </w:rPr>
            </w:pPr>
            <w:r w:rsidRPr="00C34FFC">
              <w:t>Vic: North Western Melbourne</w:t>
            </w:r>
          </w:p>
        </w:tc>
        <w:tc>
          <w:tcPr>
            <w:tcW w:w="629" w:type="pct"/>
          </w:tcPr>
          <w:p w14:paraId="464AD329" w14:textId="77777777" w:rsidR="00F94F86" w:rsidRPr="005C3BD8" w:rsidRDefault="00F94F86" w:rsidP="000507E1">
            <w:pPr>
              <w:pStyle w:val="TableText"/>
              <w:jc w:val="right"/>
              <w:rPr>
                <w:color w:val="000000"/>
              </w:rPr>
            </w:pPr>
            <w:r w:rsidRPr="005C3BD8">
              <w:t>16</w:t>
            </w:r>
          </w:p>
        </w:tc>
        <w:tc>
          <w:tcPr>
            <w:tcW w:w="603" w:type="pct"/>
          </w:tcPr>
          <w:p w14:paraId="3F939E17" w14:textId="77777777" w:rsidR="00F94F86" w:rsidRPr="005C3BD8" w:rsidRDefault="00F94F86" w:rsidP="000507E1">
            <w:pPr>
              <w:pStyle w:val="TableText"/>
              <w:jc w:val="right"/>
              <w:rPr>
                <w:color w:val="000000"/>
              </w:rPr>
            </w:pPr>
            <w:r w:rsidRPr="005C3BD8">
              <w:t>89%</w:t>
            </w:r>
          </w:p>
        </w:tc>
        <w:tc>
          <w:tcPr>
            <w:tcW w:w="601" w:type="pct"/>
          </w:tcPr>
          <w:p w14:paraId="1D24BC2A" w14:textId="77777777" w:rsidR="00F94F86" w:rsidRPr="005C3BD8" w:rsidRDefault="00F94F86" w:rsidP="000507E1">
            <w:pPr>
              <w:pStyle w:val="TableText"/>
              <w:jc w:val="right"/>
              <w:rPr>
                <w:color w:val="000000"/>
              </w:rPr>
            </w:pPr>
            <w:r w:rsidRPr="005C3BD8">
              <w:t>2</w:t>
            </w:r>
          </w:p>
        </w:tc>
        <w:tc>
          <w:tcPr>
            <w:tcW w:w="615" w:type="pct"/>
          </w:tcPr>
          <w:p w14:paraId="255348A3" w14:textId="77777777" w:rsidR="00F94F86" w:rsidRPr="005C3BD8" w:rsidRDefault="00F94F86" w:rsidP="000507E1">
            <w:pPr>
              <w:pStyle w:val="TableText"/>
              <w:jc w:val="right"/>
              <w:rPr>
                <w:b/>
                <w:color w:val="000000"/>
              </w:rPr>
            </w:pPr>
            <w:r w:rsidRPr="005C3BD8">
              <w:t>11%</w:t>
            </w:r>
          </w:p>
        </w:tc>
        <w:tc>
          <w:tcPr>
            <w:tcW w:w="354" w:type="pct"/>
          </w:tcPr>
          <w:p w14:paraId="07166398" w14:textId="77777777" w:rsidR="00F94F86" w:rsidRPr="000507E1" w:rsidRDefault="00F94F86" w:rsidP="000507E1">
            <w:pPr>
              <w:pStyle w:val="TableText"/>
              <w:jc w:val="right"/>
              <w:rPr>
                <w:rFonts w:eastAsia="Calibri"/>
                <w:b/>
                <w:bCs/>
              </w:rPr>
            </w:pPr>
            <w:r w:rsidRPr="000507E1">
              <w:rPr>
                <w:b/>
                <w:bCs/>
              </w:rPr>
              <w:t>18</w:t>
            </w:r>
          </w:p>
        </w:tc>
      </w:tr>
      <w:tr w:rsidR="00F94F86" w:rsidRPr="00C34FFC" w14:paraId="4A4A6067" w14:textId="77777777" w:rsidTr="006F6DD1">
        <w:trPr>
          <w:trHeight w:val="20"/>
        </w:trPr>
        <w:tc>
          <w:tcPr>
            <w:tcW w:w="2198" w:type="pct"/>
          </w:tcPr>
          <w:p w14:paraId="2FCBCB99" w14:textId="77777777" w:rsidR="00F94F86" w:rsidRPr="00C34FFC" w:rsidRDefault="00F94F86" w:rsidP="000507E1">
            <w:pPr>
              <w:pStyle w:val="TableText"/>
              <w:rPr>
                <w:rFonts w:eastAsia="Calibri"/>
              </w:rPr>
            </w:pPr>
            <w:r w:rsidRPr="00C34FFC">
              <w:t>Vic: South Eastern Melbourne</w:t>
            </w:r>
          </w:p>
        </w:tc>
        <w:tc>
          <w:tcPr>
            <w:tcW w:w="629" w:type="pct"/>
          </w:tcPr>
          <w:p w14:paraId="384E67DA" w14:textId="77777777" w:rsidR="00F94F86" w:rsidRPr="005C3BD8" w:rsidRDefault="00F94F86" w:rsidP="000507E1">
            <w:pPr>
              <w:pStyle w:val="TableText"/>
              <w:jc w:val="right"/>
              <w:rPr>
                <w:color w:val="000000"/>
              </w:rPr>
            </w:pPr>
            <w:r w:rsidRPr="005C3BD8">
              <w:t>2</w:t>
            </w:r>
          </w:p>
        </w:tc>
        <w:tc>
          <w:tcPr>
            <w:tcW w:w="603" w:type="pct"/>
          </w:tcPr>
          <w:p w14:paraId="32F2EF2C" w14:textId="77777777" w:rsidR="00F94F86" w:rsidRPr="005C3BD8" w:rsidRDefault="00F94F86" w:rsidP="000507E1">
            <w:pPr>
              <w:pStyle w:val="TableText"/>
              <w:jc w:val="right"/>
              <w:rPr>
                <w:color w:val="000000"/>
              </w:rPr>
            </w:pPr>
            <w:r w:rsidRPr="005C3BD8">
              <w:t>50%</w:t>
            </w:r>
          </w:p>
        </w:tc>
        <w:tc>
          <w:tcPr>
            <w:tcW w:w="601" w:type="pct"/>
          </w:tcPr>
          <w:p w14:paraId="2CCE4C78" w14:textId="77777777" w:rsidR="00F94F86" w:rsidRPr="005C3BD8" w:rsidRDefault="00F94F86" w:rsidP="000507E1">
            <w:pPr>
              <w:pStyle w:val="TableText"/>
              <w:jc w:val="right"/>
              <w:rPr>
                <w:color w:val="000000"/>
              </w:rPr>
            </w:pPr>
            <w:r w:rsidRPr="005C3BD8">
              <w:t>2</w:t>
            </w:r>
          </w:p>
        </w:tc>
        <w:tc>
          <w:tcPr>
            <w:tcW w:w="615" w:type="pct"/>
          </w:tcPr>
          <w:p w14:paraId="01585723" w14:textId="77777777" w:rsidR="00F94F86" w:rsidRPr="005C3BD8" w:rsidRDefault="00F94F86" w:rsidP="000507E1">
            <w:pPr>
              <w:pStyle w:val="TableText"/>
              <w:jc w:val="right"/>
              <w:rPr>
                <w:b/>
                <w:color w:val="000000"/>
              </w:rPr>
            </w:pPr>
            <w:r w:rsidRPr="005C3BD8">
              <w:t>50%</w:t>
            </w:r>
          </w:p>
        </w:tc>
        <w:tc>
          <w:tcPr>
            <w:tcW w:w="354" w:type="pct"/>
          </w:tcPr>
          <w:p w14:paraId="35138E64" w14:textId="77777777" w:rsidR="00F94F86" w:rsidRPr="000507E1" w:rsidRDefault="00F94F86" w:rsidP="000507E1">
            <w:pPr>
              <w:pStyle w:val="TableText"/>
              <w:jc w:val="right"/>
              <w:rPr>
                <w:rFonts w:eastAsia="Calibri"/>
                <w:b/>
                <w:bCs/>
              </w:rPr>
            </w:pPr>
            <w:r w:rsidRPr="000507E1">
              <w:rPr>
                <w:b/>
                <w:bCs/>
              </w:rPr>
              <w:t>4</w:t>
            </w:r>
          </w:p>
        </w:tc>
      </w:tr>
      <w:tr w:rsidR="00F94F86" w:rsidRPr="00C34FFC" w14:paraId="4A739E2B" w14:textId="77777777" w:rsidTr="006F6DD1">
        <w:trPr>
          <w:trHeight w:val="20"/>
        </w:trPr>
        <w:tc>
          <w:tcPr>
            <w:tcW w:w="2198" w:type="pct"/>
          </w:tcPr>
          <w:p w14:paraId="22613F1A" w14:textId="77777777" w:rsidR="00F94F86" w:rsidRPr="00C34FFC" w:rsidRDefault="00F94F86" w:rsidP="000507E1">
            <w:pPr>
              <w:pStyle w:val="TableText"/>
              <w:rPr>
                <w:rFonts w:eastAsia="Calibri"/>
              </w:rPr>
            </w:pPr>
            <w:r w:rsidRPr="00C34FFC">
              <w:t>Vic: Western Victoria</w:t>
            </w:r>
          </w:p>
        </w:tc>
        <w:tc>
          <w:tcPr>
            <w:tcW w:w="629" w:type="pct"/>
          </w:tcPr>
          <w:p w14:paraId="07BE84FE" w14:textId="77777777" w:rsidR="00F94F86" w:rsidRPr="005C3BD8" w:rsidRDefault="00F94F86" w:rsidP="000507E1">
            <w:pPr>
              <w:pStyle w:val="TableText"/>
              <w:jc w:val="right"/>
              <w:rPr>
                <w:color w:val="000000"/>
              </w:rPr>
            </w:pPr>
            <w:r w:rsidRPr="005C3BD8">
              <w:t>0</w:t>
            </w:r>
          </w:p>
        </w:tc>
        <w:tc>
          <w:tcPr>
            <w:tcW w:w="603" w:type="pct"/>
          </w:tcPr>
          <w:p w14:paraId="3300AEC2" w14:textId="77777777" w:rsidR="00F94F86" w:rsidRPr="005C3BD8" w:rsidRDefault="00F94F86" w:rsidP="000507E1">
            <w:pPr>
              <w:pStyle w:val="TableText"/>
              <w:jc w:val="right"/>
              <w:rPr>
                <w:color w:val="000000"/>
              </w:rPr>
            </w:pPr>
            <w:r w:rsidRPr="005C3BD8">
              <w:t>0%</w:t>
            </w:r>
          </w:p>
        </w:tc>
        <w:tc>
          <w:tcPr>
            <w:tcW w:w="601" w:type="pct"/>
          </w:tcPr>
          <w:p w14:paraId="3C3D21F1" w14:textId="77777777" w:rsidR="00F94F86" w:rsidRPr="005C3BD8" w:rsidRDefault="00F94F86" w:rsidP="000507E1">
            <w:pPr>
              <w:pStyle w:val="TableText"/>
              <w:jc w:val="right"/>
              <w:rPr>
                <w:color w:val="000000"/>
              </w:rPr>
            </w:pPr>
            <w:r w:rsidRPr="005C3BD8">
              <w:t>18</w:t>
            </w:r>
          </w:p>
        </w:tc>
        <w:tc>
          <w:tcPr>
            <w:tcW w:w="615" w:type="pct"/>
          </w:tcPr>
          <w:p w14:paraId="104BEFBF" w14:textId="77777777" w:rsidR="00F94F86" w:rsidRPr="005C3BD8" w:rsidRDefault="00F94F86" w:rsidP="000507E1">
            <w:pPr>
              <w:pStyle w:val="TableText"/>
              <w:jc w:val="right"/>
              <w:rPr>
                <w:b/>
                <w:color w:val="000000"/>
              </w:rPr>
            </w:pPr>
            <w:r w:rsidRPr="005C3BD8">
              <w:t>100%</w:t>
            </w:r>
          </w:p>
        </w:tc>
        <w:tc>
          <w:tcPr>
            <w:tcW w:w="354" w:type="pct"/>
          </w:tcPr>
          <w:p w14:paraId="4C393A05" w14:textId="77777777" w:rsidR="00F94F86" w:rsidRPr="000507E1" w:rsidRDefault="00F94F86" w:rsidP="000507E1">
            <w:pPr>
              <w:pStyle w:val="TableText"/>
              <w:jc w:val="right"/>
              <w:rPr>
                <w:rFonts w:eastAsia="Calibri"/>
                <w:b/>
                <w:bCs/>
              </w:rPr>
            </w:pPr>
            <w:r w:rsidRPr="000507E1">
              <w:rPr>
                <w:b/>
                <w:bCs/>
              </w:rPr>
              <w:t>18</w:t>
            </w:r>
          </w:p>
        </w:tc>
      </w:tr>
      <w:tr w:rsidR="00F94F86" w:rsidRPr="00C34FFC" w14:paraId="3B9A722E" w14:textId="77777777" w:rsidTr="006F6DD1">
        <w:trPr>
          <w:trHeight w:val="20"/>
        </w:trPr>
        <w:tc>
          <w:tcPr>
            <w:tcW w:w="2198" w:type="pct"/>
          </w:tcPr>
          <w:p w14:paraId="5087B4FB" w14:textId="77777777" w:rsidR="00F94F86" w:rsidRPr="00C34FFC" w:rsidRDefault="00F94F86" w:rsidP="000507E1">
            <w:pPr>
              <w:pStyle w:val="TableText"/>
              <w:rPr>
                <w:rFonts w:eastAsia="Calibri"/>
              </w:rPr>
            </w:pPr>
            <w:r w:rsidRPr="00C34FFC">
              <w:t>WA: Country WA</w:t>
            </w:r>
          </w:p>
        </w:tc>
        <w:tc>
          <w:tcPr>
            <w:tcW w:w="629" w:type="pct"/>
          </w:tcPr>
          <w:p w14:paraId="0136E777" w14:textId="77777777" w:rsidR="00F94F86" w:rsidRPr="005C3BD8" w:rsidRDefault="00F94F86" w:rsidP="000507E1">
            <w:pPr>
              <w:pStyle w:val="TableText"/>
              <w:jc w:val="right"/>
              <w:rPr>
                <w:color w:val="000000"/>
              </w:rPr>
            </w:pPr>
            <w:r w:rsidRPr="005C3BD8">
              <w:t>10</w:t>
            </w:r>
          </w:p>
        </w:tc>
        <w:tc>
          <w:tcPr>
            <w:tcW w:w="603" w:type="pct"/>
          </w:tcPr>
          <w:p w14:paraId="325A7162" w14:textId="77777777" w:rsidR="00F94F86" w:rsidRPr="005C3BD8" w:rsidRDefault="00F94F86" w:rsidP="000507E1">
            <w:pPr>
              <w:pStyle w:val="TableText"/>
              <w:jc w:val="right"/>
              <w:rPr>
                <w:color w:val="000000"/>
              </w:rPr>
            </w:pPr>
            <w:r w:rsidRPr="005C3BD8">
              <w:t>53%</w:t>
            </w:r>
          </w:p>
        </w:tc>
        <w:tc>
          <w:tcPr>
            <w:tcW w:w="601" w:type="pct"/>
          </w:tcPr>
          <w:p w14:paraId="52BC9C6F" w14:textId="77777777" w:rsidR="00F94F86" w:rsidRPr="005C3BD8" w:rsidRDefault="00F94F86" w:rsidP="000507E1">
            <w:pPr>
              <w:pStyle w:val="TableText"/>
              <w:jc w:val="right"/>
              <w:rPr>
                <w:color w:val="000000"/>
              </w:rPr>
            </w:pPr>
            <w:r w:rsidRPr="005C3BD8">
              <w:t>9</w:t>
            </w:r>
          </w:p>
        </w:tc>
        <w:tc>
          <w:tcPr>
            <w:tcW w:w="615" w:type="pct"/>
          </w:tcPr>
          <w:p w14:paraId="28CA3FE1" w14:textId="77777777" w:rsidR="00F94F86" w:rsidRPr="005C3BD8" w:rsidRDefault="00F94F86" w:rsidP="000507E1">
            <w:pPr>
              <w:pStyle w:val="TableText"/>
              <w:jc w:val="right"/>
              <w:rPr>
                <w:b/>
                <w:color w:val="000000"/>
              </w:rPr>
            </w:pPr>
            <w:r w:rsidRPr="005C3BD8">
              <w:t>47%</w:t>
            </w:r>
          </w:p>
        </w:tc>
        <w:tc>
          <w:tcPr>
            <w:tcW w:w="354" w:type="pct"/>
          </w:tcPr>
          <w:p w14:paraId="72016C08" w14:textId="77777777" w:rsidR="00F94F86" w:rsidRPr="000507E1" w:rsidRDefault="00F94F86" w:rsidP="000507E1">
            <w:pPr>
              <w:pStyle w:val="TableText"/>
              <w:jc w:val="right"/>
              <w:rPr>
                <w:rFonts w:eastAsia="Calibri"/>
                <w:b/>
                <w:bCs/>
              </w:rPr>
            </w:pPr>
            <w:r w:rsidRPr="000507E1">
              <w:rPr>
                <w:b/>
                <w:bCs/>
              </w:rPr>
              <w:t>19</w:t>
            </w:r>
          </w:p>
        </w:tc>
      </w:tr>
      <w:tr w:rsidR="00F94F86" w:rsidRPr="00C34FFC" w14:paraId="7567A08C" w14:textId="77777777" w:rsidTr="006F6DD1">
        <w:trPr>
          <w:trHeight w:val="20"/>
        </w:trPr>
        <w:tc>
          <w:tcPr>
            <w:tcW w:w="2198" w:type="pct"/>
          </w:tcPr>
          <w:p w14:paraId="2F1B318B" w14:textId="77777777" w:rsidR="00F94F86" w:rsidRPr="00C34FFC" w:rsidRDefault="00F94F86" w:rsidP="000507E1">
            <w:pPr>
              <w:pStyle w:val="TableText"/>
              <w:rPr>
                <w:rFonts w:eastAsia="Calibri"/>
              </w:rPr>
            </w:pPr>
            <w:r w:rsidRPr="00C34FFC">
              <w:t>WA: Perth North</w:t>
            </w:r>
          </w:p>
        </w:tc>
        <w:tc>
          <w:tcPr>
            <w:tcW w:w="629" w:type="pct"/>
          </w:tcPr>
          <w:p w14:paraId="41486B60" w14:textId="77777777" w:rsidR="00F94F86" w:rsidRPr="005C3BD8" w:rsidRDefault="00F94F86" w:rsidP="000507E1">
            <w:pPr>
              <w:pStyle w:val="TableText"/>
              <w:jc w:val="right"/>
              <w:rPr>
                <w:color w:val="000000"/>
              </w:rPr>
            </w:pPr>
            <w:r w:rsidRPr="005C3BD8">
              <w:t>5</w:t>
            </w:r>
          </w:p>
        </w:tc>
        <w:tc>
          <w:tcPr>
            <w:tcW w:w="603" w:type="pct"/>
          </w:tcPr>
          <w:p w14:paraId="124C1F77" w14:textId="77777777" w:rsidR="00F94F86" w:rsidRPr="005C3BD8" w:rsidRDefault="00F94F86" w:rsidP="000507E1">
            <w:pPr>
              <w:pStyle w:val="TableText"/>
              <w:jc w:val="right"/>
              <w:rPr>
                <w:color w:val="000000"/>
              </w:rPr>
            </w:pPr>
            <w:r w:rsidRPr="005C3BD8">
              <w:t>36%</w:t>
            </w:r>
          </w:p>
        </w:tc>
        <w:tc>
          <w:tcPr>
            <w:tcW w:w="601" w:type="pct"/>
          </w:tcPr>
          <w:p w14:paraId="0D5FC6B0" w14:textId="77777777" w:rsidR="00F94F86" w:rsidRPr="005C3BD8" w:rsidRDefault="00F94F86" w:rsidP="000507E1">
            <w:pPr>
              <w:pStyle w:val="TableText"/>
              <w:jc w:val="right"/>
              <w:rPr>
                <w:color w:val="000000"/>
              </w:rPr>
            </w:pPr>
            <w:r w:rsidRPr="005C3BD8">
              <w:t>9</w:t>
            </w:r>
          </w:p>
        </w:tc>
        <w:tc>
          <w:tcPr>
            <w:tcW w:w="615" w:type="pct"/>
          </w:tcPr>
          <w:p w14:paraId="2E561918" w14:textId="77777777" w:rsidR="00F94F86" w:rsidRPr="005C3BD8" w:rsidRDefault="00F94F86" w:rsidP="000507E1">
            <w:pPr>
              <w:pStyle w:val="TableText"/>
              <w:jc w:val="right"/>
              <w:rPr>
                <w:b/>
                <w:color w:val="000000"/>
              </w:rPr>
            </w:pPr>
            <w:r w:rsidRPr="005C3BD8">
              <w:t>64%</w:t>
            </w:r>
          </w:p>
        </w:tc>
        <w:tc>
          <w:tcPr>
            <w:tcW w:w="354" w:type="pct"/>
          </w:tcPr>
          <w:p w14:paraId="380D6850" w14:textId="77777777" w:rsidR="00F94F86" w:rsidRPr="000507E1" w:rsidRDefault="00F94F86" w:rsidP="000507E1">
            <w:pPr>
              <w:pStyle w:val="TableText"/>
              <w:jc w:val="right"/>
              <w:rPr>
                <w:rFonts w:eastAsia="Calibri"/>
                <w:b/>
                <w:bCs/>
              </w:rPr>
            </w:pPr>
            <w:r w:rsidRPr="000507E1">
              <w:rPr>
                <w:b/>
                <w:bCs/>
              </w:rPr>
              <w:t>14</w:t>
            </w:r>
          </w:p>
        </w:tc>
      </w:tr>
      <w:tr w:rsidR="00F94F86" w:rsidRPr="00C34FFC" w14:paraId="5B525BA9" w14:textId="77777777" w:rsidTr="006F6DD1">
        <w:trPr>
          <w:trHeight w:val="20"/>
        </w:trPr>
        <w:tc>
          <w:tcPr>
            <w:tcW w:w="2198" w:type="pct"/>
          </w:tcPr>
          <w:p w14:paraId="238712BF" w14:textId="77777777" w:rsidR="00F94F86" w:rsidRPr="00C34FFC" w:rsidRDefault="00F94F86" w:rsidP="000507E1">
            <w:pPr>
              <w:pStyle w:val="TableText"/>
              <w:rPr>
                <w:rFonts w:eastAsia="Calibri"/>
              </w:rPr>
            </w:pPr>
            <w:r w:rsidRPr="00C34FFC">
              <w:t>WA: Perth South</w:t>
            </w:r>
          </w:p>
        </w:tc>
        <w:tc>
          <w:tcPr>
            <w:tcW w:w="629" w:type="pct"/>
          </w:tcPr>
          <w:p w14:paraId="0FE6F4D8" w14:textId="77777777" w:rsidR="00F94F86" w:rsidRPr="005C3BD8" w:rsidRDefault="00F94F86" w:rsidP="000507E1">
            <w:pPr>
              <w:pStyle w:val="TableText"/>
              <w:jc w:val="right"/>
              <w:rPr>
                <w:color w:val="000000"/>
              </w:rPr>
            </w:pPr>
            <w:r w:rsidRPr="005C3BD8">
              <w:t>3</w:t>
            </w:r>
          </w:p>
        </w:tc>
        <w:tc>
          <w:tcPr>
            <w:tcW w:w="603" w:type="pct"/>
          </w:tcPr>
          <w:p w14:paraId="2A4BB293" w14:textId="77777777" w:rsidR="00F94F86" w:rsidRPr="005C3BD8" w:rsidRDefault="00F94F86" w:rsidP="000507E1">
            <w:pPr>
              <w:pStyle w:val="TableText"/>
              <w:jc w:val="right"/>
              <w:rPr>
                <w:color w:val="000000"/>
              </w:rPr>
            </w:pPr>
            <w:r w:rsidRPr="005C3BD8">
              <w:t>50%</w:t>
            </w:r>
          </w:p>
        </w:tc>
        <w:tc>
          <w:tcPr>
            <w:tcW w:w="601" w:type="pct"/>
          </w:tcPr>
          <w:p w14:paraId="350E7C68" w14:textId="77777777" w:rsidR="00F94F86" w:rsidRPr="005C3BD8" w:rsidRDefault="00F94F86" w:rsidP="000507E1">
            <w:pPr>
              <w:pStyle w:val="TableText"/>
              <w:jc w:val="right"/>
              <w:rPr>
                <w:color w:val="000000"/>
              </w:rPr>
            </w:pPr>
            <w:r w:rsidRPr="005C3BD8">
              <w:t>3</w:t>
            </w:r>
          </w:p>
        </w:tc>
        <w:tc>
          <w:tcPr>
            <w:tcW w:w="615" w:type="pct"/>
          </w:tcPr>
          <w:p w14:paraId="07C774CE" w14:textId="77777777" w:rsidR="00F94F86" w:rsidRPr="005C3BD8" w:rsidRDefault="00F94F86" w:rsidP="000507E1">
            <w:pPr>
              <w:pStyle w:val="TableText"/>
              <w:jc w:val="right"/>
              <w:rPr>
                <w:b/>
                <w:color w:val="000000"/>
              </w:rPr>
            </w:pPr>
            <w:r w:rsidRPr="005C3BD8">
              <w:t>50%</w:t>
            </w:r>
          </w:p>
        </w:tc>
        <w:tc>
          <w:tcPr>
            <w:tcW w:w="354" w:type="pct"/>
          </w:tcPr>
          <w:p w14:paraId="09D8C035" w14:textId="77777777" w:rsidR="00F94F86" w:rsidRPr="000507E1" w:rsidRDefault="00F94F86" w:rsidP="000507E1">
            <w:pPr>
              <w:pStyle w:val="TableText"/>
              <w:jc w:val="right"/>
              <w:rPr>
                <w:rFonts w:eastAsia="Calibri"/>
                <w:b/>
                <w:bCs/>
              </w:rPr>
            </w:pPr>
            <w:r w:rsidRPr="000507E1">
              <w:rPr>
                <w:b/>
                <w:bCs/>
              </w:rPr>
              <w:t>6</w:t>
            </w:r>
          </w:p>
        </w:tc>
      </w:tr>
      <w:tr w:rsidR="00F94F86" w:rsidRPr="00C34FFC" w14:paraId="0C44B620" w14:textId="77777777" w:rsidTr="006F6DD1">
        <w:trPr>
          <w:cnfStyle w:val="010000000000" w:firstRow="0" w:lastRow="1" w:firstColumn="0" w:lastColumn="0" w:oddVBand="0" w:evenVBand="0" w:oddHBand="0" w:evenHBand="0" w:firstRowFirstColumn="0" w:firstRowLastColumn="0" w:lastRowFirstColumn="0" w:lastRowLastColumn="0"/>
          <w:trHeight w:val="20"/>
        </w:trPr>
        <w:tc>
          <w:tcPr>
            <w:tcW w:w="2198" w:type="pct"/>
          </w:tcPr>
          <w:p w14:paraId="01935B42" w14:textId="77777777" w:rsidR="00F94F86" w:rsidRPr="00B7433A" w:rsidRDefault="00F94F86" w:rsidP="000507E1">
            <w:pPr>
              <w:pStyle w:val="TableText"/>
              <w:rPr>
                <w:rFonts w:eastAsia="Calibri"/>
              </w:rPr>
            </w:pPr>
            <w:r w:rsidRPr="00B7433A">
              <w:t>Total</w:t>
            </w:r>
          </w:p>
        </w:tc>
        <w:tc>
          <w:tcPr>
            <w:tcW w:w="629" w:type="pct"/>
          </w:tcPr>
          <w:p w14:paraId="0D20A5EE" w14:textId="77777777" w:rsidR="00F94F86" w:rsidRPr="000507E1" w:rsidRDefault="00F94F86" w:rsidP="000507E1">
            <w:pPr>
              <w:pStyle w:val="TableText"/>
              <w:jc w:val="right"/>
              <w:rPr>
                <w:rFonts w:eastAsia="Calibri"/>
                <w:b/>
                <w:bCs/>
              </w:rPr>
            </w:pPr>
            <w:r w:rsidRPr="000507E1">
              <w:rPr>
                <w:b/>
                <w:bCs/>
              </w:rPr>
              <w:t>112</w:t>
            </w:r>
          </w:p>
        </w:tc>
        <w:tc>
          <w:tcPr>
            <w:tcW w:w="603" w:type="pct"/>
          </w:tcPr>
          <w:p w14:paraId="388A62B8" w14:textId="77777777" w:rsidR="00F94F86" w:rsidRPr="000507E1" w:rsidRDefault="00F94F86" w:rsidP="000507E1">
            <w:pPr>
              <w:pStyle w:val="TableText"/>
              <w:jc w:val="right"/>
              <w:rPr>
                <w:rFonts w:eastAsia="Calibri"/>
                <w:b/>
                <w:bCs/>
              </w:rPr>
            </w:pPr>
            <w:r w:rsidRPr="000507E1">
              <w:rPr>
                <w:b/>
                <w:bCs/>
              </w:rPr>
              <w:t>35%</w:t>
            </w:r>
          </w:p>
        </w:tc>
        <w:tc>
          <w:tcPr>
            <w:tcW w:w="601" w:type="pct"/>
          </w:tcPr>
          <w:p w14:paraId="2FFA0838" w14:textId="77777777" w:rsidR="00F94F86" w:rsidRPr="000507E1" w:rsidRDefault="00F94F86" w:rsidP="000507E1">
            <w:pPr>
              <w:pStyle w:val="TableText"/>
              <w:jc w:val="right"/>
              <w:rPr>
                <w:rFonts w:eastAsia="Calibri"/>
                <w:b/>
                <w:bCs/>
              </w:rPr>
            </w:pPr>
            <w:r w:rsidRPr="000507E1">
              <w:rPr>
                <w:b/>
                <w:bCs/>
              </w:rPr>
              <w:t>210</w:t>
            </w:r>
          </w:p>
        </w:tc>
        <w:tc>
          <w:tcPr>
            <w:tcW w:w="615" w:type="pct"/>
          </w:tcPr>
          <w:p w14:paraId="261A26A2" w14:textId="77777777" w:rsidR="00F94F86" w:rsidRPr="000507E1" w:rsidRDefault="00F94F86" w:rsidP="000507E1">
            <w:pPr>
              <w:pStyle w:val="TableText"/>
              <w:jc w:val="right"/>
              <w:rPr>
                <w:b/>
                <w:bCs/>
                <w:color w:val="000000"/>
              </w:rPr>
            </w:pPr>
            <w:r w:rsidRPr="000507E1">
              <w:rPr>
                <w:b/>
                <w:bCs/>
              </w:rPr>
              <w:t>65%</w:t>
            </w:r>
          </w:p>
        </w:tc>
        <w:tc>
          <w:tcPr>
            <w:tcW w:w="354" w:type="pct"/>
          </w:tcPr>
          <w:p w14:paraId="5448E9F8" w14:textId="77777777" w:rsidR="00F94F86" w:rsidRPr="000507E1" w:rsidRDefault="00F94F86" w:rsidP="000507E1">
            <w:pPr>
              <w:pStyle w:val="TableText"/>
              <w:jc w:val="right"/>
              <w:rPr>
                <w:rFonts w:eastAsia="Calibri"/>
                <w:b/>
                <w:bCs/>
              </w:rPr>
            </w:pPr>
            <w:r w:rsidRPr="000507E1">
              <w:rPr>
                <w:b/>
                <w:bCs/>
              </w:rPr>
              <w:t>322</w:t>
            </w:r>
          </w:p>
        </w:tc>
      </w:tr>
    </w:tbl>
    <w:p w14:paraId="430B93BC" w14:textId="77777777" w:rsidR="00F94F86" w:rsidRDefault="00F94F86" w:rsidP="00292E56">
      <w:pPr>
        <w:pStyle w:val="BodyText"/>
      </w:pPr>
      <w:bookmarkStart w:id="255" w:name="_Toc145313168"/>
    </w:p>
    <w:p w14:paraId="2E2F7049" w14:textId="77777777" w:rsidR="00F94F86" w:rsidRDefault="00F94F86" w:rsidP="00E2348C">
      <w:pPr>
        <w:pStyle w:val="HeadingLevel3NoNumber"/>
      </w:pPr>
      <w:bookmarkStart w:id="256" w:name="_Toc145955247"/>
      <w:r w:rsidRPr="5C2F0F61">
        <w:lastRenderedPageBreak/>
        <w:t xml:space="preserve">Data finding </w:t>
      </w:r>
      <w:r>
        <w:t>2</w:t>
      </w:r>
      <w:r w:rsidRPr="5C2F0F61">
        <w:t xml:space="preserve">: </w:t>
      </w:r>
      <w:r w:rsidRPr="005C7678">
        <w:t xml:space="preserve">The total value of </w:t>
      </w:r>
      <w:r w:rsidRPr="5C2F0F61">
        <w:t>mental health and suicide prevention and ITC contract</w:t>
      </w:r>
      <w:r>
        <w:t xml:space="preserve">s </w:t>
      </w:r>
      <w:r w:rsidRPr="005C7678">
        <w:t>awarded to Indigenous service providers was greater than non-Indigenous providers</w:t>
      </w:r>
      <w:bookmarkEnd w:id="256"/>
    </w:p>
    <w:p w14:paraId="6CF363F4" w14:textId="77777777" w:rsidR="00F94F86" w:rsidRDefault="00F94F86" w:rsidP="002066BE">
      <w:pPr>
        <w:pStyle w:val="BodyText"/>
      </w:pPr>
      <w:r w:rsidRPr="00BE3D2D">
        <w:t>Funding of Indigenous service providers for mental health and suicide prevention and ITC services accounted for 73% and 60% respectively of the total funding for these services in the period of analysis.</w:t>
      </w:r>
    </w:p>
    <w:p w14:paraId="504E73C3" w14:textId="77777777" w:rsidR="00F94F86" w:rsidRPr="00B65F7F" w:rsidRDefault="00F94F86" w:rsidP="002066BE">
      <w:pPr>
        <w:pStyle w:val="BodyText"/>
      </w:pPr>
      <w:r>
        <w:t xml:space="preserve">For mental health and suicide prevention services for the period </w:t>
      </w:r>
      <w:r w:rsidRPr="00340F04">
        <w:t xml:space="preserve">1 July 2016 to 30 June </w:t>
      </w:r>
      <w:r>
        <w:t>2022:</w:t>
      </w:r>
    </w:p>
    <w:p w14:paraId="6CBBDDDF" w14:textId="77777777" w:rsidR="00F94F86" w:rsidRDefault="00F94F86" w:rsidP="002066BE">
      <w:pPr>
        <w:pStyle w:val="ListBullet2"/>
      </w:pPr>
      <w:r>
        <w:t>73% of all contract value across Australia for the period were awarded to Indigenous service providers</w:t>
      </w:r>
    </w:p>
    <w:p w14:paraId="7E3BB2A3" w14:textId="77777777" w:rsidR="00F94F86" w:rsidRDefault="00F94F86" w:rsidP="002066BE">
      <w:pPr>
        <w:pStyle w:val="ListBullet2"/>
      </w:pPr>
      <w:r>
        <w:t>9 of 31 PHNs awarded all contract values (100%) to Indigenous service providers</w:t>
      </w:r>
    </w:p>
    <w:p w14:paraId="5341165E" w14:textId="77777777" w:rsidR="00F94F86" w:rsidRDefault="00F94F86" w:rsidP="002066BE">
      <w:pPr>
        <w:pStyle w:val="ListBullet2"/>
      </w:pPr>
      <w:r>
        <w:t>22 of 31 PHNs awarded half or more (</w:t>
      </w:r>
      <w:r w:rsidRPr="00FB4017">
        <w:t>≥</w:t>
      </w:r>
      <w:r>
        <w:t>50%) of contract value to Indigenous service providers</w:t>
      </w:r>
      <w:r w:rsidR="002106F3">
        <w:t>.</w:t>
      </w:r>
    </w:p>
    <w:p w14:paraId="0303F76F" w14:textId="77777777" w:rsidR="00F94F86" w:rsidRDefault="00F94F86" w:rsidP="002066BE">
      <w:pPr>
        <w:pStyle w:val="BodyText"/>
      </w:pPr>
      <w:r w:rsidRPr="00AA43EE">
        <w:t>The average contract value</w:t>
      </w:r>
      <w:r>
        <w:t xml:space="preserve">s for all mental health and suicide prevention contracts the period </w:t>
      </w:r>
      <w:r w:rsidRPr="00340F04">
        <w:t xml:space="preserve">1 July 2016 to 30 June </w:t>
      </w:r>
      <w:r>
        <w:t>2022 were:</w:t>
      </w:r>
    </w:p>
    <w:p w14:paraId="4A380449" w14:textId="77777777" w:rsidR="00F94F86" w:rsidRDefault="00F94F86" w:rsidP="002066BE">
      <w:pPr>
        <w:pStyle w:val="ListBullet2"/>
      </w:pPr>
      <w:r>
        <w:t xml:space="preserve">$481,808 for non-Indigenous service providers </w:t>
      </w:r>
    </w:p>
    <w:p w14:paraId="62094FBE" w14:textId="77777777" w:rsidR="00F94F86" w:rsidRPr="00AA43EE" w:rsidRDefault="00F94F86" w:rsidP="002066BE">
      <w:pPr>
        <w:pStyle w:val="ListBullet2"/>
      </w:pPr>
      <w:r>
        <w:t>$490,630 for Indigenous service providers</w:t>
      </w:r>
      <w:r w:rsidR="002106F3">
        <w:t>.</w:t>
      </w:r>
    </w:p>
    <w:p w14:paraId="1A451A19" w14:textId="45C9C27C" w:rsidR="00F94F86" w:rsidRDefault="002106F3" w:rsidP="002066BE">
      <w:pPr>
        <w:pStyle w:val="BodyText1stparaafterlist"/>
      </w:pPr>
      <w:r>
        <w:fldChar w:fldCharType="begin"/>
      </w:r>
      <w:r>
        <w:instrText xml:space="preserve"> REF _Ref151901380 \h </w:instrText>
      </w:r>
      <w:r>
        <w:fldChar w:fldCharType="separate"/>
      </w:r>
      <w:r w:rsidR="00934D5E">
        <w:t>Table A4.</w:t>
      </w:r>
      <w:r w:rsidR="00934D5E">
        <w:rPr>
          <w:noProof/>
        </w:rPr>
        <w:t>4</w:t>
      </w:r>
      <w:r>
        <w:fldChar w:fldCharType="end"/>
      </w:r>
      <w:r w:rsidR="00F94F86">
        <w:t xml:space="preserve"> </w:t>
      </w:r>
      <w:r w:rsidR="00F94F86" w:rsidRPr="00B65F7F">
        <w:t xml:space="preserve">below summarises the </w:t>
      </w:r>
      <w:r w:rsidR="00F94F86">
        <w:t>value of</w:t>
      </w:r>
      <w:r w:rsidR="00F94F86" w:rsidRPr="00B65F7F">
        <w:t xml:space="preserve"> and type of service providers commissioned for mental health and suicide prevention </w:t>
      </w:r>
      <w:r w:rsidR="00F94F86">
        <w:t xml:space="preserve">for the period </w:t>
      </w:r>
      <w:r w:rsidR="00F94F86" w:rsidRPr="00340F04">
        <w:t xml:space="preserve">1 July 2016 to 30 June </w:t>
      </w:r>
      <w:r w:rsidR="00F94F86">
        <w:t>2022</w:t>
      </w:r>
      <w:r w:rsidR="00F94F86" w:rsidRPr="00B65F7F">
        <w:t xml:space="preserve">. </w:t>
      </w:r>
    </w:p>
    <w:p w14:paraId="6806DE09" w14:textId="77777777" w:rsidR="00F94F86" w:rsidRPr="00B65F7F" w:rsidRDefault="00F94F86" w:rsidP="002066BE">
      <w:pPr>
        <w:pStyle w:val="BodyText"/>
      </w:pPr>
      <w:r>
        <w:t xml:space="preserve">For ITC services for the period </w:t>
      </w:r>
      <w:r w:rsidRPr="00340F04">
        <w:t xml:space="preserve">1 July 2016 to 30 June </w:t>
      </w:r>
      <w:r>
        <w:t>2022:</w:t>
      </w:r>
    </w:p>
    <w:p w14:paraId="6A80FEDF" w14:textId="77777777" w:rsidR="00F94F86" w:rsidRDefault="00F94F86" w:rsidP="002066BE">
      <w:pPr>
        <w:pStyle w:val="ListBullet2"/>
      </w:pPr>
      <w:r>
        <w:t>60% of all contract value across Australia for the period were awarded to Indigenous service providers</w:t>
      </w:r>
    </w:p>
    <w:p w14:paraId="71BE97A9" w14:textId="77777777" w:rsidR="00F94F86" w:rsidRDefault="00F94F86" w:rsidP="002066BE">
      <w:pPr>
        <w:pStyle w:val="ListBullet2"/>
      </w:pPr>
      <w:r>
        <w:t>6 of 31 PHNs awarded all contract values (100%) to Indigenous service providers</w:t>
      </w:r>
    </w:p>
    <w:p w14:paraId="37CD28C1" w14:textId="77777777" w:rsidR="00F94F86" w:rsidRDefault="00F94F86" w:rsidP="002066BE">
      <w:pPr>
        <w:pStyle w:val="ListBullet2"/>
      </w:pPr>
      <w:r>
        <w:t>17 of 31 PHNs awarded half or more (</w:t>
      </w:r>
      <w:r w:rsidRPr="00FB4017">
        <w:t>≥</w:t>
      </w:r>
      <w:r>
        <w:t>50%) of contract value to Indigenous service providers</w:t>
      </w:r>
      <w:r w:rsidR="002106F3">
        <w:t>.</w:t>
      </w:r>
    </w:p>
    <w:p w14:paraId="54A13F6A" w14:textId="77777777" w:rsidR="00F94F86" w:rsidRDefault="00F94F86" w:rsidP="002066BE">
      <w:pPr>
        <w:pStyle w:val="BodyText1stparaafterlist"/>
      </w:pPr>
      <w:r w:rsidRPr="00AA43EE">
        <w:t>The average contract value</w:t>
      </w:r>
      <w:r>
        <w:t xml:space="preserve">s for all ITC contracts the period </w:t>
      </w:r>
      <w:r w:rsidRPr="00340F04">
        <w:t xml:space="preserve">1 July 2016 to 30 June </w:t>
      </w:r>
      <w:r>
        <w:t>2022 were:</w:t>
      </w:r>
    </w:p>
    <w:p w14:paraId="490AB467" w14:textId="77777777" w:rsidR="00F94F86" w:rsidRDefault="00F94F86" w:rsidP="002066BE">
      <w:pPr>
        <w:pStyle w:val="ListBullet2"/>
      </w:pPr>
      <w:r>
        <w:t xml:space="preserve">$1,348,228 for non-Indigenous service providers </w:t>
      </w:r>
    </w:p>
    <w:p w14:paraId="3AB7A6AA" w14:textId="77777777" w:rsidR="00F94F86" w:rsidRPr="00AA43EE" w:rsidRDefault="00F94F86" w:rsidP="002066BE">
      <w:pPr>
        <w:pStyle w:val="ListBullet2"/>
      </w:pPr>
      <w:r>
        <w:t>$1,069,237 for Indigenous service providers</w:t>
      </w:r>
      <w:r w:rsidR="002106F3">
        <w:t>.</w:t>
      </w:r>
    </w:p>
    <w:p w14:paraId="32819A08" w14:textId="185E9D6E" w:rsidR="00F94F86" w:rsidRPr="00BE3D2D" w:rsidRDefault="002106F3" w:rsidP="002066BE">
      <w:pPr>
        <w:pStyle w:val="BodyText1stparaafterlist"/>
      </w:pPr>
      <w:r>
        <w:rPr>
          <w:highlight w:val="green"/>
        </w:rPr>
        <w:fldChar w:fldCharType="begin"/>
      </w:r>
      <w:r>
        <w:instrText xml:space="preserve"> REF _Ref151901376 \h </w:instrText>
      </w:r>
      <w:r>
        <w:rPr>
          <w:highlight w:val="green"/>
        </w:rPr>
      </w:r>
      <w:r>
        <w:rPr>
          <w:highlight w:val="green"/>
        </w:rPr>
        <w:fldChar w:fldCharType="separate"/>
      </w:r>
      <w:r w:rsidR="00934D5E">
        <w:t>Table A4.</w:t>
      </w:r>
      <w:r w:rsidR="00934D5E">
        <w:rPr>
          <w:noProof/>
        </w:rPr>
        <w:t>5</w:t>
      </w:r>
      <w:r>
        <w:rPr>
          <w:highlight w:val="green"/>
        </w:rPr>
        <w:fldChar w:fldCharType="end"/>
      </w:r>
      <w:r w:rsidR="00F94F86">
        <w:t xml:space="preserve"> </w:t>
      </w:r>
      <w:r w:rsidR="00F94F86" w:rsidRPr="00B65F7F">
        <w:t xml:space="preserve">below summarises the </w:t>
      </w:r>
      <w:r w:rsidR="00F94F86">
        <w:t>value of</w:t>
      </w:r>
      <w:r w:rsidR="00F94F86" w:rsidRPr="00B65F7F">
        <w:t xml:space="preserve"> and type of service providers commissioned for </w:t>
      </w:r>
      <w:r w:rsidR="00F94F86">
        <w:t>ITC</w:t>
      </w:r>
      <w:r w:rsidR="00F94F86" w:rsidRPr="00B65F7F">
        <w:t xml:space="preserve"> </w:t>
      </w:r>
      <w:r w:rsidR="00F94F86">
        <w:t xml:space="preserve">for the period </w:t>
      </w:r>
      <w:r w:rsidR="00F94F86" w:rsidRPr="00340F04">
        <w:t xml:space="preserve">1 July 2016 to 30 June </w:t>
      </w:r>
      <w:r w:rsidR="00F94F86">
        <w:t>2022</w:t>
      </w:r>
      <w:r w:rsidR="00F94F86" w:rsidRPr="00B65F7F">
        <w:t>.</w:t>
      </w:r>
    </w:p>
    <w:p w14:paraId="30FEE951" w14:textId="77777777" w:rsidR="00F94F86" w:rsidRDefault="00F94F86" w:rsidP="00F94F86">
      <w:pPr>
        <w:rPr>
          <w:rFonts w:cstheme="minorHAnsi"/>
          <w:sz w:val="18"/>
          <w:szCs w:val="18"/>
          <w:lang w:eastAsia="en-US" w:bidi="en-US"/>
        </w:rPr>
      </w:pPr>
      <w:r>
        <w:br w:type="page"/>
      </w:r>
    </w:p>
    <w:p w14:paraId="3E499C0C" w14:textId="17CC682A" w:rsidR="00F94F86" w:rsidRPr="00F6711F" w:rsidRDefault="002106F3" w:rsidP="00A237F8">
      <w:pPr>
        <w:pStyle w:val="CaptionTable"/>
      </w:pPr>
      <w:bookmarkStart w:id="257" w:name="_Ref151901380"/>
      <w:bookmarkStart w:id="258" w:name="_Toc145604938"/>
      <w:bookmarkStart w:id="259" w:name="_Toc145617810"/>
      <w:bookmarkStart w:id="260" w:name="_Toc156932081"/>
      <w:r>
        <w:lastRenderedPageBreak/>
        <w:t>Table A4.</w:t>
      </w:r>
      <w:r>
        <w:fldChar w:fldCharType="begin"/>
      </w:r>
      <w:r>
        <w:instrText xml:space="preserve"> SEQ Table_App4 \* ARABIC </w:instrText>
      </w:r>
      <w:r>
        <w:fldChar w:fldCharType="separate"/>
      </w:r>
      <w:r w:rsidR="00934D5E">
        <w:rPr>
          <w:noProof/>
        </w:rPr>
        <w:t>4</w:t>
      </w:r>
      <w:r>
        <w:fldChar w:fldCharType="end"/>
      </w:r>
      <w:bookmarkEnd w:id="257"/>
      <w:r w:rsidR="00F94F86" w:rsidRPr="00F6711F">
        <w:t>: Total value of mental health and suicide prevention contracts from 1 July 2016 to 30 June 2022, by commissioning body</w:t>
      </w:r>
      <w:bookmarkEnd w:id="258"/>
      <w:bookmarkEnd w:id="259"/>
      <w:bookmarkEnd w:id="260"/>
      <w:r w:rsidR="00F94F86" w:rsidRPr="00F6711F">
        <w:t xml:space="preserve"> </w:t>
      </w:r>
    </w:p>
    <w:tbl>
      <w:tblPr>
        <w:tblStyle w:val="Newtableforresport"/>
        <w:tblW w:w="5000" w:type="pct"/>
        <w:tblInd w:w="0" w:type="dxa"/>
        <w:tblLook w:val="0660" w:firstRow="1" w:lastRow="1" w:firstColumn="0" w:lastColumn="0" w:noHBand="1" w:noVBand="1"/>
        <w:tblCaption w:val="Table A4.4: Total value of mental health and suicide prevention contracts from 1 July to 30 June 2022 by commissioning body"/>
        <w:tblDescription w:val="A table showing the total value of mental health and suicide prevention contracts from 1 July 2016 to 30 June 2022 by commissioning body. The first column lists commissioning bodies across Australia, such as the Australian Capital Territory Primary Health Network. The second column lists the monetary value of mental health and suicide prevention contracts with non-Indigenous service providers by commissioning body. The third column lists the percentage value of mental health and suicide prevention contracts with non-Indigenous service providers by commissioning body. The fourth column lists the monetary value of mental health and suicide prevention contracts with Indigenous service providers by commissioning body. The fifth column lists the percentage value of mental health and suicide prevention contracts with Indigenous service providers by commissioning body. The sixth column lists the total value of all mental health and suicide prevention contracts by commissioning body. "/>
      </w:tblPr>
      <w:tblGrid>
        <w:gridCol w:w="3676"/>
        <w:gridCol w:w="1159"/>
        <w:gridCol w:w="1135"/>
        <w:gridCol w:w="1267"/>
        <w:gridCol w:w="1135"/>
        <w:gridCol w:w="1267"/>
      </w:tblGrid>
      <w:tr w:rsidR="00F94F86" w:rsidRPr="00C34FFC" w14:paraId="5EF8685D" w14:textId="77777777" w:rsidTr="009D4C69">
        <w:trPr>
          <w:cnfStyle w:val="100000000000" w:firstRow="1" w:lastRow="0" w:firstColumn="0" w:lastColumn="0" w:oddVBand="0" w:evenVBand="0" w:oddHBand="0" w:evenHBand="0" w:firstRowFirstColumn="0" w:firstRowLastColumn="0" w:lastRowFirstColumn="0" w:lastRowLastColumn="0"/>
          <w:trHeight w:val="20"/>
          <w:tblHeader/>
        </w:trPr>
        <w:tc>
          <w:tcPr>
            <w:tcW w:w="1907" w:type="pct"/>
            <w:vAlign w:val="center"/>
          </w:tcPr>
          <w:p w14:paraId="28F4471C" w14:textId="5DCA2B2A" w:rsidR="00F94F86" w:rsidRPr="00C34FFC" w:rsidRDefault="00A93CE9" w:rsidP="00A93CE9">
            <w:pPr>
              <w:pStyle w:val="TableHeading"/>
              <w:rPr>
                <w:rFonts w:eastAsia="Calibri" w:cs="Calibri"/>
              </w:rPr>
            </w:pPr>
            <w:r>
              <w:rPr>
                <w:rFonts w:eastAsia="Calibri" w:cs="Calibri"/>
              </w:rPr>
              <w:t>Commissioning body</w:t>
            </w:r>
          </w:p>
        </w:tc>
        <w:tc>
          <w:tcPr>
            <w:tcW w:w="601" w:type="pct"/>
            <w:vAlign w:val="center"/>
          </w:tcPr>
          <w:p w14:paraId="3E58D357" w14:textId="77777777" w:rsidR="00F94F86" w:rsidRPr="009D4C69" w:rsidRDefault="00F94F86" w:rsidP="00024E8D">
            <w:pPr>
              <w:pStyle w:val="TableHeading"/>
              <w:rPr>
                <w:rFonts w:eastAsia="Calibri"/>
                <w:b w:val="0"/>
              </w:rPr>
            </w:pPr>
            <w:r w:rsidRPr="009D4C69">
              <w:t>Non-Indigenous service providers</w:t>
            </w:r>
          </w:p>
        </w:tc>
        <w:tc>
          <w:tcPr>
            <w:tcW w:w="589" w:type="pct"/>
            <w:vAlign w:val="center"/>
          </w:tcPr>
          <w:p w14:paraId="70B08619" w14:textId="77777777" w:rsidR="00F94F86" w:rsidRPr="009D4C69" w:rsidRDefault="00F94F86" w:rsidP="00024E8D">
            <w:pPr>
              <w:pStyle w:val="TableHeading"/>
              <w:rPr>
                <w:rFonts w:eastAsia="Calibri"/>
                <w:b w:val="0"/>
              </w:rPr>
            </w:pPr>
            <w:r w:rsidRPr="009D4C69">
              <w:t xml:space="preserve">% of total value non-Indigenous </w:t>
            </w:r>
          </w:p>
        </w:tc>
        <w:tc>
          <w:tcPr>
            <w:tcW w:w="657" w:type="pct"/>
            <w:vAlign w:val="center"/>
          </w:tcPr>
          <w:p w14:paraId="3F155096" w14:textId="77777777" w:rsidR="00F94F86" w:rsidRPr="009D4C69" w:rsidRDefault="00F94F86" w:rsidP="00024E8D">
            <w:pPr>
              <w:pStyle w:val="TableHeading"/>
              <w:rPr>
                <w:rFonts w:eastAsia="Calibri"/>
                <w:b w:val="0"/>
              </w:rPr>
            </w:pPr>
            <w:r w:rsidRPr="009D4C69">
              <w:t>Indigenous service providers</w:t>
            </w:r>
          </w:p>
        </w:tc>
        <w:tc>
          <w:tcPr>
            <w:tcW w:w="589" w:type="pct"/>
            <w:vAlign w:val="center"/>
          </w:tcPr>
          <w:p w14:paraId="2FC16CB9" w14:textId="77777777" w:rsidR="00F94F86" w:rsidRPr="009D4C69" w:rsidRDefault="00F94F86" w:rsidP="00024E8D">
            <w:pPr>
              <w:pStyle w:val="TableHeading"/>
              <w:rPr>
                <w:rFonts w:eastAsia="Calibri"/>
                <w:b w:val="0"/>
              </w:rPr>
            </w:pPr>
            <w:r w:rsidRPr="009D4C69">
              <w:t>% of total value Indigenous</w:t>
            </w:r>
          </w:p>
        </w:tc>
        <w:tc>
          <w:tcPr>
            <w:tcW w:w="657" w:type="pct"/>
            <w:vAlign w:val="center"/>
          </w:tcPr>
          <w:p w14:paraId="2A74D411" w14:textId="77777777" w:rsidR="00F94F86" w:rsidRPr="009D4C69" w:rsidRDefault="00F94F86" w:rsidP="002066BE">
            <w:pPr>
              <w:pStyle w:val="TableHeading"/>
              <w:jc w:val="center"/>
              <w:rPr>
                <w:rFonts w:eastAsia="Calibri"/>
                <w:b w:val="0"/>
              </w:rPr>
            </w:pPr>
            <w:r w:rsidRPr="009D4C69">
              <w:t>Total</w:t>
            </w:r>
          </w:p>
        </w:tc>
      </w:tr>
      <w:tr w:rsidR="00F94F86" w:rsidRPr="00C34FFC" w14:paraId="07F1B160" w14:textId="77777777" w:rsidTr="006F6DD1">
        <w:trPr>
          <w:trHeight w:val="20"/>
        </w:trPr>
        <w:tc>
          <w:tcPr>
            <w:tcW w:w="1907" w:type="pct"/>
          </w:tcPr>
          <w:p w14:paraId="7AC8AFF8" w14:textId="77777777" w:rsidR="00F94F86" w:rsidRPr="00C34FFC" w:rsidRDefault="00F94F86" w:rsidP="00DD393D">
            <w:pPr>
              <w:pStyle w:val="TableText"/>
              <w:spacing w:after="30"/>
              <w:rPr>
                <w:rFonts w:eastAsia="Calibri"/>
              </w:rPr>
            </w:pPr>
            <w:r w:rsidRPr="00C34FFC">
              <w:t>ACT: Australian Capital Territory</w:t>
            </w:r>
          </w:p>
        </w:tc>
        <w:tc>
          <w:tcPr>
            <w:tcW w:w="601" w:type="pct"/>
          </w:tcPr>
          <w:p w14:paraId="0013A46D" w14:textId="77777777" w:rsidR="00F94F86" w:rsidRPr="00DA7F25" w:rsidRDefault="00F94F86" w:rsidP="00DD393D">
            <w:pPr>
              <w:pStyle w:val="TableText"/>
              <w:spacing w:after="30"/>
              <w:jc w:val="right"/>
              <w:rPr>
                <w:rFonts w:eastAsia="Calibri"/>
              </w:rPr>
            </w:pPr>
            <w:r w:rsidRPr="00DA7F25">
              <w:t xml:space="preserve"> 429,711 </w:t>
            </w:r>
          </w:p>
        </w:tc>
        <w:tc>
          <w:tcPr>
            <w:tcW w:w="589" w:type="pct"/>
          </w:tcPr>
          <w:p w14:paraId="0C97894C" w14:textId="77777777" w:rsidR="00F94F86" w:rsidRPr="00DA7F25" w:rsidRDefault="00F94F86" w:rsidP="00DD393D">
            <w:pPr>
              <w:pStyle w:val="TableText"/>
              <w:spacing w:after="30"/>
              <w:jc w:val="center"/>
              <w:rPr>
                <w:rFonts w:eastAsia="Calibri"/>
              </w:rPr>
            </w:pPr>
            <w:r w:rsidRPr="00DA7F25">
              <w:t>100%</w:t>
            </w:r>
          </w:p>
        </w:tc>
        <w:tc>
          <w:tcPr>
            <w:tcW w:w="657" w:type="pct"/>
          </w:tcPr>
          <w:p w14:paraId="2C7AD5B8" w14:textId="77777777" w:rsidR="00F94F86" w:rsidRPr="00DA7F25" w:rsidRDefault="00F94F86" w:rsidP="00DD393D">
            <w:pPr>
              <w:pStyle w:val="TableText"/>
              <w:spacing w:after="30"/>
              <w:jc w:val="right"/>
              <w:rPr>
                <w:rFonts w:eastAsia="Calibri"/>
              </w:rPr>
            </w:pPr>
            <w:r w:rsidRPr="00DA7F25">
              <w:t xml:space="preserve"> -</w:t>
            </w:r>
            <w:r w:rsidR="000B479E">
              <w:t xml:space="preserve"> </w:t>
            </w:r>
          </w:p>
        </w:tc>
        <w:tc>
          <w:tcPr>
            <w:tcW w:w="589" w:type="pct"/>
          </w:tcPr>
          <w:p w14:paraId="7F65C24F" w14:textId="77777777" w:rsidR="00F94F86" w:rsidRPr="00DA7F25" w:rsidRDefault="00F94F86" w:rsidP="00DD393D">
            <w:pPr>
              <w:pStyle w:val="TableText"/>
              <w:spacing w:after="30"/>
              <w:jc w:val="center"/>
              <w:rPr>
                <w:b/>
                <w:color w:val="000000"/>
              </w:rPr>
            </w:pPr>
            <w:r w:rsidRPr="00DA7F25">
              <w:t>0%</w:t>
            </w:r>
          </w:p>
        </w:tc>
        <w:tc>
          <w:tcPr>
            <w:tcW w:w="657" w:type="pct"/>
          </w:tcPr>
          <w:p w14:paraId="7DDC4FE3" w14:textId="77777777" w:rsidR="00F94F86" w:rsidRPr="002066BE" w:rsidRDefault="00F94F86" w:rsidP="00DD393D">
            <w:pPr>
              <w:pStyle w:val="TableText"/>
              <w:spacing w:after="30"/>
              <w:jc w:val="right"/>
              <w:rPr>
                <w:rFonts w:eastAsia="Calibri"/>
                <w:b/>
                <w:bCs/>
              </w:rPr>
            </w:pPr>
            <w:r w:rsidRPr="002066BE">
              <w:rPr>
                <w:b/>
                <w:bCs/>
              </w:rPr>
              <w:t xml:space="preserve"> 429,711 </w:t>
            </w:r>
          </w:p>
        </w:tc>
      </w:tr>
      <w:tr w:rsidR="00F94F86" w:rsidRPr="00C34FFC" w14:paraId="2AE2060C" w14:textId="77777777" w:rsidTr="006F6DD1">
        <w:trPr>
          <w:trHeight w:val="20"/>
        </w:trPr>
        <w:tc>
          <w:tcPr>
            <w:tcW w:w="1907" w:type="pct"/>
          </w:tcPr>
          <w:p w14:paraId="5E2E77BB" w14:textId="77777777" w:rsidR="00F94F86" w:rsidRPr="00C34FFC" w:rsidRDefault="00F94F86" w:rsidP="00DD393D">
            <w:pPr>
              <w:pStyle w:val="TableText"/>
              <w:spacing w:after="30"/>
              <w:rPr>
                <w:rFonts w:eastAsia="Calibri"/>
              </w:rPr>
            </w:pPr>
            <w:r w:rsidRPr="00C34FFC">
              <w:t>NSW: Central and Eastern Sydney</w:t>
            </w:r>
          </w:p>
        </w:tc>
        <w:tc>
          <w:tcPr>
            <w:tcW w:w="601" w:type="pct"/>
          </w:tcPr>
          <w:p w14:paraId="37B42231" w14:textId="77777777" w:rsidR="00F94F86" w:rsidRPr="00DA7F25" w:rsidRDefault="00F94F86" w:rsidP="00DD393D">
            <w:pPr>
              <w:pStyle w:val="TableText"/>
              <w:spacing w:after="30"/>
              <w:jc w:val="right"/>
              <w:rPr>
                <w:rFonts w:eastAsia="Calibri"/>
              </w:rPr>
            </w:pPr>
            <w:r w:rsidRPr="00DA7F25">
              <w:t xml:space="preserve"> 509,598 </w:t>
            </w:r>
          </w:p>
        </w:tc>
        <w:tc>
          <w:tcPr>
            <w:tcW w:w="589" w:type="pct"/>
          </w:tcPr>
          <w:p w14:paraId="149082CD" w14:textId="77777777" w:rsidR="00F94F86" w:rsidRPr="00DA7F25" w:rsidRDefault="00F94F86" w:rsidP="00DD393D">
            <w:pPr>
              <w:pStyle w:val="TableText"/>
              <w:spacing w:after="30"/>
              <w:jc w:val="center"/>
              <w:rPr>
                <w:rFonts w:eastAsia="Calibri"/>
              </w:rPr>
            </w:pPr>
            <w:r w:rsidRPr="00DA7F25">
              <w:t>27%</w:t>
            </w:r>
          </w:p>
        </w:tc>
        <w:tc>
          <w:tcPr>
            <w:tcW w:w="657" w:type="pct"/>
          </w:tcPr>
          <w:p w14:paraId="06F6B384" w14:textId="77777777" w:rsidR="00F94F86" w:rsidRPr="00DA7F25" w:rsidRDefault="00F94F86" w:rsidP="00DD393D">
            <w:pPr>
              <w:pStyle w:val="TableText"/>
              <w:spacing w:after="30"/>
              <w:jc w:val="right"/>
              <w:rPr>
                <w:rFonts w:eastAsia="Calibri"/>
              </w:rPr>
            </w:pPr>
            <w:r w:rsidRPr="00DA7F25">
              <w:t xml:space="preserve"> 1,345,332 </w:t>
            </w:r>
          </w:p>
        </w:tc>
        <w:tc>
          <w:tcPr>
            <w:tcW w:w="589" w:type="pct"/>
          </w:tcPr>
          <w:p w14:paraId="4151758B" w14:textId="77777777" w:rsidR="00F94F86" w:rsidRPr="00DA7F25" w:rsidRDefault="00F94F86" w:rsidP="00DD393D">
            <w:pPr>
              <w:pStyle w:val="TableText"/>
              <w:spacing w:after="30"/>
              <w:jc w:val="center"/>
              <w:rPr>
                <w:b/>
                <w:color w:val="000000"/>
              </w:rPr>
            </w:pPr>
            <w:r w:rsidRPr="00DA7F25">
              <w:t>73%</w:t>
            </w:r>
          </w:p>
        </w:tc>
        <w:tc>
          <w:tcPr>
            <w:tcW w:w="657" w:type="pct"/>
          </w:tcPr>
          <w:p w14:paraId="6D171DE0" w14:textId="77777777" w:rsidR="00F94F86" w:rsidRPr="002066BE" w:rsidRDefault="00F94F86" w:rsidP="00DD393D">
            <w:pPr>
              <w:pStyle w:val="TableText"/>
              <w:spacing w:after="30"/>
              <w:jc w:val="right"/>
              <w:rPr>
                <w:rFonts w:eastAsia="Calibri"/>
                <w:b/>
                <w:bCs/>
              </w:rPr>
            </w:pPr>
            <w:r w:rsidRPr="002066BE">
              <w:rPr>
                <w:b/>
                <w:bCs/>
              </w:rPr>
              <w:t xml:space="preserve"> 1,854,930 </w:t>
            </w:r>
          </w:p>
        </w:tc>
      </w:tr>
      <w:tr w:rsidR="00F94F86" w:rsidRPr="00C34FFC" w14:paraId="46FDC9C6" w14:textId="77777777" w:rsidTr="006F6DD1">
        <w:trPr>
          <w:trHeight w:val="20"/>
        </w:trPr>
        <w:tc>
          <w:tcPr>
            <w:tcW w:w="1907" w:type="pct"/>
          </w:tcPr>
          <w:p w14:paraId="3C0ED4F3" w14:textId="77777777" w:rsidR="00F94F86" w:rsidRPr="00C34FFC" w:rsidRDefault="00F94F86" w:rsidP="00DD393D">
            <w:pPr>
              <w:pStyle w:val="TableText"/>
              <w:spacing w:after="30"/>
              <w:rPr>
                <w:rFonts w:eastAsia="Calibri"/>
              </w:rPr>
            </w:pPr>
            <w:r w:rsidRPr="00C34FFC">
              <w:t>NSW: Hunter New England and Central Coast</w:t>
            </w:r>
          </w:p>
        </w:tc>
        <w:tc>
          <w:tcPr>
            <w:tcW w:w="601" w:type="pct"/>
          </w:tcPr>
          <w:p w14:paraId="200C38E8" w14:textId="77777777" w:rsidR="00F94F86" w:rsidRPr="00DA7F25" w:rsidRDefault="00F94F86" w:rsidP="00DD393D">
            <w:pPr>
              <w:pStyle w:val="TableText"/>
              <w:spacing w:after="30"/>
              <w:jc w:val="right"/>
              <w:rPr>
                <w:rFonts w:eastAsia="Calibri"/>
              </w:rPr>
            </w:pPr>
            <w:r w:rsidRPr="00DA7F25">
              <w:t xml:space="preserve"> 1,131,377 </w:t>
            </w:r>
          </w:p>
        </w:tc>
        <w:tc>
          <w:tcPr>
            <w:tcW w:w="589" w:type="pct"/>
          </w:tcPr>
          <w:p w14:paraId="0FEFF2D4" w14:textId="77777777" w:rsidR="00F94F86" w:rsidRPr="00DA7F25" w:rsidRDefault="00F94F86" w:rsidP="00DD393D">
            <w:pPr>
              <w:pStyle w:val="TableText"/>
              <w:spacing w:after="30"/>
              <w:jc w:val="center"/>
              <w:rPr>
                <w:rFonts w:eastAsia="Calibri"/>
              </w:rPr>
            </w:pPr>
            <w:r w:rsidRPr="00DA7F25">
              <w:t>71%</w:t>
            </w:r>
          </w:p>
        </w:tc>
        <w:tc>
          <w:tcPr>
            <w:tcW w:w="657" w:type="pct"/>
          </w:tcPr>
          <w:p w14:paraId="03435AA1" w14:textId="77777777" w:rsidR="00F94F86" w:rsidRPr="00DA7F25" w:rsidRDefault="00F94F86" w:rsidP="00DD393D">
            <w:pPr>
              <w:pStyle w:val="TableText"/>
              <w:spacing w:after="30"/>
              <w:jc w:val="right"/>
              <w:rPr>
                <w:rFonts w:eastAsia="Calibri"/>
              </w:rPr>
            </w:pPr>
            <w:r w:rsidRPr="00DA7F25">
              <w:t xml:space="preserve"> 457,470 </w:t>
            </w:r>
          </w:p>
        </w:tc>
        <w:tc>
          <w:tcPr>
            <w:tcW w:w="589" w:type="pct"/>
          </w:tcPr>
          <w:p w14:paraId="49F87B06" w14:textId="77777777" w:rsidR="00F94F86" w:rsidRPr="00DA7F25" w:rsidRDefault="00F94F86" w:rsidP="00DD393D">
            <w:pPr>
              <w:pStyle w:val="TableText"/>
              <w:spacing w:after="30"/>
              <w:jc w:val="center"/>
              <w:rPr>
                <w:b/>
                <w:color w:val="000000"/>
              </w:rPr>
            </w:pPr>
            <w:r w:rsidRPr="00DA7F25">
              <w:t>29%</w:t>
            </w:r>
          </w:p>
        </w:tc>
        <w:tc>
          <w:tcPr>
            <w:tcW w:w="657" w:type="pct"/>
          </w:tcPr>
          <w:p w14:paraId="5C947949" w14:textId="77777777" w:rsidR="00F94F86" w:rsidRPr="002066BE" w:rsidRDefault="00F94F86" w:rsidP="00DD393D">
            <w:pPr>
              <w:pStyle w:val="TableText"/>
              <w:spacing w:after="30"/>
              <w:jc w:val="right"/>
              <w:rPr>
                <w:rFonts w:eastAsia="Calibri"/>
                <w:b/>
                <w:bCs/>
              </w:rPr>
            </w:pPr>
            <w:r w:rsidRPr="002066BE">
              <w:rPr>
                <w:b/>
                <w:bCs/>
              </w:rPr>
              <w:t xml:space="preserve"> 1,588,847 </w:t>
            </w:r>
          </w:p>
        </w:tc>
      </w:tr>
      <w:tr w:rsidR="00F94F86" w:rsidRPr="00C34FFC" w14:paraId="265136A7" w14:textId="77777777" w:rsidTr="006F6DD1">
        <w:trPr>
          <w:trHeight w:val="20"/>
        </w:trPr>
        <w:tc>
          <w:tcPr>
            <w:tcW w:w="1907" w:type="pct"/>
          </w:tcPr>
          <w:p w14:paraId="11328C1F" w14:textId="77777777" w:rsidR="00F94F86" w:rsidRPr="00C34FFC" w:rsidRDefault="00F94F86" w:rsidP="00DD393D">
            <w:pPr>
              <w:pStyle w:val="TableText"/>
              <w:spacing w:after="30"/>
              <w:rPr>
                <w:rFonts w:eastAsia="Calibri"/>
              </w:rPr>
            </w:pPr>
            <w:r w:rsidRPr="00C34FFC">
              <w:t>NSW: Murrumbidgee</w:t>
            </w:r>
          </w:p>
        </w:tc>
        <w:tc>
          <w:tcPr>
            <w:tcW w:w="601" w:type="pct"/>
          </w:tcPr>
          <w:p w14:paraId="5B3636E9" w14:textId="77777777" w:rsidR="00F94F86" w:rsidRPr="00DA7F25" w:rsidRDefault="00F94F86" w:rsidP="00DD393D">
            <w:pPr>
              <w:pStyle w:val="TableText"/>
              <w:spacing w:after="30"/>
              <w:jc w:val="right"/>
              <w:rPr>
                <w:rFonts w:eastAsia="Calibri"/>
              </w:rPr>
            </w:pPr>
            <w:r w:rsidRPr="00DA7F25">
              <w:t xml:space="preserve"> 18,820 </w:t>
            </w:r>
          </w:p>
        </w:tc>
        <w:tc>
          <w:tcPr>
            <w:tcW w:w="589" w:type="pct"/>
          </w:tcPr>
          <w:p w14:paraId="49E56495" w14:textId="77777777" w:rsidR="00F94F86" w:rsidRPr="00DA7F25" w:rsidRDefault="00F94F86" w:rsidP="00DD393D">
            <w:pPr>
              <w:pStyle w:val="TableText"/>
              <w:spacing w:after="30"/>
              <w:jc w:val="center"/>
              <w:rPr>
                <w:rFonts w:eastAsia="Calibri"/>
              </w:rPr>
            </w:pPr>
            <w:r w:rsidRPr="00DA7F25">
              <w:t>1%</w:t>
            </w:r>
          </w:p>
        </w:tc>
        <w:tc>
          <w:tcPr>
            <w:tcW w:w="657" w:type="pct"/>
          </w:tcPr>
          <w:p w14:paraId="00507D1A" w14:textId="77777777" w:rsidR="00F94F86" w:rsidRPr="00DA7F25" w:rsidRDefault="00F94F86" w:rsidP="00DD393D">
            <w:pPr>
              <w:pStyle w:val="TableText"/>
              <w:spacing w:after="30"/>
              <w:jc w:val="right"/>
              <w:rPr>
                <w:rFonts w:eastAsia="Calibri"/>
              </w:rPr>
            </w:pPr>
            <w:r w:rsidRPr="00DA7F25">
              <w:t xml:space="preserve"> 1,692,084 </w:t>
            </w:r>
          </w:p>
        </w:tc>
        <w:tc>
          <w:tcPr>
            <w:tcW w:w="589" w:type="pct"/>
          </w:tcPr>
          <w:p w14:paraId="2ADC012C" w14:textId="77777777" w:rsidR="00F94F86" w:rsidRPr="00DA7F25" w:rsidRDefault="00F94F86" w:rsidP="00DD393D">
            <w:pPr>
              <w:pStyle w:val="TableText"/>
              <w:spacing w:after="30"/>
              <w:jc w:val="center"/>
              <w:rPr>
                <w:b/>
                <w:color w:val="000000"/>
              </w:rPr>
            </w:pPr>
            <w:r w:rsidRPr="00DA7F25">
              <w:t>99%</w:t>
            </w:r>
          </w:p>
        </w:tc>
        <w:tc>
          <w:tcPr>
            <w:tcW w:w="657" w:type="pct"/>
          </w:tcPr>
          <w:p w14:paraId="5525CDB3" w14:textId="77777777" w:rsidR="00F94F86" w:rsidRPr="002066BE" w:rsidRDefault="00F94F86" w:rsidP="00DD393D">
            <w:pPr>
              <w:pStyle w:val="TableText"/>
              <w:spacing w:after="30"/>
              <w:jc w:val="right"/>
              <w:rPr>
                <w:rFonts w:eastAsia="Calibri"/>
                <w:b/>
                <w:bCs/>
              </w:rPr>
            </w:pPr>
            <w:r w:rsidRPr="002066BE">
              <w:rPr>
                <w:b/>
                <w:bCs/>
              </w:rPr>
              <w:t xml:space="preserve"> 1,710,904 </w:t>
            </w:r>
          </w:p>
        </w:tc>
      </w:tr>
      <w:tr w:rsidR="00F94F86" w:rsidRPr="00C34FFC" w14:paraId="22458349" w14:textId="77777777" w:rsidTr="006F6DD1">
        <w:trPr>
          <w:trHeight w:val="20"/>
        </w:trPr>
        <w:tc>
          <w:tcPr>
            <w:tcW w:w="1907" w:type="pct"/>
          </w:tcPr>
          <w:p w14:paraId="14AA6A5B" w14:textId="77777777" w:rsidR="00F94F86" w:rsidRPr="00C34FFC" w:rsidRDefault="00F94F86" w:rsidP="00DD393D">
            <w:pPr>
              <w:pStyle w:val="TableText"/>
              <w:spacing w:after="30"/>
              <w:rPr>
                <w:rFonts w:eastAsia="Calibri"/>
              </w:rPr>
            </w:pPr>
            <w:r w:rsidRPr="00C34FFC">
              <w:t>NSW: Nepean Blue Mountains</w:t>
            </w:r>
          </w:p>
        </w:tc>
        <w:tc>
          <w:tcPr>
            <w:tcW w:w="601" w:type="pct"/>
          </w:tcPr>
          <w:p w14:paraId="68BED5AF" w14:textId="77777777" w:rsidR="00F94F86" w:rsidRPr="00DA7F25" w:rsidRDefault="00F94F86" w:rsidP="00DD393D">
            <w:pPr>
              <w:pStyle w:val="TableText"/>
              <w:spacing w:after="30"/>
              <w:jc w:val="right"/>
              <w:rPr>
                <w:rFonts w:eastAsia="Calibri"/>
              </w:rPr>
            </w:pPr>
            <w:r w:rsidRPr="00DA7F25">
              <w:t xml:space="preserve"> 8,979,797 </w:t>
            </w:r>
          </w:p>
        </w:tc>
        <w:tc>
          <w:tcPr>
            <w:tcW w:w="589" w:type="pct"/>
          </w:tcPr>
          <w:p w14:paraId="7C18965A" w14:textId="77777777" w:rsidR="00F94F86" w:rsidRPr="00DA7F25" w:rsidRDefault="00F94F86" w:rsidP="00DD393D">
            <w:pPr>
              <w:pStyle w:val="TableText"/>
              <w:spacing w:after="30"/>
              <w:jc w:val="center"/>
              <w:rPr>
                <w:rFonts w:eastAsia="Calibri"/>
              </w:rPr>
            </w:pPr>
            <w:r w:rsidRPr="00DA7F25">
              <w:t>93%</w:t>
            </w:r>
          </w:p>
        </w:tc>
        <w:tc>
          <w:tcPr>
            <w:tcW w:w="657" w:type="pct"/>
          </w:tcPr>
          <w:p w14:paraId="564CFD98" w14:textId="77777777" w:rsidR="00F94F86" w:rsidRPr="00DA7F25" w:rsidRDefault="00F94F86" w:rsidP="00DD393D">
            <w:pPr>
              <w:pStyle w:val="TableText"/>
              <w:spacing w:after="30"/>
              <w:jc w:val="right"/>
              <w:rPr>
                <w:rFonts w:eastAsia="Calibri"/>
              </w:rPr>
            </w:pPr>
            <w:r w:rsidRPr="00DA7F25">
              <w:t xml:space="preserve"> 639,882 </w:t>
            </w:r>
          </w:p>
        </w:tc>
        <w:tc>
          <w:tcPr>
            <w:tcW w:w="589" w:type="pct"/>
          </w:tcPr>
          <w:p w14:paraId="62A996A5" w14:textId="77777777" w:rsidR="00F94F86" w:rsidRPr="00DA7F25" w:rsidRDefault="00F94F86" w:rsidP="00DD393D">
            <w:pPr>
              <w:pStyle w:val="TableText"/>
              <w:spacing w:after="30"/>
              <w:jc w:val="center"/>
              <w:rPr>
                <w:b/>
                <w:color w:val="000000"/>
              </w:rPr>
            </w:pPr>
            <w:r w:rsidRPr="00DA7F25">
              <w:t>7%</w:t>
            </w:r>
          </w:p>
        </w:tc>
        <w:tc>
          <w:tcPr>
            <w:tcW w:w="657" w:type="pct"/>
          </w:tcPr>
          <w:p w14:paraId="1F051D66" w14:textId="77777777" w:rsidR="00F94F86" w:rsidRPr="002066BE" w:rsidRDefault="00F94F86" w:rsidP="00DD393D">
            <w:pPr>
              <w:pStyle w:val="TableText"/>
              <w:spacing w:after="30"/>
              <w:jc w:val="right"/>
              <w:rPr>
                <w:rFonts w:eastAsia="Calibri"/>
                <w:b/>
                <w:bCs/>
              </w:rPr>
            </w:pPr>
            <w:r w:rsidRPr="002066BE">
              <w:rPr>
                <w:b/>
                <w:bCs/>
              </w:rPr>
              <w:t xml:space="preserve"> 9,619,679 </w:t>
            </w:r>
          </w:p>
        </w:tc>
      </w:tr>
      <w:tr w:rsidR="00F94F86" w:rsidRPr="00C34FFC" w14:paraId="5E02ECDF" w14:textId="77777777" w:rsidTr="006F6DD1">
        <w:trPr>
          <w:trHeight w:val="20"/>
        </w:trPr>
        <w:tc>
          <w:tcPr>
            <w:tcW w:w="1907" w:type="pct"/>
          </w:tcPr>
          <w:p w14:paraId="5FCA47F5" w14:textId="77777777" w:rsidR="00F94F86" w:rsidRPr="00C34FFC" w:rsidRDefault="00F94F86" w:rsidP="00DD393D">
            <w:pPr>
              <w:pStyle w:val="TableText"/>
              <w:spacing w:after="30"/>
              <w:rPr>
                <w:rFonts w:eastAsia="Calibri"/>
              </w:rPr>
            </w:pPr>
            <w:r w:rsidRPr="00C34FFC">
              <w:t>NSW: North Coast</w:t>
            </w:r>
          </w:p>
        </w:tc>
        <w:tc>
          <w:tcPr>
            <w:tcW w:w="601" w:type="pct"/>
          </w:tcPr>
          <w:p w14:paraId="6E3763EF" w14:textId="77777777" w:rsidR="00F94F86" w:rsidRPr="00DA7F25" w:rsidRDefault="00F94F86" w:rsidP="00DD393D">
            <w:pPr>
              <w:pStyle w:val="TableText"/>
              <w:spacing w:after="30"/>
              <w:jc w:val="right"/>
              <w:rPr>
                <w:rFonts w:eastAsia="Calibri"/>
              </w:rPr>
            </w:pPr>
            <w:r w:rsidRPr="00DA7F25">
              <w:t xml:space="preserve"> -</w:t>
            </w:r>
            <w:r w:rsidR="000B479E">
              <w:t xml:space="preserve"> </w:t>
            </w:r>
          </w:p>
        </w:tc>
        <w:tc>
          <w:tcPr>
            <w:tcW w:w="589" w:type="pct"/>
          </w:tcPr>
          <w:p w14:paraId="5E01B12C" w14:textId="77777777" w:rsidR="00F94F86" w:rsidRPr="00DA7F25" w:rsidRDefault="00F94F86" w:rsidP="00DD393D">
            <w:pPr>
              <w:pStyle w:val="TableText"/>
              <w:spacing w:after="30"/>
              <w:jc w:val="center"/>
              <w:rPr>
                <w:rFonts w:eastAsia="Calibri"/>
              </w:rPr>
            </w:pPr>
            <w:r w:rsidRPr="00DA7F25">
              <w:t>0%</w:t>
            </w:r>
          </w:p>
        </w:tc>
        <w:tc>
          <w:tcPr>
            <w:tcW w:w="657" w:type="pct"/>
          </w:tcPr>
          <w:p w14:paraId="01F6CDAA" w14:textId="77777777" w:rsidR="00F94F86" w:rsidRPr="00DA7F25" w:rsidRDefault="00F94F86" w:rsidP="00DD393D">
            <w:pPr>
              <w:pStyle w:val="TableText"/>
              <w:spacing w:after="30"/>
              <w:jc w:val="right"/>
              <w:rPr>
                <w:rFonts w:eastAsia="Calibri"/>
              </w:rPr>
            </w:pPr>
            <w:r w:rsidRPr="00DA7F25">
              <w:t xml:space="preserve"> 9,221,456 </w:t>
            </w:r>
          </w:p>
        </w:tc>
        <w:tc>
          <w:tcPr>
            <w:tcW w:w="589" w:type="pct"/>
          </w:tcPr>
          <w:p w14:paraId="743C9CB7" w14:textId="77777777" w:rsidR="00F94F86" w:rsidRPr="00DA7F25" w:rsidRDefault="00F94F86" w:rsidP="00DD393D">
            <w:pPr>
              <w:pStyle w:val="TableText"/>
              <w:spacing w:after="30"/>
              <w:jc w:val="center"/>
              <w:rPr>
                <w:b/>
                <w:color w:val="000000"/>
              </w:rPr>
            </w:pPr>
            <w:r w:rsidRPr="00DA7F25">
              <w:t>100%</w:t>
            </w:r>
          </w:p>
        </w:tc>
        <w:tc>
          <w:tcPr>
            <w:tcW w:w="657" w:type="pct"/>
          </w:tcPr>
          <w:p w14:paraId="54550DE5" w14:textId="77777777" w:rsidR="00F94F86" w:rsidRPr="002066BE" w:rsidRDefault="00F94F86" w:rsidP="00DD393D">
            <w:pPr>
              <w:pStyle w:val="TableText"/>
              <w:spacing w:after="30"/>
              <w:jc w:val="right"/>
              <w:rPr>
                <w:rFonts w:eastAsia="Calibri"/>
                <w:b/>
                <w:bCs/>
              </w:rPr>
            </w:pPr>
            <w:r w:rsidRPr="002066BE">
              <w:rPr>
                <w:b/>
                <w:bCs/>
              </w:rPr>
              <w:t xml:space="preserve"> 9,221,456 </w:t>
            </w:r>
          </w:p>
        </w:tc>
      </w:tr>
      <w:tr w:rsidR="00F94F86" w:rsidRPr="00C34FFC" w14:paraId="59C50EFD" w14:textId="77777777" w:rsidTr="006F6DD1">
        <w:trPr>
          <w:trHeight w:val="20"/>
        </w:trPr>
        <w:tc>
          <w:tcPr>
            <w:tcW w:w="1907" w:type="pct"/>
          </w:tcPr>
          <w:p w14:paraId="31460952" w14:textId="77777777" w:rsidR="00F94F86" w:rsidRPr="00C34FFC" w:rsidRDefault="00F94F86" w:rsidP="00DD393D">
            <w:pPr>
              <w:pStyle w:val="TableText"/>
              <w:spacing w:after="30"/>
              <w:rPr>
                <w:rFonts w:eastAsia="Calibri"/>
              </w:rPr>
            </w:pPr>
            <w:r w:rsidRPr="00C34FFC">
              <w:t>NSW: Northern Sydney</w:t>
            </w:r>
          </w:p>
        </w:tc>
        <w:tc>
          <w:tcPr>
            <w:tcW w:w="601" w:type="pct"/>
          </w:tcPr>
          <w:p w14:paraId="66E04E40" w14:textId="77777777" w:rsidR="00F94F86" w:rsidRPr="00DA7F25" w:rsidRDefault="00F94F86" w:rsidP="00DD393D">
            <w:pPr>
              <w:pStyle w:val="TableText"/>
              <w:spacing w:after="30"/>
              <w:jc w:val="right"/>
              <w:rPr>
                <w:rFonts w:eastAsia="Calibri"/>
              </w:rPr>
            </w:pPr>
            <w:r w:rsidRPr="00DA7F25">
              <w:t xml:space="preserve"> 400,397 </w:t>
            </w:r>
          </w:p>
        </w:tc>
        <w:tc>
          <w:tcPr>
            <w:tcW w:w="589" w:type="pct"/>
          </w:tcPr>
          <w:p w14:paraId="4626E7AF" w14:textId="77777777" w:rsidR="00F94F86" w:rsidRPr="00DA7F25" w:rsidRDefault="00F94F86" w:rsidP="00DD393D">
            <w:pPr>
              <w:pStyle w:val="TableText"/>
              <w:spacing w:after="30"/>
              <w:jc w:val="center"/>
              <w:rPr>
                <w:rFonts w:eastAsia="Calibri"/>
              </w:rPr>
            </w:pPr>
            <w:r w:rsidRPr="00DA7F25">
              <w:t>100%</w:t>
            </w:r>
          </w:p>
        </w:tc>
        <w:tc>
          <w:tcPr>
            <w:tcW w:w="657" w:type="pct"/>
          </w:tcPr>
          <w:p w14:paraId="5D92F6C5" w14:textId="77777777" w:rsidR="00F94F86" w:rsidRPr="00DA7F25" w:rsidRDefault="00F94F86" w:rsidP="00DD393D">
            <w:pPr>
              <w:pStyle w:val="TableText"/>
              <w:spacing w:after="30"/>
              <w:jc w:val="right"/>
              <w:rPr>
                <w:rFonts w:eastAsia="Calibri"/>
              </w:rPr>
            </w:pPr>
            <w:r w:rsidRPr="00DA7F25">
              <w:t xml:space="preserve"> -</w:t>
            </w:r>
            <w:r w:rsidR="000B479E">
              <w:t xml:space="preserve"> </w:t>
            </w:r>
          </w:p>
        </w:tc>
        <w:tc>
          <w:tcPr>
            <w:tcW w:w="589" w:type="pct"/>
          </w:tcPr>
          <w:p w14:paraId="6A11C75E" w14:textId="77777777" w:rsidR="00F94F86" w:rsidRPr="00DA7F25" w:rsidRDefault="00F94F86" w:rsidP="00DD393D">
            <w:pPr>
              <w:pStyle w:val="TableText"/>
              <w:spacing w:after="30"/>
              <w:jc w:val="center"/>
              <w:rPr>
                <w:b/>
                <w:color w:val="000000"/>
              </w:rPr>
            </w:pPr>
            <w:r w:rsidRPr="00DA7F25">
              <w:t>0%</w:t>
            </w:r>
          </w:p>
        </w:tc>
        <w:tc>
          <w:tcPr>
            <w:tcW w:w="657" w:type="pct"/>
          </w:tcPr>
          <w:p w14:paraId="471A5F41" w14:textId="77777777" w:rsidR="00F94F86" w:rsidRPr="002066BE" w:rsidRDefault="00F94F86" w:rsidP="00DD393D">
            <w:pPr>
              <w:pStyle w:val="TableText"/>
              <w:spacing w:after="30"/>
              <w:jc w:val="right"/>
              <w:rPr>
                <w:rFonts w:eastAsia="Calibri"/>
                <w:b/>
                <w:bCs/>
              </w:rPr>
            </w:pPr>
            <w:r w:rsidRPr="002066BE">
              <w:rPr>
                <w:b/>
                <w:bCs/>
              </w:rPr>
              <w:t xml:space="preserve"> 400,397 </w:t>
            </w:r>
          </w:p>
        </w:tc>
      </w:tr>
      <w:tr w:rsidR="00F94F86" w:rsidRPr="00C34FFC" w14:paraId="7F331BE3" w14:textId="77777777" w:rsidTr="006F6DD1">
        <w:trPr>
          <w:trHeight w:val="20"/>
        </w:trPr>
        <w:tc>
          <w:tcPr>
            <w:tcW w:w="1907" w:type="pct"/>
          </w:tcPr>
          <w:p w14:paraId="77DCD999" w14:textId="77777777" w:rsidR="00F94F86" w:rsidRPr="00C34FFC" w:rsidRDefault="00F94F86" w:rsidP="00DD393D">
            <w:pPr>
              <w:pStyle w:val="TableText"/>
              <w:spacing w:after="30"/>
              <w:rPr>
                <w:rFonts w:eastAsia="Calibri"/>
              </w:rPr>
            </w:pPr>
            <w:r w:rsidRPr="00C34FFC">
              <w:t>NSW: South Eastern NSW</w:t>
            </w:r>
          </w:p>
        </w:tc>
        <w:tc>
          <w:tcPr>
            <w:tcW w:w="601" w:type="pct"/>
          </w:tcPr>
          <w:p w14:paraId="6E94ACAE" w14:textId="77777777" w:rsidR="00F94F86" w:rsidRPr="00DA7F25" w:rsidRDefault="00F94F86" w:rsidP="00DD393D">
            <w:pPr>
              <w:pStyle w:val="TableText"/>
              <w:spacing w:after="30"/>
              <w:jc w:val="right"/>
              <w:rPr>
                <w:rFonts w:eastAsia="Calibri"/>
              </w:rPr>
            </w:pPr>
            <w:r w:rsidRPr="00DA7F25">
              <w:t xml:space="preserve"> 820,597 </w:t>
            </w:r>
          </w:p>
        </w:tc>
        <w:tc>
          <w:tcPr>
            <w:tcW w:w="589" w:type="pct"/>
          </w:tcPr>
          <w:p w14:paraId="58B170D7" w14:textId="77777777" w:rsidR="00F94F86" w:rsidRPr="00DA7F25" w:rsidRDefault="00F94F86" w:rsidP="00DD393D">
            <w:pPr>
              <w:pStyle w:val="TableText"/>
              <w:spacing w:after="30"/>
              <w:jc w:val="center"/>
              <w:rPr>
                <w:rFonts w:eastAsia="Calibri"/>
              </w:rPr>
            </w:pPr>
            <w:r w:rsidRPr="00DA7F25">
              <w:t>13%</w:t>
            </w:r>
          </w:p>
        </w:tc>
        <w:tc>
          <w:tcPr>
            <w:tcW w:w="657" w:type="pct"/>
          </w:tcPr>
          <w:p w14:paraId="2A42DC05" w14:textId="77777777" w:rsidR="00F94F86" w:rsidRPr="00DA7F25" w:rsidRDefault="00F94F86" w:rsidP="00DD393D">
            <w:pPr>
              <w:pStyle w:val="TableText"/>
              <w:spacing w:after="30"/>
              <w:jc w:val="right"/>
              <w:rPr>
                <w:rFonts w:eastAsia="Calibri"/>
              </w:rPr>
            </w:pPr>
            <w:r w:rsidRPr="00DA7F25">
              <w:t xml:space="preserve"> 5,442,597 </w:t>
            </w:r>
          </w:p>
        </w:tc>
        <w:tc>
          <w:tcPr>
            <w:tcW w:w="589" w:type="pct"/>
          </w:tcPr>
          <w:p w14:paraId="61FF8594" w14:textId="77777777" w:rsidR="00F94F86" w:rsidRPr="00DA7F25" w:rsidRDefault="00F94F86" w:rsidP="00DD393D">
            <w:pPr>
              <w:pStyle w:val="TableText"/>
              <w:spacing w:after="30"/>
              <w:jc w:val="center"/>
              <w:rPr>
                <w:b/>
                <w:color w:val="000000"/>
              </w:rPr>
            </w:pPr>
            <w:r w:rsidRPr="00DA7F25">
              <w:t>87%</w:t>
            </w:r>
          </w:p>
        </w:tc>
        <w:tc>
          <w:tcPr>
            <w:tcW w:w="657" w:type="pct"/>
          </w:tcPr>
          <w:p w14:paraId="22B46FD6" w14:textId="77777777" w:rsidR="00F94F86" w:rsidRPr="002066BE" w:rsidRDefault="00F94F86" w:rsidP="00DD393D">
            <w:pPr>
              <w:pStyle w:val="TableText"/>
              <w:spacing w:after="30"/>
              <w:jc w:val="right"/>
              <w:rPr>
                <w:rFonts w:eastAsia="Calibri"/>
                <w:b/>
                <w:bCs/>
              </w:rPr>
            </w:pPr>
            <w:r w:rsidRPr="002066BE">
              <w:rPr>
                <w:b/>
                <w:bCs/>
              </w:rPr>
              <w:t xml:space="preserve"> 6,263,194 </w:t>
            </w:r>
          </w:p>
        </w:tc>
      </w:tr>
      <w:tr w:rsidR="00F94F86" w:rsidRPr="00C34FFC" w14:paraId="36473808" w14:textId="77777777" w:rsidTr="006F6DD1">
        <w:trPr>
          <w:trHeight w:val="20"/>
        </w:trPr>
        <w:tc>
          <w:tcPr>
            <w:tcW w:w="1907" w:type="pct"/>
          </w:tcPr>
          <w:p w14:paraId="66C1C7AD" w14:textId="77777777" w:rsidR="00F94F86" w:rsidRPr="00C34FFC" w:rsidRDefault="00F94F86" w:rsidP="00DD393D">
            <w:pPr>
              <w:pStyle w:val="TableText"/>
              <w:spacing w:after="30"/>
              <w:rPr>
                <w:rFonts w:eastAsia="Calibri"/>
              </w:rPr>
            </w:pPr>
            <w:r w:rsidRPr="00C34FFC">
              <w:t>NSW: South Western Sydney</w:t>
            </w:r>
          </w:p>
        </w:tc>
        <w:tc>
          <w:tcPr>
            <w:tcW w:w="601" w:type="pct"/>
          </w:tcPr>
          <w:p w14:paraId="33162D90" w14:textId="77777777" w:rsidR="00F94F86" w:rsidRPr="00DA7F25" w:rsidRDefault="00F94F86" w:rsidP="00DD393D">
            <w:pPr>
              <w:pStyle w:val="TableText"/>
              <w:spacing w:after="30"/>
              <w:jc w:val="right"/>
              <w:rPr>
                <w:rFonts w:eastAsia="Calibri"/>
              </w:rPr>
            </w:pPr>
            <w:r w:rsidRPr="00DA7F25">
              <w:t xml:space="preserve"> 451,423 </w:t>
            </w:r>
          </w:p>
        </w:tc>
        <w:tc>
          <w:tcPr>
            <w:tcW w:w="589" w:type="pct"/>
          </w:tcPr>
          <w:p w14:paraId="74DEAE7F" w14:textId="77777777" w:rsidR="00F94F86" w:rsidRPr="00DA7F25" w:rsidRDefault="00F94F86" w:rsidP="00DD393D">
            <w:pPr>
              <w:pStyle w:val="TableText"/>
              <w:spacing w:after="30"/>
              <w:jc w:val="center"/>
              <w:rPr>
                <w:rFonts w:eastAsia="Calibri"/>
              </w:rPr>
            </w:pPr>
            <w:r w:rsidRPr="00DA7F25">
              <w:t>50%</w:t>
            </w:r>
          </w:p>
        </w:tc>
        <w:tc>
          <w:tcPr>
            <w:tcW w:w="657" w:type="pct"/>
          </w:tcPr>
          <w:p w14:paraId="1DD93F64" w14:textId="77777777" w:rsidR="00F94F86" w:rsidRPr="00DA7F25" w:rsidRDefault="00F94F86" w:rsidP="00DD393D">
            <w:pPr>
              <w:pStyle w:val="TableText"/>
              <w:spacing w:after="30"/>
              <w:jc w:val="right"/>
              <w:rPr>
                <w:rFonts w:eastAsia="Calibri"/>
              </w:rPr>
            </w:pPr>
            <w:r w:rsidRPr="00DA7F25">
              <w:t xml:space="preserve"> 442,795 </w:t>
            </w:r>
          </w:p>
        </w:tc>
        <w:tc>
          <w:tcPr>
            <w:tcW w:w="589" w:type="pct"/>
          </w:tcPr>
          <w:p w14:paraId="32619F8B" w14:textId="77777777" w:rsidR="00F94F86" w:rsidRPr="00DA7F25" w:rsidRDefault="00F94F86" w:rsidP="00DD393D">
            <w:pPr>
              <w:pStyle w:val="TableText"/>
              <w:spacing w:after="30"/>
              <w:jc w:val="center"/>
              <w:rPr>
                <w:b/>
                <w:color w:val="000000"/>
              </w:rPr>
            </w:pPr>
            <w:r w:rsidRPr="00DA7F25">
              <w:t>50%</w:t>
            </w:r>
          </w:p>
        </w:tc>
        <w:tc>
          <w:tcPr>
            <w:tcW w:w="657" w:type="pct"/>
          </w:tcPr>
          <w:p w14:paraId="66326485" w14:textId="77777777" w:rsidR="00F94F86" w:rsidRPr="002066BE" w:rsidRDefault="00F94F86" w:rsidP="00DD393D">
            <w:pPr>
              <w:pStyle w:val="TableText"/>
              <w:spacing w:after="30"/>
              <w:jc w:val="right"/>
              <w:rPr>
                <w:rFonts w:eastAsia="Calibri"/>
                <w:b/>
                <w:bCs/>
              </w:rPr>
            </w:pPr>
            <w:r w:rsidRPr="002066BE">
              <w:rPr>
                <w:b/>
                <w:bCs/>
              </w:rPr>
              <w:t xml:space="preserve"> 894,218 </w:t>
            </w:r>
          </w:p>
        </w:tc>
      </w:tr>
      <w:tr w:rsidR="00F94F86" w:rsidRPr="00C34FFC" w14:paraId="4E3D1C15" w14:textId="77777777" w:rsidTr="006F6DD1">
        <w:trPr>
          <w:trHeight w:val="20"/>
        </w:trPr>
        <w:tc>
          <w:tcPr>
            <w:tcW w:w="1907" w:type="pct"/>
          </w:tcPr>
          <w:p w14:paraId="653D4C18" w14:textId="77777777" w:rsidR="00F94F86" w:rsidRPr="00C34FFC" w:rsidRDefault="00F94F86" w:rsidP="00DD393D">
            <w:pPr>
              <w:pStyle w:val="TableText"/>
              <w:spacing w:after="30"/>
              <w:rPr>
                <w:rFonts w:eastAsia="Calibri"/>
              </w:rPr>
            </w:pPr>
            <w:r w:rsidRPr="00C34FFC">
              <w:t>NSW: Western NSW</w:t>
            </w:r>
          </w:p>
        </w:tc>
        <w:tc>
          <w:tcPr>
            <w:tcW w:w="601" w:type="pct"/>
          </w:tcPr>
          <w:p w14:paraId="7B9D0F9A" w14:textId="77777777" w:rsidR="00F94F86" w:rsidRPr="00DA7F25" w:rsidRDefault="00F94F86" w:rsidP="00DD393D">
            <w:pPr>
              <w:pStyle w:val="TableText"/>
              <w:spacing w:after="30"/>
              <w:jc w:val="right"/>
              <w:rPr>
                <w:rFonts w:eastAsia="Calibri"/>
              </w:rPr>
            </w:pPr>
            <w:r w:rsidRPr="00DA7F25">
              <w:t xml:space="preserve"> 134,112 </w:t>
            </w:r>
          </w:p>
        </w:tc>
        <w:tc>
          <w:tcPr>
            <w:tcW w:w="589" w:type="pct"/>
          </w:tcPr>
          <w:p w14:paraId="536C93CF" w14:textId="77777777" w:rsidR="00F94F86" w:rsidRPr="00DA7F25" w:rsidRDefault="00F94F86" w:rsidP="00DD393D">
            <w:pPr>
              <w:pStyle w:val="TableText"/>
              <w:spacing w:after="30"/>
              <w:jc w:val="center"/>
              <w:rPr>
                <w:rFonts w:eastAsia="Calibri"/>
              </w:rPr>
            </w:pPr>
            <w:r w:rsidRPr="00DA7F25">
              <w:t>6%</w:t>
            </w:r>
          </w:p>
        </w:tc>
        <w:tc>
          <w:tcPr>
            <w:tcW w:w="657" w:type="pct"/>
          </w:tcPr>
          <w:p w14:paraId="076F58A0" w14:textId="77777777" w:rsidR="00F94F86" w:rsidRPr="00DA7F25" w:rsidRDefault="00F94F86" w:rsidP="00DD393D">
            <w:pPr>
              <w:pStyle w:val="TableText"/>
              <w:spacing w:after="30"/>
              <w:jc w:val="right"/>
              <w:rPr>
                <w:rFonts w:eastAsia="Calibri"/>
              </w:rPr>
            </w:pPr>
            <w:r w:rsidRPr="00DA7F25">
              <w:t xml:space="preserve"> 2,246,780 </w:t>
            </w:r>
          </w:p>
        </w:tc>
        <w:tc>
          <w:tcPr>
            <w:tcW w:w="589" w:type="pct"/>
          </w:tcPr>
          <w:p w14:paraId="55A79F3B" w14:textId="77777777" w:rsidR="00F94F86" w:rsidRPr="00DA7F25" w:rsidRDefault="00F94F86" w:rsidP="00DD393D">
            <w:pPr>
              <w:pStyle w:val="TableText"/>
              <w:spacing w:after="30"/>
              <w:jc w:val="center"/>
              <w:rPr>
                <w:b/>
                <w:color w:val="000000"/>
              </w:rPr>
            </w:pPr>
            <w:r w:rsidRPr="00DA7F25">
              <w:t>94%</w:t>
            </w:r>
          </w:p>
        </w:tc>
        <w:tc>
          <w:tcPr>
            <w:tcW w:w="657" w:type="pct"/>
          </w:tcPr>
          <w:p w14:paraId="1A94819D" w14:textId="77777777" w:rsidR="00F94F86" w:rsidRPr="002066BE" w:rsidRDefault="00F94F86" w:rsidP="00DD393D">
            <w:pPr>
              <w:pStyle w:val="TableText"/>
              <w:spacing w:after="30"/>
              <w:jc w:val="right"/>
              <w:rPr>
                <w:rFonts w:eastAsia="Calibri"/>
                <w:b/>
                <w:bCs/>
              </w:rPr>
            </w:pPr>
            <w:r w:rsidRPr="002066BE">
              <w:rPr>
                <w:b/>
                <w:bCs/>
              </w:rPr>
              <w:t xml:space="preserve"> 2,380,892 </w:t>
            </w:r>
          </w:p>
        </w:tc>
      </w:tr>
      <w:tr w:rsidR="00F94F86" w:rsidRPr="00C34FFC" w14:paraId="3E70BC76" w14:textId="77777777" w:rsidTr="006F6DD1">
        <w:trPr>
          <w:trHeight w:val="20"/>
        </w:trPr>
        <w:tc>
          <w:tcPr>
            <w:tcW w:w="1907" w:type="pct"/>
          </w:tcPr>
          <w:p w14:paraId="196B2660" w14:textId="77777777" w:rsidR="00F94F86" w:rsidRPr="00C34FFC" w:rsidRDefault="00F94F86" w:rsidP="00DD393D">
            <w:pPr>
              <w:pStyle w:val="TableText"/>
              <w:spacing w:after="30"/>
              <w:rPr>
                <w:rFonts w:eastAsia="Calibri"/>
              </w:rPr>
            </w:pPr>
            <w:r w:rsidRPr="00C34FFC">
              <w:t>NSW: Western Sydney</w:t>
            </w:r>
          </w:p>
        </w:tc>
        <w:tc>
          <w:tcPr>
            <w:tcW w:w="601" w:type="pct"/>
          </w:tcPr>
          <w:p w14:paraId="3EABF50F" w14:textId="77777777" w:rsidR="00F94F86" w:rsidRPr="00DA7F25" w:rsidRDefault="00F94F86" w:rsidP="00DD393D">
            <w:pPr>
              <w:pStyle w:val="TableText"/>
              <w:spacing w:after="30"/>
              <w:jc w:val="right"/>
              <w:rPr>
                <w:rFonts w:eastAsia="Calibri"/>
              </w:rPr>
            </w:pPr>
            <w:r w:rsidRPr="00DA7F25">
              <w:t xml:space="preserve"> 1,210,172 </w:t>
            </w:r>
          </w:p>
        </w:tc>
        <w:tc>
          <w:tcPr>
            <w:tcW w:w="589" w:type="pct"/>
          </w:tcPr>
          <w:p w14:paraId="65E52587" w14:textId="77777777" w:rsidR="00F94F86" w:rsidRPr="00DA7F25" w:rsidRDefault="00F94F86" w:rsidP="00DD393D">
            <w:pPr>
              <w:pStyle w:val="TableText"/>
              <w:spacing w:after="30"/>
              <w:jc w:val="center"/>
              <w:rPr>
                <w:rFonts w:eastAsia="Calibri"/>
              </w:rPr>
            </w:pPr>
            <w:r w:rsidRPr="00DA7F25">
              <w:t>100%</w:t>
            </w:r>
          </w:p>
        </w:tc>
        <w:tc>
          <w:tcPr>
            <w:tcW w:w="657" w:type="pct"/>
          </w:tcPr>
          <w:p w14:paraId="22DD8728" w14:textId="77777777" w:rsidR="00F94F86" w:rsidRPr="00DA7F25" w:rsidRDefault="00F94F86" w:rsidP="00DD393D">
            <w:pPr>
              <w:pStyle w:val="TableText"/>
              <w:spacing w:after="30"/>
              <w:jc w:val="right"/>
              <w:rPr>
                <w:rFonts w:eastAsia="Calibri"/>
              </w:rPr>
            </w:pPr>
            <w:r w:rsidRPr="00DA7F25">
              <w:t xml:space="preserve"> -</w:t>
            </w:r>
            <w:r w:rsidR="000B479E">
              <w:t xml:space="preserve"> </w:t>
            </w:r>
          </w:p>
        </w:tc>
        <w:tc>
          <w:tcPr>
            <w:tcW w:w="589" w:type="pct"/>
          </w:tcPr>
          <w:p w14:paraId="2796DE94" w14:textId="77777777" w:rsidR="00F94F86" w:rsidRPr="00DA7F25" w:rsidRDefault="00F94F86" w:rsidP="00DD393D">
            <w:pPr>
              <w:pStyle w:val="TableText"/>
              <w:spacing w:after="30"/>
              <w:jc w:val="center"/>
              <w:rPr>
                <w:b/>
                <w:color w:val="000000"/>
              </w:rPr>
            </w:pPr>
            <w:r w:rsidRPr="00DA7F25">
              <w:t>0%</w:t>
            </w:r>
          </w:p>
        </w:tc>
        <w:tc>
          <w:tcPr>
            <w:tcW w:w="657" w:type="pct"/>
          </w:tcPr>
          <w:p w14:paraId="61E58D75" w14:textId="77777777" w:rsidR="00F94F86" w:rsidRPr="002066BE" w:rsidRDefault="00F94F86" w:rsidP="00DD393D">
            <w:pPr>
              <w:pStyle w:val="TableText"/>
              <w:spacing w:after="30"/>
              <w:jc w:val="right"/>
              <w:rPr>
                <w:rFonts w:eastAsia="Calibri"/>
                <w:b/>
                <w:bCs/>
              </w:rPr>
            </w:pPr>
            <w:r w:rsidRPr="002066BE">
              <w:rPr>
                <w:b/>
                <w:bCs/>
              </w:rPr>
              <w:t xml:space="preserve"> 1,210,172 </w:t>
            </w:r>
          </w:p>
        </w:tc>
      </w:tr>
      <w:tr w:rsidR="00F94F86" w:rsidRPr="00C34FFC" w14:paraId="549EA012" w14:textId="77777777" w:rsidTr="006F6DD1">
        <w:trPr>
          <w:trHeight w:val="20"/>
        </w:trPr>
        <w:tc>
          <w:tcPr>
            <w:tcW w:w="1907" w:type="pct"/>
          </w:tcPr>
          <w:p w14:paraId="05FAD77C" w14:textId="77777777" w:rsidR="00F94F86" w:rsidRPr="00C34FFC" w:rsidRDefault="00F94F86" w:rsidP="00DD393D">
            <w:pPr>
              <w:pStyle w:val="TableText"/>
              <w:spacing w:after="30"/>
              <w:rPr>
                <w:rFonts w:eastAsia="Calibri"/>
              </w:rPr>
            </w:pPr>
            <w:r w:rsidRPr="00C34FFC">
              <w:t>NT: Northern Territory</w:t>
            </w:r>
          </w:p>
        </w:tc>
        <w:tc>
          <w:tcPr>
            <w:tcW w:w="601" w:type="pct"/>
          </w:tcPr>
          <w:p w14:paraId="032950A5" w14:textId="77777777" w:rsidR="00F94F86" w:rsidRPr="00DA7F25" w:rsidRDefault="00F94F86" w:rsidP="00DD393D">
            <w:pPr>
              <w:pStyle w:val="TableText"/>
              <w:spacing w:after="30"/>
              <w:jc w:val="right"/>
              <w:rPr>
                <w:rFonts w:eastAsia="Calibri"/>
              </w:rPr>
            </w:pPr>
            <w:r w:rsidRPr="00DA7F25">
              <w:t xml:space="preserve"> 4,811,109 </w:t>
            </w:r>
          </w:p>
        </w:tc>
        <w:tc>
          <w:tcPr>
            <w:tcW w:w="589" w:type="pct"/>
          </w:tcPr>
          <w:p w14:paraId="63077DF1" w14:textId="77777777" w:rsidR="00F94F86" w:rsidRPr="00DA7F25" w:rsidRDefault="00F94F86" w:rsidP="00DD393D">
            <w:pPr>
              <w:pStyle w:val="TableText"/>
              <w:spacing w:after="30"/>
              <w:jc w:val="center"/>
              <w:rPr>
                <w:rFonts w:eastAsia="Calibri"/>
              </w:rPr>
            </w:pPr>
            <w:r w:rsidRPr="00DA7F25">
              <w:t>18%</w:t>
            </w:r>
          </w:p>
        </w:tc>
        <w:tc>
          <w:tcPr>
            <w:tcW w:w="657" w:type="pct"/>
          </w:tcPr>
          <w:p w14:paraId="317762A4" w14:textId="77777777" w:rsidR="00F94F86" w:rsidRPr="00DA7F25" w:rsidRDefault="00F94F86" w:rsidP="00DD393D">
            <w:pPr>
              <w:pStyle w:val="TableText"/>
              <w:spacing w:after="30"/>
              <w:jc w:val="right"/>
              <w:rPr>
                <w:rFonts w:eastAsia="Calibri"/>
              </w:rPr>
            </w:pPr>
            <w:r w:rsidRPr="00DA7F25">
              <w:t xml:space="preserve"> 21,879,911 </w:t>
            </w:r>
          </w:p>
        </w:tc>
        <w:tc>
          <w:tcPr>
            <w:tcW w:w="589" w:type="pct"/>
          </w:tcPr>
          <w:p w14:paraId="4C10011F" w14:textId="77777777" w:rsidR="00F94F86" w:rsidRPr="00DA7F25" w:rsidRDefault="00F94F86" w:rsidP="00DD393D">
            <w:pPr>
              <w:pStyle w:val="TableText"/>
              <w:spacing w:after="30"/>
              <w:jc w:val="center"/>
              <w:rPr>
                <w:b/>
                <w:color w:val="000000"/>
              </w:rPr>
            </w:pPr>
            <w:r w:rsidRPr="00DA7F25">
              <w:t>82%</w:t>
            </w:r>
          </w:p>
        </w:tc>
        <w:tc>
          <w:tcPr>
            <w:tcW w:w="657" w:type="pct"/>
          </w:tcPr>
          <w:p w14:paraId="1D07F069" w14:textId="77777777" w:rsidR="00F94F86" w:rsidRPr="002066BE" w:rsidRDefault="00F94F86" w:rsidP="00DD393D">
            <w:pPr>
              <w:pStyle w:val="TableText"/>
              <w:spacing w:after="30"/>
              <w:jc w:val="right"/>
              <w:rPr>
                <w:rFonts w:eastAsia="Calibri"/>
                <w:b/>
                <w:bCs/>
              </w:rPr>
            </w:pPr>
            <w:r w:rsidRPr="002066BE">
              <w:rPr>
                <w:b/>
                <w:bCs/>
              </w:rPr>
              <w:t xml:space="preserve"> 26,691,020 </w:t>
            </w:r>
          </w:p>
        </w:tc>
      </w:tr>
      <w:tr w:rsidR="00F94F86" w:rsidRPr="00C34FFC" w14:paraId="4A85DC49" w14:textId="77777777" w:rsidTr="006F6DD1">
        <w:trPr>
          <w:trHeight w:val="20"/>
        </w:trPr>
        <w:tc>
          <w:tcPr>
            <w:tcW w:w="1907" w:type="pct"/>
          </w:tcPr>
          <w:p w14:paraId="646FA7A8" w14:textId="77777777" w:rsidR="00F94F86" w:rsidRPr="00C34FFC" w:rsidRDefault="00F94F86" w:rsidP="00DD393D">
            <w:pPr>
              <w:pStyle w:val="TableText"/>
              <w:spacing w:after="30"/>
              <w:rPr>
                <w:rFonts w:eastAsia="Calibri"/>
              </w:rPr>
            </w:pPr>
            <w:r w:rsidRPr="00C34FFC">
              <w:t>Qld: Brisbane North</w:t>
            </w:r>
          </w:p>
        </w:tc>
        <w:tc>
          <w:tcPr>
            <w:tcW w:w="601" w:type="pct"/>
          </w:tcPr>
          <w:p w14:paraId="2A7FBF0F" w14:textId="77777777" w:rsidR="00F94F86" w:rsidRPr="00DA7F25" w:rsidRDefault="00F94F86" w:rsidP="00DD393D">
            <w:pPr>
              <w:pStyle w:val="TableText"/>
              <w:spacing w:after="30"/>
              <w:jc w:val="right"/>
              <w:rPr>
                <w:rFonts w:eastAsia="Calibri"/>
              </w:rPr>
            </w:pPr>
            <w:r w:rsidRPr="00DA7F25">
              <w:t xml:space="preserve"> -</w:t>
            </w:r>
            <w:r w:rsidR="000B479E">
              <w:t xml:space="preserve"> </w:t>
            </w:r>
          </w:p>
        </w:tc>
        <w:tc>
          <w:tcPr>
            <w:tcW w:w="589" w:type="pct"/>
          </w:tcPr>
          <w:p w14:paraId="01D172ED" w14:textId="77777777" w:rsidR="00F94F86" w:rsidRPr="00DA7F25" w:rsidRDefault="00F94F86" w:rsidP="00DD393D">
            <w:pPr>
              <w:pStyle w:val="TableText"/>
              <w:spacing w:after="30"/>
              <w:jc w:val="center"/>
              <w:rPr>
                <w:rFonts w:eastAsia="Calibri"/>
              </w:rPr>
            </w:pPr>
            <w:r w:rsidRPr="00DA7F25">
              <w:t>0%</w:t>
            </w:r>
          </w:p>
        </w:tc>
        <w:tc>
          <w:tcPr>
            <w:tcW w:w="657" w:type="pct"/>
          </w:tcPr>
          <w:p w14:paraId="5B32A4B8" w14:textId="77777777" w:rsidR="00F94F86" w:rsidRPr="00DA7F25" w:rsidRDefault="00F94F86" w:rsidP="00DD393D">
            <w:pPr>
              <w:pStyle w:val="TableText"/>
              <w:spacing w:after="30"/>
              <w:jc w:val="right"/>
              <w:rPr>
                <w:rFonts w:eastAsia="Calibri"/>
              </w:rPr>
            </w:pPr>
            <w:r w:rsidRPr="00DA7F25">
              <w:t xml:space="preserve"> 5,072,801 </w:t>
            </w:r>
          </w:p>
        </w:tc>
        <w:tc>
          <w:tcPr>
            <w:tcW w:w="589" w:type="pct"/>
          </w:tcPr>
          <w:p w14:paraId="40E610A5" w14:textId="77777777" w:rsidR="00F94F86" w:rsidRPr="00DA7F25" w:rsidRDefault="00F94F86" w:rsidP="00DD393D">
            <w:pPr>
              <w:pStyle w:val="TableText"/>
              <w:spacing w:after="30"/>
              <w:jc w:val="center"/>
              <w:rPr>
                <w:b/>
                <w:color w:val="000000"/>
              </w:rPr>
            </w:pPr>
            <w:r w:rsidRPr="00DA7F25">
              <w:t>100%</w:t>
            </w:r>
          </w:p>
        </w:tc>
        <w:tc>
          <w:tcPr>
            <w:tcW w:w="657" w:type="pct"/>
          </w:tcPr>
          <w:p w14:paraId="551966B4" w14:textId="77777777" w:rsidR="00F94F86" w:rsidRPr="002066BE" w:rsidRDefault="00F94F86" w:rsidP="00DD393D">
            <w:pPr>
              <w:pStyle w:val="TableText"/>
              <w:spacing w:after="30"/>
              <w:jc w:val="right"/>
              <w:rPr>
                <w:rFonts w:eastAsia="Calibri"/>
                <w:b/>
                <w:bCs/>
              </w:rPr>
            </w:pPr>
            <w:r w:rsidRPr="002066BE">
              <w:rPr>
                <w:b/>
                <w:bCs/>
              </w:rPr>
              <w:t xml:space="preserve"> 5,072,801 </w:t>
            </w:r>
          </w:p>
        </w:tc>
      </w:tr>
      <w:tr w:rsidR="00F94F86" w:rsidRPr="00C34FFC" w14:paraId="6C2B9114" w14:textId="77777777" w:rsidTr="006F6DD1">
        <w:trPr>
          <w:trHeight w:val="20"/>
        </w:trPr>
        <w:tc>
          <w:tcPr>
            <w:tcW w:w="1907" w:type="pct"/>
          </w:tcPr>
          <w:p w14:paraId="0C60AEA5" w14:textId="77777777" w:rsidR="00F94F86" w:rsidRPr="00C34FFC" w:rsidRDefault="00F94F86" w:rsidP="00DD393D">
            <w:pPr>
              <w:pStyle w:val="TableText"/>
              <w:spacing w:after="30"/>
              <w:rPr>
                <w:rFonts w:eastAsia="Calibri"/>
              </w:rPr>
            </w:pPr>
            <w:r w:rsidRPr="00C34FFC">
              <w:t>Qld: Brisbane South</w:t>
            </w:r>
          </w:p>
        </w:tc>
        <w:tc>
          <w:tcPr>
            <w:tcW w:w="601" w:type="pct"/>
          </w:tcPr>
          <w:p w14:paraId="7418A669" w14:textId="77777777" w:rsidR="00F94F86" w:rsidRPr="00DA7F25" w:rsidRDefault="00F94F86" w:rsidP="00DD393D">
            <w:pPr>
              <w:pStyle w:val="TableText"/>
              <w:spacing w:after="30"/>
              <w:jc w:val="right"/>
              <w:rPr>
                <w:rFonts w:eastAsia="Calibri"/>
              </w:rPr>
            </w:pPr>
            <w:r w:rsidRPr="00DA7F25">
              <w:t xml:space="preserve"> 29,000 </w:t>
            </w:r>
          </w:p>
        </w:tc>
        <w:tc>
          <w:tcPr>
            <w:tcW w:w="589" w:type="pct"/>
          </w:tcPr>
          <w:p w14:paraId="70B50C5E" w14:textId="77777777" w:rsidR="00F94F86" w:rsidRPr="00DA7F25" w:rsidRDefault="00F94F86" w:rsidP="00DD393D">
            <w:pPr>
              <w:pStyle w:val="TableText"/>
              <w:spacing w:after="30"/>
              <w:jc w:val="center"/>
              <w:rPr>
                <w:rFonts w:eastAsia="Calibri"/>
              </w:rPr>
            </w:pPr>
            <w:r w:rsidRPr="00DA7F25">
              <w:t>2%</w:t>
            </w:r>
          </w:p>
        </w:tc>
        <w:tc>
          <w:tcPr>
            <w:tcW w:w="657" w:type="pct"/>
          </w:tcPr>
          <w:p w14:paraId="6CA86682" w14:textId="77777777" w:rsidR="00F94F86" w:rsidRPr="00DA7F25" w:rsidRDefault="00F94F86" w:rsidP="00DD393D">
            <w:pPr>
              <w:pStyle w:val="TableText"/>
              <w:spacing w:after="30"/>
              <w:jc w:val="right"/>
              <w:rPr>
                <w:rFonts w:eastAsia="Calibri"/>
              </w:rPr>
            </w:pPr>
            <w:r w:rsidRPr="00DA7F25">
              <w:t xml:space="preserve"> 1,467,715 </w:t>
            </w:r>
          </w:p>
        </w:tc>
        <w:tc>
          <w:tcPr>
            <w:tcW w:w="589" w:type="pct"/>
          </w:tcPr>
          <w:p w14:paraId="13718CE1" w14:textId="77777777" w:rsidR="00F94F86" w:rsidRPr="00DA7F25" w:rsidRDefault="00F94F86" w:rsidP="00DD393D">
            <w:pPr>
              <w:pStyle w:val="TableText"/>
              <w:spacing w:after="30"/>
              <w:jc w:val="center"/>
              <w:rPr>
                <w:b/>
                <w:color w:val="000000"/>
              </w:rPr>
            </w:pPr>
            <w:r w:rsidRPr="00DA7F25">
              <w:t>98%</w:t>
            </w:r>
          </w:p>
        </w:tc>
        <w:tc>
          <w:tcPr>
            <w:tcW w:w="657" w:type="pct"/>
          </w:tcPr>
          <w:p w14:paraId="06364CC3" w14:textId="77777777" w:rsidR="00F94F86" w:rsidRPr="002066BE" w:rsidRDefault="00F94F86" w:rsidP="00DD393D">
            <w:pPr>
              <w:pStyle w:val="TableText"/>
              <w:spacing w:after="30"/>
              <w:jc w:val="right"/>
              <w:rPr>
                <w:rFonts w:eastAsia="Calibri"/>
                <w:b/>
                <w:bCs/>
              </w:rPr>
            </w:pPr>
            <w:r w:rsidRPr="002066BE">
              <w:rPr>
                <w:b/>
                <w:bCs/>
              </w:rPr>
              <w:t xml:space="preserve"> 1,496,715 </w:t>
            </w:r>
          </w:p>
        </w:tc>
      </w:tr>
      <w:tr w:rsidR="00F94F86" w:rsidRPr="00C34FFC" w14:paraId="60A3A5F5" w14:textId="77777777" w:rsidTr="006F6DD1">
        <w:trPr>
          <w:trHeight w:val="20"/>
        </w:trPr>
        <w:tc>
          <w:tcPr>
            <w:tcW w:w="1907" w:type="pct"/>
          </w:tcPr>
          <w:p w14:paraId="5E69ADF7" w14:textId="77777777" w:rsidR="00F94F86" w:rsidRPr="00C34FFC" w:rsidRDefault="00F94F86" w:rsidP="00DD393D">
            <w:pPr>
              <w:pStyle w:val="TableText"/>
              <w:spacing w:after="30"/>
              <w:rPr>
                <w:rFonts w:eastAsia="Calibri"/>
              </w:rPr>
            </w:pPr>
            <w:r w:rsidRPr="00C34FFC">
              <w:t xml:space="preserve">Qld: Central Queensland, Wide Bay, Sunshine </w:t>
            </w:r>
          </w:p>
        </w:tc>
        <w:tc>
          <w:tcPr>
            <w:tcW w:w="601" w:type="pct"/>
          </w:tcPr>
          <w:p w14:paraId="1743C6C2" w14:textId="77777777" w:rsidR="00F94F86" w:rsidRPr="00DA7F25" w:rsidRDefault="00F94F86" w:rsidP="00DD393D">
            <w:pPr>
              <w:pStyle w:val="TableText"/>
              <w:spacing w:after="30"/>
              <w:jc w:val="right"/>
              <w:rPr>
                <w:rFonts w:eastAsia="Calibri"/>
              </w:rPr>
            </w:pPr>
            <w:r w:rsidRPr="00DA7F25">
              <w:t xml:space="preserve"> 2,112,405 </w:t>
            </w:r>
          </w:p>
        </w:tc>
        <w:tc>
          <w:tcPr>
            <w:tcW w:w="589" w:type="pct"/>
          </w:tcPr>
          <w:p w14:paraId="1E2CB4C7" w14:textId="77777777" w:rsidR="00F94F86" w:rsidRPr="00DA7F25" w:rsidRDefault="00F94F86" w:rsidP="00DD393D">
            <w:pPr>
              <w:pStyle w:val="TableText"/>
              <w:spacing w:after="30"/>
              <w:jc w:val="center"/>
              <w:rPr>
                <w:rFonts w:eastAsia="Calibri"/>
              </w:rPr>
            </w:pPr>
            <w:r w:rsidRPr="00DA7F25">
              <w:t>68%</w:t>
            </w:r>
          </w:p>
        </w:tc>
        <w:tc>
          <w:tcPr>
            <w:tcW w:w="657" w:type="pct"/>
          </w:tcPr>
          <w:p w14:paraId="342007E4" w14:textId="77777777" w:rsidR="00F94F86" w:rsidRPr="00DA7F25" w:rsidRDefault="00F94F86" w:rsidP="00DD393D">
            <w:pPr>
              <w:pStyle w:val="TableText"/>
              <w:spacing w:after="30"/>
              <w:jc w:val="right"/>
              <w:rPr>
                <w:rFonts w:eastAsia="Calibri"/>
              </w:rPr>
            </w:pPr>
            <w:r w:rsidRPr="00DA7F25">
              <w:t xml:space="preserve"> 1,002,329 </w:t>
            </w:r>
          </w:p>
        </w:tc>
        <w:tc>
          <w:tcPr>
            <w:tcW w:w="589" w:type="pct"/>
          </w:tcPr>
          <w:p w14:paraId="4BDB8840" w14:textId="77777777" w:rsidR="00F94F86" w:rsidRPr="00DA7F25" w:rsidRDefault="00F94F86" w:rsidP="00DD393D">
            <w:pPr>
              <w:pStyle w:val="TableText"/>
              <w:spacing w:after="30"/>
              <w:jc w:val="center"/>
              <w:rPr>
                <w:b/>
                <w:color w:val="000000"/>
              </w:rPr>
            </w:pPr>
            <w:r w:rsidRPr="00DA7F25">
              <w:t>32%</w:t>
            </w:r>
          </w:p>
        </w:tc>
        <w:tc>
          <w:tcPr>
            <w:tcW w:w="657" w:type="pct"/>
          </w:tcPr>
          <w:p w14:paraId="4006D199" w14:textId="77777777" w:rsidR="00F94F86" w:rsidRPr="002066BE" w:rsidRDefault="00F94F86" w:rsidP="00DD393D">
            <w:pPr>
              <w:pStyle w:val="TableText"/>
              <w:spacing w:after="30"/>
              <w:jc w:val="right"/>
              <w:rPr>
                <w:rFonts w:eastAsia="Calibri"/>
                <w:b/>
                <w:bCs/>
              </w:rPr>
            </w:pPr>
            <w:r w:rsidRPr="002066BE">
              <w:rPr>
                <w:b/>
                <w:bCs/>
              </w:rPr>
              <w:t xml:space="preserve"> 3,114,734 </w:t>
            </w:r>
          </w:p>
        </w:tc>
      </w:tr>
      <w:tr w:rsidR="00F94F86" w:rsidRPr="00C34FFC" w14:paraId="289F3C2E" w14:textId="77777777" w:rsidTr="006F6DD1">
        <w:trPr>
          <w:trHeight w:val="20"/>
        </w:trPr>
        <w:tc>
          <w:tcPr>
            <w:tcW w:w="1907" w:type="pct"/>
          </w:tcPr>
          <w:p w14:paraId="01229DDF" w14:textId="77777777" w:rsidR="00F94F86" w:rsidRPr="00C34FFC" w:rsidRDefault="00F94F86" w:rsidP="00DD393D">
            <w:pPr>
              <w:pStyle w:val="TableText"/>
              <w:spacing w:after="30"/>
              <w:rPr>
                <w:rFonts w:eastAsia="Calibri"/>
              </w:rPr>
            </w:pPr>
            <w:r w:rsidRPr="00C34FFC">
              <w:t>Qld: Darling Downs and West Moreton</w:t>
            </w:r>
          </w:p>
        </w:tc>
        <w:tc>
          <w:tcPr>
            <w:tcW w:w="601" w:type="pct"/>
          </w:tcPr>
          <w:p w14:paraId="280F1CC6" w14:textId="77777777" w:rsidR="00F94F86" w:rsidRPr="00DA7F25" w:rsidRDefault="00F94F86" w:rsidP="00DD393D">
            <w:pPr>
              <w:pStyle w:val="TableText"/>
              <w:spacing w:after="30"/>
              <w:jc w:val="right"/>
              <w:rPr>
                <w:rFonts w:eastAsia="Calibri"/>
              </w:rPr>
            </w:pPr>
            <w:r w:rsidRPr="00DA7F25">
              <w:t xml:space="preserve"> 1,260,000 </w:t>
            </w:r>
          </w:p>
        </w:tc>
        <w:tc>
          <w:tcPr>
            <w:tcW w:w="589" w:type="pct"/>
          </w:tcPr>
          <w:p w14:paraId="66CFAA93" w14:textId="77777777" w:rsidR="00F94F86" w:rsidRPr="00DA7F25" w:rsidRDefault="00F94F86" w:rsidP="00DD393D">
            <w:pPr>
              <w:pStyle w:val="TableText"/>
              <w:spacing w:after="30"/>
              <w:jc w:val="center"/>
              <w:rPr>
                <w:rFonts w:eastAsia="Calibri"/>
              </w:rPr>
            </w:pPr>
            <w:r w:rsidRPr="00DA7F25">
              <w:t>34%</w:t>
            </w:r>
          </w:p>
        </w:tc>
        <w:tc>
          <w:tcPr>
            <w:tcW w:w="657" w:type="pct"/>
          </w:tcPr>
          <w:p w14:paraId="47CFBC28" w14:textId="77777777" w:rsidR="00F94F86" w:rsidRPr="00DA7F25" w:rsidRDefault="00F94F86" w:rsidP="00DD393D">
            <w:pPr>
              <w:pStyle w:val="TableText"/>
              <w:spacing w:after="30"/>
              <w:jc w:val="right"/>
              <w:rPr>
                <w:rFonts w:eastAsia="Calibri"/>
              </w:rPr>
            </w:pPr>
            <w:r w:rsidRPr="00DA7F25">
              <w:t xml:space="preserve"> 2,404,000 </w:t>
            </w:r>
          </w:p>
        </w:tc>
        <w:tc>
          <w:tcPr>
            <w:tcW w:w="589" w:type="pct"/>
          </w:tcPr>
          <w:p w14:paraId="0772183C" w14:textId="77777777" w:rsidR="00F94F86" w:rsidRPr="00DA7F25" w:rsidRDefault="00F94F86" w:rsidP="00DD393D">
            <w:pPr>
              <w:pStyle w:val="TableText"/>
              <w:spacing w:after="30"/>
              <w:jc w:val="center"/>
              <w:rPr>
                <w:b/>
                <w:color w:val="000000"/>
              </w:rPr>
            </w:pPr>
            <w:r w:rsidRPr="00DA7F25">
              <w:t>66%</w:t>
            </w:r>
          </w:p>
        </w:tc>
        <w:tc>
          <w:tcPr>
            <w:tcW w:w="657" w:type="pct"/>
          </w:tcPr>
          <w:p w14:paraId="3F187722" w14:textId="77777777" w:rsidR="00F94F86" w:rsidRPr="002066BE" w:rsidRDefault="00F94F86" w:rsidP="00DD393D">
            <w:pPr>
              <w:pStyle w:val="TableText"/>
              <w:spacing w:after="30"/>
              <w:jc w:val="right"/>
              <w:rPr>
                <w:rFonts w:eastAsia="Calibri"/>
                <w:b/>
                <w:bCs/>
              </w:rPr>
            </w:pPr>
            <w:r w:rsidRPr="002066BE">
              <w:rPr>
                <w:b/>
                <w:bCs/>
              </w:rPr>
              <w:t xml:space="preserve"> 3,664,000 </w:t>
            </w:r>
          </w:p>
        </w:tc>
      </w:tr>
      <w:tr w:rsidR="00F94F86" w:rsidRPr="00C34FFC" w14:paraId="6A50F16A" w14:textId="77777777" w:rsidTr="006F6DD1">
        <w:trPr>
          <w:trHeight w:val="20"/>
        </w:trPr>
        <w:tc>
          <w:tcPr>
            <w:tcW w:w="1907" w:type="pct"/>
          </w:tcPr>
          <w:p w14:paraId="7FD4689B" w14:textId="77777777" w:rsidR="00F94F86" w:rsidRPr="00C34FFC" w:rsidRDefault="00F94F86" w:rsidP="00DD393D">
            <w:pPr>
              <w:pStyle w:val="TableText"/>
              <w:spacing w:after="30"/>
              <w:rPr>
                <w:rFonts w:eastAsia="Calibri"/>
              </w:rPr>
            </w:pPr>
            <w:r w:rsidRPr="00C34FFC">
              <w:t>Qld: Gold Coast</w:t>
            </w:r>
          </w:p>
        </w:tc>
        <w:tc>
          <w:tcPr>
            <w:tcW w:w="601" w:type="pct"/>
          </w:tcPr>
          <w:p w14:paraId="12BDEF7B" w14:textId="77777777" w:rsidR="00F94F86" w:rsidRPr="00DA7F25" w:rsidRDefault="00F94F86" w:rsidP="00DD393D">
            <w:pPr>
              <w:pStyle w:val="TableText"/>
              <w:spacing w:after="30"/>
              <w:jc w:val="right"/>
              <w:rPr>
                <w:rFonts w:eastAsia="Calibri"/>
              </w:rPr>
            </w:pPr>
            <w:r w:rsidRPr="00DA7F25">
              <w:t xml:space="preserve"> -</w:t>
            </w:r>
            <w:r w:rsidR="000B479E">
              <w:t xml:space="preserve"> </w:t>
            </w:r>
          </w:p>
        </w:tc>
        <w:tc>
          <w:tcPr>
            <w:tcW w:w="589" w:type="pct"/>
          </w:tcPr>
          <w:p w14:paraId="1B990E30" w14:textId="77777777" w:rsidR="00F94F86" w:rsidRPr="00DA7F25" w:rsidRDefault="00F94F86" w:rsidP="00DD393D">
            <w:pPr>
              <w:pStyle w:val="TableText"/>
              <w:spacing w:after="30"/>
              <w:jc w:val="center"/>
              <w:rPr>
                <w:rFonts w:eastAsia="Calibri"/>
              </w:rPr>
            </w:pPr>
            <w:r w:rsidRPr="00DA7F25">
              <w:t>0%</w:t>
            </w:r>
          </w:p>
        </w:tc>
        <w:tc>
          <w:tcPr>
            <w:tcW w:w="657" w:type="pct"/>
          </w:tcPr>
          <w:p w14:paraId="59C20C5F" w14:textId="77777777" w:rsidR="00F94F86" w:rsidRPr="00DA7F25" w:rsidRDefault="00F94F86" w:rsidP="00DD393D">
            <w:pPr>
              <w:pStyle w:val="TableText"/>
              <w:spacing w:after="30"/>
              <w:jc w:val="right"/>
              <w:rPr>
                <w:rFonts w:eastAsia="Calibri"/>
              </w:rPr>
            </w:pPr>
            <w:r w:rsidRPr="00DA7F25">
              <w:t xml:space="preserve"> 1,479,869 </w:t>
            </w:r>
          </w:p>
        </w:tc>
        <w:tc>
          <w:tcPr>
            <w:tcW w:w="589" w:type="pct"/>
          </w:tcPr>
          <w:p w14:paraId="0461768D" w14:textId="77777777" w:rsidR="00F94F86" w:rsidRPr="00DA7F25" w:rsidRDefault="00F94F86" w:rsidP="00DD393D">
            <w:pPr>
              <w:pStyle w:val="TableText"/>
              <w:spacing w:after="30"/>
              <w:jc w:val="center"/>
              <w:rPr>
                <w:rFonts w:eastAsia="Calibri"/>
                <w:b/>
              </w:rPr>
            </w:pPr>
            <w:r w:rsidRPr="00DA7F25">
              <w:t>100%</w:t>
            </w:r>
          </w:p>
        </w:tc>
        <w:tc>
          <w:tcPr>
            <w:tcW w:w="657" w:type="pct"/>
          </w:tcPr>
          <w:p w14:paraId="2A0DB120" w14:textId="77777777" w:rsidR="00F94F86" w:rsidRPr="002066BE" w:rsidRDefault="00F94F86" w:rsidP="00DD393D">
            <w:pPr>
              <w:pStyle w:val="TableText"/>
              <w:spacing w:after="30"/>
              <w:jc w:val="right"/>
              <w:rPr>
                <w:rFonts w:eastAsia="Calibri"/>
                <w:b/>
                <w:bCs/>
              </w:rPr>
            </w:pPr>
            <w:r w:rsidRPr="002066BE">
              <w:rPr>
                <w:b/>
                <w:bCs/>
              </w:rPr>
              <w:t xml:space="preserve"> 1,479,869 </w:t>
            </w:r>
          </w:p>
        </w:tc>
      </w:tr>
      <w:tr w:rsidR="00F94F86" w:rsidRPr="00C34FFC" w14:paraId="3D0B553F" w14:textId="77777777" w:rsidTr="006F6DD1">
        <w:trPr>
          <w:trHeight w:val="20"/>
        </w:trPr>
        <w:tc>
          <w:tcPr>
            <w:tcW w:w="1907" w:type="pct"/>
          </w:tcPr>
          <w:p w14:paraId="3E4A52B7" w14:textId="77777777" w:rsidR="00F94F86" w:rsidRPr="00C34FFC" w:rsidRDefault="00F94F86" w:rsidP="00DD393D">
            <w:pPr>
              <w:pStyle w:val="TableText"/>
              <w:spacing w:after="30"/>
              <w:rPr>
                <w:rFonts w:eastAsia="Calibri"/>
              </w:rPr>
            </w:pPr>
            <w:r w:rsidRPr="00C34FFC">
              <w:t>Qld: Northern Queensland</w:t>
            </w:r>
          </w:p>
        </w:tc>
        <w:tc>
          <w:tcPr>
            <w:tcW w:w="601" w:type="pct"/>
          </w:tcPr>
          <w:p w14:paraId="4453FCD7" w14:textId="77777777" w:rsidR="00F94F86" w:rsidRPr="00DA7F25" w:rsidRDefault="00F94F86" w:rsidP="00DD393D">
            <w:pPr>
              <w:pStyle w:val="TableText"/>
              <w:spacing w:after="30"/>
              <w:jc w:val="right"/>
              <w:rPr>
                <w:color w:val="000000"/>
              </w:rPr>
            </w:pPr>
            <w:r w:rsidRPr="00DA7F25">
              <w:t xml:space="preserve"> -</w:t>
            </w:r>
            <w:r w:rsidR="000B479E">
              <w:t xml:space="preserve"> </w:t>
            </w:r>
          </w:p>
        </w:tc>
        <w:tc>
          <w:tcPr>
            <w:tcW w:w="589" w:type="pct"/>
          </w:tcPr>
          <w:p w14:paraId="65178D15" w14:textId="77777777" w:rsidR="00F94F86" w:rsidRPr="00DA7F25" w:rsidRDefault="00F94F86" w:rsidP="00DD393D">
            <w:pPr>
              <w:pStyle w:val="TableText"/>
              <w:spacing w:after="30"/>
              <w:jc w:val="center"/>
              <w:rPr>
                <w:color w:val="000000"/>
              </w:rPr>
            </w:pPr>
            <w:r w:rsidRPr="00DA7F25">
              <w:t>0%</w:t>
            </w:r>
          </w:p>
        </w:tc>
        <w:tc>
          <w:tcPr>
            <w:tcW w:w="657" w:type="pct"/>
          </w:tcPr>
          <w:p w14:paraId="538C5BAF" w14:textId="77777777" w:rsidR="00F94F86" w:rsidRPr="00DA7F25" w:rsidRDefault="00F94F86" w:rsidP="00DD393D">
            <w:pPr>
              <w:pStyle w:val="TableText"/>
              <w:spacing w:after="30"/>
              <w:jc w:val="right"/>
              <w:rPr>
                <w:color w:val="000000"/>
              </w:rPr>
            </w:pPr>
            <w:r w:rsidRPr="00DA7F25">
              <w:t xml:space="preserve"> 4,032,444 </w:t>
            </w:r>
          </w:p>
        </w:tc>
        <w:tc>
          <w:tcPr>
            <w:tcW w:w="589" w:type="pct"/>
          </w:tcPr>
          <w:p w14:paraId="4AA6287B" w14:textId="77777777" w:rsidR="00F94F86" w:rsidRPr="00DA7F25" w:rsidRDefault="00F94F86" w:rsidP="00DD393D">
            <w:pPr>
              <w:pStyle w:val="TableText"/>
              <w:spacing w:after="30"/>
              <w:jc w:val="center"/>
              <w:rPr>
                <w:b/>
                <w:color w:val="000000"/>
              </w:rPr>
            </w:pPr>
            <w:r w:rsidRPr="00DA7F25">
              <w:t>100%</w:t>
            </w:r>
          </w:p>
        </w:tc>
        <w:tc>
          <w:tcPr>
            <w:tcW w:w="657" w:type="pct"/>
          </w:tcPr>
          <w:p w14:paraId="636BE3B4" w14:textId="77777777" w:rsidR="00F94F86" w:rsidRPr="002066BE" w:rsidRDefault="00F94F86" w:rsidP="00DD393D">
            <w:pPr>
              <w:pStyle w:val="TableText"/>
              <w:spacing w:after="30"/>
              <w:jc w:val="right"/>
              <w:rPr>
                <w:rFonts w:eastAsia="Calibri"/>
                <w:b/>
                <w:bCs/>
              </w:rPr>
            </w:pPr>
            <w:r w:rsidRPr="002066BE">
              <w:rPr>
                <w:b/>
                <w:bCs/>
              </w:rPr>
              <w:t xml:space="preserve"> 4,032,444 </w:t>
            </w:r>
          </w:p>
        </w:tc>
      </w:tr>
      <w:tr w:rsidR="00F94F86" w:rsidRPr="00C34FFC" w14:paraId="05921526" w14:textId="77777777" w:rsidTr="006F6DD1">
        <w:trPr>
          <w:trHeight w:val="20"/>
        </w:trPr>
        <w:tc>
          <w:tcPr>
            <w:tcW w:w="1907" w:type="pct"/>
          </w:tcPr>
          <w:p w14:paraId="76D21817" w14:textId="77777777" w:rsidR="00F94F86" w:rsidRPr="00C34FFC" w:rsidRDefault="00F94F86" w:rsidP="00DD393D">
            <w:pPr>
              <w:pStyle w:val="TableText"/>
              <w:spacing w:after="30"/>
              <w:rPr>
                <w:rFonts w:eastAsia="Calibri"/>
              </w:rPr>
            </w:pPr>
            <w:r w:rsidRPr="00C34FFC">
              <w:t>Qld: Western Queensland</w:t>
            </w:r>
          </w:p>
        </w:tc>
        <w:tc>
          <w:tcPr>
            <w:tcW w:w="601" w:type="pct"/>
          </w:tcPr>
          <w:p w14:paraId="74F3321F" w14:textId="77777777" w:rsidR="00F94F86" w:rsidRPr="00DA7F25" w:rsidRDefault="00F94F86" w:rsidP="00DD393D">
            <w:pPr>
              <w:pStyle w:val="TableText"/>
              <w:spacing w:after="30"/>
              <w:jc w:val="right"/>
              <w:rPr>
                <w:color w:val="000000"/>
              </w:rPr>
            </w:pPr>
            <w:r w:rsidRPr="00DA7F25">
              <w:t xml:space="preserve"> -</w:t>
            </w:r>
            <w:r w:rsidR="000B479E">
              <w:t xml:space="preserve"> </w:t>
            </w:r>
          </w:p>
        </w:tc>
        <w:tc>
          <w:tcPr>
            <w:tcW w:w="589" w:type="pct"/>
          </w:tcPr>
          <w:p w14:paraId="30D6D48F" w14:textId="77777777" w:rsidR="00F94F86" w:rsidRPr="00DA7F25" w:rsidRDefault="00F94F86" w:rsidP="00DD393D">
            <w:pPr>
              <w:pStyle w:val="TableText"/>
              <w:spacing w:after="30"/>
              <w:jc w:val="center"/>
              <w:rPr>
                <w:color w:val="000000"/>
              </w:rPr>
            </w:pPr>
            <w:r w:rsidRPr="00DA7F25">
              <w:t>0%</w:t>
            </w:r>
          </w:p>
        </w:tc>
        <w:tc>
          <w:tcPr>
            <w:tcW w:w="657" w:type="pct"/>
          </w:tcPr>
          <w:p w14:paraId="3CA5512F" w14:textId="77777777" w:rsidR="00F94F86" w:rsidRPr="00DA7F25" w:rsidRDefault="00F94F86" w:rsidP="00DD393D">
            <w:pPr>
              <w:pStyle w:val="TableText"/>
              <w:spacing w:after="30"/>
              <w:jc w:val="right"/>
              <w:rPr>
                <w:color w:val="000000"/>
              </w:rPr>
            </w:pPr>
            <w:r w:rsidRPr="00DA7F25">
              <w:t xml:space="preserve"> 630,128 </w:t>
            </w:r>
          </w:p>
        </w:tc>
        <w:tc>
          <w:tcPr>
            <w:tcW w:w="589" w:type="pct"/>
          </w:tcPr>
          <w:p w14:paraId="2D284CBF" w14:textId="77777777" w:rsidR="00F94F86" w:rsidRPr="00DA7F25" w:rsidRDefault="00F94F86" w:rsidP="00DD393D">
            <w:pPr>
              <w:pStyle w:val="TableText"/>
              <w:spacing w:after="30"/>
              <w:jc w:val="center"/>
              <w:rPr>
                <w:b/>
                <w:color w:val="000000"/>
              </w:rPr>
            </w:pPr>
            <w:r w:rsidRPr="00DA7F25">
              <w:t>100%</w:t>
            </w:r>
          </w:p>
        </w:tc>
        <w:tc>
          <w:tcPr>
            <w:tcW w:w="657" w:type="pct"/>
          </w:tcPr>
          <w:p w14:paraId="7E14F89A" w14:textId="77777777" w:rsidR="00F94F86" w:rsidRPr="002066BE" w:rsidRDefault="00F94F86" w:rsidP="00DD393D">
            <w:pPr>
              <w:pStyle w:val="TableText"/>
              <w:spacing w:after="30"/>
              <w:jc w:val="right"/>
              <w:rPr>
                <w:rFonts w:eastAsia="Calibri"/>
                <w:b/>
                <w:bCs/>
              </w:rPr>
            </w:pPr>
            <w:r w:rsidRPr="002066BE">
              <w:rPr>
                <w:b/>
                <w:bCs/>
              </w:rPr>
              <w:t xml:space="preserve"> 630,128 </w:t>
            </w:r>
          </w:p>
        </w:tc>
      </w:tr>
      <w:tr w:rsidR="00F94F86" w:rsidRPr="00C34FFC" w14:paraId="0FC12722" w14:textId="77777777" w:rsidTr="006F6DD1">
        <w:trPr>
          <w:trHeight w:val="20"/>
        </w:trPr>
        <w:tc>
          <w:tcPr>
            <w:tcW w:w="1907" w:type="pct"/>
          </w:tcPr>
          <w:p w14:paraId="5042072E" w14:textId="77777777" w:rsidR="00F94F86" w:rsidRPr="00C34FFC" w:rsidRDefault="00F94F86" w:rsidP="00DD393D">
            <w:pPr>
              <w:pStyle w:val="TableText"/>
              <w:spacing w:after="30"/>
              <w:rPr>
                <w:rFonts w:eastAsia="Calibri"/>
              </w:rPr>
            </w:pPr>
            <w:r w:rsidRPr="00C34FFC">
              <w:t>SA: Adelaide</w:t>
            </w:r>
          </w:p>
        </w:tc>
        <w:tc>
          <w:tcPr>
            <w:tcW w:w="601" w:type="pct"/>
          </w:tcPr>
          <w:p w14:paraId="101A4848" w14:textId="77777777" w:rsidR="00F94F86" w:rsidRPr="00DA7F25" w:rsidRDefault="00F94F86" w:rsidP="00DD393D">
            <w:pPr>
              <w:pStyle w:val="TableText"/>
              <w:spacing w:after="30"/>
              <w:jc w:val="right"/>
              <w:rPr>
                <w:color w:val="000000"/>
              </w:rPr>
            </w:pPr>
            <w:r w:rsidRPr="00DA7F25">
              <w:t xml:space="preserve"> 87,000 </w:t>
            </w:r>
          </w:p>
        </w:tc>
        <w:tc>
          <w:tcPr>
            <w:tcW w:w="589" w:type="pct"/>
          </w:tcPr>
          <w:p w14:paraId="5B539A17" w14:textId="77777777" w:rsidR="00F94F86" w:rsidRPr="00DA7F25" w:rsidRDefault="00F94F86" w:rsidP="00DD393D">
            <w:pPr>
              <w:pStyle w:val="TableText"/>
              <w:spacing w:after="30"/>
              <w:jc w:val="center"/>
              <w:rPr>
                <w:color w:val="000000"/>
              </w:rPr>
            </w:pPr>
            <w:r w:rsidRPr="00DA7F25">
              <w:t>2%</w:t>
            </w:r>
          </w:p>
        </w:tc>
        <w:tc>
          <w:tcPr>
            <w:tcW w:w="657" w:type="pct"/>
          </w:tcPr>
          <w:p w14:paraId="314B5D71" w14:textId="77777777" w:rsidR="00F94F86" w:rsidRPr="00DA7F25" w:rsidRDefault="00F94F86" w:rsidP="00DD393D">
            <w:pPr>
              <w:pStyle w:val="TableText"/>
              <w:spacing w:after="30"/>
              <w:jc w:val="right"/>
              <w:rPr>
                <w:color w:val="000000"/>
              </w:rPr>
            </w:pPr>
            <w:r w:rsidRPr="00DA7F25">
              <w:t xml:space="preserve"> 4,793,992 </w:t>
            </w:r>
          </w:p>
        </w:tc>
        <w:tc>
          <w:tcPr>
            <w:tcW w:w="589" w:type="pct"/>
          </w:tcPr>
          <w:p w14:paraId="334C7FE8" w14:textId="77777777" w:rsidR="00F94F86" w:rsidRPr="00DA7F25" w:rsidRDefault="00F94F86" w:rsidP="00DD393D">
            <w:pPr>
              <w:pStyle w:val="TableText"/>
              <w:spacing w:after="30"/>
              <w:jc w:val="center"/>
              <w:rPr>
                <w:b/>
                <w:color w:val="000000"/>
              </w:rPr>
            </w:pPr>
            <w:r w:rsidRPr="00DA7F25">
              <w:t>98%</w:t>
            </w:r>
          </w:p>
        </w:tc>
        <w:tc>
          <w:tcPr>
            <w:tcW w:w="657" w:type="pct"/>
          </w:tcPr>
          <w:p w14:paraId="18D3C88A" w14:textId="77777777" w:rsidR="00F94F86" w:rsidRPr="002066BE" w:rsidRDefault="00F94F86" w:rsidP="00DD393D">
            <w:pPr>
              <w:pStyle w:val="TableText"/>
              <w:spacing w:after="30"/>
              <w:jc w:val="right"/>
              <w:rPr>
                <w:rFonts w:eastAsia="Calibri"/>
                <w:b/>
                <w:bCs/>
              </w:rPr>
            </w:pPr>
            <w:r w:rsidRPr="002066BE">
              <w:rPr>
                <w:b/>
                <w:bCs/>
              </w:rPr>
              <w:t xml:space="preserve"> 4,880,992 </w:t>
            </w:r>
          </w:p>
        </w:tc>
      </w:tr>
      <w:tr w:rsidR="00F94F86" w:rsidRPr="00C34FFC" w14:paraId="5F1E43CF" w14:textId="77777777" w:rsidTr="006F6DD1">
        <w:trPr>
          <w:trHeight w:val="20"/>
        </w:trPr>
        <w:tc>
          <w:tcPr>
            <w:tcW w:w="1907" w:type="pct"/>
          </w:tcPr>
          <w:p w14:paraId="00070465" w14:textId="77777777" w:rsidR="00F94F86" w:rsidRPr="00C34FFC" w:rsidRDefault="00F94F86" w:rsidP="00DD393D">
            <w:pPr>
              <w:pStyle w:val="TableText"/>
              <w:spacing w:after="30"/>
              <w:rPr>
                <w:rFonts w:eastAsia="Calibri"/>
              </w:rPr>
            </w:pPr>
            <w:r w:rsidRPr="00C34FFC">
              <w:t>SA: Country SA</w:t>
            </w:r>
          </w:p>
        </w:tc>
        <w:tc>
          <w:tcPr>
            <w:tcW w:w="601" w:type="pct"/>
          </w:tcPr>
          <w:p w14:paraId="28403D48" w14:textId="77777777" w:rsidR="00F94F86" w:rsidRPr="00DA7F25" w:rsidRDefault="00F94F86" w:rsidP="00DD393D">
            <w:pPr>
              <w:pStyle w:val="TableText"/>
              <w:spacing w:after="30"/>
              <w:jc w:val="right"/>
              <w:rPr>
                <w:color w:val="000000"/>
              </w:rPr>
            </w:pPr>
            <w:r w:rsidRPr="00DA7F25">
              <w:t xml:space="preserve"> 117,190 </w:t>
            </w:r>
          </w:p>
        </w:tc>
        <w:tc>
          <w:tcPr>
            <w:tcW w:w="589" w:type="pct"/>
          </w:tcPr>
          <w:p w14:paraId="437BBB8A" w14:textId="77777777" w:rsidR="00F94F86" w:rsidRPr="00DA7F25" w:rsidRDefault="00F94F86" w:rsidP="00DD393D">
            <w:pPr>
              <w:pStyle w:val="TableText"/>
              <w:spacing w:after="30"/>
              <w:jc w:val="center"/>
              <w:rPr>
                <w:color w:val="000000"/>
              </w:rPr>
            </w:pPr>
            <w:r w:rsidRPr="00DA7F25">
              <w:t>3%</w:t>
            </w:r>
          </w:p>
        </w:tc>
        <w:tc>
          <w:tcPr>
            <w:tcW w:w="657" w:type="pct"/>
          </w:tcPr>
          <w:p w14:paraId="7CD67013" w14:textId="77777777" w:rsidR="00F94F86" w:rsidRPr="00DA7F25" w:rsidRDefault="00F94F86" w:rsidP="00DD393D">
            <w:pPr>
              <w:pStyle w:val="TableText"/>
              <w:spacing w:after="30"/>
              <w:jc w:val="right"/>
              <w:rPr>
                <w:color w:val="000000"/>
              </w:rPr>
            </w:pPr>
            <w:r w:rsidRPr="00DA7F25">
              <w:t xml:space="preserve"> 3,743,641 </w:t>
            </w:r>
          </w:p>
        </w:tc>
        <w:tc>
          <w:tcPr>
            <w:tcW w:w="589" w:type="pct"/>
          </w:tcPr>
          <w:p w14:paraId="49968C07" w14:textId="77777777" w:rsidR="00F94F86" w:rsidRPr="00DA7F25" w:rsidRDefault="00F94F86" w:rsidP="00DD393D">
            <w:pPr>
              <w:pStyle w:val="TableText"/>
              <w:spacing w:after="30"/>
              <w:jc w:val="center"/>
              <w:rPr>
                <w:b/>
                <w:color w:val="000000"/>
              </w:rPr>
            </w:pPr>
            <w:r w:rsidRPr="00DA7F25">
              <w:t>97%</w:t>
            </w:r>
          </w:p>
        </w:tc>
        <w:tc>
          <w:tcPr>
            <w:tcW w:w="657" w:type="pct"/>
          </w:tcPr>
          <w:p w14:paraId="2F86BD70" w14:textId="77777777" w:rsidR="00F94F86" w:rsidRPr="002066BE" w:rsidRDefault="00F94F86" w:rsidP="00DD393D">
            <w:pPr>
              <w:pStyle w:val="TableText"/>
              <w:spacing w:after="30"/>
              <w:jc w:val="right"/>
              <w:rPr>
                <w:rFonts w:eastAsia="Calibri"/>
                <w:b/>
                <w:bCs/>
              </w:rPr>
            </w:pPr>
            <w:r w:rsidRPr="002066BE">
              <w:rPr>
                <w:b/>
                <w:bCs/>
              </w:rPr>
              <w:t xml:space="preserve"> 3,860,831 </w:t>
            </w:r>
          </w:p>
        </w:tc>
      </w:tr>
      <w:tr w:rsidR="00F94F86" w:rsidRPr="00C34FFC" w14:paraId="4F24F39E" w14:textId="77777777" w:rsidTr="006F6DD1">
        <w:trPr>
          <w:trHeight w:val="20"/>
        </w:trPr>
        <w:tc>
          <w:tcPr>
            <w:tcW w:w="1907" w:type="pct"/>
          </w:tcPr>
          <w:p w14:paraId="271C390A" w14:textId="77777777" w:rsidR="00F94F86" w:rsidRPr="00C34FFC" w:rsidRDefault="00F94F86" w:rsidP="00DD393D">
            <w:pPr>
              <w:pStyle w:val="TableText"/>
              <w:spacing w:after="30"/>
              <w:rPr>
                <w:rFonts w:eastAsia="Calibri"/>
              </w:rPr>
            </w:pPr>
            <w:r w:rsidRPr="00C34FFC">
              <w:t>Tas: Tasmania</w:t>
            </w:r>
          </w:p>
        </w:tc>
        <w:tc>
          <w:tcPr>
            <w:tcW w:w="601" w:type="pct"/>
          </w:tcPr>
          <w:p w14:paraId="00C4EA23" w14:textId="77777777" w:rsidR="00F94F86" w:rsidRPr="00DA7F25" w:rsidRDefault="00F94F86" w:rsidP="00DD393D">
            <w:pPr>
              <w:pStyle w:val="TableText"/>
              <w:spacing w:after="30"/>
              <w:jc w:val="right"/>
              <w:rPr>
                <w:color w:val="000000"/>
              </w:rPr>
            </w:pPr>
            <w:r w:rsidRPr="00DA7F25">
              <w:t xml:space="preserve"> -</w:t>
            </w:r>
            <w:r w:rsidR="000B479E">
              <w:t xml:space="preserve"> </w:t>
            </w:r>
          </w:p>
        </w:tc>
        <w:tc>
          <w:tcPr>
            <w:tcW w:w="589" w:type="pct"/>
          </w:tcPr>
          <w:p w14:paraId="1D56E85B" w14:textId="77777777" w:rsidR="00F94F86" w:rsidRPr="00DA7F25" w:rsidRDefault="00F94F86" w:rsidP="00DD393D">
            <w:pPr>
              <w:pStyle w:val="TableText"/>
              <w:spacing w:after="30"/>
              <w:jc w:val="center"/>
              <w:rPr>
                <w:color w:val="000000"/>
              </w:rPr>
            </w:pPr>
            <w:r w:rsidRPr="00DA7F25">
              <w:t>0%</w:t>
            </w:r>
          </w:p>
        </w:tc>
        <w:tc>
          <w:tcPr>
            <w:tcW w:w="657" w:type="pct"/>
          </w:tcPr>
          <w:p w14:paraId="2A1CA1E9" w14:textId="77777777" w:rsidR="00F94F86" w:rsidRPr="00DA7F25" w:rsidRDefault="00F94F86" w:rsidP="00DD393D">
            <w:pPr>
              <w:pStyle w:val="TableText"/>
              <w:spacing w:after="30"/>
              <w:jc w:val="right"/>
              <w:rPr>
                <w:color w:val="000000"/>
              </w:rPr>
            </w:pPr>
            <w:r w:rsidRPr="00DA7F25">
              <w:t xml:space="preserve"> 3,176,214 </w:t>
            </w:r>
          </w:p>
        </w:tc>
        <w:tc>
          <w:tcPr>
            <w:tcW w:w="589" w:type="pct"/>
          </w:tcPr>
          <w:p w14:paraId="277C2520" w14:textId="77777777" w:rsidR="00F94F86" w:rsidRPr="00DA7F25" w:rsidRDefault="00F94F86" w:rsidP="00DD393D">
            <w:pPr>
              <w:pStyle w:val="TableText"/>
              <w:spacing w:after="30"/>
              <w:jc w:val="center"/>
              <w:rPr>
                <w:rFonts w:eastAsia="Calibri"/>
                <w:b/>
              </w:rPr>
            </w:pPr>
            <w:r w:rsidRPr="00DA7F25">
              <w:t>100%</w:t>
            </w:r>
          </w:p>
        </w:tc>
        <w:tc>
          <w:tcPr>
            <w:tcW w:w="657" w:type="pct"/>
          </w:tcPr>
          <w:p w14:paraId="60A904AB" w14:textId="77777777" w:rsidR="00F94F86" w:rsidRPr="002066BE" w:rsidRDefault="00F94F86" w:rsidP="00DD393D">
            <w:pPr>
              <w:pStyle w:val="TableText"/>
              <w:spacing w:after="30"/>
              <w:jc w:val="right"/>
              <w:rPr>
                <w:rFonts w:eastAsia="Calibri"/>
                <w:b/>
                <w:bCs/>
              </w:rPr>
            </w:pPr>
            <w:r w:rsidRPr="002066BE">
              <w:rPr>
                <w:b/>
                <w:bCs/>
              </w:rPr>
              <w:t xml:space="preserve"> 3,176,214 </w:t>
            </w:r>
          </w:p>
        </w:tc>
      </w:tr>
      <w:tr w:rsidR="00F94F86" w:rsidRPr="00C34FFC" w14:paraId="3F107C5C" w14:textId="77777777" w:rsidTr="006F6DD1">
        <w:trPr>
          <w:trHeight w:val="20"/>
        </w:trPr>
        <w:tc>
          <w:tcPr>
            <w:tcW w:w="1907" w:type="pct"/>
          </w:tcPr>
          <w:p w14:paraId="57A2CE50" w14:textId="77777777" w:rsidR="00F94F86" w:rsidRPr="00C34FFC" w:rsidRDefault="00F94F86" w:rsidP="00DD393D">
            <w:pPr>
              <w:pStyle w:val="TableText"/>
              <w:spacing w:after="30"/>
              <w:rPr>
                <w:rFonts w:eastAsia="Calibri"/>
              </w:rPr>
            </w:pPr>
            <w:r w:rsidRPr="00C34FFC">
              <w:t>Vic: Eastern Melbourne</w:t>
            </w:r>
          </w:p>
        </w:tc>
        <w:tc>
          <w:tcPr>
            <w:tcW w:w="601" w:type="pct"/>
          </w:tcPr>
          <w:p w14:paraId="1BD1ABB5" w14:textId="77777777" w:rsidR="00F94F86" w:rsidRPr="00DA7F25" w:rsidRDefault="00F94F86" w:rsidP="00DD393D">
            <w:pPr>
              <w:pStyle w:val="TableText"/>
              <w:spacing w:after="30"/>
              <w:jc w:val="right"/>
              <w:rPr>
                <w:color w:val="000000"/>
              </w:rPr>
            </w:pPr>
            <w:r w:rsidRPr="00DA7F25">
              <w:t xml:space="preserve"> 890,000 </w:t>
            </w:r>
          </w:p>
        </w:tc>
        <w:tc>
          <w:tcPr>
            <w:tcW w:w="589" w:type="pct"/>
          </w:tcPr>
          <w:p w14:paraId="55B4EDA8" w14:textId="77777777" w:rsidR="00F94F86" w:rsidRPr="00DA7F25" w:rsidRDefault="00F94F86" w:rsidP="00DD393D">
            <w:pPr>
              <w:pStyle w:val="TableText"/>
              <w:spacing w:after="30"/>
              <w:jc w:val="center"/>
              <w:rPr>
                <w:color w:val="000000"/>
              </w:rPr>
            </w:pPr>
            <w:r w:rsidRPr="00DA7F25">
              <w:t>17%</w:t>
            </w:r>
          </w:p>
        </w:tc>
        <w:tc>
          <w:tcPr>
            <w:tcW w:w="657" w:type="pct"/>
          </w:tcPr>
          <w:p w14:paraId="190E3AFF" w14:textId="77777777" w:rsidR="00F94F86" w:rsidRPr="00DA7F25" w:rsidRDefault="00F94F86" w:rsidP="00DD393D">
            <w:pPr>
              <w:pStyle w:val="TableText"/>
              <w:spacing w:after="30"/>
              <w:jc w:val="right"/>
              <w:rPr>
                <w:color w:val="000000"/>
              </w:rPr>
            </w:pPr>
            <w:r w:rsidRPr="00DA7F25">
              <w:t xml:space="preserve"> 4,356,788 </w:t>
            </w:r>
          </w:p>
        </w:tc>
        <w:tc>
          <w:tcPr>
            <w:tcW w:w="589" w:type="pct"/>
          </w:tcPr>
          <w:p w14:paraId="51FA10DE" w14:textId="77777777" w:rsidR="00F94F86" w:rsidRPr="00DA7F25" w:rsidRDefault="00F94F86" w:rsidP="00DD393D">
            <w:pPr>
              <w:pStyle w:val="TableText"/>
              <w:spacing w:after="30"/>
              <w:jc w:val="center"/>
              <w:rPr>
                <w:b/>
                <w:color w:val="000000"/>
              </w:rPr>
            </w:pPr>
            <w:r w:rsidRPr="00DA7F25">
              <w:t>83%</w:t>
            </w:r>
          </w:p>
        </w:tc>
        <w:tc>
          <w:tcPr>
            <w:tcW w:w="657" w:type="pct"/>
          </w:tcPr>
          <w:p w14:paraId="0165F263" w14:textId="77777777" w:rsidR="00F94F86" w:rsidRPr="002066BE" w:rsidRDefault="00F94F86" w:rsidP="00DD393D">
            <w:pPr>
              <w:pStyle w:val="TableText"/>
              <w:spacing w:after="30"/>
              <w:jc w:val="right"/>
              <w:rPr>
                <w:rFonts w:eastAsia="Calibri"/>
                <w:b/>
                <w:bCs/>
              </w:rPr>
            </w:pPr>
            <w:r w:rsidRPr="002066BE">
              <w:rPr>
                <w:b/>
                <w:bCs/>
              </w:rPr>
              <w:t xml:space="preserve"> 5,246,788 </w:t>
            </w:r>
          </w:p>
        </w:tc>
      </w:tr>
      <w:tr w:rsidR="00F94F86" w:rsidRPr="00C34FFC" w14:paraId="1B749A74" w14:textId="77777777" w:rsidTr="006F6DD1">
        <w:trPr>
          <w:trHeight w:val="20"/>
        </w:trPr>
        <w:tc>
          <w:tcPr>
            <w:tcW w:w="1907" w:type="pct"/>
          </w:tcPr>
          <w:p w14:paraId="767F9855" w14:textId="77777777" w:rsidR="00F94F86" w:rsidRPr="00C34FFC" w:rsidRDefault="00F94F86" w:rsidP="00DD393D">
            <w:pPr>
              <w:pStyle w:val="TableText"/>
              <w:spacing w:after="30"/>
              <w:rPr>
                <w:rFonts w:eastAsia="Calibri"/>
              </w:rPr>
            </w:pPr>
            <w:r w:rsidRPr="00C34FFC">
              <w:t>Vic: Gippsland</w:t>
            </w:r>
          </w:p>
        </w:tc>
        <w:tc>
          <w:tcPr>
            <w:tcW w:w="601" w:type="pct"/>
          </w:tcPr>
          <w:p w14:paraId="1803E20D" w14:textId="77777777" w:rsidR="00F94F86" w:rsidRPr="00DA7F25" w:rsidRDefault="00F94F86" w:rsidP="00DD393D">
            <w:pPr>
              <w:pStyle w:val="TableText"/>
              <w:spacing w:after="30"/>
              <w:jc w:val="right"/>
              <w:rPr>
                <w:color w:val="000000"/>
              </w:rPr>
            </w:pPr>
            <w:r w:rsidRPr="00DA7F25">
              <w:t xml:space="preserve"> 127,394 </w:t>
            </w:r>
          </w:p>
        </w:tc>
        <w:tc>
          <w:tcPr>
            <w:tcW w:w="589" w:type="pct"/>
          </w:tcPr>
          <w:p w14:paraId="6803D939" w14:textId="77777777" w:rsidR="00F94F86" w:rsidRPr="00DA7F25" w:rsidRDefault="00F94F86" w:rsidP="00DD393D">
            <w:pPr>
              <w:pStyle w:val="TableText"/>
              <w:spacing w:after="30"/>
              <w:jc w:val="center"/>
              <w:rPr>
                <w:color w:val="000000"/>
              </w:rPr>
            </w:pPr>
            <w:r w:rsidRPr="00DA7F25">
              <w:t>79%</w:t>
            </w:r>
          </w:p>
        </w:tc>
        <w:tc>
          <w:tcPr>
            <w:tcW w:w="657" w:type="pct"/>
          </w:tcPr>
          <w:p w14:paraId="76B14B00" w14:textId="77777777" w:rsidR="00F94F86" w:rsidRPr="00DA7F25" w:rsidRDefault="00F94F86" w:rsidP="00DD393D">
            <w:pPr>
              <w:pStyle w:val="TableText"/>
              <w:spacing w:after="30"/>
              <w:jc w:val="right"/>
              <w:rPr>
                <w:color w:val="000000"/>
              </w:rPr>
            </w:pPr>
            <w:r w:rsidRPr="00DA7F25">
              <w:t xml:space="preserve"> 33,994 </w:t>
            </w:r>
          </w:p>
        </w:tc>
        <w:tc>
          <w:tcPr>
            <w:tcW w:w="589" w:type="pct"/>
          </w:tcPr>
          <w:p w14:paraId="0A974367" w14:textId="77777777" w:rsidR="00F94F86" w:rsidRPr="00DA7F25" w:rsidRDefault="00F94F86" w:rsidP="00DD393D">
            <w:pPr>
              <w:pStyle w:val="TableText"/>
              <w:spacing w:after="30"/>
              <w:jc w:val="center"/>
              <w:rPr>
                <w:b/>
                <w:color w:val="000000"/>
              </w:rPr>
            </w:pPr>
            <w:r w:rsidRPr="00DA7F25">
              <w:t>21%</w:t>
            </w:r>
          </w:p>
        </w:tc>
        <w:tc>
          <w:tcPr>
            <w:tcW w:w="657" w:type="pct"/>
          </w:tcPr>
          <w:p w14:paraId="68017865" w14:textId="77777777" w:rsidR="00F94F86" w:rsidRPr="002066BE" w:rsidRDefault="00F94F86" w:rsidP="00DD393D">
            <w:pPr>
              <w:pStyle w:val="TableText"/>
              <w:spacing w:after="30"/>
              <w:jc w:val="right"/>
              <w:rPr>
                <w:rFonts w:eastAsia="Calibri"/>
                <w:b/>
                <w:bCs/>
              </w:rPr>
            </w:pPr>
            <w:r w:rsidRPr="002066BE">
              <w:rPr>
                <w:b/>
                <w:bCs/>
              </w:rPr>
              <w:t xml:space="preserve"> 161,388 </w:t>
            </w:r>
          </w:p>
        </w:tc>
      </w:tr>
      <w:tr w:rsidR="00F94F86" w:rsidRPr="00C34FFC" w14:paraId="4D7901B1" w14:textId="77777777" w:rsidTr="006F6DD1">
        <w:trPr>
          <w:trHeight w:val="20"/>
        </w:trPr>
        <w:tc>
          <w:tcPr>
            <w:tcW w:w="1907" w:type="pct"/>
          </w:tcPr>
          <w:p w14:paraId="63560CDC" w14:textId="77777777" w:rsidR="00F94F86" w:rsidRPr="00C34FFC" w:rsidRDefault="00F94F86" w:rsidP="00DD393D">
            <w:pPr>
              <w:pStyle w:val="TableText"/>
              <w:spacing w:after="30"/>
              <w:rPr>
                <w:rFonts w:eastAsia="Calibri"/>
              </w:rPr>
            </w:pPr>
            <w:r w:rsidRPr="00C34FFC">
              <w:t>Vic: Murray</w:t>
            </w:r>
          </w:p>
        </w:tc>
        <w:tc>
          <w:tcPr>
            <w:tcW w:w="601" w:type="pct"/>
          </w:tcPr>
          <w:p w14:paraId="77384104" w14:textId="77777777" w:rsidR="00F94F86" w:rsidRPr="00DA7F25" w:rsidRDefault="00F94F86" w:rsidP="00DD393D">
            <w:pPr>
              <w:pStyle w:val="TableText"/>
              <w:spacing w:after="30"/>
              <w:jc w:val="right"/>
              <w:rPr>
                <w:color w:val="000000"/>
              </w:rPr>
            </w:pPr>
            <w:r w:rsidRPr="00DA7F25">
              <w:t xml:space="preserve"> -</w:t>
            </w:r>
            <w:r w:rsidR="000B479E">
              <w:t xml:space="preserve"> </w:t>
            </w:r>
          </w:p>
        </w:tc>
        <w:tc>
          <w:tcPr>
            <w:tcW w:w="589" w:type="pct"/>
          </w:tcPr>
          <w:p w14:paraId="44232246" w14:textId="77777777" w:rsidR="00F94F86" w:rsidRPr="00DA7F25" w:rsidRDefault="00F94F86" w:rsidP="00DD393D">
            <w:pPr>
              <w:pStyle w:val="TableText"/>
              <w:spacing w:after="30"/>
              <w:jc w:val="center"/>
              <w:rPr>
                <w:color w:val="000000"/>
              </w:rPr>
            </w:pPr>
            <w:r w:rsidRPr="00DA7F25">
              <w:t>0%</w:t>
            </w:r>
          </w:p>
        </w:tc>
        <w:tc>
          <w:tcPr>
            <w:tcW w:w="657" w:type="pct"/>
          </w:tcPr>
          <w:p w14:paraId="12E6BFF5" w14:textId="77777777" w:rsidR="00F94F86" w:rsidRPr="00DA7F25" w:rsidRDefault="00F94F86" w:rsidP="00DD393D">
            <w:pPr>
              <w:pStyle w:val="TableText"/>
              <w:spacing w:after="30"/>
              <w:jc w:val="right"/>
              <w:rPr>
                <w:color w:val="000000"/>
              </w:rPr>
            </w:pPr>
            <w:r w:rsidRPr="00DA7F25">
              <w:t xml:space="preserve"> 3,619,022 </w:t>
            </w:r>
          </w:p>
        </w:tc>
        <w:tc>
          <w:tcPr>
            <w:tcW w:w="589" w:type="pct"/>
          </w:tcPr>
          <w:p w14:paraId="395EDC64" w14:textId="77777777" w:rsidR="00F94F86" w:rsidRPr="00DA7F25" w:rsidRDefault="00F94F86" w:rsidP="00DD393D">
            <w:pPr>
              <w:pStyle w:val="TableText"/>
              <w:spacing w:after="30"/>
              <w:jc w:val="center"/>
              <w:rPr>
                <w:b/>
                <w:color w:val="000000"/>
              </w:rPr>
            </w:pPr>
            <w:r w:rsidRPr="00DA7F25">
              <w:t>100%</w:t>
            </w:r>
          </w:p>
        </w:tc>
        <w:tc>
          <w:tcPr>
            <w:tcW w:w="657" w:type="pct"/>
          </w:tcPr>
          <w:p w14:paraId="0739BFA0" w14:textId="77777777" w:rsidR="00F94F86" w:rsidRPr="002066BE" w:rsidRDefault="00F94F86" w:rsidP="00DD393D">
            <w:pPr>
              <w:pStyle w:val="TableText"/>
              <w:spacing w:after="30"/>
              <w:jc w:val="right"/>
              <w:rPr>
                <w:rFonts w:eastAsia="Calibri"/>
                <w:b/>
                <w:bCs/>
              </w:rPr>
            </w:pPr>
            <w:r w:rsidRPr="002066BE">
              <w:rPr>
                <w:b/>
                <w:bCs/>
              </w:rPr>
              <w:t xml:space="preserve"> 3,619,022 </w:t>
            </w:r>
          </w:p>
        </w:tc>
      </w:tr>
      <w:tr w:rsidR="00F94F86" w:rsidRPr="00C34FFC" w14:paraId="2ECEA458" w14:textId="77777777" w:rsidTr="006F6DD1">
        <w:trPr>
          <w:trHeight w:val="20"/>
        </w:trPr>
        <w:tc>
          <w:tcPr>
            <w:tcW w:w="1907" w:type="pct"/>
          </w:tcPr>
          <w:p w14:paraId="3642AF5B" w14:textId="77777777" w:rsidR="00F94F86" w:rsidRPr="00C34FFC" w:rsidRDefault="00F94F86" w:rsidP="00DD393D">
            <w:pPr>
              <w:pStyle w:val="TableText"/>
              <w:spacing w:after="30"/>
              <w:rPr>
                <w:rFonts w:eastAsia="Calibri"/>
              </w:rPr>
            </w:pPr>
            <w:r w:rsidRPr="00C34FFC">
              <w:t>Vic: North Western Melbourne</w:t>
            </w:r>
          </w:p>
        </w:tc>
        <w:tc>
          <w:tcPr>
            <w:tcW w:w="601" w:type="pct"/>
          </w:tcPr>
          <w:p w14:paraId="374DF78C" w14:textId="77777777" w:rsidR="00F94F86" w:rsidRPr="00DA7F25" w:rsidRDefault="00F94F86" w:rsidP="00DD393D">
            <w:pPr>
              <w:pStyle w:val="TableText"/>
              <w:spacing w:after="30"/>
              <w:jc w:val="right"/>
              <w:rPr>
                <w:color w:val="000000"/>
              </w:rPr>
            </w:pPr>
            <w:r w:rsidRPr="00DA7F25">
              <w:t xml:space="preserve"> -</w:t>
            </w:r>
            <w:r w:rsidR="000B479E">
              <w:t xml:space="preserve"> </w:t>
            </w:r>
          </w:p>
        </w:tc>
        <w:tc>
          <w:tcPr>
            <w:tcW w:w="589" w:type="pct"/>
          </w:tcPr>
          <w:p w14:paraId="451E8642" w14:textId="77777777" w:rsidR="00F94F86" w:rsidRPr="00DA7F25" w:rsidRDefault="00F94F86" w:rsidP="00DD393D">
            <w:pPr>
              <w:pStyle w:val="TableText"/>
              <w:spacing w:after="30"/>
              <w:jc w:val="center"/>
              <w:rPr>
                <w:color w:val="000000"/>
              </w:rPr>
            </w:pPr>
            <w:r w:rsidRPr="00DA7F25">
              <w:t>0%</w:t>
            </w:r>
          </w:p>
        </w:tc>
        <w:tc>
          <w:tcPr>
            <w:tcW w:w="657" w:type="pct"/>
          </w:tcPr>
          <w:p w14:paraId="3F1167FF" w14:textId="77777777" w:rsidR="00F94F86" w:rsidRPr="00DA7F25" w:rsidRDefault="00F94F86" w:rsidP="00DD393D">
            <w:pPr>
              <w:pStyle w:val="TableText"/>
              <w:spacing w:after="30"/>
              <w:jc w:val="right"/>
              <w:rPr>
                <w:color w:val="000000"/>
              </w:rPr>
            </w:pPr>
            <w:r w:rsidRPr="00DA7F25">
              <w:t xml:space="preserve"> 1,389,679 </w:t>
            </w:r>
          </w:p>
        </w:tc>
        <w:tc>
          <w:tcPr>
            <w:tcW w:w="589" w:type="pct"/>
          </w:tcPr>
          <w:p w14:paraId="19CF6932" w14:textId="77777777" w:rsidR="00F94F86" w:rsidRPr="00DA7F25" w:rsidRDefault="00F94F86" w:rsidP="00DD393D">
            <w:pPr>
              <w:pStyle w:val="TableText"/>
              <w:spacing w:after="30"/>
              <w:jc w:val="center"/>
              <w:rPr>
                <w:b/>
                <w:color w:val="000000"/>
              </w:rPr>
            </w:pPr>
            <w:r w:rsidRPr="00DA7F25">
              <w:t>100%</w:t>
            </w:r>
          </w:p>
        </w:tc>
        <w:tc>
          <w:tcPr>
            <w:tcW w:w="657" w:type="pct"/>
          </w:tcPr>
          <w:p w14:paraId="4503688C" w14:textId="77777777" w:rsidR="00F94F86" w:rsidRPr="002066BE" w:rsidRDefault="00F94F86" w:rsidP="00DD393D">
            <w:pPr>
              <w:pStyle w:val="TableText"/>
              <w:spacing w:after="30"/>
              <w:jc w:val="right"/>
              <w:rPr>
                <w:rFonts w:eastAsia="Calibri"/>
                <w:b/>
                <w:bCs/>
              </w:rPr>
            </w:pPr>
            <w:r w:rsidRPr="002066BE">
              <w:rPr>
                <w:b/>
                <w:bCs/>
              </w:rPr>
              <w:t xml:space="preserve"> 1,389,679 </w:t>
            </w:r>
          </w:p>
        </w:tc>
      </w:tr>
      <w:tr w:rsidR="00F94F86" w:rsidRPr="00C34FFC" w14:paraId="5FFD2B3F" w14:textId="77777777" w:rsidTr="006F6DD1">
        <w:trPr>
          <w:trHeight w:val="20"/>
        </w:trPr>
        <w:tc>
          <w:tcPr>
            <w:tcW w:w="1907" w:type="pct"/>
          </w:tcPr>
          <w:p w14:paraId="48838382" w14:textId="77777777" w:rsidR="00F94F86" w:rsidRPr="00C34FFC" w:rsidRDefault="00F94F86" w:rsidP="00DD393D">
            <w:pPr>
              <w:pStyle w:val="TableText"/>
              <w:spacing w:after="30"/>
              <w:rPr>
                <w:rFonts w:eastAsia="Calibri"/>
              </w:rPr>
            </w:pPr>
            <w:r w:rsidRPr="00C34FFC">
              <w:t>Vic: South Eastern Melbourne</w:t>
            </w:r>
          </w:p>
        </w:tc>
        <w:tc>
          <w:tcPr>
            <w:tcW w:w="601" w:type="pct"/>
          </w:tcPr>
          <w:p w14:paraId="7858ED43" w14:textId="77777777" w:rsidR="00F94F86" w:rsidRPr="00DA7F25" w:rsidRDefault="00F94F86" w:rsidP="00DD393D">
            <w:pPr>
              <w:pStyle w:val="TableText"/>
              <w:spacing w:after="30"/>
              <w:jc w:val="right"/>
              <w:rPr>
                <w:color w:val="000000"/>
              </w:rPr>
            </w:pPr>
            <w:r w:rsidRPr="00DA7F25">
              <w:t xml:space="preserve"> 511,060 </w:t>
            </w:r>
          </w:p>
        </w:tc>
        <w:tc>
          <w:tcPr>
            <w:tcW w:w="589" w:type="pct"/>
          </w:tcPr>
          <w:p w14:paraId="069317C8" w14:textId="77777777" w:rsidR="00F94F86" w:rsidRPr="00DA7F25" w:rsidRDefault="00F94F86" w:rsidP="00DD393D">
            <w:pPr>
              <w:pStyle w:val="TableText"/>
              <w:spacing w:after="30"/>
              <w:jc w:val="center"/>
              <w:rPr>
                <w:color w:val="000000"/>
              </w:rPr>
            </w:pPr>
            <w:r w:rsidRPr="00DA7F25">
              <w:t>11%</w:t>
            </w:r>
          </w:p>
        </w:tc>
        <w:tc>
          <w:tcPr>
            <w:tcW w:w="657" w:type="pct"/>
          </w:tcPr>
          <w:p w14:paraId="54041179" w14:textId="77777777" w:rsidR="00F94F86" w:rsidRPr="00DA7F25" w:rsidRDefault="00F94F86" w:rsidP="00DD393D">
            <w:pPr>
              <w:pStyle w:val="TableText"/>
              <w:spacing w:after="30"/>
              <w:jc w:val="right"/>
              <w:rPr>
                <w:color w:val="000000"/>
              </w:rPr>
            </w:pPr>
            <w:r w:rsidRPr="00DA7F25">
              <w:t xml:space="preserve"> 4,253,114 </w:t>
            </w:r>
          </w:p>
        </w:tc>
        <w:tc>
          <w:tcPr>
            <w:tcW w:w="589" w:type="pct"/>
          </w:tcPr>
          <w:p w14:paraId="3B1F232D" w14:textId="77777777" w:rsidR="00F94F86" w:rsidRPr="00DA7F25" w:rsidRDefault="00F94F86" w:rsidP="00DD393D">
            <w:pPr>
              <w:pStyle w:val="TableText"/>
              <w:spacing w:after="30"/>
              <w:jc w:val="center"/>
              <w:rPr>
                <w:b/>
                <w:color w:val="000000"/>
              </w:rPr>
            </w:pPr>
            <w:r w:rsidRPr="00DA7F25">
              <w:t>89%</w:t>
            </w:r>
          </w:p>
        </w:tc>
        <w:tc>
          <w:tcPr>
            <w:tcW w:w="657" w:type="pct"/>
          </w:tcPr>
          <w:p w14:paraId="3495557B" w14:textId="77777777" w:rsidR="00F94F86" w:rsidRPr="002066BE" w:rsidRDefault="00F94F86" w:rsidP="00DD393D">
            <w:pPr>
              <w:pStyle w:val="TableText"/>
              <w:spacing w:after="30"/>
              <w:jc w:val="right"/>
              <w:rPr>
                <w:rFonts w:eastAsia="Calibri"/>
                <w:b/>
                <w:bCs/>
              </w:rPr>
            </w:pPr>
            <w:r w:rsidRPr="002066BE">
              <w:rPr>
                <w:b/>
                <w:bCs/>
              </w:rPr>
              <w:t xml:space="preserve"> 4,764,174 </w:t>
            </w:r>
          </w:p>
        </w:tc>
      </w:tr>
      <w:tr w:rsidR="00F94F86" w:rsidRPr="00C34FFC" w14:paraId="50F05880" w14:textId="77777777" w:rsidTr="006F6DD1">
        <w:trPr>
          <w:trHeight w:val="20"/>
        </w:trPr>
        <w:tc>
          <w:tcPr>
            <w:tcW w:w="1907" w:type="pct"/>
          </w:tcPr>
          <w:p w14:paraId="0E70E861" w14:textId="77777777" w:rsidR="00F94F86" w:rsidRPr="00C34FFC" w:rsidRDefault="00F94F86" w:rsidP="00DD393D">
            <w:pPr>
              <w:pStyle w:val="TableText"/>
              <w:spacing w:after="30"/>
              <w:rPr>
                <w:rFonts w:eastAsia="Calibri"/>
              </w:rPr>
            </w:pPr>
            <w:r w:rsidRPr="00C34FFC">
              <w:t>Vic: Western Victoria</w:t>
            </w:r>
          </w:p>
        </w:tc>
        <w:tc>
          <w:tcPr>
            <w:tcW w:w="601" w:type="pct"/>
          </w:tcPr>
          <w:p w14:paraId="1C8F9893" w14:textId="77777777" w:rsidR="00F94F86" w:rsidRPr="00DA7F25" w:rsidRDefault="00F94F86" w:rsidP="00DD393D">
            <w:pPr>
              <w:pStyle w:val="TableText"/>
              <w:spacing w:after="30"/>
              <w:jc w:val="right"/>
              <w:rPr>
                <w:color w:val="000000"/>
              </w:rPr>
            </w:pPr>
            <w:r w:rsidRPr="00DA7F25">
              <w:t xml:space="preserve"> -</w:t>
            </w:r>
            <w:r w:rsidR="000B479E">
              <w:t xml:space="preserve"> </w:t>
            </w:r>
          </w:p>
        </w:tc>
        <w:tc>
          <w:tcPr>
            <w:tcW w:w="589" w:type="pct"/>
          </w:tcPr>
          <w:p w14:paraId="4BDCEFE1" w14:textId="77777777" w:rsidR="00F94F86" w:rsidRPr="00DA7F25" w:rsidRDefault="00F94F86" w:rsidP="00DD393D">
            <w:pPr>
              <w:pStyle w:val="TableText"/>
              <w:spacing w:after="30"/>
              <w:jc w:val="center"/>
              <w:rPr>
                <w:color w:val="000000"/>
              </w:rPr>
            </w:pPr>
            <w:r w:rsidRPr="00DA7F25">
              <w:t>0%</w:t>
            </w:r>
          </w:p>
        </w:tc>
        <w:tc>
          <w:tcPr>
            <w:tcW w:w="657" w:type="pct"/>
          </w:tcPr>
          <w:p w14:paraId="75EB7895" w14:textId="77777777" w:rsidR="00F94F86" w:rsidRPr="00DA7F25" w:rsidRDefault="00F94F86" w:rsidP="00DD393D">
            <w:pPr>
              <w:pStyle w:val="TableText"/>
              <w:spacing w:after="30"/>
              <w:jc w:val="right"/>
              <w:rPr>
                <w:color w:val="000000"/>
              </w:rPr>
            </w:pPr>
            <w:r w:rsidRPr="00DA7F25">
              <w:t xml:space="preserve"> 2,554,659 </w:t>
            </w:r>
          </w:p>
        </w:tc>
        <w:tc>
          <w:tcPr>
            <w:tcW w:w="589" w:type="pct"/>
          </w:tcPr>
          <w:p w14:paraId="657DD0E8" w14:textId="77777777" w:rsidR="00F94F86" w:rsidRPr="00DA7F25" w:rsidRDefault="00F94F86" w:rsidP="00DD393D">
            <w:pPr>
              <w:pStyle w:val="TableText"/>
              <w:spacing w:after="30"/>
              <w:jc w:val="center"/>
              <w:rPr>
                <w:b/>
                <w:color w:val="000000"/>
              </w:rPr>
            </w:pPr>
            <w:r w:rsidRPr="00DA7F25">
              <w:t>100%</w:t>
            </w:r>
          </w:p>
        </w:tc>
        <w:tc>
          <w:tcPr>
            <w:tcW w:w="657" w:type="pct"/>
          </w:tcPr>
          <w:p w14:paraId="26C439F6" w14:textId="77777777" w:rsidR="00F94F86" w:rsidRPr="002066BE" w:rsidRDefault="00F94F86" w:rsidP="00DD393D">
            <w:pPr>
              <w:pStyle w:val="TableText"/>
              <w:spacing w:after="30"/>
              <w:jc w:val="right"/>
              <w:rPr>
                <w:rFonts w:eastAsia="Calibri"/>
                <w:b/>
                <w:bCs/>
              </w:rPr>
            </w:pPr>
            <w:r w:rsidRPr="002066BE">
              <w:rPr>
                <w:b/>
                <w:bCs/>
              </w:rPr>
              <w:t xml:space="preserve"> 2,554,659 </w:t>
            </w:r>
          </w:p>
        </w:tc>
      </w:tr>
      <w:tr w:rsidR="00F94F86" w:rsidRPr="00C34FFC" w14:paraId="2972C1FB" w14:textId="77777777" w:rsidTr="006F6DD1">
        <w:trPr>
          <w:trHeight w:val="20"/>
        </w:trPr>
        <w:tc>
          <w:tcPr>
            <w:tcW w:w="1907" w:type="pct"/>
          </w:tcPr>
          <w:p w14:paraId="2F8000F1" w14:textId="77777777" w:rsidR="00F94F86" w:rsidRPr="00C34FFC" w:rsidRDefault="00F94F86" w:rsidP="00DD393D">
            <w:pPr>
              <w:pStyle w:val="TableText"/>
              <w:spacing w:after="30"/>
              <w:rPr>
                <w:rFonts w:eastAsia="Calibri"/>
              </w:rPr>
            </w:pPr>
            <w:r w:rsidRPr="00C34FFC">
              <w:t>WA: Country WA</w:t>
            </w:r>
          </w:p>
        </w:tc>
        <w:tc>
          <w:tcPr>
            <w:tcW w:w="601" w:type="pct"/>
          </w:tcPr>
          <w:p w14:paraId="5CB0DA3E" w14:textId="77777777" w:rsidR="00F94F86" w:rsidRPr="00DA7F25" w:rsidRDefault="00F94F86" w:rsidP="00DD393D">
            <w:pPr>
              <w:pStyle w:val="TableText"/>
              <w:spacing w:after="30"/>
              <w:jc w:val="right"/>
              <w:rPr>
                <w:color w:val="000000"/>
              </w:rPr>
            </w:pPr>
            <w:r w:rsidRPr="00DA7F25">
              <w:t xml:space="preserve"> 8,909,460 </w:t>
            </w:r>
          </w:p>
        </w:tc>
        <w:tc>
          <w:tcPr>
            <w:tcW w:w="589" w:type="pct"/>
          </w:tcPr>
          <w:p w14:paraId="07B15B50" w14:textId="77777777" w:rsidR="00F94F86" w:rsidRPr="00DA7F25" w:rsidRDefault="00F94F86" w:rsidP="00DD393D">
            <w:pPr>
              <w:pStyle w:val="TableText"/>
              <w:spacing w:after="30"/>
              <w:jc w:val="center"/>
              <w:rPr>
                <w:color w:val="000000"/>
              </w:rPr>
            </w:pPr>
            <w:r w:rsidRPr="00DA7F25">
              <w:t>38%</w:t>
            </w:r>
          </w:p>
        </w:tc>
        <w:tc>
          <w:tcPr>
            <w:tcW w:w="657" w:type="pct"/>
          </w:tcPr>
          <w:p w14:paraId="3A08B6EC" w14:textId="77777777" w:rsidR="00F94F86" w:rsidRPr="00DA7F25" w:rsidRDefault="00F94F86" w:rsidP="00DD393D">
            <w:pPr>
              <w:pStyle w:val="TableText"/>
              <w:spacing w:after="30"/>
              <w:jc w:val="right"/>
              <w:rPr>
                <w:color w:val="000000"/>
              </w:rPr>
            </w:pPr>
            <w:r w:rsidRPr="00DA7F25">
              <w:t xml:space="preserve"> 14,581,829 </w:t>
            </w:r>
          </w:p>
        </w:tc>
        <w:tc>
          <w:tcPr>
            <w:tcW w:w="589" w:type="pct"/>
          </w:tcPr>
          <w:p w14:paraId="7B5E51AD" w14:textId="77777777" w:rsidR="00F94F86" w:rsidRPr="00DA7F25" w:rsidRDefault="00F94F86" w:rsidP="00DD393D">
            <w:pPr>
              <w:pStyle w:val="TableText"/>
              <w:spacing w:after="30"/>
              <w:jc w:val="center"/>
              <w:rPr>
                <w:b/>
                <w:color w:val="000000"/>
              </w:rPr>
            </w:pPr>
            <w:r w:rsidRPr="00DA7F25">
              <w:t>62%</w:t>
            </w:r>
          </w:p>
        </w:tc>
        <w:tc>
          <w:tcPr>
            <w:tcW w:w="657" w:type="pct"/>
          </w:tcPr>
          <w:p w14:paraId="6C7040CC" w14:textId="77777777" w:rsidR="00F94F86" w:rsidRPr="002066BE" w:rsidRDefault="00F94F86" w:rsidP="00DD393D">
            <w:pPr>
              <w:pStyle w:val="TableText"/>
              <w:spacing w:after="30"/>
              <w:jc w:val="right"/>
              <w:rPr>
                <w:rFonts w:eastAsia="Calibri"/>
                <w:b/>
                <w:bCs/>
              </w:rPr>
            </w:pPr>
            <w:r w:rsidRPr="002066BE">
              <w:rPr>
                <w:b/>
                <w:bCs/>
              </w:rPr>
              <w:t xml:space="preserve"> 23,491,289 </w:t>
            </w:r>
          </w:p>
        </w:tc>
      </w:tr>
      <w:tr w:rsidR="00F94F86" w:rsidRPr="00C34FFC" w14:paraId="37007CC2" w14:textId="77777777" w:rsidTr="006F6DD1">
        <w:trPr>
          <w:trHeight w:val="20"/>
        </w:trPr>
        <w:tc>
          <w:tcPr>
            <w:tcW w:w="1907" w:type="pct"/>
          </w:tcPr>
          <w:p w14:paraId="32887501" w14:textId="77777777" w:rsidR="00F94F86" w:rsidRPr="00C34FFC" w:rsidRDefault="00F94F86" w:rsidP="00DD393D">
            <w:pPr>
              <w:pStyle w:val="TableText"/>
              <w:spacing w:after="30"/>
              <w:rPr>
                <w:rFonts w:eastAsia="Calibri"/>
              </w:rPr>
            </w:pPr>
            <w:r w:rsidRPr="00C34FFC">
              <w:t>WA: Perth North</w:t>
            </w:r>
          </w:p>
        </w:tc>
        <w:tc>
          <w:tcPr>
            <w:tcW w:w="601" w:type="pct"/>
          </w:tcPr>
          <w:p w14:paraId="37FD7165" w14:textId="77777777" w:rsidR="00F94F86" w:rsidRPr="00DA7F25" w:rsidRDefault="00F94F86" w:rsidP="00DD393D">
            <w:pPr>
              <w:pStyle w:val="TableText"/>
              <w:spacing w:after="30"/>
              <w:jc w:val="right"/>
              <w:rPr>
                <w:color w:val="000000"/>
              </w:rPr>
            </w:pPr>
            <w:r w:rsidRPr="00DA7F25">
              <w:t xml:space="preserve"> 5,239,973 </w:t>
            </w:r>
          </w:p>
        </w:tc>
        <w:tc>
          <w:tcPr>
            <w:tcW w:w="589" w:type="pct"/>
          </w:tcPr>
          <w:p w14:paraId="10F3F4DA" w14:textId="77777777" w:rsidR="00F94F86" w:rsidRPr="00DA7F25" w:rsidRDefault="00F94F86" w:rsidP="00DD393D">
            <w:pPr>
              <w:pStyle w:val="TableText"/>
              <w:spacing w:after="30"/>
              <w:jc w:val="center"/>
              <w:rPr>
                <w:color w:val="000000"/>
              </w:rPr>
            </w:pPr>
            <w:r w:rsidRPr="00DA7F25">
              <w:t>67%</w:t>
            </w:r>
          </w:p>
        </w:tc>
        <w:tc>
          <w:tcPr>
            <w:tcW w:w="657" w:type="pct"/>
          </w:tcPr>
          <w:p w14:paraId="7A051BC5" w14:textId="77777777" w:rsidR="00F94F86" w:rsidRPr="00DA7F25" w:rsidRDefault="00F94F86" w:rsidP="00DD393D">
            <w:pPr>
              <w:pStyle w:val="TableText"/>
              <w:spacing w:after="30"/>
              <w:jc w:val="right"/>
              <w:rPr>
                <w:color w:val="000000"/>
              </w:rPr>
            </w:pPr>
            <w:r w:rsidRPr="00DA7F25">
              <w:t xml:space="preserve"> 2,632,869 </w:t>
            </w:r>
          </w:p>
        </w:tc>
        <w:tc>
          <w:tcPr>
            <w:tcW w:w="589" w:type="pct"/>
          </w:tcPr>
          <w:p w14:paraId="310746D5" w14:textId="77777777" w:rsidR="00F94F86" w:rsidRPr="00DA7F25" w:rsidRDefault="00F94F86" w:rsidP="00DD393D">
            <w:pPr>
              <w:pStyle w:val="TableText"/>
              <w:spacing w:after="30"/>
              <w:jc w:val="center"/>
              <w:rPr>
                <w:b/>
                <w:color w:val="000000"/>
              </w:rPr>
            </w:pPr>
            <w:r w:rsidRPr="00DA7F25">
              <w:t>33%</w:t>
            </w:r>
          </w:p>
        </w:tc>
        <w:tc>
          <w:tcPr>
            <w:tcW w:w="657" w:type="pct"/>
          </w:tcPr>
          <w:p w14:paraId="7F35335D" w14:textId="77777777" w:rsidR="00F94F86" w:rsidRPr="002066BE" w:rsidRDefault="00F94F86" w:rsidP="00DD393D">
            <w:pPr>
              <w:pStyle w:val="TableText"/>
              <w:spacing w:after="30"/>
              <w:jc w:val="right"/>
              <w:rPr>
                <w:rFonts w:eastAsia="Calibri"/>
                <w:b/>
                <w:bCs/>
              </w:rPr>
            </w:pPr>
            <w:r w:rsidRPr="002066BE">
              <w:rPr>
                <w:b/>
                <w:bCs/>
              </w:rPr>
              <w:t xml:space="preserve"> 7,872,841 </w:t>
            </w:r>
          </w:p>
        </w:tc>
      </w:tr>
      <w:tr w:rsidR="00F94F86" w:rsidRPr="00C34FFC" w14:paraId="18E9063E" w14:textId="77777777" w:rsidTr="006F6DD1">
        <w:trPr>
          <w:trHeight w:val="20"/>
        </w:trPr>
        <w:tc>
          <w:tcPr>
            <w:tcW w:w="1907" w:type="pct"/>
          </w:tcPr>
          <w:p w14:paraId="28BEEFA0" w14:textId="77777777" w:rsidR="00F94F86" w:rsidRPr="00C34FFC" w:rsidRDefault="00F94F86" w:rsidP="00DD393D">
            <w:pPr>
              <w:pStyle w:val="TableText"/>
              <w:spacing w:after="30"/>
              <w:rPr>
                <w:rFonts w:eastAsia="Calibri"/>
              </w:rPr>
            </w:pPr>
            <w:r w:rsidRPr="00C34FFC">
              <w:t>WA: Perth South</w:t>
            </w:r>
          </w:p>
        </w:tc>
        <w:tc>
          <w:tcPr>
            <w:tcW w:w="601" w:type="pct"/>
          </w:tcPr>
          <w:p w14:paraId="3FFB9C1A" w14:textId="77777777" w:rsidR="00F94F86" w:rsidRPr="00DA7F25" w:rsidRDefault="00F94F86" w:rsidP="00DD393D">
            <w:pPr>
              <w:pStyle w:val="TableText"/>
              <w:spacing w:after="30"/>
              <w:jc w:val="right"/>
              <w:rPr>
                <w:color w:val="000000"/>
              </w:rPr>
            </w:pPr>
            <w:r w:rsidRPr="00DA7F25">
              <w:t xml:space="preserve"> 1,809,511 </w:t>
            </w:r>
          </w:p>
        </w:tc>
        <w:tc>
          <w:tcPr>
            <w:tcW w:w="589" w:type="pct"/>
          </w:tcPr>
          <w:p w14:paraId="32A05628" w14:textId="77777777" w:rsidR="00F94F86" w:rsidRPr="00DA7F25" w:rsidRDefault="00F94F86" w:rsidP="00DD393D">
            <w:pPr>
              <w:pStyle w:val="TableText"/>
              <w:spacing w:after="30"/>
              <w:jc w:val="center"/>
              <w:rPr>
                <w:color w:val="000000"/>
              </w:rPr>
            </w:pPr>
            <w:r w:rsidRPr="00DA7F25">
              <w:t>67%</w:t>
            </w:r>
          </w:p>
        </w:tc>
        <w:tc>
          <w:tcPr>
            <w:tcW w:w="657" w:type="pct"/>
          </w:tcPr>
          <w:p w14:paraId="4C1605A9" w14:textId="77777777" w:rsidR="00F94F86" w:rsidRPr="00DA7F25" w:rsidRDefault="00F94F86" w:rsidP="00DD393D">
            <w:pPr>
              <w:pStyle w:val="TableText"/>
              <w:spacing w:after="30"/>
              <w:jc w:val="right"/>
              <w:rPr>
                <w:color w:val="000000"/>
              </w:rPr>
            </w:pPr>
            <w:r w:rsidRPr="00DA7F25">
              <w:t xml:space="preserve"> 892,009 </w:t>
            </w:r>
          </w:p>
        </w:tc>
        <w:tc>
          <w:tcPr>
            <w:tcW w:w="589" w:type="pct"/>
          </w:tcPr>
          <w:p w14:paraId="03E40907" w14:textId="77777777" w:rsidR="00F94F86" w:rsidRPr="00DA7F25" w:rsidRDefault="00F94F86" w:rsidP="00DD393D">
            <w:pPr>
              <w:pStyle w:val="TableText"/>
              <w:spacing w:after="30"/>
              <w:jc w:val="center"/>
              <w:rPr>
                <w:b/>
                <w:color w:val="000000"/>
              </w:rPr>
            </w:pPr>
            <w:r w:rsidRPr="00DA7F25">
              <w:t>33%</w:t>
            </w:r>
          </w:p>
        </w:tc>
        <w:tc>
          <w:tcPr>
            <w:tcW w:w="657" w:type="pct"/>
          </w:tcPr>
          <w:p w14:paraId="5E3B02D8" w14:textId="77777777" w:rsidR="00F94F86" w:rsidRPr="002066BE" w:rsidRDefault="00F94F86" w:rsidP="00DD393D">
            <w:pPr>
              <w:pStyle w:val="TableText"/>
              <w:spacing w:after="30"/>
              <w:jc w:val="right"/>
              <w:rPr>
                <w:rFonts w:eastAsia="Calibri"/>
                <w:b/>
                <w:bCs/>
              </w:rPr>
            </w:pPr>
            <w:r w:rsidRPr="002066BE">
              <w:rPr>
                <w:b/>
                <w:bCs/>
              </w:rPr>
              <w:t xml:space="preserve"> 2,701,520 </w:t>
            </w:r>
          </w:p>
        </w:tc>
      </w:tr>
      <w:tr w:rsidR="00F94F86" w:rsidRPr="00C34FFC" w14:paraId="149C1C82" w14:textId="77777777" w:rsidTr="006F6DD1">
        <w:trPr>
          <w:trHeight w:val="20"/>
        </w:trPr>
        <w:tc>
          <w:tcPr>
            <w:tcW w:w="1907" w:type="pct"/>
          </w:tcPr>
          <w:p w14:paraId="3EA12FF9" w14:textId="77777777" w:rsidR="00F94F86" w:rsidRPr="002066BE" w:rsidRDefault="00F94F86" w:rsidP="00DD393D">
            <w:pPr>
              <w:pStyle w:val="TableText"/>
              <w:spacing w:after="30"/>
              <w:rPr>
                <w:rFonts w:eastAsia="Calibri"/>
                <w:b/>
                <w:bCs/>
              </w:rPr>
            </w:pPr>
            <w:r w:rsidRPr="002066BE">
              <w:rPr>
                <w:b/>
                <w:bCs/>
              </w:rPr>
              <w:t>Total</w:t>
            </w:r>
          </w:p>
        </w:tc>
        <w:tc>
          <w:tcPr>
            <w:tcW w:w="601" w:type="pct"/>
          </w:tcPr>
          <w:p w14:paraId="48BA26D1" w14:textId="77777777" w:rsidR="00F94F86" w:rsidRPr="00DA7F25" w:rsidRDefault="00F94F86" w:rsidP="00DD393D">
            <w:pPr>
              <w:pStyle w:val="TableText"/>
              <w:spacing w:after="30"/>
              <w:jc w:val="right"/>
              <w:rPr>
                <w:rFonts w:eastAsia="Calibri"/>
                <w:b/>
              </w:rPr>
            </w:pPr>
            <w:r w:rsidRPr="00DA7F25">
              <w:rPr>
                <w:b/>
              </w:rPr>
              <w:t xml:space="preserve">39,990,105 </w:t>
            </w:r>
          </w:p>
        </w:tc>
        <w:tc>
          <w:tcPr>
            <w:tcW w:w="589" w:type="pct"/>
          </w:tcPr>
          <w:p w14:paraId="28700515" w14:textId="77777777" w:rsidR="00F94F86" w:rsidRPr="00DA7F25" w:rsidRDefault="00F94F86" w:rsidP="00DD393D">
            <w:pPr>
              <w:pStyle w:val="TableText"/>
              <w:spacing w:after="30"/>
              <w:jc w:val="center"/>
              <w:rPr>
                <w:rFonts w:eastAsia="Calibri"/>
                <w:b/>
              </w:rPr>
            </w:pPr>
            <w:r w:rsidRPr="00DA7F25">
              <w:rPr>
                <w:b/>
              </w:rPr>
              <w:t>27%</w:t>
            </w:r>
          </w:p>
        </w:tc>
        <w:tc>
          <w:tcPr>
            <w:tcW w:w="657" w:type="pct"/>
          </w:tcPr>
          <w:p w14:paraId="6C7FB258" w14:textId="77777777" w:rsidR="00F94F86" w:rsidRPr="00DA7F25" w:rsidRDefault="00F94F86" w:rsidP="00DD393D">
            <w:pPr>
              <w:pStyle w:val="TableText"/>
              <w:spacing w:after="30"/>
              <w:jc w:val="right"/>
              <w:rPr>
                <w:rFonts w:eastAsia="Calibri"/>
              </w:rPr>
            </w:pPr>
            <w:r w:rsidRPr="00DA7F25">
              <w:t xml:space="preserve">105,485,403 </w:t>
            </w:r>
          </w:p>
        </w:tc>
        <w:tc>
          <w:tcPr>
            <w:tcW w:w="589" w:type="pct"/>
          </w:tcPr>
          <w:p w14:paraId="79E9D140" w14:textId="77777777" w:rsidR="00F94F86" w:rsidRPr="00DA7F25" w:rsidRDefault="00F94F86" w:rsidP="00DD393D">
            <w:pPr>
              <w:pStyle w:val="TableText"/>
              <w:spacing w:after="30"/>
              <w:jc w:val="center"/>
              <w:rPr>
                <w:color w:val="000000"/>
              </w:rPr>
            </w:pPr>
            <w:r w:rsidRPr="00DA7F25">
              <w:t>73%</w:t>
            </w:r>
          </w:p>
        </w:tc>
        <w:tc>
          <w:tcPr>
            <w:tcW w:w="657" w:type="pct"/>
          </w:tcPr>
          <w:p w14:paraId="1A0D8B0C" w14:textId="77777777" w:rsidR="00F94F86" w:rsidRPr="00DA7F25" w:rsidRDefault="00F94F86" w:rsidP="00DD393D">
            <w:pPr>
              <w:pStyle w:val="TableText"/>
              <w:spacing w:after="30"/>
              <w:jc w:val="right"/>
              <w:rPr>
                <w:rFonts w:eastAsia="Calibri"/>
              </w:rPr>
            </w:pPr>
            <w:r w:rsidRPr="00DA7F25">
              <w:t xml:space="preserve">145,475,508 </w:t>
            </w:r>
          </w:p>
        </w:tc>
      </w:tr>
      <w:tr w:rsidR="00F94F86" w:rsidRPr="00997728" w14:paraId="7B9F9C82" w14:textId="77777777" w:rsidTr="006F6DD1">
        <w:trPr>
          <w:cnfStyle w:val="010000000000" w:firstRow="0" w:lastRow="1" w:firstColumn="0" w:lastColumn="0" w:oddVBand="0" w:evenVBand="0" w:oddHBand="0" w:evenHBand="0" w:firstRowFirstColumn="0" w:firstRowLastColumn="0" w:lastRowFirstColumn="0" w:lastRowLastColumn="0"/>
          <w:trHeight w:val="20"/>
        </w:trPr>
        <w:tc>
          <w:tcPr>
            <w:tcW w:w="1907" w:type="pct"/>
          </w:tcPr>
          <w:p w14:paraId="43FE7633" w14:textId="77777777" w:rsidR="00F94F86" w:rsidRPr="00997728" w:rsidRDefault="00F94F86" w:rsidP="002066BE">
            <w:pPr>
              <w:pStyle w:val="TableText"/>
              <w:rPr>
                <w:b/>
                <w:bCs/>
                <w:i/>
                <w:iCs/>
              </w:rPr>
            </w:pPr>
            <w:r w:rsidRPr="00997728">
              <w:rPr>
                <w:b/>
                <w:bCs/>
                <w:i/>
                <w:iCs/>
              </w:rPr>
              <w:t>Average contract value</w:t>
            </w:r>
          </w:p>
        </w:tc>
        <w:tc>
          <w:tcPr>
            <w:tcW w:w="601" w:type="pct"/>
          </w:tcPr>
          <w:p w14:paraId="14096D9A" w14:textId="77777777" w:rsidR="00F94F86" w:rsidRPr="00997728" w:rsidRDefault="00F94F86" w:rsidP="002066BE">
            <w:pPr>
              <w:pStyle w:val="TableText"/>
              <w:jc w:val="right"/>
              <w:rPr>
                <w:b/>
                <w:bCs/>
                <w:i/>
                <w:iCs/>
              </w:rPr>
            </w:pPr>
            <w:r w:rsidRPr="00997728">
              <w:rPr>
                <w:b/>
                <w:bCs/>
                <w:i/>
                <w:iCs/>
              </w:rPr>
              <w:t>481,808</w:t>
            </w:r>
          </w:p>
        </w:tc>
        <w:tc>
          <w:tcPr>
            <w:tcW w:w="589" w:type="pct"/>
          </w:tcPr>
          <w:p w14:paraId="48BE7613" w14:textId="77777777" w:rsidR="00F94F86" w:rsidRPr="00997728" w:rsidRDefault="00F94F86" w:rsidP="002066BE">
            <w:pPr>
              <w:pStyle w:val="TableText"/>
              <w:rPr>
                <w:b/>
                <w:bCs/>
                <w:i/>
                <w:iCs/>
              </w:rPr>
            </w:pPr>
          </w:p>
        </w:tc>
        <w:tc>
          <w:tcPr>
            <w:tcW w:w="657" w:type="pct"/>
          </w:tcPr>
          <w:p w14:paraId="4DC49B88" w14:textId="77777777" w:rsidR="00F94F86" w:rsidRPr="00997728" w:rsidRDefault="00F94F86" w:rsidP="002066BE">
            <w:pPr>
              <w:pStyle w:val="TableText"/>
              <w:jc w:val="right"/>
              <w:rPr>
                <w:b/>
                <w:bCs/>
                <w:i/>
                <w:iCs/>
              </w:rPr>
            </w:pPr>
            <w:r w:rsidRPr="00997728">
              <w:rPr>
                <w:b/>
                <w:bCs/>
                <w:i/>
                <w:iCs/>
              </w:rPr>
              <w:t>490,630</w:t>
            </w:r>
          </w:p>
        </w:tc>
        <w:tc>
          <w:tcPr>
            <w:tcW w:w="589" w:type="pct"/>
          </w:tcPr>
          <w:p w14:paraId="0A8F8813" w14:textId="77777777" w:rsidR="00F94F86" w:rsidRPr="00997728" w:rsidRDefault="00F94F86" w:rsidP="002066BE">
            <w:pPr>
              <w:pStyle w:val="TableText"/>
              <w:rPr>
                <w:b/>
                <w:bCs/>
                <w:i/>
                <w:iCs/>
              </w:rPr>
            </w:pPr>
          </w:p>
        </w:tc>
        <w:tc>
          <w:tcPr>
            <w:tcW w:w="657" w:type="pct"/>
          </w:tcPr>
          <w:p w14:paraId="3F64084F" w14:textId="77777777" w:rsidR="00F94F86" w:rsidRPr="00997728" w:rsidRDefault="00F94F86" w:rsidP="002066BE">
            <w:pPr>
              <w:pStyle w:val="TableText"/>
              <w:rPr>
                <w:b/>
                <w:bCs/>
                <w:i/>
                <w:iCs/>
              </w:rPr>
            </w:pPr>
          </w:p>
        </w:tc>
      </w:tr>
    </w:tbl>
    <w:p w14:paraId="354410F4" w14:textId="43C84623" w:rsidR="00F94F86" w:rsidRPr="00B65F7F" w:rsidRDefault="002106F3" w:rsidP="00F94F86">
      <w:pPr>
        <w:pStyle w:val="CaptionTable"/>
        <w:rPr>
          <w:bCs/>
        </w:rPr>
      </w:pPr>
      <w:bookmarkStart w:id="261" w:name="_Ref151901376"/>
      <w:bookmarkStart w:id="262" w:name="_Toc145604939"/>
      <w:bookmarkStart w:id="263" w:name="_Toc145617811"/>
      <w:bookmarkStart w:id="264" w:name="_Toc156932082"/>
      <w:r>
        <w:lastRenderedPageBreak/>
        <w:t>Table A4.</w:t>
      </w:r>
      <w:r>
        <w:fldChar w:fldCharType="begin"/>
      </w:r>
      <w:r>
        <w:instrText xml:space="preserve"> SEQ Table_App4 \* ARABIC </w:instrText>
      </w:r>
      <w:r>
        <w:fldChar w:fldCharType="separate"/>
      </w:r>
      <w:r w:rsidR="00934D5E">
        <w:rPr>
          <w:noProof/>
        </w:rPr>
        <w:t>5</w:t>
      </w:r>
      <w:r>
        <w:fldChar w:fldCharType="end"/>
      </w:r>
      <w:bookmarkEnd w:id="261"/>
      <w:r w:rsidRPr="00F6711F">
        <w:t xml:space="preserve">: </w:t>
      </w:r>
      <w:r w:rsidR="00F94F86" w:rsidRPr="00B65F7F">
        <w:t xml:space="preserve">Total </w:t>
      </w:r>
      <w:r w:rsidR="00F94F86">
        <w:t>value</w:t>
      </w:r>
      <w:r w:rsidR="00F94F86" w:rsidRPr="00B65F7F">
        <w:t xml:space="preserve"> of ITC contracts from 1 July 2016 to 30 June 2022, by commissioning body</w:t>
      </w:r>
      <w:bookmarkEnd w:id="262"/>
      <w:bookmarkEnd w:id="263"/>
      <w:bookmarkEnd w:id="264"/>
      <w:r w:rsidR="00F94F86" w:rsidRPr="00B65F7F">
        <w:t xml:space="preserve"> </w:t>
      </w:r>
    </w:p>
    <w:tbl>
      <w:tblPr>
        <w:tblStyle w:val="Newtableforresport"/>
        <w:tblW w:w="5000" w:type="pct"/>
        <w:tblInd w:w="0" w:type="dxa"/>
        <w:tblLook w:val="0660" w:firstRow="1" w:lastRow="1" w:firstColumn="0" w:lastColumn="0" w:noHBand="1" w:noVBand="1"/>
        <w:tblCaption w:val="Table A4.5: Total value of ITC contracts from 1 July 2016 to 30 June 2022 by commissioning body"/>
        <w:tblDescription w:val="A table showing the total value of Integrated Team Care (ITC) contracts from 1 July 2016 to 30 June 2022 by comissioning body. The first column lists commissioning bodies across Australia, such as the Australian Capital Territory Primary Health Network. The second column lists the monetary value of ITC contracts with non-Indigenous service providers by commissioning body. The third column lists the percentage value of ITC contracts with non-Indigenous service providers by commissioning body. The fourth column lists the monetary value of ITC contracts with Indigenous service providers by commissioning body. The fifth column lists the percentage value of ITC contracts with Indigenous service providers by commissioning body. The sixth column lists the total value of all ITC contracts by commissioning body. "/>
      </w:tblPr>
      <w:tblGrid>
        <w:gridCol w:w="3911"/>
        <w:gridCol w:w="1186"/>
        <w:gridCol w:w="1085"/>
        <w:gridCol w:w="1186"/>
        <w:gridCol w:w="1085"/>
        <w:gridCol w:w="1186"/>
      </w:tblGrid>
      <w:tr w:rsidR="00F94F86" w:rsidRPr="00C05B40" w14:paraId="1A6876A8" w14:textId="77777777" w:rsidTr="009D4C69">
        <w:trPr>
          <w:cnfStyle w:val="100000000000" w:firstRow="1" w:lastRow="0" w:firstColumn="0" w:lastColumn="0" w:oddVBand="0" w:evenVBand="0" w:oddHBand="0" w:evenHBand="0" w:firstRowFirstColumn="0" w:firstRowLastColumn="0" w:lastRowFirstColumn="0" w:lastRowLastColumn="0"/>
          <w:trHeight w:val="20"/>
          <w:tblHeader/>
        </w:trPr>
        <w:tc>
          <w:tcPr>
            <w:tcW w:w="2164" w:type="pct"/>
            <w:vAlign w:val="center"/>
          </w:tcPr>
          <w:p w14:paraId="0F4B1F82" w14:textId="19A4A650" w:rsidR="00F94F86" w:rsidRPr="00C05B40" w:rsidRDefault="00A93CE9" w:rsidP="00DD393D">
            <w:pPr>
              <w:pStyle w:val="TableHeading"/>
              <w:rPr>
                <w:rFonts w:eastAsia="Calibri"/>
              </w:rPr>
            </w:pPr>
            <w:r>
              <w:rPr>
                <w:rFonts w:eastAsia="Calibri"/>
              </w:rPr>
              <w:t>Commissioning body</w:t>
            </w:r>
          </w:p>
        </w:tc>
        <w:tc>
          <w:tcPr>
            <w:tcW w:w="562" w:type="pct"/>
            <w:vAlign w:val="center"/>
          </w:tcPr>
          <w:p w14:paraId="500480E9" w14:textId="77777777" w:rsidR="00F94F86" w:rsidRPr="00C05B40" w:rsidRDefault="00F94F86" w:rsidP="00DD393D">
            <w:pPr>
              <w:pStyle w:val="TableHeading"/>
              <w:rPr>
                <w:rFonts w:eastAsia="Calibri"/>
              </w:rPr>
            </w:pPr>
            <w:r w:rsidRPr="00C05B40">
              <w:t>Non-Indigenous service providers</w:t>
            </w:r>
          </w:p>
        </w:tc>
        <w:tc>
          <w:tcPr>
            <w:tcW w:w="564" w:type="pct"/>
            <w:vAlign w:val="center"/>
          </w:tcPr>
          <w:p w14:paraId="57D25DCF" w14:textId="77777777" w:rsidR="00F94F86" w:rsidRPr="00C05B40" w:rsidRDefault="00F94F86" w:rsidP="00DD393D">
            <w:pPr>
              <w:pStyle w:val="TableHeading"/>
              <w:rPr>
                <w:rFonts w:eastAsia="Calibri"/>
              </w:rPr>
            </w:pPr>
            <w:r w:rsidRPr="00C05B40">
              <w:t xml:space="preserve">% of total value non-Indigenous </w:t>
            </w:r>
          </w:p>
        </w:tc>
        <w:tc>
          <w:tcPr>
            <w:tcW w:w="564" w:type="pct"/>
            <w:vAlign w:val="center"/>
          </w:tcPr>
          <w:p w14:paraId="3C65AF02" w14:textId="77777777" w:rsidR="00F94F86" w:rsidRPr="00C05B40" w:rsidRDefault="00F94F86" w:rsidP="00DD393D">
            <w:pPr>
              <w:pStyle w:val="TableHeading"/>
              <w:rPr>
                <w:rFonts w:eastAsia="Calibri"/>
              </w:rPr>
            </w:pPr>
            <w:r w:rsidRPr="00C05B40">
              <w:t>Indigenous service providers</w:t>
            </w:r>
          </w:p>
        </w:tc>
        <w:tc>
          <w:tcPr>
            <w:tcW w:w="604" w:type="pct"/>
            <w:vAlign w:val="center"/>
          </w:tcPr>
          <w:p w14:paraId="23F7AD48" w14:textId="77777777" w:rsidR="00F94F86" w:rsidRPr="00C05B40" w:rsidRDefault="00F94F86" w:rsidP="00DD393D">
            <w:pPr>
              <w:pStyle w:val="TableHeading"/>
              <w:rPr>
                <w:rFonts w:eastAsia="Calibri"/>
              </w:rPr>
            </w:pPr>
            <w:r w:rsidRPr="00C05B40">
              <w:t>% of total value Indigenous</w:t>
            </w:r>
          </w:p>
        </w:tc>
        <w:tc>
          <w:tcPr>
            <w:tcW w:w="543" w:type="pct"/>
            <w:vAlign w:val="center"/>
          </w:tcPr>
          <w:p w14:paraId="6FBF568E" w14:textId="77777777" w:rsidR="00F94F86" w:rsidRPr="00C05B40" w:rsidRDefault="00F94F86" w:rsidP="00DD393D">
            <w:pPr>
              <w:pStyle w:val="TableHeading"/>
              <w:rPr>
                <w:rFonts w:eastAsia="Calibri"/>
              </w:rPr>
            </w:pPr>
            <w:r w:rsidRPr="00C05B40">
              <w:t>Total</w:t>
            </w:r>
          </w:p>
        </w:tc>
      </w:tr>
      <w:tr w:rsidR="00F94F86" w:rsidRPr="00C34FFC" w14:paraId="48CF1ADE" w14:textId="77777777" w:rsidTr="006F6DD1">
        <w:trPr>
          <w:trHeight w:val="20"/>
        </w:trPr>
        <w:tc>
          <w:tcPr>
            <w:tcW w:w="2164" w:type="pct"/>
          </w:tcPr>
          <w:p w14:paraId="349CC241" w14:textId="77777777" w:rsidR="00F94F86" w:rsidRPr="00C34FFC" w:rsidRDefault="00F94F86" w:rsidP="00997728">
            <w:pPr>
              <w:pStyle w:val="TableText"/>
              <w:rPr>
                <w:rFonts w:eastAsia="Calibri"/>
              </w:rPr>
            </w:pPr>
            <w:r w:rsidRPr="00C34FFC">
              <w:t>ACT: Australian Capital Territory</w:t>
            </w:r>
          </w:p>
        </w:tc>
        <w:tc>
          <w:tcPr>
            <w:tcW w:w="562" w:type="pct"/>
          </w:tcPr>
          <w:p w14:paraId="7CD50C6E" w14:textId="77777777" w:rsidR="00F94F86" w:rsidRPr="00DA7F25" w:rsidRDefault="00F94F86" w:rsidP="00997728">
            <w:pPr>
              <w:pStyle w:val="TableText"/>
              <w:jc w:val="right"/>
              <w:rPr>
                <w:rFonts w:eastAsia="Calibri"/>
              </w:rPr>
            </w:pPr>
            <w:r w:rsidRPr="00DA7F25">
              <w:t xml:space="preserve"> 3,786,743 </w:t>
            </w:r>
          </w:p>
        </w:tc>
        <w:tc>
          <w:tcPr>
            <w:tcW w:w="564" w:type="pct"/>
          </w:tcPr>
          <w:p w14:paraId="144AC97B" w14:textId="77777777" w:rsidR="00F94F86" w:rsidRPr="00DA7F25" w:rsidRDefault="00F94F86" w:rsidP="00997728">
            <w:pPr>
              <w:pStyle w:val="TableText"/>
              <w:jc w:val="center"/>
              <w:rPr>
                <w:rFonts w:eastAsia="Calibri"/>
              </w:rPr>
            </w:pPr>
            <w:r w:rsidRPr="00DA7F25">
              <w:t>64%</w:t>
            </w:r>
          </w:p>
        </w:tc>
        <w:tc>
          <w:tcPr>
            <w:tcW w:w="564" w:type="pct"/>
          </w:tcPr>
          <w:p w14:paraId="14202E5B" w14:textId="77777777" w:rsidR="00F94F86" w:rsidRPr="00DA7F25" w:rsidRDefault="00F94F86" w:rsidP="00997728">
            <w:pPr>
              <w:pStyle w:val="TableText"/>
              <w:jc w:val="right"/>
              <w:rPr>
                <w:rFonts w:eastAsia="Calibri"/>
              </w:rPr>
            </w:pPr>
            <w:r w:rsidRPr="00DA7F25">
              <w:t xml:space="preserve"> 2,096,856 </w:t>
            </w:r>
          </w:p>
        </w:tc>
        <w:tc>
          <w:tcPr>
            <w:tcW w:w="604" w:type="pct"/>
          </w:tcPr>
          <w:p w14:paraId="319F1527" w14:textId="77777777" w:rsidR="00F94F86" w:rsidRPr="00DA7F25" w:rsidRDefault="00F94F86" w:rsidP="00997728">
            <w:pPr>
              <w:pStyle w:val="TableText"/>
              <w:jc w:val="center"/>
              <w:rPr>
                <w:b/>
                <w:color w:val="000000"/>
              </w:rPr>
            </w:pPr>
            <w:r w:rsidRPr="00DA7F25">
              <w:t>36%</w:t>
            </w:r>
          </w:p>
        </w:tc>
        <w:tc>
          <w:tcPr>
            <w:tcW w:w="543" w:type="pct"/>
          </w:tcPr>
          <w:p w14:paraId="3EFB4692" w14:textId="77777777" w:rsidR="00F94F86" w:rsidRPr="00DA7F25" w:rsidRDefault="00F94F86" w:rsidP="00997728">
            <w:pPr>
              <w:pStyle w:val="TableText"/>
              <w:jc w:val="right"/>
              <w:rPr>
                <w:rFonts w:eastAsia="Calibri"/>
              </w:rPr>
            </w:pPr>
            <w:r w:rsidRPr="00DA7F25">
              <w:t xml:space="preserve"> 5,883,599 </w:t>
            </w:r>
          </w:p>
        </w:tc>
      </w:tr>
      <w:tr w:rsidR="00F94F86" w:rsidRPr="00C34FFC" w14:paraId="6598A63E" w14:textId="77777777" w:rsidTr="006F6DD1">
        <w:trPr>
          <w:trHeight w:val="20"/>
        </w:trPr>
        <w:tc>
          <w:tcPr>
            <w:tcW w:w="2164" w:type="pct"/>
          </w:tcPr>
          <w:p w14:paraId="4C468998" w14:textId="77777777" w:rsidR="00F94F86" w:rsidRPr="00C34FFC" w:rsidRDefault="00F94F86" w:rsidP="00997728">
            <w:pPr>
              <w:pStyle w:val="TableText"/>
              <w:rPr>
                <w:rFonts w:eastAsia="Calibri"/>
              </w:rPr>
            </w:pPr>
            <w:r w:rsidRPr="00C34FFC">
              <w:t>NSW: Central and Eastern Sydney</w:t>
            </w:r>
          </w:p>
        </w:tc>
        <w:tc>
          <w:tcPr>
            <w:tcW w:w="562" w:type="pct"/>
          </w:tcPr>
          <w:p w14:paraId="491968FB" w14:textId="77777777" w:rsidR="00F94F86" w:rsidRPr="00DA7F25" w:rsidRDefault="00F94F86" w:rsidP="00997728">
            <w:pPr>
              <w:pStyle w:val="TableText"/>
              <w:jc w:val="right"/>
              <w:rPr>
                <w:rFonts w:eastAsia="Calibri"/>
              </w:rPr>
            </w:pPr>
            <w:r w:rsidRPr="00DA7F25">
              <w:t xml:space="preserve"> 5,111,204 </w:t>
            </w:r>
          </w:p>
        </w:tc>
        <w:tc>
          <w:tcPr>
            <w:tcW w:w="564" w:type="pct"/>
          </w:tcPr>
          <w:p w14:paraId="6EDD3A13" w14:textId="77777777" w:rsidR="00F94F86" w:rsidRPr="00DA7F25" w:rsidRDefault="00F94F86" w:rsidP="00997728">
            <w:pPr>
              <w:pStyle w:val="TableText"/>
              <w:jc w:val="center"/>
              <w:rPr>
                <w:rFonts w:eastAsia="Calibri"/>
              </w:rPr>
            </w:pPr>
            <w:r w:rsidRPr="00DA7F25">
              <w:t>90%</w:t>
            </w:r>
          </w:p>
        </w:tc>
        <w:tc>
          <w:tcPr>
            <w:tcW w:w="564" w:type="pct"/>
          </w:tcPr>
          <w:p w14:paraId="3809E363" w14:textId="77777777" w:rsidR="00F94F86" w:rsidRPr="00DA7F25" w:rsidRDefault="00F94F86" w:rsidP="00997728">
            <w:pPr>
              <w:pStyle w:val="TableText"/>
              <w:jc w:val="right"/>
              <w:rPr>
                <w:rFonts w:eastAsia="Calibri"/>
              </w:rPr>
            </w:pPr>
            <w:r w:rsidRPr="00DA7F25">
              <w:t xml:space="preserve"> 541,106 </w:t>
            </w:r>
          </w:p>
        </w:tc>
        <w:tc>
          <w:tcPr>
            <w:tcW w:w="604" w:type="pct"/>
          </w:tcPr>
          <w:p w14:paraId="6E6529CC" w14:textId="77777777" w:rsidR="00F94F86" w:rsidRPr="00DA7F25" w:rsidRDefault="00F94F86" w:rsidP="00997728">
            <w:pPr>
              <w:pStyle w:val="TableText"/>
              <w:jc w:val="center"/>
              <w:rPr>
                <w:b/>
                <w:color w:val="000000"/>
              </w:rPr>
            </w:pPr>
            <w:r w:rsidRPr="00DA7F25">
              <w:t>10%</w:t>
            </w:r>
          </w:p>
        </w:tc>
        <w:tc>
          <w:tcPr>
            <w:tcW w:w="543" w:type="pct"/>
          </w:tcPr>
          <w:p w14:paraId="3A017956" w14:textId="77777777" w:rsidR="00F94F86" w:rsidRPr="00DA7F25" w:rsidRDefault="00F94F86" w:rsidP="00997728">
            <w:pPr>
              <w:pStyle w:val="TableText"/>
              <w:jc w:val="right"/>
              <w:rPr>
                <w:rFonts w:eastAsia="Calibri"/>
              </w:rPr>
            </w:pPr>
            <w:r w:rsidRPr="00DA7F25">
              <w:t xml:space="preserve"> 5,652,310 </w:t>
            </w:r>
          </w:p>
        </w:tc>
      </w:tr>
      <w:tr w:rsidR="00F94F86" w:rsidRPr="00C34FFC" w14:paraId="623E8A47" w14:textId="77777777" w:rsidTr="006F6DD1">
        <w:trPr>
          <w:trHeight w:val="20"/>
        </w:trPr>
        <w:tc>
          <w:tcPr>
            <w:tcW w:w="2164" w:type="pct"/>
          </w:tcPr>
          <w:p w14:paraId="2C2E75BC" w14:textId="77777777" w:rsidR="00F94F86" w:rsidRPr="00C34FFC" w:rsidRDefault="00F94F86" w:rsidP="00997728">
            <w:pPr>
              <w:pStyle w:val="TableText"/>
              <w:rPr>
                <w:rFonts w:eastAsia="Calibri"/>
              </w:rPr>
            </w:pPr>
            <w:r w:rsidRPr="00C34FFC">
              <w:t>NSW: Hunter New England and Central Coast</w:t>
            </w:r>
          </w:p>
        </w:tc>
        <w:tc>
          <w:tcPr>
            <w:tcW w:w="562" w:type="pct"/>
          </w:tcPr>
          <w:p w14:paraId="0D6785A4" w14:textId="77777777" w:rsidR="00F94F86" w:rsidRPr="00DA7F25" w:rsidRDefault="00F94F86" w:rsidP="00997728">
            <w:pPr>
              <w:pStyle w:val="TableText"/>
              <w:jc w:val="right"/>
              <w:rPr>
                <w:rFonts w:eastAsia="Calibri"/>
              </w:rPr>
            </w:pPr>
            <w:r w:rsidRPr="00DA7F25">
              <w:t xml:space="preserve"> 9,490,254 </w:t>
            </w:r>
          </w:p>
        </w:tc>
        <w:tc>
          <w:tcPr>
            <w:tcW w:w="564" w:type="pct"/>
          </w:tcPr>
          <w:p w14:paraId="577E9DF9" w14:textId="77777777" w:rsidR="00F94F86" w:rsidRPr="00DA7F25" w:rsidRDefault="00F94F86" w:rsidP="00997728">
            <w:pPr>
              <w:pStyle w:val="TableText"/>
              <w:jc w:val="center"/>
              <w:rPr>
                <w:rFonts w:eastAsia="Calibri"/>
              </w:rPr>
            </w:pPr>
            <w:r w:rsidRPr="00DA7F25">
              <w:t>69%</w:t>
            </w:r>
          </w:p>
        </w:tc>
        <w:tc>
          <w:tcPr>
            <w:tcW w:w="564" w:type="pct"/>
          </w:tcPr>
          <w:p w14:paraId="2F7F388B" w14:textId="77777777" w:rsidR="00F94F86" w:rsidRPr="00DA7F25" w:rsidRDefault="00F94F86" w:rsidP="00997728">
            <w:pPr>
              <w:pStyle w:val="TableText"/>
              <w:jc w:val="right"/>
              <w:rPr>
                <w:rFonts w:eastAsia="Calibri"/>
              </w:rPr>
            </w:pPr>
            <w:r w:rsidRPr="00DA7F25">
              <w:t xml:space="preserve"> 4,277,654 </w:t>
            </w:r>
          </w:p>
        </w:tc>
        <w:tc>
          <w:tcPr>
            <w:tcW w:w="604" w:type="pct"/>
          </w:tcPr>
          <w:p w14:paraId="3EA8F33B" w14:textId="77777777" w:rsidR="00F94F86" w:rsidRPr="00DA7F25" w:rsidRDefault="00F94F86" w:rsidP="00997728">
            <w:pPr>
              <w:pStyle w:val="TableText"/>
              <w:jc w:val="center"/>
              <w:rPr>
                <w:b/>
                <w:color w:val="000000"/>
              </w:rPr>
            </w:pPr>
            <w:r w:rsidRPr="00DA7F25">
              <w:t>31%</w:t>
            </w:r>
          </w:p>
        </w:tc>
        <w:tc>
          <w:tcPr>
            <w:tcW w:w="543" w:type="pct"/>
          </w:tcPr>
          <w:p w14:paraId="7287E3E4" w14:textId="77777777" w:rsidR="00F94F86" w:rsidRPr="00DA7F25" w:rsidRDefault="00F94F86" w:rsidP="00997728">
            <w:pPr>
              <w:pStyle w:val="TableText"/>
              <w:jc w:val="right"/>
              <w:rPr>
                <w:rFonts w:eastAsia="Calibri"/>
              </w:rPr>
            </w:pPr>
            <w:r w:rsidRPr="00DA7F25">
              <w:t xml:space="preserve"> 13,767,908 </w:t>
            </w:r>
          </w:p>
        </w:tc>
      </w:tr>
      <w:tr w:rsidR="00F94F86" w:rsidRPr="00C34FFC" w14:paraId="16AACF71" w14:textId="77777777" w:rsidTr="006F6DD1">
        <w:trPr>
          <w:trHeight w:val="20"/>
        </w:trPr>
        <w:tc>
          <w:tcPr>
            <w:tcW w:w="2164" w:type="pct"/>
          </w:tcPr>
          <w:p w14:paraId="144BA794" w14:textId="77777777" w:rsidR="00F94F86" w:rsidRPr="00C34FFC" w:rsidRDefault="00F94F86" w:rsidP="00997728">
            <w:pPr>
              <w:pStyle w:val="TableText"/>
              <w:rPr>
                <w:rFonts w:eastAsia="Calibri"/>
              </w:rPr>
            </w:pPr>
            <w:r w:rsidRPr="00C34FFC">
              <w:t>NSW: Murrumbidgee</w:t>
            </w:r>
          </w:p>
        </w:tc>
        <w:tc>
          <w:tcPr>
            <w:tcW w:w="562" w:type="pct"/>
          </w:tcPr>
          <w:p w14:paraId="35688DD1" w14:textId="77777777" w:rsidR="00F94F86" w:rsidRPr="00DA7F25" w:rsidRDefault="00F94F86" w:rsidP="00997728">
            <w:pPr>
              <w:pStyle w:val="TableText"/>
              <w:jc w:val="right"/>
              <w:rPr>
                <w:rFonts w:eastAsia="Calibri"/>
              </w:rPr>
            </w:pPr>
            <w:r w:rsidRPr="00DA7F25">
              <w:t xml:space="preserve"> 2,922,988 </w:t>
            </w:r>
          </w:p>
        </w:tc>
        <w:tc>
          <w:tcPr>
            <w:tcW w:w="564" w:type="pct"/>
          </w:tcPr>
          <w:p w14:paraId="0715557C" w14:textId="77777777" w:rsidR="00F94F86" w:rsidRPr="00DA7F25" w:rsidRDefault="00F94F86" w:rsidP="00997728">
            <w:pPr>
              <w:pStyle w:val="TableText"/>
              <w:jc w:val="center"/>
              <w:rPr>
                <w:rFonts w:eastAsia="Calibri"/>
              </w:rPr>
            </w:pPr>
            <w:r w:rsidRPr="00DA7F25">
              <w:t>41%</w:t>
            </w:r>
          </w:p>
        </w:tc>
        <w:tc>
          <w:tcPr>
            <w:tcW w:w="564" w:type="pct"/>
          </w:tcPr>
          <w:p w14:paraId="587D1F42" w14:textId="77777777" w:rsidR="00F94F86" w:rsidRPr="00DA7F25" w:rsidRDefault="00F94F86" w:rsidP="00997728">
            <w:pPr>
              <w:pStyle w:val="TableText"/>
              <w:jc w:val="right"/>
              <w:rPr>
                <w:rFonts w:eastAsia="Calibri"/>
              </w:rPr>
            </w:pPr>
            <w:r w:rsidRPr="00DA7F25">
              <w:t xml:space="preserve"> 4,287,403 </w:t>
            </w:r>
          </w:p>
        </w:tc>
        <w:tc>
          <w:tcPr>
            <w:tcW w:w="604" w:type="pct"/>
          </w:tcPr>
          <w:p w14:paraId="5324FD11" w14:textId="77777777" w:rsidR="00F94F86" w:rsidRPr="00DA7F25" w:rsidRDefault="00F94F86" w:rsidP="00997728">
            <w:pPr>
              <w:pStyle w:val="TableText"/>
              <w:jc w:val="center"/>
              <w:rPr>
                <w:b/>
                <w:color w:val="000000"/>
              </w:rPr>
            </w:pPr>
            <w:r w:rsidRPr="00DA7F25">
              <w:t>59%</w:t>
            </w:r>
          </w:p>
        </w:tc>
        <w:tc>
          <w:tcPr>
            <w:tcW w:w="543" w:type="pct"/>
          </w:tcPr>
          <w:p w14:paraId="4D0D6A10" w14:textId="77777777" w:rsidR="00F94F86" w:rsidRPr="00DA7F25" w:rsidRDefault="00F94F86" w:rsidP="00997728">
            <w:pPr>
              <w:pStyle w:val="TableText"/>
              <w:jc w:val="right"/>
              <w:rPr>
                <w:rFonts w:eastAsia="Calibri"/>
              </w:rPr>
            </w:pPr>
            <w:r w:rsidRPr="00DA7F25">
              <w:t xml:space="preserve"> 7,210,391 </w:t>
            </w:r>
          </w:p>
        </w:tc>
      </w:tr>
      <w:tr w:rsidR="00F94F86" w:rsidRPr="00C34FFC" w14:paraId="5BBF4CD8" w14:textId="77777777" w:rsidTr="006F6DD1">
        <w:trPr>
          <w:trHeight w:val="20"/>
        </w:trPr>
        <w:tc>
          <w:tcPr>
            <w:tcW w:w="2164" w:type="pct"/>
          </w:tcPr>
          <w:p w14:paraId="31E4DD8C" w14:textId="77777777" w:rsidR="00F94F86" w:rsidRPr="00C34FFC" w:rsidRDefault="00F94F86" w:rsidP="00997728">
            <w:pPr>
              <w:pStyle w:val="TableText"/>
              <w:rPr>
                <w:rFonts w:eastAsia="Calibri"/>
              </w:rPr>
            </w:pPr>
            <w:r w:rsidRPr="00C34FFC">
              <w:t>NSW: Nepean Blue Mountains</w:t>
            </w:r>
          </w:p>
        </w:tc>
        <w:tc>
          <w:tcPr>
            <w:tcW w:w="562" w:type="pct"/>
          </w:tcPr>
          <w:p w14:paraId="3413FFE1" w14:textId="77777777" w:rsidR="00F94F86" w:rsidRPr="00DA7F25" w:rsidRDefault="00F94F86" w:rsidP="00997728">
            <w:pPr>
              <w:pStyle w:val="TableText"/>
              <w:jc w:val="right"/>
              <w:rPr>
                <w:rFonts w:eastAsia="Calibri"/>
              </w:rPr>
            </w:pPr>
            <w:r w:rsidRPr="00DA7F25">
              <w:t xml:space="preserve"> 4,684,953 </w:t>
            </w:r>
          </w:p>
        </w:tc>
        <w:tc>
          <w:tcPr>
            <w:tcW w:w="564" w:type="pct"/>
          </w:tcPr>
          <w:p w14:paraId="7E4C212B" w14:textId="77777777" w:rsidR="00F94F86" w:rsidRPr="00DA7F25" w:rsidRDefault="00F94F86" w:rsidP="00997728">
            <w:pPr>
              <w:pStyle w:val="TableText"/>
              <w:jc w:val="center"/>
              <w:rPr>
                <w:rFonts w:eastAsia="Calibri"/>
              </w:rPr>
            </w:pPr>
            <w:r w:rsidRPr="00DA7F25">
              <w:t>100%</w:t>
            </w:r>
          </w:p>
        </w:tc>
        <w:tc>
          <w:tcPr>
            <w:tcW w:w="564" w:type="pct"/>
          </w:tcPr>
          <w:p w14:paraId="49A164EF" w14:textId="77777777" w:rsidR="00F94F86" w:rsidRPr="00DA7F25" w:rsidRDefault="00F94F86" w:rsidP="00997728">
            <w:pPr>
              <w:pStyle w:val="TableText"/>
              <w:jc w:val="right"/>
              <w:rPr>
                <w:rFonts w:eastAsia="Calibri"/>
              </w:rPr>
            </w:pPr>
            <w:r w:rsidRPr="00DA7F25">
              <w:t xml:space="preserve"> -</w:t>
            </w:r>
            <w:r w:rsidR="000B479E">
              <w:t xml:space="preserve"> </w:t>
            </w:r>
          </w:p>
        </w:tc>
        <w:tc>
          <w:tcPr>
            <w:tcW w:w="604" w:type="pct"/>
          </w:tcPr>
          <w:p w14:paraId="4FA9F778" w14:textId="77777777" w:rsidR="00F94F86" w:rsidRPr="00DA7F25" w:rsidRDefault="00F94F86" w:rsidP="00997728">
            <w:pPr>
              <w:pStyle w:val="TableText"/>
              <w:jc w:val="center"/>
              <w:rPr>
                <w:b/>
                <w:color w:val="000000"/>
              </w:rPr>
            </w:pPr>
            <w:r w:rsidRPr="00DA7F25">
              <w:t>0%</w:t>
            </w:r>
          </w:p>
        </w:tc>
        <w:tc>
          <w:tcPr>
            <w:tcW w:w="543" w:type="pct"/>
          </w:tcPr>
          <w:p w14:paraId="46879DD8" w14:textId="77777777" w:rsidR="00F94F86" w:rsidRPr="00DA7F25" w:rsidRDefault="00F94F86" w:rsidP="00997728">
            <w:pPr>
              <w:pStyle w:val="TableText"/>
              <w:jc w:val="right"/>
              <w:rPr>
                <w:rFonts w:eastAsia="Calibri"/>
              </w:rPr>
            </w:pPr>
            <w:r w:rsidRPr="00DA7F25">
              <w:t xml:space="preserve"> 4,684,953 </w:t>
            </w:r>
          </w:p>
        </w:tc>
      </w:tr>
      <w:tr w:rsidR="00F94F86" w:rsidRPr="00C34FFC" w14:paraId="5BB5F00B" w14:textId="77777777" w:rsidTr="006F6DD1">
        <w:trPr>
          <w:trHeight w:val="20"/>
        </w:trPr>
        <w:tc>
          <w:tcPr>
            <w:tcW w:w="2164" w:type="pct"/>
          </w:tcPr>
          <w:p w14:paraId="54F3F174" w14:textId="77777777" w:rsidR="00F94F86" w:rsidRPr="00C34FFC" w:rsidRDefault="00F94F86" w:rsidP="00997728">
            <w:pPr>
              <w:pStyle w:val="TableText"/>
              <w:rPr>
                <w:rFonts w:eastAsia="Calibri"/>
              </w:rPr>
            </w:pPr>
            <w:r w:rsidRPr="00C34FFC">
              <w:t>NSW: North Coast</w:t>
            </w:r>
          </w:p>
        </w:tc>
        <w:tc>
          <w:tcPr>
            <w:tcW w:w="562" w:type="pct"/>
          </w:tcPr>
          <w:p w14:paraId="2D82DA11" w14:textId="77777777" w:rsidR="00F94F86" w:rsidRPr="00DA7F25" w:rsidRDefault="00F94F86" w:rsidP="00997728">
            <w:pPr>
              <w:pStyle w:val="TableText"/>
              <w:jc w:val="right"/>
              <w:rPr>
                <w:rFonts w:eastAsia="Calibri"/>
              </w:rPr>
            </w:pPr>
            <w:r w:rsidRPr="00DA7F25">
              <w:t xml:space="preserve"> -</w:t>
            </w:r>
            <w:r w:rsidR="000B479E">
              <w:t xml:space="preserve"> </w:t>
            </w:r>
          </w:p>
        </w:tc>
        <w:tc>
          <w:tcPr>
            <w:tcW w:w="564" w:type="pct"/>
          </w:tcPr>
          <w:p w14:paraId="0FF4795F" w14:textId="77777777" w:rsidR="00F94F86" w:rsidRPr="00DA7F25" w:rsidRDefault="00F94F86" w:rsidP="00997728">
            <w:pPr>
              <w:pStyle w:val="TableText"/>
              <w:jc w:val="center"/>
              <w:rPr>
                <w:rFonts w:eastAsia="Calibri"/>
              </w:rPr>
            </w:pPr>
            <w:r w:rsidRPr="00DA7F25">
              <w:t>0%</w:t>
            </w:r>
          </w:p>
        </w:tc>
        <w:tc>
          <w:tcPr>
            <w:tcW w:w="564" w:type="pct"/>
          </w:tcPr>
          <w:p w14:paraId="30E0F805" w14:textId="77777777" w:rsidR="00F94F86" w:rsidRPr="00DA7F25" w:rsidRDefault="00F94F86" w:rsidP="00997728">
            <w:pPr>
              <w:pStyle w:val="TableText"/>
              <w:jc w:val="right"/>
              <w:rPr>
                <w:rFonts w:eastAsia="Calibri"/>
              </w:rPr>
            </w:pPr>
            <w:r w:rsidRPr="00DA7F25">
              <w:t xml:space="preserve"> 8,452,970 </w:t>
            </w:r>
          </w:p>
        </w:tc>
        <w:tc>
          <w:tcPr>
            <w:tcW w:w="604" w:type="pct"/>
          </w:tcPr>
          <w:p w14:paraId="4197AEBC" w14:textId="77777777" w:rsidR="00F94F86" w:rsidRPr="00DA7F25" w:rsidRDefault="00F94F86" w:rsidP="00997728">
            <w:pPr>
              <w:pStyle w:val="TableText"/>
              <w:jc w:val="center"/>
              <w:rPr>
                <w:b/>
                <w:color w:val="000000"/>
              </w:rPr>
            </w:pPr>
            <w:r w:rsidRPr="00DA7F25">
              <w:t>100%</w:t>
            </w:r>
          </w:p>
        </w:tc>
        <w:tc>
          <w:tcPr>
            <w:tcW w:w="543" w:type="pct"/>
          </w:tcPr>
          <w:p w14:paraId="731730BE" w14:textId="77777777" w:rsidR="00F94F86" w:rsidRPr="00DA7F25" w:rsidRDefault="00F94F86" w:rsidP="00997728">
            <w:pPr>
              <w:pStyle w:val="TableText"/>
              <w:jc w:val="right"/>
              <w:rPr>
                <w:rFonts w:eastAsia="Calibri"/>
              </w:rPr>
            </w:pPr>
            <w:r w:rsidRPr="00DA7F25">
              <w:t xml:space="preserve"> 8,452,970 </w:t>
            </w:r>
          </w:p>
        </w:tc>
      </w:tr>
      <w:tr w:rsidR="00F94F86" w:rsidRPr="00C34FFC" w14:paraId="1BB3FD5F" w14:textId="77777777" w:rsidTr="006F6DD1">
        <w:trPr>
          <w:trHeight w:val="20"/>
        </w:trPr>
        <w:tc>
          <w:tcPr>
            <w:tcW w:w="2164" w:type="pct"/>
          </w:tcPr>
          <w:p w14:paraId="6DC6BBF9" w14:textId="77777777" w:rsidR="00F94F86" w:rsidRPr="00C34FFC" w:rsidRDefault="00F94F86" w:rsidP="00997728">
            <w:pPr>
              <w:pStyle w:val="TableText"/>
              <w:rPr>
                <w:rFonts w:eastAsia="Calibri"/>
              </w:rPr>
            </w:pPr>
            <w:r w:rsidRPr="00C34FFC">
              <w:t>NSW: Northern Sydney</w:t>
            </w:r>
          </w:p>
        </w:tc>
        <w:tc>
          <w:tcPr>
            <w:tcW w:w="562" w:type="pct"/>
          </w:tcPr>
          <w:p w14:paraId="7C262176" w14:textId="77777777" w:rsidR="00F94F86" w:rsidRPr="00DA7F25" w:rsidRDefault="00F94F86" w:rsidP="00997728">
            <w:pPr>
              <w:pStyle w:val="TableText"/>
              <w:jc w:val="right"/>
              <w:rPr>
                <w:rFonts w:eastAsia="Calibri"/>
              </w:rPr>
            </w:pPr>
            <w:r w:rsidRPr="00DA7F25">
              <w:t xml:space="preserve"> -</w:t>
            </w:r>
            <w:r w:rsidR="000B479E">
              <w:t xml:space="preserve"> </w:t>
            </w:r>
          </w:p>
        </w:tc>
        <w:tc>
          <w:tcPr>
            <w:tcW w:w="564" w:type="pct"/>
          </w:tcPr>
          <w:p w14:paraId="5DDE9C2F" w14:textId="77777777" w:rsidR="00F94F86" w:rsidRPr="00DA7F25" w:rsidRDefault="00F94F86" w:rsidP="00997728">
            <w:pPr>
              <w:pStyle w:val="TableText"/>
              <w:jc w:val="center"/>
              <w:rPr>
                <w:rFonts w:eastAsia="Calibri"/>
              </w:rPr>
            </w:pPr>
            <w:r w:rsidRPr="00DA7F25">
              <w:t>0%</w:t>
            </w:r>
          </w:p>
        </w:tc>
        <w:tc>
          <w:tcPr>
            <w:tcW w:w="564" w:type="pct"/>
          </w:tcPr>
          <w:p w14:paraId="401A9BB4" w14:textId="77777777" w:rsidR="00F94F86" w:rsidRPr="00DA7F25" w:rsidRDefault="00F94F86" w:rsidP="00997728">
            <w:pPr>
              <w:pStyle w:val="TableText"/>
              <w:jc w:val="right"/>
              <w:rPr>
                <w:rFonts w:eastAsia="Calibri"/>
              </w:rPr>
            </w:pPr>
            <w:r w:rsidRPr="00DA7F25">
              <w:t xml:space="preserve"> 1,027,894 </w:t>
            </w:r>
          </w:p>
        </w:tc>
        <w:tc>
          <w:tcPr>
            <w:tcW w:w="604" w:type="pct"/>
          </w:tcPr>
          <w:p w14:paraId="57D4200E" w14:textId="77777777" w:rsidR="00F94F86" w:rsidRPr="00DA7F25" w:rsidRDefault="00F94F86" w:rsidP="00997728">
            <w:pPr>
              <w:pStyle w:val="TableText"/>
              <w:jc w:val="center"/>
              <w:rPr>
                <w:b/>
                <w:color w:val="000000"/>
              </w:rPr>
            </w:pPr>
            <w:r w:rsidRPr="00DA7F25">
              <w:t>100%</w:t>
            </w:r>
          </w:p>
        </w:tc>
        <w:tc>
          <w:tcPr>
            <w:tcW w:w="543" w:type="pct"/>
          </w:tcPr>
          <w:p w14:paraId="7FDEA6DA" w14:textId="77777777" w:rsidR="00F94F86" w:rsidRPr="00DA7F25" w:rsidRDefault="00F94F86" w:rsidP="00997728">
            <w:pPr>
              <w:pStyle w:val="TableText"/>
              <w:jc w:val="right"/>
              <w:rPr>
                <w:rFonts w:eastAsia="Calibri"/>
              </w:rPr>
            </w:pPr>
            <w:r w:rsidRPr="00DA7F25">
              <w:t xml:space="preserve"> 1,027,894 </w:t>
            </w:r>
          </w:p>
        </w:tc>
      </w:tr>
      <w:tr w:rsidR="00F94F86" w:rsidRPr="00C34FFC" w14:paraId="3EA0B5E9" w14:textId="77777777" w:rsidTr="006F6DD1">
        <w:trPr>
          <w:trHeight w:val="20"/>
        </w:trPr>
        <w:tc>
          <w:tcPr>
            <w:tcW w:w="2164" w:type="pct"/>
          </w:tcPr>
          <w:p w14:paraId="630BE8DF" w14:textId="77777777" w:rsidR="00F94F86" w:rsidRPr="00C34FFC" w:rsidRDefault="00F94F86" w:rsidP="00997728">
            <w:pPr>
              <w:pStyle w:val="TableText"/>
              <w:rPr>
                <w:rFonts w:eastAsia="Calibri"/>
              </w:rPr>
            </w:pPr>
            <w:r w:rsidRPr="00C34FFC">
              <w:t>NSW: South Eastern NSW</w:t>
            </w:r>
          </w:p>
        </w:tc>
        <w:tc>
          <w:tcPr>
            <w:tcW w:w="562" w:type="pct"/>
          </w:tcPr>
          <w:p w14:paraId="5AF1982A" w14:textId="77777777" w:rsidR="00F94F86" w:rsidRPr="00DA7F25" w:rsidRDefault="00F94F86" w:rsidP="00997728">
            <w:pPr>
              <w:pStyle w:val="TableText"/>
              <w:jc w:val="right"/>
              <w:rPr>
                <w:rFonts w:eastAsia="Calibri"/>
              </w:rPr>
            </w:pPr>
            <w:r w:rsidRPr="00DA7F25">
              <w:t xml:space="preserve"> 3,888,654 </w:t>
            </w:r>
          </w:p>
        </w:tc>
        <w:tc>
          <w:tcPr>
            <w:tcW w:w="564" w:type="pct"/>
          </w:tcPr>
          <w:p w14:paraId="01676558" w14:textId="77777777" w:rsidR="00F94F86" w:rsidRPr="00DA7F25" w:rsidRDefault="00F94F86" w:rsidP="00997728">
            <w:pPr>
              <w:pStyle w:val="TableText"/>
              <w:jc w:val="center"/>
              <w:rPr>
                <w:rFonts w:eastAsia="Calibri"/>
              </w:rPr>
            </w:pPr>
            <w:r w:rsidRPr="00DA7F25">
              <w:t>44%</w:t>
            </w:r>
          </w:p>
        </w:tc>
        <w:tc>
          <w:tcPr>
            <w:tcW w:w="564" w:type="pct"/>
          </w:tcPr>
          <w:p w14:paraId="76A78B86" w14:textId="77777777" w:rsidR="00F94F86" w:rsidRPr="00DA7F25" w:rsidRDefault="00F94F86" w:rsidP="00997728">
            <w:pPr>
              <w:pStyle w:val="TableText"/>
              <w:jc w:val="right"/>
              <w:rPr>
                <w:rFonts w:eastAsia="Calibri"/>
              </w:rPr>
            </w:pPr>
            <w:r w:rsidRPr="00DA7F25">
              <w:t xml:space="preserve"> 4,859,685 </w:t>
            </w:r>
          </w:p>
        </w:tc>
        <w:tc>
          <w:tcPr>
            <w:tcW w:w="604" w:type="pct"/>
          </w:tcPr>
          <w:p w14:paraId="14A09A7B" w14:textId="77777777" w:rsidR="00F94F86" w:rsidRPr="00DA7F25" w:rsidRDefault="00F94F86" w:rsidP="00997728">
            <w:pPr>
              <w:pStyle w:val="TableText"/>
              <w:jc w:val="center"/>
              <w:rPr>
                <w:b/>
                <w:color w:val="000000"/>
              </w:rPr>
            </w:pPr>
            <w:r w:rsidRPr="00DA7F25">
              <w:t>56%</w:t>
            </w:r>
          </w:p>
        </w:tc>
        <w:tc>
          <w:tcPr>
            <w:tcW w:w="543" w:type="pct"/>
          </w:tcPr>
          <w:p w14:paraId="705316DB" w14:textId="77777777" w:rsidR="00F94F86" w:rsidRPr="00DA7F25" w:rsidRDefault="00F94F86" w:rsidP="00997728">
            <w:pPr>
              <w:pStyle w:val="TableText"/>
              <w:jc w:val="right"/>
              <w:rPr>
                <w:rFonts w:eastAsia="Calibri"/>
              </w:rPr>
            </w:pPr>
            <w:r w:rsidRPr="00DA7F25">
              <w:t xml:space="preserve"> 8,748,339 </w:t>
            </w:r>
          </w:p>
        </w:tc>
      </w:tr>
      <w:tr w:rsidR="00F94F86" w:rsidRPr="00C34FFC" w14:paraId="14EAAB23" w14:textId="77777777" w:rsidTr="006F6DD1">
        <w:trPr>
          <w:trHeight w:val="20"/>
        </w:trPr>
        <w:tc>
          <w:tcPr>
            <w:tcW w:w="2164" w:type="pct"/>
          </w:tcPr>
          <w:p w14:paraId="366F8A21" w14:textId="77777777" w:rsidR="00F94F86" w:rsidRPr="00C34FFC" w:rsidRDefault="00F94F86" w:rsidP="00997728">
            <w:pPr>
              <w:pStyle w:val="TableText"/>
              <w:rPr>
                <w:rFonts w:eastAsia="Calibri"/>
              </w:rPr>
            </w:pPr>
            <w:r w:rsidRPr="00C34FFC">
              <w:t>NSW: South Western Sydney</w:t>
            </w:r>
          </w:p>
        </w:tc>
        <w:tc>
          <w:tcPr>
            <w:tcW w:w="562" w:type="pct"/>
          </w:tcPr>
          <w:p w14:paraId="7012EFB3" w14:textId="77777777" w:rsidR="00F94F86" w:rsidRPr="00DA7F25" w:rsidRDefault="00F94F86" w:rsidP="00997728">
            <w:pPr>
              <w:pStyle w:val="TableText"/>
              <w:jc w:val="right"/>
              <w:rPr>
                <w:rFonts w:eastAsia="Calibri"/>
              </w:rPr>
            </w:pPr>
            <w:r w:rsidRPr="00DA7F25">
              <w:t xml:space="preserve"> 5,702,764 </w:t>
            </w:r>
          </w:p>
        </w:tc>
        <w:tc>
          <w:tcPr>
            <w:tcW w:w="564" w:type="pct"/>
          </w:tcPr>
          <w:p w14:paraId="21828C75" w14:textId="77777777" w:rsidR="00F94F86" w:rsidRPr="00DA7F25" w:rsidRDefault="00F94F86" w:rsidP="00997728">
            <w:pPr>
              <w:pStyle w:val="TableText"/>
              <w:jc w:val="center"/>
              <w:rPr>
                <w:rFonts w:eastAsia="Calibri"/>
              </w:rPr>
            </w:pPr>
            <w:r w:rsidRPr="00DA7F25">
              <w:t>100%</w:t>
            </w:r>
          </w:p>
        </w:tc>
        <w:tc>
          <w:tcPr>
            <w:tcW w:w="564" w:type="pct"/>
          </w:tcPr>
          <w:p w14:paraId="285323AC" w14:textId="77777777" w:rsidR="00F94F86" w:rsidRPr="00DA7F25" w:rsidRDefault="00F94F86" w:rsidP="00997728">
            <w:pPr>
              <w:pStyle w:val="TableText"/>
              <w:jc w:val="right"/>
              <w:rPr>
                <w:rFonts w:eastAsia="Calibri"/>
              </w:rPr>
            </w:pPr>
            <w:r w:rsidRPr="00DA7F25">
              <w:t xml:space="preserve"> -</w:t>
            </w:r>
            <w:r w:rsidR="000B479E">
              <w:t xml:space="preserve"> </w:t>
            </w:r>
          </w:p>
        </w:tc>
        <w:tc>
          <w:tcPr>
            <w:tcW w:w="604" w:type="pct"/>
          </w:tcPr>
          <w:p w14:paraId="188C35AF" w14:textId="77777777" w:rsidR="00F94F86" w:rsidRPr="00DA7F25" w:rsidRDefault="00F94F86" w:rsidP="00997728">
            <w:pPr>
              <w:pStyle w:val="TableText"/>
              <w:jc w:val="center"/>
              <w:rPr>
                <w:b/>
                <w:color w:val="000000"/>
              </w:rPr>
            </w:pPr>
            <w:r w:rsidRPr="00DA7F25">
              <w:t>0%</w:t>
            </w:r>
          </w:p>
        </w:tc>
        <w:tc>
          <w:tcPr>
            <w:tcW w:w="543" w:type="pct"/>
          </w:tcPr>
          <w:p w14:paraId="55F436E4" w14:textId="77777777" w:rsidR="00F94F86" w:rsidRPr="00DA7F25" w:rsidRDefault="00F94F86" w:rsidP="00997728">
            <w:pPr>
              <w:pStyle w:val="TableText"/>
              <w:jc w:val="right"/>
              <w:rPr>
                <w:rFonts w:eastAsia="Calibri"/>
              </w:rPr>
            </w:pPr>
            <w:r w:rsidRPr="00DA7F25">
              <w:t xml:space="preserve"> 5,702,764 </w:t>
            </w:r>
          </w:p>
        </w:tc>
      </w:tr>
      <w:tr w:rsidR="00F94F86" w:rsidRPr="00C34FFC" w14:paraId="53CD9EBE" w14:textId="77777777" w:rsidTr="006F6DD1">
        <w:trPr>
          <w:trHeight w:val="20"/>
        </w:trPr>
        <w:tc>
          <w:tcPr>
            <w:tcW w:w="2164" w:type="pct"/>
          </w:tcPr>
          <w:p w14:paraId="09B41D2F" w14:textId="77777777" w:rsidR="00F94F86" w:rsidRPr="00C34FFC" w:rsidRDefault="00F94F86" w:rsidP="00997728">
            <w:pPr>
              <w:pStyle w:val="TableText"/>
              <w:rPr>
                <w:rFonts w:eastAsia="Calibri"/>
              </w:rPr>
            </w:pPr>
            <w:r w:rsidRPr="00C34FFC">
              <w:t>NSW: Western NSW</w:t>
            </w:r>
          </w:p>
        </w:tc>
        <w:tc>
          <w:tcPr>
            <w:tcW w:w="562" w:type="pct"/>
          </w:tcPr>
          <w:p w14:paraId="5DD041C7" w14:textId="77777777" w:rsidR="00F94F86" w:rsidRPr="00DA7F25" w:rsidRDefault="00F94F86" w:rsidP="00997728">
            <w:pPr>
              <w:pStyle w:val="TableText"/>
              <w:jc w:val="right"/>
              <w:rPr>
                <w:rFonts w:eastAsia="Calibri"/>
              </w:rPr>
            </w:pPr>
            <w:r w:rsidRPr="00DA7F25">
              <w:t xml:space="preserve"> 177,250 </w:t>
            </w:r>
          </w:p>
        </w:tc>
        <w:tc>
          <w:tcPr>
            <w:tcW w:w="564" w:type="pct"/>
          </w:tcPr>
          <w:p w14:paraId="197867DB" w14:textId="77777777" w:rsidR="00F94F86" w:rsidRPr="00DA7F25" w:rsidRDefault="00F94F86" w:rsidP="00997728">
            <w:pPr>
              <w:pStyle w:val="TableText"/>
              <w:jc w:val="center"/>
              <w:rPr>
                <w:rFonts w:eastAsia="Calibri"/>
              </w:rPr>
            </w:pPr>
            <w:r w:rsidRPr="00DA7F25">
              <w:t>3%</w:t>
            </w:r>
          </w:p>
        </w:tc>
        <w:tc>
          <w:tcPr>
            <w:tcW w:w="564" w:type="pct"/>
          </w:tcPr>
          <w:p w14:paraId="3B34FA00" w14:textId="77777777" w:rsidR="00F94F86" w:rsidRPr="00DA7F25" w:rsidRDefault="00F94F86" w:rsidP="00997728">
            <w:pPr>
              <w:pStyle w:val="TableText"/>
              <w:jc w:val="right"/>
              <w:rPr>
                <w:rFonts w:eastAsia="Calibri"/>
              </w:rPr>
            </w:pPr>
            <w:r w:rsidRPr="00DA7F25">
              <w:t xml:space="preserve"> 6,314,033 </w:t>
            </w:r>
          </w:p>
        </w:tc>
        <w:tc>
          <w:tcPr>
            <w:tcW w:w="604" w:type="pct"/>
          </w:tcPr>
          <w:p w14:paraId="7A67A9BD" w14:textId="77777777" w:rsidR="00F94F86" w:rsidRPr="00DA7F25" w:rsidRDefault="00F94F86" w:rsidP="00997728">
            <w:pPr>
              <w:pStyle w:val="TableText"/>
              <w:jc w:val="center"/>
              <w:rPr>
                <w:b/>
                <w:color w:val="000000"/>
              </w:rPr>
            </w:pPr>
            <w:r w:rsidRPr="00DA7F25">
              <w:t>97%</w:t>
            </w:r>
          </w:p>
        </w:tc>
        <w:tc>
          <w:tcPr>
            <w:tcW w:w="543" w:type="pct"/>
          </w:tcPr>
          <w:p w14:paraId="75E7AC65" w14:textId="77777777" w:rsidR="00F94F86" w:rsidRPr="00DA7F25" w:rsidRDefault="00F94F86" w:rsidP="00997728">
            <w:pPr>
              <w:pStyle w:val="TableText"/>
              <w:jc w:val="right"/>
              <w:rPr>
                <w:rFonts w:eastAsia="Calibri"/>
              </w:rPr>
            </w:pPr>
            <w:r w:rsidRPr="00DA7F25">
              <w:t xml:space="preserve"> 6,491,283 </w:t>
            </w:r>
          </w:p>
        </w:tc>
      </w:tr>
      <w:tr w:rsidR="00F94F86" w:rsidRPr="00C34FFC" w14:paraId="324C5E81" w14:textId="77777777" w:rsidTr="006F6DD1">
        <w:trPr>
          <w:trHeight w:val="20"/>
        </w:trPr>
        <w:tc>
          <w:tcPr>
            <w:tcW w:w="2164" w:type="pct"/>
          </w:tcPr>
          <w:p w14:paraId="124FC933" w14:textId="77777777" w:rsidR="00F94F86" w:rsidRPr="00C34FFC" w:rsidRDefault="00F94F86" w:rsidP="00997728">
            <w:pPr>
              <w:pStyle w:val="TableText"/>
              <w:rPr>
                <w:rFonts w:eastAsia="Calibri"/>
              </w:rPr>
            </w:pPr>
            <w:r w:rsidRPr="00C34FFC">
              <w:t>NSW: Western Sydney</w:t>
            </w:r>
          </w:p>
        </w:tc>
        <w:tc>
          <w:tcPr>
            <w:tcW w:w="562" w:type="pct"/>
          </w:tcPr>
          <w:p w14:paraId="19E66BC4" w14:textId="77777777" w:rsidR="00F94F86" w:rsidRPr="00DA7F25" w:rsidRDefault="00F94F86" w:rsidP="00997728">
            <w:pPr>
              <w:pStyle w:val="TableText"/>
              <w:jc w:val="right"/>
              <w:rPr>
                <w:rFonts w:eastAsia="Calibri"/>
              </w:rPr>
            </w:pPr>
            <w:r w:rsidRPr="00DA7F25">
              <w:t xml:space="preserve"> 2,638,336 </w:t>
            </w:r>
          </w:p>
        </w:tc>
        <w:tc>
          <w:tcPr>
            <w:tcW w:w="564" w:type="pct"/>
          </w:tcPr>
          <w:p w14:paraId="37C1078F" w14:textId="77777777" w:rsidR="00F94F86" w:rsidRPr="00DA7F25" w:rsidRDefault="00F94F86" w:rsidP="00997728">
            <w:pPr>
              <w:pStyle w:val="TableText"/>
              <w:jc w:val="center"/>
              <w:rPr>
                <w:rFonts w:eastAsia="Calibri"/>
              </w:rPr>
            </w:pPr>
            <w:r w:rsidRPr="00DA7F25">
              <w:t>100%</w:t>
            </w:r>
          </w:p>
        </w:tc>
        <w:tc>
          <w:tcPr>
            <w:tcW w:w="564" w:type="pct"/>
          </w:tcPr>
          <w:p w14:paraId="034BCC20" w14:textId="77777777" w:rsidR="00F94F86" w:rsidRPr="00DA7F25" w:rsidRDefault="00F94F86" w:rsidP="00997728">
            <w:pPr>
              <w:pStyle w:val="TableText"/>
              <w:jc w:val="right"/>
              <w:rPr>
                <w:rFonts w:eastAsia="Calibri"/>
              </w:rPr>
            </w:pPr>
            <w:r w:rsidRPr="00DA7F25">
              <w:t xml:space="preserve"> -</w:t>
            </w:r>
            <w:r w:rsidR="000B479E">
              <w:t xml:space="preserve"> </w:t>
            </w:r>
          </w:p>
        </w:tc>
        <w:tc>
          <w:tcPr>
            <w:tcW w:w="604" w:type="pct"/>
          </w:tcPr>
          <w:p w14:paraId="0DE28C91" w14:textId="77777777" w:rsidR="00F94F86" w:rsidRPr="00DA7F25" w:rsidRDefault="00F94F86" w:rsidP="00997728">
            <w:pPr>
              <w:pStyle w:val="TableText"/>
              <w:jc w:val="center"/>
              <w:rPr>
                <w:b/>
                <w:color w:val="000000"/>
              </w:rPr>
            </w:pPr>
            <w:r w:rsidRPr="00DA7F25">
              <w:t>0%</w:t>
            </w:r>
          </w:p>
        </w:tc>
        <w:tc>
          <w:tcPr>
            <w:tcW w:w="543" w:type="pct"/>
          </w:tcPr>
          <w:p w14:paraId="47375F35" w14:textId="77777777" w:rsidR="00F94F86" w:rsidRPr="00DA7F25" w:rsidRDefault="00F94F86" w:rsidP="00997728">
            <w:pPr>
              <w:pStyle w:val="TableText"/>
              <w:jc w:val="right"/>
              <w:rPr>
                <w:rFonts w:eastAsia="Calibri"/>
              </w:rPr>
            </w:pPr>
            <w:r w:rsidRPr="00DA7F25">
              <w:t xml:space="preserve"> 2,638,336 </w:t>
            </w:r>
          </w:p>
        </w:tc>
      </w:tr>
      <w:tr w:rsidR="00F94F86" w:rsidRPr="00C34FFC" w14:paraId="20B4EB89" w14:textId="77777777" w:rsidTr="006F6DD1">
        <w:trPr>
          <w:trHeight w:val="20"/>
        </w:trPr>
        <w:tc>
          <w:tcPr>
            <w:tcW w:w="2164" w:type="pct"/>
          </w:tcPr>
          <w:p w14:paraId="36D24412" w14:textId="77777777" w:rsidR="00F94F86" w:rsidRPr="00C34FFC" w:rsidRDefault="00F94F86" w:rsidP="00997728">
            <w:pPr>
              <w:pStyle w:val="TableText"/>
              <w:rPr>
                <w:rFonts w:eastAsia="Calibri"/>
              </w:rPr>
            </w:pPr>
            <w:r w:rsidRPr="00C34FFC">
              <w:t>NT: Northern Territory</w:t>
            </w:r>
          </w:p>
        </w:tc>
        <w:tc>
          <w:tcPr>
            <w:tcW w:w="562" w:type="pct"/>
          </w:tcPr>
          <w:p w14:paraId="3B8A2BC6" w14:textId="77777777" w:rsidR="00F94F86" w:rsidRPr="00DA7F25" w:rsidRDefault="00F94F86" w:rsidP="00997728">
            <w:pPr>
              <w:pStyle w:val="TableText"/>
              <w:jc w:val="right"/>
              <w:rPr>
                <w:rFonts w:eastAsia="Calibri"/>
              </w:rPr>
            </w:pPr>
            <w:r w:rsidRPr="00DA7F25">
              <w:t xml:space="preserve"> 5,485,702 </w:t>
            </w:r>
          </w:p>
        </w:tc>
        <w:tc>
          <w:tcPr>
            <w:tcW w:w="564" w:type="pct"/>
          </w:tcPr>
          <w:p w14:paraId="3EBE1E7A" w14:textId="77777777" w:rsidR="00F94F86" w:rsidRPr="00DA7F25" w:rsidRDefault="00F94F86" w:rsidP="00997728">
            <w:pPr>
              <w:pStyle w:val="TableText"/>
              <w:jc w:val="center"/>
              <w:rPr>
                <w:rFonts w:eastAsia="Calibri"/>
              </w:rPr>
            </w:pPr>
            <w:r w:rsidRPr="00DA7F25">
              <w:t>7%</w:t>
            </w:r>
          </w:p>
        </w:tc>
        <w:tc>
          <w:tcPr>
            <w:tcW w:w="564" w:type="pct"/>
          </w:tcPr>
          <w:p w14:paraId="1EA3F61B" w14:textId="77777777" w:rsidR="00F94F86" w:rsidRPr="00DA7F25" w:rsidRDefault="00F94F86" w:rsidP="00997728">
            <w:pPr>
              <w:pStyle w:val="TableText"/>
              <w:jc w:val="right"/>
              <w:rPr>
                <w:rFonts w:eastAsia="Calibri"/>
              </w:rPr>
            </w:pPr>
            <w:r w:rsidRPr="00DA7F25">
              <w:t xml:space="preserve"> 76,721,298 </w:t>
            </w:r>
          </w:p>
        </w:tc>
        <w:tc>
          <w:tcPr>
            <w:tcW w:w="604" w:type="pct"/>
          </w:tcPr>
          <w:p w14:paraId="13251DBD" w14:textId="77777777" w:rsidR="00F94F86" w:rsidRPr="00DA7F25" w:rsidRDefault="00F94F86" w:rsidP="00997728">
            <w:pPr>
              <w:pStyle w:val="TableText"/>
              <w:jc w:val="center"/>
              <w:rPr>
                <w:b/>
                <w:color w:val="000000"/>
              </w:rPr>
            </w:pPr>
            <w:r w:rsidRPr="00DA7F25">
              <w:t>93%</w:t>
            </w:r>
          </w:p>
        </w:tc>
        <w:tc>
          <w:tcPr>
            <w:tcW w:w="543" w:type="pct"/>
          </w:tcPr>
          <w:p w14:paraId="11F28A6B" w14:textId="77777777" w:rsidR="00F94F86" w:rsidRPr="00DA7F25" w:rsidRDefault="00F94F86" w:rsidP="00997728">
            <w:pPr>
              <w:pStyle w:val="TableText"/>
              <w:jc w:val="right"/>
              <w:rPr>
                <w:rFonts w:eastAsia="Calibri"/>
              </w:rPr>
            </w:pPr>
            <w:r w:rsidRPr="00DA7F25">
              <w:t xml:space="preserve"> 82,207,001 </w:t>
            </w:r>
          </w:p>
        </w:tc>
      </w:tr>
      <w:tr w:rsidR="00F94F86" w:rsidRPr="00C34FFC" w14:paraId="4FF40E02" w14:textId="77777777" w:rsidTr="006F6DD1">
        <w:trPr>
          <w:trHeight w:val="20"/>
        </w:trPr>
        <w:tc>
          <w:tcPr>
            <w:tcW w:w="2164" w:type="pct"/>
          </w:tcPr>
          <w:p w14:paraId="57BCB73E" w14:textId="77777777" w:rsidR="00F94F86" w:rsidRPr="00C34FFC" w:rsidRDefault="00F94F86" w:rsidP="00997728">
            <w:pPr>
              <w:pStyle w:val="TableText"/>
              <w:rPr>
                <w:rFonts w:eastAsia="Calibri"/>
              </w:rPr>
            </w:pPr>
            <w:r w:rsidRPr="00C34FFC">
              <w:t>Qld: Brisbane North</w:t>
            </w:r>
          </w:p>
        </w:tc>
        <w:tc>
          <w:tcPr>
            <w:tcW w:w="562" w:type="pct"/>
          </w:tcPr>
          <w:p w14:paraId="7DCEA282" w14:textId="77777777" w:rsidR="00F94F86" w:rsidRPr="00DA7F25" w:rsidRDefault="00F94F86" w:rsidP="00997728">
            <w:pPr>
              <w:pStyle w:val="TableText"/>
              <w:jc w:val="right"/>
              <w:rPr>
                <w:rFonts w:eastAsia="Calibri"/>
              </w:rPr>
            </w:pPr>
            <w:r w:rsidRPr="00DA7F25">
              <w:t xml:space="preserve"> -</w:t>
            </w:r>
            <w:r w:rsidR="000B479E">
              <w:t xml:space="preserve"> </w:t>
            </w:r>
          </w:p>
        </w:tc>
        <w:tc>
          <w:tcPr>
            <w:tcW w:w="564" w:type="pct"/>
          </w:tcPr>
          <w:p w14:paraId="7B3D3F06" w14:textId="77777777" w:rsidR="00F94F86" w:rsidRPr="00DA7F25" w:rsidRDefault="00F94F86" w:rsidP="00997728">
            <w:pPr>
              <w:pStyle w:val="TableText"/>
              <w:jc w:val="center"/>
              <w:rPr>
                <w:rFonts w:eastAsia="Calibri"/>
              </w:rPr>
            </w:pPr>
            <w:r w:rsidRPr="00DA7F25">
              <w:t>0%</w:t>
            </w:r>
          </w:p>
        </w:tc>
        <w:tc>
          <w:tcPr>
            <w:tcW w:w="564" w:type="pct"/>
          </w:tcPr>
          <w:p w14:paraId="77A7B54C" w14:textId="77777777" w:rsidR="00F94F86" w:rsidRPr="00DA7F25" w:rsidRDefault="00F94F86" w:rsidP="00997728">
            <w:pPr>
              <w:pStyle w:val="TableText"/>
              <w:jc w:val="right"/>
              <w:rPr>
                <w:rFonts w:eastAsia="Calibri"/>
              </w:rPr>
            </w:pPr>
            <w:r w:rsidRPr="00DA7F25">
              <w:t xml:space="preserve"> 10,337,065 </w:t>
            </w:r>
          </w:p>
        </w:tc>
        <w:tc>
          <w:tcPr>
            <w:tcW w:w="604" w:type="pct"/>
          </w:tcPr>
          <w:p w14:paraId="77E32901" w14:textId="77777777" w:rsidR="00F94F86" w:rsidRPr="00DA7F25" w:rsidRDefault="00F94F86" w:rsidP="00997728">
            <w:pPr>
              <w:pStyle w:val="TableText"/>
              <w:jc w:val="center"/>
              <w:rPr>
                <w:b/>
                <w:color w:val="000000"/>
              </w:rPr>
            </w:pPr>
            <w:r w:rsidRPr="00DA7F25">
              <w:t>100%</w:t>
            </w:r>
          </w:p>
        </w:tc>
        <w:tc>
          <w:tcPr>
            <w:tcW w:w="543" w:type="pct"/>
          </w:tcPr>
          <w:p w14:paraId="60A90A11" w14:textId="77777777" w:rsidR="00F94F86" w:rsidRPr="00DA7F25" w:rsidRDefault="00F94F86" w:rsidP="00997728">
            <w:pPr>
              <w:pStyle w:val="TableText"/>
              <w:jc w:val="right"/>
              <w:rPr>
                <w:rFonts w:eastAsia="Calibri"/>
              </w:rPr>
            </w:pPr>
            <w:r w:rsidRPr="00DA7F25">
              <w:t xml:space="preserve"> 10,337,065 </w:t>
            </w:r>
          </w:p>
        </w:tc>
      </w:tr>
      <w:tr w:rsidR="00F94F86" w:rsidRPr="00C34FFC" w14:paraId="52541B95" w14:textId="77777777" w:rsidTr="006F6DD1">
        <w:trPr>
          <w:trHeight w:val="20"/>
        </w:trPr>
        <w:tc>
          <w:tcPr>
            <w:tcW w:w="2164" w:type="pct"/>
          </w:tcPr>
          <w:p w14:paraId="60CA48C7" w14:textId="77777777" w:rsidR="00F94F86" w:rsidRPr="00C34FFC" w:rsidRDefault="00F94F86" w:rsidP="00997728">
            <w:pPr>
              <w:pStyle w:val="TableText"/>
              <w:rPr>
                <w:rFonts w:eastAsia="Calibri"/>
              </w:rPr>
            </w:pPr>
            <w:r w:rsidRPr="00C34FFC">
              <w:t>Qld: Brisbane South</w:t>
            </w:r>
          </w:p>
        </w:tc>
        <w:tc>
          <w:tcPr>
            <w:tcW w:w="562" w:type="pct"/>
          </w:tcPr>
          <w:p w14:paraId="4B56E344" w14:textId="77777777" w:rsidR="00F94F86" w:rsidRPr="00DA7F25" w:rsidRDefault="00F94F86" w:rsidP="00997728">
            <w:pPr>
              <w:pStyle w:val="TableText"/>
              <w:jc w:val="right"/>
              <w:rPr>
                <w:rFonts w:eastAsia="Calibri"/>
              </w:rPr>
            </w:pPr>
            <w:r w:rsidRPr="00DA7F25">
              <w:t xml:space="preserve"> 7,165,217 </w:t>
            </w:r>
          </w:p>
        </w:tc>
        <w:tc>
          <w:tcPr>
            <w:tcW w:w="564" w:type="pct"/>
          </w:tcPr>
          <w:p w14:paraId="5F5993E6" w14:textId="77777777" w:rsidR="00F94F86" w:rsidRPr="00DA7F25" w:rsidRDefault="00F94F86" w:rsidP="00997728">
            <w:pPr>
              <w:pStyle w:val="TableText"/>
              <w:jc w:val="center"/>
              <w:rPr>
                <w:rFonts w:eastAsia="Calibri"/>
              </w:rPr>
            </w:pPr>
            <w:r w:rsidRPr="00DA7F25">
              <w:t>63%</w:t>
            </w:r>
          </w:p>
        </w:tc>
        <w:tc>
          <w:tcPr>
            <w:tcW w:w="564" w:type="pct"/>
          </w:tcPr>
          <w:p w14:paraId="0A8BC37D" w14:textId="77777777" w:rsidR="00F94F86" w:rsidRPr="00DA7F25" w:rsidRDefault="00F94F86" w:rsidP="00997728">
            <w:pPr>
              <w:pStyle w:val="TableText"/>
              <w:jc w:val="right"/>
              <w:rPr>
                <w:rFonts w:eastAsia="Calibri"/>
              </w:rPr>
            </w:pPr>
            <w:r w:rsidRPr="00DA7F25">
              <w:t xml:space="preserve"> 4,150,535 </w:t>
            </w:r>
          </w:p>
        </w:tc>
        <w:tc>
          <w:tcPr>
            <w:tcW w:w="604" w:type="pct"/>
          </w:tcPr>
          <w:p w14:paraId="2ED73939" w14:textId="77777777" w:rsidR="00F94F86" w:rsidRPr="00DA7F25" w:rsidRDefault="00F94F86" w:rsidP="00997728">
            <w:pPr>
              <w:pStyle w:val="TableText"/>
              <w:jc w:val="center"/>
              <w:rPr>
                <w:b/>
                <w:color w:val="000000"/>
              </w:rPr>
            </w:pPr>
            <w:r w:rsidRPr="00DA7F25">
              <w:t>37%</w:t>
            </w:r>
          </w:p>
        </w:tc>
        <w:tc>
          <w:tcPr>
            <w:tcW w:w="543" w:type="pct"/>
          </w:tcPr>
          <w:p w14:paraId="11BB1CFF" w14:textId="77777777" w:rsidR="00F94F86" w:rsidRPr="00DA7F25" w:rsidRDefault="00F94F86" w:rsidP="00997728">
            <w:pPr>
              <w:pStyle w:val="TableText"/>
              <w:jc w:val="right"/>
              <w:rPr>
                <w:rFonts w:eastAsia="Calibri"/>
              </w:rPr>
            </w:pPr>
            <w:r w:rsidRPr="00DA7F25">
              <w:t xml:space="preserve"> 11,315,752 </w:t>
            </w:r>
          </w:p>
        </w:tc>
      </w:tr>
      <w:tr w:rsidR="00F94F86" w:rsidRPr="00C34FFC" w14:paraId="28A1402C" w14:textId="77777777" w:rsidTr="006F6DD1">
        <w:trPr>
          <w:trHeight w:val="20"/>
        </w:trPr>
        <w:tc>
          <w:tcPr>
            <w:tcW w:w="2164" w:type="pct"/>
          </w:tcPr>
          <w:p w14:paraId="7FB2FEC3" w14:textId="77777777" w:rsidR="00F94F86" w:rsidRPr="00C34FFC" w:rsidRDefault="00F94F86" w:rsidP="00997728">
            <w:pPr>
              <w:pStyle w:val="TableText"/>
              <w:rPr>
                <w:rFonts w:eastAsia="Calibri"/>
              </w:rPr>
            </w:pPr>
            <w:r w:rsidRPr="00C34FFC">
              <w:t xml:space="preserve">Qld: Central Queensland, Wide Bay, Sunshine </w:t>
            </w:r>
          </w:p>
        </w:tc>
        <w:tc>
          <w:tcPr>
            <w:tcW w:w="562" w:type="pct"/>
          </w:tcPr>
          <w:p w14:paraId="10E484AA" w14:textId="77777777" w:rsidR="00F94F86" w:rsidRPr="00DA7F25" w:rsidRDefault="00F94F86" w:rsidP="00997728">
            <w:pPr>
              <w:pStyle w:val="TableText"/>
              <w:jc w:val="right"/>
              <w:rPr>
                <w:rFonts w:eastAsia="Calibri"/>
              </w:rPr>
            </w:pPr>
            <w:r w:rsidRPr="00DA7F25">
              <w:t xml:space="preserve"> 1,640,534 </w:t>
            </w:r>
          </w:p>
        </w:tc>
        <w:tc>
          <w:tcPr>
            <w:tcW w:w="564" w:type="pct"/>
          </w:tcPr>
          <w:p w14:paraId="29C230F8" w14:textId="77777777" w:rsidR="00F94F86" w:rsidRPr="00DA7F25" w:rsidRDefault="00F94F86" w:rsidP="00997728">
            <w:pPr>
              <w:pStyle w:val="TableText"/>
              <w:jc w:val="center"/>
              <w:rPr>
                <w:rFonts w:eastAsia="Calibri"/>
              </w:rPr>
            </w:pPr>
            <w:r w:rsidRPr="00DA7F25">
              <w:t>25%</w:t>
            </w:r>
          </w:p>
        </w:tc>
        <w:tc>
          <w:tcPr>
            <w:tcW w:w="564" w:type="pct"/>
          </w:tcPr>
          <w:p w14:paraId="19DD7150" w14:textId="77777777" w:rsidR="00F94F86" w:rsidRPr="00DA7F25" w:rsidRDefault="00F94F86" w:rsidP="00997728">
            <w:pPr>
              <w:pStyle w:val="TableText"/>
              <w:jc w:val="right"/>
              <w:rPr>
                <w:rFonts w:eastAsia="Calibri"/>
              </w:rPr>
            </w:pPr>
            <w:r w:rsidRPr="00DA7F25">
              <w:t xml:space="preserve"> 4,987,041 </w:t>
            </w:r>
          </w:p>
        </w:tc>
        <w:tc>
          <w:tcPr>
            <w:tcW w:w="604" w:type="pct"/>
          </w:tcPr>
          <w:p w14:paraId="5F50CE05" w14:textId="77777777" w:rsidR="00F94F86" w:rsidRPr="00DA7F25" w:rsidRDefault="00F94F86" w:rsidP="00997728">
            <w:pPr>
              <w:pStyle w:val="TableText"/>
              <w:jc w:val="center"/>
              <w:rPr>
                <w:b/>
                <w:color w:val="000000"/>
              </w:rPr>
            </w:pPr>
            <w:r w:rsidRPr="00DA7F25">
              <w:t>75%</w:t>
            </w:r>
          </w:p>
        </w:tc>
        <w:tc>
          <w:tcPr>
            <w:tcW w:w="543" w:type="pct"/>
          </w:tcPr>
          <w:p w14:paraId="39FC8C5B" w14:textId="77777777" w:rsidR="00F94F86" w:rsidRPr="00DA7F25" w:rsidRDefault="00F94F86" w:rsidP="00997728">
            <w:pPr>
              <w:pStyle w:val="TableText"/>
              <w:jc w:val="right"/>
              <w:rPr>
                <w:rFonts w:eastAsia="Calibri"/>
              </w:rPr>
            </w:pPr>
            <w:r w:rsidRPr="00DA7F25">
              <w:t xml:space="preserve"> 6,627,575 </w:t>
            </w:r>
          </w:p>
        </w:tc>
      </w:tr>
      <w:tr w:rsidR="00F94F86" w:rsidRPr="00C34FFC" w14:paraId="6EACF389" w14:textId="77777777" w:rsidTr="006F6DD1">
        <w:trPr>
          <w:trHeight w:val="20"/>
        </w:trPr>
        <w:tc>
          <w:tcPr>
            <w:tcW w:w="2164" w:type="pct"/>
          </w:tcPr>
          <w:p w14:paraId="4D27ABE7" w14:textId="77777777" w:rsidR="00F94F86" w:rsidRPr="00C34FFC" w:rsidRDefault="00F94F86" w:rsidP="00997728">
            <w:pPr>
              <w:pStyle w:val="TableText"/>
              <w:rPr>
                <w:rFonts w:eastAsia="Calibri"/>
              </w:rPr>
            </w:pPr>
            <w:r w:rsidRPr="00C34FFC">
              <w:t>Qld: Darling Downs and West Moreton</w:t>
            </w:r>
          </w:p>
        </w:tc>
        <w:tc>
          <w:tcPr>
            <w:tcW w:w="562" w:type="pct"/>
          </w:tcPr>
          <w:p w14:paraId="05FAA78B" w14:textId="77777777" w:rsidR="00F94F86" w:rsidRPr="00DA7F25" w:rsidRDefault="00F94F86" w:rsidP="00997728">
            <w:pPr>
              <w:pStyle w:val="TableText"/>
              <w:jc w:val="right"/>
              <w:rPr>
                <w:rFonts w:eastAsia="Calibri"/>
              </w:rPr>
            </w:pPr>
            <w:r w:rsidRPr="00DA7F25">
              <w:t xml:space="preserve"> 5,183,695 </w:t>
            </w:r>
          </w:p>
        </w:tc>
        <w:tc>
          <w:tcPr>
            <w:tcW w:w="564" w:type="pct"/>
          </w:tcPr>
          <w:p w14:paraId="7BFA452D" w14:textId="77777777" w:rsidR="00F94F86" w:rsidRPr="00DA7F25" w:rsidRDefault="00F94F86" w:rsidP="00997728">
            <w:pPr>
              <w:pStyle w:val="TableText"/>
              <w:jc w:val="center"/>
              <w:rPr>
                <w:rFonts w:eastAsia="Calibri"/>
              </w:rPr>
            </w:pPr>
            <w:r w:rsidRPr="00DA7F25">
              <w:t>48%</w:t>
            </w:r>
          </w:p>
        </w:tc>
        <w:tc>
          <w:tcPr>
            <w:tcW w:w="564" w:type="pct"/>
          </w:tcPr>
          <w:p w14:paraId="4B3CCCB4" w14:textId="77777777" w:rsidR="00F94F86" w:rsidRPr="00DA7F25" w:rsidRDefault="00F94F86" w:rsidP="00997728">
            <w:pPr>
              <w:pStyle w:val="TableText"/>
              <w:jc w:val="right"/>
              <w:rPr>
                <w:rFonts w:eastAsia="Calibri"/>
              </w:rPr>
            </w:pPr>
            <w:r w:rsidRPr="00DA7F25">
              <w:t xml:space="preserve"> 5,511,408 </w:t>
            </w:r>
          </w:p>
        </w:tc>
        <w:tc>
          <w:tcPr>
            <w:tcW w:w="604" w:type="pct"/>
          </w:tcPr>
          <w:p w14:paraId="7685EAE1" w14:textId="77777777" w:rsidR="00F94F86" w:rsidRPr="00DA7F25" w:rsidRDefault="00F94F86" w:rsidP="00997728">
            <w:pPr>
              <w:pStyle w:val="TableText"/>
              <w:jc w:val="center"/>
              <w:rPr>
                <w:b/>
                <w:color w:val="000000"/>
              </w:rPr>
            </w:pPr>
            <w:r w:rsidRPr="00DA7F25">
              <w:t>52%</w:t>
            </w:r>
          </w:p>
        </w:tc>
        <w:tc>
          <w:tcPr>
            <w:tcW w:w="543" w:type="pct"/>
          </w:tcPr>
          <w:p w14:paraId="0A90C39C" w14:textId="77777777" w:rsidR="00F94F86" w:rsidRPr="00DA7F25" w:rsidRDefault="00F94F86" w:rsidP="00997728">
            <w:pPr>
              <w:pStyle w:val="TableText"/>
              <w:jc w:val="right"/>
              <w:rPr>
                <w:rFonts w:eastAsia="Calibri"/>
              </w:rPr>
            </w:pPr>
            <w:r w:rsidRPr="00DA7F25">
              <w:t xml:space="preserve"> 10,695,103 </w:t>
            </w:r>
          </w:p>
        </w:tc>
      </w:tr>
      <w:tr w:rsidR="00F94F86" w:rsidRPr="00C34FFC" w14:paraId="512F9026" w14:textId="77777777" w:rsidTr="006F6DD1">
        <w:trPr>
          <w:trHeight w:val="20"/>
        </w:trPr>
        <w:tc>
          <w:tcPr>
            <w:tcW w:w="2164" w:type="pct"/>
          </w:tcPr>
          <w:p w14:paraId="7C07D3FD" w14:textId="77777777" w:rsidR="00F94F86" w:rsidRPr="00C34FFC" w:rsidRDefault="00F94F86" w:rsidP="00997728">
            <w:pPr>
              <w:pStyle w:val="TableText"/>
              <w:rPr>
                <w:rFonts w:eastAsia="Calibri"/>
              </w:rPr>
            </w:pPr>
            <w:r w:rsidRPr="00C34FFC">
              <w:t>Qld: Gold Coast</w:t>
            </w:r>
          </w:p>
        </w:tc>
        <w:tc>
          <w:tcPr>
            <w:tcW w:w="562" w:type="pct"/>
          </w:tcPr>
          <w:p w14:paraId="535C8F77" w14:textId="77777777" w:rsidR="00F94F86" w:rsidRPr="00DA7F25" w:rsidRDefault="00F94F86" w:rsidP="00997728">
            <w:pPr>
              <w:pStyle w:val="TableText"/>
              <w:jc w:val="right"/>
              <w:rPr>
                <w:rFonts w:eastAsia="Calibri"/>
              </w:rPr>
            </w:pPr>
            <w:r w:rsidRPr="00DA7F25">
              <w:t xml:space="preserve"> 2,446,170 </w:t>
            </w:r>
          </w:p>
        </w:tc>
        <w:tc>
          <w:tcPr>
            <w:tcW w:w="564" w:type="pct"/>
          </w:tcPr>
          <w:p w14:paraId="20F89A21" w14:textId="77777777" w:rsidR="00F94F86" w:rsidRPr="00DA7F25" w:rsidRDefault="00F94F86" w:rsidP="00997728">
            <w:pPr>
              <w:pStyle w:val="TableText"/>
              <w:jc w:val="center"/>
              <w:rPr>
                <w:rFonts w:eastAsia="Calibri"/>
              </w:rPr>
            </w:pPr>
            <w:r w:rsidRPr="00DA7F25">
              <w:t>72%</w:t>
            </w:r>
          </w:p>
        </w:tc>
        <w:tc>
          <w:tcPr>
            <w:tcW w:w="564" w:type="pct"/>
          </w:tcPr>
          <w:p w14:paraId="7C3DABEB" w14:textId="77777777" w:rsidR="00F94F86" w:rsidRPr="00DA7F25" w:rsidRDefault="00F94F86" w:rsidP="00997728">
            <w:pPr>
              <w:pStyle w:val="TableText"/>
              <w:jc w:val="right"/>
              <w:rPr>
                <w:rFonts w:eastAsia="Calibri"/>
              </w:rPr>
            </w:pPr>
            <w:r w:rsidRPr="00DA7F25">
              <w:t xml:space="preserve"> 953,647 </w:t>
            </w:r>
          </w:p>
        </w:tc>
        <w:tc>
          <w:tcPr>
            <w:tcW w:w="604" w:type="pct"/>
          </w:tcPr>
          <w:p w14:paraId="64F93E98" w14:textId="77777777" w:rsidR="00F94F86" w:rsidRPr="00DA7F25" w:rsidRDefault="00F94F86" w:rsidP="00997728">
            <w:pPr>
              <w:pStyle w:val="TableText"/>
              <w:jc w:val="center"/>
              <w:rPr>
                <w:rFonts w:eastAsia="Calibri"/>
                <w:b/>
              </w:rPr>
            </w:pPr>
            <w:r w:rsidRPr="00DA7F25">
              <w:t>28%</w:t>
            </w:r>
          </w:p>
        </w:tc>
        <w:tc>
          <w:tcPr>
            <w:tcW w:w="543" w:type="pct"/>
          </w:tcPr>
          <w:p w14:paraId="48E34088" w14:textId="77777777" w:rsidR="00F94F86" w:rsidRPr="00DA7F25" w:rsidRDefault="00F94F86" w:rsidP="00997728">
            <w:pPr>
              <w:pStyle w:val="TableText"/>
              <w:jc w:val="right"/>
              <w:rPr>
                <w:rFonts w:eastAsia="Calibri"/>
              </w:rPr>
            </w:pPr>
            <w:r w:rsidRPr="00DA7F25">
              <w:t xml:space="preserve"> 3,399,817 </w:t>
            </w:r>
          </w:p>
        </w:tc>
      </w:tr>
      <w:tr w:rsidR="00F94F86" w:rsidRPr="00C34FFC" w14:paraId="31BF8053" w14:textId="77777777" w:rsidTr="006F6DD1">
        <w:trPr>
          <w:trHeight w:val="20"/>
        </w:trPr>
        <w:tc>
          <w:tcPr>
            <w:tcW w:w="2164" w:type="pct"/>
          </w:tcPr>
          <w:p w14:paraId="28B9ED7A" w14:textId="77777777" w:rsidR="00F94F86" w:rsidRPr="00C34FFC" w:rsidRDefault="00F94F86" w:rsidP="00997728">
            <w:pPr>
              <w:pStyle w:val="TableText"/>
              <w:rPr>
                <w:rFonts w:eastAsia="Calibri"/>
              </w:rPr>
            </w:pPr>
            <w:r w:rsidRPr="00C34FFC">
              <w:t>Qld: Northern Queensland</w:t>
            </w:r>
          </w:p>
        </w:tc>
        <w:tc>
          <w:tcPr>
            <w:tcW w:w="562" w:type="pct"/>
          </w:tcPr>
          <w:p w14:paraId="7FD83BD5" w14:textId="77777777" w:rsidR="00F94F86" w:rsidRPr="00DA7F25" w:rsidRDefault="00F94F86" w:rsidP="00997728">
            <w:pPr>
              <w:pStyle w:val="TableText"/>
              <w:jc w:val="right"/>
              <w:rPr>
                <w:color w:val="000000"/>
              </w:rPr>
            </w:pPr>
            <w:r w:rsidRPr="00DA7F25">
              <w:t xml:space="preserve"> -</w:t>
            </w:r>
            <w:r w:rsidR="000B479E">
              <w:t xml:space="preserve"> </w:t>
            </w:r>
          </w:p>
        </w:tc>
        <w:tc>
          <w:tcPr>
            <w:tcW w:w="564" w:type="pct"/>
          </w:tcPr>
          <w:p w14:paraId="257C4468" w14:textId="77777777" w:rsidR="00F94F86" w:rsidRPr="00DA7F25" w:rsidRDefault="00F94F86" w:rsidP="00997728">
            <w:pPr>
              <w:pStyle w:val="TableText"/>
              <w:jc w:val="center"/>
              <w:rPr>
                <w:color w:val="000000"/>
              </w:rPr>
            </w:pPr>
            <w:r w:rsidRPr="00DA7F25">
              <w:t>0%</w:t>
            </w:r>
          </w:p>
        </w:tc>
        <w:tc>
          <w:tcPr>
            <w:tcW w:w="564" w:type="pct"/>
          </w:tcPr>
          <w:p w14:paraId="2B58FE28" w14:textId="77777777" w:rsidR="00F94F86" w:rsidRPr="00DA7F25" w:rsidRDefault="00F94F86" w:rsidP="00997728">
            <w:pPr>
              <w:pStyle w:val="TableText"/>
              <w:jc w:val="right"/>
              <w:rPr>
                <w:color w:val="000000"/>
              </w:rPr>
            </w:pPr>
            <w:r w:rsidRPr="00DA7F25">
              <w:t xml:space="preserve"> 2,351,273 </w:t>
            </w:r>
          </w:p>
        </w:tc>
        <w:tc>
          <w:tcPr>
            <w:tcW w:w="604" w:type="pct"/>
          </w:tcPr>
          <w:p w14:paraId="101B1D1A" w14:textId="77777777" w:rsidR="00F94F86" w:rsidRPr="00DA7F25" w:rsidRDefault="00F94F86" w:rsidP="00997728">
            <w:pPr>
              <w:pStyle w:val="TableText"/>
              <w:jc w:val="center"/>
              <w:rPr>
                <w:b/>
                <w:color w:val="000000"/>
              </w:rPr>
            </w:pPr>
            <w:r w:rsidRPr="00DA7F25">
              <w:t>100%</w:t>
            </w:r>
          </w:p>
        </w:tc>
        <w:tc>
          <w:tcPr>
            <w:tcW w:w="543" w:type="pct"/>
          </w:tcPr>
          <w:p w14:paraId="7B381661" w14:textId="77777777" w:rsidR="00F94F86" w:rsidRPr="00DA7F25" w:rsidRDefault="00F94F86" w:rsidP="00997728">
            <w:pPr>
              <w:pStyle w:val="TableText"/>
              <w:jc w:val="right"/>
              <w:rPr>
                <w:rFonts w:eastAsia="Calibri"/>
              </w:rPr>
            </w:pPr>
            <w:r w:rsidRPr="00DA7F25">
              <w:t xml:space="preserve"> 2,351,273 </w:t>
            </w:r>
          </w:p>
        </w:tc>
      </w:tr>
      <w:tr w:rsidR="00F94F86" w:rsidRPr="00C34FFC" w14:paraId="0020FCFC" w14:textId="77777777" w:rsidTr="006F6DD1">
        <w:trPr>
          <w:trHeight w:val="20"/>
        </w:trPr>
        <w:tc>
          <w:tcPr>
            <w:tcW w:w="2164" w:type="pct"/>
          </w:tcPr>
          <w:p w14:paraId="1AAAB803" w14:textId="77777777" w:rsidR="00F94F86" w:rsidRPr="00C34FFC" w:rsidRDefault="00F94F86" w:rsidP="00997728">
            <w:pPr>
              <w:pStyle w:val="TableText"/>
              <w:rPr>
                <w:rFonts w:eastAsia="Calibri"/>
              </w:rPr>
            </w:pPr>
            <w:r w:rsidRPr="00C34FFC">
              <w:t>Qld: Western Queensland</w:t>
            </w:r>
          </w:p>
        </w:tc>
        <w:tc>
          <w:tcPr>
            <w:tcW w:w="562" w:type="pct"/>
          </w:tcPr>
          <w:p w14:paraId="226205FC" w14:textId="77777777" w:rsidR="00F94F86" w:rsidRPr="00DA7F25" w:rsidRDefault="00F94F86" w:rsidP="00997728">
            <w:pPr>
              <w:pStyle w:val="TableText"/>
              <w:jc w:val="right"/>
              <w:rPr>
                <w:color w:val="000000"/>
              </w:rPr>
            </w:pPr>
            <w:r w:rsidRPr="00DA7F25">
              <w:t xml:space="preserve"> -</w:t>
            </w:r>
            <w:r w:rsidR="000B479E">
              <w:t xml:space="preserve"> </w:t>
            </w:r>
          </w:p>
        </w:tc>
        <w:tc>
          <w:tcPr>
            <w:tcW w:w="564" w:type="pct"/>
          </w:tcPr>
          <w:p w14:paraId="258C658C" w14:textId="77777777" w:rsidR="00F94F86" w:rsidRPr="00DA7F25" w:rsidRDefault="00F94F86" w:rsidP="00997728">
            <w:pPr>
              <w:pStyle w:val="TableText"/>
              <w:jc w:val="center"/>
              <w:rPr>
                <w:color w:val="000000"/>
              </w:rPr>
            </w:pPr>
            <w:r w:rsidRPr="00DA7F25">
              <w:t>0%</w:t>
            </w:r>
          </w:p>
        </w:tc>
        <w:tc>
          <w:tcPr>
            <w:tcW w:w="564" w:type="pct"/>
          </w:tcPr>
          <w:p w14:paraId="16206CE6" w14:textId="77777777" w:rsidR="00F94F86" w:rsidRPr="00DA7F25" w:rsidRDefault="00F94F86" w:rsidP="00997728">
            <w:pPr>
              <w:pStyle w:val="TableText"/>
              <w:jc w:val="right"/>
              <w:rPr>
                <w:color w:val="000000"/>
              </w:rPr>
            </w:pPr>
            <w:r w:rsidRPr="00DA7F25">
              <w:t xml:space="preserve"> 2,361,582 </w:t>
            </w:r>
          </w:p>
        </w:tc>
        <w:tc>
          <w:tcPr>
            <w:tcW w:w="604" w:type="pct"/>
          </w:tcPr>
          <w:p w14:paraId="74FE8081" w14:textId="77777777" w:rsidR="00F94F86" w:rsidRPr="00DA7F25" w:rsidRDefault="00F94F86" w:rsidP="00997728">
            <w:pPr>
              <w:pStyle w:val="TableText"/>
              <w:jc w:val="center"/>
              <w:rPr>
                <w:b/>
                <w:color w:val="000000"/>
              </w:rPr>
            </w:pPr>
            <w:r w:rsidRPr="00DA7F25">
              <w:t>100%</w:t>
            </w:r>
          </w:p>
        </w:tc>
        <w:tc>
          <w:tcPr>
            <w:tcW w:w="543" w:type="pct"/>
          </w:tcPr>
          <w:p w14:paraId="6294C39B" w14:textId="77777777" w:rsidR="00F94F86" w:rsidRPr="00DA7F25" w:rsidRDefault="00F94F86" w:rsidP="00997728">
            <w:pPr>
              <w:pStyle w:val="TableText"/>
              <w:jc w:val="right"/>
              <w:rPr>
                <w:rFonts w:eastAsia="Calibri"/>
              </w:rPr>
            </w:pPr>
            <w:r w:rsidRPr="00DA7F25">
              <w:t xml:space="preserve"> 2,361,582 </w:t>
            </w:r>
          </w:p>
        </w:tc>
      </w:tr>
      <w:tr w:rsidR="00F94F86" w:rsidRPr="00C34FFC" w14:paraId="1D57C313" w14:textId="77777777" w:rsidTr="006F6DD1">
        <w:trPr>
          <w:trHeight w:val="20"/>
        </w:trPr>
        <w:tc>
          <w:tcPr>
            <w:tcW w:w="2164" w:type="pct"/>
          </w:tcPr>
          <w:p w14:paraId="0C9603B3" w14:textId="77777777" w:rsidR="00F94F86" w:rsidRPr="00C34FFC" w:rsidRDefault="00F94F86" w:rsidP="00997728">
            <w:pPr>
              <w:pStyle w:val="TableText"/>
              <w:rPr>
                <w:rFonts w:eastAsia="Calibri"/>
              </w:rPr>
            </w:pPr>
            <w:r w:rsidRPr="00C34FFC">
              <w:t>SA: Adelaide</w:t>
            </w:r>
          </w:p>
        </w:tc>
        <w:tc>
          <w:tcPr>
            <w:tcW w:w="562" w:type="pct"/>
          </w:tcPr>
          <w:p w14:paraId="7218ADB0" w14:textId="77777777" w:rsidR="00F94F86" w:rsidRPr="00DA7F25" w:rsidRDefault="00F94F86" w:rsidP="00997728">
            <w:pPr>
              <w:pStyle w:val="TableText"/>
              <w:jc w:val="right"/>
              <w:rPr>
                <w:color w:val="000000"/>
              </w:rPr>
            </w:pPr>
            <w:r w:rsidRPr="00DA7F25">
              <w:t xml:space="preserve"> 13,705,113 </w:t>
            </w:r>
          </w:p>
        </w:tc>
        <w:tc>
          <w:tcPr>
            <w:tcW w:w="564" w:type="pct"/>
          </w:tcPr>
          <w:p w14:paraId="37CC21FA" w14:textId="77777777" w:rsidR="00F94F86" w:rsidRPr="00DA7F25" w:rsidRDefault="00F94F86" w:rsidP="00997728">
            <w:pPr>
              <w:pStyle w:val="TableText"/>
              <w:jc w:val="center"/>
              <w:rPr>
                <w:color w:val="000000"/>
              </w:rPr>
            </w:pPr>
            <w:r w:rsidRPr="00DA7F25">
              <w:t>100%</w:t>
            </w:r>
          </w:p>
        </w:tc>
        <w:tc>
          <w:tcPr>
            <w:tcW w:w="564" w:type="pct"/>
          </w:tcPr>
          <w:p w14:paraId="2D4057B4" w14:textId="77777777" w:rsidR="00F94F86" w:rsidRPr="00DA7F25" w:rsidRDefault="00F94F86" w:rsidP="00997728">
            <w:pPr>
              <w:pStyle w:val="TableText"/>
              <w:jc w:val="right"/>
              <w:rPr>
                <w:color w:val="000000"/>
              </w:rPr>
            </w:pPr>
          </w:p>
        </w:tc>
        <w:tc>
          <w:tcPr>
            <w:tcW w:w="604" w:type="pct"/>
          </w:tcPr>
          <w:p w14:paraId="18714CBD" w14:textId="77777777" w:rsidR="00F94F86" w:rsidRPr="00DA7F25" w:rsidRDefault="00F94F86" w:rsidP="00997728">
            <w:pPr>
              <w:pStyle w:val="TableText"/>
              <w:jc w:val="center"/>
              <w:rPr>
                <w:b/>
                <w:color w:val="000000"/>
              </w:rPr>
            </w:pPr>
            <w:r w:rsidRPr="00DA7F25">
              <w:t>0%</w:t>
            </w:r>
          </w:p>
        </w:tc>
        <w:tc>
          <w:tcPr>
            <w:tcW w:w="543" w:type="pct"/>
          </w:tcPr>
          <w:p w14:paraId="4D99B8EA" w14:textId="77777777" w:rsidR="00F94F86" w:rsidRPr="00DA7F25" w:rsidRDefault="00F94F86" w:rsidP="00997728">
            <w:pPr>
              <w:pStyle w:val="TableText"/>
              <w:jc w:val="right"/>
              <w:rPr>
                <w:rFonts w:eastAsia="Calibri"/>
              </w:rPr>
            </w:pPr>
            <w:r w:rsidRPr="00DA7F25">
              <w:t xml:space="preserve"> 13,705,113 </w:t>
            </w:r>
          </w:p>
        </w:tc>
      </w:tr>
      <w:tr w:rsidR="00F94F86" w:rsidRPr="00C34FFC" w14:paraId="65F326F9" w14:textId="77777777" w:rsidTr="006F6DD1">
        <w:trPr>
          <w:trHeight w:val="20"/>
        </w:trPr>
        <w:tc>
          <w:tcPr>
            <w:tcW w:w="2164" w:type="pct"/>
          </w:tcPr>
          <w:p w14:paraId="4AE3701E" w14:textId="77777777" w:rsidR="00F94F86" w:rsidRPr="00C34FFC" w:rsidRDefault="00F94F86" w:rsidP="00997728">
            <w:pPr>
              <w:pStyle w:val="TableText"/>
              <w:rPr>
                <w:rFonts w:eastAsia="Calibri"/>
              </w:rPr>
            </w:pPr>
            <w:r w:rsidRPr="00C34FFC">
              <w:t>SA: Country SA</w:t>
            </w:r>
          </w:p>
        </w:tc>
        <w:tc>
          <w:tcPr>
            <w:tcW w:w="562" w:type="pct"/>
          </w:tcPr>
          <w:p w14:paraId="1250FBEE" w14:textId="77777777" w:rsidR="00F94F86" w:rsidRPr="00DA7F25" w:rsidRDefault="00F94F86" w:rsidP="00997728">
            <w:pPr>
              <w:pStyle w:val="TableText"/>
              <w:jc w:val="right"/>
              <w:rPr>
                <w:color w:val="000000"/>
              </w:rPr>
            </w:pPr>
            <w:r w:rsidRPr="00DA7F25">
              <w:t xml:space="preserve"> 6,576,425 </w:t>
            </w:r>
          </w:p>
        </w:tc>
        <w:tc>
          <w:tcPr>
            <w:tcW w:w="564" w:type="pct"/>
          </w:tcPr>
          <w:p w14:paraId="47DD8272" w14:textId="77777777" w:rsidR="00F94F86" w:rsidRPr="00DA7F25" w:rsidRDefault="00F94F86" w:rsidP="00997728">
            <w:pPr>
              <w:pStyle w:val="TableText"/>
              <w:jc w:val="center"/>
              <w:rPr>
                <w:color w:val="000000"/>
              </w:rPr>
            </w:pPr>
            <w:r w:rsidRPr="00DA7F25">
              <w:t>49%</w:t>
            </w:r>
          </w:p>
        </w:tc>
        <w:tc>
          <w:tcPr>
            <w:tcW w:w="564" w:type="pct"/>
          </w:tcPr>
          <w:p w14:paraId="17E236F8" w14:textId="77777777" w:rsidR="00F94F86" w:rsidRPr="00DA7F25" w:rsidRDefault="00F94F86" w:rsidP="00997728">
            <w:pPr>
              <w:pStyle w:val="TableText"/>
              <w:jc w:val="right"/>
              <w:rPr>
                <w:color w:val="000000"/>
              </w:rPr>
            </w:pPr>
            <w:r w:rsidRPr="00DA7F25">
              <w:t xml:space="preserve"> 6,925,528 </w:t>
            </w:r>
          </w:p>
        </w:tc>
        <w:tc>
          <w:tcPr>
            <w:tcW w:w="604" w:type="pct"/>
          </w:tcPr>
          <w:p w14:paraId="5C637C9E" w14:textId="77777777" w:rsidR="00F94F86" w:rsidRPr="00DA7F25" w:rsidRDefault="00F94F86" w:rsidP="00997728">
            <w:pPr>
              <w:pStyle w:val="TableText"/>
              <w:jc w:val="center"/>
              <w:rPr>
                <w:b/>
                <w:color w:val="000000"/>
              </w:rPr>
            </w:pPr>
            <w:r w:rsidRPr="00DA7F25">
              <w:t>51%</w:t>
            </w:r>
          </w:p>
        </w:tc>
        <w:tc>
          <w:tcPr>
            <w:tcW w:w="543" w:type="pct"/>
          </w:tcPr>
          <w:p w14:paraId="6FB09FE6" w14:textId="77777777" w:rsidR="00F94F86" w:rsidRPr="00DA7F25" w:rsidRDefault="00F94F86" w:rsidP="00997728">
            <w:pPr>
              <w:pStyle w:val="TableText"/>
              <w:jc w:val="right"/>
              <w:rPr>
                <w:rFonts w:eastAsia="Calibri"/>
              </w:rPr>
            </w:pPr>
            <w:r w:rsidRPr="00DA7F25">
              <w:t xml:space="preserve"> 13,501,953 </w:t>
            </w:r>
          </w:p>
        </w:tc>
      </w:tr>
      <w:tr w:rsidR="00F94F86" w:rsidRPr="00C34FFC" w14:paraId="4BF049C6" w14:textId="77777777" w:rsidTr="006F6DD1">
        <w:trPr>
          <w:trHeight w:val="20"/>
        </w:trPr>
        <w:tc>
          <w:tcPr>
            <w:tcW w:w="2164" w:type="pct"/>
          </w:tcPr>
          <w:p w14:paraId="3C2B185E" w14:textId="77777777" w:rsidR="00F94F86" w:rsidRPr="00C34FFC" w:rsidRDefault="00F94F86" w:rsidP="00997728">
            <w:pPr>
              <w:pStyle w:val="TableText"/>
              <w:rPr>
                <w:rFonts w:eastAsia="Calibri"/>
              </w:rPr>
            </w:pPr>
            <w:r w:rsidRPr="00C34FFC">
              <w:t>Tas: Tasmania</w:t>
            </w:r>
          </w:p>
        </w:tc>
        <w:tc>
          <w:tcPr>
            <w:tcW w:w="562" w:type="pct"/>
          </w:tcPr>
          <w:p w14:paraId="5C5295EE" w14:textId="77777777" w:rsidR="00F94F86" w:rsidRPr="00DA7F25" w:rsidRDefault="00F94F86" w:rsidP="00997728">
            <w:pPr>
              <w:pStyle w:val="TableText"/>
              <w:jc w:val="right"/>
              <w:rPr>
                <w:color w:val="000000"/>
              </w:rPr>
            </w:pPr>
            <w:r w:rsidRPr="00DA7F25">
              <w:t xml:space="preserve"> 5,063,063 </w:t>
            </w:r>
          </w:p>
        </w:tc>
        <w:tc>
          <w:tcPr>
            <w:tcW w:w="564" w:type="pct"/>
          </w:tcPr>
          <w:p w14:paraId="674EA5BF" w14:textId="77777777" w:rsidR="00F94F86" w:rsidRPr="00DA7F25" w:rsidRDefault="00F94F86" w:rsidP="00997728">
            <w:pPr>
              <w:pStyle w:val="TableText"/>
              <w:jc w:val="center"/>
              <w:rPr>
                <w:color w:val="000000"/>
              </w:rPr>
            </w:pPr>
            <w:r w:rsidRPr="00DA7F25">
              <w:t>18%</w:t>
            </w:r>
          </w:p>
        </w:tc>
        <w:tc>
          <w:tcPr>
            <w:tcW w:w="564" w:type="pct"/>
          </w:tcPr>
          <w:p w14:paraId="4F398BDE" w14:textId="77777777" w:rsidR="00F94F86" w:rsidRPr="00DA7F25" w:rsidRDefault="00F94F86" w:rsidP="00997728">
            <w:pPr>
              <w:pStyle w:val="TableText"/>
              <w:jc w:val="right"/>
              <w:rPr>
                <w:color w:val="000000"/>
              </w:rPr>
            </w:pPr>
            <w:r w:rsidRPr="00DA7F25">
              <w:t xml:space="preserve"> 22,704,089 </w:t>
            </w:r>
          </w:p>
        </w:tc>
        <w:tc>
          <w:tcPr>
            <w:tcW w:w="604" w:type="pct"/>
          </w:tcPr>
          <w:p w14:paraId="6DB7AAAC" w14:textId="77777777" w:rsidR="00F94F86" w:rsidRPr="00DA7F25" w:rsidRDefault="00F94F86" w:rsidP="00997728">
            <w:pPr>
              <w:pStyle w:val="TableText"/>
              <w:jc w:val="center"/>
              <w:rPr>
                <w:rFonts w:eastAsia="Calibri"/>
                <w:b/>
              </w:rPr>
            </w:pPr>
            <w:r w:rsidRPr="00DA7F25">
              <w:t>82%</w:t>
            </w:r>
          </w:p>
        </w:tc>
        <w:tc>
          <w:tcPr>
            <w:tcW w:w="543" w:type="pct"/>
          </w:tcPr>
          <w:p w14:paraId="3A1B7F52" w14:textId="77777777" w:rsidR="00F94F86" w:rsidRPr="00DA7F25" w:rsidRDefault="00F94F86" w:rsidP="00997728">
            <w:pPr>
              <w:pStyle w:val="TableText"/>
              <w:jc w:val="right"/>
              <w:rPr>
                <w:rFonts w:eastAsia="Calibri"/>
              </w:rPr>
            </w:pPr>
            <w:r w:rsidRPr="00DA7F25">
              <w:t xml:space="preserve"> 27,767,152 </w:t>
            </w:r>
          </w:p>
        </w:tc>
      </w:tr>
      <w:tr w:rsidR="00F94F86" w:rsidRPr="00C34FFC" w14:paraId="24840663" w14:textId="77777777" w:rsidTr="006F6DD1">
        <w:trPr>
          <w:trHeight w:val="20"/>
        </w:trPr>
        <w:tc>
          <w:tcPr>
            <w:tcW w:w="2164" w:type="pct"/>
          </w:tcPr>
          <w:p w14:paraId="5C4B1ABA" w14:textId="77777777" w:rsidR="00F94F86" w:rsidRPr="00C34FFC" w:rsidRDefault="00F94F86" w:rsidP="00997728">
            <w:pPr>
              <w:pStyle w:val="TableText"/>
              <w:rPr>
                <w:rFonts w:eastAsia="Calibri"/>
              </w:rPr>
            </w:pPr>
            <w:r w:rsidRPr="00C34FFC">
              <w:t>Vic: Eastern Melbourne</w:t>
            </w:r>
          </w:p>
        </w:tc>
        <w:tc>
          <w:tcPr>
            <w:tcW w:w="562" w:type="pct"/>
          </w:tcPr>
          <w:p w14:paraId="484D3DB1" w14:textId="77777777" w:rsidR="00F94F86" w:rsidRPr="00DA7F25" w:rsidRDefault="00F94F86" w:rsidP="00997728">
            <w:pPr>
              <w:pStyle w:val="TableText"/>
              <w:jc w:val="right"/>
              <w:rPr>
                <w:color w:val="000000"/>
              </w:rPr>
            </w:pPr>
            <w:r w:rsidRPr="00DA7F25">
              <w:t xml:space="preserve"> 6,277,012 </w:t>
            </w:r>
          </w:p>
        </w:tc>
        <w:tc>
          <w:tcPr>
            <w:tcW w:w="564" w:type="pct"/>
          </w:tcPr>
          <w:p w14:paraId="56448D43" w14:textId="77777777" w:rsidR="00F94F86" w:rsidRPr="00DA7F25" w:rsidRDefault="00F94F86" w:rsidP="00997728">
            <w:pPr>
              <w:pStyle w:val="TableText"/>
              <w:jc w:val="center"/>
              <w:rPr>
                <w:color w:val="000000"/>
              </w:rPr>
            </w:pPr>
            <w:r w:rsidRPr="00DA7F25">
              <w:t>100%</w:t>
            </w:r>
          </w:p>
        </w:tc>
        <w:tc>
          <w:tcPr>
            <w:tcW w:w="564" w:type="pct"/>
          </w:tcPr>
          <w:p w14:paraId="1EEC14A4" w14:textId="77777777" w:rsidR="00F94F86" w:rsidRPr="00DA7F25" w:rsidRDefault="00F94F86" w:rsidP="00997728">
            <w:pPr>
              <w:pStyle w:val="TableText"/>
              <w:jc w:val="right"/>
              <w:rPr>
                <w:color w:val="000000"/>
              </w:rPr>
            </w:pPr>
            <w:r w:rsidRPr="00DA7F25">
              <w:t xml:space="preserve"> -</w:t>
            </w:r>
            <w:r w:rsidR="000B479E">
              <w:t xml:space="preserve"> </w:t>
            </w:r>
          </w:p>
        </w:tc>
        <w:tc>
          <w:tcPr>
            <w:tcW w:w="604" w:type="pct"/>
          </w:tcPr>
          <w:p w14:paraId="61E08E20" w14:textId="77777777" w:rsidR="00F94F86" w:rsidRPr="00DA7F25" w:rsidRDefault="00F94F86" w:rsidP="00997728">
            <w:pPr>
              <w:pStyle w:val="TableText"/>
              <w:jc w:val="center"/>
              <w:rPr>
                <w:b/>
                <w:color w:val="000000"/>
              </w:rPr>
            </w:pPr>
            <w:r w:rsidRPr="00DA7F25">
              <w:t>0%</w:t>
            </w:r>
          </w:p>
        </w:tc>
        <w:tc>
          <w:tcPr>
            <w:tcW w:w="543" w:type="pct"/>
          </w:tcPr>
          <w:p w14:paraId="7EB94474" w14:textId="77777777" w:rsidR="00F94F86" w:rsidRPr="00DA7F25" w:rsidRDefault="00F94F86" w:rsidP="00997728">
            <w:pPr>
              <w:pStyle w:val="TableText"/>
              <w:jc w:val="right"/>
              <w:rPr>
                <w:rFonts w:eastAsia="Calibri"/>
              </w:rPr>
            </w:pPr>
            <w:r w:rsidRPr="00DA7F25">
              <w:t xml:space="preserve"> 6,277,012 </w:t>
            </w:r>
          </w:p>
        </w:tc>
      </w:tr>
      <w:tr w:rsidR="00F94F86" w:rsidRPr="00C34FFC" w14:paraId="6BA04A00" w14:textId="77777777" w:rsidTr="006F6DD1">
        <w:trPr>
          <w:trHeight w:val="20"/>
        </w:trPr>
        <w:tc>
          <w:tcPr>
            <w:tcW w:w="2164" w:type="pct"/>
          </w:tcPr>
          <w:p w14:paraId="77F5BB2F" w14:textId="77777777" w:rsidR="00F94F86" w:rsidRPr="00C34FFC" w:rsidRDefault="00F94F86" w:rsidP="00997728">
            <w:pPr>
              <w:pStyle w:val="TableText"/>
              <w:rPr>
                <w:rFonts w:eastAsia="Calibri"/>
              </w:rPr>
            </w:pPr>
            <w:r w:rsidRPr="00C34FFC">
              <w:t>Vic: Gippsland</w:t>
            </w:r>
          </w:p>
        </w:tc>
        <w:tc>
          <w:tcPr>
            <w:tcW w:w="562" w:type="pct"/>
          </w:tcPr>
          <w:p w14:paraId="291AF542" w14:textId="77777777" w:rsidR="00F94F86" w:rsidRPr="00DA7F25" w:rsidRDefault="00F94F86" w:rsidP="00997728">
            <w:pPr>
              <w:pStyle w:val="TableText"/>
              <w:jc w:val="right"/>
              <w:rPr>
                <w:color w:val="000000"/>
              </w:rPr>
            </w:pPr>
            <w:r w:rsidRPr="00DA7F25">
              <w:t xml:space="preserve"> 332,228 </w:t>
            </w:r>
          </w:p>
        </w:tc>
        <w:tc>
          <w:tcPr>
            <w:tcW w:w="564" w:type="pct"/>
          </w:tcPr>
          <w:p w14:paraId="0A3FB022" w14:textId="77777777" w:rsidR="00F94F86" w:rsidRPr="00DA7F25" w:rsidRDefault="00F94F86" w:rsidP="00997728">
            <w:pPr>
              <w:pStyle w:val="TableText"/>
              <w:jc w:val="center"/>
              <w:rPr>
                <w:color w:val="000000"/>
              </w:rPr>
            </w:pPr>
            <w:r w:rsidRPr="00DA7F25">
              <w:t>20%</w:t>
            </w:r>
          </w:p>
        </w:tc>
        <w:tc>
          <w:tcPr>
            <w:tcW w:w="564" w:type="pct"/>
          </w:tcPr>
          <w:p w14:paraId="4854C2F2" w14:textId="77777777" w:rsidR="00F94F86" w:rsidRPr="00DA7F25" w:rsidRDefault="00F94F86" w:rsidP="00997728">
            <w:pPr>
              <w:pStyle w:val="TableText"/>
              <w:jc w:val="right"/>
              <w:rPr>
                <w:color w:val="000000"/>
              </w:rPr>
            </w:pPr>
            <w:r w:rsidRPr="00DA7F25">
              <w:t xml:space="preserve"> 1,333,374 </w:t>
            </w:r>
          </w:p>
        </w:tc>
        <w:tc>
          <w:tcPr>
            <w:tcW w:w="604" w:type="pct"/>
          </w:tcPr>
          <w:p w14:paraId="76C79966" w14:textId="77777777" w:rsidR="00F94F86" w:rsidRPr="00DA7F25" w:rsidRDefault="00F94F86" w:rsidP="00997728">
            <w:pPr>
              <w:pStyle w:val="TableText"/>
              <w:jc w:val="center"/>
              <w:rPr>
                <w:b/>
                <w:color w:val="000000"/>
              </w:rPr>
            </w:pPr>
            <w:r w:rsidRPr="00DA7F25">
              <w:t>80%</w:t>
            </w:r>
          </w:p>
        </w:tc>
        <w:tc>
          <w:tcPr>
            <w:tcW w:w="543" w:type="pct"/>
          </w:tcPr>
          <w:p w14:paraId="6254D5F0" w14:textId="77777777" w:rsidR="00F94F86" w:rsidRPr="00DA7F25" w:rsidRDefault="00F94F86" w:rsidP="00997728">
            <w:pPr>
              <w:pStyle w:val="TableText"/>
              <w:jc w:val="right"/>
              <w:rPr>
                <w:rFonts w:eastAsia="Calibri"/>
              </w:rPr>
            </w:pPr>
            <w:r w:rsidRPr="00DA7F25">
              <w:t xml:space="preserve"> 1,665,602 </w:t>
            </w:r>
          </w:p>
        </w:tc>
      </w:tr>
      <w:tr w:rsidR="00F94F86" w:rsidRPr="00C34FFC" w14:paraId="1A3D6FBF" w14:textId="77777777" w:rsidTr="006F6DD1">
        <w:trPr>
          <w:trHeight w:val="20"/>
        </w:trPr>
        <w:tc>
          <w:tcPr>
            <w:tcW w:w="2164" w:type="pct"/>
          </w:tcPr>
          <w:p w14:paraId="7F43DED4" w14:textId="77777777" w:rsidR="00F94F86" w:rsidRPr="00C34FFC" w:rsidRDefault="00F94F86" w:rsidP="00997728">
            <w:pPr>
              <w:pStyle w:val="TableText"/>
              <w:rPr>
                <w:rFonts w:eastAsia="Calibri"/>
              </w:rPr>
            </w:pPr>
            <w:r w:rsidRPr="00C34FFC">
              <w:t>Vic: Murray</w:t>
            </w:r>
          </w:p>
        </w:tc>
        <w:tc>
          <w:tcPr>
            <w:tcW w:w="562" w:type="pct"/>
          </w:tcPr>
          <w:p w14:paraId="69C85C61" w14:textId="77777777" w:rsidR="00F94F86" w:rsidRPr="00DA7F25" w:rsidRDefault="00F94F86" w:rsidP="00997728">
            <w:pPr>
              <w:pStyle w:val="TableText"/>
              <w:jc w:val="right"/>
              <w:rPr>
                <w:color w:val="000000"/>
              </w:rPr>
            </w:pPr>
            <w:r w:rsidRPr="00DA7F25">
              <w:t xml:space="preserve"> 538,857 </w:t>
            </w:r>
          </w:p>
        </w:tc>
        <w:tc>
          <w:tcPr>
            <w:tcW w:w="564" w:type="pct"/>
          </w:tcPr>
          <w:p w14:paraId="468CEEB2" w14:textId="77777777" w:rsidR="00F94F86" w:rsidRPr="00DA7F25" w:rsidRDefault="00F94F86" w:rsidP="00997728">
            <w:pPr>
              <w:pStyle w:val="TableText"/>
              <w:jc w:val="center"/>
              <w:rPr>
                <w:color w:val="000000"/>
              </w:rPr>
            </w:pPr>
            <w:r w:rsidRPr="00DA7F25">
              <w:t>7%</w:t>
            </w:r>
          </w:p>
        </w:tc>
        <w:tc>
          <w:tcPr>
            <w:tcW w:w="564" w:type="pct"/>
          </w:tcPr>
          <w:p w14:paraId="27AE0D5D" w14:textId="77777777" w:rsidR="00F94F86" w:rsidRPr="00DA7F25" w:rsidRDefault="00F94F86" w:rsidP="00997728">
            <w:pPr>
              <w:pStyle w:val="TableText"/>
              <w:jc w:val="right"/>
              <w:rPr>
                <w:color w:val="000000"/>
              </w:rPr>
            </w:pPr>
            <w:r w:rsidRPr="00DA7F25">
              <w:t xml:space="preserve"> 7,233,085 </w:t>
            </w:r>
          </w:p>
        </w:tc>
        <w:tc>
          <w:tcPr>
            <w:tcW w:w="604" w:type="pct"/>
          </w:tcPr>
          <w:p w14:paraId="5B43756F" w14:textId="77777777" w:rsidR="00F94F86" w:rsidRPr="00DA7F25" w:rsidRDefault="00F94F86" w:rsidP="00997728">
            <w:pPr>
              <w:pStyle w:val="TableText"/>
              <w:jc w:val="center"/>
              <w:rPr>
                <w:b/>
                <w:color w:val="000000"/>
              </w:rPr>
            </w:pPr>
            <w:r w:rsidRPr="00DA7F25">
              <w:t>93%</w:t>
            </w:r>
          </w:p>
        </w:tc>
        <w:tc>
          <w:tcPr>
            <w:tcW w:w="543" w:type="pct"/>
          </w:tcPr>
          <w:p w14:paraId="45FD1C8F" w14:textId="77777777" w:rsidR="00F94F86" w:rsidRPr="00DA7F25" w:rsidRDefault="00F94F86" w:rsidP="00997728">
            <w:pPr>
              <w:pStyle w:val="TableText"/>
              <w:jc w:val="right"/>
              <w:rPr>
                <w:rFonts w:eastAsia="Calibri"/>
              </w:rPr>
            </w:pPr>
            <w:r w:rsidRPr="00DA7F25">
              <w:t xml:space="preserve"> 7,771,942 </w:t>
            </w:r>
          </w:p>
        </w:tc>
      </w:tr>
      <w:tr w:rsidR="00F94F86" w:rsidRPr="00C34FFC" w14:paraId="61678921" w14:textId="77777777" w:rsidTr="006F6DD1">
        <w:trPr>
          <w:trHeight w:val="20"/>
        </w:trPr>
        <w:tc>
          <w:tcPr>
            <w:tcW w:w="2164" w:type="pct"/>
          </w:tcPr>
          <w:p w14:paraId="41F4A50A" w14:textId="77777777" w:rsidR="00F94F86" w:rsidRPr="00C34FFC" w:rsidRDefault="00F94F86" w:rsidP="00997728">
            <w:pPr>
              <w:pStyle w:val="TableText"/>
              <w:rPr>
                <w:rFonts w:eastAsia="Calibri"/>
              </w:rPr>
            </w:pPr>
            <w:r w:rsidRPr="00C34FFC">
              <w:t>Vic: North Western Melbourne</w:t>
            </w:r>
          </w:p>
        </w:tc>
        <w:tc>
          <w:tcPr>
            <w:tcW w:w="562" w:type="pct"/>
          </w:tcPr>
          <w:p w14:paraId="616C4261" w14:textId="77777777" w:rsidR="00F94F86" w:rsidRPr="00DA7F25" w:rsidRDefault="00F94F86" w:rsidP="00997728">
            <w:pPr>
              <w:pStyle w:val="TableText"/>
              <w:jc w:val="right"/>
              <w:rPr>
                <w:color w:val="000000"/>
              </w:rPr>
            </w:pPr>
            <w:r w:rsidRPr="00DA7F25">
              <w:t xml:space="preserve"> 1,794,942 </w:t>
            </w:r>
          </w:p>
        </w:tc>
        <w:tc>
          <w:tcPr>
            <w:tcW w:w="564" w:type="pct"/>
          </w:tcPr>
          <w:p w14:paraId="113B6399" w14:textId="77777777" w:rsidR="00F94F86" w:rsidRPr="00DA7F25" w:rsidRDefault="00F94F86" w:rsidP="00997728">
            <w:pPr>
              <w:pStyle w:val="TableText"/>
              <w:jc w:val="center"/>
              <w:rPr>
                <w:color w:val="000000"/>
              </w:rPr>
            </w:pPr>
            <w:r w:rsidRPr="00DA7F25">
              <w:t>82%</w:t>
            </w:r>
          </w:p>
        </w:tc>
        <w:tc>
          <w:tcPr>
            <w:tcW w:w="564" w:type="pct"/>
          </w:tcPr>
          <w:p w14:paraId="2E68AEB0" w14:textId="77777777" w:rsidR="00F94F86" w:rsidRPr="00DA7F25" w:rsidRDefault="00F94F86" w:rsidP="00997728">
            <w:pPr>
              <w:pStyle w:val="TableText"/>
              <w:jc w:val="right"/>
              <w:rPr>
                <w:color w:val="000000"/>
              </w:rPr>
            </w:pPr>
            <w:r w:rsidRPr="00DA7F25">
              <w:t xml:space="preserve"> 404,040 </w:t>
            </w:r>
          </w:p>
        </w:tc>
        <w:tc>
          <w:tcPr>
            <w:tcW w:w="604" w:type="pct"/>
          </w:tcPr>
          <w:p w14:paraId="01026212" w14:textId="77777777" w:rsidR="00F94F86" w:rsidRPr="00DA7F25" w:rsidRDefault="00F94F86" w:rsidP="00997728">
            <w:pPr>
              <w:pStyle w:val="TableText"/>
              <w:jc w:val="center"/>
              <w:rPr>
                <w:b/>
                <w:color w:val="000000"/>
              </w:rPr>
            </w:pPr>
            <w:r w:rsidRPr="00DA7F25">
              <w:t>18%</w:t>
            </w:r>
          </w:p>
        </w:tc>
        <w:tc>
          <w:tcPr>
            <w:tcW w:w="543" w:type="pct"/>
          </w:tcPr>
          <w:p w14:paraId="5378EEA1" w14:textId="77777777" w:rsidR="00F94F86" w:rsidRPr="00DA7F25" w:rsidRDefault="00F94F86" w:rsidP="00997728">
            <w:pPr>
              <w:pStyle w:val="TableText"/>
              <w:jc w:val="right"/>
              <w:rPr>
                <w:rFonts w:eastAsia="Calibri"/>
              </w:rPr>
            </w:pPr>
            <w:r w:rsidRPr="00DA7F25">
              <w:t xml:space="preserve"> 2,198,982 </w:t>
            </w:r>
          </w:p>
        </w:tc>
      </w:tr>
      <w:tr w:rsidR="00F94F86" w:rsidRPr="00C34FFC" w14:paraId="7DC1BD79" w14:textId="77777777" w:rsidTr="006F6DD1">
        <w:trPr>
          <w:trHeight w:val="20"/>
        </w:trPr>
        <w:tc>
          <w:tcPr>
            <w:tcW w:w="2164" w:type="pct"/>
          </w:tcPr>
          <w:p w14:paraId="5C0498D8" w14:textId="77777777" w:rsidR="00F94F86" w:rsidRPr="00C34FFC" w:rsidRDefault="00F94F86" w:rsidP="00997728">
            <w:pPr>
              <w:pStyle w:val="TableText"/>
              <w:rPr>
                <w:rFonts w:eastAsia="Calibri"/>
              </w:rPr>
            </w:pPr>
            <w:r w:rsidRPr="00C34FFC">
              <w:t>Vic: South Eastern Melbourne</w:t>
            </w:r>
          </w:p>
        </w:tc>
        <w:tc>
          <w:tcPr>
            <w:tcW w:w="562" w:type="pct"/>
          </w:tcPr>
          <w:p w14:paraId="376878DA" w14:textId="77777777" w:rsidR="00F94F86" w:rsidRPr="00DA7F25" w:rsidRDefault="00F94F86" w:rsidP="00997728">
            <w:pPr>
              <w:pStyle w:val="TableText"/>
              <w:jc w:val="right"/>
              <w:rPr>
                <w:color w:val="000000"/>
              </w:rPr>
            </w:pPr>
            <w:r w:rsidRPr="00DA7F25">
              <w:t xml:space="preserve"> 1,317,207 </w:t>
            </w:r>
          </w:p>
        </w:tc>
        <w:tc>
          <w:tcPr>
            <w:tcW w:w="564" w:type="pct"/>
          </w:tcPr>
          <w:p w14:paraId="3DF109A1" w14:textId="77777777" w:rsidR="00F94F86" w:rsidRPr="00DA7F25" w:rsidRDefault="00F94F86" w:rsidP="00997728">
            <w:pPr>
              <w:pStyle w:val="TableText"/>
              <w:jc w:val="center"/>
              <w:rPr>
                <w:color w:val="000000"/>
              </w:rPr>
            </w:pPr>
            <w:r w:rsidRPr="00DA7F25">
              <w:t>30%</w:t>
            </w:r>
          </w:p>
        </w:tc>
        <w:tc>
          <w:tcPr>
            <w:tcW w:w="564" w:type="pct"/>
          </w:tcPr>
          <w:p w14:paraId="630B356F" w14:textId="77777777" w:rsidR="00F94F86" w:rsidRPr="00DA7F25" w:rsidRDefault="00F94F86" w:rsidP="00997728">
            <w:pPr>
              <w:pStyle w:val="TableText"/>
              <w:jc w:val="right"/>
              <w:rPr>
                <w:color w:val="000000"/>
              </w:rPr>
            </w:pPr>
            <w:r w:rsidRPr="00DA7F25">
              <w:t xml:space="preserve"> 3,079,841 </w:t>
            </w:r>
          </w:p>
        </w:tc>
        <w:tc>
          <w:tcPr>
            <w:tcW w:w="604" w:type="pct"/>
          </w:tcPr>
          <w:p w14:paraId="400DDC42" w14:textId="77777777" w:rsidR="00F94F86" w:rsidRPr="00DA7F25" w:rsidRDefault="00F94F86" w:rsidP="00997728">
            <w:pPr>
              <w:pStyle w:val="TableText"/>
              <w:jc w:val="center"/>
              <w:rPr>
                <w:b/>
                <w:color w:val="000000"/>
              </w:rPr>
            </w:pPr>
            <w:r w:rsidRPr="00DA7F25">
              <w:t>70%</w:t>
            </w:r>
          </w:p>
        </w:tc>
        <w:tc>
          <w:tcPr>
            <w:tcW w:w="543" w:type="pct"/>
          </w:tcPr>
          <w:p w14:paraId="6EC7B042" w14:textId="77777777" w:rsidR="00F94F86" w:rsidRPr="00DA7F25" w:rsidRDefault="00F94F86" w:rsidP="00997728">
            <w:pPr>
              <w:pStyle w:val="TableText"/>
              <w:jc w:val="right"/>
              <w:rPr>
                <w:rFonts w:eastAsia="Calibri"/>
              </w:rPr>
            </w:pPr>
            <w:r w:rsidRPr="00DA7F25">
              <w:t xml:space="preserve"> 4,397,048 </w:t>
            </w:r>
          </w:p>
        </w:tc>
      </w:tr>
      <w:tr w:rsidR="00F94F86" w:rsidRPr="00C34FFC" w14:paraId="61295E62" w14:textId="77777777" w:rsidTr="006F6DD1">
        <w:trPr>
          <w:trHeight w:val="20"/>
        </w:trPr>
        <w:tc>
          <w:tcPr>
            <w:tcW w:w="2164" w:type="pct"/>
          </w:tcPr>
          <w:p w14:paraId="0C8EC192" w14:textId="77777777" w:rsidR="00F94F86" w:rsidRPr="00C34FFC" w:rsidRDefault="00F94F86" w:rsidP="00997728">
            <w:pPr>
              <w:pStyle w:val="TableText"/>
              <w:rPr>
                <w:rFonts w:eastAsia="Calibri"/>
              </w:rPr>
            </w:pPr>
            <w:r w:rsidRPr="00C34FFC">
              <w:t>Vic: Western Victoria</w:t>
            </w:r>
          </w:p>
        </w:tc>
        <w:tc>
          <w:tcPr>
            <w:tcW w:w="562" w:type="pct"/>
          </w:tcPr>
          <w:p w14:paraId="5BA4C632" w14:textId="77777777" w:rsidR="00F94F86" w:rsidRPr="00DA7F25" w:rsidRDefault="00F94F86" w:rsidP="00997728">
            <w:pPr>
              <w:pStyle w:val="TableText"/>
              <w:jc w:val="right"/>
              <w:rPr>
                <w:color w:val="000000"/>
              </w:rPr>
            </w:pPr>
            <w:r w:rsidRPr="00DA7F25">
              <w:t xml:space="preserve"> -</w:t>
            </w:r>
            <w:r w:rsidR="000B479E">
              <w:t xml:space="preserve"> </w:t>
            </w:r>
          </w:p>
        </w:tc>
        <w:tc>
          <w:tcPr>
            <w:tcW w:w="564" w:type="pct"/>
          </w:tcPr>
          <w:p w14:paraId="5B5442EE" w14:textId="77777777" w:rsidR="00F94F86" w:rsidRPr="00DA7F25" w:rsidRDefault="00F94F86" w:rsidP="00997728">
            <w:pPr>
              <w:pStyle w:val="TableText"/>
              <w:jc w:val="center"/>
              <w:rPr>
                <w:color w:val="000000"/>
              </w:rPr>
            </w:pPr>
            <w:r w:rsidRPr="00DA7F25">
              <w:t>0%</w:t>
            </w:r>
          </w:p>
        </w:tc>
        <w:tc>
          <w:tcPr>
            <w:tcW w:w="564" w:type="pct"/>
          </w:tcPr>
          <w:p w14:paraId="4A988B56" w14:textId="77777777" w:rsidR="00F94F86" w:rsidRPr="00DA7F25" w:rsidRDefault="00F94F86" w:rsidP="00997728">
            <w:pPr>
              <w:pStyle w:val="TableText"/>
              <w:jc w:val="right"/>
              <w:rPr>
                <w:color w:val="000000"/>
              </w:rPr>
            </w:pPr>
            <w:r w:rsidRPr="00DA7F25">
              <w:t xml:space="preserve"> 1,701,881 </w:t>
            </w:r>
          </w:p>
        </w:tc>
        <w:tc>
          <w:tcPr>
            <w:tcW w:w="604" w:type="pct"/>
          </w:tcPr>
          <w:p w14:paraId="59264B24" w14:textId="77777777" w:rsidR="00F94F86" w:rsidRPr="00DA7F25" w:rsidRDefault="00F94F86" w:rsidP="00997728">
            <w:pPr>
              <w:pStyle w:val="TableText"/>
              <w:jc w:val="center"/>
              <w:rPr>
                <w:b/>
                <w:color w:val="000000"/>
              </w:rPr>
            </w:pPr>
            <w:r w:rsidRPr="00DA7F25">
              <w:t>100%</w:t>
            </w:r>
          </w:p>
        </w:tc>
        <w:tc>
          <w:tcPr>
            <w:tcW w:w="543" w:type="pct"/>
          </w:tcPr>
          <w:p w14:paraId="2D1D894F" w14:textId="77777777" w:rsidR="00F94F86" w:rsidRPr="00DA7F25" w:rsidRDefault="00F94F86" w:rsidP="00997728">
            <w:pPr>
              <w:pStyle w:val="TableText"/>
              <w:jc w:val="right"/>
              <w:rPr>
                <w:rFonts w:eastAsia="Calibri"/>
              </w:rPr>
            </w:pPr>
            <w:r w:rsidRPr="00DA7F25">
              <w:t xml:space="preserve"> 1,701,881 </w:t>
            </w:r>
          </w:p>
        </w:tc>
      </w:tr>
      <w:tr w:rsidR="00F94F86" w:rsidRPr="00C34FFC" w14:paraId="62B0AE7C" w14:textId="77777777" w:rsidTr="006F6DD1">
        <w:trPr>
          <w:trHeight w:val="20"/>
        </w:trPr>
        <w:tc>
          <w:tcPr>
            <w:tcW w:w="2164" w:type="pct"/>
          </w:tcPr>
          <w:p w14:paraId="0B16C8C5" w14:textId="77777777" w:rsidR="00F94F86" w:rsidRPr="00C34FFC" w:rsidRDefault="00F94F86" w:rsidP="00997728">
            <w:pPr>
              <w:pStyle w:val="TableText"/>
              <w:rPr>
                <w:rFonts w:eastAsia="Calibri"/>
              </w:rPr>
            </w:pPr>
            <w:r w:rsidRPr="00C34FFC">
              <w:t>WA: Country WA</w:t>
            </w:r>
          </w:p>
        </w:tc>
        <w:tc>
          <w:tcPr>
            <w:tcW w:w="562" w:type="pct"/>
          </w:tcPr>
          <w:p w14:paraId="0420E804" w14:textId="77777777" w:rsidR="00F94F86" w:rsidRPr="00DA7F25" w:rsidRDefault="00F94F86" w:rsidP="00997728">
            <w:pPr>
              <w:pStyle w:val="TableText"/>
              <w:jc w:val="right"/>
              <w:rPr>
                <w:color w:val="000000"/>
              </w:rPr>
            </w:pPr>
            <w:r w:rsidRPr="00DA7F25">
              <w:t xml:space="preserve"> 30,794,875 </w:t>
            </w:r>
          </w:p>
        </w:tc>
        <w:tc>
          <w:tcPr>
            <w:tcW w:w="564" w:type="pct"/>
          </w:tcPr>
          <w:p w14:paraId="7D7188A3" w14:textId="77777777" w:rsidR="00F94F86" w:rsidRPr="00DA7F25" w:rsidRDefault="00F94F86" w:rsidP="00997728">
            <w:pPr>
              <w:pStyle w:val="TableText"/>
              <w:jc w:val="center"/>
              <w:rPr>
                <w:color w:val="000000"/>
              </w:rPr>
            </w:pPr>
            <w:r w:rsidRPr="00DA7F25">
              <w:t>59%</w:t>
            </w:r>
          </w:p>
        </w:tc>
        <w:tc>
          <w:tcPr>
            <w:tcW w:w="564" w:type="pct"/>
          </w:tcPr>
          <w:p w14:paraId="0793D559" w14:textId="77777777" w:rsidR="00F94F86" w:rsidRPr="00DA7F25" w:rsidRDefault="00F94F86" w:rsidP="00997728">
            <w:pPr>
              <w:pStyle w:val="TableText"/>
              <w:jc w:val="right"/>
              <w:rPr>
                <w:color w:val="000000"/>
              </w:rPr>
            </w:pPr>
            <w:r w:rsidRPr="00DA7F25">
              <w:t xml:space="preserve"> 21,704,336 </w:t>
            </w:r>
          </w:p>
        </w:tc>
        <w:tc>
          <w:tcPr>
            <w:tcW w:w="604" w:type="pct"/>
          </w:tcPr>
          <w:p w14:paraId="4D6C5BAC" w14:textId="77777777" w:rsidR="00F94F86" w:rsidRPr="00DA7F25" w:rsidRDefault="00F94F86" w:rsidP="00997728">
            <w:pPr>
              <w:pStyle w:val="TableText"/>
              <w:jc w:val="center"/>
              <w:rPr>
                <w:b/>
                <w:color w:val="000000"/>
              </w:rPr>
            </w:pPr>
            <w:r w:rsidRPr="00DA7F25">
              <w:t>41%</w:t>
            </w:r>
          </w:p>
        </w:tc>
        <w:tc>
          <w:tcPr>
            <w:tcW w:w="543" w:type="pct"/>
          </w:tcPr>
          <w:p w14:paraId="5105B2FF" w14:textId="77777777" w:rsidR="00F94F86" w:rsidRPr="00DA7F25" w:rsidRDefault="00F94F86" w:rsidP="00997728">
            <w:pPr>
              <w:pStyle w:val="TableText"/>
              <w:jc w:val="right"/>
              <w:rPr>
                <w:rFonts w:eastAsia="Calibri"/>
              </w:rPr>
            </w:pPr>
            <w:r w:rsidRPr="00DA7F25">
              <w:t xml:space="preserve"> 52,499,211 </w:t>
            </w:r>
          </w:p>
        </w:tc>
      </w:tr>
      <w:tr w:rsidR="00F94F86" w:rsidRPr="00C34FFC" w14:paraId="592F0BCA" w14:textId="77777777" w:rsidTr="006F6DD1">
        <w:trPr>
          <w:trHeight w:val="20"/>
        </w:trPr>
        <w:tc>
          <w:tcPr>
            <w:tcW w:w="2164" w:type="pct"/>
          </w:tcPr>
          <w:p w14:paraId="2F22C0B0" w14:textId="77777777" w:rsidR="00F94F86" w:rsidRPr="00C34FFC" w:rsidRDefault="00F94F86" w:rsidP="00997728">
            <w:pPr>
              <w:pStyle w:val="TableText"/>
              <w:rPr>
                <w:rFonts w:eastAsia="Calibri"/>
              </w:rPr>
            </w:pPr>
            <w:r w:rsidRPr="00C34FFC">
              <w:t>WA: Perth North</w:t>
            </w:r>
          </w:p>
        </w:tc>
        <w:tc>
          <w:tcPr>
            <w:tcW w:w="562" w:type="pct"/>
          </w:tcPr>
          <w:p w14:paraId="6346DA28" w14:textId="77777777" w:rsidR="00F94F86" w:rsidRPr="00DA7F25" w:rsidRDefault="00F94F86" w:rsidP="00997728">
            <w:pPr>
              <w:pStyle w:val="TableText"/>
              <w:jc w:val="right"/>
              <w:rPr>
                <w:color w:val="000000"/>
              </w:rPr>
            </w:pPr>
            <w:r w:rsidRPr="00DA7F25">
              <w:t xml:space="preserve"> 16,875,009 </w:t>
            </w:r>
          </w:p>
        </w:tc>
        <w:tc>
          <w:tcPr>
            <w:tcW w:w="564" w:type="pct"/>
          </w:tcPr>
          <w:p w14:paraId="302C0F8B" w14:textId="77777777" w:rsidR="00F94F86" w:rsidRPr="00DA7F25" w:rsidRDefault="00F94F86" w:rsidP="00997728">
            <w:pPr>
              <w:pStyle w:val="TableText"/>
              <w:jc w:val="center"/>
              <w:rPr>
                <w:color w:val="000000"/>
              </w:rPr>
            </w:pPr>
            <w:r w:rsidRPr="00DA7F25">
              <w:t>54%</w:t>
            </w:r>
          </w:p>
        </w:tc>
        <w:tc>
          <w:tcPr>
            <w:tcW w:w="564" w:type="pct"/>
          </w:tcPr>
          <w:p w14:paraId="255D0743" w14:textId="77777777" w:rsidR="00F94F86" w:rsidRPr="00DA7F25" w:rsidRDefault="00F94F86" w:rsidP="00997728">
            <w:pPr>
              <w:pStyle w:val="TableText"/>
              <w:jc w:val="right"/>
              <w:rPr>
                <w:color w:val="000000"/>
              </w:rPr>
            </w:pPr>
            <w:r w:rsidRPr="00DA7F25">
              <w:t xml:space="preserve"> 14,642,644 </w:t>
            </w:r>
          </w:p>
        </w:tc>
        <w:tc>
          <w:tcPr>
            <w:tcW w:w="604" w:type="pct"/>
          </w:tcPr>
          <w:p w14:paraId="7CEC5EEB" w14:textId="77777777" w:rsidR="00F94F86" w:rsidRPr="00DA7F25" w:rsidRDefault="00F94F86" w:rsidP="00997728">
            <w:pPr>
              <w:pStyle w:val="TableText"/>
              <w:jc w:val="center"/>
              <w:rPr>
                <w:b/>
                <w:color w:val="000000"/>
              </w:rPr>
            </w:pPr>
            <w:r w:rsidRPr="00DA7F25">
              <w:t>46%</w:t>
            </w:r>
          </w:p>
        </w:tc>
        <w:tc>
          <w:tcPr>
            <w:tcW w:w="543" w:type="pct"/>
          </w:tcPr>
          <w:p w14:paraId="13024573" w14:textId="77777777" w:rsidR="00F94F86" w:rsidRPr="00DA7F25" w:rsidRDefault="00F94F86" w:rsidP="00997728">
            <w:pPr>
              <w:pStyle w:val="TableText"/>
              <w:jc w:val="right"/>
              <w:rPr>
                <w:rFonts w:eastAsia="Calibri"/>
              </w:rPr>
            </w:pPr>
            <w:r w:rsidRPr="00DA7F25">
              <w:t xml:space="preserve"> 31,517,653 </w:t>
            </w:r>
          </w:p>
        </w:tc>
      </w:tr>
      <w:tr w:rsidR="00F94F86" w:rsidRPr="00C34FFC" w14:paraId="636E1F43" w14:textId="77777777" w:rsidTr="006F6DD1">
        <w:trPr>
          <w:trHeight w:val="20"/>
        </w:trPr>
        <w:tc>
          <w:tcPr>
            <w:tcW w:w="2164" w:type="pct"/>
          </w:tcPr>
          <w:p w14:paraId="7CE43B5E" w14:textId="77777777" w:rsidR="00F94F86" w:rsidRPr="00C34FFC" w:rsidRDefault="00F94F86" w:rsidP="00997728">
            <w:pPr>
              <w:pStyle w:val="TableText"/>
              <w:rPr>
                <w:rFonts w:eastAsia="Calibri"/>
              </w:rPr>
            </w:pPr>
            <w:r w:rsidRPr="00C34FFC">
              <w:t>WA: Perth South</w:t>
            </w:r>
          </w:p>
        </w:tc>
        <w:tc>
          <w:tcPr>
            <w:tcW w:w="562" w:type="pct"/>
          </w:tcPr>
          <w:p w14:paraId="5AC67012" w14:textId="77777777" w:rsidR="00F94F86" w:rsidRPr="00DA7F25" w:rsidRDefault="00F94F86" w:rsidP="00997728">
            <w:pPr>
              <w:pStyle w:val="TableText"/>
              <w:jc w:val="right"/>
              <w:rPr>
                <w:color w:val="000000"/>
              </w:rPr>
            </w:pPr>
            <w:r w:rsidRPr="00DA7F25">
              <w:t xml:space="preserve"> 7,402,316 </w:t>
            </w:r>
          </w:p>
        </w:tc>
        <w:tc>
          <w:tcPr>
            <w:tcW w:w="564" w:type="pct"/>
          </w:tcPr>
          <w:p w14:paraId="09C6442D" w14:textId="77777777" w:rsidR="00F94F86" w:rsidRPr="00DA7F25" w:rsidRDefault="00F94F86" w:rsidP="00997728">
            <w:pPr>
              <w:pStyle w:val="TableText"/>
              <w:jc w:val="center"/>
              <w:rPr>
                <w:color w:val="000000"/>
              </w:rPr>
            </w:pPr>
            <w:r w:rsidRPr="00DA7F25">
              <w:t>57%</w:t>
            </w:r>
          </w:p>
        </w:tc>
        <w:tc>
          <w:tcPr>
            <w:tcW w:w="564" w:type="pct"/>
          </w:tcPr>
          <w:p w14:paraId="16321977" w14:textId="77777777" w:rsidR="00F94F86" w:rsidRPr="00DA7F25" w:rsidRDefault="00F94F86" w:rsidP="00997728">
            <w:pPr>
              <w:pStyle w:val="TableText"/>
              <w:jc w:val="right"/>
              <w:rPr>
                <w:color w:val="000000"/>
              </w:rPr>
            </w:pPr>
            <w:r w:rsidRPr="00DA7F25">
              <w:t xml:space="preserve"> 5,579,445 </w:t>
            </w:r>
          </w:p>
        </w:tc>
        <w:tc>
          <w:tcPr>
            <w:tcW w:w="604" w:type="pct"/>
          </w:tcPr>
          <w:p w14:paraId="1B0796AA" w14:textId="77777777" w:rsidR="00F94F86" w:rsidRPr="00DA7F25" w:rsidRDefault="00F94F86" w:rsidP="00997728">
            <w:pPr>
              <w:pStyle w:val="TableText"/>
              <w:jc w:val="center"/>
              <w:rPr>
                <w:b/>
                <w:color w:val="000000"/>
              </w:rPr>
            </w:pPr>
            <w:r w:rsidRPr="00DA7F25">
              <w:t>43%</w:t>
            </w:r>
          </w:p>
        </w:tc>
        <w:tc>
          <w:tcPr>
            <w:tcW w:w="543" w:type="pct"/>
          </w:tcPr>
          <w:p w14:paraId="0D2BC696" w14:textId="77777777" w:rsidR="00F94F86" w:rsidRPr="00DA7F25" w:rsidRDefault="00F94F86" w:rsidP="00997728">
            <w:pPr>
              <w:pStyle w:val="TableText"/>
              <w:jc w:val="right"/>
              <w:rPr>
                <w:rFonts w:eastAsia="Calibri"/>
              </w:rPr>
            </w:pPr>
            <w:r w:rsidRPr="00DA7F25">
              <w:t xml:space="preserve"> 12,981,761 </w:t>
            </w:r>
          </w:p>
        </w:tc>
      </w:tr>
      <w:tr w:rsidR="00F94F86" w:rsidRPr="00997728" w14:paraId="174BB95E" w14:textId="77777777" w:rsidTr="006F6DD1">
        <w:trPr>
          <w:trHeight w:val="20"/>
        </w:trPr>
        <w:tc>
          <w:tcPr>
            <w:tcW w:w="2164" w:type="pct"/>
          </w:tcPr>
          <w:p w14:paraId="12B24514" w14:textId="77777777" w:rsidR="00F94F86" w:rsidRPr="00997728" w:rsidRDefault="00F94F86" w:rsidP="00997728">
            <w:pPr>
              <w:pStyle w:val="TableText"/>
              <w:rPr>
                <w:rFonts w:eastAsia="Calibri"/>
                <w:b/>
                <w:bCs/>
              </w:rPr>
            </w:pPr>
            <w:r w:rsidRPr="00997728">
              <w:rPr>
                <w:b/>
                <w:bCs/>
              </w:rPr>
              <w:t>Total</w:t>
            </w:r>
          </w:p>
        </w:tc>
        <w:tc>
          <w:tcPr>
            <w:tcW w:w="562" w:type="pct"/>
          </w:tcPr>
          <w:p w14:paraId="5C10CDC8" w14:textId="77777777" w:rsidR="00F94F86" w:rsidRPr="00997728" w:rsidRDefault="00F94F86" w:rsidP="00997728">
            <w:pPr>
              <w:pStyle w:val="TableText"/>
              <w:jc w:val="right"/>
              <w:rPr>
                <w:rFonts w:eastAsia="Calibri"/>
                <w:b/>
                <w:bCs/>
              </w:rPr>
            </w:pPr>
            <w:r w:rsidRPr="00997728">
              <w:rPr>
                <w:b/>
                <w:bCs/>
              </w:rPr>
              <w:t xml:space="preserve">151,001,510 </w:t>
            </w:r>
          </w:p>
        </w:tc>
        <w:tc>
          <w:tcPr>
            <w:tcW w:w="564" w:type="pct"/>
          </w:tcPr>
          <w:p w14:paraId="0BB3505E" w14:textId="77777777" w:rsidR="00F94F86" w:rsidRPr="00997728" w:rsidRDefault="00F94F86" w:rsidP="00997728">
            <w:pPr>
              <w:pStyle w:val="TableText"/>
              <w:jc w:val="center"/>
              <w:rPr>
                <w:rFonts w:eastAsia="Calibri"/>
                <w:b/>
                <w:bCs/>
              </w:rPr>
            </w:pPr>
            <w:r w:rsidRPr="00997728">
              <w:rPr>
                <w:b/>
                <w:bCs/>
              </w:rPr>
              <w:t>40%</w:t>
            </w:r>
          </w:p>
        </w:tc>
        <w:tc>
          <w:tcPr>
            <w:tcW w:w="564" w:type="pct"/>
          </w:tcPr>
          <w:p w14:paraId="791EF066" w14:textId="77777777" w:rsidR="00F94F86" w:rsidRPr="00997728" w:rsidRDefault="00F94F86" w:rsidP="00997728">
            <w:pPr>
              <w:pStyle w:val="TableText"/>
              <w:jc w:val="right"/>
              <w:rPr>
                <w:rFonts w:eastAsia="Calibri"/>
                <w:b/>
                <w:bCs/>
              </w:rPr>
            </w:pPr>
            <w:r w:rsidRPr="00997728">
              <w:rPr>
                <w:b/>
                <w:bCs/>
              </w:rPr>
              <w:t xml:space="preserve">224,539,715 </w:t>
            </w:r>
          </w:p>
        </w:tc>
        <w:tc>
          <w:tcPr>
            <w:tcW w:w="604" w:type="pct"/>
          </w:tcPr>
          <w:p w14:paraId="32F9797C" w14:textId="77777777" w:rsidR="00F94F86" w:rsidRPr="00997728" w:rsidRDefault="00F94F86" w:rsidP="00997728">
            <w:pPr>
              <w:pStyle w:val="TableText"/>
              <w:jc w:val="center"/>
              <w:rPr>
                <w:b/>
                <w:bCs/>
                <w:color w:val="000000"/>
              </w:rPr>
            </w:pPr>
            <w:r w:rsidRPr="00997728">
              <w:rPr>
                <w:b/>
                <w:bCs/>
              </w:rPr>
              <w:t>60%</w:t>
            </w:r>
          </w:p>
        </w:tc>
        <w:tc>
          <w:tcPr>
            <w:tcW w:w="543" w:type="pct"/>
          </w:tcPr>
          <w:p w14:paraId="27B64A43" w14:textId="77777777" w:rsidR="00F94F86" w:rsidRPr="00997728" w:rsidRDefault="00F94F86" w:rsidP="00997728">
            <w:pPr>
              <w:pStyle w:val="TableText"/>
              <w:jc w:val="right"/>
              <w:rPr>
                <w:rFonts w:eastAsia="Calibri"/>
                <w:b/>
                <w:bCs/>
              </w:rPr>
            </w:pPr>
            <w:r w:rsidRPr="00997728">
              <w:rPr>
                <w:b/>
                <w:bCs/>
              </w:rPr>
              <w:t xml:space="preserve">375,541,225 </w:t>
            </w:r>
          </w:p>
        </w:tc>
      </w:tr>
      <w:tr w:rsidR="00F94F86" w:rsidRPr="00C05B40" w14:paraId="76D71F53" w14:textId="77777777" w:rsidTr="006F6DD1">
        <w:trPr>
          <w:cnfStyle w:val="010000000000" w:firstRow="0" w:lastRow="1" w:firstColumn="0" w:lastColumn="0" w:oddVBand="0" w:evenVBand="0" w:oddHBand="0" w:evenHBand="0" w:firstRowFirstColumn="0" w:firstRowLastColumn="0" w:lastRowFirstColumn="0" w:lastRowLastColumn="0"/>
          <w:trHeight w:val="20"/>
        </w:trPr>
        <w:tc>
          <w:tcPr>
            <w:tcW w:w="2164" w:type="pct"/>
          </w:tcPr>
          <w:p w14:paraId="4F131A7F" w14:textId="77777777" w:rsidR="00F94F86" w:rsidRPr="00FA3766" w:rsidRDefault="00F94F86" w:rsidP="00FA3766">
            <w:pPr>
              <w:pStyle w:val="TableText"/>
              <w:rPr>
                <w:b/>
                <w:bCs/>
                <w:i/>
                <w:iCs/>
              </w:rPr>
            </w:pPr>
            <w:r w:rsidRPr="00FA3766">
              <w:rPr>
                <w:b/>
                <w:bCs/>
                <w:i/>
                <w:iCs/>
              </w:rPr>
              <w:t>Average contract value</w:t>
            </w:r>
          </w:p>
        </w:tc>
        <w:tc>
          <w:tcPr>
            <w:tcW w:w="562" w:type="pct"/>
          </w:tcPr>
          <w:p w14:paraId="2AEC61B0" w14:textId="77777777" w:rsidR="00F94F86" w:rsidRPr="00FA3766" w:rsidRDefault="00F94F86" w:rsidP="00FA3766">
            <w:pPr>
              <w:pStyle w:val="TableText"/>
              <w:jc w:val="right"/>
              <w:rPr>
                <w:b/>
                <w:bCs/>
                <w:i/>
                <w:iCs/>
              </w:rPr>
            </w:pPr>
            <w:r w:rsidRPr="00FA3766">
              <w:rPr>
                <w:b/>
                <w:bCs/>
                <w:i/>
                <w:iCs/>
              </w:rPr>
              <w:t>1,348,228</w:t>
            </w:r>
          </w:p>
        </w:tc>
        <w:tc>
          <w:tcPr>
            <w:tcW w:w="564" w:type="pct"/>
          </w:tcPr>
          <w:p w14:paraId="496C77D3" w14:textId="77777777" w:rsidR="00F94F86" w:rsidRPr="00FA3766" w:rsidRDefault="00F94F86" w:rsidP="00FA3766">
            <w:pPr>
              <w:pStyle w:val="TableText"/>
              <w:rPr>
                <w:b/>
                <w:bCs/>
                <w:i/>
                <w:iCs/>
              </w:rPr>
            </w:pPr>
          </w:p>
        </w:tc>
        <w:tc>
          <w:tcPr>
            <w:tcW w:w="564" w:type="pct"/>
          </w:tcPr>
          <w:p w14:paraId="613DC027" w14:textId="77777777" w:rsidR="00F94F86" w:rsidRPr="00FA3766" w:rsidRDefault="00F94F86" w:rsidP="00FA3766">
            <w:pPr>
              <w:pStyle w:val="TableText"/>
              <w:jc w:val="right"/>
              <w:rPr>
                <w:b/>
                <w:bCs/>
                <w:i/>
                <w:iCs/>
              </w:rPr>
            </w:pPr>
            <w:r w:rsidRPr="00FA3766">
              <w:rPr>
                <w:b/>
                <w:bCs/>
                <w:i/>
                <w:iCs/>
              </w:rPr>
              <w:t>1,069,237</w:t>
            </w:r>
          </w:p>
        </w:tc>
        <w:tc>
          <w:tcPr>
            <w:tcW w:w="604" w:type="pct"/>
          </w:tcPr>
          <w:p w14:paraId="19018498" w14:textId="77777777" w:rsidR="00F94F86" w:rsidRPr="00C05B40" w:rsidRDefault="00F94F86" w:rsidP="006F6DD1">
            <w:pPr>
              <w:pStyle w:val="TableText"/>
              <w:spacing w:after="20"/>
              <w:jc w:val="right"/>
              <w:rPr>
                <w:b/>
                <w:bCs/>
                <w:i/>
                <w:iCs/>
              </w:rPr>
            </w:pPr>
          </w:p>
        </w:tc>
        <w:tc>
          <w:tcPr>
            <w:tcW w:w="543" w:type="pct"/>
          </w:tcPr>
          <w:p w14:paraId="6A486853" w14:textId="77777777" w:rsidR="00F94F86" w:rsidRPr="00C05B40" w:rsidRDefault="00F94F86" w:rsidP="006F6DD1">
            <w:pPr>
              <w:pStyle w:val="TableText"/>
              <w:spacing w:after="20"/>
              <w:jc w:val="right"/>
              <w:rPr>
                <w:b/>
                <w:bCs/>
              </w:rPr>
            </w:pPr>
          </w:p>
        </w:tc>
      </w:tr>
    </w:tbl>
    <w:p w14:paraId="35D9B7ED" w14:textId="77777777" w:rsidR="002106F3" w:rsidRDefault="002106F3">
      <w:pPr>
        <w:rPr>
          <w:rFonts w:ascii="Calibri" w:eastAsiaTheme="majorEastAsia" w:hAnsi="Calibri" w:cs="Arial (Headings CS)"/>
          <w:b/>
          <w:color w:val="0196A7" w:themeColor="accent3"/>
          <w:sz w:val="26"/>
          <w:szCs w:val="28"/>
        </w:rPr>
      </w:pPr>
      <w:bookmarkStart w:id="265" w:name="_Toc145955248"/>
      <w:r>
        <w:br w:type="page"/>
      </w:r>
    </w:p>
    <w:p w14:paraId="7C71D3D7" w14:textId="5D57BE5B" w:rsidR="00F94F86" w:rsidRPr="00B65F7F" w:rsidRDefault="00F94F86" w:rsidP="00E2348C">
      <w:pPr>
        <w:pStyle w:val="HeadingLevel3NoNumber"/>
      </w:pPr>
      <w:r w:rsidRPr="5C2F0F61">
        <w:lastRenderedPageBreak/>
        <w:t xml:space="preserve">Data finding </w:t>
      </w:r>
      <w:r>
        <w:t>3</w:t>
      </w:r>
      <w:r w:rsidRPr="5C2F0F61">
        <w:t xml:space="preserve">: Commissioned </w:t>
      </w:r>
      <w:r w:rsidR="00A83CC8">
        <w:t>contract</w:t>
      </w:r>
      <w:r w:rsidRPr="5C2F0F61">
        <w:t xml:space="preserve"> data held by </w:t>
      </w:r>
      <w:r w:rsidR="00CF6568">
        <w:t>DoHAC</w:t>
      </w:r>
      <w:r w:rsidRPr="5C2F0F61">
        <w:t xml:space="preserve"> </w:t>
      </w:r>
      <w:bookmarkEnd w:id="255"/>
      <w:bookmarkEnd w:id="265"/>
      <w:r w:rsidR="00A511C1">
        <w:t xml:space="preserve">could be </w:t>
      </w:r>
      <w:r w:rsidR="009B65E0">
        <w:t>improved</w:t>
      </w:r>
    </w:p>
    <w:p w14:paraId="35D8C9A8" w14:textId="2961ABF2" w:rsidR="00F94F86" w:rsidRPr="00133EE0" w:rsidRDefault="00F94F86" w:rsidP="00FA3766">
      <w:pPr>
        <w:pStyle w:val="BodyText"/>
        <w:rPr>
          <w:rFonts w:eastAsiaTheme="minorEastAsia" w:cstheme="minorBidi"/>
        </w:rPr>
      </w:pPr>
      <w:r w:rsidRPr="5C2F0F61">
        <w:t xml:space="preserve">The commissioned </w:t>
      </w:r>
      <w:r w:rsidR="00A83CC8">
        <w:t>contract</w:t>
      </w:r>
      <w:r w:rsidRPr="5C2F0F61">
        <w:t xml:space="preserve"> data held by </w:t>
      </w:r>
      <w:r w:rsidR="00CF6568">
        <w:t>DoHAC</w:t>
      </w:r>
      <w:r w:rsidRPr="5C2F0F61">
        <w:t xml:space="preserve"> that was made available to the </w:t>
      </w:r>
      <w:r w:rsidR="000E5848">
        <w:t>Review Team</w:t>
      </w:r>
      <w:r w:rsidRPr="5C2F0F61">
        <w:t xml:space="preserve"> </w:t>
      </w:r>
      <w:r w:rsidR="00D11A73">
        <w:t xml:space="preserve">could be </w:t>
      </w:r>
      <w:r w:rsidR="009B65E0">
        <w:t>improved</w:t>
      </w:r>
      <w:r w:rsidR="00D11A73">
        <w:t>. This finding reflects the fact that s</w:t>
      </w:r>
      <w:r w:rsidRPr="5C2F0F61">
        <w:t>everal errors were evident and some of these could</w:t>
      </w:r>
      <w:r>
        <w:t xml:space="preserve"> </w:t>
      </w:r>
      <w:r w:rsidRPr="5C2F0F61">
        <w:t>be avoidable, such as column misalignment. Column misalignment occurs when the data structure or format is disrupted, leading to inconsistencies in how the data is organised and displayed. Th</w:t>
      </w:r>
      <w:r>
        <w:t>is</w:t>
      </w:r>
      <w:r w:rsidRPr="5C2F0F61">
        <w:t xml:space="preserve"> </w:t>
      </w:r>
      <w:r w:rsidRPr="00133EE0">
        <w:rPr>
          <w:rFonts w:eastAsiaTheme="minorEastAsia" w:cstheme="minorBidi"/>
        </w:rPr>
        <w:t xml:space="preserve">could be attributed to manual aggregation, contributing to errors and inconsistencies throughout the dataset. Other </w:t>
      </w:r>
      <w:r w:rsidRPr="00133EE0">
        <w:rPr>
          <w:rFonts w:eastAsiaTheme="minorEastAsia" w:cstheme="minorBidi"/>
          <w:color w:val="111111"/>
        </w:rPr>
        <w:t xml:space="preserve">data quality issues </w:t>
      </w:r>
      <w:r w:rsidRPr="5C2F0F61">
        <w:rPr>
          <w:rFonts w:eastAsiaTheme="minorEastAsia" w:cstheme="minorBidi"/>
          <w:color w:val="111111"/>
        </w:rPr>
        <w:t xml:space="preserve">identified in the </w:t>
      </w:r>
      <w:r w:rsidRPr="00133EE0">
        <w:rPr>
          <w:rFonts w:eastAsiaTheme="minorEastAsia" w:cstheme="minorBidi"/>
          <w:color w:val="111111"/>
        </w:rPr>
        <w:t>dataset</w:t>
      </w:r>
      <w:r w:rsidRPr="5C2F0F61">
        <w:rPr>
          <w:rFonts w:eastAsiaTheme="minorEastAsia" w:cstheme="minorBidi"/>
          <w:color w:val="111111"/>
        </w:rPr>
        <w:t xml:space="preserve">s </w:t>
      </w:r>
      <w:r w:rsidRPr="00133EE0">
        <w:rPr>
          <w:rFonts w:eastAsiaTheme="minorEastAsia" w:cstheme="minorBidi"/>
        </w:rPr>
        <w:t>included:</w:t>
      </w:r>
    </w:p>
    <w:p w14:paraId="58BCF0BF" w14:textId="77777777" w:rsidR="00F94F86" w:rsidRPr="00133EE0" w:rsidRDefault="00F94F86" w:rsidP="00FA3766">
      <w:pPr>
        <w:pStyle w:val="ListBullet2"/>
        <w:rPr>
          <w:rFonts w:eastAsiaTheme="minorEastAsia"/>
        </w:rPr>
      </w:pPr>
      <w:r w:rsidRPr="00133EE0">
        <w:rPr>
          <w:rFonts w:eastAsiaTheme="minorEastAsia"/>
        </w:rPr>
        <w:t xml:space="preserve">incorrect tagging of organisation type (Indigenous or non-Indigenous) </w:t>
      </w:r>
    </w:p>
    <w:p w14:paraId="636CAA7F" w14:textId="77777777" w:rsidR="00F94F86" w:rsidRPr="00133EE0" w:rsidRDefault="00F94F86" w:rsidP="00FA3766">
      <w:pPr>
        <w:pStyle w:val="ListBullet2"/>
        <w:rPr>
          <w:rFonts w:eastAsiaTheme="minorEastAsia"/>
        </w:rPr>
      </w:pPr>
      <w:r w:rsidRPr="00133EE0">
        <w:rPr>
          <w:rFonts w:eastAsiaTheme="minorEastAsia"/>
        </w:rPr>
        <w:t>inconsistencies and errors in the tagging of Scheduled services and Activity services</w:t>
      </w:r>
    </w:p>
    <w:p w14:paraId="5AD5C58B" w14:textId="77777777" w:rsidR="00F94F86" w:rsidRDefault="00F94F86" w:rsidP="00FA3766">
      <w:pPr>
        <w:pStyle w:val="ListBullet2"/>
        <w:rPr>
          <w:rFonts w:eastAsiaTheme="minorEastAsia"/>
        </w:rPr>
      </w:pPr>
      <w:r w:rsidRPr="00133EE0">
        <w:rPr>
          <w:rFonts w:eastAsiaTheme="minorEastAsia"/>
        </w:rPr>
        <w:t>inconsistencies</w:t>
      </w:r>
      <w:r>
        <w:rPr>
          <w:rFonts w:eastAsiaTheme="minorEastAsia"/>
        </w:rPr>
        <w:t xml:space="preserve"> and errors</w:t>
      </w:r>
      <w:r w:rsidRPr="00133EE0">
        <w:rPr>
          <w:rFonts w:eastAsiaTheme="minorEastAsia"/>
        </w:rPr>
        <w:t xml:space="preserve"> in other fields such as contract dates. </w:t>
      </w:r>
    </w:p>
    <w:p w14:paraId="5608458E" w14:textId="37E041D3" w:rsidR="00F94F86" w:rsidRDefault="00F94F86" w:rsidP="00FA3766">
      <w:pPr>
        <w:pStyle w:val="BodyText1stparaafterlist"/>
      </w:pPr>
      <w:r>
        <w:t>S</w:t>
      </w:r>
      <w:r w:rsidRPr="00B65F7F">
        <w:t xml:space="preserve">teps were taken to mitigate against the errors, as outlined in </w:t>
      </w:r>
      <w:r w:rsidR="00944FDA">
        <w:rPr>
          <w:b/>
        </w:rPr>
        <w:fldChar w:fldCharType="begin"/>
      </w:r>
      <w:r w:rsidR="00944FDA">
        <w:instrText xml:space="preserve"> REF Appendix10 \h </w:instrText>
      </w:r>
      <w:r w:rsidR="00944FDA">
        <w:rPr>
          <w:b/>
        </w:rPr>
      </w:r>
      <w:r w:rsidR="00944FDA">
        <w:rPr>
          <w:b/>
        </w:rPr>
        <w:fldChar w:fldCharType="separate"/>
      </w:r>
      <w:r w:rsidR="00934D5E" w:rsidRPr="00B65F7F">
        <w:t xml:space="preserve">Appendix </w:t>
      </w:r>
      <w:r w:rsidR="00934D5E">
        <w:t>10 –</w:t>
      </w:r>
      <w:r w:rsidR="00934D5E" w:rsidRPr="00B65F7F">
        <w:t xml:space="preserve"> </w:t>
      </w:r>
      <w:r w:rsidR="00934D5E" w:rsidRPr="009D28AD">
        <w:t>Commissioned</w:t>
      </w:r>
      <w:r w:rsidR="00934D5E" w:rsidRPr="00B65F7F">
        <w:t xml:space="preserve"> service </w:t>
      </w:r>
      <w:r w:rsidR="00934D5E">
        <w:t>methodology and limitations</w:t>
      </w:r>
      <w:r w:rsidR="00944FDA">
        <w:rPr>
          <w:b/>
        </w:rPr>
        <w:fldChar w:fldCharType="end"/>
      </w:r>
      <w:r w:rsidRPr="00B65F7F">
        <w:t>.</w:t>
      </w:r>
    </w:p>
    <w:p w14:paraId="16612D2F" w14:textId="77777777" w:rsidR="003148E5" w:rsidRDefault="003148E5" w:rsidP="00FA3766">
      <w:pPr>
        <w:pStyle w:val="BodyText"/>
      </w:pPr>
      <w:r>
        <w:t xml:space="preserve">However, following the submission of the Draft report, several PHNs responded to indicate that the contract data held and analysed was incorrect. As it was not in the scope of the Review to undertake validation and correction of any contract data errors, the data remains as is in Data </w:t>
      </w:r>
      <w:r w:rsidR="00944FDA">
        <w:t>f</w:t>
      </w:r>
      <w:r>
        <w:t xml:space="preserve">indings </w:t>
      </w:r>
      <w:r w:rsidR="00944FDA">
        <w:t>A4.2</w:t>
      </w:r>
      <w:r>
        <w:t xml:space="preserve">.1 and </w:t>
      </w:r>
      <w:r w:rsidR="00944FDA">
        <w:t>A4.2</w:t>
      </w:r>
      <w:r>
        <w:t xml:space="preserve">.2, even though there are likely significant errors. </w:t>
      </w:r>
    </w:p>
    <w:p w14:paraId="290F1A53" w14:textId="77777777" w:rsidR="003148E5" w:rsidRDefault="003148E5" w:rsidP="00FA3766">
      <w:pPr>
        <w:pStyle w:val="BodyText"/>
      </w:pPr>
      <w:r>
        <w:t xml:space="preserve">The advice from </w:t>
      </w:r>
      <w:r w:rsidR="00155E73">
        <w:t xml:space="preserve">approximately </w:t>
      </w:r>
      <w:r w:rsidR="00D11A73">
        <w:t>one-third</w:t>
      </w:r>
      <w:r w:rsidR="004068A3">
        <w:t xml:space="preserve"> of </w:t>
      </w:r>
      <w:r>
        <w:t xml:space="preserve">PHNs </w:t>
      </w:r>
      <w:r w:rsidR="004068A3">
        <w:t xml:space="preserve">engaged in the Review </w:t>
      </w:r>
      <w:r>
        <w:t>about inaccurate data further supports this finding (</w:t>
      </w:r>
      <w:r w:rsidR="00944FDA">
        <w:t>A4.2</w:t>
      </w:r>
      <w:r>
        <w:t xml:space="preserve">.3), that the data held and provided by health to analyse was low quality. </w:t>
      </w:r>
    </w:p>
    <w:p w14:paraId="4371A91C" w14:textId="77777777" w:rsidR="00F94F86" w:rsidRPr="00A83CC8" w:rsidRDefault="00A83CC8" w:rsidP="00FA3766">
      <w:pPr>
        <w:pStyle w:val="BodyText"/>
      </w:pPr>
      <w:r>
        <w:rPr>
          <w:b/>
        </w:rPr>
        <w:t xml:space="preserve">Note: </w:t>
      </w:r>
      <w:r>
        <w:t xml:space="preserve">While the contract data was reviewed in detail by the Review Team, </w:t>
      </w:r>
      <w:r w:rsidR="00545549" w:rsidRPr="00545549">
        <w:t>it was considered so the Review Team could gain</w:t>
      </w:r>
      <w:r>
        <w:t xml:space="preserve"> a contextual understanding of the current contract and funding arrangements for the Relevant Health Programs. None of the data was relied on to inform the recommendations set out in this report. </w:t>
      </w:r>
    </w:p>
    <w:p w14:paraId="7A717188" w14:textId="77777777" w:rsidR="00F94F86" w:rsidRPr="00B65F7F" w:rsidRDefault="00F44027" w:rsidP="006734AE">
      <w:pPr>
        <w:pStyle w:val="HeadingLevel2NoNumber"/>
      </w:pPr>
      <w:bookmarkStart w:id="266" w:name="_tau4og21im1t" w:colFirst="0" w:colLast="0"/>
      <w:bookmarkStart w:id="267" w:name="_sp1zblwsko11" w:colFirst="0" w:colLast="0"/>
      <w:bookmarkStart w:id="268" w:name="_5q2k7oxllkrf" w:colFirst="0" w:colLast="0"/>
      <w:bookmarkStart w:id="269" w:name="_60w5svytyxyq" w:colFirst="0" w:colLast="0"/>
      <w:bookmarkStart w:id="270" w:name="_e5rwtadoshao"/>
      <w:bookmarkStart w:id="271" w:name="Ch4FinalInsights"/>
      <w:bookmarkStart w:id="272" w:name="_Toc145955249"/>
      <w:bookmarkEnd w:id="266"/>
      <w:bookmarkEnd w:id="267"/>
      <w:bookmarkEnd w:id="268"/>
      <w:bookmarkEnd w:id="269"/>
      <w:bookmarkEnd w:id="270"/>
      <w:r>
        <w:t xml:space="preserve">A4.3 </w:t>
      </w:r>
      <w:r w:rsidR="00F94F86" w:rsidRPr="00B65F7F">
        <w:t>Final insights</w:t>
      </w:r>
      <w:bookmarkEnd w:id="271"/>
      <w:bookmarkEnd w:id="272"/>
      <w:r w:rsidR="00F94F86" w:rsidRPr="00B65F7F">
        <w:t xml:space="preserve"> </w:t>
      </w:r>
    </w:p>
    <w:p w14:paraId="6D1D70DB" w14:textId="793F11AE" w:rsidR="00F94F86" w:rsidRPr="00B65F7F" w:rsidRDefault="00F94F86" w:rsidP="00FA3766">
      <w:pPr>
        <w:pStyle w:val="BodyText"/>
      </w:pPr>
      <w:r w:rsidRPr="00B65F7F">
        <w:t xml:space="preserve">This </w:t>
      </w:r>
      <w:r w:rsidR="00944FDA">
        <w:t>section</w:t>
      </w:r>
      <w:r w:rsidRPr="00B65F7F">
        <w:t xml:space="preserve"> presents final insights relating to the Relevant Health Programs. Insights have primarily been drawn from the engagement with community members, service providers, other sector representatives and PHNs. However, they build on </w:t>
      </w:r>
      <w:r w:rsidR="00944FDA">
        <w:t xml:space="preserve">section </w:t>
      </w:r>
      <w:r w:rsidRPr="00B65F7F">
        <w:fldChar w:fldCharType="begin"/>
      </w:r>
      <w:r w:rsidRPr="00B65F7F">
        <w:instrText xml:space="preserve"> REF Ch2Findings \h </w:instrText>
      </w:r>
      <w:r w:rsidRPr="00B65F7F">
        <w:fldChar w:fldCharType="separate"/>
      </w:r>
      <w:r w:rsidR="00934D5E">
        <w:t xml:space="preserve">A4.1 </w:t>
      </w:r>
      <w:r w:rsidR="00934D5E" w:rsidRPr="00B65F7F">
        <w:t>Literature review findings</w:t>
      </w:r>
      <w:r w:rsidRPr="00B65F7F">
        <w:fldChar w:fldCharType="end"/>
      </w:r>
      <w:r w:rsidRPr="00B65F7F">
        <w:t xml:space="preserve"> and </w:t>
      </w:r>
      <w:r w:rsidRPr="00B65F7F">
        <w:fldChar w:fldCharType="begin"/>
      </w:r>
      <w:r w:rsidRPr="00B65F7F">
        <w:instrText xml:space="preserve"> REF Ch3CommissionedServicesDataFindings \h </w:instrText>
      </w:r>
      <w:r w:rsidRPr="00B65F7F">
        <w:fldChar w:fldCharType="separate"/>
      </w:r>
      <w:r w:rsidR="00934D5E">
        <w:t>A4.2</w:t>
      </w:r>
      <w:r w:rsidR="00934D5E" w:rsidRPr="00B65F7F">
        <w:t xml:space="preserve"> Commissioned services data findings</w:t>
      </w:r>
      <w:r w:rsidRPr="00B65F7F">
        <w:fldChar w:fldCharType="end"/>
      </w:r>
      <w:r w:rsidRPr="00B65F7F">
        <w:t xml:space="preserve">. </w:t>
      </w:r>
    </w:p>
    <w:p w14:paraId="1D7F648B" w14:textId="77777777" w:rsidR="00F94F86" w:rsidRPr="00B65F7F" w:rsidRDefault="00F94F86" w:rsidP="00FA3766">
      <w:pPr>
        <w:pStyle w:val="BodyText"/>
      </w:pPr>
      <w:r w:rsidRPr="00B65F7F">
        <w:t>The insights are divided into 4 sections, aligned to the broad funding arrangement activities:</w:t>
      </w:r>
      <w:r w:rsidRPr="00B65F7F">
        <w:rPr>
          <w:b/>
          <w:bCs/>
        </w:rPr>
        <w:t xml:space="preserve"> </w:t>
      </w:r>
      <w:r w:rsidRPr="00B65F7F">
        <w:t>understanding community needs</w:t>
      </w:r>
      <w:r w:rsidR="005A7833">
        <w:t xml:space="preserve"> and priorities</w:t>
      </w:r>
      <w:r w:rsidRPr="00B65F7F">
        <w:t>, meeting community needs</w:t>
      </w:r>
      <w:r w:rsidR="005A7833">
        <w:t xml:space="preserve"> and priorities</w:t>
      </w:r>
      <w:r w:rsidRPr="00B65F7F">
        <w:t>, monitoring and evaluation, and service sector strengthening.</w:t>
      </w:r>
    </w:p>
    <w:p w14:paraId="3B40DA06" w14:textId="77777777" w:rsidR="00F94F86" w:rsidRDefault="00F94F86" w:rsidP="00FA3766">
      <w:pPr>
        <w:pStyle w:val="BodyText"/>
      </w:pPr>
      <w:r w:rsidRPr="00B65F7F">
        <w:t>Throughout these insights, some topics that are technically out</w:t>
      </w:r>
      <w:r w:rsidR="00944FDA">
        <w:t xml:space="preserve"> </w:t>
      </w:r>
      <w:r w:rsidRPr="00B65F7F">
        <w:t>of</w:t>
      </w:r>
      <w:r w:rsidR="00944FDA">
        <w:t xml:space="preserve"> </w:t>
      </w:r>
      <w:r w:rsidRPr="00B65F7F">
        <w:t xml:space="preserve">scope of the </w:t>
      </w:r>
      <w:r w:rsidR="00944FDA">
        <w:t>R</w:t>
      </w:r>
      <w:r w:rsidRPr="00B65F7F">
        <w:t>eview have been included within the insights. This approach was taken as they were deemed integral to the context of the findings, insights and future-state recommendations.</w:t>
      </w:r>
    </w:p>
    <w:p w14:paraId="41F8F47E" w14:textId="25DC9071" w:rsidR="00F94F86" w:rsidRPr="00B65F7F" w:rsidRDefault="00944FDA" w:rsidP="00A237F8">
      <w:pPr>
        <w:pStyle w:val="CaptionBox"/>
        <w:rPr>
          <w:rFonts w:ascii="Calibri" w:eastAsia="Roboto" w:hAnsi="Calibri" w:cs="Calibri"/>
          <w:szCs w:val="22"/>
          <w:highlight w:val="yellow"/>
        </w:rPr>
      </w:pPr>
      <w:bookmarkStart w:id="273" w:name="_Toc145617794"/>
      <w:bookmarkStart w:id="274" w:name="_Toc156932068"/>
      <w:r>
        <w:t>Box A4.</w:t>
      </w:r>
      <w:r>
        <w:fldChar w:fldCharType="begin"/>
      </w:r>
      <w:r>
        <w:instrText xml:space="preserve"> SEQ Box_App4 \* ARABIC </w:instrText>
      </w:r>
      <w:r>
        <w:fldChar w:fldCharType="separate"/>
      </w:r>
      <w:r w:rsidR="00934D5E">
        <w:rPr>
          <w:noProof/>
        </w:rPr>
        <w:t>7</w:t>
      </w:r>
      <w:r>
        <w:fldChar w:fldCharType="end"/>
      </w:r>
      <w:r w:rsidR="00F94F86" w:rsidRPr="00B65F7F">
        <w:t>: An integrated approach to documenting the findings</w:t>
      </w:r>
      <w:bookmarkEnd w:id="273"/>
      <w:bookmarkEnd w:id="274"/>
    </w:p>
    <w:tbl>
      <w:tblPr>
        <w:tblStyle w:val="NintiBox"/>
        <w:tblW w:w="9634" w:type="dxa"/>
        <w:tblLook w:val="04A0" w:firstRow="1" w:lastRow="0" w:firstColumn="1" w:lastColumn="0" w:noHBand="0" w:noVBand="1"/>
      </w:tblPr>
      <w:tblGrid>
        <w:gridCol w:w="9634"/>
      </w:tblGrid>
      <w:tr w:rsidR="00F94F86" w:rsidRPr="00B65F7F" w14:paraId="4EC6EA31" w14:textId="77777777" w:rsidTr="006F6DD1">
        <w:tc>
          <w:tcPr>
            <w:tcW w:w="9634" w:type="dxa"/>
          </w:tcPr>
          <w:p w14:paraId="06C85739" w14:textId="77777777" w:rsidR="00F94F86" w:rsidRPr="00B65F7F" w:rsidRDefault="00F94F86" w:rsidP="00FA3766">
            <w:pPr>
              <w:pStyle w:val="BodyText"/>
            </w:pPr>
            <w:r w:rsidRPr="00B65F7F">
              <w:t xml:space="preserve">The insights identified throughout the </w:t>
            </w:r>
            <w:r w:rsidR="00944FDA">
              <w:t>R</w:t>
            </w:r>
            <w:r w:rsidRPr="00B65F7F">
              <w:t xml:space="preserve">eview indicate that the challenges and opportunities relating to the Relevant Health Programs are very similar. For this reason (and unless otherwise stated), the findings set out in this section are presented in an integrated manner, covering both the mental health and suicide prevention services and the ITC program. </w:t>
            </w:r>
          </w:p>
        </w:tc>
      </w:tr>
    </w:tbl>
    <w:p w14:paraId="40133464" w14:textId="30FF4BCC" w:rsidR="00F94F86" w:rsidRPr="00B65F7F" w:rsidRDefault="00870BFC" w:rsidP="00FA3766">
      <w:pPr>
        <w:pStyle w:val="CaptionBox"/>
        <w:rPr>
          <w:rFonts w:ascii="Calibri" w:eastAsia="Roboto" w:hAnsi="Calibri" w:cs="Calibri"/>
          <w:szCs w:val="22"/>
          <w:highlight w:val="yellow"/>
        </w:rPr>
      </w:pPr>
      <w:bookmarkStart w:id="275" w:name="_Toc145617795"/>
      <w:bookmarkStart w:id="276" w:name="_Toc156932069"/>
      <w:r>
        <w:lastRenderedPageBreak/>
        <w:t>Box A4.</w:t>
      </w:r>
      <w:r>
        <w:fldChar w:fldCharType="begin"/>
      </w:r>
      <w:r>
        <w:instrText xml:space="preserve"> SEQ Box_App4 \* ARABIC </w:instrText>
      </w:r>
      <w:r>
        <w:fldChar w:fldCharType="separate"/>
      </w:r>
      <w:r w:rsidR="00934D5E">
        <w:rPr>
          <w:noProof/>
        </w:rPr>
        <w:t>8</w:t>
      </w:r>
      <w:r>
        <w:fldChar w:fldCharType="end"/>
      </w:r>
      <w:r w:rsidR="00F94F86" w:rsidRPr="00B65F7F">
        <w:t>: Best practice examples integrated into the findings</w:t>
      </w:r>
      <w:bookmarkEnd w:id="275"/>
      <w:bookmarkEnd w:id="276"/>
    </w:p>
    <w:tbl>
      <w:tblPr>
        <w:tblStyle w:val="NintiBox"/>
        <w:tblW w:w="9634" w:type="dxa"/>
        <w:tblLook w:val="04A0" w:firstRow="1" w:lastRow="0" w:firstColumn="1" w:lastColumn="0" w:noHBand="0" w:noVBand="1"/>
      </w:tblPr>
      <w:tblGrid>
        <w:gridCol w:w="9634"/>
      </w:tblGrid>
      <w:tr w:rsidR="00F94F86" w:rsidRPr="00B65F7F" w14:paraId="5C244F8B" w14:textId="77777777" w:rsidTr="006F6DD1">
        <w:tc>
          <w:tcPr>
            <w:tcW w:w="9634" w:type="dxa"/>
          </w:tcPr>
          <w:p w14:paraId="3BCDAAF5" w14:textId="77777777" w:rsidR="00F94F86" w:rsidRPr="00B65F7F" w:rsidRDefault="00F94F86" w:rsidP="00FA3766">
            <w:pPr>
              <w:pStyle w:val="BodyText"/>
              <w:keepNext/>
            </w:pPr>
            <w:r w:rsidRPr="00B65F7F">
              <w:t xml:space="preserve">Throughout many of the findings set out below, best practice examples have been integrated. These examples – which were identified during the consultations with community, service providers, </w:t>
            </w:r>
            <w:r w:rsidRPr="006B7A29">
              <w:rPr>
                <w:b/>
                <w:bCs/>
              </w:rPr>
              <w:t xml:space="preserve">Aboriginal and/or Torres Strait Islander community-controlled peak organisations </w:t>
            </w:r>
            <w:r w:rsidRPr="000F6C52">
              <w:rPr>
                <w:shd w:val="clear" w:color="auto" w:fill="F2F2F2" w:themeFill="accent6" w:themeFillShade="F2"/>
              </w:rPr>
              <w:t>and</w:t>
            </w:r>
            <w:r w:rsidRPr="00B65F7F">
              <w:t xml:space="preserve"> PHN stakeholders – provide brief examples of how some of the challenges identified in the findings are being addressed by existing programs, processes and structures. These examples also demonstrate that while many challenges were identified by the stakeholders engaged, many positive comments were also </w:t>
            </w:r>
            <w:r w:rsidR="002B46E5" w:rsidRPr="00B65F7F">
              <w:t>made,</w:t>
            </w:r>
            <w:r w:rsidRPr="00B65F7F">
              <w:t xml:space="preserve"> and good practices identified. </w:t>
            </w:r>
          </w:p>
        </w:tc>
      </w:tr>
    </w:tbl>
    <w:p w14:paraId="780C7FD4" w14:textId="77777777" w:rsidR="00F94F86" w:rsidRPr="00B65F7F" w:rsidRDefault="00F94F86" w:rsidP="00E2348C">
      <w:pPr>
        <w:pStyle w:val="HeadingLevel3NoNumber"/>
      </w:pPr>
      <w:bookmarkStart w:id="277" w:name="_Toc145955250"/>
      <w:r w:rsidRPr="00B65F7F">
        <w:t>Understanding community needs</w:t>
      </w:r>
      <w:bookmarkEnd w:id="277"/>
      <w:r w:rsidR="005A7833">
        <w:t xml:space="preserve"> and priorities</w:t>
      </w:r>
    </w:p>
    <w:p w14:paraId="1290DD48" w14:textId="77777777" w:rsidR="00F94F86" w:rsidRPr="00B65F7F" w:rsidRDefault="00F94F86" w:rsidP="00E2348C">
      <w:pPr>
        <w:pStyle w:val="HeadingLevel4NoNumber"/>
      </w:pPr>
      <w:r w:rsidRPr="00B65F7F">
        <w:t xml:space="preserve">Insight 1: The approach to determining and understanding needs within </w:t>
      </w:r>
      <w:r>
        <w:t>Aboriginal and/or Torres Strait Islander</w:t>
      </w:r>
      <w:r w:rsidRPr="00B65F7F">
        <w:t xml:space="preserve"> communities varies,</w:t>
      </w:r>
      <w:r w:rsidR="00661D19">
        <w:t xml:space="preserve"> but needs to include </w:t>
      </w:r>
      <w:r w:rsidRPr="00B65F7F">
        <w:t xml:space="preserve">yarning directly with community </w:t>
      </w:r>
    </w:p>
    <w:p w14:paraId="5A85D0F9" w14:textId="77777777" w:rsidR="00F94F86" w:rsidRDefault="00F94F86" w:rsidP="00FA3766">
      <w:pPr>
        <w:pStyle w:val="BodyText"/>
      </w:pPr>
      <w:r w:rsidRPr="00B65F7F">
        <w:t>For the Relevant Health Programs, needs assessments are used to determine gaps in regional service delivery and health needs. These are typically conducted by PHNs to inform the services that PHNs procure. All stakeholders, inclusive of PHNs, hold diverse views on the benefit of PHNs undertaking needs assessments, and the impact of this process on the principles of self-determination.</w:t>
      </w:r>
    </w:p>
    <w:p w14:paraId="5AAEB4AD" w14:textId="77777777" w:rsidR="00F94F86" w:rsidRPr="002C34E3" w:rsidRDefault="00F94F86" w:rsidP="00F76AFA">
      <w:pPr>
        <w:pStyle w:val="Quote"/>
      </w:pPr>
      <w:r>
        <w:t>‘</w:t>
      </w:r>
      <w:r w:rsidRPr="002C34E3">
        <w:t>We just want to be heard in a respectable way …</w:t>
      </w:r>
      <w:r w:rsidR="00224448">
        <w:t xml:space="preserve"> </w:t>
      </w:r>
      <w:r w:rsidRPr="002C34E3">
        <w:t>I want to do it face</w:t>
      </w:r>
      <w:r w:rsidR="00224448">
        <w:t xml:space="preserve"> </w:t>
      </w:r>
      <w:r w:rsidRPr="002C34E3">
        <w:t>to</w:t>
      </w:r>
      <w:r w:rsidR="00224448">
        <w:t xml:space="preserve"> </w:t>
      </w:r>
      <w:r w:rsidRPr="002C34E3">
        <w:t>face</w:t>
      </w:r>
      <w:r w:rsidR="00224448">
        <w:t xml:space="preserve"> </w:t>
      </w:r>
      <w:r w:rsidRPr="002C34E3">
        <w:t>… I want to laugh</w:t>
      </w:r>
      <w:r w:rsidR="00224448">
        <w:t>.</w:t>
      </w:r>
      <w:r>
        <w:t>’</w:t>
      </w:r>
      <w:r w:rsidRPr="002C34E3">
        <w:t xml:space="preserve"> (</w:t>
      </w:r>
      <w:r w:rsidR="00224448">
        <w:t>C</w:t>
      </w:r>
      <w:r w:rsidRPr="002C34E3">
        <w:t>ommunity member)</w:t>
      </w:r>
    </w:p>
    <w:p w14:paraId="7B5630FA" w14:textId="77777777" w:rsidR="00F94F86" w:rsidRPr="00B65F7F" w:rsidRDefault="00F94F86" w:rsidP="00BC4A43">
      <w:pPr>
        <w:pStyle w:val="BodyText"/>
      </w:pPr>
      <w:r w:rsidRPr="00B65F7F">
        <w:t xml:space="preserve">In some instances, PHNs have utilised their resources, funding and localised expertise to conduct needs assessments alongside, and in strong collaboration with, </w:t>
      </w:r>
      <w:r>
        <w:t>Aboriginal and/or Torres Strait Islander</w:t>
      </w:r>
      <w:r w:rsidRPr="00B65F7F">
        <w:t xml:space="preserve"> communities. However, in other instances, the needs assessment process is opaque or inaccurate, or poor quantitative data is used, or the assessment is conducted without adequate engagement or communication with the local community. This may involve little or no input from </w:t>
      </w:r>
      <w:r>
        <w:t>Aboriginal and/or Torres Strait Islander</w:t>
      </w:r>
      <w:r w:rsidRPr="00B65F7F">
        <w:t xml:space="preserve"> peoples to determine their critical needs.</w:t>
      </w:r>
    </w:p>
    <w:p w14:paraId="34A1E8BF" w14:textId="77777777" w:rsidR="00F94F86" w:rsidRPr="00B65F7F" w:rsidRDefault="00F94F86" w:rsidP="00BC4A43">
      <w:pPr>
        <w:pStyle w:val="BodyText"/>
      </w:pPr>
      <w:r w:rsidRPr="00B65F7F">
        <w:t xml:space="preserve">There are varied views on the impact and influence of needs assessments, where some stakeholders felt that the process did little to inform how and where PHNs should commission services. It was noted by others, particularly PHNs, that despite the intended purpose of needs assessments, they were often hamstrung by funding rules and guidelines determined by </w:t>
      </w:r>
      <w:r w:rsidR="00224448">
        <w:t>DoHAC</w:t>
      </w:r>
      <w:r w:rsidRPr="00B65F7F">
        <w:t>.</w:t>
      </w:r>
    </w:p>
    <w:p w14:paraId="426ABFE1" w14:textId="4EC3DB71" w:rsidR="00F94F86" w:rsidRPr="00B65F7F" w:rsidRDefault="00F94F86" w:rsidP="00BC4A43">
      <w:pPr>
        <w:pStyle w:val="BodyText"/>
      </w:pPr>
      <w:r w:rsidRPr="00B65F7F">
        <w:t xml:space="preserve">Most stakeholders agreed that </w:t>
      </w:r>
      <w:r>
        <w:t>Aboriginal and/or Torres Strait Islander</w:t>
      </w:r>
      <w:r w:rsidRPr="00B65F7F">
        <w:t xml:space="preserve"> communities are best placed to determine their needs</w:t>
      </w:r>
      <w:r w:rsidR="00661D19">
        <w:t xml:space="preserve"> and priorities</w:t>
      </w:r>
      <w:r w:rsidRPr="00B65F7F">
        <w:t xml:space="preserve">, and that population-wide needs assessments do not reflect the true gaps in </w:t>
      </w:r>
      <w:r>
        <w:t>Aboriginal and/or Torres Strait Islander</w:t>
      </w:r>
      <w:r w:rsidRPr="00B65F7F">
        <w:t xml:space="preserve"> communities. Communities (that participated in the </w:t>
      </w:r>
      <w:r w:rsidR="002B031B">
        <w:t>R</w:t>
      </w:r>
      <w:r w:rsidRPr="00B65F7F">
        <w:t>eview) unanimously agree the best way for funders and government agencies to understand their needs and wants is to have face-to-face yarns with their community (including with Elders and relevant frontline staff), to gain a true understanding of needs.</w:t>
      </w:r>
    </w:p>
    <w:p w14:paraId="144FE213" w14:textId="77777777" w:rsidR="00F94F86" w:rsidRDefault="00F94F86" w:rsidP="00BC4A43">
      <w:pPr>
        <w:pStyle w:val="BodyText"/>
      </w:pPr>
      <w:r w:rsidRPr="00B65F7F">
        <w:t>Despite the desire for face-to-face yarns, certain communities (notably smaller and/or remote) experience consultation fatigue when participating in repetitive processes and responding to similar questions from various funders or evaluators of health programs. Frustrations were particularly strong when communities have had a poor experience with hearing (‘playing back’) what sharing their feedback has resulted in.</w:t>
      </w:r>
    </w:p>
    <w:p w14:paraId="57A0A361" w14:textId="77777777" w:rsidR="00F94F86" w:rsidRDefault="00F94F86" w:rsidP="00F76AFA">
      <w:pPr>
        <w:pStyle w:val="Quote"/>
      </w:pPr>
      <w:r>
        <w:t>‘We need to focus on self-determination of the community</w:t>
      </w:r>
      <w:r w:rsidR="00224448">
        <w:t xml:space="preserve"> </w:t>
      </w:r>
      <w:r>
        <w:t>...</w:t>
      </w:r>
      <w:r w:rsidR="00224448">
        <w:t xml:space="preserve"> </w:t>
      </w:r>
      <w:r>
        <w:t>ensuring funding and services are focused on meeting the health needs of the community and delivering positive health outcomes</w:t>
      </w:r>
      <w:r w:rsidR="00224448">
        <w:t>.</w:t>
      </w:r>
      <w:r>
        <w:t>’ (NACCHO affiliate)</w:t>
      </w:r>
    </w:p>
    <w:p w14:paraId="48A8AE15" w14:textId="77777777" w:rsidR="00F94F86" w:rsidRPr="00B65F7F" w:rsidRDefault="00F94F86" w:rsidP="00E2348C">
      <w:pPr>
        <w:pStyle w:val="HeadingLevel5NoNumber"/>
      </w:pPr>
      <w:r w:rsidRPr="00B65F7F">
        <w:lastRenderedPageBreak/>
        <w:t>Stakeholder perspectives</w:t>
      </w:r>
    </w:p>
    <w:p w14:paraId="0A2B4069" w14:textId="77777777" w:rsidR="00F94F86" w:rsidRPr="00BC4A43" w:rsidRDefault="00F94F86" w:rsidP="00BC4A43">
      <w:pPr>
        <w:pStyle w:val="BodyText"/>
        <w:keepNext/>
        <w:rPr>
          <w:b/>
          <w:bCs/>
        </w:rPr>
      </w:pPr>
      <w:r w:rsidRPr="00BC4A43">
        <w:rPr>
          <w:b/>
          <w:bCs/>
        </w:rPr>
        <w:t>Community</w:t>
      </w:r>
    </w:p>
    <w:p w14:paraId="3852BB63" w14:textId="77777777" w:rsidR="00F94F86" w:rsidRDefault="00F94F86" w:rsidP="00BC4A43">
      <w:pPr>
        <w:pStyle w:val="ListBullet2"/>
      </w:pPr>
      <w:r w:rsidRPr="00B65F7F">
        <w:t xml:space="preserve">There was a sense among certain community members (notably Elders in smaller communities) that they </w:t>
      </w:r>
      <w:r w:rsidR="00661D19">
        <w:t>were</w:t>
      </w:r>
      <w:r w:rsidRPr="00B65F7F">
        <w:t xml:space="preserve"> tired of participating in yarns that do</w:t>
      </w:r>
      <w:r>
        <w:t xml:space="preserve"> not result</w:t>
      </w:r>
      <w:r w:rsidRPr="00BB05C5">
        <w:t xml:space="preserve"> in system or service changes</w:t>
      </w:r>
      <w:r w:rsidRPr="00B65F7F">
        <w:t>.</w:t>
      </w:r>
    </w:p>
    <w:p w14:paraId="58EB8421" w14:textId="77777777" w:rsidR="00F94F86" w:rsidRPr="00BC4A43" w:rsidRDefault="00F94F86" w:rsidP="00BC4A43">
      <w:pPr>
        <w:pStyle w:val="BodyText1stparaafterlist"/>
        <w:rPr>
          <w:b/>
          <w:bCs/>
        </w:rPr>
      </w:pPr>
      <w:r w:rsidRPr="00BC4A43">
        <w:rPr>
          <w:b/>
          <w:bCs/>
        </w:rPr>
        <w:t>Service providers</w:t>
      </w:r>
    </w:p>
    <w:p w14:paraId="5E38C48C" w14:textId="77777777" w:rsidR="00F94F86" w:rsidRPr="00B65F7F" w:rsidRDefault="00F94F86" w:rsidP="00BC4A43">
      <w:pPr>
        <w:pStyle w:val="ListBullet2"/>
      </w:pPr>
      <w:r w:rsidRPr="00B65F7F">
        <w:t xml:space="preserve">When conducted poorly, needs assessments are completed without engaging </w:t>
      </w:r>
      <w:r>
        <w:t>Aboriginal and/or Torres Strait Islander</w:t>
      </w:r>
      <w:r w:rsidRPr="00B65F7F">
        <w:t xml:space="preserve"> communities and do not reflect true </w:t>
      </w:r>
      <w:r>
        <w:t>community</w:t>
      </w:r>
      <w:r w:rsidRPr="00B65F7F">
        <w:t xml:space="preserve"> needs</w:t>
      </w:r>
      <w:r w:rsidR="005A7833">
        <w:t xml:space="preserve"> and priorities</w:t>
      </w:r>
      <w:r w:rsidRPr="00B65F7F">
        <w:t>. </w:t>
      </w:r>
    </w:p>
    <w:p w14:paraId="42D9118A" w14:textId="77777777" w:rsidR="00F94F86" w:rsidRPr="00B65F7F" w:rsidRDefault="00F94F86" w:rsidP="00BC4A43">
      <w:pPr>
        <w:pStyle w:val="ListBullet2"/>
      </w:pPr>
      <w:r w:rsidRPr="00B65F7F">
        <w:t xml:space="preserve">When conducted in alignment with principles of self-determination and community empowerment, needs assessments provide space for </w:t>
      </w:r>
      <w:r>
        <w:t>Aboriginal and/or Torres Strait Islander</w:t>
      </w:r>
      <w:r w:rsidRPr="00B65F7F">
        <w:t xml:space="preserve"> communities to have autonomy over the process. This may involve co-designing with local communities to understand critical needs from the perspective of specific geographic groups. </w:t>
      </w:r>
    </w:p>
    <w:p w14:paraId="1C82BD71" w14:textId="77777777" w:rsidR="00F94F86" w:rsidRPr="00B65F7F" w:rsidRDefault="00F94F86" w:rsidP="00BC4A43">
      <w:pPr>
        <w:pStyle w:val="ListBullet2"/>
      </w:pPr>
      <w:r w:rsidRPr="00B65F7F">
        <w:t xml:space="preserve">Many service providers consider national datasets and minimum datasets (such as the mental health minimum dataset) to be culturally unsafe and not able to reflect the true needs of community. </w:t>
      </w:r>
    </w:p>
    <w:p w14:paraId="5EAA5783" w14:textId="77777777" w:rsidR="00F94F86" w:rsidRDefault="00F94F86" w:rsidP="00BC4A43">
      <w:pPr>
        <w:pStyle w:val="ListBullet2"/>
      </w:pPr>
      <w:r w:rsidRPr="00B65F7F">
        <w:t>Qualitative input from clients and community (through yarning, etc.) were considered by many to be a better way to judge and determine needs.</w:t>
      </w:r>
    </w:p>
    <w:p w14:paraId="47EC3706" w14:textId="77777777" w:rsidR="00F94F86" w:rsidRDefault="00F94F86" w:rsidP="00F76AFA">
      <w:pPr>
        <w:pStyle w:val="Quote"/>
      </w:pPr>
      <w:r>
        <w:t>‘There</w:t>
      </w:r>
      <w:r w:rsidR="006D513D">
        <w:t>’</w:t>
      </w:r>
      <w:r>
        <w:t>s no co-design in anything. They might like to use the word, but no one has come to us and asked what the needs are</w:t>
      </w:r>
      <w:r w:rsidR="00224448">
        <w:t>.</w:t>
      </w:r>
      <w:r>
        <w:t>’ (ACCHO)</w:t>
      </w:r>
    </w:p>
    <w:p w14:paraId="4C07B360" w14:textId="77777777" w:rsidR="00F94F86" w:rsidRPr="00BC4A43" w:rsidRDefault="00F94F86" w:rsidP="00BC4A43">
      <w:pPr>
        <w:pStyle w:val="BodyText1stparaafterlist"/>
        <w:rPr>
          <w:b/>
          <w:bCs/>
        </w:rPr>
      </w:pPr>
      <w:r w:rsidRPr="00BC4A43">
        <w:rPr>
          <w:b/>
          <w:bCs/>
        </w:rPr>
        <w:t>PHNs</w:t>
      </w:r>
    </w:p>
    <w:p w14:paraId="5E794DAE" w14:textId="77777777" w:rsidR="00F94F86" w:rsidRPr="00B65F7F" w:rsidRDefault="00F94F86" w:rsidP="00BC4A43">
      <w:pPr>
        <w:pStyle w:val="ListBullet2"/>
      </w:pPr>
      <w:r w:rsidRPr="00B65F7F">
        <w:t xml:space="preserve">Most PHNs noted that population-wide needs assessments are not fit for </w:t>
      </w:r>
      <w:r w:rsidR="002B46E5" w:rsidRPr="00B65F7F">
        <w:t>purpose</w:t>
      </w:r>
      <w:r w:rsidRPr="00B65F7F">
        <w:t xml:space="preserve"> and, in recent years, some have attempted to integrate new initiatives to conduct specific assessments in collaboration with </w:t>
      </w:r>
      <w:r>
        <w:t>Aboriginal and/or Torres Strait Islander</w:t>
      </w:r>
      <w:r w:rsidRPr="00B65F7F">
        <w:t xml:space="preserve"> communities (or advisory committees) made up of </w:t>
      </w:r>
      <w:r>
        <w:t>Aboriginal and/or Torres Strait Islander</w:t>
      </w:r>
      <w:r w:rsidRPr="00B65F7F">
        <w:t xml:space="preserve"> representatives local to the community. </w:t>
      </w:r>
    </w:p>
    <w:p w14:paraId="6EA5E3F3" w14:textId="77777777" w:rsidR="00F94F86" w:rsidRPr="004A6BE7" w:rsidRDefault="00F94F86" w:rsidP="00BC4A43">
      <w:pPr>
        <w:pStyle w:val="ListBullet2"/>
        <w:rPr>
          <w:rFonts w:cstheme="minorHAnsi"/>
          <w:b/>
        </w:rPr>
      </w:pPr>
      <w:r w:rsidRPr="00B65F7F">
        <w:t>Some PHNs continue to see benefits in leading needs assessments due to the dedicated resources they can put towards them and the broader impact they perceive them to have.</w:t>
      </w:r>
    </w:p>
    <w:p w14:paraId="6D26D603" w14:textId="77777777" w:rsidR="00F94F86" w:rsidRPr="00BC4A43" w:rsidRDefault="00F94F86" w:rsidP="00BC4A43">
      <w:pPr>
        <w:pStyle w:val="BodyText1stparaafterlist"/>
        <w:rPr>
          <w:b/>
          <w:bCs/>
        </w:rPr>
      </w:pPr>
      <w:r w:rsidRPr="00BC4A43">
        <w:rPr>
          <w:b/>
          <w:bCs/>
        </w:rPr>
        <w:t>Aboriginal and/or Torres Strait Islander community-controlled peak organisations</w:t>
      </w:r>
    </w:p>
    <w:p w14:paraId="05ED3125" w14:textId="77777777" w:rsidR="00F94F86" w:rsidRPr="00B65F7F" w:rsidRDefault="00F94F86" w:rsidP="00BC4A43">
      <w:pPr>
        <w:pStyle w:val="ListBullet2"/>
      </w:pPr>
      <w:r w:rsidRPr="00B65F7F">
        <w:t xml:space="preserve">NACCHO and other affiliates generally felt that needs assessments undertaken by PHNs did not accurately or effectively reflect the local </w:t>
      </w:r>
      <w:r w:rsidR="00661D19">
        <w:t>community</w:t>
      </w:r>
      <w:r w:rsidR="006D513D">
        <w:t>’</w:t>
      </w:r>
      <w:r w:rsidR="00661D19">
        <w:t>s</w:t>
      </w:r>
      <w:r w:rsidRPr="00B65F7F">
        <w:t xml:space="preserve"> needs</w:t>
      </w:r>
      <w:r w:rsidR="005A7833">
        <w:t xml:space="preserve"> and priorities</w:t>
      </w:r>
      <w:r w:rsidRPr="00B65F7F">
        <w:t xml:space="preserve"> due to the </w:t>
      </w:r>
      <w:r>
        <w:t>in</w:t>
      </w:r>
      <w:r w:rsidRPr="00B65F7F">
        <w:t xml:space="preserve">appropriateness of engagement. </w:t>
      </w:r>
    </w:p>
    <w:p w14:paraId="77831C40" w14:textId="77777777" w:rsidR="00F94F86" w:rsidRPr="00B65F7F" w:rsidRDefault="00F94F86" w:rsidP="00BC4A43">
      <w:pPr>
        <w:pStyle w:val="ListBullet2"/>
      </w:pPr>
      <w:r w:rsidRPr="00B65F7F">
        <w:t>The same stakeholders also noted that the impact of a needs assessment in terms of how it influences funding (based on needs) was very limited and</w:t>
      </w:r>
      <w:r w:rsidR="00661D19">
        <w:t>,</w:t>
      </w:r>
      <w:r w:rsidRPr="00B65F7F">
        <w:t xml:space="preserve"> therefore could be considered a redundant process. </w:t>
      </w:r>
    </w:p>
    <w:p w14:paraId="7BDFABD9" w14:textId="77777777" w:rsidR="00F94F86" w:rsidRDefault="00F94F86" w:rsidP="00BC4A43">
      <w:pPr>
        <w:pStyle w:val="ListBullet2"/>
      </w:pPr>
      <w:r w:rsidRPr="00B65F7F">
        <w:t xml:space="preserve">The closer to the ground (‘grassroots’) any consultation is (with community), the better. </w:t>
      </w:r>
      <w:bookmarkStart w:id="278" w:name="_3f9h3xxirdt" w:colFirst="0" w:colLast="0"/>
      <w:bookmarkEnd w:id="278"/>
    </w:p>
    <w:p w14:paraId="4ED0938D" w14:textId="77777777" w:rsidR="00F94F86" w:rsidRDefault="00F94F86" w:rsidP="00F76AFA">
      <w:pPr>
        <w:pStyle w:val="Quote"/>
      </w:pPr>
      <w:r>
        <w:t>‘The Commonwealth needs to understand that these things take time… You can</w:t>
      </w:r>
      <w:r w:rsidR="006D513D">
        <w:t>’</w:t>
      </w:r>
      <w:r>
        <w:t>t co-design time</w:t>
      </w:r>
      <w:r w:rsidR="00224448">
        <w:t>.</w:t>
      </w:r>
      <w:r>
        <w:t>’ (Peak body)</w:t>
      </w:r>
    </w:p>
    <w:p w14:paraId="32B95B78" w14:textId="77777777" w:rsidR="00F94F86" w:rsidRPr="00B65F7F" w:rsidRDefault="00F94F86" w:rsidP="00260A06">
      <w:pPr>
        <w:pStyle w:val="HeadingLevel5NoNumber"/>
      </w:pPr>
      <w:r w:rsidRPr="00B65F7F">
        <w:t>Best practice examples identified</w:t>
      </w:r>
    </w:p>
    <w:p w14:paraId="0BF6DCDE" w14:textId="77777777" w:rsidR="00F94F86" w:rsidRDefault="00F94F86" w:rsidP="00BC4A43">
      <w:pPr>
        <w:pStyle w:val="BodyText"/>
      </w:pPr>
      <w:r w:rsidRPr="00B65F7F">
        <w:t xml:space="preserve">Nukal Murra (a partnership between Western Queensland PHN and several </w:t>
      </w:r>
      <w:r>
        <w:t>Aboriginal and/or Torres Strait Islander</w:t>
      </w:r>
      <w:r w:rsidRPr="00B65F7F">
        <w:t xml:space="preserve"> Community Controlled Health Services </w:t>
      </w:r>
      <w:r w:rsidR="00224448">
        <w:t>[</w:t>
      </w:r>
      <w:r w:rsidRPr="00B65F7F">
        <w:t>AICCHSs</w:t>
      </w:r>
      <w:r w:rsidR="00224448">
        <w:t>]</w:t>
      </w:r>
      <w:r w:rsidRPr="00B65F7F">
        <w:t xml:space="preserve"> in the Western Queensland region), has created a process for conducting needs assessments that is collaborative and useful to the community. In this instance, the community leverages the resources of the PHN to conduct assessments, as opposed to having reporting delivered to them without meaningful consultation. Alongside needs assessments, co-design has been conducted as part of other formal decision-making, including regional commissioning.</w:t>
      </w:r>
    </w:p>
    <w:p w14:paraId="1883F510" w14:textId="77777777" w:rsidR="00F94F86" w:rsidRDefault="00F94F86" w:rsidP="00F76AFA">
      <w:pPr>
        <w:pStyle w:val="Quote"/>
      </w:pPr>
      <w:r>
        <w:t>‘One little consumer group isn</w:t>
      </w:r>
      <w:r w:rsidR="006D513D">
        <w:t>’</w:t>
      </w:r>
      <w:r>
        <w:t>t representative of community</w:t>
      </w:r>
      <w:r w:rsidR="009B5E6F">
        <w:t>.</w:t>
      </w:r>
      <w:r>
        <w:t>’ (NACCHO affiliate)</w:t>
      </w:r>
    </w:p>
    <w:p w14:paraId="195D1412" w14:textId="77777777" w:rsidR="00F94F86" w:rsidRDefault="00F94F86" w:rsidP="00BC4A43">
      <w:pPr>
        <w:pStyle w:val="BodyText"/>
      </w:pPr>
      <w:r w:rsidRPr="00B65F7F">
        <w:lastRenderedPageBreak/>
        <w:t xml:space="preserve">Murrumbidgee PHN currently undertakes consultations and ‘yarns on the couch’ as part of its needs assessment to identify barriers to accessing care in the region. This responsibility of the needs assessment remains with the PHN but allows for a more thorough method of including the voice of </w:t>
      </w:r>
      <w:r>
        <w:t>Aboriginal and/or Torres Strait Islander</w:t>
      </w:r>
      <w:r w:rsidRPr="00B65F7F">
        <w:t xml:space="preserve"> communities in the commissioning process.</w:t>
      </w:r>
    </w:p>
    <w:p w14:paraId="22D7C54A" w14:textId="77777777" w:rsidR="00F94F86" w:rsidRDefault="00F94F86" w:rsidP="00F76AFA">
      <w:pPr>
        <w:pStyle w:val="Quote"/>
      </w:pPr>
      <w:r>
        <w:t xml:space="preserve">‘There needs to be a better way to share </w:t>
      </w:r>
      <w:r w:rsidR="002B46E5">
        <w:t>information,</w:t>
      </w:r>
      <w:r>
        <w:t xml:space="preserve"> so you don’t have to tell the same story over and over</w:t>
      </w:r>
      <w:r w:rsidR="009B5E6F">
        <w:t>.</w:t>
      </w:r>
      <w:r>
        <w:t>’ (</w:t>
      </w:r>
      <w:r w:rsidR="009B5E6F">
        <w:t>C</w:t>
      </w:r>
      <w:r>
        <w:t>ommunity member)</w:t>
      </w:r>
    </w:p>
    <w:p w14:paraId="4AB87E0D" w14:textId="77777777" w:rsidR="00F94F86" w:rsidRPr="0098562E" w:rsidRDefault="00F94F86" w:rsidP="00260A06">
      <w:pPr>
        <w:pStyle w:val="HeadingLevel4NoNumber"/>
      </w:pPr>
      <w:r w:rsidRPr="0098562E">
        <w:t xml:space="preserve">Insight 2: Aboriginal and/or Torres Strait Islander </w:t>
      </w:r>
      <w:r w:rsidR="0085080A" w:rsidRPr="0098562E">
        <w:t>peoples</w:t>
      </w:r>
      <w:r w:rsidR="009B5E6F">
        <w:t>’</w:t>
      </w:r>
      <w:r w:rsidRPr="0098562E">
        <w:t xml:space="preserve"> holistic view of health</w:t>
      </w:r>
      <w:r w:rsidR="0085080A" w:rsidRPr="0098562E">
        <w:t xml:space="preserve"> should determine the way the Relevant Health Programs are funded.</w:t>
      </w:r>
    </w:p>
    <w:p w14:paraId="22C88E38" w14:textId="77777777" w:rsidR="00F94F86" w:rsidRDefault="00F94F86" w:rsidP="00F76AFA">
      <w:pPr>
        <w:pStyle w:val="Quote"/>
      </w:pPr>
      <w:r>
        <w:t>‘If we want to make meaningful impact around SEWB (and mental health), then we need to stop s</w:t>
      </w:r>
      <w:r w:rsidR="002950C0">
        <w:t>ilo</w:t>
      </w:r>
      <w:r w:rsidR="003148E5">
        <w:t>-</w:t>
      </w:r>
      <w:r>
        <w:t xml:space="preserve">ing </w:t>
      </w:r>
      <w:r w:rsidR="003148E5">
        <w:t>t</w:t>
      </w:r>
      <w:r>
        <w:t>he investment and base funding on the SEWB framework</w:t>
      </w:r>
      <w:r w:rsidR="009B5E6F">
        <w:t>.</w:t>
      </w:r>
      <w:r>
        <w:t>’ (NACCHO affiliate)</w:t>
      </w:r>
    </w:p>
    <w:p w14:paraId="0304B77D" w14:textId="77777777" w:rsidR="00F94F86" w:rsidRDefault="00F94F86" w:rsidP="00BC4A43">
      <w:pPr>
        <w:pStyle w:val="BodyText"/>
      </w:pPr>
      <w:r w:rsidRPr="00B65F7F">
        <w:t xml:space="preserve">Feedback from all stakeholders noted that the way governments fund </w:t>
      </w:r>
      <w:r>
        <w:t>Aboriginal and/or Torres Strait Islander</w:t>
      </w:r>
      <w:r w:rsidRPr="00B65F7F">
        <w:t xml:space="preserve"> health and wellbeing services is disparate, segmented and siloed. This approach does not align with best practice, and service providers note that this is evidence of a bureaucracy that ‘does not understand </w:t>
      </w:r>
      <w:r>
        <w:t>Aboriginal and/or Torres Strait Islander</w:t>
      </w:r>
      <w:r w:rsidRPr="00B65F7F">
        <w:t xml:space="preserve"> concepts of holistic health care’.</w:t>
      </w:r>
    </w:p>
    <w:p w14:paraId="66FFF247" w14:textId="77777777" w:rsidR="00F94F86" w:rsidRDefault="00F94F86" w:rsidP="007F26F7">
      <w:pPr>
        <w:pStyle w:val="Quote"/>
      </w:pPr>
      <w:r>
        <w:t xml:space="preserve">‘I’m a doctor, my sister is a nurse, my mum is a </w:t>
      </w:r>
      <w:r w:rsidR="002B46E5">
        <w:t>midwife,</w:t>
      </w:r>
      <w:r>
        <w:t xml:space="preserve"> and we still can</w:t>
      </w:r>
      <w:r w:rsidR="006D513D">
        <w:t>’</w:t>
      </w:r>
      <w:r>
        <w:t>t navigate the fragmented system</w:t>
      </w:r>
      <w:r w:rsidR="009B5E6F">
        <w:t xml:space="preserve"> </w:t>
      </w:r>
      <w:r>
        <w:t>… and they say it’s supposed to be holistic</w:t>
      </w:r>
      <w:r w:rsidR="009B5E6F">
        <w:t>.</w:t>
      </w:r>
      <w:r>
        <w:t>’ (</w:t>
      </w:r>
      <w:r w:rsidR="009B5E6F">
        <w:t>C</w:t>
      </w:r>
      <w:r>
        <w:t>ommunity member)</w:t>
      </w:r>
    </w:p>
    <w:p w14:paraId="03FE6CA9" w14:textId="77777777" w:rsidR="00F94F86" w:rsidRDefault="00F94F86" w:rsidP="00BC4A43">
      <w:pPr>
        <w:pStyle w:val="BodyText"/>
      </w:pPr>
      <w:r w:rsidRPr="00B65F7F">
        <w:t>The Relevant Health Programs – in addition to the many other programs funded by different divisions with Health, different agencies or jurisdictions – are often accompanied by restrictions and burdensome administration.</w:t>
      </w:r>
    </w:p>
    <w:p w14:paraId="529B31DC" w14:textId="77777777" w:rsidR="00F94F86" w:rsidRDefault="00F94F86" w:rsidP="007F26F7">
      <w:pPr>
        <w:pStyle w:val="Quote"/>
      </w:pPr>
      <w:r>
        <w:t>‘</w:t>
      </w:r>
      <w:r w:rsidR="002B46E5">
        <w:t>Self-determination</w:t>
      </w:r>
      <w:r>
        <w:t xml:space="preserve"> should be </w:t>
      </w:r>
      <w:r w:rsidR="009B5E6F">
        <w:t>“H</w:t>
      </w:r>
      <w:r>
        <w:t>ere</w:t>
      </w:r>
      <w:r w:rsidR="006D513D">
        <w:t>’</w:t>
      </w:r>
      <w:r>
        <w:t>s a pool of money</w:t>
      </w:r>
      <w:r w:rsidR="009B5E6F">
        <w:t xml:space="preserve"> –</w:t>
      </w:r>
      <w:r>
        <w:t xml:space="preserve"> do what you want with it</w:t>
      </w:r>
      <w:r w:rsidR="009B5E6F">
        <w:t>.”’</w:t>
      </w:r>
      <w:r>
        <w:t xml:space="preserve"> (ACCHO)</w:t>
      </w:r>
    </w:p>
    <w:p w14:paraId="26D4B40B" w14:textId="77777777" w:rsidR="00F94F86" w:rsidRPr="00B65F7F" w:rsidRDefault="00F94F86" w:rsidP="00BC4A43">
      <w:pPr>
        <w:pStyle w:val="BodyText"/>
      </w:pPr>
      <w:r w:rsidRPr="00B65F7F">
        <w:t xml:space="preserve">The disparate, segmented and siloed funding undermines the ability of service providers to deliver holistic responses that can meet the health and wellbeing needs of </w:t>
      </w:r>
      <w:r>
        <w:t>Aboriginal and/or Torres Strait Islander</w:t>
      </w:r>
      <w:r w:rsidRPr="00B65F7F">
        <w:t xml:space="preserve"> peoples.</w:t>
      </w:r>
      <w:r>
        <w:t xml:space="preserve"> </w:t>
      </w:r>
      <w:r w:rsidRPr="00B65F7F">
        <w:t xml:space="preserve">Specifically for this review, PHNs and service providers noted that excluding other funding that is closely related to the Relevant Health Programs (such as </w:t>
      </w:r>
      <w:r>
        <w:t>Aboriginal and/or Torres Strait Islander</w:t>
      </w:r>
      <w:r w:rsidRPr="00B65F7F">
        <w:t xml:space="preserve"> alcohol and other drug program funding) demonstrates the misalignment between funding structures and </w:t>
      </w:r>
      <w:r>
        <w:t>Aboriginal and/or Torres Strait Islander</w:t>
      </w:r>
      <w:r w:rsidRPr="00B65F7F">
        <w:t xml:space="preserve"> approaches to health and wellbeing. </w:t>
      </w:r>
    </w:p>
    <w:p w14:paraId="490BCBC8" w14:textId="77777777" w:rsidR="00F94F86" w:rsidRDefault="00F94F86" w:rsidP="00BC4A43">
      <w:pPr>
        <w:pStyle w:val="BodyText"/>
      </w:pPr>
      <w:r w:rsidRPr="00B65F7F">
        <w:t xml:space="preserve">In providing feedback, all stakeholders reflected on their experience with </w:t>
      </w:r>
      <w:r>
        <w:t>Aboriginal and/or Torres Strait Islander</w:t>
      </w:r>
      <w:r w:rsidRPr="00B65F7F">
        <w:t>–specific health and wellbeing initiatives, which extends beyond (but is relevant to) the Relevant Health Programs.</w:t>
      </w:r>
    </w:p>
    <w:p w14:paraId="6495A3ED" w14:textId="77777777" w:rsidR="00F94F86" w:rsidRDefault="00F94F86" w:rsidP="007F26F7">
      <w:pPr>
        <w:pStyle w:val="Quote"/>
      </w:pPr>
      <w:r>
        <w:t>‘Siloed funding does not set the sector up for success</w:t>
      </w:r>
      <w:r w:rsidR="00BE6161">
        <w:t>.</w:t>
      </w:r>
      <w:r>
        <w:t>’ (NACCHO affiliate)</w:t>
      </w:r>
    </w:p>
    <w:p w14:paraId="5BBEA6FE" w14:textId="77777777" w:rsidR="00F94F86" w:rsidRPr="001F12BC" w:rsidRDefault="00F94F86" w:rsidP="00260A06">
      <w:pPr>
        <w:pStyle w:val="HeadingLevel5NoNumber"/>
      </w:pPr>
      <w:r w:rsidRPr="001F12BC">
        <w:t>Stakeholder perspectives</w:t>
      </w:r>
    </w:p>
    <w:p w14:paraId="3C194DB1" w14:textId="77777777" w:rsidR="00F94F86" w:rsidRPr="00BC4A43" w:rsidRDefault="00F94F86" w:rsidP="00BC4A43">
      <w:pPr>
        <w:pStyle w:val="BodyText1stparaafterlist"/>
        <w:rPr>
          <w:b/>
          <w:bCs/>
        </w:rPr>
      </w:pPr>
      <w:r w:rsidRPr="00BC4A43">
        <w:rPr>
          <w:b/>
          <w:bCs/>
        </w:rPr>
        <w:t>Service providers</w:t>
      </w:r>
    </w:p>
    <w:p w14:paraId="31C65CF6" w14:textId="77777777" w:rsidR="00F94F86" w:rsidRPr="00B65F7F" w:rsidRDefault="00F94F86" w:rsidP="00BC4A43">
      <w:pPr>
        <w:pStyle w:val="ListBullet2"/>
        <w:rPr>
          <w:b/>
          <w:bCs/>
        </w:rPr>
      </w:pPr>
      <w:r w:rsidRPr="00B65F7F">
        <w:t xml:space="preserve">Having multiple funding bodies to report to is an administrative burden and does not reflect the way ACCHOs provide services. </w:t>
      </w:r>
    </w:p>
    <w:p w14:paraId="21E92528" w14:textId="77777777" w:rsidR="00F94F86" w:rsidRPr="00B65F7F" w:rsidRDefault="00F94F86" w:rsidP="00BC4A43">
      <w:pPr>
        <w:pStyle w:val="ListBullet2"/>
        <w:rPr>
          <w:b/>
          <w:bCs/>
        </w:rPr>
      </w:pPr>
      <w:r w:rsidRPr="00B65F7F">
        <w:t>Providers often spend time and money trying to retrofit funding (or new funding) to work with existing programs.</w:t>
      </w:r>
    </w:p>
    <w:p w14:paraId="08433691" w14:textId="4AC65917" w:rsidR="00F94F86" w:rsidRDefault="00F94F86" w:rsidP="00BC4A43">
      <w:pPr>
        <w:pStyle w:val="ListBullet2"/>
      </w:pPr>
      <w:r w:rsidRPr="00B65F7F">
        <w:t xml:space="preserve">Many service providers believed that the </w:t>
      </w:r>
      <w:r w:rsidR="002B031B">
        <w:t>R</w:t>
      </w:r>
      <w:r w:rsidRPr="00B65F7F">
        <w:t>eview should have been far more holistic, to consider all funding buckets.</w:t>
      </w:r>
    </w:p>
    <w:p w14:paraId="159113A6" w14:textId="77777777" w:rsidR="00F94F86" w:rsidRDefault="00F94F86" w:rsidP="007F26F7">
      <w:pPr>
        <w:pStyle w:val="Quote"/>
      </w:pPr>
      <w:r>
        <w:lastRenderedPageBreak/>
        <w:t>‘We</w:t>
      </w:r>
      <w:r w:rsidR="00A237F8">
        <w:t>’</w:t>
      </w:r>
      <w:r>
        <w:t>re focused on meeting the funder requirements, so we don</w:t>
      </w:r>
      <w:r w:rsidR="00A237F8">
        <w:t>’</w:t>
      </w:r>
      <w:r>
        <w:t>t jeopardise the funding</w:t>
      </w:r>
      <w:r w:rsidR="00BE6161">
        <w:t xml:space="preserve"> </w:t>
      </w:r>
      <w:r>
        <w:t>... but what it doesn</w:t>
      </w:r>
      <w:r w:rsidR="00A237F8">
        <w:t>’</w:t>
      </w:r>
      <w:r>
        <w:t>t allow is to respond to emerging issues</w:t>
      </w:r>
      <w:r w:rsidR="00BE6161">
        <w:t>.</w:t>
      </w:r>
      <w:r>
        <w:t>’ (ACCHO)</w:t>
      </w:r>
    </w:p>
    <w:p w14:paraId="79AB78E7" w14:textId="77777777" w:rsidR="00F94F86" w:rsidRDefault="00F94F86" w:rsidP="00BC4A43">
      <w:pPr>
        <w:pStyle w:val="BodyText"/>
      </w:pPr>
    </w:p>
    <w:p w14:paraId="424A3F90" w14:textId="77777777" w:rsidR="00F94F86" w:rsidRDefault="00F94F86" w:rsidP="007F26F7">
      <w:pPr>
        <w:pStyle w:val="Quote"/>
      </w:pPr>
      <w:r>
        <w:t>‘Cut out the middleman and start to fund services</w:t>
      </w:r>
      <w:r w:rsidR="00BE6161">
        <w:t xml:space="preserve"> </w:t>
      </w:r>
      <w:r>
        <w:t>...</w:t>
      </w:r>
      <w:r w:rsidR="00BE6161">
        <w:t xml:space="preserve"> </w:t>
      </w:r>
      <w:r>
        <w:t>[based] on need</w:t>
      </w:r>
      <w:r w:rsidR="00BE6161">
        <w:t>.</w:t>
      </w:r>
      <w:r>
        <w:t>’ (ACCHO)</w:t>
      </w:r>
    </w:p>
    <w:p w14:paraId="357544B7" w14:textId="77777777" w:rsidR="00F94F86" w:rsidRDefault="00F94F86" w:rsidP="00BC4A43">
      <w:pPr>
        <w:pStyle w:val="BodyText"/>
      </w:pPr>
    </w:p>
    <w:p w14:paraId="6ED9EC4E" w14:textId="77777777" w:rsidR="00A237F8" w:rsidRDefault="00A237F8" w:rsidP="007F26F7">
      <w:pPr>
        <w:pStyle w:val="Quote"/>
      </w:pPr>
      <w:r>
        <w:t>‘I’d like the department to have an honest conversation about whether they believe in self-determination, or choice and control. They sit on the fence they say they believe in both.’ (ACCHO)</w:t>
      </w:r>
    </w:p>
    <w:p w14:paraId="394B65A5" w14:textId="77777777" w:rsidR="00F94F86" w:rsidRPr="00BC4A43" w:rsidRDefault="00F94F86" w:rsidP="00BC4A43">
      <w:pPr>
        <w:pStyle w:val="BodyText1stparaafterlist"/>
        <w:rPr>
          <w:b/>
          <w:bCs/>
        </w:rPr>
      </w:pPr>
      <w:r w:rsidRPr="00BC4A43">
        <w:rPr>
          <w:b/>
          <w:bCs/>
        </w:rPr>
        <w:t>PHNs</w:t>
      </w:r>
    </w:p>
    <w:p w14:paraId="1C8747C8" w14:textId="77777777" w:rsidR="00F94F86" w:rsidRDefault="00F94F86" w:rsidP="00BC4A43">
      <w:pPr>
        <w:pStyle w:val="ListBullet2"/>
      </w:pPr>
      <w:r w:rsidRPr="00B65F7F">
        <w:t xml:space="preserve">Some PHNs acknowledge the challenges of the system/s and try to work within the constraints to support providers to provide holistic services; however, they note that there is limited flexibility in what they can do. </w:t>
      </w:r>
    </w:p>
    <w:p w14:paraId="0CD97929" w14:textId="77777777" w:rsidR="00F94F86" w:rsidRPr="00BC4A43" w:rsidRDefault="00F94F86" w:rsidP="00BC4A43">
      <w:pPr>
        <w:pStyle w:val="BodyText1stparaafterlist"/>
        <w:rPr>
          <w:b/>
          <w:bCs/>
        </w:rPr>
      </w:pPr>
      <w:r w:rsidRPr="00BC4A43">
        <w:rPr>
          <w:b/>
          <w:bCs/>
        </w:rPr>
        <w:t>Aboriginal and/or Torres Strait Islander community-controlled peak organisations</w:t>
      </w:r>
    </w:p>
    <w:p w14:paraId="0E09C189" w14:textId="77777777" w:rsidR="00F94F86" w:rsidRPr="00B65F7F" w:rsidRDefault="00F94F86" w:rsidP="00BC4A43">
      <w:pPr>
        <w:pStyle w:val="ListBullet2"/>
      </w:pPr>
      <w:r w:rsidRPr="00B65F7F">
        <w:t xml:space="preserve">NACCHO and affiliates believe the structure of, and the way the government funds different programs, is a major challenge and issue for the sector. </w:t>
      </w:r>
    </w:p>
    <w:p w14:paraId="27525B9E" w14:textId="77777777" w:rsidR="00F94F86" w:rsidRDefault="00F94F86" w:rsidP="00BC4A43">
      <w:pPr>
        <w:pStyle w:val="ListBullet2"/>
      </w:pPr>
      <w:r w:rsidRPr="00B65F7F">
        <w:t>The more flexible and streamlined the funding is, and the fewer funding bodies there are, the more the sector can focus on providing quality holistic services</w:t>
      </w:r>
      <w:r w:rsidR="002950C0">
        <w:t xml:space="preserve"> (including, but not limited to, by reducing the burden of reporting)</w:t>
      </w:r>
      <w:r w:rsidRPr="00B65F7F">
        <w:t xml:space="preserve">. </w:t>
      </w:r>
    </w:p>
    <w:p w14:paraId="1D9194BE" w14:textId="77777777" w:rsidR="00F94F86" w:rsidRPr="00B65F7F" w:rsidRDefault="00F94F86" w:rsidP="00260A06">
      <w:pPr>
        <w:pStyle w:val="HeadingLevel5NoNumber"/>
      </w:pPr>
      <w:r w:rsidRPr="00B65F7F">
        <w:t>Best practice examples identified</w:t>
      </w:r>
    </w:p>
    <w:p w14:paraId="7503F66A" w14:textId="3654956F" w:rsidR="00F94F86" w:rsidRPr="002973C7" w:rsidRDefault="00F94F86" w:rsidP="00BC4A43">
      <w:pPr>
        <w:pStyle w:val="BodyText"/>
        <w:rPr>
          <w:lang w:eastAsia="en-AU"/>
        </w:rPr>
      </w:pPr>
      <w:r w:rsidRPr="002973C7">
        <w:rPr>
          <w:shd w:val="clear" w:color="auto" w:fill="FFFFFF"/>
        </w:rPr>
        <w:t xml:space="preserve">The </w:t>
      </w:r>
      <w:r w:rsidR="000E5848">
        <w:rPr>
          <w:shd w:val="clear" w:color="auto" w:fill="FFFFFF"/>
        </w:rPr>
        <w:t>Review Team</w:t>
      </w:r>
      <w:r w:rsidRPr="002973C7">
        <w:rPr>
          <w:shd w:val="clear" w:color="auto" w:fill="FFFFFF"/>
        </w:rPr>
        <w:t xml:space="preserve"> was unable to identify </w:t>
      </w:r>
      <w:r>
        <w:rPr>
          <w:shd w:val="clear" w:color="auto" w:fill="FFFFFF"/>
        </w:rPr>
        <w:t xml:space="preserve">any </w:t>
      </w:r>
      <w:r w:rsidRPr="002973C7">
        <w:rPr>
          <w:shd w:val="clear" w:color="auto" w:fill="FFFFFF"/>
        </w:rPr>
        <w:t xml:space="preserve">best practice examples from stakeholders during the </w:t>
      </w:r>
      <w:r w:rsidR="002B031B">
        <w:rPr>
          <w:shd w:val="clear" w:color="auto" w:fill="FFFFFF"/>
        </w:rPr>
        <w:t>R</w:t>
      </w:r>
      <w:r w:rsidRPr="002973C7">
        <w:rPr>
          <w:shd w:val="clear" w:color="auto" w:fill="FFFFFF"/>
        </w:rPr>
        <w:t xml:space="preserve">eview process. </w:t>
      </w:r>
    </w:p>
    <w:p w14:paraId="341145F5" w14:textId="77777777" w:rsidR="00F94F86" w:rsidRPr="00B65F7F" w:rsidRDefault="00F94F86" w:rsidP="00FF35AF">
      <w:pPr>
        <w:pStyle w:val="HeadingLevel3NoNumber"/>
      </w:pPr>
      <w:bookmarkStart w:id="279" w:name="_Toc145955251"/>
      <w:r w:rsidRPr="00B65F7F">
        <w:t>Meeting community needs</w:t>
      </w:r>
      <w:r w:rsidR="005A7833">
        <w:t xml:space="preserve"> and priorities</w:t>
      </w:r>
      <w:r w:rsidRPr="00B65F7F">
        <w:t xml:space="preserve"> findings</w:t>
      </w:r>
      <w:bookmarkEnd w:id="279"/>
    </w:p>
    <w:p w14:paraId="15B58ED0" w14:textId="77777777" w:rsidR="00F94F86" w:rsidRPr="001F12BC" w:rsidRDefault="00F94F86" w:rsidP="00FF35AF">
      <w:pPr>
        <w:pStyle w:val="HeadingLevel4NoNumber"/>
      </w:pPr>
      <w:r w:rsidRPr="001F12BC">
        <w:t xml:space="preserve">Insight 3: Services designed in </w:t>
      </w:r>
      <w:r w:rsidR="0085080A" w:rsidRPr="001F12BC">
        <w:t>partnership</w:t>
      </w:r>
      <w:r w:rsidRPr="001F12BC">
        <w:t xml:space="preserve"> with local Aboriginal and/or Torres Strait Islander communities are best placed to meet the needs of the community</w:t>
      </w:r>
    </w:p>
    <w:p w14:paraId="71348DFD" w14:textId="77777777" w:rsidR="00F94F86" w:rsidRPr="00B65F7F" w:rsidRDefault="00F94F86" w:rsidP="00BC4A43">
      <w:pPr>
        <w:pStyle w:val="BodyText"/>
      </w:pPr>
      <w:r w:rsidRPr="00B65F7F">
        <w:t xml:space="preserve">The majority of PHN, service providers and affiliate stakeholders acknowledged that services designed using a place-based and person-centred co-design approach are best able to meet the needs of that community. Moreover, the same stakeholders noted that when undertaking service design, it must involve working with </w:t>
      </w:r>
      <w:r>
        <w:t>Aboriginal and/or Torres Strait Islander</w:t>
      </w:r>
      <w:r w:rsidRPr="00B65F7F">
        <w:t xml:space="preserve"> peoples via genuine co-design processes.</w:t>
      </w:r>
    </w:p>
    <w:p w14:paraId="0838073E" w14:textId="77777777" w:rsidR="00F94F86" w:rsidRDefault="00F94F86" w:rsidP="00BC4A43">
      <w:pPr>
        <w:pStyle w:val="BodyText"/>
      </w:pPr>
      <w:r w:rsidRPr="00B65F7F">
        <w:t xml:space="preserve">Community members engaged had similar views, noting an appetite to be actively involved in the design and/or re-design of services. Likewise, many frontline staff of service providers (particularly local </w:t>
      </w:r>
      <w:r>
        <w:t>Aboriginal and/or Torres Strait Islander</w:t>
      </w:r>
      <w:r w:rsidRPr="00B65F7F">
        <w:t xml:space="preserve"> workers) recognised that they are part of the community and should be actively engaged in co-design processes, both as community workers as well as community members.</w:t>
      </w:r>
    </w:p>
    <w:p w14:paraId="687A9164" w14:textId="77777777" w:rsidR="00F94F86" w:rsidRPr="00981A0E" w:rsidRDefault="00F94F86" w:rsidP="007F26F7">
      <w:pPr>
        <w:pStyle w:val="Quote"/>
      </w:pPr>
      <w:r>
        <w:t>‘</w:t>
      </w:r>
      <w:r w:rsidRPr="00981A0E">
        <w:t>We have to engage local mob to design services, including decision-making, not just consultation</w:t>
      </w:r>
      <w:r w:rsidR="00A237F8">
        <w:t>.</w:t>
      </w:r>
      <w:r>
        <w:t>’</w:t>
      </w:r>
      <w:r w:rsidRPr="00981A0E">
        <w:t xml:space="preserve"> (</w:t>
      </w:r>
      <w:r w:rsidR="00A237F8">
        <w:t>P</w:t>
      </w:r>
      <w:r w:rsidRPr="00981A0E">
        <w:t>eak body)</w:t>
      </w:r>
    </w:p>
    <w:p w14:paraId="41288830" w14:textId="77777777" w:rsidR="00F94F86" w:rsidRPr="00B65F7F" w:rsidRDefault="00F94F86" w:rsidP="00FF35AF">
      <w:pPr>
        <w:pStyle w:val="HeadingLevel5NoNumber"/>
      </w:pPr>
      <w:r w:rsidRPr="00981A0E">
        <w:t>Stakeholder</w:t>
      </w:r>
      <w:r w:rsidRPr="00B65F7F">
        <w:t xml:space="preserve"> perspectives</w:t>
      </w:r>
    </w:p>
    <w:p w14:paraId="4AFD71A1" w14:textId="77777777" w:rsidR="00F94F86" w:rsidRPr="00BC4A43" w:rsidRDefault="00F94F86" w:rsidP="00BC4A43">
      <w:pPr>
        <w:pStyle w:val="BodyText1stparaafterlist"/>
        <w:rPr>
          <w:b/>
          <w:bCs/>
        </w:rPr>
      </w:pPr>
      <w:r w:rsidRPr="00BC4A43">
        <w:rPr>
          <w:b/>
          <w:bCs/>
        </w:rPr>
        <w:t>Community</w:t>
      </w:r>
    </w:p>
    <w:p w14:paraId="77FCFF4F" w14:textId="77777777" w:rsidR="00F94F86" w:rsidRPr="00B65F7F" w:rsidRDefault="00F94F86" w:rsidP="00BC4A43">
      <w:pPr>
        <w:pStyle w:val="ListBullet2"/>
        <w:rPr>
          <w:b/>
        </w:rPr>
      </w:pPr>
      <w:r w:rsidRPr="00B65F7F">
        <w:t>Many communities do not currently have a genuine option or avenue for providing their voice and participating in the design of services.</w:t>
      </w:r>
    </w:p>
    <w:p w14:paraId="3FDB6107" w14:textId="77777777" w:rsidR="00F94F86" w:rsidRPr="00B65F7F" w:rsidRDefault="00F94F86" w:rsidP="00BC4A43">
      <w:pPr>
        <w:pStyle w:val="ListBullet2"/>
        <w:rPr>
          <w:b/>
          <w:bCs/>
        </w:rPr>
      </w:pPr>
      <w:r w:rsidRPr="00B65F7F">
        <w:lastRenderedPageBreak/>
        <w:t>Community members are eager to take part in decision-making processes, to achieve community-driven outcomes and help in designing what they need.</w:t>
      </w:r>
    </w:p>
    <w:p w14:paraId="5E260F99" w14:textId="77777777" w:rsidR="00F94F86" w:rsidRPr="00B65F7F" w:rsidRDefault="00F94F86" w:rsidP="00BC4A43">
      <w:pPr>
        <w:pStyle w:val="ListBullet2"/>
        <w:rPr>
          <w:b/>
          <w:bCs/>
        </w:rPr>
      </w:pPr>
      <w:r w:rsidRPr="00B65F7F">
        <w:t>Information sharing and targeted communication with each localised community is not currently occurring but can assist to empower and validate decision-making in a collaborative way, rather than top-down.</w:t>
      </w:r>
    </w:p>
    <w:p w14:paraId="75315A6A" w14:textId="77777777" w:rsidR="00F94F86" w:rsidRPr="00B65F7F" w:rsidRDefault="00F94F86" w:rsidP="00BC4A43">
      <w:pPr>
        <w:pStyle w:val="ListBullet2"/>
      </w:pPr>
      <w:r w:rsidRPr="00B65F7F">
        <w:t xml:space="preserve">The details of service delivery are not currently designed with an </w:t>
      </w:r>
      <w:r>
        <w:t>Aboriginal and/or Torres Strait Islander</w:t>
      </w:r>
      <w:r w:rsidRPr="00B65F7F">
        <w:t xml:space="preserve"> lens. This includes communicating with individuals via telephone or internet or providing documents in an electronic soft copy format.</w:t>
      </w:r>
    </w:p>
    <w:p w14:paraId="01667BB0" w14:textId="77777777" w:rsidR="00F94F86" w:rsidRPr="00BC4A43" w:rsidRDefault="00F94F86" w:rsidP="00BC4A43">
      <w:pPr>
        <w:pStyle w:val="BodyText1stparaafterlist"/>
        <w:rPr>
          <w:b/>
          <w:bCs/>
        </w:rPr>
      </w:pPr>
      <w:r w:rsidRPr="00BC4A43">
        <w:rPr>
          <w:b/>
          <w:bCs/>
        </w:rPr>
        <w:t>Service providers</w:t>
      </w:r>
    </w:p>
    <w:p w14:paraId="53A3C70F" w14:textId="77777777" w:rsidR="00F94F86" w:rsidRPr="00B65F7F" w:rsidRDefault="00F94F86" w:rsidP="00BC4A43">
      <w:pPr>
        <w:pStyle w:val="ListBullet2"/>
      </w:pPr>
      <w:r w:rsidRPr="00B65F7F">
        <w:t xml:space="preserve">Frontline staff, including </w:t>
      </w:r>
      <w:r>
        <w:t>Aboriginal and/or Torres Strait Islander</w:t>
      </w:r>
      <w:r w:rsidRPr="00B65F7F">
        <w:t xml:space="preserve"> staff, are part of the community and should participate in the design of services. </w:t>
      </w:r>
    </w:p>
    <w:p w14:paraId="4D18662A" w14:textId="77777777" w:rsidR="00F94F86" w:rsidRPr="00B65F7F" w:rsidRDefault="00F94F86" w:rsidP="00BC4A43">
      <w:pPr>
        <w:pStyle w:val="ListBullet2"/>
      </w:pPr>
      <w:r w:rsidRPr="00B65F7F">
        <w:t xml:space="preserve">Not all service providers could identify recent examples of where PHNs or other funding bodies undertook genuine co-design to address needs. </w:t>
      </w:r>
    </w:p>
    <w:p w14:paraId="3C1424C9" w14:textId="77777777" w:rsidR="00F94F86" w:rsidRPr="00B65F7F" w:rsidRDefault="00F94F86" w:rsidP="00BC4A43">
      <w:pPr>
        <w:pStyle w:val="ListBullet2"/>
      </w:pPr>
      <w:r w:rsidRPr="00B65F7F">
        <w:t>Many service providers noted that ITC guidelines do not allow flexibility for services to be genuinely designed with and by communities.</w:t>
      </w:r>
    </w:p>
    <w:p w14:paraId="6BD41074" w14:textId="77777777" w:rsidR="00F94F86" w:rsidRPr="00BC4A43" w:rsidRDefault="00F94F86" w:rsidP="00BC4A43">
      <w:pPr>
        <w:pStyle w:val="BodyText1stparaafterlist"/>
        <w:rPr>
          <w:b/>
          <w:bCs/>
        </w:rPr>
      </w:pPr>
      <w:r w:rsidRPr="00BC4A43">
        <w:rPr>
          <w:b/>
          <w:bCs/>
        </w:rPr>
        <w:t>Aboriginal and/or Torres Strait Islander community-controlled peak organisations</w:t>
      </w:r>
    </w:p>
    <w:p w14:paraId="41881F63" w14:textId="77777777" w:rsidR="00F94F86" w:rsidRPr="00B65F7F" w:rsidRDefault="00F94F86" w:rsidP="00BC4A43">
      <w:pPr>
        <w:pStyle w:val="ListBullet2"/>
      </w:pPr>
      <w:r w:rsidRPr="00B65F7F">
        <w:t xml:space="preserve">Existing funded programs and the commissioning process do not equally value cultural and non-clinical approaches to wellbeing and rely on ‘cookie-cutter’ approaches that are inflexible to local contexts and are not designed with the community. </w:t>
      </w:r>
    </w:p>
    <w:p w14:paraId="1E28EC5D" w14:textId="77777777" w:rsidR="00F94F86" w:rsidRDefault="00F94F86" w:rsidP="00BC4A43">
      <w:pPr>
        <w:pStyle w:val="ListBullet2"/>
      </w:pPr>
      <w:r w:rsidRPr="00B65F7F">
        <w:t>Due to the opaqueness of the overall process, commissioning efforts that arise from PHN needs assessments are often not aligned with the identified need, or the true need.</w:t>
      </w:r>
    </w:p>
    <w:p w14:paraId="230065A2" w14:textId="77777777" w:rsidR="00F94F86" w:rsidRPr="00981A0E" w:rsidRDefault="00F94F86" w:rsidP="007F26F7">
      <w:pPr>
        <w:pStyle w:val="Quote"/>
      </w:pPr>
      <w:r>
        <w:t>‘</w:t>
      </w:r>
      <w:r w:rsidRPr="00981A0E">
        <w:t>Social and cultural determinants of health and how they’re unique to the location should be considered</w:t>
      </w:r>
      <w:r w:rsidR="00A237F8">
        <w:t>.</w:t>
      </w:r>
      <w:r>
        <w:t>’</w:t>
      </w:r>
      <w:r w:rsidRPr="00981A0E">
        <w:t xml:space="preserve"> (</w:t>
      </w:r>
      <w:r w:rsidR="00A237F8">
        <w:t>P</w:t>
      </w:r>
      <w:r w:rsidRPr="00981A0E">
        <w:t>eak body)</w:t>
      </w:r>
    </w:p>
    <w:p w14:paraId="6147B404" w14:textId="77777777" w:rsidR="00F94F86" w:rsidRPr="00B65F7F" w:rsidRDefault="00F94F86" w:rsidP="00FF35AF">
      <w:pPr>
        <w:pStyle w:val="HeadingLevel5NoNumber"/>
      </w:pPr>
      <w:r w:rsidRPr="00B65F7F">
        <w:t>Best practice examples identified</w:t>
      </w:r>
    </w:p>
    <w:p w14:paraId="16D1F830" w14:textId="77777777" w:rsidR="00F94F86" w:rsidRPr="00B65F7F" w:rsidRDefault="00F94F86" w:rsidP="00BC4A43">
      <w:pPr>
        <w:pStyle w:val="ListBullet2"/>
      </w:pPr>
      <w:r>
        <w:t xml:space="preserve">The </w:t>
      </w:r>
      <w:r w:rsidRPr="00B65F7F">
        <w:t>Gippsland PHN implemented an ACCHO</w:t>
      </w:r>
      <w:r>
        <w:t>-led</w:t>
      </w:r>
      <w:r w:rsidRPr="00B65F7F">
        <w:t xml:space="preserve"> steering group to co-design best practice guidelines for the delivery of a dual diagnosis program</w:t>
      </w:r>
      <w:r>
        <w:t xml:space="preserve"> that was commissioned by the PHN for the Gippsland region</w:t>
      </w:r>
      <w:r w:rsidRPr="00B65F7F">
        <w:t>.</w:t>
      </w:r>
    </w:p>
    <w:p w14:paraId="102B1126" w14:textId="77777777" w:rsidR="00F94F86" w:rsidRPr="00B65F7F" w:rsidRDefault="00F94F86" w:rsidP="00BC4A43">
      <w:pPr>
        <w:pStyle w:val="ListBullet2"/>
      </w:pPr>
      <w:r w:rsidRPr="00B65F7F">
        <w:t xml:space="preserve">The National Association of </w:t>
      </w:r>
      <w:r>
        <w:t>Aboriginal and/or Torres Strait Islander</w:t>
      </w:r>
      <w:r w:rsidRPr="00B65F7F">
        <w:t xml:space="preserve"> Health Workers and Practitioners (NAATSIHWP) spoke to the cultural knowledge, traditions and customs that Aboriginal health workers (clinical and non-clinical) can embed in service delivery for </w:t>
      </w:r>
      <w:r>
        <w:t>Aboriginal and/or Torres Strait Islander</w:t>
      </w:r>
      <w:r w:rsidRPr="00B65F7F">
        <w:t xml:space="preserve"> communities. This also ensures that service design encompasses cultural knowledge as much as clinical knowledge.</w:t>
      </w:r>
    </w:p>
    <w:p w14:paraId="5F3D8BC3" w14:textId="543E4F90" w:rsidR="00F94F86" w:rsidRDefault="00F94F86" w:rsidP="00BC4A43">
      <w:pPr>
        <w:pStyle w:val="ListBullet2"/>
      </w:pPr>
      <w:r w:rsidRPr="00B65F7F">
        <w:t>The Culture Care Connect program (CCC)</w:t>
      </w:r>
      <w:r w:rsidR="00A64C1F">
        <w:t xml:space="preserve"> which has been described in detail in </w:t>
      </w:r>
      <w:r w:rsidR="00A237F8">
        <w:fldChar w:fldCharType="begin"/>
      </w:r>
      <w:r w:rsidR="00A237F8">
        <w:instrText xml:space="preserve"> REF _Ref151807871 \h </w:instrText>
      </w:r>
      <w:r w:rsidR="00A237F8">
        <w:fldChar w:fldCharType="separate"/>
      </w:r>
      <w:r w:rsidR="00934D5E" w:rsidRPr="00B65F7F">
        <w:t xml:space="preserve">Box </w:t>
      </w:r>
      <w:r w:rsidR="00934D5E">
        <w:rPr>
          <w:noProof/>
        </w:rPr>
        <w:t>10</w:t>
      </w:r>
      <w:r w:rsidR="00A237F8">
        <w:fldChar w:fldCharType="end"/>
      </w:r>
      <w:r w:rsidRPr="00B65F7F">
        <w:t>.</w:t>
      </w:r>
    </w:p>
    <w:p w14:paraId="57279114" w14:textId="77777777" w:rsidR="00F94F86" w:rsidRPr="001F12BC" w:rsidRDefault="00F94F86" w:rsidP="00FF35AF">
      <w:pPr>
        <w:pStyle w:val="HeadingLevel4NoNumber"/>
      </w:pPr>
      <w:r w:rsidRPr="001F12BC">
        <w:t>Insight 4: Program guidelines of the Relevant Health Programs are inflexible and restrictive</w:t>
      </w:r>
    </w:p>
    <w:p w14:paraId="23F592EB" w14:textId="77777777" w:rsidR="00F94F86" w:rsidRPr="00B65F7F" w:rsidRDefault="00F94F86" w:rsidP="0097173C">
      <w:pPr>
        <w:pStyle w:val="BodyText"/>
      </w:pPr>
      <w:r w:rsidRPr="00B65F7F">
        <w:t xml:space="preserve">Stakeholders noted that current </w:t>
      </w:r>
      <w:r w:rsidR="00A83CC8">
        <w:t xml:space="preserve">program </w:t>
      </w:r>
      <w:r w:rsidRPr="00B65F7F">
        <w:t>guidelines</w:t>
      </w:r>
      <w:r w:rsidR="00A83CC8">
        <w:t xml:space="preserve"> provided by PHNs</w:t>
      </w:r>
      <w:r w:rsidRPr="00B65F7F">
        <w:t xml:space="preserve">, particularly for ITC, are rigid and limit the ability of service providers to meet the needs of the community in a flexible and self-determined manner. Examples of the lack of flexibility identified by various stakeholders included: </w:t>
      </w:r>
    </w:p>
    <w:p w14:paraId="1F12155E" w14:textId="77777777" w:rsidR="00F94F86" w:rsidRPr="00B65F7F" w:rsidRDefault="00F94F86" w:rsidP="0097173C">
      <w:pPr>
        <w:pStyle w:val="ListBullet2"/>
      </w:pPr>
      <w:r w:rsidRPr="00B65F7F">
        <w:t>the workforce that can be employed</w:t>
      </w:r>
    </w:p>
    <w:p w14:paraId="13CA8261" w14:textId="77777777" w:rsidR="00F94F86" w:rsidRPr="00B65F7F" w:rsidRDefault="00F94F86" w:rsidP="0097173C">
      <w:pPr>
        <w:pStyle w:val="ListBullet2"/>
      </w:pPr>
      <w:r w:rsidRPr="00B65F7F">
        <w:t xml:space="preserve">the prescribed </w:t>
      </w:r>
      <w:r w:rsidR="00A64C1F">
        <w:t>6</w:t>
      </w:r>
      <w:r w:rsidRPr="00B65F7F">
        <w:t>0:</w:t>
      </w:r>
      <w:r w:rsidR="00A64C1F">
        <w:t>4</w:t>
      </w:r>
      <w:r w:rsidRPr="00B65F7F">
        <w:t>0 split between C</w:t>
      </w:r>
      <w:r>
        <w:t xml:space="preserve">are </w:t>
      </w:r>
      <w:r w:rsidRPr="00B65F7F">
        <w:t>C</w:t>
      </w:r>
      <w:r>
        <w:t>oordination</w:t>
      </w:r>
      <w:r w:rsidRPr="00B65F7F">
        <w:t xml:space="preserve"> and </w:t>
      </w:r>
      <w:r>
        <w:t>Supplementary Services</w:t>
      </w:r>
      <w:r w:rsidRPr="00B65F7F">
        <w:t xml:space="preserve"> respectively </w:t>
      </w:r>
      <w:r w:rsidR="00A64C1F">
        <w:t>(noting that this can be revised, on request)</w:t>
      </w:r>
    </w:p>
    <w:p w14:paraId="5AF884CD" w14:textId="77777777" w:rsidR="00F94F86" w:rsidRDefault="00F94F86" w:rsidP="0097173C">
      <w:pPr>
        <w:pStyle w:val="ListBullet2"/>
      </w:pPr>
      <w:r w:rsidRPr="00B65F7F">
        <w:t xml:space="preserve">the inability to apply funding to </w:t>
      </w:r>
      <w:r w:rsidR="00C44EB9" w:rsidRPr="00B65F7F">
        <w:t>local</w:t>
      </w:r>
      <w:r w:rsidRPr="00B65F7F">
        <w:t xml:space="preserve"> and nuanced needs</w:t>
      </w:r>
      <w:r w:rsidR="00C814AF">
        <w:t>.</w:t>
      </w:r>
    </w:p>
    <w:p w14:paraId="0B0B83D8" w14:textId="77777777" w:rsidR="00F94F86" w:rsidRDefault="00F94F86" w:rsidP="007F26F7">
      <w:pPr>
        <w:pStyle w:val="Quote"/>
      </w:pPr>
      <w:r>
        <w:t>‘We keep the contract in the drawer and focus on the relationship. That</w:t>
      </w:r>
      <w:r w:rsidR="00C814AF">
        <w:t>’</w:t>
      </w:r>
      <w:r>
        <w:t>s where the gold has been for us</w:t>
      </w:r>
      <w:r w:rsidR="00C814AF">
        <w:t>.</w:t>
      </w:r>
      <w:r>
        <w:t>’ (</w:t>
      </w:r>
      <w:r w:rsidR="00C814AF">
        <w:t>N</w:t>
      </w:r>
      <w:r>
        <w:t>on-Indigenous service provider)</w:t>
      </w:r>
    </w:p>
    <w:p w14:paraId="53CDA100" w14:textId="77777777" w:rsidR="00F94F86" w:rsidRPr="00B65F7F" w:rsidRDefault="00F94F86" w:rsidP="0097173C">
      <w:pPr>
        <w:pStyle w:val="BodyText"/>
      </w:pPr>
      <w:r w:rsidRPr="00B65F7F">
        <w:lastRenderedPageBreak/>
        <w:t xml:space="preserve">While this feedback was notable when discussing the ITC program, several service providers also noted that guidelines for mental health and suicide prevention programs were similarly inflexible and restrictive. This includes guidelines not enabling family to be involved in mental health programs. </w:t>
      </w:r>
    </w:p>
    <w:p w14:paraId="12A66B4C" w14:textId="77777777" w:rsidR="00F94F86" w:rsidRDefault="009E0080" w:rsidP="0097173C">
      <w:pPr>
        <w:pStyle w:val="BodyText"/>
      </w:pPr>
      <w:r>
        <w:t xml:space="preserve">It was noted by various stakeholders that the inflexibility does not rest with PHNs, as it is </w:t>
      </w:r>
      <w:r w:rsidR="00C814AF">
        <w:t>DoHAC</w:t>
      </w:r>
      <w:r>
        <w:t xml:space="preserve"> that imposes the restrictions on PHNs who, in turn, pass on the restrictions to service providers. </w:t>
      </w:r>
      <w:r w:rsidR="00F94F86" w:rsidRPr="00B65F7F">
        <w:t>In reality,</w:t>
      </w:r>
      <w:r>
        <w:t xml:space="preserve"> </w:t>
      </w:r>
      <w:r w:rsidR="00F94F86" w:rsidRPr="00B65F7F">
        <w:t>the inflexibility is driven by multiple factors at various levels; however, it was often difficult for organisations (PHNs and providers) to identify where the inflexibility arises and therefore ways to address it.</w:t>
      </w:r>
    </w:p>
    <w:p w14:paraId="156F0479" w14:textId="77777777" w:rsidR="00F94F86" w:rsidRDefault="00F94F86" w:rsidP="007F26F7">
      <w:pPr>
        <w:pStyle w:val="Quote"/>
      </w:pPr>
      <w:r>
        <w:t>‘With some services and funding there seem to be restrictions around what you can do</w:t>
      </w:r>
      <w:r w:rsidR="00830C1E">
        <w:t xml:space="preserve"> </w:t>
      </w:r>
      <w:r>
        <w:t>... the Aboriginal way is to look at the whole family</w:t>
      </w:r>
      <w:r w:rsidR="00830C1E">
        <w:t>.</w:t>
      </w:r>
      <w:r>
        <w:t xml:space="preserve">’ (ACCHO) </w:t>
      </w:r>
    </w:p>
    <w:p w14:paraId="5F0B62D5" w14:textId="77777777" w:rsidR="00F94F86" w:rsidRPr="00B65F7F" w:rsidRDefault="00F94F86" w:rsidP="00FF35AF">
      <w:pPr>
        <w:pStyle w:val="HeadingLevel5NoNumber"/>
      </w:pPr>
      <w:r w:rsidRPr="00B65F7F">
        <w:t>Stakeholder perspectives</w:t>
      </w:r>
    </w:p>
    <w:p w14:paraId="52DB6D27" w14:textId="77777777" w:rsidR="00F94F86" w:rsidRPr="0097173C" w:rsidRDefault="00F94F86" w:rsidP="0097173C">
      <w:pPr>
        <w:pStyle w:val="BodyText1stparaafterlist"/>
        <w:rPr>
          <w:b/>
          <w:bCs/>
        </w:rPr>
      </w:pPr>
      <w:r w:rsidRPr="0097173C">
        <w:rPr>
          <w:b/>
          <w:bCs/>
        </w:rPr>
        <w:t>Service providers</w:t>
      </w:r>
    </w:p>
    <w:p w14:paraId="46F760F6" w14:textId="77777777" w:rsidR="00F94F86" w:rsidRPr="00B65F7F" w:rsidRDefault="00F94F86" w:rsidP="0097173C">
      <w:pPr>
        <w:pStyle w:val="ListBullet2"/>
        <w:rPr>
          <w:b/>
          <w:bCs/>
        </w:rPr>
      </w:pPr>
      <w:r w:rsidRPr="00B65F7F">
        <w:t xml:space="preserve">Service providers often feel hamstrung by guidelines and roles imposed on them to deliver certain programs. </w:t>
      </w:r>
    </w:p>
    <w:p w14:paraId="1B4F9782" w14:textId="77777777" w:rsidR="00F94F86" w:rsidRPr="00B65F7F" w:rsidRDefault="00F94F86" w:rsidP="0097173C">
      <w:pPr>
        <w:pStyle w:val="ListBullet2"/>
        <w:rPr>
          <w:b/>
          <w:bCs/>
        </w:rPr>
      </w:pPr>
      <w:r w:rsidRPr="00B65F7F">
        <w:t xml:space="preserve">Some providers and staff will go beyond the scope of certain program guidelines and rules to ensure they meet the needs of their clients. However, this is often done at a cost to the staff member (time) or to the organisation. </w:t>
      </w:r>
    </w:p>
    <w:p w14:paraId="57741D68" w14:textId="77777777" w:rsidR="00F94F86" w:rsidRDefault="00F94F86" w:rsidP="0097173C">
      <w:pPr>
        <w:pStyle w:val="ListBullet2"/>
      </w:pPr>
      <w:r w:rsidRPr="00B65F7F">
        <w:t>ITC guidelines are not fit for purpose for many providers and clients.</w:t>
      </w:r>
    </w:p>
    <w:p w14:paraId="1C990E0D" w14:textId="77777777" w:rsidR="00830C1E" w:rsidRDefault="00830C1E" w:rsidP="007F26F7">
      <w:pPr>
        <w:pStyle w:val="Quote"/>
      </w:pPr>
      <w:r>
        <w:t xml:space="preserve">‘The ability to use funding to respond to community in the way community needs, without having as much dictated.’ (ACCHO) </w:t>
      </w:r>
    </w:p>
    <w:p w14:paraId="36BCD872" w14:textId="77777777" w:rsidR="00F94F86" w:rsidRPr="0097173C" w:rsidRDefault="00F94F86" w:rsidP="0097173C">
      <w:pPr>
        <w:pStyle w:val="BodyText1stparaafterlist"/>
        <w:rPr>
          <w:b/>
          <w:bCs/>
        </w:rPr>
      </w:pPr>
      <w:r w:rsidRPr="0097173C">
        <w:rPr>
          <w:b/>
          <w:bCs/>
        </w:rPr>
        <w:t>PHNs</w:t>
      </w:r>
    </w:p>
    <w:p w14:paraId="05C87172" w14:textId="77777777" w:rsidR="00F94F86" w:rsidRPr="00B65F7F" w:rsidRDefault="00F94F86" w:rsidP="0097173C">
      <w:pPr>
        <w:pStyle w:val="ListBullet2"/>
      </w:pPr>
      <w:r w:rsidRPr="00B65F7F">
        <w:t>PHNs acknowledge that ITC guidelines are ‘very prescriptive’ and rigid, which creates challenges for service providers and constrains supplementary funding.</w:t>
      </w:r>
    </w:p>
    <w:p w14:paraId="75B4E8B2" w14:textId="77777777" w:rsidR="00F94F86" w:rsidRPr="0097173C" w:rsidRDefault="00F94F86" w:rsidP="0097173C">
      <w:pPr>
        <w:pStyle w:val="BodyText1stparaafterlist"/>
        <w:rPr>
          <w:b/>
          <w:bCs/>
        </w:rPr>
      </w:pPr>
      <w:r w:rsidRPr="0097173C">
        <w:rPr>
          <w:b/>
          <w:bCs/>
        </w:rPr>
        <w:t>Aboriginal and/or Torres Strait Islander community-controlled peak organisations</w:t>
      </w:r>
    </w:p>
    <w:p w14:paraId="384FDD0A" w14:textId="77777777" w:rsidR="00F94F86" w:rsidRDefault="00F94F86" w:rsidP="0097173C">
      <w:pPr>
        <w:pStyle w:val="ListBullet2"/>
      </w:pPr>
      <w:r w:rsidRPr="00B65F7F">
        <w:t>ITC guidelines were last updated in 2019, and ‘do not reflect Closing the Gap goals’.</w:t>
      </w:r>
    </w:p>
    <w:p w14:paraId="6ADFA385" w14:textId="77777777" w:rsidR="00F94F86" w:rsidRPr="00B65F7F" w:rsidRDefault="00F94F86" w:rsidP="00FF35AF">
      <w:pPr>
        <w:pStyle w:val="HeadingLevel5NoNumber"/>
      </w:pPr>
      <w:r w:rsidRPr="00B65F7F">
        <w:t>Best practice examples identified</w:t>
      </w:r>
    </w:p>
    <w:p w14:paraId="20910BD2" w14:textId="65F58123" w:rsidR="00F94F86" w:rsidRPr="002973C7" w:rsidRDefault="00F94F86" w:rsidP="0097173C">
      <w:pPr>
        <w:pStyle w:val="BodyText"/>
        <w:rPr>
          <w:lang w:eastAsia="en-AU"/>
        </w:rPr>
      </w:pPr>
      <w:r w:rsidRPr="002973C7">
        <w:rPr>
          <w:shd w:val="clear" w:color="auto" w:fill="FFFFFF"/>
        </w:rPr>
        <w:t xml:space="preserve">The </w:t>
      </w:r>
      <w:r w:rsidR="000E5848">
        <w:rPr>
          <w:shd w:val="clear" w:color="auto" w:fill="FFFFFF"/>
        </w:rPr>
        <w:t>Review Team</w:t>
      </w:r>
      <w:r w:rsidRPr="002973C7">
        <w:rPr>
          <w:shd w:val="clear" w:color="auto" w:fill="FFFFFF"/>
        </w:rPr>
        <w:t xml:space="preserve"> was unable to identify </w:t>
      </w:r>
      <w:r>
        <w:rPr>
          <w:shd w:val="clear" w:color="auto" w:fill="FFFFFF"/>
        </w:rPr>
        <w:t xml:space="preserve">any </w:t>
      </w:r>
      <w:r w:rsidRPr="002973C7">
        <w:rPr>
          <w:shd w:val="clear" w:color="auto" w:fill="FFFFFF"/>
        </w:rPr>
        <w:t xml:space="preserve">best practice examples from stakeholders during the </w:t>
      </w:r>
      <w:r w:rsidR="002B031B">
        <w:rPr>
          <w:shd w:val="clear" w:color="auto" w:fill="FFFFFF"/>
        </w:rPr>
        <w:t>R</w:t>
      </w:r>
      <w:r w:rsidRPr="002973C7">
        <w:rPr>
          <w:shd w:val="clear" w:color="auto" w:fill="FFFFFF"/>
        </w:rPr>
        <w:t xml:space="preserve">eview process. </w:t>
      </w:r>
    </w:p>
    <w:p w14:paraId="777F3D58" w14:textId="77777777" w:rsidR="00F94F86" w:rsidRPr="001F12BC" w:rsidRDefault="00F94F86" w:rsidP="00FF35AF">
      <w:pPr>
        <w:pStyle w:val="HeadingLevel4NoNumber"/>
      </w:pPr>
      <w:r w:rsidRPr="001F12BC">
        <w:t xml:space="preserve">Insight 5: </w:t>
      </w:r>
      <w:r w:rsidR="0085080A" w:rsidRPr="001F12BC">
        <w:t>T</w:t>
      </w:r>
      <w:r w:rsidRPr="001F12BC">
        <w:t>he Relevant Health Programs</w:t>
      </w:r>
      <w:r w:rsidR="0085080A" w:rsidRPr="001F12BC">
        <w:t xml:space="preserve"> require adequate and sustained funding to </w:t>
      </w:r>
      <w:r w:rsidRPr="001F12BC">
        <w:t xml:space="preserve">meet the needs of local communities </w:t>
      </w:r>
    </w:p>
    <w:p w14:paraId="676152CD" w14:textId="77777777" w:rsidR="00F94F86" w:rsidRDefault="00830C1E" w:rsidP="0097173C">
      <w:pPr>
        <w:pStyle w:val="BodyText"/>
      </w:pPr>
      <w:r>
        <w:t>DoHAC</w:t>
      </w:r>
      <w:r w:rsidR="00F94F86" w:rsidRPr="00B65F7F">
        <w:t xml:space="preserve"> funding for the Relevant Health Programs, though important, represents only a fraction of the overall financial support required to adequately address the healthcare needs of </w:t>
      </w:r>
      <w:r w:rsidR="00F94F86">
        <w:t>Aboriginal and/or Torres Strait Islander</w:t>
      </w:r>
      <w:r w:rsidR="00F94F86" w:rsidRPr="00B65F7F">
        <w:t xml:space="preserve"> communities.</w:t>
      </w:r>
    </w:p>
    <w:p w14:paraId="1BB269A7" w14:textId="77777777" w:rsidR="00F94F86" w:rsidRDefault="00F94F86" w:rsidP="007F26F7">
      <w:pPr>
        <w:pStyle w:val="Quote"/>
      </w:pPr>
      <w:r>
        <w:t>‘These programs we are talking about are a drop in the ocean</w:t>
      </w:r>
      <w:r w:rsidR="00830C1E">
        <w:t>.</w:t>
      </w:r>
      <w:r>
        <w:t>’ (ACCHO)</w:t>
      </w:r>
    </w:p>
    <w:p w14:paraId="268BE3B7" w14:textId="77777777" w:rsidR="00F94F86" w:rsidRPr="00B65F7F" w:rsidRDefault="00F94F86" w:rsidP="0097173C">
      <w:pPr>
        <w:pStyle w:val="BodyText"/>
      </w:pPr>
      <w:r w:rsidRPr="00B65F7F">
        <w:t xml:space="preserve">It is essential to recognise that funding for First Nation’s healthcare programs comes from multiple sources, including the National Indigenous Australians Agency (NIAA), state and territory governments and various other funding bodies. Service providers, based on their region and jurisdiction, have varying abilities to pool funding from multiple sources to meet the specific needs of their communities. </w:t>
      </w:r>
    </w:p>
    <w:p w14:paraId="5FABB839" w14:textId="77777777" w:rsidR="00F94F86" w:rsidRDefault="00F94F86" w:rsidP="0097173C">
      <w:pPr>
        <w:pStyle w:val="BodyText"/>
      </w:pPr>
      <w:r w:rsidRPr="00B65F7F">
        <w:t xml:space="preserve">Some service providers are unable to access additional funding, leaving them heavily reliant on ITC </w:t>
      </w:r>
      <w:r>
        <w:t xml:space="preserve">program </w:t>
      </w:r>
      <w:r w:rsidRPr="00B65F7F">
        <w:t xml:space="preserve">and/or mental health and suicide prevention funding alone. </w:t>
      </w:r>
      <w:r w:rsidR="00A4635D">
        <w:t>Stakeholders noted that t</w:t>
      </w:r>
      <w:r w:rsidRPr="00B65F7F">
        <w:t xml:space="preserve">his limited financial </w:t>
      </w:r>
      <w:r w:rsidRPr="00B65F7F">
        <w:lastRenderedPageBreak/>
        <w:t xml:space="preserve">scope </w:t>
      </w:r>
      <w:r w:rsidR="00A4635D">
        <w:t>can</w:t>
      </w:r>
      <w:r w:rsidRPr="00B65F7F">
        <w:t xml:space="preserve"> resu</w:t>
      </w:r>
      <w:r w:rsidR="00A4635D">
        <w:t>lt</w:t>
      </w:r>
      <w:r w:rsidRPr="00B65F7F">
        <w:t xml:space="preserve"> in a significant gap between available resources and the actual healthcare needs of these communities.</w:t>
      </w:r>
    </w:p>
    <w:p w14:paraId="59C74D41" w14:textId="77777777" w:rsidR="00F94F86" w:rsidRDefault="00F94F86" w:rsidP="007F26F7">
      <w:pPr>
        <w:pStyle w:val="Quote"/>
      </w:pPr>
      <w:r>
        <w:t>‘Urban and metro needs should be addressed and funded differently. It must be place-based</w:t>
      </w:r>
      <w:r w:rsidR="00185E1F">
        <w:t>.</w:t>
      </w:r>
      <w:r>
        <w:t>’ (</w:t>
      </w:r>
      <w:r w:rsidR="00185E1F">
        <w:t>N</w:t>
      </w:r>
      <w:r>
        <w:t>on-Indigenous service provider)</w:t>
      </w:r>
    </w:p>
    <w:p w14:paraId="4DEB9BB1" w14:textId="77777777" w:rsidR="00F94F86" w:rsidRPr="00B65F7F" w:rsidRDefault="00F94F86" w:rsidP="0097173C">
      <w:pPr>
        <w:pStyle w:val="BodyText"/>
      </w:pPr>
      <w:r w:rsidRPr="00B65F7F">
        <w:t xml:space="preserve">Some ACCHOs noted that in some instances they would not apply for mental health and suicide prevention program funding again, given the small amount of funding </w:t>
      </w:r>
      <w:r w:rsidR="00185E1F">
        <w:t xml:space="preserve">received </w:t>
      </w:r>
      <w:r w:rsidRPr="00B65F7F">
        <w:t xml:space="preserve">and the disproportionate burden of administration needed. </w:t>
      </w:r>
    </w:p>
    <w:p w14:paraId="62C0B069" w14:textId="77777777" w:rsidR="00F94F86" w:rsidRDefault="00F94F86" w:rsidP="0097173C">
      <w:pPr>
        <w:pStyle w:val="BodyText"/>
      </w:pPr>
      <w:r w:rsidRPr="00B65F7F">
        <w:t xml:space="preserve">As a result, disparities in healthcare access and outcomes persist, further underscoring the urgency of a more equitable and comprehensive approach to </w:t>
      </w:r>
      <w:r>
        <w:t>Aboriginal and/or Torres Strait Islander</w:t>
      </w:r>
      <w:r w:rsidRPr="00B65F7F">
        <w:t xml:space="preserve"> healthcare funding.</w:t>
      </w:r>
    </w:p>
    <w:p w14:paraId="153CA78E" w14:textId="77777777" w:rsidR="00F94F86" w:rsidRDefault="00F94F86" w:rsidP="007F26F7">
      <w:pPr>
        <w:pStyle w:val="Quote"/>
      </w:pPr>
      <w:r>
        <w:t>‘Mental health should always include AOD funding</w:t>
      </w:r>
      <w:r w:rsidR="00185E1F">
        <w:t>.</w:t>
      </w:r>
      <w:r>
        <w:t>’ (PHN)</w:t>
      </w:r>
    </w:p>
    <w:p w14:paraId="52F4AC48" w14:textId="77777777" w:rsidR="00F94F86" w:rsidRPr="00B65F7F" w:rsidRDefault="00F94F86" w:rsidP="00FF35AF">
      <w:pPr>
        <w:pStyle w:val="HeadingLevel5NoNumber"/>
      </w:pPr>
      <w:r w:rsidRPr="00B65F7F">
        <w:t>Stakeholder perspectives</w:t>
      </w:r>
    </w:p>
    <w:p w14:paraId="0F821AC1" w14:textId="77777777" w:rsidR="00F94F86" w:rsidRPr="00092F24" w:rsidRDefault="00F94F86" w:rsidP="00092F24">
      <w:pPr>
        <w:pStyle w:val="BodyText1stparaafterlist"/>
        <w:rPr>
          <w:b/>
          <w:bCs/>
        </w:rPr>
      </w:pPr>
      <w:r w:rsidRPr="00092F24">
        <w:rPr>
          <w:b/>
          <w:bCs/>
        </w:rPr>
        <w:t>Service providers</w:t>
      </w:r>
    </w:p>
    <w:p w14:paraId="0D49145D" w14:textId="77777777" w:rsidR="00F94F86" w:rsidRPr="00B65F7F" w:rsidRDefault="00F94F86" w:rsidP="00092F24">
      <w:pPr>
        <w:pStyle w:val="ListBullet2"/>
        <w:rPr>
          <w:b/>
          <w:bCs/>
        </w:rPr>
      </w:pPr>
      <w:r w:rsidRPr="00B65F7F">
        <w:t xml:space="preserve">Providers often shift funds from other health programs to fund aspects the </w:t>
      </w:r>
      <w:r w:rsidR="00FC128B">
        <w:t>Relevant Health Programs</w:t>
      </w:r>
      <w:r w:rsidRPr="00B65F7F">
        <w:t>.</w:t>
      </w:r>
    </w:p>
    <w:p w14:paraId="479EFABE" w14:textId="77777777" w:rsidR="00F94F86" w:rsidRPr="00B65F7F" w:rsidRDefault="00F94F86" w:rsidP="00092F24">
      <w:pPr>
        <w:pStyle w:val="ListBullet2"/>
        <w:rPr>
          <w:b/>
          <w:bCs/>
        </w:rPr>
      </w:pPr>
      <w:r w:rsidRPr="00B65F7F">
        <w:t>Some providers spend a significant amount of time and resources trying to address shortfalls in funding, by applying for grants or ‘cross-subsidising’ programs.</w:t>
      </w:r>
    </w:p>
    <w:p w14:paraId="39062563" w14:textId="77777777" w:rsidR="00F94F86" w:rsidRPr="00B65F7F" w:rsidRDefault="00F94F86" w:rsidP="00092F24">
      <w:pPr>
        <w:pStyle w:val="ListBullet2"/>
        <w:rPr>
          <w:b/>
          <w:bCs/>
        </w:rPr>
      </w:pPr>
      <w:r w:rsidRPr="00B65F7F">
        <w:t xml:space="preserve">Similarly, providers will often spend significant amounts of time to do ‘creative accounting’ to make sure they meet the program requirements and guidelines but still meet their clients’ needs. </w:t>
      </w:r>
    </w:p>
    <w:p w14:paraId="3BD5230D" w14:textId="77777777" w:rsidR="00F94F86" w:rsidRPr="00B65F7F" w:rsidRDefault="00F94F86" w:rsidP="00092F24">
      <w:pPr>
        <w:pStyle w:val="ListBullet2"/>
      </w:pPr>
      <w:r w:rsidRPr="00B65F7F">
        <w:t>Funding for ITC does not meet or reflect true community needs</w:t>
      </w:r>
      <w:r w:rsidR="005A7833">
        <w:t xml:space="preserve"> and priorities</w:t>
      </w:r>
      <w:r w:rsidRPr="00B65F7F">
        <w:t xml:space="preserve"> and can lead to the underfunding of some organisations.</w:t>
      </w:r>
    </w:p>
    <w:p w14:paraId="7AAE8CA0" w14:textId="77777777" w:rsidR="00F94F86" w:rsidRPr="000C4ACF" w:rsidRDefault="00F94F86" w:rsidP="00092F24">
      <w:pPr>
        <w:pStyle w:val="ListBullet2"/>
        <w:rPr>
          <w:b/>
          <w:bCs/>
        </w:rPr>
      </w:pPr>
      <w:r w:rsidRPr="00B65F7F">
        <w:t xml:space="preserve">Client numbers and need for ITC have grown over time; however, the </w:t>
      </w:r>
      <w:r>
        <w:t>amount</w:t>
      </w:r>
      <w:r w:rsidRPr="00B65F7F">
        <w:t xml:space="preserve"> of funds has not reflected this growth.</w:t>
      </w:r>
    </w:p>
    <w:p w14:paraId="1555CD57" w14:textId="77777777" w:rsidR="00F94F86" w:rsidRDefault="00F94F86" w:rsidP="007F26F7">
      <w:pPr>
        <w:pStyle w:val="Quote"/>
      </w:pPr>
      <w:r>
        <w:t>‘Some mob don</w:t>
      </w:r>
      <w:r w:rsidR="006D513D">
        <w:t>’</w:t>
      </w:r>
      <w:r>
        <w:t>t participate in census, [therefore] population-based funding might mean underfunding organisations</w:t>
      </w:r>
      <w:r w:rsidR="00185E1F">
        <w:t>.</w:t>
      </w:r>
      <w:r>
        <w:t>’</w:t>
      </w:r>
      <w:r w:rsidR="00185E1F">
        <w:t xml:space="preserve"> </w:t>
      </w:r>
      <w:r>
        <w:t>(ACCHO)</w:t>
      </w:r>
    </w:p>
    <w:p w14:paraId="17B335C9" w14:textId="77777777" w:rsidR="00F94F86" w:rsidRPr="00092F24" w:rsidRDefault="00F94F86" w:rsidP="00092F24">
      <w:pPr>
        <w:pStyle w:val="BodyText1stparaafterlist"/>
        <w:rPr>
          <w:b/>
          <w:bCs/>
        </w:rPr>
      </w:pPr>
      <w:r w:rsidRPr="00092F24">
        <w:rPr>
          <w:b/>
          <w:bCs/>
        </w:rPr>
        <w:t>PHNs</w:t>
      </w:r>
    </w:p>
    <w:p w14:paraId="512315D1" w14:textId="77777777" w:rsidR="00F94F86" w:rsidRPr="00B65F7F" w:rsidRDefault="00F94F86" w:rsidP="00092F24">
      <w:pPr>
        <w:pStyle w:val="ListBullet2"/>
      </w:pPr>
      <w:r w:rsidRPr="00B65F7F">
        <w:t xml:space="preserve">The funding for Relevant Health Programs is often spread too thin, and contracted providers often combine funding across different programs. </w:t>
      </w:r>
    </w:p>
    <w:p w14:paraId="4A08DCCD" w14:textId="77777777" w:rsidR="00F94F86" w:rsidRPr="00B65F7F" w:rsidRDefault="00F94F86" w:rsidP="00092F24">
      <w:pPr>
        <w:pStyle w:val="ListBullet2"/>
      </w:pPr>
      <w:r w:rsidRPr="00B65F7F">
        <w:t xml:space="preserve">Some PHNs work closely with other funding bodies (such as mental health commissions or state/territory governments) to ensure that funding for the Relevant Health Programs has maximum impact. </w:t>
      </w:r>
    </w:p>
    <w:p w14:paraId="510B7133" w14:textId="77777777" w:rsidR="00F94F86" w:rsidRDefault="00F94F86" w:rsidP="00092F24">
      <w:pPr>
        <w:pStyle w:val="ListBullet2"/>
      </w:pPr>
      <w:r w:rsidRPr="00B65F7F">
        <w:t>Many PHNs recognise that ITC funding has not been able to keep up with demand.</w:t>
      </w:r>
    </w:p>
    <w:p w14:paraId="3F028B5E" w14:textId="77777777" w:rsidR="00F94F86" w:rsidRPr="00092F24" w:rsidRDefault="00F94F86" w:rsidP="00092F24">
      <w:pPr>
        <w:pStyle w:val="BodyText1stparaafterlist"/>
        <w:rPr>
          <w:b/>
          <w:bCs/>
        </w:rPr>
      </w:pPr>
      <w:r w:rsidRPr="00092F24">
        <w:rPr>
          <w:b/>
          <w:bCs/>
        </w:rPr>
        <w:t>Aboriginal and/or Torres Strait Islander community-controlled peak organisations</w:t>
      </w:r>
    </w:p>
    <w:p w14:paraId="5FA966D2" w14:textId="77777777" w:rsidR="00F94F86" w:rsidRDefault="00F94F86" w:rsidP="007F26F7">
      <w:pPr>
        <w:pStyle w:val="Quote"/>
      </w:pPr>
      <w:r>
        <w:t xml:space="preserve">‘The funding from PHNs is tiny compared to other funding. Changing funding arrangements for just these </w:t>
      </w:r>
      <w:r w:rsidR="00185E1F">
        <w:t>2</w:t>
      </w:r>
      <w:r>
        <w:t xml:space="preserve"> programs doesn’t make sense</w:t>
      </w:r>
      <w:r w:rsidR="00185E1F">
        <w:t>.</w:t>
      </w:r>
      <w:r>
        <w:t>’ (</w:t>
      </w:r>
      <w:r w:rsidR="00185E1F">
        <w:t>P</w:t>
      </w:r>
      <w:r>
        <w:t>eak body)</w:t>
      </w:r>
    </w:p>
    <w:p w14:paraId="00DA5FAF" w14:textId="77777777" w:rsidR="00F94F86" w:rsidRPr="00B65F7F" w:rsidRDefault="00F94F86" w:rsidP="00092F24">
      <w:pPr>
        <w:pStyle w:val="ListBullet2"/>
      </w:pPr>
      <w:r w:rsidRPr="00B65F7F">
        <w:t xml:space="preserve">The funding for Relevant Health Programs is a tiny proportion of all funding that many ACCHOs receive. </w:t>
      </w:r>
    </w:p>
    <w:p w14:paraId="5495646F" w14:textId="77777777" w:rsidR="00F94F86" w:rsidRPr="00B65F7F" w:rsidRDefault="00F94F86" w:rsidP="00092F24">
      <w:pPr>
        <w:pStyle w:val="ListBullet2"/>
      </w:pPr>
      <w:r w:rsidRPr="00B65F7F">
        <w:t xml:space="preserve">The funding does not accurately reflect differences in need across the nation. </w:t>
      </w:r>
    </w:p>
    <w:p w14:paraId="023AE872" w14:textId="77777777" w:rsidR="00F94F86" w:rsidRPr="00B65F7F" w:rsidRDefault="00F94F86" w:rsidP="00092F24">
      <w:pPr>
        <w:pStyle w:val="ListBullet2"/>
      </w:pPr>
      <w:r w:rsidRPr="00B65F7F">
        <w:t>Current funding calculations do not capture true community needs</w:t>
      </w:r>
      <w:r w:rsidR="005A7833">
        <w:t xml:space="preserve"> and priorities</w:t>
      </w:r>
      <w:r w:rsidRPr="00B65F7F">
        <w:t xml:space="preserve"> and lead to underfunding. </w:t>
      </w:r>
    </w:p>
    <w:p w14:paraId="28F40E7E" w14:textId="77777777" w:rsidR="00F94F86" w:rsidRPr="00B65F7F" w:rsidRDefault="00F94F86" w:rsidP="00092F24">
      <w:pPr>
        <w:pStyle w:val="ListBullet2"/>
      </w:pPr>
      <w:r w:rsidRPr="00B65F7F">
        <w:lastRenderedPageBreak/>
        <w:t xml:space="preserve">The allocation of ITC funds does not seem to properly consider regional and rural towns with higher populations of </w:t>
      </w:r>
      <w:r>
        <w:t>Aboriginal and/or Torres Strait Islander</w:t>
      </w:r>
      <w:r w:rsidRPr="00B65F7F">
        <w:t xml:space="preserve"> communities.</w:t>
      </w:r>
    </w:p>
    <w:p w14:paraId="35DCD0A4" w14:textId="77777777" w:rsidR="00F94F86" w:rsidRPr="00B65F7F" w:rsidRDefault="00F94F86" w:rsidP="00092F24">
      <w:pPr>
        <w:pStyle w:val="ListBullet2"/>
      </w:pPr>
      <w:r w:rsidRPr="00B65F7F">
        <w:t>Funding allocation guidelines for mental health and suicide prevention programs are important to ensure that all funds allocated across the program are determined by a funding logic that is appropriate to the program. It is critical to ensure that there is adequate consideration of remote loading to account for the higher cost to deliver services in remote areas.</w:t>
      </w:r>
    </w:p>
    <w:p w14:paraId="733CFE63" w14:textId="77777777" w:rsidR="00F94F86" w:rsidRDefault="00F94F86" w:rsidP="00FF35AF">
      <w:pPr>
        <w:pStyle w:val="HeadingLevel5NoNumber"/>
      </w:pPr>
      <w:r w:rsidRPr="00B65F7F">
        <w:t>Best practice examples identified</w:t>
      </w:r>
    </w:p>
    <w:p w14:paraId="05F821DE" w14:textId="1668164D" w:rsidR="00F94F86" w:rsidRPr="002973C7" w:rsidRDefault="00F94F86" w:rsidP="00092F24">
      <w:pPr>
        <w:pStyle w:val="BodyText"/>
        <w:rPr>
          <w:lang w:eastAsia="en-AU"/>
        </w:rPr>
      </w:pPr>
      <w:r w:rsidRPr="002973C7">
        <w:rPr>
          <w:shd w:val="clear" w:color="auto" w:fill="FFFFFF"/>
        </w:rPr>
        <w:t xml:space="preserve">The </w:t>
      </w:r>
      <w:r w:rsidR="000E5848">
        <w:rPr>
          <w:shd w:val="clear" w:color="auto" w:fill="FFFFFF"/>
        </w:rPr>
        <w:t>Review Team</w:t>
      </w:r>
      <w:r w:rsidRPr="002973C7">
        <w:rPr>
          <w:shd w:val="clear" w:color="auto" w:fill="FFFFFF"/>
        </w:rPr>
        <w:t xml:space="preserve"> was unable to</w:t>
      </w:r>
      <w:r>
        <w:rPr>
          <w:shd w:val="clear" w:color="auto" w:fill="FFFFFF"/>
        </w:rPr>
        <w:t xml:space="preserve"> </w:t>
      </w:r>
      <w:r w:rsidRPr="002973C7">
        <w:rPr>
          <w:shd w:val="clear" w:color="auto" w:fill="FFFFFF"/>
        </w:rPr>
        <w:t>identify</w:t>
      </w:r>
      <w:r w:rsidR="00A4635D">
        <w:rPr>
          <w:shd w:val="clear" w:color="auto" w:fill="FFFFFF"/>
        </w:rPr>
        <w:t xml:space="preserve"> any</w:t>
      </w:r>
      <w:r w:rsidRPr="002973C7">
        <w:rPr>
          <w:shd w:val="clear" w:color="auto" w:fill="FFFFFF"/>
        </w:rPr>
        <w:t xml:space="preserve"> best practice examples from stakeholders during the </w:t>
      </w:r>
      <w:r w:rsidR="002B031B">
        <w:rPr>
          <w:shd w:val="clear" w:color="auto" w:fill="FFFFFF"/>
        </w:rPr>
        <w:t>R</w:t>
      </w:r>
      <w:r w:rsidRPr="002973C7">
        <w:rPr>
          <w:shd w:val="clear" w:color="auto" w:fill="FFFFFF"/>
        </w:rPr>
        <w:t xml:space="preserve">eview process. </w:t>
      </w:r>
    </w:p>
    <w:p w14:paraId="1B37E58B" w14:textId="77777777" w:rsidR="00F94F86" w:rsidRPr="001F12BC" w:rsidRDefault="00F94F86" w:rsidP="00FF35AF">
      <w:pPr>
        <w:pStyle w:val="HeadingLevel4NoNumber"/>
      </w:pPr>
      <w:r w:rsidRPr="001F12BC">
        <w:t xml:space="preserve">Insight 6: </w:t>
      </w:r>
      <w:r w:rsidR="0085080A" w:rsidRPr="001F12BC">
        <w:t xml:space="preserve">Longer-term funding cycles in the order of 5-years will enable </w:t>
      </w:r>
      <w:r w:rsidRPr="001F12BC">
        <w:t xml:space="preserve">service providers to deliver services effectively </w:t>
      </w:r>
    </w:p>
    <w:p w14:paraId="4A6DB932" w14:textId="77777777" w:rsidR="00F94F86" w:rsidRDefault="00F94F86" w:rsidP="00092F24">
      <w:pPr>
        <w:pStyle w:val="BodyText"/>
      </w:pPr>
      <w:r w:rsidRPr="00B65F7F">
        <w:t>Short funding cycles are a barrier to service providers being able to deliver services over a sustained period. For example, contracts are 12–24 months long, which prevents service provider organisations being able to effectively design and deliver a service that achieves meaningful outcomes. Moreover, the short funding cycles limit the ability of service providers to employ, develop and retain a trained workforce.</w:t>
      </w:r>
    </w:p>
    <w:p w14:paraId="6E6699BD" w14:textId="77777777" w:rsidR="00F94F86" w:rsidRDefault="00F94F86" w:rsidP="007F26F7">
      <w:pPr>
        <w:pStyle w:val="Quote"/>
      </w:pPr>
      <w:r>
        <w:t>‘It</w:t>
      </w:r>
      <w:r w:rsidR="00185E1F">
        <w:t>’</w:t>
      </w:r>
      <w:r>
        <w:t>s very hard to do proper planning if only funded for 1 or 2 years</w:t>
      </w:r>
      <w:r w:rsidR="00185E1F">
        <w:t>.</w:t>
      </w:r>
      <w:r>
        <w:t>’</w:t>
      </w:r>
      <w:r w:rsidR="00185E1F">
        <w:t xml:space="preserve"> </w:t>
      </w:r>
      <w:r>
        <w:t>(ACCHO)</w:t>
      </w:r>
    </w:p>
    <w:p w14:paraId="7124DB0C" w14:textId="77777777" w:rsidR="00F94F86" w:rsidRDefault="00F94F86" w:rsidP="00092F24">
      <w:pPr>
        <w:pStyle w:val="BodyText"/>
      </w:pPr>
      <w:r w:rsidRPr="00B65F7F">
        <w:t xml:space="preserve">While all stakeholders noted that short funding cycles negatively impact all service provider organisations, affiliate and ACCHO stakeholders noted that ACCHO service providers felt the impact more severely. This is because there is already a limited </w:t>
      </w:r>
      <w:r>
        <w:t>Aboriginal and/or Torres Strait Islander</w:t>
      </w:r>
      <w:r w:rsidRPr="00B65F7F">
        <w:t xml:space="preserve"> workforce and, historically, the investment into ACCHOs has been more limited, meaning that these organisations have limited financial equity they can use to sustain programs where there is a funding shortfall or where the program has not been funded again due to short funding cycles. </w:t>
      </w:r>
    </w:p>
    <w:p w14:paraId="2DF45113" w14:textId="77777777" w:rsidR="00F94F86" w:rsidRDefault="00F94F86" w:rsidP="007F26F7">
      <w:pPr>
        <w:pStyle w:val="Quote"/>
      </w:pPr>
      <w:r>
        <w:t>‘If staff don</w:t>
      </w:r>
      <w:r w:rsidR="00185E1F">
        <w:t>’</w:t>
      </w:r>
      <w:r>
        <w:t>t know they have security, they</w:t>
      </w:r>
      <w:r w:rsidR="00185E1F">
        <w:t>’</w:t>
      </w:r>
      <w:r>
        <w:t>ll end up getting poached</w:t>
      </w:r>
      <w:r w:rsidR="00185E1F">
        <w:t>.</w:t>
      </w:r>
      <w:r>
        <w:t>’</w:t>
      </w:r>
      <w:r w:rsidR="00185E1F">
        <w:t xml:space="preserve"> </w:t>
      </w:r>
      <w:r>
        <w:t>(ACCHO)</w:t>
      </w:r>
    </w:p>
    <w:p w14:paraId="10D7072B" w14:textId="77777777" w:rsidR="00F94F86" w:rsidRPr="00B65F7F" w:rsidRDefault="00F94F86" w:rsidP="00FF35AF">
      <w:pPr>
        <w:pStyle w:val="HeadingLevel5NoNumber"/>
      </w:pPr>
      <w:r w:rsidRPr="00B65F7F">
        <w:t>Stakeholder perspectives</w:t>
      </w:r>
    </w:p>
    <w:p w14:paraId="243AB81E" w14:textId="77777777" w:rsidR="00F94F86" w:rsidRPr="00092F24" w:rsidRDefault="00F94F86" w:rsidP="00092F24">
      <w:pPr>
        <w:pStyle w:val="BodyText1stparaafterlist"/>
        <w:rPr>
          <w:b/>
          <w:bCs/>
        </w:rPr>
      </w:pPr>
      <w:r w:rsidRPr="00092F24">
        <w:rPr>
          <w:b/>
          <w:bCs/>
        </w:rPr>
        <w:t>Service providers</w:t>
      </w:r>
    </w:p>
    <w:p w14:paraId="7BB612EA" w14:textId="77777777" w:rsidR="00F94F86" w:rsidRDefault="00F94F86" w:rsidP="007F26F7">
      <w:pPr>
        <w:pStyle w:val="Quote"/>
      </w:pPr>
      <w:r>
        <w:t>‘You cannot recruit anyone to a 12-month contract</w:t>
      </w:r>
      <w:r w:rsidR="00185E1F">
        <w:t>.</w:t>
      </w:r>
      <w:r>
        <w:t>’ (non-Indigenous service provider)</w:t>
      </w:r>
    </w:p>
    <w:p w14:paraId="130087CF" w14:textId="77777777" w:rsidR="00F94F86" w:rsidRPr="00B65F7F" w:rsidRDefault="00F94F86" w:rsidP="00092F24">
      <w:pPr>
        <w:pStyle w:val="ListBullet2"/>
        <w:rPr>
          <w:b/>
          <w:bCs/>
        </w:rPr>
      </w:pPr>
      <w:r w:rsidRPr="00B65F7F">
        <w:t>Short funding cycles make it difficult to plan.</w:t>
      </w:r>
    </w:p>
    <w:p w14:paraId="1666B9CA" w14:textId="77777777" w:rsidR="00F94F86" w:rsidRPr="00B65F7F" w:rsidRDefault="00F94F86" w:rsidP="00092F24">
      <w:pPr>
        <w:pStyle w:val="ListBullet2"/>
        <w:rPr>
          <w:b/>
          <w:bCs/>
        </w:rPr>
      </w:pPr>
      <w:r w:rsidRPr="00B65F7F">
        <w:t>Short funding cycles have prevented some providers from building capacity and capability in terms of workforce, service design and continuously meeting client needs.</w:t>
      </w:r>
    </w:p>
    <w:p w14:paraId="7DF22696" w14:textId="77777777" w:rsidR="00F94F86" w:rsidRPr="00B65F7F" w:rsidRDefault="00F94F86" w:rsidP="00092F24">
      <w:pPr>
        <w:pStyle w:val="ListBullet2"/>
        <w:rPr>
          <w:b/>
          <w:bCs/>
        </w:rPr>
      </w:pPr>
      <w:r w:rsidRPr="00B65F7F">
        <w:t>Short funding cycles lead to a lack of continuity in service delivery, which greatly impacts clients and creates gaps in care.</w:t>
      </w:r>
    </w:p>
    <w:p w14:paraId="4DBF4F23" w14:textId="77777777" w:rsidR="00F94F86" w:rsidRPr="00E87502" w:rsidRDefault="00F94F86" w:rsidP="00092F24">
      <w:pPr>
        <w:pStyle w:val="ListBullet2"/>
        <w:rPr>
          <w:b/>
          <w:bCs/>
        </w:rPr>
      </w:pPr>
      <w:r w:rsidRPr="00B65F7F">
        <w:t>Short funding cycles create a sentiment among ACCHOs that they are not trusted to deliver services over a long period.</w:t>
      </w:r>
    </w:p>
    <w:p w14:paraId="3F4BDB4A" w14:textId="77777777" w:rsidR="00F94F86" w:rsidRDefault="00F94F86" w:rsidP="00092F24">
      <w:pPr>
        <w:pStyle w:val="ListBullet2"/>
      </w:pPr>
      <w:r w:rsidRPr="00B65F7F">
        <w:t>From a workforce perspective, short funding cycles contribute to high turnover of staff. This, in turn, leads to inconsistency in service delivery and contributes to community member frustration when they are required to retell their story or where their preferred service provider can no longer run a specific program. </w:t>
      </w:r>
    </w:p>
    <w:p w14:paraId="5C287D19" w14:textId="77777777" w:rsidR="00F94F86" w:rsidRDefault="00F94F86" w:rsidP="007F26F7">
      <w:pPr>
        <w:pStyle w:val="Quote"/>
      </w:pPr>
      <w:r>
        <w:t>‘We lose so many staff because of the nature of short</w:t>
      </w:r>
      <w:r w:rsidR="00185E1F">
        <w:t>-</w:t>
      </w:r>
      <w:r>
        <w:t>term contracts</w:t>
      </w:r>
      <w:r w:rsidR="00185E1F">
        <w:t>.</w:t>
      </w:r>
      <w:r>
        <w:t>’ (ACCHO)</w:t>
      </w:r>
    </w:p>
    <w:p w14:paraId="18541268" w14:textId="77777777" w:rsidR="00F94F86" w:rsidRPr="00092F24" w:rsidRDefault="00F94F86" w:rsidP="00092F24">
      <w:pPr>
        <w:pStyle w:val="BodyText1stparaafterlist"/>
        <w:keepNext/>
        <w:rPr>
          <w:b/>
          <w:bCs/>
        </w:rPr>
      </w:pPr>
      <w:r w:rsidRPr="00092F24">
        <w:rPr>
          <w:b/>
          <w:bCs/>
        </w:rPr>
        <w:lastRenderedPageBreak/>
        <w:t>PHNs</w:t>
      </w:r>
    </w:p>
    <w:p w14:paraId="6C52EFF4" w14:textId="77777777" w:rsidR="00F94F86" w:rsidRPr="00B65F7F" w:rsidRDefault="00F94F86" w:rsidP="00092F24">
      <w:pPr>
        <w:pStyle w:val="ListBullet2"/>
      </w:pPr>
      <w:r w:rsidRPr="00B65F7F">
        <w:t>Short funding cycles with limited funding make it difficult for service providers to build capacity and capability for the workforce, design services</w:t>
      </w:r>
      <w:r w:rsidRPr="00B65F7F" w:rsidDel="00155FAB">
        <w:t xml:space="preserve"> </w:t>
      </w:r>
      <w:r w:rsidRPr="00B65F7F">
        <w:t>and ensure service continuity.</w:t>
      </w:r>
    </w:p>
    <w:p w14:paraId="44CC4B1E" w14:textId="77777777" w:rsidR="00F94F86" w:rsidRPr="00B65F7F" w:rsidRDefault="00F94F86" w:rsidP="00092F24">
      <w:pPr>
        <w:pStyle w:val="ListBullet2"/>
      </w:pPr>
      <w:r w:rsidRPr="00B65F7F">
        <w:t>Short funding cycles limit the ability of PHNs and service providers to build sustainable and ongoing services.</w:t>
      </w:r>
    </w:p>
    <w:p w14:paraId="6C6A91E4" w14:textId="77777777" w:rsidR="00F94F86" w:rsidRDefault="00185E1F" w:rsidP="00092F24">
      <w:pPr>
        <w:pStyle w:val="ListBullet2"/>
      </w:pPr>
      <w:r>
        <w:t>Three</w:t>
      </w:r>
      <w:r w:rsidR="00F94F86" w:rsidRPr="00B65F7F">
        <w:t>-year funding cycle</w:t>
      </w:r>
      <w:r w:rsidR="00F94F86">
        <w:t>s can be problematic</w:t>
      </w:r>
      <w:r w:rsidR="00F94F86" w:rsidRPr="00B65F7F">
        <w:t xml:space="preserve"> as some PHN</w:t>
      </w:r>
      <w:r w:rsidR="00A4635D">
        <w:t>s</w:t>
      </w:r>
      <w:r w:rsidR="00F94F86" w:rsidRPr="00B65F7F">
        <w:t xml:space="preserve"> may use 1–2 years to </w:t>
      </w:r>
      <w:r w:rsidR="00F94F86">
        <w:t xml:space="preserve">design and </w:t>
      </w:r>
      <w:r w:rsidR="00F94F86" w:rsidRPr="00B65F7F">
        <w:t xml:space="preserve">establish </w:t>
      </w:r>
      <w:r w:rsidR="00F94F86">
        <w:t xml:space="preserve">the service </w:t>
      </w:r>
      <w:r w:rsidR="00F94F86" w:rsidRPr="00B65F7F">
        <w:t>before going out to tender.</w:t>
      </w:r>
    </w:p>
    <w:p w14:paraId="4F6BC96B" w14:textId="77777777" w:rsidR="00F94F86" w:rsidRPr="00092F24" w:rsidRDefault="00F94F86" w:rsidP="00092F24">
      <w:pPr>
        <w:pStyle w:val="BodyText1stparaafterlist"/>
        <w:rPr>
          <w:b/>
          <w:bCs/>
        </w:rPr>
      </w:pPr>
      <w:r w:rsidRPr="00092F24">
        <w:rPr>
          <w:b/>
          <w:bCs/>
        </w:rPr>
        <w:t>Aboriginal and/or Torres Strait Islander community-controlled peak organisations</w:t>
      </w:r>
    </w:p>
    <w:p w14:paraId="751AF5CB" w14:textId="77777777" w:rsidR="00F94F86" w:rsidRPr="00B65F7F" w:rsidRDefault="00F94F86" w:rsidP="00092F24">
      <w:pPr>
        <w:pStyle w:val="ListBullet2"/>
      </w:pPr>
      <w:r w:rsidRPr="00B65F7F">
        <w:t>Short funding cycles limit the ability of providers to build sustainable and ongoing services and respond to growth in needs.</w:t>
      </w:r>
    </w:p>
    <w:p w14:paraId="26546A7A" w14:textId="77777777" w:rsidR="00F94F86" w:rsidRPr="00B65F7F" w:rsidRDefault="00F94F86" w:rsidP="00092F24">
      <w:pPr>
        <w:pStyle w:val="ListBullet2"/>
      </w:pPr>
      <w:r w:rsidRPr="00B65F7F">
        <w:t>Most funding is for 12–24 months; however, SEWB and suicide prevention activities require significantly more time to be designed with the community and delivered so they result in meaningful outcomes.</w:t>
      </w:r>
    </w:p>
    <w:p w14:paraId="0F859C38" w14:textId="77777777" w:rsidR="00F94F86" w:rsidRPr="00B65F7F" w:rsidRDefault="00F94F86" w:rsidP="00092F24">
      <w:pPr>
        <w:pStyle w:val="ListBullet2"/>
      </w:pPr>
      <w:r w:rsidRPr="00B65F7F">
        <w:t>There is</w:t>
      </w:r>
      <w:r w:rsidR="003B4C2A">
        <w:t xml:space="preserve"> the perception of a</w:t>
      </w:r>
      <w:r w:rsidRPr="00B65F7F" w:rsidDel="00155FAB">
        <w:t xml:space="preserve"> </w:t>
      </w:r>
      <w:r w:rsidRPr="00B65F7F">
        <w:t xml:space="preserve">disparity in contract funding cycles between Aboriginal and non-Indigenous organisations (i.e. non-Indigenous organisations can secure long-term contracts over 3 years, whereas </w:t>
      </w:r>
      <w:r>
        <w:t>Aboriginal and/or Torres Strait Islander</w:t>
      </w:r>
      <w:r w:rsidRPr="00B65F7F">
        <w:t xml:space="preserve"> organisations </w:t>
      </w:r>
      <w:r>
        <w:t xml:space="preserve">funded under the Relevant Health Program </w:t>
      </w:r>
      <w:r w:rsidRPr="00B65F7F">
        <w:t>receive short-term contracts of 12–24 months).</w:t>
      </w:r>
    </w:p>
    <w:p w14:paraId="13C6D847" w14:textId="77777777" w:rsidR="00F94F86" w:rsidRPr="00B65F7F" w:rsidRDefault="00F94F86" w:rsidP="00092F24">
      <w:pPr>
        <w:pStyle w:val="ListBullet2"/>
      </w:pPr>
      <w:r w:rsidRPr="00B65F7F">
        <w:t>Many contract cycles do not align, causing further planning issues for providers.</w:t>
      </w:r>
    </w:p>
    <w:p w14:paraId="4E63DDA8" w14:textId="77777777" w:rsidR="00F94F86" w:rsidRPr="00B65F7F" w:rsidRDefault="00F94F86" w:rsidP="00FF35AF">
      <w:pPr>
        <w:pStyle w:val="HeadingLevel5NoNumber"/>
      </w:pPr>
      <w:r w:rsidRPr="00B65F7F">
        <w:t>Best practice examples identified</w:t>
      </w:r>
    </w:p>
    <w:p w14:paraId="683B42E8" w14:textId="77777777" w:rsidR="00F94F86" w:rsidRDefault="00F94F86" w:rsidP="00541BE0">
      <w:pPr>
        <w:pStyle w:val="BodyText"/>
      </w:pPr>
      <w:r w:rsidRPr="00B65F7F">
        <w:t>The Northern Territory Government has implemented an approach where contract duration is no shorter than 5 years except in exceptional circumstances. This approach was informed by a co-designed process to balance accountability and ensure sufficient lead time to ensure the programs can operate with certainty.</w:t>
      </w:r>
    </w:p>
    <w:p w14:paraId="4482A60F" w14:textId="77777777" w:rsidR="00F94F86" w:rsidRPr="001F12BC" w:rsidRDefault="00F94F86" w:rsidP="00FF35AF">
      <w:pPr>
        <w:pStyle w:val="HeadingLevel4NoNumber"/>
      </w:pPr>
      <w:r w:rsidRPr="001F12BC">
        <w:t>Insight 7: Aboriginal and/or Torres Strait Islander people experience barriers to accessing services</w:t>
      </w:r>
    </w:p>
    <w:p w14:paraId="632956E1" w14:textId="2BD7E207" w:rsidR="00F94F86" w:rsidRPr="00CE3478" w:rsidRDefault="00F94F86" w:rsidP="00541BE0">
      <w:pPr>
        <w:pStyle w:val="BodyText"/>
      </w:pPr>
      <w:r w:rsidRPr="00B65F7F">
        <w:t>All stakeholders engaged</w:t>
      </w:r>
      <w:r>
        <w:t xml:space="preserve"> (</w:t>
      </w:r>
      <w:r w:rsidR="00AB7745">
        <w:fldChar w:fldCharType="begin"/>
      </w:r>
      <w:r w:rsidR="00AB7745">
        <w:instrText xml:space="preserve"> REF App5 \h </w:instrText>
      </w:r>
      <w:r w:rsidR="00AB7745">
        <w:fldChar w:fldCharType="separate"/>
      </w:r>
      <w:r w:rsidR="00934D5E" w:rsidRPr="00B65F7F">
        <w:t xml:space="preserve">Appendix </w:t>
      </w:r>
      <w:r w:rsidR="00934D5E">
        <w:t>5 –</w:t>
      </w:r>
      <w:r w:rsidR="00934D5E" w:rsidRPr="00B65F7F">
        <w:t xml:space="preserve"> Stakeholders engaged</w:t>
      </w:r>
      <w:r w:rsidR="00AB7745">
        <w:fldChar w:fldCharType="end"/>
      </w:r>
      <w:r>
        <w:t xml:space="preserve">) </w:t>
      </w:r>
      <w:r w:rsidRPr="00CE3478">
        <w:t xml:space="preserve">noted that several factors exist that prevent Aboriginal and/or Torres Strait Islander peoples from accessing services. These factors are both extrinsic (e.g. areas where there are no service providers) and intrinsic (e.g. culturally unsafe services). Other challenges and barriers to service access include: </w:t>
      </w:r>
    </w:p>
    <w:p w14:paraId="43F6CFE1" w14:textId="77777777" w:rsidR="00F94F86" w:rsidRPr="00CE3478" w:rsidRDefault="00F94F86" w:rsidP="00541BE0">
      <w:pPr>
        <w:pStyle w:val="ListBullet2"/>
      </w:pPr>
      <w:r w:rsidRPr="00CE3478">
        <w:t>the lack of available (and accessible) transportation</w:t>
      </w:r>
    </w:p>
    <w:p w14:paraId="6E91B1EB" w14:textId="77777777" w:rsidR="00F94F86" w:rsidRPr="00CE3478" w:rsidRDefault="00F94F86" w:rsidP="00541BE0">
      <w:pPr>
        <w:pStyle w:val="ListBullet2"/>
      </w:pPr>
      <w:r w:rsidRPr="00CE3478">
        <w:t>cultural tension</w:t>
      </w:r>
    </w:p>
    <w:p w14:paraId="666373A3" w14:textId="77777777" w:rsidR="00F94F86" w:rsidRPr="00CE3478" w:rsidRDefault="00F94F86" w:rsidP="00541BE0">
      <w:pPr>
        <w:pStyle w:val="ListBullet2"/>
      </w:pPr>
      <w:r w:rsidRPr="00CE3478">
        <w:t>prohibitive service cost</w:t>
      </w:r>
    </w:p>
    <w:p w14:paraId="10582A61" w14:textId="77777777" w:rsidR="00F94F86" w:rsidRPr="00CE3478" w:rsidRDefault="00F94F86" w:rsidP="00541BE0">
      <w:pPr>
        <w:pStyle w:val="ListBullet2"/>
      </w:pPr>
      <w:r w:rsidRPr="00CE3478">
        <w:t>lack of knowledge of available services</w:t>
      </w:r>
    </w:p>
    <w:p w14:paraId="215E8FE0" w14:textId="77777777" w:rsidR="00F94F86" w:rsidRPr="00CE3478" w:rsidRDefault="00F94F86" w:rsidP="00541BE0">
      <w:pPr>
        <w:pStyle w:val="ListBullet2"/>
      </w:pPr>
      <w:r w:rsidRPr="00CE3478">
        <w:t>rigid service eligibility criteria</w:t>
      </w:r>
    </w:p>
    <w:p w14:paraId="43C24689" w14:textId="77777777" w:rsidR="00F94F86" w:rsidRPr="00CE3478" w:rsidRDefault="00F94F86" w:rsidP="00541BE0">
      <w:pPr>
        <w:pStyle w:val="ListBullet2"/>
      </w:pPr>
      <w:r w:rsidRPr="00CE3478">
        <w:t>privacy concerns in the community and a person’s social circle</w:t>
      </w:r>
    </w:p>
    <w:p w14:paraId="0F18DE86" w14:textId="77777777" w:rsidR="00F94F86" w:rsidRDefault="00F94F86" w:rsidP="00541BE0">
      <w:pPr>
        <w:pStyle w:val="ListBullet2"/>
      </w:pPr>
      <w:r w:rsidRPr="00CE3478">
        <w:t>stigma associated with accessing services (e.g. mental health or suicide prevention programs).</w:t>
      </w:r>
    </w:p>
    <w:p w14:paraId="481D6B9C" w14:textId="77777777" w:rsidR="00F94F86" w:rsidRDefault="00F94F86" w:rsidP="007F26F7">
      <w:pPr>
        <w:pStyle w:val="Quote"/>
      </w:pPr>
      <w:r>
        <w:t>‘There is just no capacity or funding for us to provide a proper service to the community</w:t>
      </w:r>
      <w:r w:rsidR="00185E1F">
        <w:t>.</w:t>
      </w:r>
      <w:r>
        <w:t>’ (ACCHO)</w:t>
      </w:r>
    </w:p>
    <w:p w14:paraId="2BB60A9A" w14:textId="77777777" w:rsidR="00F94F86" w:rsidRPr="00B65F7F" w:rsidRDefault="00F94F86" w:rsidP="00FF35AF">
      <w:pPr>
        <w:pStyle w:val="HeadingLevel5NoNumber"/>
      </w:pPr>
      <w:r w:rsidRPr="00B65F7F">
        <w:t>Stakeholder perspectives</w:t>
      </w:r>
    </w:p>
    <w:p w14:paraId="01C18200" w14:textId="77777777" w:rsidR="00F94F86" w:rsidRPr="00541BE0" w:rsidRDefault="00F94F86" w:rsidP="00541BE0">
      <w:pPr>
        <w:pStyle w:val="BodyText1stparaafterlist"/>
        <w:rPr>
          <w:b/>
          <w:bCs/>
        </w:rPr>
      </w:pPr>
      <w:r w:rsidRPr="00541BE0">
        <w:rPr>
          <w:b/>
          <w:bCs/>
        </w:rPr>
        <w:t>Service providers</w:t>
      </w:r>
    </w:p>
    <w:p w14:paraId="77A4FB7C" w14:textId="77777777" w:rsidR="00F94F86" w:rsidRPr="00B65F7F" w:rsidRDefault="00F94F86" w:rsidP="00541BE0">
      <w:pPr>
        <w:pStyle w:val="ListBullet2"/>
      </w:pPr>
      <w:r w:rsidRPr="00B65F7F">
        <w:t xml:space="preserve">Areas without adequate ACCHO services </w:t>
      </w:r>
      <w:r>
        <w:t xml:space="preserve">can </w:t>
      </w:r>
      <w:r w:rsidRPr="00B65F7F">
        <w:t xml:space="preserve">contribute to </w:t>
      </w:r>
      <w:r>
        <w:t>Aboriginal and/or Torres Strait Islander</w:t>
      </w:r>
      <w:r w:rsidRPr="00B65F7F">
        <w:t xml:space="preserve"> people avoiding using these services. </w:t>
      </w:r>
    </w:p>
    <w:p w14:paraId="0F50BAD0" w14:textId="77777777" w:rsidR="00F94F86" w:rsidRPr="00B65F7F" w:rsidRDefault="00F94F86" w:rsidP="00541BE0">
      <w:pPr>
        <w:pStyle w:val="ListBullet2"/>
      </w:pPr>
      <w:r>
        <w:t>Aboriginal and/or Torres Strait Islander</w:t>
      </w:r>
      <w:r w:rsidRPr="00B65F7F">
        <w:t xml:space="preserve"> peoples will more readily access services where they feel they can share personal information related to their health, leading to increased trust and confidence, and </w:t>
      </w:r>
      <w:r w:rsidRPr="00B65F7F">
        <w:lastRenderedPageBreak/>
        <w:t xml:space="preserve">avoid those where they have privacy concerns. </w:t>
      </w:r>
      <w:r>
        <w:t>This may mean that in smaller towns where there is only an ACCHO, Aboriginal and/or Torres Strait Islander</w:t>
      </w:r>
      <w:r w:rsidRPr="00B65F7F">
        <w:t xml:space="preserve"> peoples</w:t>
      </w:r>
      <w:r>
        <w:t xml:space="preserve"> may not seek out services if they are not confident that the organisation will maintain their privacy</w:t>
      </w:r>
      <w:r w:rsidRPr="00B65F7F">
        <w:t>.</w:t>
      </w:r>
    </w:p>
    <w:p w14:paraId="271B8439" w14:textId="77777777" w:rsidR="00F94F86" w:rsidRPr="00B65F7F" w:rsidRDefault="00F94F86" w:rsidP="00541BE0">
      <w:pPr>
        <w:pStyle w:val="ListBullet2"/>
      </w:pPr>
      <w:r>
        <w:t>Aboriginal and/or Torres Strait Islander</w:t>
      </w:r>
      <w:r w:rsidRPr="00B65F7F">
        <w:t xml:space="preserve"> people may be concerned about the stigma attached to accessing particular services, such as mental health or suicide prevention programs.</w:t>
      </w:r>
    </w:p>
    <w:p w14:paraId="65AC3D32" w14:textId="77777777" w:rsidR="00F94F86" w:rsidRPr="00C15E75" w:rsidRDefault="00F94F86" w:rsidP="00541BE0">
      <w:pPr>
        <w:pStyle w:val="ListBullet2"/>
        <w:rPr>
          <w:b/>
          <w:bCs/>
        </w:rPr>
      </w:pPr>
      <w:r w:rsidRPr="00B65F7F">
        <w:t>Telehealth is prohibitive for people living in regions without reliable electricity or internet coverage.</w:t>
      </w:r>
    </w:p>
    <w:p w14:paraId="1BB493BD" w14:textId="77777777" w:rsidR="00F94F86" w:rsidRDefault="00F94F86" w:rsidP="007F26F7">
      <w:pPr>
        <w:pStyle w:val="Quote"/>
      </w:pPr>
      <w:r>
        <w:t>‘Some mob won’t want to come into the service because of stigma</w:t>
      </w:r>
      <w:r w:rsidR="00185E1F">
        <w:t>.</w:t>
      </w:r>
      <w:r>
        <w:t>’ (ACCHO)</w:t>
      </w:r>
    </w:p>
    <w:p w14:paraId="799474B3" w14:textId="77777777" w:rsidR="00F94F86" w:rsidRPr="00541BE0" w:rsidRDefault="00F94F86" w:rsidP="00541BE0">
      <w:pPr>
        <w:pStyle w:val="BodyText1stparaafterlist"/>
        <w:rPr>
          <w:b/>
          <w:bCs/>
        </w:rPr>
      </w:pPr>
      <w:r w:rsidRPr="00541BE0">
        <w:rPr>
          <w:b/>
          <w:bCs/>
        </w:rPr>
        <w:t>Community</w:t>
      </w:r>
    </w:p>
    <w:p w14:paraId="4F4DFC53" w14:textId="77777777" w:rsidR="00F94F86" w:rsidRDefault="00F94F86" w:rsidP="007F26F7">
      <w:pPr>
        <w:pStyle w:val="Quote"/>
      </w:pPr>
      <w:r>
        <w:t>‘Access to GPs is starting to disrupt continuity of care</w:t>
      </w:r>
      <w:r w:rsidR="00185E1F">
        <w:t>.</w:t>
      </w:r>
      <w:r>
        <w:t>’ (</w:t>
      </w:r>
      <w:r w:rsidR="00AB7745">
        <w:t>C</w:t>
      </w:r>
      <w:r>
        <w:t>ommunity member)</w:t>
      </w:r>
    </w:p>
    <w:p w14:paraId="7DD5DB62" w14:textId="77777777" w:rsidR="00F94F86" w:rsidRDefault="00F94F86" w:rsidP="00541BE0">
      <w:pPr>
        <w:pStyle w:val="ListBullet2"/>
      </w:pPr>
      <w:r w:rsidRPr="00B65F7F">
        <w:t xml:space="preserve">Limited health literacy makes it difficult to navigate what services to use, and when to use them. </w:t>
      </w:r>
    </w:p>
    <w:p w14:paraId="104E39A3" w14:textId="77777777" w:rsidR="00F94F86" w:rsidRDefault="00F94F86" w:rsidP="007F26F7">
      <w:pPr>
        <w:pStyle w:val="Quote"/>
      </w:pPr>
      <w:r>
        <w:t xml:space="preserve">‘Biggest problem is that services don’t promote themselves </w:t>
      </w:r>
      <w:r w:rsidR="00AB7745">
        <w:t>–</w:t>
      </w:r>
      <w:r>
        <w:t xml:space="preserve"> no one knows what’s around</w:t>
      </w:r>
      <w:r w:rsidR="00185E1F">
        <w:t>.</w:t>
      </w:r>
      <w:r>
        <w:t>’ (</w:t>
      </w:r>
      <w:r w:rsidR="00AB7745">
        <w:t>C</w:t>
      </w:r>
      <w:r>
        <w:t>ommunity member)</w:t>
      </w:r>
    </w:p>
    <w:p w14:paraId="2405DF6F" w14:textId="77777777" w:rsidR="00F94F86" w:rsidRPr="00B65F7F" w:rsidRDefault="00F94F86" w:rsidP="00541BE0">
      <w:pPr>
        <w:pStyle w:val="ListBullet2"/>
      </w:pPr>
      <w:r w:rsidRPr="00B65F7F">
        <w:t>Eligibility parameters may be confusing or limiting for community members when accessing services, particularly for mental health services.</w:t>
      </w:r>
    </w:p>
    <w:p w14:paraId="1059682A" w14:textId="77777777" w:rsidR="00F94F86" w:rsidRPr="00B65F7F" w:rsidRDefault="00F94F86" w:rsidP="00541BE0">
      <w:pPr>
        <w:pStyle w:val="ListBullet2"/>
      </w:pPr>
      <w:r w:rsidRPr="00B65F7F">
        <w:t xml:space="preserve">In more isolated areas, access to available and accessible </w:t>
      </w:r>
      <w:r>
        <w:t>transport</w:t>
      </w:r>
      <w:r w:rsidRPr="00B65F7F">
        <w:t xml:space="preserve"> is particularly challenging, meaning that community members forego care when the travel is long and exhausting.</w:t>
      </w:r>
    </w:p>
    <w:p w14:paraId="50FDC7A2" w14:textId="77777777" w:rsidR="00F94F86" w:rsidRDefault="00F94F86" w:rsidP="00541BE0">
      <w:pPr>
        <w:pStyle w:val="ListBullet2"/>
      </w:pPr>
      <w:r w:rsidRPr="00B65F7F">
        <w:t>The cost of attending a non-bulk billing GP is prohibitive for many community members.</w:t>
      </w:r>
    </w:p>
    <w:p w14:paraId="32E06A6B" w14:textId="77777777" w:rsidR="00F94F86" w:rsidRDefault="00F94F86" w:rsidP="007F26F7">
      <w:pPr>
        <w:pStyle w:val="Quote"/>
      </w:pPr>
      <w:r>
        <w:t>‘I don</w:t>
      </w:r>
      <w:r w:rsidR="00185E1F">
        <w:t>’</w:t>
      </w:r>
      <w:r>
        <w:t>t have a choice. I’m low income and I need to take what I can get</w:t>
      </w:r>
      <w:r w:rsidR="00185E1F">
        <w:t>.</w:t>
      </w:r>
      <w:r>
        <w:t>’ (</w:t>
      </w:r>
      <w:r w:rsidR="00AB7745">
        <w:t>C</w:t>
      </w:r>
      <w:r>
        <w:t>ommunity member)</w:t>
      </w:r>
    </w:p>
    <w:p w14:paraId="665F592B" w14:textId="77777777" w:rsidR="00F94F86" w:rsidRDefault="00F94F86" w:rsidP="00541BE0">
      <w:pPr>
        <w:pStyle w:val="ListBullet2"/>
      </w:pPr>
      <w:r w:rsidRPr="00B65F7F">
        <w:t xml:space="preserve">Lack of culturally safe care leads to individuals feeling shame when accessing mainstream services. This may be caused by situations where a female </w:t>
      </w:r>
      <w:r w:rsidR="00A4635D">
        <w:t xml:space="preserve">client </w:t>
      </w:r>
      <w:r w:rsidRPr="00B65F7F">
        <w:t xml:space="preserve">does not wish to receive care from a male </w:t>
      </w:r>
      <w:r w:rsidR="00A4635D">
        <w:t xml:space="preserve">worker </w:t>
      </w:r>
      <w:r w:rsidRPr="00B65F7F">
        <w:t>(and vice versa), a lack of knowledge and understanding of Aboriginality, or disrespectful interactions that are racist or involve stereotyping.</w:t>
      </w:r>
    </w:p>
    <w:p w14:paraId="72ECBFB4" w14:textId="77777777" w:rsidR="00F94F86" w:rsidRPr="00B65F7F" w:rsidRDefault="00F94F86" w:rsidP="00541BE0">
      <w:pPr>
        <w:pStyle w:val="ListBullet2"/>
      </w:pPr>
      <w:r w:rsidRPr="00B65F7F">
        <w:t>Communication and language barriers prevent individuals from seeking care where they do not feel they can communicate with their provider/s.</w:t>
      </w:r>
    </w:p>
    <w:p w14:paraId="7F834A9B" w14:textId="77777777" w:rsidR="00F94F86" w:rsidRPr="00B65F7F" w:rsidRDefault="00F94F86" w:rsidP="00541BE0">
      <w:pPr>
        <w:pStyle w:val="ListBullet2"/>
      </w:pPr>
      <w:r w:rsidRPr="00B65F7F">
        <w:t xml:space="preserve">Lengthy and confusing forms are often not translated or explained to individuals. </w:t>
      </w:r>
    </w:p>
    <w:p w14:paraId="6AD22400" w14:textId="77777777" w:rsidR="00F94F86" w:rsidRPr="00B65F7F" w:rsidRDefault="00F94F86" w:rsidP="00541BE0">
      <w:pPr>
        <w:pStyle w:val="ListBullet2"/>
      </w:pPr>
      <w:r w:rsidRPr="00B65F7F">
        <w:t xml:space="preserve">Individuals may be at risk of receiving a lower quality of care where they cannot ask questions or follow up. </w:t>
      </w:r>
    </w:p>
    <w:p w14:paraId="1ABC1268" w14:textId="77777777" w:rsidR="00F94F86" w:rsidRDefault="00F94F86" w:rsidP="00541BE0">
      <w:pPr>
        <w:pStyle w:val="ListBullet2"/>
      </w:pPr>
      <w:r w:rsidRPr="00B65F7F">
        <w:t>Individuals may avoid services offering telehealth. Notwithstanding the need for a telephone and/or internet being prohibitive for those without these available, concerns about confidentiality can lead to hesitancy in using a digital health service.</w:t>
      </w:r>
    </w:p>
    <w:p w14:paraId="3C1AE3BE" w14:textId="77777777" w:rsidR="00F94F86" w:rsidRPr="00541BE0" w:rsidRDefault="00F94F86" w:rsidP="00541BE0">
      <w:pPr>
        <w:pStyle w:val="BodyText1stparaafterlist"/>
        <w:rPr>
          <w:b/>
          <w:bCs/>
        </w:rPr>
      </w:pPr>
      <w:r w:rsidRPr="00541BE0">
        <w:rPr>
          <w:b/>
          <w:bCs/>
        </w:rPr>
        <w:t>Aboriginal and/or Torres Strait Islander community-controlled peak organisations</w:t>
      </w:r>
    </w:p>
    <w:p w14:paraId="6E9FC032" w14:textId="77777777" w:rsidR="00F94F86" w:rsidRPr="00B65F7F" w:rsidRDefault="00F94F86" w:rsidP="00541BE0">
      <w:pPr>
        <w:pStyle w:val="ListBullet2"/>
      </w:pPr>
      <w:r w:rsidRPr="00B65F7F">
        <w:t>A lack of investment in offering services, resources and information in multiple languages/dialects has continued to impact service uptake and access within certain communities.</w:t>
      </w:r>
    </w:p>
    <w:p w14:paraId="019D25A5" w14:textId="77777777" w:rsidR="00F94F86" w:rsidRDefault="00F94F86" w:rsidP="00FF35AF">
      <w:pPr>
        <w:pStyle w:val="HeadingLevel5NoNumber"/>
      </w:pPr>
      <w:r w:rsidRPr="00B65F7F">
        <w:t>Best practice examples identified</w:t>
      </w:r>
    </w:p>
    <w:p w14:paraId="04B9D894" w14:textId="322C41BE" w:rsidR="00F94F86" w:rsidRPr="002973C7" w:rsidRDefault="00F94F86" w:rsidP="00541BE0">
      <w:pPr>
        <w:pStyle w:val="BodyText"/>
        <w:rPr>
          <w:lang w:eastAsia="en-AU"/>
        </w:rPr>
      </w:pPr>
      <w:r w:rsidRPr="002973C7">
        <w:rPr>
          <w:shd w:val="clear" w:color="auto" w:fill="FFFFFF"/>
        </w:rPr>
        <w:t xml:space="preserve">The </w:t>
      </w:r>
      <w:r w:rsidR="000E5848">
        <w:rPr>
          <w:shd w:val="clear" w:color="auto" w:fill="FFFFFF"/>
        </w:rPr>
        <w:t>Review Team</w:t>
      </w:r>
      <w:r w:rsidRPr="002973C7">
        <w:rPr>
          <w:shd w:val="clear" w:color="auto" w:fill="FFFFFF"/>
        </w:rPr>
        <w:t xml:space="preserve"> was unable to identify </w:t>
      </w:r>
      <w:r>
        <w:rPr>
          <w:shd w:val="clear" w:color="auto" w:fill="FFFFFF"/>
        </w:rPr>
        <w:t xml:space="preserve">any </w:t>
      </w:r>
      <w:r w:rsidRPr="002973C7">
        <w:rPr>
          <w:shd w:val="clear" w:color="auto" w:fill="FFFFFF"/>
        </w:rPr>
        <w:t xml:space="preserve">best practice examples from stakeholders during the </w:t>
      </w:r>
      <w:r w:rsidR="002B031B">
        <w:rPr>
          <w:shd w:val="clear" w:color="auto" w:fill="FFFFFF"/>
        </w:rPr>
        <w:t>R</w:t>
      </w:r>
      <w:r w:rsidRPr="002973C7">
        <w:rPr>
          <w:shd w:val="clear" w:color="auto" w:fill="FFFFFF"/>
        </w:rPr>
        <w:t xml:space="preserve">eview process. </w:t>
      </w:r>
    </w:p>
    <w:p w14:paraId="68B64AA1" w14:textId="77777777" w:rsidR="00F94F86" w:rsidRPr="00B65F7F" w:rsidRDefault="00F94F86" w:rsidP="00FF35AF">
      <w:pPr>
        <w:pStyle w:val="HeadingLevel3NoNumber"/>
      </w:pPr>
      <w:bookmarkStart w:id="280" w:name="_Toc145955252"/>
      <w:r w:rsidRPr="00B65F7F">
        <w:lastRenderedPageBreak/>
        <w:t>Monitoring and evaluation</w:t>
      </w:r>
      <w:bookmarkEnd w:id="280"/>
      <w:r w:rsidRPr="00B65F7F">
        <w:t xml:space="preserve"> </w:t>
      </w:r>
    </w:p>
    <w:p w14:paraId="3459F5EB" w14:textId="77777777" w:rsidR="00F94F86" w:rsidRPr="001F12BC" w:rsidRDefault="00F94F86" w:rsidP="00FF35AF">
      <w:pPr>
        <w:pStyle w:val="HeadingLevel4NoNumber"/>
      </w:pPr>
      <w:r w:rsidRPr="00C15E75">
        <w:t>Insight</w:t>
      </w:r>
      <w:r w:rsidRPr="001F12BC">
        <w:t xml:space="preserve"> 8: KPIs and reporting requirements placed on service providers are burdensome and do not reflect best practice in outcome measurement</w:t>
      </w:r>
    </w:p>
    <w:p w14:paraId="7A3BF80F" w14:textId="77777777" w:rsidR="00F94F86" w:rsidRDefault="00F94F86" w:rsidP="007F26F7">
      <w:pPr>
        <w:pStyle w:val="Quote"/>
      </w:pPr>
      <w:r>
        <w:t>‘It</w:t>
      </w:r>
      <w:r w:rsidR="00AB7745">
        <w:t>’</w:t>
      </w:r>
      <w:r>
        <w:t>s like we have to still keep proving ourselves again and again</w:t>
      </w:r>
      <w:r w:rsidR="00185E1F">
        <w:t>.</w:t>
      </w:r>
      <w:r>
        <w:t>’ (ACCHO)</w:t>
      </w:r>
    </w:p>
    <w:p w14:paraId="69A8406C" w14:textId="77777777" w:rsidR="00F94F86" w:rsidRPr="00B65F7F" w:rsidRDefault="00F94F86" w:rsidP="00541BE0">
      <w:pPr>
        <w:pStyle w:val="BodyText"/>
      </w:pPr>
      <w:r w:rsidRPr="00B65F7F">
        <w:t>Most stakeholders noted that reporting requirements for the Relevant Health Programs are overly prescriptive and rigid in nature. The examples provided that demonstrate this rigidity include:</w:t>
      </w:r>
    </w:p>
    <w:p w14:paraId="76BC5B81" w14:textId="77777777" w:rsidR="00F94F86" w:rsidRPr="00B65F7F" w:rsidRDefault="00F94F86" w:rsidP="00541BE0">
      <w:pPr>
        <w:pStyle w:val="ListBullet2"/>
      </w:pPr>
      <w:r w:rsidRPr="00B65F7F">
        <w:t>reports that need to be provided at regular intervals, which create heavy workloads on staff</w:t>
      </w:r>
    </w:p>
    <w:p w14:paraId="330F4FC3" w14:textId="77777777" w:rsidR="00F94F86" w:rsidRDefault="00F94F86" w:rsidP="00541BE0">
      <w:pPr>
        <w:pStyle w:val="ListBullet2"/>
      </w:pPr>
      <w:r w:rsidRPr="00B65F7F">
        <w:t xml:space="preserve">the level of data required to be submitted </w:t>
      </w:r>
      <w:r w:rsidR="00AB7745">
        <w:t>being</w:t>
      </w:r>
      <w:r w:rsidRPr="00B65F7F">
        <w:t>s extensive and/or unrealistic and can therefore difficult to obtain.</w:t>
      </w:r>
    </w:p>
    <w:p w14:paraId="6D73B4E4" w14:textId="77777777" w:rsidR="00F94F86" w:rsidRDefault="00F94F86" w:rsidP="007F26F7">
      <w:pPr>
        <w:pStyle w:val="Quote"/>
      </w:pPr>
      <w:r>
        <w:t>‘There is a sense of distrust that mob can</w:t>
      </w:r>
      <w:r w:rsidR="006D513D">
        <w:t>’</w:t>
      </w:r>
      <w:r>
        <w:t>t actually deliver or do anything right</w:t>
      </w:r>
      <w:r w:rsidR="00185E1F">
        <w:t>.</w:t>
      </w:r>
      <w:r>
        <w:t>’ (ACCHO)</w:t>
      </w:r>
    </w:p>
    <w:p w14:paraId="0AEF92DB" w14:textId="77777777" w:rsidR="00F94F86" w:rsidRPr="00B65F7F" w:rsidRDefault="00F94F86" w:rsidP="00541BE0">
      <w:pPr>
        <w:pStyle w:val="BodyText"/>
      </w:pPr>
      <w:r w:rsidRPr="00B65F7F">
        <w:t xml:space="preserve">Moreover, service providers, affiliates and PHN stakeholders noted that in many cases, reporting mechanisms do not capture or reflect best practice in outcome measurements, and reporting requirements for accountability reasons are often conflated with outcome measurements. </w:t>
      </w:r>
    </w:p>
    <w:p w14:paraId="23E190FC" w14:textId="77777777" w:rsidR="00F94F86" w:rsidRDefault="00F94F86" w:rsidP="00541BE0">
      <w:pPr>
        <w:pStyle w:val="BodyText"/>
      </w:pPr>
      <w:r w:rsidRPr="00B65F7F">
        <w:t>For smaller or less resourced ACCHOs and providers, prescriptive and rigid nature of the reporting requirements act as a barrier to seeking future funding opportunities. This is because the reporting requirements are resource-heavy and often need expertise to complete, which is not always possible for smaller providers whose limited resources are focused on service delivery. For larger ACCHOs, this same burden is felt, alongside an overall sentiment that the requirements are significantly more rigid than what would be imposed upon programs that are designed for mainstream services.</w:t>
      </w:r>
    </w:p>
    <w:p w14:paraId="1F83DA95" w14:textId="77777777" w:rsidR="00F94F86" w:rsidRPr="00B65F7F" w:rsidRDefault="00F94F86" w:rsidP="00FF35AF">
      <w:pPr>
        <w:pStyle w:val="HeadingLevel5NoNumber"/>
      </w:pPr>
      <w:r w:rsidRPr="00B65F7F">
        <w:t>Stakeholder perspectives</w:t>
      </w:r>
    </w:p>
    <w:p w14:paraId="2065411A" w14:textId="77777777" w:rsidR="00F94F86" w:rsidRPr="00541BE0" w:rsidRDefault="00F94F86" w:rsidP="00541BE0">
      <w:pPr>
        <w:pStyle w:val="BodyText1stparaafterlist"/>
        <w:rPr>
          <w:b/>
          <w:bCs/>
        </w:rPr>
      </w:pPr>
      <w:r w:rsidRPr="00541BE0">
        <w:rPr>
          <w:b/>
          <w:bCs/>
        </w:rPr>
        <w:t>Service providers</w:t>
      </w:r>
    </w:p>
    <w:p w14:paraId="677F340C" w14:textId="77777777" w:rsidR="00F94F86" w:rsidRPr="00B65F7F" w:rsidRDefault="00F94F86" w:rsidP="00541BE0">
      <w:pPr>
        <w:pStyle w:val="ListBullet2"/>
        <w:rPr>
          <w:b/>
          <w:bCs/>
        </w:rPr>
      </w:pPr>
      <w:r w:rsidRPr="00B65F7F">
        <w:t xml:space="preserve">Reporting does not provide for geographical or cultural nuances among </w:t>
      </w:r>
      <w:r>
        <w:t>Aboriginal and/or Torres Strait Islander</w:t>
      </w:r>
      <w:r w:rsidRPr="00B65F7F">
        <w:t xml:space="preserve"> communities.</w:t>
      </w:r>
    </w:p>
    <w:p w14:paraId="15FC93A4" w14:textId="77777777" w:rsidR="00F94F86" w:rsidRPr="00B65F7F" w:rsidRDefault="00F94F86" w:rsidP="00541BE0">
      <w:pPr>
        <w:pStyle w:val="ListBullet2"/>
        <w:rPr>
          <w:b/>
          <w:bCs/>
        </w:rPr>
      </w:pPr>
      <w:r w:rsidRPr="00B65F7F">
        <w:t>Concerns about data collection processes and sovereignty lead to service providers not tendering for funding. </w:t>
      </w:r>
    </w:p>
    <w:p w14:paraId="15B8C7E8" w14:textId="77777777" w:rsidR="00F94F86" w:rsidRPr="00B65F7F" w:rsidRDefault="00F94F86" w:rsidP="00541BE0">
      <w:pPr>
        <w:pStyle w:val="ListBullet2"/>
        <w:rPr>
          <w:b/>
          <w:bCs/>
        </w:rPr>
      </w:pPr>
      <w:r w:rsidRPr="00B65F7F">
        <w:t>Administrative costs for reporting and management are seldom factored into funding arrangements, impacting the ability of service providers to allocate time and resources towards service design and delivery.</w:t>
      </w:r>
    </w:p>
    <w:p w14:paraId="6CD9D423" w14:textId="77777777" w:rsidR="00F94F86" w:rsidRPr="00B65F7F" w:rsidRDefault="00F94F86" w:rsidP="00541BE0">
      <w:pPr>
        <w:pStyle w:val="ListBullet2"/>
        <w:rPr>
          <w:b/>
          <w:bCs/>
        </w:rPr>
      </w:pPr>
      <w:r w:rsidRPr="00B65F7F">
        <w:t>Service providers may not be trained in how to meet their reporting obligations. </w:t>
      </w:r>
    </w:p>
    <w:p w14:paraId="7BAC4024" w14:textId="77777777" w:rsidR="00F94F86" w:rsidRPr="00B65F7F" w:rsidRDefault="00F94F86" w:rsidP="00541BE0">
      <w:pPr>
        <w:pStyle w:val="ListBullet2"/>
        <w:rPr>
          <w:b/>
          <w:bCs/>
        </w:rPr>
      </w:pPr>
      <w:r w:rsidRPr="00B65F7F">
        <w:t>In some instances, PHNs will step in to assist service providers in their region to complete reporting, in instances where it is recognised that these requirements are burdensome. </w:t>
      </w:r>
    </w:p>
    <w:p w14:paraId="1A25A7D5" w14:textId="77777777" w:rsidR="00F94F86" w:rsidRPr="00B65F7F" w:rsidRDefault="00F94F86" w:rsidP="00541BE0">
      <w:pPr>
        <w:pStyle w:val="ListBullet2"/>
        <w:rPr>
          <w:b/>
          <w:bCs/>
        </w:rPr>
      </w:pPr>
      <w:r w:rsidRPr="00B65F7F">
        <w:t>Some ACCHOs are asked to provide more data and evidence to receive funding than equivalent non-Indigenous organisations are asked to provide.</w:t>
      </w:r>
    </w:p>
    <w:p w14:paraId="31A44882" w14:textId="77777777" w:rsidR="00F94F86" w:rsidRPr="00B65F7F" w:rsidRDefault="00F94F86" w:rsidP="00541BE0">
      <w:pPr>
        <w:pStyle w:val="ListBullet2"/>
        <w:rPr>
          <w:b/>
          <w:bCs/>
        </w:rPr>
      </w:pPr>
      <w:r w:rsidRPr="00B65F7F">
        <w:t xml:space="preserve">Reporting across multiple funders is not streamlined and becomes a burden for staff. </w:t>
      </w:r>
    </w:p>
    <w:p w14:paraId="067E6A90" w14:textId="77777777" w:rsidR="00F94F86" w:rsidRDefault="00F94F86" w:rsidP="00541BE0">
      <w:pPr>
        <w:pStyle w:val="ListBullet2"/>
      </w:pPr>
      <w:r w:rsidRPr="00B65F7F">
        <w:t>Some ACCHOs have begun to actively turn away from pursuing funding opportunities due to the reporting requirements attached to them.</w:t>
      </w:r>
    </w:p>
    <w:p w14:paraId="3ACAC6CB" w14:textId="77777777" w:rsidR="00F94F86" w:rsidRPr="00541BE0" w:rsidRDefault="00F94F86" w:rsidP="00541BE0">
      <w:pPr>
        <w:pStyle w:val="BodyText1stparaafterlist"/>
        <w:rPr>
          <w:b/>
          <w:bCs/>
        </w:rPr>
      </w:pPr>
      <w:r w:rsidRPr="00541BE0">
        <w:rPr>
          <w:b/>
          <w:bCs/>
        </w:rPr>
        <w:t>PHNs</w:t>
      </w:r>
    </w:p>
    <w:p w14:paraId="1039213B" w14:textId="77777777" w:rsidR="00F94F86" w:rsidRPr="00B65F7F" w:rsidRDefault="00F94F86" w:rsidP="00541BE0">
      <w:pPr>
        <w:pStyle w:val="ListBullet2"/>
      </w:pPr>
      <w:r w:rsidRPr="00B65F7F">
        <w:t xml:space="preserve">Output-focused approaches to data gathering for mental health and suicide prevention programs (including minimum data sets) are misaligned with SEWB and do not evidence the important and valuable work being done from </w:t>
      </w:r>
      <w:r>
        <w:t>a</w:t>
      </w:r>
      <w:r w:rsidR="00A4635D">
        <w:t>n Aboriginal</w:t>
      </w:r>
      <w:r>
        <w:t xml:space="preserve"> and/or Torres Strait Islander</w:t>
      </w:r>
      <w:r w:rsidRPr="00B65F7F">
        <w:t xml:space="preserve"> perspective. </w:t>
      </w:r>
    </w:p>
    <w:p w14:paraId="7ABC92D8" w14:textId="77777777" w:rsidR="00F94F86" w:rsidRPr="00B65F7F" w:rsidRDefault="00F94F86" w:rsidP="00541BE0">
      <w:pPr>
        <w:pStyle w:val="ListBullet2"/>
      </w:pPr>
      <w:r w:rsidRPr="00B65F7F">
        <w:lastRenderedPageBreak/>
        <w:t xml:space="preserve">Lack of flexibility in reporting leads to quantitative data collection being prioritised over client and service stories gathered from </w:t>
      </w:r>
      <w:r>
        <w:t>Aboriginal and/or Torres Strait Islander</w:t>
      </w:r>
      <w:r w:rsidRPr="00B65F7F">
        <w:t xml:space="preserve"> communities. </w:t>
      </w:r>
    </w:p>
    <w:p w14:paraId="2F5A7470" w14:textId="77777777" w:rsidR="00F94F86" w:rsidRDefault="00F94F86" w:rsidP="00541BE0">
      <w:pPr>
        <w:pStyle w:val="ListBullet2"/>
      </w:pPr>
      <w:r w:rsidRPr="00B65F7F">
        <w:t>Some PHNs work collaboratively with service providers (particularly ACCHOs) to assist them with their reporting requirements when strong relationships exist.</w:t>
      </w:r>
    </w:p>
    <w:p w14:paraId="3C31ABDA" w14:textId="77777777" w:rsidR="00F94F86" w:rsidRDefault="00F94F86" w:rsidP="007F26F7">
      <w:pPr>
        <w:pStyle w:val="Quote"/>
      </w:pPr>
      <w:r>
        <w:t>‘Qualitative data [is needed] to capture the full story of programs</w:t>
      </w:r>
      <w:r w:rsidR="00185E1F">
        <w:t>.</w:t>
      </w:r>
      <w:r>
        <w:t>’ (ACCHO)</w:t>
      </w:r>
    </w:p>
    <w:p w14:paraId="589AA8C1" w14:textId="77777777" w:rsidR="00F94F86" w:rsidRPr="00037178" w:rsidRDefault="00F94F86" w:rsidP="00037178">
      <w:pPr>
        <w:pStyle w:val="BodyText1stparaafterlist"/>
        <w:rPr>
          <w:b/>
          <w:bCs/>
        </w:rPr>
      </w:pPr>
      <w:r w:rsidRPr="00037178">
        <w:rPr>
          <w:b/>
          <w:bCs/>
        </w:rPr>
        <w:t>Aboriginal and/or Torres Strait Islander community-controlled peak organisations</w:t>
      </w:r>
    </w:p>
    <w:p w14:paraId="4048D6CB" w14:textId="77777777" w:rsidR="00F94F86" w:rsidRDefault="00F94F86" w:rsidP="007F26F7">
      <w:pPr>
        <w:pStyle w:val="Quote"/>
      </w:pPr>
      <w:r>
        <w:t>‘We need to focus on achieving health outcomes</w:t>
      </w:r>
      <w:r w:rsidR="00AB7745">
        <w:t xml:space="preserve"> </w:t>
      </w:r>
      <w:r>
        <w:t>...</w:t>
      </w:r>
      <w:r w:rsidR="00AB7745">
        <w:t xml:space="preserve"> </w:t>
      </w:r>
      <w:r>
        <w:t>not just on visits and output, etc.’ (NACCHO affiliate)</w:t>
      </w:r>
    </w:p>
    <w:p w14:paraId="45650C0D" w14:textId="77777777" w:rsidR="00F94F86" w:rsidRPr="00B65F7F" w:rsidRDefault="00F94F86" w:rsidP="00037178">
      <w:pPr>
        <w:pStyle w:val="ListBullet2"/>
      </w:pPr>
      <w:r w:rsidRPr="00B65F7F">
        <w:t xml:space="preserve">ACCHOs experience an overburden of reporting to PHNs. Alongside this, </w:t>
      </w:r>
      <w:r>
        <w:t xml:space="preserve">the view among NACCHO and other affiliates is that </w:t>
      </w:r>
      <w:r w:rsidRPr="00B65F7F">
        <w:t>PHNs are not subject to the same reporting requirements</w:t>
      </w:r>
      <w:r>
        <w:t>, as i</w:t>
      </w:r>
      <w:r w:rsidRPr="00B65F7F">
        <w:t xml:space="preserve">n most circumstances, </w:t>
      </w:r>
      <w:r w:rsidR="00AB7745">
        <w:t>DoHAC</w:t>
      </w:r>
      <w:r w:rsidRPr="00B65F7F">
        <w:t xml:space="preserve"> does not request reporting from PHNs as frequently as some PHNs are requesting reporting from service providers.</w:t>
      </w:r>
    </w:p>
    <w:p w14:paraId="508C348D" w14:textId="77777777" w:rsidR="00F94F86" w:rsidRDefault="00F94F86" w:rsidP="00037178">
      <w:pPr>
        <w:pStyle w:val="ListBullet2"/>
      </w:pPr>
      <w:r w:rsidRPr="00B65F7F">
        <w:t>Upstream data collection efforts pose concerns for data sovereignty.</w:t>
      </w:r>
    </w:p>
    <w:p w14:paraId="2DC8D94B" w14:textId="77777777" w:rsidR="00F94F86" w:rsidRDefault="00F94F86" w:rsidP="007F26F7">
      <w:pPr>
        <w:pStyle w:val="Quote"/>
      </w:pPr>
      <w:r>
        <w:t>‘Data is so precious</w:t>
      </w:r>
      <w:r w:rsidR="00185E1F">
        <w:t>.</w:t>
      </w:r>
      <w:r>
        <w:t>’ (</w:t>
      </w:r>
      <w:r w:rsidR="00AB7745">
        <w:t>P</w:t>
      </w:r>
      <w:r>
        <w:t>eak body)</w:t>
      </w:r>
    </w:p>
    <w:p w14:paraId="0D44E472" w14:textId="77777777" w:rsidR="00F94F86" w:rsidRPr="00B65F7F" w:rsidRDefault="00F94F86" w:rsidP="00037178">
      <w:pPr>
        <w:pStyle w:val="ListBullet2"/>
      </w:pPr>
      <w:r>
        <w:t>The experience of NACCHO and other affiliates was that s</w:t>
      </w:r>
      <w:r w:rsidRPr="00B65F7F">
        <w:t>ervice providers have to redirect service delivery funds to pay for overheads such as administration and reporting costs.</w:t>
      </w:r>
    </w:p>
    <w:p w14:paraId="26FCA6DB" w14:textId="77777777" w:rsidR="00F94F86" w:rsidRPr="00B65F7F" w:rsidRDefault="00F94F86" w:rsidP="00037178">
      <w:pPr>
        <w:pStyle w:val="ListBullet2"/>
      </w:pPr>
      <w:r w:rsidRPr="00B65F7F">
        <w:t>Service providers and affiliates often must provide reports to multiple funding bodies, multiple times. In many instances, KPIs will be similar but different approaches must be taken. </w:t>
      </w:r>
    </w:p>
    <w:p w14:paraId="4599F74D" w14:textId="77777777" w:rsidR="00F94F86" w:rsidRPr="00B65F7F" w:rsidRDefault="00F94F86" w:rsidP="00FF35AF">
      <w:pPr>
        <w:pStyle w:val="HeadingLevel5NoNumber"/>
      </w:pPr>
      <w:r w:rsidRPr="00B65F7F">
        <w:t>Best practice examples identified</w:t>
      </w:r>
    </w:p>
    <w:p w14:paraId="3EB11359" w14:textId="77777777" w:rsidR="00F94F86" w:rsidRDefault="00F94F86" w:rsidP="007F26F7">
      <w:pPr>
        <w:pStyle w:val="Quote"/>
      </w:pPr>
      <w:r>
        <w:t>‘We are pigeonholed because of reporting. It feels like trying to put a square peg into a round hole</w:t>
      </w:r>
      <w:r w:rsidR="007D7A4A">
        <w:t xml:space="preserve"> </w:t>
      </w:r>
      <w:r>
        <w:t>... [we] cannot be an Aboriginal service with mainstream reporting</w:t>
      </w:r>
      <w:r w:rsidR="00185E1F">
        <w:t>.</w:t>
      </w:r>
      <w:r>
        <w:t>’ (ACCHO)</w:t>
      </w:r>
    </w:p>
    <w:p w14:paraId="2A401706" w14:textId="77777777" w:rsidR="00F94F86" w:rsidRDefault="00F94F86" w:rsidP="00037178">
      <w:pPr>
        <w:pStyle w:val="BodyText"/>
      </w:pPr>
      <w:r w:rsidRPr="00B65F7F">
        <w:t xml:space="preserve">Murray PHN noted that in 2022 its ITC contracts were adjusted to included reporting components such as ‘connection to Country’, </w:t>
      </w:r>
      <w:r w:rsidR="00C44EB9" w:rsidRPr="00B65F7F">
        <w:t>to</w:t>
      </w:r>
      <w:r w:rsidRPr="00B65F7F">
        <w:t xml:space="preserve"> shift away from a focus on quantitative metrics when reporting on outcomes.</w:t>
      </w:r>
    </w:p>
    <w:p w14:paraId="77C004E9" w14:textId="77777777" w:rsidR="00F94F86" w:rsidRPr="00B65F7F" w:rsidRDefault="00F94F86" w:rsidP="00FF35AF">
      <w:pPr>
        <w:pStyle w:val="HeadingLevel3NoNumber"/>
      </w:pPr>
      <w:bookmarkStart w:id="281" w:name="_Toc145955253"/>
      <w:r w:rsidRPr="00B65F7F">
        <w:t>Service sector strengthening</w:t>
      </w:r>
      <w:bookmarkEnd w:id="281"/>
    </w:p>
    <w:p w14:paraId="1C8966A4" w14:textId="77777777" w:rsidR="00F94F86" w:rsidRPr="001F12BC" w:rsidRDefault="00F94F86" w:rsidP="00FF35AF">
      <w:pPr>
        <w:pStyle w:val="HeadingLevel4NoNumber"/>
      </w:pPr>
      <w:r w:rsidRPr="001F12BC">
        <w:t>Insight 9: PHNs vary in their commitment to build a culturally safe organisation</w:t>
      </w:r>
    </w:p>
    <w:p w14:paraId="5E336F21" w14:textId="77777777" w:rsidR="00F94F86" w:rsidRDefault="00F94F86" w:rsidP="00037178">
      <w:pPr>
        <w:pStyle w:val="BodyText"/>
      </w:pPr>
      <w:r w:rsidRPr="00B65F7F">
        <w:t>Service providers and affiliate stakeholders noted that there are varied experiences regarding the commitment of PHNs to embed cultural safety within their organisations. The view among those stakeholders is that, in general, there is a lack of oversight and formality around cultural safety within PHNs, which leads to some PHNs taking steps to embed cultural safety themselves and others falling behind.</w:t>
      </w:r>
    </w:p>
    <w:p w14:paraId="763B1EC0" w14:textId="77777777" w:rsidR="00F94F86" w:rsidRDefault="00F94F86" w:rsidP="007F26F7">
      <w:pPr>
        <w:pStyle w:val="Quote"/>
      </w:pPr>
      <w:r>
        <w:t>‘[The] Aboriginal representation within [the] PHN isn</w:t>
      </w:r>
      <w:r w:rsidR="007D7A4A">
        <w:t>’</w:t>
      </w:r>
      <w:r>
        <w:t>t good</w:t>
      </w:r>
      <w:r w:rsidR="00185E1F">
        <w:t>.</w:t>
      </w:r>
      <w:r>
        <w:t xml:space="preserve">’ (NACCHO affiliate) </w:t>
      </w:r>
    </w:p>
    <w:p w14:paraId="55179CD1" w14:textId="77777777" w:rsidR="00F94F86" w:rsidRPr="00B65F7F" w:rsidRDefault="00F94F86" w:rsidP="00037178">
      <w:pPr>
        <w:pStyle w:val="BodyText"/>
      </w:pPr>
      <w:r w:rsidRPr="00B65F7F">
        <w:t xml:space="preserve">For example, some PHNs have dedicated </w:t>
      </w:r>
      <w:r>
        <w:t>Aboriginal and/or Torres Strait Islander</w:t>
      </w:r>
      <w:r w:rsidRPr="00B65F7F">
        <w:t xml:space="preserve"> teams who liaise with ACCHOs, and they view this as a way to provide a degree of either advisory and/or decision-making autonomy to be kept within the </w:t>
      </w:r>
      <w:r>
        <w:t>Aboriginal and/or Torres Strait Islander</w:t>
      </w:r>
      <w:r w:rsidRPr="00B65F7F">
        <w:t xml:space="preserve"> community. However, many PHNs have not integrated this type of role, and decision-making and direction for commissioning is not self-determined or community led. </w:t>
      </w:r>
    </w:p>
    <w:p w14:paraId="05E7DB84" w14:textId="77777777" w:rsidR="00F94F86" w:rsidRDefault="00F94F86" w:rsidP="00037178">
      <w:pPr>
        <w:pStyle w:val="BodyText"/>
      </w:pPr>
      <w:r w:rsidRPr="00B65F7F">
        <w:t xml:space="preserve">Some stakeholders, including within PHNs, hold the view that identified roles at some PHNs only exist because of the ITC guidelines and that identified roles would likely not exist if it weren’t for the ITC </w:t>
      </w:r>
      <w:r w:rsidRPr="00B65F7F">
        <w:lastRenderedPageBreak/>
        <w:t xml:space="preserve">program, despite cultural safety and </w:t>
      </w:r>
      <w:r>
        <w:t>Aboriginal and/or Torres Strait Islander</w:t>
      </w:r>
      <w:r w:rsidRPr="00B65F7F">
        <w:t>s (as a priority population) being core PHN business.</w:t>
      </w:r>
    </w:p>
    <w:p w14:paraId="2ADD0569" w14:textId="77777777" w:rsidR="00F94F86" w:rsidRDefault="00F94F86" w:rsidP="007F26F7">
      <w:pPr>
        <w:pStyle w:val="Quote"/>
      </w:pPr>
      <w:r>
        <w:t>‘The PHN doesn’t understand what cultural safety is</w:t>
      </w:r>
      <w:r w:rsidR="00185E1F">
        <w:t>.</w:t>
      </w:r>
      <w:r>
        <w:t>’ (ACCHO)</w:t>
      </w:r>
    </w:p>
    <w:p w14:paraId="7C25584B" w14:textId="77777777" w:rsidR="00F94F86" w:rsidRPr="00B65F7F" w:rsidRDefault="00F94F86" w:rsidP="00FF35AF">
      <w:pPr>
        <w:pStyle w:val="HeadingLevel5NoNumber"/>
      </w:pPr>
      <w:r w:rsidRPr="00B65F7F">
        <w:t>Stakeholder perspectives</w:t>
      </w:r>
    </w:p>
    <w:p w14:paraId="3FB93C91" w14:textId="77777777" w:rsidR="00F94F86" w:rsidRPr="00036532" w:rsidRDefault="00F94F86" w:rsidP="00036532">
      <w:pPr>
        <w:pStyle w:val="BodyText1stparaafterlist"/>
        <w:rPr>
          <w:b/>
          <w:bCs/>
        </w:rPr>
      </w:pPr>
      <w:r w:rsidRPr="00036532">
        <w:rPr>
          <w:b/>
          <w:bCs/>
        </w:rPr>
        <w:t>Service providers</w:t>
      </w:r>
    </w:p>
    <w:p w14:paraId="4055622A" w14:textId="77777777" w:rsidR="00F94F86" w:rsidRPr="00B65F7F" w:rsidRDefault="00F94F86" w:rsidP="00036532">
      <w:pPr>
        <w:pStyle w:val="ListBullet2"/>
        <w:rPr>
          <w:b/>
          <w:bCs/>
        </w:rPr>
      </w:pPr>
      <w:r w:rsidRPr="00B65F7F">
        <w:t xml:space="preserve">Some PHNs do not have local </w:t>
      </w:r>
      <w:r>
        <w:t>Aboriginal and/or Torres Strait Islander</w:t>
      </w:r>
      <w:r w:rsidRPr="00B65F7F">
        <w:t xml:space="preserve"> staff as part of the commissioning process, and there are not enough identified positions within PHNs.</w:t>
      </w:r>
    </w:p>
    <w:p w14:paraId="26A3B6C8" w14:textId="77777777" w:rsidR="00F94F86" w:rsidRPr="00B65F7F" w:rsidRDefault="00F94F86" w:rsidP="00036532">
      <w:pPr>
        <w:pStyle w:val="ListBullet2"/>
      </w:pPr>
      <w:r w:rsidRPr="00B65F7F">
        <w:t>Even when deployed, cultural awareness training may not be specific to the community or geographically nuanced.</w:t>
      </w:r>
    </w:p>
    <w:p w14:paraId="71A7E21B" w14:textId="77777777" w:rsidR="00F94F86" w:rsidRPr="00036532" w:rsidRDefault="00F94F86" w:rsidP="00036532">
      <w:pPr>
        <w:pStyle w:val="BodyText1stparaafterlist"/>
        <w:rPr>
          <w:b/>
          <w:bCs/>
        </w:rPr>
      </w:pPr>
      <w:r w:rsidRPr="00036532">
        <w:rPr>
          <w:b/>
          <w:bCs/>
        </w:rPr>
        <w:t>PHNs</w:t>
      </w:r>
    </w:p>
    <w:p w14:paraId="509A22A3" w14:textId="77777777" w:rsidR="00F94F86" w:rsidRPr="00B65F7F" w:rsidRDefault="00F94F86" w:rsidP="00036532">
      <w:pPr>
        <w:pStyle w:val="ListBullet2"/>
      </w:pPr>
      <w:r w:rsidRPr="00B65F7F">
        <w:t xml:space="preserve">Most PHNs are conscious of and concerned about the impact of changes to funding arrangements (to the Relevant Health Programs) and how they may impact their internal cultural safety. </w:t>
      </w:r>
    </w:p>
    <w:p w14:paraId="442FB895" w14:textId="77777777" w:rsidR="00F94F86" w:rsidRPr="00036532" w:rsidRDefault="00F94F86" w:rsidP="00036532">
      <w:pPr>
        <w:pStyle w:val="BodyText1stparaafterlist"/>
        <w:rPr>
          <w:b/>
          <w:bCs/>
        </w:rPr>
      </w:pPr>
      <w:r w:rsidRPr="00036532">
        <w:rPr>
          <w:b/>
          <w:bCs/>
        </w:rPr>
        <w:t>Aboriginal and/or Torres Strait Islander community-controlled peak organisations</w:t>
      </w:r>
    </w:p>
    <w:p w14:paraId="75C8FF26" w14:textId="77777777" w:rsidR="00F94F86" w:rsidRPr="00B65F7F" w:rsidRDefault="00F94F86" w:rsidP="00036532">
      <w:pPr>
        <w:pStyle w:val="ListBullet2"/>
      </w:pPr>
      <w:r w:rsidRPr="00B65F7F">
        <w:t xml:space="preserve">Multiple affiliates identified the lack of cultural </w:t>
      </w:r>
      <w:r>
        <w:t>safety</w:t>
      </w:r>
      <w:r w:rsidRPr="00B65F7F">
        <w:t xml:space="preserve"> within PHNs and that there continues to be a lack of accountability or formal KPIs on PHNs to have culturally safe practices internally.</w:t>
      </w:r>
    </w:p>
    <w:p w14:paraId="3AF13889" w14:textId="77777777" w:rsidR="00F94F86" w:rsidRPr="00B65F7F" w:rsidRDefault="00F94F86" w:rsidP="00036532">
      <w:pPr>
        <w:pStyle w:val="ListBullet2"/>
      </w:pPr>
      <w:r w:rsidRPr="00B65F7F">
        <w:t>PHNs may not have the resources or accountability mechanisms that lead them to prioritise cultural safety.</w:t>
      </w:r>
    </w:p>
    <w:p w14:paraId="5312B09E" w14:textId="77777777" w:rsidR="00F94F86" w:rsidRPr="00B65F7F" w:rsidRDefault="00F94F86" w:rsidP="00036532">
      <w:pPr>
        <w:pStyle w:val="ListBullet2"/>
      </w:pPr>
      <w:r w:rsidRPr="00B65F7F">
        <w:t xml:space="preserve">PHNs often lack </w:t>
      </w:r>
      <w:r>
        <w:t>Aboriginal and/or Torres Strait Islander</w:t>
      </w:r>
      <w:r w:rsidRPr="00B65F7F">
        <w:t xml:space="preserve"> representation as part of commissioning processes.</w:t>
      </w:r>
    </w:p>
    <w:p w14:paraId="0F0E76DE" w14:textId="77777777" w:rsidR="00F94F86" w:rsidRPr="00B65F7F" w:rsidRDefault="00F94F86" w:rsidP="00036532">
      <w:pPr>
        <w:pStyle w:val="ListBullet2"/>
      </w:pPr>
      <w:r w:rsidRPr="00B65F7F">
        <w:t>ACCHOs may feel a lack of trust between themselves and the PHN in their region, particularly where a PHN does not represent a culturally safe organisation. This can also lead to ACCHOs believing that they are overlooked for commissioning.</w:t>
      </w:r>
    </w:p>
    <w:p w14:paraId="38F2D17B" w14:textId="77777777" w:rsidR="00F94F86" w:rsidRPr="00B65F7F" w:rsidRDefault="00F94F86" w:rsidP="00036532">
      <w:pPr>
        <w:pStyle w:val="ListBullet2"/>
      </w:pPr>
      <w:r w:rsidRPr="00B65F7F">
        <w:t xml:space="preserve">Some affiliates have agreements with PHNs but report a lack of intent by the PHN to proceed on the objectives set out in these agreements. Others reported being the </w:t>
      </w:r>
      <w:r>
        <w:t>Aboriginal and/or Torres Strait Islander</w:t>
      </w:r>
      <w:r w:rsidRPr="00B65F7F">
        <w:t xml:space="preserve"> representative on a PHN Stakeholder Advisory Group yet noted that their involvement feels tokenistic and is contentious, to the point that some members are reconsidering their involvement altogether.</w:t>
      </w:r>
    </w:p>
    <w:p w14:paraId="565B2350" w14:textId="77777777" w:rsidR="00F94F86" w:rsidRDefault="00F94F86" w:rsidP="00FF35AF">
      <w:pPr>
        <w:pStyle w:val="HeadingLevel5NoNumber"/>
      </w:pPr>
      <w:r w:rsidRPr="00B65F7F">
        <w:t>Best practice examples identified</w:t>
      </w:r>
    </w:p>
    <w:p w14:paraId="0166A6C8" w14:textId="66E2F195" w:rsidR="00F94F86" w:rsidRPr="002973C7" w:rsidRDefault="00F94F86" w:rsidP="00036532">
      <w:pPr>
        <w:pStyle w:val="BodyText"/>
        <w:rPr>
          <w:lang w:eastAsia="en-AU"/>
        </w:rPr>
      </w:pPr>
      <w:r w:rsidRPr="002973C7">
        <w:rPr>
          <w:shd w:val="clear" w:color="auto" w:fill="FFFFFF"/>
        </w:rPr>
        <w:t xml:space="preserve">The </w:t>
      </w:r>
      <w:r w:rsidR="000E5848">
        <w:rPr>
          <w:shd w:val="clear" w:color="auto" w:fill="FFFFFF"/>
        </w:rPr>
        <w:t>Review Team</w:t>
      </w:r>
      <w:r w:rsidRPr="002973C7">
        <w:rPr>
          <w:shd w:val="clear" w:color="auto" w:fill="FFFFFF"/>
        </w:rPr>
        <w:t xml:space="preserve"> was unable to identify</w:t>
      </w:r>
      <w:r>
        <w:rPr>
          <w:shd w:val="clear" w:color="auto" w:fill="FFFFFF"/>
        </w:rPr>
        <w:t xml:space="preserve"> any</w:t>
      </w:r>
      <w:r w:rsidRPr="002973C7">
        <w:rPr>
          <w:shd w:val="clear" w:color="auto" w:fill="FFFFFF"/>
        </w:rPr>
        <w:t xml:space="preserve"> best practice examples from stakeholders during the </w:t>
      </w:r>
      <w:r w:rsidR="002B031B">
        <w:rPr>
          <w:shd w:val="clear" w:color="auto" w:fill="FFFFFF"/>
        </w:rPr>
        <w:t>R</w:t>
      </w:r>
      <w:r w:rsidRPr="002973C7">
        <w:rPr>
          <w:shd w:val="clear" w:color="auto" w:fill="FFFFFF"/>
        </w:rPr>
        <w:t xml:space="preserve">eview process. </w:t>
      </w:r>
    </w:p>
    <w:p w14:paraId="5A18FDA7" w14:textId="77777777" w:rsidR="00F94F86" w:rsidRPr="001F12BC" w:rsidRDefault="00F94F86" w:rsidP="00FF35AF">
      <w:pPr>
        <w:pStyle w:val="HeadingLevel4NoNumber"/>
      </w:pPr>
      <w:r w:rsidRPr="001F12BC">
        <w:t>Insight 10: Relationships vary between PHNs and Aboriginal and/or Torres Strait Islander service providers,</w:t>
      </w:r>
      <w:r w:rsidR="0085080A" w:rsidRPr="001F12BC">
        <w:t xml:space="preserve"> with some relationships</w:t>
      </w:r>
      <w:r w:rsidRPr="001F12BC">
        <w:t xml:space="preserve"> impacting the ability for these stakeholders to work collaboratively </w:t>
      </w:r>
    </w:p>
    <w:p w14:paraId="0BC7D5F3" w14:textId="77777777" w:rsidR="00F94F86" w:rsidRDefault="00F94F86" w:rsidP="00036532">
      <w:pPr>
        <w:pStyle w:val="BodyText"/>
      </w:pPr>
      <w:r w:rsidRPr="00B65F7F">
        <w:t>Many ACCHOs and affiliate stakeholders noted that they have poor relationships with their local PHN. The same stakeholders often noted that the primary reason for this is because of the lack of cultural safety within PHNs.</w:t>
      </w:r>
    </w:p>
    <w:p w14:paraId="0C6787E6" w14:textId="77777777" w:rsidR="00F94F86" w:rsidRDefault="00F94F86" w:rsidP="007F26F7">
      <w:pPr>
        <w:pStyle w:val="Quote"/>
      </w:pPr>
      <w:r>
        <w:t>‘PHNs don</w:t>
      </w:r>
      <w:r w:rsidR="007D7A4A">
        <w:t>’</w:t>
      </w:r>
      <w:r>
        <w:t>t engage and understand ACCHOs</w:t>
      </w:r>
      <w:r w:rsidR="007D7A4A">
        <w:t xml:space="preserve"> </w:t>
      </w:r>
      <w:r>
        <w:t>...</w:t>
      </w:r>
      <w:r w:rsidR="007D7A4A">
        <w:t xml:space="preserve"> </w:t>
      </w:r>
      <w:r>
        <w:t>there</w:t>
      </w:r>
      <w:r w:rsidR="007D7A4A">
        <w:t>’</w:t>
      </w:r>
      <w:r>
        <w:t>s no obligation to engage and/or commission ACCHOs</w:t>
      </w:r>
      <w:r w:rsidR="00185E1F">
        <w:t>.</w:t>
      </w:r>
      <w:r>
        <w:t>’ (NACCHO affiliate)</w:t>
      </w:r>
    </w:p>
    <w:p w14:paraId="7AD53401" w14:textId="77777777" w:rsidR="00F94F86" w:rsidRDefault="00F94F86" w:rsidP="00036532">
      <w:pPr>
        <w:pStyle w:val="BodyText"/>
      </w:pPr>
      <w:r w:rsidRPr="007A1805">
        <w:t>Notwithstanding the above challenge, many stakeholders noted that there are PHNs that have developed good working relationships with ACCHOs. P</w:t>
      </w:r>
      <w:r w:rsidRPr="00B65F7F">
        <w:t xml:space="preserve">ositive reflections on these relationships focus on where PHNs play a role as ‘partner’ and not as ‘funder’, ‘commissioner’ or ‘procurer’ with the latter being considered largely paternalistic and, at times, transactional in nature. There was also an acknowledgment among some </w:t>
      </w:r>
      <w:r w:rsidRPr="00B65F7F">
        <w:lastRenderedPageBreak/>
        <w:t>ACCHOs that the quality of relationships with PHNs were often dependant on individual relationships with staff at PHNs; that is, they are ‘</w:t>
      </w:r>
      <w:r w:rsidR="002B46E5" w:rsidRPr="00B65F7F">
        <w:t>personality driven</w:t>
      </w:r>
      <w:r w:rsidR="007A1805">
        <w:t>’</w:t>
      </w:r>
      <w:r w:rsidRPr="00B65F7F">
        <w:t>.</w:t>
      </w:r>
    </w:p>
    <w:p w14:paraId="60390611" w14:textId="77777777" w:rsidR="00F94F86" w:rsidRPr="00B65F7F" w:rsidRDefault="00F94F86" w:rsidP="00FF35AF">
      <w:pPr>
        <w:pStyle w:val="HeadingLevel5NoNumber"/>
      </w:pPr>
      <w:r w:rsidRPr="00B65F7F">
        <w:t>Stakeholder perspectives</w:t>
      </w:r>
    </w:p>
    <w:p w14:paraId="06AAB630" w14:textId="77777777" w:rsidR="00F94F86" w:rsidRPr="00036532" w:rsidRDefault="00F94F86" w:rsidP="00036532">
      <w:pPr>
        <w:pStyle w:val="BodyText1stparaafterlist"/>
        <w:rPr>
          <w:b/>
          <w:bCs/>
        </w:rPr>
      </w:pPr>
      <w:r w:rsidRPr="00036532">
        <w:rPr>
          <w:b/>
          <w:bCs/>
        </w:rPr>
        <w:t>Service providers</w:t>
      </w:r>
    </w:p>
    <w:p w14:paraId="5E1BF427" w14:textId="77777777" w:rsidR="00F94F86" w:rsidRPr="00B65F7F" w:rsidRDefault="00F94F86" w:rsidP="00036532">
      <w:pPr>
        <w:pStyle w:val="ListBullet2"/>
        <w:rPr>
          <w:b/>
          <w:bCs/>
        </w:rPr>
      </w:pPr>
      <w:r w:rsidRPr="00B65F7F">
        <w:t>Some service providers have experienced positive, ongoing relationships with PHNs and their staff and can work collaboratively to meet reporting requirements and service delivery in the community. </w:t>
      </w:r>
    </w:p>
    <w:p w14:paraId="71725627" w14:textId="77777777" w:rsidR="00F94F86" w:rsidRPr="00B65F7F" w:rsidRDefault="00F94F86" w:rsidP="00036532">
      <w:pPr>
        <w:pStyle w:val="ListBullet2"/>
        <w:rPr>
          <w:b/>
          <w:bCs/>
        </w:rPr>
      </w:pPr>
      <w:r w:rsidRPr="00B65F7F">
        <w:t>The lack of staff/structure consistency within some PHNs can make it difficult for providers to build relationships and rapport, particularly where there is a high turnover of PHN staff.</w:t>
      </w:r>
    </w:p>
    <w:p w14:paraId="4A601C24" w14:textId="77777777" w:rsidR="00F94F86" w:rsidRPr="00056BA8" w:rsidRDefault="00F94F86" w:rsidP="00036532">
      <w:pPr>
        <w:pStyle w:val="ListBullet2"/>
        <w:rPr>
          <w:b/>
          <w:bCs/>
        </w:rPr>
      </w:pPr>
      <w:r w:rsidRPr="00B65F7F">
        <w:t>Some PHNs do not play an active role in their relationships with the service providers. They may be unresponsive or lack transparency.</w:t>
      </w:r>
    </w:p>
    <w:p w14:paraId="64246239" w14:textId="77777777" w:rsidR="00F94F86" w:rsidRDefault="00F94F86" w:rsidP="007F26F7">
      <w:pPr>
        <w:pStyle w:val="Quote"/>
      </w:pPr>
      <w:r>
        <w:t>‘PHNs have made contract terms and conditions</w:t>
      </w:r>
      <w:r w:rsidR="007A1805">
        <w:t xml:space="preserve"> </w:t>
      </w:r>
      <w:r w:rsidR="00185E1F">
        <w:t>…</w:t>
      </w:r>
      <w:r>
        <w:t xml:space="preserve"> that go above and beyond those conditions set by the Commonwealth government</w:t>
      </w:r>
      <w:r w:rsidR="007A1805">
        <w:t xml:space="preserve"> </w:t>
      </w:r>
      <w:r>
        <w:t>... they are discriminatory</w:t>
      </w:r>
      <w:r w:rsidR="00185E1F">
        <w:t>.</w:t>
      </w:r>
      <w:r>
        <w:t>’ (ACCHO)</w:t>
      </w:r>
    </w:p>
    <w:p w14:paraId="62D91A0B" w14:textId="77777777" w:rsidR="00F94F86" w:rsidRDefault="00F94F86" w:rsidP="00036532">
      <w:pPr>
        <w:pStyle w:val="ListBullet2"/>
      </w:pPr>
      <w:r w:rsidRPr="00B65F7F">
        <w:t>How PHNs make decisions is often opaque to service providers.</w:t>
      </w:r>
    </w:p>
    <w:p w14:paraId="3DC90312" w14:textId="77777777" w:rsidR="00F94F86" w:rsidRDefault="00F94F86" w:rsidP="007F26F7">
      <w:pPr>
        <w:pStyle w:val="Quote"/>
      </w:pPr>
      <w:r>
        <w:t>‘It seems like there are different rules</w:t>
      </w:r>
      <w:r w:rsidR="007A1805">
        <w:t xml:space="preserve"> </w:t>
      </w:r>
      <w:r>
        <w:t>... mainstream organisations are being funded and they</w:t>
      </w:r>
      <w:r w:rsidR="007A1805">
        <w:t>’</w:t>
      </w:r>
      <w:r>
        <w:t>re not coming to us first</w:t>
      </w:r>
      <w:r w:rsidR="007A1805">
        <w:t xml:space="preserve"> </w:t>
      </w:r>
      <w:r>
        <w:t>... we know what</w:t>
      </w:r>
      <w:r w:rsidR="007A1805">
        <w:t>’</w:t>
      </w:r>
      <w:r>
        <w:t>s best for our mob</w:t>
      </w:r>
      <w:r w:rsidR="00185E1F">
        <w:t>.</w:t>
      </w:r>
      <w:r>
        <w:t>’ (ACCHO)</w:t>
      </w:r>
    </w:p>
    <w:p w14:paraId="638792AB" w14:textId="77777777" w:rsidR="00F94F86" w:rsidRPr="00036532" w:rsidRDefault="00F94F86" w:rsidP="00036532">
      <w:pPr>
        <w:pStyle w:val="BodyText1stparaafterlist"/>
        <w:rPr>
          <w:b/>
          <w:bCs/>
        </w:rPr>
      </w:pPr>
      <w:r w:rsidRPr="00036532">
        <w:rPr>
          <w:b/>
          <w:bCs/>
        </w:rPr>
        <w:t>PHNs</w:t>
      </w:r>
    </w:p>
    <w:p w14:paraId="63128EBF" w14:textId="77777777" w:rsidR="00F94F86" w:rsidRPr="00B65F7F" w:rsidRDefault="00F94F86" w:rsidP="00036532">
      <w:pPr>
        <w:pStyle w:val="ListBullet2"/>
      </w:pPr>
      <w:r w:rsidRPr="00B65F7F">
        <w:t>Positive relationships focus on playing a role as a partner, as opposed to a commissioner. This leads to workshopping financial issues and negotiating reporting requirements with ACCHOs. </w:t>
      </w:r>
    </w:p>
    <w:p w14:paraId="59FB336A" w14:textId="77777777" w:rsidR="00F94F86" w:rsidRDefault="00F94F86" w:rsidP="00036532">
      <w:pPr>
        <w:pStyle w:val="ListBullet2"/>
      </w:pPr>
      <w:r w:rsidRPr="00B65F7F">
        <w:t>Some PHNs have recognised the importance of integrating a preferred provider approach when commissioning services and ensuring that ACCHOs are given priority to deliver services in each region by directly commissioning them.</w:t>
      </w:r>
    </w:p>
    <w:p w14:paraId="14F05748" w14:textId="77777777" w:rsidR="00F94F86" w:rsidRPr="00036532" w:rsidRDefault="00F94F86" w:rsidP="00036532">
      <w:pPr>
        <w:pStyle w:val="BodyText1stparaafterlist"/>
        <w:rPr>
          <w:b/>
          <w:bCs/>
        </w:rPr>
      </w:pPr>
      <w:r w:rsidRPr="00036532">
        <w:rPr>
          <w:b/>
          <w:bCs/>
        </w:rPr>
        <w:t>Aboriginal and/or Torres Strait Islander community-controlled peak organisations</w:t>
      </w:r>
    </w:p>
    <w:p w14:paraId="63511C9A" w14:textId="77777777" w:rsidR="00F94F86" w:rsidRPr="00B65F7F" w:rsidRDefault="00F94F86" w:rsidP="00036532">
      <w:pPr>
        <w:pStyle w:val="ListBullet2"/>
      </w:pPr>
      <w:r w:rsidRPr="00B65F7F">
        <w:t>The success of the arrangement where the funding is held and distributed by the PHN depends on the relationship between the PHN and the ACCHO. While some ACCHOs/affiliates report good relationships with their PHNs, these are largely personality-driven and may be dependent on the PHN CEO and their willingness to engage. </w:t>
      </w:r>
    </w:p>
    <w:p w14:paraId="39C329AB" w14:textId="77777777" w:rsidR="00F94F86" w:rsidRDefault="00F94F86" w:rsidP="00036532">
      <w:pPr>
        <w:pStyle w:val="ListBullet2"/>
      </w:pPr>
      <w:r w:rsidRPr="00B65F7F">
        <w:t xml:space="preserve">Where relationships are negative, there can be a significant lack of trust between PHNs and </w:t>
      </w:r>
      <w:r>
        <w:t>Aboriginal and/or Torres Strait Islander</w:t>
      </w:r>
      <w:r w:rsidRPr="00B65F7F">
        <w:t xml:space="preserve"> service providers. Service providers may feel overlooked by PHNs for commissioning.</w:t>
      </w:r>
    </w:p>
    <w:p w14:paraId="0F226A47" w14:textId="77777777" w:rsidR="00F94F86" w:rsidRPr="00B65F7F" w:rsidRDefault="00F94F86" w:rsidP="00FF35AF">
      <w:pPr>
        <w:pStyle w:val="HeadingLevel5NoNumber"/>
      </w:pPr>
      <w:r w:rsidRPr="00B65F7F">
        <w:t>Best practice examples identified</w:t>
      </w:r>
    </w:p>
    <w:p w14:paraId="3653E183" w14:textId="77777777" w:rsidR="00F94F86" w:rsidRPr="00B65F7F" w:rsidRDefault="00F94F86" w:rsidP="00036532">
      <w:pPr>
        <w:pStyle w:val="ListBullet2"/>
      </w:pPr>
      <w:r w:rsidRPr="00B65F7F">
        <w:t xml:space="preserve">Some PHNs have a designated </w:t>
      </w:r>
      <w:r>
        <w:t>Aboriginal and/or Torres Strait Islander</w:t>
      </w:r>
      <w:r w:rsidRPr="00B65F7F">
        <w:t xml:space="preserve"> liaison officer/coordinator within their organisation to support positive relationships with community members and create opportunities for community members to engage with services. For example, Gold Coast PHN currently funds a dedicated community connector role out of core funding to help link and support clients to access </w:t>
      </w:r>
      <w:r>
        <w:t>Aboriginal and/or Torres Strait Islander</w:t>
      </w:r>
      <w:r w:rsidRPr="00B65F7F">
        <w:t xml:space="preserve"> services. </w:t>
      </w:r>
    </w:p>
    <w:p w14:paraId="4AFF2F83" w14:textId="77777777" w:rsidR="00F94F86" w:rsidRPr="00B65F7F" w:rsidRDefault="00F94F86" w:rsidP="00036532">
      <w:pPr>
        <w:pStyle w:val="ListBullet2"/>
      </w:pPr>
      <w:r w:rsidRPr="00B65F7F">
        <w:t>Some PHNs have created a positive relationship based on meeting the needs of the ACCHO, rather than the ACCHO meeting the needs of the PHN. For example, the Hunter New England PHN has collaborated with ACCHOs to ensure that reporting is simple and actionable, in order to empower the ACCHOs to meet their requirements, as opposed to feeling constrained by them.</w:t>
      </w:r>
    </w:p>
    <w:p w14:paraId="3ACE9506" w14:textId="77777777" w:rsidR="00F94F86" w:rsidRDefault="00F94F86" w:rsidP="00036532">
      <w:pPr>
        <w:pStyle w:val="ListBullet2"/>
      </w:pPr>
      <w:r w:rsidRPr="00B65F7F">
        <w:t>Western Queensland PHN works closely with the Nukal Murra Alliance to understand community needs</w:t>
      </w:r>
      <w:r w:rsidR="005A7833">
        <w:t xml:space="preserve"> and priorities</w:t>
      </w:r>
      <w:r w:rsidRPr="00B65F7F">
        <w:t xml:space="preserve"> and design services through co-design processes. In these meetings, formal decisions about funding are made by the Nukal Murra Alliance as a cultural authority.</w:t>
      </w:r>
    </w:p>
    <w:p w14:paraId="2237D841" w14:textId="77777777" w:rsidR="00F94F86" w:rsidRDefault="00F94F86" w:rsidP="007F26F7">
      <w:pPr>
        <w:pStyle w:val="Quote"/>
      </w:pPr>
      <w:r>
        <w:lastRenderedPageBreak/>
        <w:t>‘PHNs are working well</w:t>
      </w:r>
      <w:r w:rsidR="007A1805">
        <w:t xml:space="preserve"> </w:t>
      </w:r>
      <w:r>
        <w:t>... they can engage with any organisation in the region. This could be ACCHOs where they are available, and non-Indigenous organisations where ACCHOs aren</w:t>
      </w:r>
      <w:r w:rsidR="007A1805">
        <w:t>’</w:t>
      </w:r>
      <w:r>
        <w:t>t available</w:t>
      </w:r>
      <w:r w:rsidR="00185E1F">
        <w:t>.</w:t>
      </w:r>
      <w:r>
        <w:t>’ (</w:t>
      </w:r>
      <w:r w:rsidR="007A1805">
        <w:t>N</w:t>
      </w:r>
      <w:r>
        <w:t>on-Indigenous service provider)</w:t>
      </w:r>
    </w:p>
    <w:p w14:paraId="536FFD9E" w14:textId="77777777" w:rsidR="00F94F86" w:rsidRPr="001F12BC" w:rsidRDefault="00F94F86" w:rsidP="00FF35AF">
      <w:pPr>
        <w:pStyle w:val="HeadingLevel4NoNumber"/>
      </w:pPr>
      <w:r w:rsidRPr="001F12BC">
        <w:t xml:space="preserve">Insight 11: The delivery of culturally safe services by non-Indigenous providers is inconsistent, contributing to limited access to services and poor health outcomes </w:t>
      </w:r>
    </w:p>
    <w:p w14:paraId="0A618598" w14:textId="77777777" w:rsidR="00F94F86" w:rsidRDefault="00F94F86" w:rsidP="00036532">
      <w:pPr>
        <w:pStyle w:val="BodyText"/>
      </w:pPr>
      <w:r w:rsidRPr="00B65F7F">
        <w:t xml:space="preserve">Many service providers and community members noted that non-Indigenous services do not meet the needs of </w:t>
      </w:r>
      <w:r>
        <w:t>Aboriginal and/or Torres Strait Islander</w:t>
      </w:r>
      <w:r w:rsidRPr="00B65F7F">
        <w:t xml:space="preserve"> communities, because they are not culturally sensitive and safe. Service providers and community members both noted that it is important for </w:t>
      </w:r>
      <w:r>
        <w:t>Aboriginal and/or Torres Strait Islander</w:t>
      </w:r>
      <w:r w:rsidRPr="00B65F7F">
        <w:t xml:space="preserve"> communities to have access to culturally safe and welcoming services, particularly for </w:t>
      </w:r>
      <w:r>
        <w:t>Aboriginal and/or Torres Strait Islander</w:t>
      </w:r>
      <w:r w:rsidRPr="00B65F7F">
        <w:t xml:space="preserve"> peoples who are hesitant to visit their local ACCHO due to privacy concerns. However, inconsistency among these options limits the ability of </w:t>
      </w:r>
      <w:r>
        <w:t>Aboriginal and/or Torres Strait Islander</w:t>
      </w:r>
      <w:r w:rsidRPr="00B65F7F">
        <w:t xml:space="preserve"> peoples to access the services they feel most comfortable using.</w:t>
      </w:r>
    </w:p>
    <w:p w14:paraId="5A4EE0F9" w14:textId="77777777" w:rsidR="00F94F86" w:rsidRDefault="00F94F86" w:rsidP="007F26F7">
      <w:pPr>
        <w:pStyle w:val="Quote"/>
      </w:pPr>
      <w:r>
        <w:t>‘PHNs don</w:t>
      </w:r>
      <w:r w:rsidR="00392587">
        <w:t>’</w:t>
      </w:r>
      <w:r>
        <w:t>t advocate for [system] change</w:t>
      </w:r>
      <w:r w:rsidR="00392587">
        <w:t xml:space="preserve"> </w:t>
      </w:r>
      <w:r>
        <w:t>...</w:t>
      </w:r>
      <w:r w:rsidR="00392587">
        <w:t xml:space="preserve"> </w:t>
      </w:r>
      <w:r>
        <w:t>they</w:t>
      </w:r>
      <w:r w:rsidR="00392587">
        <w:t>’</w:t>
      </w:r>
      <w:r>
        <w:t>re happy to take funds and commission, but they don</w:t>
      </w:r>
      <w:r w:rsidR="00392587">
        <w:t>’</w:t>
      </w:r>
      <w:r>
        <w:t>t advocate for change [in mainstream]</w:t>
      </w:r>
      <w:r w:rsidR="00185E1F">
        <w:t>.</w:t>
      </w:r>
      <w:r>
        <w:t>’ (NACCHO affiliate)</w:t>
      </w:r>
    </w:p>
    <w:p w14:paraId="1F19989C" w14:textId="77777777" w:rsidR="00F94F86" w:rsidRPr="00B65F7F" w:rsidRDefault="00F94F86" w:rsidP="00036532">
      <w:pPr>
        <w:pStyle w:val="BodyText"/>
      </w:pPr>
      <w:r w:rsidRPr="00B65F7F">
        <w:t xml:space="preserve">Building and supporting a culturally safe mainstream system is </w:t>
      </w:r>
      <w:r>
        <w:t>the</w:t>
      </w:r>
      <w:r w:rsidRPr="00B65F7F">
        <w:t xml:space="preserve"> current responsibility of PHNs; however, the ability to support a culturally safe mainstream system varies and is limited by factors such as workforce</w:t>
      </w:r>
      <w:r>
        <w:t xml:space="preserve"> availability, particularly the availability for Aboriginal and/or Torres Strait Islander workers</w:t>
      </w:r>
      <w:r w:rsidRPr="00B65F7F">
        <w:t>.</w:t>
      </w:r>
    </w:p>
    <w:p w14:paraId="34005E95" w14:textId="77777777" w:rsidR="00F94F86" w:rsidRDefault="00F94F86" w:rsidP="00036532">
      <w:pPr>
        <w:pStyle w:val="BodyText"/>
      </w:pPr>
      <w:r w:rsidRPr="00B65F7F">
        <w:t xml:space="preserve">It is noted, however, that many clients indicated that their experience with non-Indigenous service providers was positive. This was particularly notable for the non-Indigenous service providers that displayed certain features such as strong </w:t>
      </w:r>
      <w:r>
        <w:t>Aboriginal and/or Torres Strait Islander</w:t>
      </w:r>
      <w:r w:rsidRPr="00B65F7F">
        <w:t xml:space="preserve"> leadership and a strong </w:t>
      </w:r>
      <w:r>
        <w:t>Aboriginal and/or Torres Strait Islander</w:t>
      </w:r>
      <w:r w:rsidRPr="00B65F7F">
        <w:t xml:space="preserve"> workforce.</w:t>
      </w:r>
    </w:p>
    <w:p w14:paraId="0D393FAA" w14:textId="77777777" w:rsidR="00F94F86" w:rsidRDefault="00F94F86" w:rsidP="007F26F7">
      <w:pPr>
        <w:pStyle w:val="Quote"/>
      </w:pPr>
      <w:r>
        <w:t>‘PHNs have a very important role and we shouldn</w:t>
      </w:r>
      <w:r w:rsidR="00392587">
        <w:t>’</w:t>
      </w:r>
      <w:r>
        <w:t>t keep them out of the loop. I would never want them to be out of the picture, it would be good if they worked with the ACCHOs and we were working with them, not against them</w:t>
      </w:r>
      <w:r w:rsidR="00185E1F">
        <w:t>.</w:t>
      </w:r>
      <w:r>
        <w:t>’ (ACCHO)</w:t>
      </w:r>
    </w:p>
    <w:p w14:paraId="684C25D0" w14:textId="77777777" w:rsidR="00F94F86" w:rsidRPr="00B65F7F" w:rsidRDefault="00F94F86" w:rsidP="00FF35AF">
      <w:pPr>
        <w:pStyle w:val="HeadingLevel5NoNumber"/>
      </w:pPr>
      <w:r w:rsidRPr="00B65F7F">
        <w:t>Stakeholder perspectives</w:t>
      </w:r>
    </w:p>
    <w:p w14:paraId="4C537A39" w14:textId="77777777" w:rsidR="00F94F86" w:rsidRPr="00036532" w:rsidRDefault="00F94F86" w:rsidP="00036532">
      <w:pPr>
        <w:pStyle w:val="BodyText1stparaafterlist"/>
        <w:rPr>
          <w:b/>
          <w:bCs/>
        </w:rPr>
      </w:pPr>
      <w:r w:rsidRPr="00036532">
        <w:rPr>
          <w:b/>
          <w:bCs/>
        </w:rPr>
        <w:t>Service providers</w:t>
      </w:r>
    </w:p>
    <w:p w14:paraId="3984B87F" w14:textId="77777777" w:rsidR="00F94F86" w:rsidRPr="00B65F7F" w:rsidRDefault="00F94F86" w:rsidP="00036532">
      <w:pPr>
        <w:pStyle w:val="ListBullet2"/>
        <w:rPr>
          <w:b/>
          <w:bCs/>
        </w:rPr>
      </w:pPr>
      <w:r w:rsidRPr="00B65F7F">
        <w:t>Focusing on developing and recruiting Aboriginal health workers has been critical in providing culturally sensitive service delivery. Aboriginal health workers have context-specific knowledge of social networks and different family contexts, which has a significant impact on outcomes.</w:t>
      </w:r>
    </w:p>
    <w:p w14:paraId="33A6A72B" w14:textId="77777777" w:rsidR="00F94F86" w:rsidRPr="00B65F7F" w:rsidRDefault="00F94F86" w:rsidP="00036532">
      <w:pPr>
        <w:pStyle w:val="ListBullet2"/>
        <w:rPr>
          <w:b/>
          <w:bCs/>
        </w:rPr>
      </w:pPr>
      <w:r w:rsidRPr="00B65F7F">
        <w:t xml:space="preserve">Some community members feel that community-controlled services may be better placed to provide culturally responsive care. </w:t>
      </w:r>
    </w:p>
    <w:p w14:paraId="1B67FDF5" w14:textId="77777777" w:rsidR="00F94F86" w:rsidRPr="00B65F7F" w:rsidRDefault="00F94F86" w:rsidP="00036532">
      <w:pPr>
        <w:pStyle w:val="ListBullet2"/>
      </w:pPr>
      <w:r w:rsidRPr="00B65F7F">
        <w:t>Community members generally feel that trust in their local health provider is based on building relationships with key individuals.</w:t>
      </w:r>
    </w:p>
    <w:p w14:paraId="7F86519A" w14:textId="77777777" w:rsidR="00F94F86" w:rsidRPr="00036532" w:rsidRDefault="00F94F86" w:rsidP="00036532">
      <w:pPr>
        <w:pStyle w:val="BodyText1stparaafterlist"/>
        <w:rPr>
          <w:b/>
          <w:bCs/>
        </w:rPr>
      </w:pPr>
      <w:r w:rsidRPr="00036532">
        <w:rPr>
          <w:b/>
          <w:bCs/>
        </w:rPr>
        <w:t>PHNs</w:t>
      </w:r>
    </w:p>
    <w:p w14:paraId="5EF58A96" w14:textId="77777777" w:rsidR="00F94F86" w:rsidRPr="00B65F7F" w:rsidRDefault="00F94F86" w:rsidP="00036532">
      <w:pPr>
        <w:pStyle w:val="ListBullet2"/>
      </w:pPr>
      <w:r>
        <w:t>Aboriginal and/or Torres Strait Islander</w:t>
      </w:r>
      <w:r w:rsidRPr="00B65F7F">
        <w:t xml:space="preserve"> peoples are entitled to, and can determine, their involvement with either non-Indigenous or </w:t>
      </w:r>
      <w:r>
        <w:t>Aboriginal and/or Torres Strait Islander</w:t>
      </w:r>
      <w:r w:rsidRPr="00B65F7F">
        <w:t>-led services. </w:t>
      </w:r>
    </w:p>
    <w:p w14:paraId="0CD29043" w14:textId="77777777" w:rsidR="00F94F86" w:rsidRPr="00B65F7F" w:rsidRDefault="00F94F86" w:rsidP="00036532">
      <w:pPr>
        <w:pStyle w:val="ListBullet2"/>
      </w:pPr>
      <w:r w:rsidRPr="00B65F7F">
        <w:t>Currently, some PHNs have encouraged non-Indigenous providers to focus on embedding cultural safety in their service provision. This is through contractual requirements, training initiatives and cultural safety frameworks.</w:t>
      </w:r>
    </w:p>
    <w:p w14:paraId="04F4FFCF" w14:textId="77777777" w:rsidR="00F94F86" w:rsidRPr="00B65F7F" w:rsidRDefault="00F94F86" w:rsidP="00036532">
      <w:pPr>
        <w:pStyle w:val="ListBullet2"/>
      </w:pPr>
      <w:r w:rsidRPr="00B65F7F">
        <w:t>Aboriginal health workers are critical to providing culturally safe and responsive service delivery.</w:t>
      </w:r>
    </w:p>
    <w:p w14:paraId="460654C8" w14:textId="77777777" w:rsidR="00F94F86" w:rsidRPr="00B65F7F" w:rsidRDefault="00F94F86" w:rsidP="00036532">
      <w:pPr>
        <w:pStyle w:val="ListBullet2"/>
      </w:pPr>
      <w:r>
        <w:t>Aboriginal and/or Torres Strait Islander</w:t>
      </w:r>
      <w:r w:rsidRPr="00B65F7F">
        <w:t xml:space="preserve"> people will more readily access services where they feel they can share personal information related to their health, leading to increased trust and confidence.</w:t>
      </w:r>
    </w:p>
    <w:p w14:paraId="7BEF596A" w14:textId="77777777" w:rsidR="00F94F86" w:rsidRPr="00036532" w:rsidRDefault="00F94F86" w:rsidP="00036532">
      <w:pPr>
        <w:pStyle w:val="BodyText1stparaafterlist"/>
        <w:rPr>
          <w:b/>
          <w:bCs/>
        </w:rPr>
      </w:pPr>
      <w:r w:rsidRPr="00036532">
        <w:rPr>
          <w:b/>
          <w:bCs/>
        </w:rPr>
        <w:lastRenderedPageBreak/>
        <w:t>Aboriginal and/or Torres Strait Islander community-controlled peak organisations</w:t>
      </w:r>
    </w:p>
    <w:p w14:paraId="284632C4" w14:textId="77777777" w:rsidR="00F94F86" w:rsidRDefault="00F94F86" w:rsidP="00036532">
      <w:pPr>
        <w:pStyle w:val="ListBullet2"/>
      </w:pPr>
      <w:r w:rsidRPr="00B65F7F">
        <w:t>PHNs are not currently required to hold non-Indigenous organisations to account when they are commissioned, to ensure they deliver culturally appropriate care.</w:t>
      </w:r>
    </w:p>
    <w:p w14:paraId="28165B67" w14:textId="77777777" w:rsidR="00F94F86" w:rsidRDefault="00F94F86" w:rsidP="007F26F7">
      <w:pPr>
        <w:pStyle w:val="Quote"/>
      </w:pPr>
      <w:r>
        <w:t>‘We spend a lot of time and effort ensuring mainstream providers are culturally safe</w:t>
      </w:r>
      <w:r w:rsidR="00185E1F">
        <w:t>.</w:t>
      </w:r>
      <w:r>
        <w:t xml:space="preserve">’ (PHN) </w:t>
      </w:r>
    </w:p>
    <w:p w14:paraId="7CBD3BDB" w14:textId="77777777" w:rsidR="00F94F86" w:rsidRPr="00B65F7F" w:rsidRDefault="00F94F86" w:rsidP="00FF35AF">
      <w:pPr>
        <w:pStyle w:val="HeadingLevel5NoNumber"/>
      </w:pPr>
      <w:r w:rsidRPr="00B65F7F">
        <w:t>Best practice examples identified</w:t>
      </w:r>
    </w:p>
    <w:p w14:paraId="02AE3EAB" w14:textId="77777777" w:rsidR="00F94F86" w:rsidRPr="00B65F7F" w:rsidRDefault="00F94F86" w:rsidP="00036532">
      <w:pPr>
        <w:pStyle w:val="ListBullet2"/>
      </w:pPr>
      <w:r w:rsidRPr="00B65F7F">
        <w:t xml:space="preserve">Western Victoria PHN engaged ACCHOs to co-design a cultural </w:t>
      </w:r>
      <w:r>
        <w:t>safety</w:t>
      </w:r>
      <w:r w:rsidRPr="00B65F7F">
        <w:t xml:space="preserve"> program for non-Indigenous primary care providers as an intended income stream to support services for </w:t>
      </w:r>
      <w:r>
        <w:t>Aboriginal and/or Torres Strait Islander</w:t>
      </w:r>
      <w:r w:rsidRPr="00B65F7F">
        <w:t xml:space="preserve"> people, while at the same time improving cultural safety in non-</w:t>
      </w:r>
      <w:r>
        <w:t>Aboriginal and/or Torres Strait Islander</w:t>
      </w:r>
      <w:r w:rsidRPr="00B65F7F">
        <w:t xml:space="preserve"> primary care settings.</w:t>
      </w:r>
    </w:p>
    <w:p w14:paraId="71A6CE34" w14:textId="77777777" w:rsidR="00855DAE" w:rsidRPr="00855DAE" w:rsidRDefault="00F94F86" w:rsidP="00036532">
      <w:pPr>
        <w:pStyle w:val="ListBullet2"/>
      </w:pPr>
      <w:r w:rsidRPr="00B65F7F">
        <w:t xml:space="preserve">Nepean Blue Mountains PHN has formal arrangements between non-Indigenous and </w:t>
      </w:r>
      <w:r>
        <w:t>Aboriginal and/or Torres Strait Islander</w:t>
      </w:r>
      <w:r w:rsidRPr="00B65F7F">
        <w:t xml:space="preserve"> service providers to ensure client agency and choice of service and to support continuity of care.</w:t>
      </w:r>
    </w:p>
    <w:p w14:paraId="7BA9FD31" w14:textId="77777777" w:rsidR="00855DAE" w:rsidRDefault="00855DAE" w:rsidP="006734AE">
      <w:pPr>
        <w:pStyle w:val="HeadingLevel2NoNumber"/>
      </w:pPr>
      <w:r>
        <w:t>A</w:t>
      </w:r>
      <w:r w:rsidR="003A0A73">
        <w:t>4.4</w:t>
      </w:r>
      <w:r>
        <w:t xml:space="preserve"> Reference</w:t>
      </w:r>
      <w:r w:rsidR="003A0A73">
        <w:t>s</w:t>
      </w:r>
    </w:p>
    <w:p w14:paraId="43633610" w14:textId="77777777" w:rsidR="003A0A73" w:rsidRPr="00570CF8" w:rsidRDefault="003A0A73" w:rsidP="00036532">
      <w:pPr>
        <w:pStyle w:val="References"/>
      </w:pPr>
      <w:r w:rsidRPr="00570CF8">
        <w:t xml:space="preserve">Australian Government (2020) </w:t>
      </w:r>
      <w:hyperlink r:id="rId100" w:history="1">
        <w:r w:rsidRPr="00570CF8">
          <w:rPr>
            <w:rStyle w:val="Hyperlink"/>
            <w:i/>
          </w:rPr>
          <w:t>6. Priority Reform Two – Building the community-controlled sector</w:t>
        </w:r>
      </w:hyperlink>
      <w:r w:rsidRPr="00570CF8">
        <w:t>, Closing the Gap.</w:t>
      </w:r>
    </w:p>
    <w:p w14:paraId="66E39FB9" w14:textId="5B5C8E22" w:rsidR="000C3F43" w:rsidRPr="00570CF8" w:rsidRDefault="000C3F43" w:rsidP="00036532">
      <w:pPr>
        <w:pStyle w:val="References"/>
      </w:pPr>
      <w:r w:rsidRPr="00570CF8">
        <w:t xml:space="preserve">Cooke M (2023) </w:t>
      </w:r>
      <w:hyperlink r:id="rId101" w:history="1">
        <w:r w:rsidRPr="00570CF8">
          <w:rPr>
            <w:rStyle w:val="Hyperlink"/>
            <w:i/>
            <w:iCs/>
          </w:rPr>
          <w:t>Torres &amp; Cape Health Care (TORCH) Commissioning Fund</w:t>
        </w:r>
      </w:hyperlink>
      <w:r w:rsidRPr="00570CF8">
        <w:t>, Queensland Aboriginal and Islander Health Council.</w:t>
      </w:r>
    </w:p>
    <w:p w14:paraId="501DE7FE" w14:textId="7D48A4B5" w:rsidR="003A0A73" w:rsidRPr="00570CF8" w:rsidRDefault="003A0A73" w:rsidP="00036532">
      <w:pPr>
        <w:pStyle w:val="References"/>
      </w:pPr>
      <w:r w:rsidRPr="00570CF8">
        <w:t xml:space="preserve">Halseth R and Murdock L (2020) </w:t>
      </w:r>
      <w:hyperlink r:id="rId102" w:history="1">
        <w:r w:rsidRPr="00570CF8">
          <w:rPr>
            <w:rStyle w:val="Hyperlink"/>
            <w:i/>
            <w:iCs/>
          </w:rPr>
          <w:t>Supporting Indigenous self-determination in health: Lessons learned from a review of best practices in health governance in Canada and internationally</w:t>
        </w:r>
      </w:hyperlink>
      <w:r w:rsidRPr="00570CF8">
        <w:t>, National Collaborating Centre for Indigenous Health. </w:t>
      </w:r>
    </w:p>
    <w:p w14:paraId="5E79F4E8" w14:textId="77777777" w:rsidR="003A0A73" w:rsidRPr="004A6F43" w:rsidRDefault="003A0A73" w:rsidP="00036532">
      <w:pPr>
        <w:pStyle w:val="References"/>
      </w:pPr>
      <w:r w:rsidRPr="00570CF8">
        <w:t xml:space="preserve">Productivity Commission (2023) </w:t>
      </w:r>
      <w:hyperlink r:id="rId103" w:history="1">
        <w:r w:rsidRPr="00570CF8">
          <w:rPr>
            <w:rStyle w:val="Hyperlink"/>
            <w:i/>
            <w:iCs/>
          </w:rPr>
          <w:t>Review of the National Agreement on Closing the Gap: Draft report</w:t>
        </w:r>
      </w:hyperlink>
      <w:r w:rsidRPr="00570CF8">
        <w:t>, PC, Canberra.</w:t>
      </w:r>
      <w:r w:rsidRPr="00CF304B">
        <w:t xml:space="preserve"> </w:t>
      </w:r>
    </w:p>
    <w:p w14:paraId="07B543D9" w14:textId="6394081F" w:rsidR="003A0A73" w:rsidRPr="00C36A9B" w:rsidRDefault="003A0A73" w:rsidP="00036532">
      <w:pPr>
        <w:pStyle w:val="References"/>
        <w:rPr>
          <w:rStyle w:val="Hyperlink"/>
          <w:color w:val="000000"/>
          <w:u w:val="none"/>
        </w:rPr>
      </w:pPr>
    </w:p>
    <w:p w14:paraId="4FF88DF5" w14:textId="77777777" w:rsidR="00F94F86" w:rsidRPr="00392587" w:rsidRDefault="00F94F86" w:rsidP="00292E56">
      <w:pPr>
        <w:pStyle w:val="BodyText"/>
      </w:pPr>
      <w:r w:rsidRPr="00392587">
        <w:br w:type="page"/>
      </w:r>
    </w:p>
    <w:p w14:paraId="0D6ADDB4" w14:textId="5CFA6339" w:rsidR="00597B5E" w:rsidRPr="00B65F7F" w:rsidRDefault="00597B5E" w:rsidP="001611E1">
      <w:pPr>
        <w:pStyle w:val="Heading1App"/>
      </w:pPr>
      <w:bookmarkStart w:id="282" w:name="App5"/>
      <w:bookmarkStart w:id="283" w:name="_Toc156932016"/>
      <w:r w:rsidRPr="00B65F7F">
        <w:lastRenderedPageBreak/>
        <w:t xml:space="preserve">Appendix </w:t>
      </w:r>
      <w:bookmarkEnd w:id="183"/>
      <w:r w:rsidR="00F94F86">
        <w:t>5</w:t>
      </w:r>
      <w:r w:rsidR="006C172C">
        <w:t xml:space="preserve"> –</w:t>
      </w:r>
      <w:r w:rsidRPr="00B65F7F">
        <w:t xml:space="preserve"> Stakeholders engaged</w:t>
      </w:r>
      <w:bookmarkEnd w:id="184"/>
      <w:bookmarkEnd w:id="282"/>
      <w:bookmarkEnd w:id="283"/>
    </w:p>
    <w:p w14:paraId="57C7F2DE" w14:textId="77777777" w:rsidR="00597B5E" w:rsidRPr="00B65F7F" w:rsidRDefault="008D330E" w:rsidP="006734AE">
      <w:pPr>
        <w:pStyle w:val="HeadingLevel2NoNumber"/>
      </w:pPr>
      <w:r>
        <w:t xml:space="preserve">A5.1 </w:t>
      </w:r>
      <w:r w:rsidR="00597B5E" w:rsidRPr="00B65F7F">
        <w:t xml:space="preserve">Stakeholder </w:t>
      </w:r>
      <w:r w:rsidR="00597B5E">
        <w:t>e</w:t>
      </w:r>
      <w:r w:rsidR="00597B5E" w:rsidRPr="00B65F7F">
        <w:t xml:space="preserve">ngagement </w:t>
      </w:r>
      <w:r w:rsidR="00597B5E" w:rsidRPr="00B65F7F">
        <w:rPr>
          <w:shd w:val="clear" w:color="auto" w:fill="FFFFFF"/>
        </w:rPr>
        <w:t xml:space="preserve">and </w:t>
      </w:r>
      <w:r w:rsidR="00597B5E">
        <w:rPr>
          <w:shd w:val="clear" w:color="auto" w:fill="FFFFFF"/>
        </w:rPr>
        <w:t>d</w:t>
      </w:r>
      <w:r w:rsidR="00597B5E" w:rsidRPr="00B65F7F">
        <w:rPr>
          <w:shd w:val="clear" w:color="auto" w:fill="FFFFFF"/>
        </w:rPr>
        <w:t xml:space="preserve">ata </w:t>
      </w:r>
      <w:r w:rsidR="00597B5E">
        <w:rPr>
          <w:shd w:val="clear" w:color="auto" w:fill="FFFFFF"/>
        </w:rPr>
        <w:t>c</w:t>
      </w:r>
      <w:r w:rsidR="00597B5E" w:rsidRPr="00B65F7F">
        <w:rPr>
          <w:shd w:val="clear" w:color="auto" w:fill="FFFFFF"/>
        </w:rPr>
        <w:t xml:space="preserve">ollection </w:t>
      </w:r>
      <w:r w:rsidR="00597B5E">
        <w:rPr>
          <w:shd w:val="clear" w:color="auto" w:fill="FFFFFF"/>
        </w:rPr>
        <w:t>s</w:t>
      </w:r>
      <w:r w:rsidR="00597B5E" w:rsidRPr="00B65F7F">
        <w:rPr>
          <w:shd w:val="clear" w:color="auto" w:fill="FFFFFF"/>
        </w:rPr>
        <w:t>trategy</w:t>
      </w:r>
    </w:p>
    <w:p w14:paraId="2CBD1C7F" w14:textId="77777777" w:rsidR="00597B5E" w:rsidRPr="00B65F7F" w:rsidRDefault="00597B5E" w:rsidP="00747A83">
      <w:pPr>
        <w:pStyle w:val="BodyText"/>
        <w:rPr>
          <w:shd w:val="clear" w:color="auto" w:fill="FFFFFF"/>
        </w:rPr>
      </w:pPr>
      <w:r w:rsidRPr="00B65F7F">
        <w:rPr>
          <w:shd w:val="clear" w:color="auto" w:fill="FFFFFF"/>
        </w:rPr>
        <w:t xml:space="preserve">A </w:t>
      </w:r>
      <w:r>
        <w:rPr>
          <w:shd w:val="clear" w:color="auto" w:fill="FFFFFF"/>
        </w:rPr>
        <w:t>s</w:t>
      </w:r>
      <w:r w:rsidRPr="00B65F7F">
        <w:rPr>
          <w:shd w:val="clear" w:color="auto" w:fill="FFFFFF"/>
        </w:rPr>
        <w:t xml:space="preserve">takeholder </w:t>
      </w:r>
      <w:r>
        <w:rPr>
          <w:shd w:val="clear" w:color="auto" w:fill="FFFFFF"/>
        </w:rPr>
        <w:t>e</w:t>
      </w:r>
      <w:r w:rsidRPr="00B65F7F">
        <w:rPr>
          <w:shd w:val="clear" w:color="auto" w:fill="FFFFFF"/>
        </w:rPr>
        <w:t xml:space="preserve">ngagement and </w:t>
      </w:r>
      <w:r>
        <w:rPr>
          <w:shd w:val="clear" w:color="auto" w:fill="FFFFFF"/>
        </w:rPr>
        <w:t>d</w:t>
      </w:r>
      <w:r w:rsidRPr="00B65F7F">
        <w:rPr>
          <w:shd w:val="clear" w:color="auto" w:fill="FFFFFF"/>
        </w:rPr>
        <w:t xml:space="preserve">ata </w:t>
      </w:r>
      <w:r>
        <w:rPr>
          <w:shd w:val="clear" w:color="auto" w:fill="FFFFFF"/>
        </w:rPr>
        <w:t>c</w:t>
      </w:r>
      <w:r w:rsidRPr="00B65F7F">
        <w:rPr>
          <w:shd w:val="clear" w:color="auto" w:fill="FFFFFF"/>
        </w:rPr>
        <w:t xml:space="preserve">ollection </w:t>
      </w:r>
      <w:r>
        <w:rPr>
          <w:shd w:val="clear" w:color="auto" w:fill="FFFFFF"/>
        </w:rPr>
        <w:t>s</w:t>
      </w:r>
      <w:r w:rsidRPr="00B65F7F">
        <w:rPr>
          <w:shd w:val="clear" w:color="auto" w:fill="FFFFFF"/>
        </w:rPr>
        <w:t xml:space="preserve">trategy was developed to guide the approach to working with Indigenous stakeholders and collecting data in a way that is culturally credible and safe. </w:t>
      </w:r>
      <w:r>
        <w:rPr>
          <w:shd w:val="clear" w:color="auto" w:fill="FFFFFF"/>
        </w:rPr>
        <w:t>The</w:t>
      </w:r>
      <w:r w:rsidRPr="00B65F7F">
        <w:rPr>
          <w:shd w:val="clear" w:color="auto" w:fill="FFFFFF"/>
        </w:rPr>
        <w:t xml:space="preserve"> stakeholder engagement and data collection process was completed from December 2022 to September 2023. </w:t>
      </w:r>
    </w:p>
    <w:p w14:paraId="6DFAF28D" w14:textId="77777777" w:rsidR="00597B5E" w:rsidRPr="00B65F7F" w:rsidRDefault="008D330E" w:rsidP="006734AE">
      <w:pPr>
        <w:pStyle w:val="HeadingLevel2NoNumber"/>
        <w:rPr>
          <w:shd w:val="clear" w:color="auto" w:fill="FFFFFF"/>
        </w:rPr>
      </w:pPr>
      <w:r>
        <w:rPr>
          <w:shd w:val="clear" w:color="auto" w:fill="FFFFFF"/>
        </w:rPr>
        <w:t xml:space="preserve">A5.2 </w:t>
      </w:r>
      <w:r w:rsidR="00597B5E" w:rsidRPr="00B65F7F">
        <w:rPr>
          <w:shd w:val="clear" w:color="auto" w:fill="FFFFFF"/>
        </w:rPr>
        <w:t xml:space="preserve">Stakeholders </w:t>
      </w:r>
      <w:r w:rsidR="00597B5E">
        <w:rPr>
          <w:shd w:val="clear" w:color="auto" w:fill="FFFFFF"/>
        </w:rPr>
        <w:t>e</w:t>
      </w:r>
      <w:r w:rsidR="00597B5E" w:rsidRPr="00B65F7F">
        <w:rPr>
          <w:shd w:val="clear" w:color="auto" w:fill="FFFFFF"/>
        </w:rPr>
        <w:t xml:space="preserve">ngaged </w:t>
      </w:r>
    </w:p>
    <w:p w14:paraId="4F37F0D3" w14:textId="77777777" w:rsidR="00597B5E" w:rsidRPr="00B65F7F" w:rsidRDefault="00597B5E" w:rsidP="0066123B">
      <w:pPr>
        <w:pStyle w:val="BodyText"/>
        <w:rPr>
          <w:color w:val="262626"/>
        </w:rPr>
      </w:pPr>
      <w:r w:rsidRPr="0066123B">
        <w:t>Key stakeholder groups were defined and identified in the Review Statement of Requirement and the Final Review Framework. They include A</w:t>
      </w:r>
      <w:r w:rsidRPr="00B65F7F">
        <w:rPr>
          <w:color w:val="262626"/>
        </w:rPr>
        <w:t xml:space="preserve">boriginal and/or Torres Strait Islander community members, </w:t>
      </w:r>
      <w:r w:rsidRPr="0066123B">
        <w:t xml:space="preserve">representatives associated with </w:t>
      </w:r>
      <w:r w:rsidR="00AE082A" w:rsidRPr="0066123B">
        <w:t>the Department of Health and Aged Care (DoHAC)</w:t>
      </w:r>
      <w:r w:rsidRPr="0066123B">
        <w:t xml:space="preserve"> and the National Indigenous Australians Agency</w:t>
      </w:r>
      <w:r w:rsidR="00AE082A" w:rsidRPr="0066123B">
        <w:t xml:space="preserve"> (NIAA)</w:t>
      </w:r>
      <w:r w:rsidRPr="0066123B">
        <w:t xml:space="preserve">, </w:t>
      </w:r>
      <w:r w:rsidR="00D1119F" w:rsidRPr="0066123B">
        <w:t>Primary</w:t>
      </w:r>
      <w:r w:rsidRPr="0066123B">
        <w:t xml:space="preserve"> Health Networks</w:t>
      </w:r>
      <w:r w:rsidR="00AE082A" w:rsidRPr="0066123B">
        <w:t xml:space="preserve"> (PHNs)</w:t>
      </w:r>
      <w:r w:rsidRPr="0066123B">
        <w:t xml:space="preserve">, </w:t>
      </w:r>
      <w:r w:rsidR="00AE082A" w:rsidRPr="0066123B">
        <w:t>s</w:t>
      </w:r>
      <w:r w:rsidRPr="0066123B">
        <w:t xml:space="preserve">tate and </w:t>
      </w:r>
      <w:r w:rsidR="00AE082A" w:rsidRPr="0066123B">
        <w:t>t</w:t>
      </w:r>
      <w:r w:rsidRPr="0066123B">
        <w:t xml:space="preserve">erritory </w:t>
      </w:r>
      <w:r w:rsidR="00AE082A" w:rsidRPr="0066123B">
        <w:t>g</w:t>
      </w:r>
      <w:r w:rsidRPr="0066123B">
        <w:t xml:space="preserve">overnment departments, </w:t>
      </w:r>
      <w:r w:rsidRPr="00B65F7F">
        <w:rPr>
          <w:color w:val="000000"/>
          <w:lang w:eastAsia="en-AU"/>
        </w:rPr>
        <w:t xml:space="preserve">Aboriginal </w:t>
      </w:r>
      <w:r w:rsidR="00B4347D">
        <w:rPr>
          <w:color w:val="000000"/>
          <w:lang w:eastAsia="en-AU"/>
        </w:rPr>
        <w:t>c</w:t>
      </w:r>
      <w:r w:rsidRPr="00B65F7F">
        <w:rPr>
          <w:color w:val="000000"/>
          <w:lang w:eastAsia="en-AU"/>
        </w:rPr>
        <w:t>ommunity</w:t>
      </w:r>
      <w:r w:rsidR="00B4347D">
        <w:rPr>
          <w:color w:val="000000"/>
          <w:lang w:eastAsia="en-AU"/>
        </w:rPr>
        <w:t>-c</w:t>
      </w:r>
      <w:r w:rsidRPr="00B65F7F">
        <w:rPr>
          <w:color w:val="000000"/>
          <w:lang w:eastAsia="en-AU"/>
        </w:rPr>
        <w:t xml:space="preserve">ontrolled </w:t>
      </w:r>
      <w:r w:rsidR="00B4347D">
        <w:rPr>
          <w:color w:val="000000"/>
          <w:lang w:eastAsia="en-AU"/>
        </w:rPr>
        <w:t>o</w:t>
      </w:r>
      <w:r w:rsidRPr="00B65F7F">
        <w:rPr>
          <w:color w:val="000000"/>
          <w:lang w:eastAsia="en-AU"/>
        </w:rPr>
        <w:t>rganisations</w:t>
      </w:r>
      <w:r w:rsidR="00AE082A">
        <w:rPr>
          <w:color w:val="000000"/>
          <w:lang w:eastAsia="en-AU"/>
        </w:rPr>
        <w:t xml:space="preserve"> (ACCOs)</w:t>
      </w:r>
      <w:r w:rsidRPr="00B65F7F">
        <w:rPr>
          <w:color w:val="000000"/>
          <w:lang w:eastAsia="en-AU"/>
        </w:rPr>
        <w:t xml:space="preserve">, Aboriginal </w:t>
      </w:r>
      <w:r w:rsidR="00B4347D">
        <w:rPr>
          <w:color w:val="000000"/>
          <w:lang w:eastAsia="en-AU"/>
        </w:rPr>
        <w:t>c</w:t>
      </w:r>
      <w:r w:rsidRPr="00B65F7F">
        <w:rPr>
          <w:color w:val="000000"/>
          <w:lang w:eastAsia="en-AU"/>
        </w:rPr>
        <w:t>ommunity</w:t>
      </w:r>
      <w:r w:rsidR="00B4347D">
        <w:rPr>
          <w:color w:val="000000"/>
          <w:lang w:eastAsia="en-AU"/>
        </w:rPr>
        <w:t>-c</w:t>
      </w:r>
      <w:r w:rsidRPr="00B65F7F">
        <w:rPr>
          <w:color w:val="000000"/>
          <w:lang w:eastAsia="en-AU"/>
        </w:rPr>
        <w:t xml:space="preserve">ontrolled </w:t>
      </w:r>
      <w:r w:rsidR="00B4347D">
        <w:rPr>
          <w:color w:val="000000"/>
          <w:lang w:eastAsia="en-AU"/>
        </w:rPr>
        <w:t>h</w:t>
      </w:r>
      <w:r w:rsidRPr="00B65F7F">
        <w:rPr>
          <w:color w:val="000000"/>
          <w:lang w:eastAsia="en-AU"/>
        </w:rPr>
        <w:t xml:space="preserve">ealth </w:t>
      </w:r>
      <w:r w:rsidR="00B4347D">
        <w:rPr>
          <w:color w:val="000000"/>
          <w:lang w:eastAsia="en-AU"/>
        </w:rPr>
        <w:t>o</w:t>
      </w:r>
      <w:r w:rsidRPr="00B65F7F">
        <w:rPr>
          <w:color w:val="000000"/>
          <w:lang w:eastAsia="en-AU"/>
        </w:rPr>
        <w:t xml:space="preserve">rganisations or </w:t>
      </w:r>
      <w:r w:rsidR="00B4347D">
        <w:rPr>
          <w:color w:val="000000"/>
          <w:lang w:eastAsia="en-AU"/>
        </w:rPr>
        <w:t>s</w:t>
      </w:r>
      <w:r w:rsidRPr="00B65F7F">
        <w:rPr>
          <w:color w:val="000000"/>
          <w:lang w:eastAsia="en-AU"/>
        </w:rPr>
        <w:t>ervices</w:t>
      </w:r>
      <w:r w:rsidR="00AE082A">
        <w:rPr>
          <w:color w:val="000000"/>
          <w:lang w:eastAsia="en-AU"/>
        </w:rPr>
        <w:t xml:space="preserve"> (ACCHOs and ACCHSs)</w:t>
      </w:r>
      <w:r w:rsidRPr="00B65F7F">
        <w:rPr>
          <w:color w:val="000000"/>
          <w:lang w:eastAsia="en-AU"/>
        </w:rPr>
        <w:t xml:space="preserve">, Aboriginal </w:t>
      </w:r>
      <w:r w:rsidR="00B4347D">
        <w:rPr>
          <w:color w:val="000000"/>
          <w:lang w:eastAsia="en-AU"/>
        </w:rPr>
        <w:t>m</w:t>
      </w:r>
      <w:r w:rsidRPr="00B65F7F">
        <w:rPr>
          <w:color w:val="000000"/>
          <w:lang w:eastAsia="en-AU"/>
        </w:rPr>
        <w:t xml:space="preserve">edical </w:t>
      </w:r>
      <w:r w:rsidR="00B4347D">
        <w:rPr>
          <w:color w:val="000000"/>
          <w:lang w:eastAsia="en-AU"/>
        </w:rPr>
        <w:t>s</w:t>
      </w:r>
      <w:r w:rsidRPr="00B65F7F">
        <w:rPr>
          <w:color w:val="000000"/>
          <w:lang w:eastAsia="en-AU"/>
        </w:rPr>
        <w:t>ervices</w:t>
      </w:r>
      <w:r w:rsidR="00AE082A">
        <w:rPr>
          <w:color w:val="000000"/>
          <w:lang w:eastAsia="en-AU"/>
        </w:rPr>
        <w:t xml:space="preserve"> (AMSs)</w:t>
      </w:r>
      <w:r w:rsidRPr="00B65F7F">
        <w:rPr>
          <w:color w:val="000000"/>
          <w:lang w:eastAsia="en-AU"/>
        </w:rPr>
        <w:t>,</w:t>
      </w:r>
      <w:r>
        <w:rPr>
          <w:color w:val="000000"/>
          <w:lang w:eastAsia="en-AU"/>
        </w:rPr>
        <w:t xml:space="preserve"> </w:t>
      </w:r>
      <w:r w:rsidRPr="00B65F7F">
        <w:rPr>
          <w:color w:val="000000"/>
          <w:lang w:eastAsia="en-AU"/>
        </w:rPr>
        <w:t xml:space="preserve">mainstream service providers </w:t>
      </w:r>
      <w:r w:rsidRPr="0066123B">
        <w:t xml:space="preserve">and other organisations that provide support and advocacy to ACCHOs and community members across the country, including the </w:t>
      </w:r>
      <w:r w:rsidRPr="00B65F7F">
        <w:rPr>
          <w:color w:val="262626"/>
        </w:rPr>
        <w:t>National Aboriginal Community Controlled Health Organisation (NACCHO)</w:t>
      </w:r>
      <w:r>
        <w:rPr>
          <w:color w:val="262626"/>
        </w:rPr>
        <w:t xml:space="preserve"> </w:t>
      </w:r>
      <w:r w:rsidRPr="00B65F7F">
        <w:rPr>
          <w:color w:val="262626"/>
        </w:rPr>
        <w:t xml:space="preserve">and its 8 </w:t>
      </w:r>
      <w:r>
        <w:rPr>
          <w:color w:val="262626"/>
        </w:rPr>
        <w:t>a</w:t>
      </w:r>
      <w:r w:rsidRPr="00B65F7F">
        <w:rPr>
          <w:color w:val="262626"/>
        </w:rPr>
        <w:t xml:space="preserve">ffiliate organisations across the </w:t>
      </w:r>
      <w:r>
        <w:rPr>
          <w:color w:val="262626"/>
        </w:rPr>
        <w:t>s</w:t>
      </w:r>
      <w:r w:rsidRPr="00B65F7F">
        <w:rPr>
          <w:color w:val="262626"/>
        </w:rPr>
        <w:t xml:space="preserve">tates and </w:t>
      </w:r>
      <w:r>
        <w:rPr>
          <w:color w:val="262626"/>
        </w:rPr>
        <w:t>t</w:t>
      </w:r>
      <w:r w:rsidRPr="00B65F7F">
        <w:rPr>
          <w:color w:val="262626"/>
        </w:rPr>
        <w:t>erritories.</w:t>
      </w:r>
      <w:r>
        <w:rPr>
          <w:color w:val="262626"/>
        </w:rPr>
        <w:t xml:space="preserve"> </w:t>
      </w:r>
    </w:p>
    <w:p w14:paraId="301EB42E" w14:textId="6093166B" w:rsidR="00597B5E" w:rsidRDefault="00597B5E" w:rsidP="00747A83">
      <w:pPr>
        <w:pStyle w:val="BodyText"/>
      </w:pPr>
      <w:r w:rsidRPr="00B65F7F">
        <w:t xml:space="preserve">The various engagement activities </w:t>
      </w:r>
      <w:r>
        <w:t xml:space="preserve">that </w:t>
      </w:r>
      <w:r w:rsidRPr="00B65F7F">
        <w:t xml:space="preserve">key stakeholders participated in during the </w:t>
      </w:r>
      <w:r w:rsidR="00AE082A">
        <w:t>R</w:t>
      </w:r>
      <w:r w:rsidRPr="00B65F7F">
        <w:t xml:space="preserve">eview engagement phase is shown in </w:t>
      </w:r>
      <w:r w:rsidR="00C73D9B">
        <w:fldChar w:fldCharType="begin"/>
      </w:r>
      <w:r w:rsidR="00C73D9B">
        <w:instrText xml:space="preserve"> REF _Ref151907715 \h </w:instrText>
      </w:r>
      <w:r w:rsidR="00C73D9B">
        <w:fldChar w:fldCharType="separate"/>
      </w:r>
      <w:r w:rsidR="00934D5E">
        <w:t>Table A5.</w:t>
      </w:r>
      <w:r w:rsidR="00934D5E">
        <w:rPr>
          <w:noProof/>
        </w:rPr>
        <w:t>1</w:t>
      </w:r>
      <w:r w:rsidR="00C73D9B">
        <w:fldChar w:fldCharType="end"/>
      </w:r>
      <w:r w:rsidRPr="00B65F7F">
        <w:t>.</w:t>
      </w:r>
    </w:p>
    <w:p w14:paraId="24F32746" w14:textId="49D49559" w:rsidR="00597B5E" w:rsidRPr="00B65F7F" w:rsidRDefault="00C73D9B" w:rsidP="00C73D9B">
      <w:pPr>
        <w:pStyle w:val="CaptionTable"/>
      </w:pPr>
      <w:bookmarkStart w:id="284" w:name="_Ref151907715"/>
      <w:bookmarkStart w:id="285" w:name="_Toc145604974"/>
      <w:bookmarkStart w:id="286" w:name="_Toc145617846"/>
      <w:bookmarkStart w:id="287" w:name="_Toc156932083"/>
      <w:r>
        <w:t>Table A5.</w:t>
      </w:r>
      <w:r>
        <w:fldChar w:fldCharType="begin"/>
      </w:r>
      <w:r>
        <w:instrText xml:space="preserve"> SEQ Table_A5 \* ARABIC </w:instrText>
      </w:r>
      <w:r>
        <w:fldChar w:fldCharType="separate"/>
      </w:r>
      <w:r w:rsidR="00934D5E">
        <w:rPr>
          <w:noProof/>
        </w:rPr>
        <w:t>1</w:t>
      </w:r>
      <w:r>
        <w:fldChar w:fldCharType="end"/>
      </w:r>
      <w:bookmarkEnd w:id="284"/>
      <w:r w:rsidR="00597B5E">
        <w:t>: Stakeholder engagement activities</w:t>
      </w:r>
      <w:r w:rsidR="00597B5E">
        <w:rPr>
          <w:noProof/>
        </w:rPr>
        <w:t xml:space="preserve"> during review engagement phase</w:t>
      </w:r>
      <w:bookmarkEnd w:id="285"/>
      <w:bookmarkEnd w:id="286"/>
      <w:bookmarkEnd w:id="287"/>
      <w:r w:rsidR="00597B5E" w:rsidRPr="00B65F7F">
        <w:t xml:space="preserve"> </w:t>
      </w:r>
    </w:p>
    <w:tbl>
      <w:tblPr>
        <w:tblStyle w:val="Newtableforresport"/>
        <w:tblW w:w="9622" w:type="dxa"/>
        <w:tblInd w:w="8" w:type="dxa"/>
        <w:tblLook w:val="04A0" w:firstRow="1" w:lastRow="0" w:firstColumn="1" w:lastColumn="0" w:noHBand="0" w:noVBand="1"/>
        <w:tblCaption w:val="Table A5.1: Stakeholder engagement activities during review engagement phase"/>
        <w:tblDescription w:val="The table describes different types of stakeholder groups that were engaged for the Review, and the type of engagement that was undertaken with each stakeholder group. The first column lists the stakeholder group. The second to sixth columns list different engagement types, including interview (second column), community yarns (third column), focus group (fourth column), co-design yarns (fifth column) and online survey (sixth column). X symbols have been used across each stakeholder group row to mark whether the stakeholder was involved in an engagement activity. "/>
      </w:tblPr>
      <w:tblGrid>
        <w:gridCol w:w="3823"/>
        <w:gridCol w:w="1233"/>
        <w:gridCol w:w="1387"/>
        <w:gridCol w:w="1056"/>
        <w:gridCol w:w="1151"/>
        <w:gridCol w:w="972"/>
      </w:tblGrid>
      <w:tr w:rsidR="00597B5E" w:rsidRPr="0033162B" w14:paraId="3DE71421" w14:textId="77777777" w:rsidTr="009D4C69">
        <w:trPr>
          <w:cnfStyle w:val="100000000000" w:firstRow="1" w:lastRow="0" w:firstColumn="0" w:lastColumn="0" w:oddVBand="0" w:evenVBand="0" w:oddHBand="0" w:evenHBand="0" w:firstRowFirstColumn="0" w:firstRowLastColumn="0" w:lastRowFirstColumn="0" w:lastRowLastColumn="0"/>
          <w:trHeight w:val="705"/>
          <w:tblHeader/>
        </w:trPr>
        <w:tc>
          <w:tcPr>
            <w:cnfStyle w:val="001000000000" w:firstRow="0" w:lastRow="0" w:firstColumn="1" w:lastColumn="0" w:oddVBand="0" w:evenVBand="0" w:oddHBand="0" w:evenHBand="0" w:firstRowFirstColumn="0" w:firstRowLastColumn="0" w:lastRowFirstColumn="0" w:lastRowLastColumn="0"/>
            <w:tcW w:w="3823" w:type="dxa"/>
            <w:vAlign w:val="center"/>
            <w:hideMark/>
          </w:tcPr>
          <w:p w14:paraId="1F3664C0" w14:textId="77777777" w:rsidR="00597B5E" w:rsidRPr="0033162B" w:rsidRDefault="00597B5E" w:rsidP="00024E8D">
            <w:pPr>
              <w:pStyle w:val="TableHeading"/>
              <w:rPr>
                <w:b w:val="0"/>
              </w:rPr>
            </w:pPr>
            <w:r w:rsidRPr="0033162B">
              <w:t>Stakeholder group</w:t>
            </w:r>
          </w:p>
        </w:tc>
        <w:tc>
          <w:tcPr>
            <w:tcW w:w="1233" w:type="dxa"/>
            <w:vAlign w:val="center"/>
            <w:hideMark/>
          </w:tcPr>
          <w:p w14:paraId="04C3D5B2" w14:textId="77777777" w:rsidR="00597B5E" w:rsidRPr="0033162B" w:rsidRDefault="00597B5E" w:rsidP="00024E8D">
            <w:pPr>
              <w:pStyle w:val="TableHeading"/>
              <w:cnfStyle w:val="100000000000" w:firstRow="1" w:lastRow="0" w:firstColumn="0" w:lastColumn="0" w:oddVBand="0" w:evenVBand="0" w:oddHBand="0" w:evenHBand="0" w:firstRowFirstColumn="0" w:firstRowLastColumn="0" w:lastRowFirstColumn="0" w:lastRowLastColumn="0"/>
              <w:rPr>
                <w:b w:val="0"/>
              </w:rPr>
            </w:pPr>
            <w:r w:rsidRPr="0033162B">
              <w:t>Interview</w:t>
            </w:r>
          </w:p>
        </w:tc>
        <w:tc>
          <w:tcPr>
            <w:tcW w:w="1387" w:type="dxa"/>
            <w:vAlign w:val="center"/>
            <w:hideMark/>
          </w:tcPr>
          <w:p w14:paraId="67E9CD20" w14:textId="77777777" w:rsidR="00597B5E" w:rsidRPr="0033162B" w:rsidRDefault="00597B5E" w:rsidP="00024E8D">
            <w:pPr>
              <w:pStyle w:val="TableHeading"/>
              <w:cnfStyle w:val="100000000000" w:firstRow="1" w:lastRow="0" w:firstColumn="0" w:lastColumn="0" w:oddVBand="0" w:evenVBand="0" w:oddHBand="0" w:evenHBand="0" w:firstRowFirstColumn="0" w:firstRowLastColumn="0" w:lastRowFirstColumn="0" w:lastRowLastColumn="0"/>
              <w:rPr>
                <w:b w:val="0"/>
              </w:rPr>
            </w:pPr>
            <w:r w:rsidRPr="0033162B">
              <w:t xml:space="preserve">Community </w:t>
            </w:r>
            <w:r w:rsidR="00CF3408">
              <w:t>y</w:t>
            </w:r>
            <w:r w:rsidRPr="0033162B">
              <w:t>arns</w:t>
            </w:r>
          </w:p>
        </w:tc>
        <w:tc>
          <w:tcPr>
            <w:tcW w:w="1056" w:type="dxa"/>
            <w:vAlign w:val="center"/>
          </w:tcPr>
          <w:p w14:paraId="0F6F3F10" w14:textId="77777777" w:rsidR="00597B5E" w:rsidRPr="0033162B" w:rsidRDefault="00597B5E" w:rsidP="00024E8D">
            <w:pPr>
              <w:pStyle w:val="TableHeading"/>
              <w:cnfStyle w:val="100000000000" w:firstRow="1" w:lastRow="0" w:firstColumn="0" w:lastColumn="0" w:oddVBand="0" w:evenVBand="0" w:oddHBand="0" w:evenHBand="0" w:firstRowFirstColumn="0" w:firstRowLastColumn="0" w:lastRowFirstColumn="0" w:lastRowLastColumn="0"/>
              <w:rPr>
                <w:b w:val="0"/>
              </w:rPr>
            </w:pPr>
            <w:r w:rsidRPr="0033162B">
              <w:t xml:space="preserve">Focus </w:t>
            </w:r>
            <w:r w:rsidR="00CF3408">
              <w:t>g</w:t>
            </w:r>
            <w:r w:rsidRPr="0033162B">
              <w:t>roup</w:t>
            </w:r>
          </w:p>
        </w:tc>
        <w:tc>
          <w:tcPr>
            <w:tcW w:w="1151" w:type="dxa"/>
            <w:vAlign w:val="center"/>
            <w:hideMark/>
          </w:tcPr>
          <w:p w14:paraId="39D2F4A5" w14:textId="77777777" w:rsidR="00597B5E" w:rsidRPr="0033162B" w:rsidRDefault="00597B5E" w:rsidP="00024E8D">
            <w:pPr>
              <w:pStyle w:val="TableHeading"/>
              <w:cnfStyle w:val="100000000000" w:firstRow="1" w:lastRow="0" w:firstColumn="0" w:lastColumn="0" w:oddVBand="0" w:evenVBand="0" w:oddHBand="0" w:evenHBand="0" w:firstRowFirstColumn="0" w:firstRowLastColumn="0" w:lastRowFirstColumn="0" w:lastRowLastColumn="0"/>
              <w:rPr>
                <w:b w:val="0"/>
              </w:rPr>
            </w:pPr>
            <w:r w:rsidRPr="0033162B">
              <w:t xml:space="preserve">Co-design </w:t>
            </w:r>
            <w:r w:rsidR="00CF3408">
              <w:t>y</w:t>
            </w:r>
            <w:r w:rsidRPr="0033162B">
              <w:t>arns</w:t>
            </w:r>
          </w:p>
        </w:tc>
        <w:tc>
          <w:tcPr>
            <w:tcW w:w="972" w:type="dxa"/>
            <w:vAlign w:val="center"/>
          </w:tcPr>
          <w:p w14:paraId="6D0041BE" w14:textId="77777777" w:rsidR="00597B5E" w:rsidRPr="0033162B" w:rsidRDefault="00597B5E" w:rsidP="00024E8D">
            <w:pPr>
              <w:pStyle w:val="TableHeading"/>
              <w:cnfStyle w:val="100000000000" w:firstRow="1" w:lastRow="0" w:firstColumn="0" w:lastColumn="0" w:oddVBand="0" w:evenVBand="0" w:oddHBand="0" w:evenHBand="0" w:firstRowFirstColumn="0" w:firstRowLastColumn="0" w:lastRowFirstColumn="0" w:lastRowLastColumn="0"/>
              <w:rPr>
                <w:b w:val="0"/>
              </w:rPr>
            </w:pPr>
            <w:r w:rsidRPr="0033162B">
              <w:t>Online survey</w:t>
            </w:r>
          </w:p>
        </w:tc>
      </w:tr>
      <w:tr w:rsidR="00597B5E" w:rsidRPr="00571F1B" w14:paraId="6A1EBC78" w14:textId="77777777" w:rsidTr="006F6DD1">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3823" w:type="dxa"/>
            <w:hideMark/>
          </w:tcPr>
          <w:p w14:paraId="64FC0470" w14:textId="77777777" w:rsidR="00597B5E" w:rsidRPr="00571F1B" w:rsidRDefault="00597B5E" w:rsidP="00747A83">
            <w:pPr>
              <w:pStyle w:val="TableText"/>
            </w:pPr>
            <w:r w:rsidRPr="00571F1B">
              <w:t>Aboriginal and/or Torres Strait Islander community members</w:t>
            </w:r>
          </w:p>
        </w:tc>
        <w:tc>
          <w:tcPr>
            <w:tcW w:w="1233" w:type="dxa"/>
            <w:hideMark/>
          </w:tcPr>
          <w:p w14:paraId="33431D59" w14:textId="77777777" w:rsidR="00597B5E" w:rsidRPr="00571F1B" w:rsidRDefault="00597B5E" w:rsidP="00747A83">
            <w:pPr>
              <w:pStyle w:val="TableText"/>
              <w:jc w:val="center"/>
              <w:cnfStyle w:val="000000100000" w:firstRow="0" w:lastRow="0" w:firstColumn="0" w:lastColumn="0" w:oddVBand="0" w:evenVBand="0" w:oddHBand="1" w:evenHBand="0" w:firstRowFirstColumn="0" w:firstRowLastColumn="0" w:lastRowFirstColumn="0" w:lastRowLastColumn="0"/>
            </w:pPr>
          </w:p>
        </w:tc>
        <w:tc>
          <w:tcPr>
            <w:tcW w:w="1387" w:type="dxa"/>
            <w:hideMark/>
          </w:tcPr>
          <w:p w14:paraId="30C99EF3" w14:textId="77777777" w:rsidR="00597B5E" w:rsidRPr="00571F1B" w:rsidRDefault="00597B5E" w:rsidP="00747A83">
            <w:pPr>
              <w:pStyle w:val="TableText"/>
              <w:jc w:val="center"/>
              <w:cnfStyle w:val="000000100000" w:firstRow="0" w:lastRow="0" w:firstColumn="0" w:lastColumn="0" w:oddVBand="0" w:evenVBand="0" w:oddHBand="1" w:evenHBand="0" w:firstRowFirstColumn="0" w:firstRowLastColumn="0" w:lastRowFirstColumn="0" w:lastRowLastColumn="0"/>
            </w:pPr>
            <w:r w:rsidRPr="00571F1B">
              <w:t>x</w:t>
            </w:r>
          </w:p>
        </w:tc>
        <w:tc>
          <w:tcPr>
            <w:tcW w:w="1056" w:type="dxa"/>
          </w:tcPr>
          <w:p w14:paraId="41E38BEC" w14:textId="77777777" w:rsidR="00597B5E" w:rsidRPr="00571F1B" w:rsidRDefault="00597B5E" w:rsidP="00747A83">
            <w:pPr>
              <w:pStyle w:val="TableText"/>
              <w:jc w:val="center"/>
              <w:cnfStyle w:val="000000100000" w:firstRow="0" w:lastRow="0" w:firstColumn="0" w:lastColumn="0" w:oddVBand="0" w:evenVBand="0" w:oddHBand="1" w:evenHBand="0" w:firstRowFirstColumn="0" w:firstRowLastColumn="0" w:lastRowFirstColumn="0" w:lastRowLastColumn="0"/>
            </w:pPr>
          </w:p>
        </w:tc>
        <w:tc>
          <w:tcPr>
            <w:tcW w:w="1151" w:type="dxa"/>
            <w:hideMark/>
          </w:tcPr>
          <w:p w14:paraId="517BA6B0" w14:textId="77777777" w:rsidR="00597B5E" w:rsidRPr="00571F1B" w:rsidRDefault="00597B5E" w:rsidP="00747A83">
            <w:pPr>
              <w:pStyle w:val="TableText"/>
              <w:jc w:val="center"/>
              <w:cnfStyle w:val="000000100000" w:firstRow="0" w:lastRow="0" w:firstColumn="0" w:lastColumn="0" w:oddVBand="0" w:evenVBand="0" w:oddHBand="1" w:evenHBand="0" w:firstRowFirstColumn="0" w:firstRowLastColumn="0" w:lastRowFirstColumn="0" w:lastRowLastColumn="0"/>
            </w:pPr>
            <w:r w:rsidRPr="00571F1B">
              <w:t>x</w:t>
            </w:r>
          </w:p>
        </w:tc>
        <w:tc>
          <w:tcPr>
            <w:tcW w:w="972" w:type="dxa"/>
          </w:tcPr>
          <w:p w14:paraId="0FB6927F" w14:textId="77777777" w:rsidR="00597B5E" w:rsidRPr="00571F1B" w:rsidRDefault="00597B5E" w:rsidP="00747A83">
            <w:pPr>
              <w:pStyle w:val="TableText"/>
              <w:jc w:val="center"/>
              <w:cnfStyle w:val="000000100000" w:firstRow="0" w:lastRow="0" w:firstColumn="0" w:lastColumn="0" w:oddVBand="0" w:evenVBand="0" w:oddHBand="1" w:evenHBand="0" w:firstRowFirstColumn="0" w:firstRowLastColumn="0" w:lastRowFirstColumn="0" w:lastRowLastColumn="0"/>
            </w:pPr>
            <w:r>
              <w:t>x</w:t>
            </w:r>
          </w:p>
        </w:tc>
      </w:tr>
      <w:tr w:rsidR="00597B5E" w:rsidRPr="00571F1B" w14:paraId="3B796DAB" w14:textId="77777777" w:rsidTr="006F6DD1">
        <w:trPr>
          <w:cnfStyle w:val="000000010000" w:firstRow="0" w:lastRow="0" w:firstColumn="0" w:lastColumn="0" w:oddVBand="0" w:evenVBand="0" w:oddHBand="0" w:evenHBand="1"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3823" w:type="dxa"/>
            <w:hideMark/>
          </w:tcPr>
          <w:p w14:paraId="3831397C" w14:textId="77777777" w:rsidR="00597B5E" w:rsidRPr="00571F1B" w:rsidRDefault="00597B5E" w:rsidP="00747A83">
            <w:pPr>
              <w:pStyle w:val="TableText"/>
            </w:pPr>
            <w:r w:rsidRPr="00571F1B">
              <w:t>PHNs </w:t>
            </w:r>
          </w:p>
        </w:tc>
        <w:tc>
          <w:tcPr>
            <w:tcW w:w="1233" w:type="dxa"/>
            <w:hideMark/>
          </w:tcPr>
          <w:p w14:paraId="5377277B" w14:textId="77777777" w:rsidR="00597B5E" w:rsidRPr="00571F1B" w:rsidRDefault="00597B5E" w:rsidP="00747A83">
            <w:pPr>
              <w:pStyle w:val="TableText"/>
              <w:jc w:val="center"/>
              <w:cnfStyle w:val="000000010000" w:firstRow="0" w:lastRow="0" w:firstColumn="0" w:lastColumn="0" w:oddVBand="0" w:evenVBand="0" w:oddHBand="0" w:evenHBand="1" w:firstRowFirstColumn="0" w:firstRowLastColumn="0" w:lastRowFirstColumn="0" w:lastRowLastColumn="0"/>
            </w:pPr>
            <w:r w:rsidRPr="00571F1B">
              <w:t>x</w:t>
            </w:r>
          </w:p>
        </w:tc>
        <w:tc>
          <w:tcPr>
            <w:tcW w:w="1387" w:type="dxa"/>
            <w:hideMark/>
          </w:tcPr>
          <w:p w14:paraId="1D3286EE" w14:textId="77777777" w:rsidR="00597B5E" w:rsidRPr="00571F1B" w:rsidRDefault="00597B5E" w:rsidP="00747A83">
            <w:pPr>
              <w:pStyle w:val="TableText"/>
              <w:jc w:val="center"/>
              <w:cnfStyle w:val="000000010000" w:firstRow="0" w:lastRow="0" w:firstColumn="0" w:lastColumn="0" w:oddVBand="0" w:evenVBand="0" w:oddHBand="0" w:evenHBand="1" w:firstRowFirstColumn="0" w:firstRowLastColumn="0" w:lastRowFirstColumn="0" w:lastRowLastColumn="0"/>
            </w:pPr>
          </w:p>
        </w:tc>
        <w:tc>
          <w:tcPr>
            <w:tcW w:w="1056" w:type="dxa"/>
          </w:tcPr>
          <w:p w14:paraId="366F2BDB" w14:textId="77777777" w:rsidR="00597B5E" w:rsidRPr="00571F1B" w:rsidRDefault="00597B5E" w:rsidP="00747A83">
            <w:pPr>
              <w:pStyle w:val="TableText"/>
              <w:jc w:val="center"/>
              <w:cnfStyle w:val="000000010000" w:firstRow="0" w:lastRow="0" w:firstColumn="0" w:lastColumn="0" w:oddVBand="0" w:evenVBand="0" w:oddHBand="0" w:evenHBand="1" w:firstRowFirstColumn="0" w:firstRowLastColumn="0" w:lastRowFirstColumn="0" w:lastRowLastColumn="0"/>
            </w:pPr>
          </w:p>
        </w:tc>
        <w:tc>
          <w:tcPr>
            <w:tcW w:w="1151" w:type="dxa"/>
            <w:hideMark/>
          </w:tcPr>
          <w:p w14:paraId="61F250C4" w14:textId="77777777" w:rsidR="00597B5E" w:rsidRPr="00571F1B" w:rsidRDefault="00597B5E" w:rsidP="00747A83">
            <w:pPr>
              <w:pStyle w:val="TableText"/>
              <w:jc w:val="center"/>
              <w:cnfStyle w:val="000000010000" w:firstRow="0" w:lastRow="0" w:firstColumn="0" w:lastColumn="0" w:oddVBand="0" w:evenVBand="0" w:oddHBand="0" w:evenHBand="1" w:firstRowFirstColumn="0" w:firstRowLastColumn="0" w:lastRowFirstColumn="0" w:lastRowLastColumn="0"/>
            </w:pPr>
            <w:r w:rsidRPr="00571F1B">
              <w:t>x</w:t>
            </w:r>
          </w:p>
        </w:tc>
        <w:tc>
          <w:tcPr>
            <w:tcW w:w="972" w:type="dxa"/>
          </w:tcPr>
          <w:p w14:paraId="281151BC" w14:textId="77777777" w:rsidR="00597B5E" w:rsidRPr="00571F1B" w:rsidRDefault="00597B5E" w:rsidP="00747A83">
            <w:pPr>
              <w:pStyle w:val="TableText"/>
              <w:jc w:val="center"/>
              <w:cnfStyle w:val="000000010000" w:firstRow="0" w:lastRow="0" w:firstColumn="0" w:lastColumn="0" w:oddVBand="0" w:evenVBand="0" w:oddHBand="0" w:evenHBand="1" w:firstRowFirstColumn="0" w:firstRowLastColumn="0" w:lastRowFirstColumn="0" w:lastRowLastColumn="0"/>
            </w:pPr>
            <w:r>
              <w:t>x</w:t>
            </w:r>
          </w:p>
        </w:tc>
      </w:tr>
      <w:tr w:rsidR="00597B5E" w:rsidRPr="00571F1B" w14:paraId="7A761CE3" w14:textId="77777777" w:rsidTr="006F6DD1">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3823" w:type="dxa"/>
            <w:hideMark/>
          </w:tcPr>
          <w:p w14:paraId="3C7100D4" w14:textId="77777777" w:rsidR="00597B5E" w:rsidRPr="00571F1B" w:rsidRDefault="00597B5E" w:rsidP="00747A83">
            <w:pPr>
              <w:pStyle w:val="TableText"/>
            </w:pPr>
            <w:r w:rsidRPr="00571F1B">
              <w:t>ACCHOs, ACCOs, AMS</w:t>
            </w:r>
            <w:r>
              <w:t>s</w:t>
            </w:r>
            <w:r w:rsidRPr="00571F1B">
              <w:t> </w:t>
            </w:r>
          </w:p>
        </w:tc>
        <w:tc>
          <w:tcPr>
            <w:tcW w:w="1233" w:type="dxa"/>
            <w:hideMark/>
          </w:tcPr>
          <w:p w14:paraId="56399856" w14:textId="77777777" w:rsidR="00597B5E" w:rsidRPr="00571F1B" w:rsidRDefault="00597B5E" w:rsidP="00747A83">
            <w:pPr>
              <w:pStyle w:val="TableText"/>
              <w:jc w:val="center"/>
              <w:cnfStyle w:val="000000100000" w:firstRow="0" w:lastRow="0" w:firstColumn="0" w:lastColumn="0" w:oddVBand="0" w:evenVBand="0" w:oddHBand="1" w:evenHBand="0" w:firstRowFirstColumn="0" w:firstRowLastColumn="0" w:lastRowFirstColumn="0" w:lastRowLastColumn="0"/>
            </w:pPr>
          </w:p>
        </w:tc>
        <w:tc>
          <w:tcPr>
            <w:tcW w:w="1387" w:type="dxa"/>
            <w:hideMark/>
          </w:tcPr>
          <w:p w14:paraId="7A95F47B" w14:textId="77777777" w:rsidR="00597B5E" w:rsidRPr="00571F1B" w:rsidRDefault="00597B5E" w:rsidP="00747A83">
            <w:pPr>
              <w:pStyle w:val="TableText"/>
              <w:jc w:val="center"/>
              <w:cnfStyle w:val="000000100000" w:firstRow="0" w:lastRow="0" w:firstColumn="0" w:lastColumn="0" w:oddVBand="0" w:evenVBand="0" w:oddHBand="1" w:evenHBand="0" w:firstRowFirstColumn="0" w:firstRowLastColumn="0" w:lastRowFirstColumn="0" w:lastRowLastColumn="0"/>
            </w:pPr>
          </w:p>
        </w:tc>
        <w:tc>
          <w:tcPr>
            <w:tcW w:w="1056" w:type="dxa"/>
          </w:tcPr>
          <w:p w14:paraId="65D0F955" w14:textId="77777777" w:rsidR="00597B5E" w:rsidRPr="00571F1B" w:rsidRDefault="00597B5E" w:rsidP="00747A83">
            <w:pPr>
              <w:pStyle w:val="TableText"/>
              <w:jc w:val="center"/>
              <w:cnfStyle w:val="000000100000" w:firstRow="0" w:lastRow="0" w:firstColumn="0" w:lastColumn="0" w:oddVBand="0" w:evenVBand="0" w:oddHBand="1" w:evenHBand="0" w:firstRowFirstColumn="0" w:firstRowLastColumn="0" w:lastRowFirstColumn="0" w:lastRowLastColumn="0"/>
            </w:pPr>
            <w:r w:rsidRPr="00571F1B">
              <w:t>x</w:t>
            </w:r>
          </w:p>
        </w:tc>
        <w:tc>
          <w:tcPr>
            <w:tcW w:w="1151" w:type="dxa"/>
            <w:hideMark/>
          </w:tcPr>
          <w:p w14:paraId="1CFA2C3D" w14:textId="77777777" w:rsidR="00597B5E" w:rsidRPr="00571F1B" w:rsidRDefault="00597B5E" w:rsidP="00747A83">
            <w:pPr>
              <w:pStyle w:val="TableText"/>
              <w:jc w:val="center"/>
              <w:cnfStyle w:val="000000100000" w:firstRow="0" w:lastRow="0" w:firstColumn="0" w:lastColumn="0" w:oddVBand="0" w:evenVBand="0" w:oddHBand="1" w:evenHBand="0" w:firstRowFirstColumn="0" w:firstRowLastColumn="0" w:lastRowFirstColumn="0" w:lastRowLastColumn="0"/>
            </w:pPr>
            <w:r w:rsidRPr="00571F1B">
              <w:t>x</w:t>
            </w:r>
          </w:p>
        </w:tc>
        <w:tc>
          <w:tcPr>
            <w:tcW w:w="972" w:type="dxa"/>
          </w:tcPr>
          <w:p w14:paraId="447FEB63" w14:textId="77777777" w:rsidR="00597B5E" w:rsidRPr="00571F1B" w:rsidRDefault="00597B5E" w:rsidP="00747A83">
            <w:pPr>
              <w:pStyle w:val="TableText"/>
              <w:jc w:val="center"/>
              <w:cnfStyle w:val="000000100000" w:firstRow="0" w:lastRow="0" w:firstColumn="0" w:lastColumn="0" w:oddVBand="0" w:evenVBand="0" w:oddHBand="1" w:evenHBand="0" w:firstRowFirstColumn="0" w:firstRowLastColumn="0" w:lastRowFirstColumn="0" w:lastRowLastColumn="0"/>
            </w:pPr>
            <w:r>
              <w:t>x</w:t>
            </w:r>
          </w:p>
        </w:tc>
      </w:tr>
      <w:tr w:rsidR="00597B5E" w:rsidRPr="00571F1B" w14:paraId="58B3F3EC" w14:textId="77777777" w:rsidTr="006F6DD1">
        <w:trPr>
          <w:cnfStyle w:val="000000010000" w:firstRow="0" w:lastRow="0" w:firstColumn="0" w:lastColumn="0" w:oddVBand="0" w:evenVBand="0" w:oddHBand="0" w:evenHBand="1"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3823" w:type="dxa"/>
          </w:tcPr>
          <w:p w14:paraId="203F2E32" w14:textId="77777777" w:rsidR="00597B5E" w:rsidRPr="00571F1B" w:rsidRDefault="00597B5E" w:rsidP="00747A83">
            <w:pPr>
              <w:pStyle w:val="TableText"/>
            </w:pPr>
            <w:r w:rsidRPr="00571F1B">
              <w:t xml:space="preserve">Mainstream </w:t>
            </w:r>
            <w:r>
              <w:t>s</w:t>
            </w:r>
            <w:r w:rsidRPr="00571F1B">
              <w:t xml:space="preserve">ervice </w:t>
            </w:r>
            <w:r>
              <w:t>p</w:t>
            </w:r>
            <w:r w:rsidRPr="00571F1B">
              <w:t>roviders</w:t>
            </w:r>
          </w:p>
        </w:tc>
        <w:tc>
          <w:tcPr>
            <w:tcW w:w="1233" w:type="dxa"/>
          </w:tcPr>
          <w:p w14:paraId="32DC0610" w14:textId="77777777" w:rsidR="00597B5E" w:rsidRPr="00571F1B" w:rsidRDefault="00597B5E" w:rsidP="00747A83">
            <w:pPr>
              <w:pStyle w:val="TableText"/>
              <w:jc w:val="center"/>
              <w:cnfStyle w:val="000000010000" w:firstRow="0" w:lastRow="0" w:firstColumn="0" w:lastColumn="0" w:oddVBand="0" w:evenVBand="0" w:oddHBand="0" w:evenHBand="1" w:firstRowFirstColumn="0" w:firstRowLastColumn="0" w:lastRowFirstColumn="0" w:lastRowLastColumn="0"/>
            </w:pPr>
          </w:p>
        </w:tc>
        <w:tc>
          <w:tcPr>
            <w:tcW w:w="1387" w:type="dxa"/>
          </w:tcPr>
          <w:p w14:paraId="3DE15BBE" w14:textId="77777777" w:rsidR="00597B5E" w:rsidRPr="00571F1B" w:rsidRDefault="00597B5E" w:rsidP="00747A83">
            <w:pPr>
              <w:pStyle w:val="TableText"/>
              <w:jc w:val="center"/>
              <w:cnfStyle w:val="000000010000" w:firstRow="0" w:lastRow="0" w:firstColumn="0" w:lastColumn="0" w:oddVBand="0" w:evenVBand="0" w:oddHBand="0" w:evenHBand="1" w:firstRowFirstColumn="0" w:firstRowLastColumn="0" w:lastRowFirstColumn="0" w:lastRowLastColumn="0"/>
            </w:pPr>
          </w:p>
        </w:tc>
        <w:tc>
          <w:tcPr>
            <w:tcW w:w="1056" w:type="dxa"/>
          </w:tcPr>
          <w:p w14:paraId="09897041" w14:textId="77777777" w:rsidR="00597B5E" w:rsidRPr="00571F1B" w:rsidRDefault="00597B5E" w:rsidP="00747A83">
            <w:pPr>
              <w:pStyle w:val="TableText"/>
              <w:jc w:val="center"/>
              <w:cnfStyle w:val="000000010000" w:firstRow="0" w:lastRow="0" w:firstColumn="0" w:lastColumn="0" w:oddVBand="0" w:evenVBand="0" w:oddHBand="0" w:evenHBand="1" w:firstRowFirstColumn="0" w:firstRowLastColumn="0" w:lastRowFirstColumn="0" w:lastRowLastColumn="0"/>
            </w:pPr>
            <w:r w:rsidRPr="00571F1B">
              <w:t>x</w:t>
            </w:r>
          </w:p>
        </w:tc>
        <w:tc>
          <w:tcPr>
            <w:tcW w:w="1151" w:type="dxa"/>
          </w:tcPr>
          <w:p w14:paraId="78A41420" w14:textId="77777777" w:rsidR="00597B5E" w:rsidRPr="00571F1B" w:rsidRDefault="00597B5E" w:rsidP="00747A83">
            <w:pPr>
              <w:pStyle w:val="TableText"/>
              <w:jc w:val="center"/>
              <w:cnfStyle w:val="000000010000" w:firstRow="0" w:lastRow="0" w:firstColumn="0" w:lastColumn="0" w:oddVBand="0" w:evenVBand="0" w:oddHBand="0" w:evenHBand="1" w:firstRowFirstColumn="0" w:firstRowLastColumn="0" w:lastRowFirstColumn="0" w:lastRowLastColumn="0"/>
            </w:pPr>
            <w:r w:rsidRPr="00571F1B">
              <w:t>x</w:t>
            </w:r>
          </w:p>
        </w:tc>
        <w:tc>
          <w:tcPr>
            <w:tcW w:w="972" w:type="dxa"/>
          </w:tcPr>
          <w:p w14:paraId="49A4F767" w14:textId="77777777" w:rsidR="00597B5E" w:rsidRPr="00571F1B" w:rsidRDefault="00597B5E" w:rsidP="00747A83">
            <w:pPr>
              <w:pStyle w:val="TableText"/>
              <w:jc w:val="center"/>
              <w:cnfStyle w:val="000000010000" w:firstRow="0" w:lastRow="0" w:firstColumn="0" w:lastColumn="0" w:oddVBand="0" w:evenVBand="0" w:oddHBand="0" w:evenHBand="1" w:firstRowFirstColumn="0" w:firstRowLastColumn="0" w:lastRowFirstColumn="0" w:lastRowLastColumn="0"/>
            </w:pPr>
            <w:r>
              <w:t>x</w:t>
            </w:r>
          </w:p>
        </w:tc>
      </w:tr>
      <w:tr w:rsidR="00597B5E" w:rsidRPr="00571F1B" w14:paraId="7764DFBB" w14:textId="77777777" w:rsidTr="006F6DD1">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3823" w:type="dxa"/>
            <w:hideMark/>
          </w:tcPr>
          <w:p w14:paraId="0AA185D8" w14:textId="77777777" w:rsidR="00597B5E" w:rsidRPr="00571F1B" w:rsidRDefault="00597B5E" w:rsidP="00747A83">
            <w:pPr>
              <w:pStyle w:val="TableText"/>
            </w:pPr>
            <w:r>
              <w:t>Aboriginal and/or Torres Strait Islander</w:t>
            </w:r>
            <w:r w:rsidRPr="00571F1B">
              <w:t xml:space="preserve"> community-controlled peak organisations</w:t>
            </w:r>
          </w:p>
        </w:tc>
        <w:tc>
          <w:tcPr>
            <w:tcW w:w="1233" w:type="dxa"/>
            <w:hideMark/>
          </w:tcPr>
          <w:p w14:paraId="71987287" w14:textId="77777777" w:rsidR="00597B5E" w:rsidRPr="00571F1B" w:rsidRDefault="00597B5E" w:rsidP="00747A83">
            <w:pPr>
              <w:pStyle w:val="TableText"/>
              <w:jc w:val="center"/>
              <w:cnfStyle w:val="000000100000" w:firstRow="0" w:lastRow="0" w:firstColumn="0" w:lastColumn="0" w:oddVBand="0" w:evenVBand="0" w:oddHBand="1" w:evenHBand="0" w:firstRowFirstColumn="0" w:firstRowLastColumn="0" w:lastRowFirstColumn="0" w:lastRowLastColumn="0"/>
            </w:pPr>
            <w:r w:rsidRPr="00571F1B">
              <w:t>x</w:t>
            </w:r>
          </w:p>
        </w:tc>
        <w:tc>
          <w:tcPr>
            <w:tcW w:w="1387" w:type="dxa"/>
            <w:hideMark/>
          </w:tcPr>
          <w:p w14:paraId="006E94B1" w14:textId="77777777" w:rsidR="00597B5E" w:rsidRPr="00571F1B" w:rsidRDefault="00597B5E" w:rsidP="00747A83">
            <w:pPr>
              <w:pStyle w:val="TableText"/>
              <w:jc w:val="center"/>
              <w:cnfStyle w:val="000000100000" w:firstRow="0" w:lastRow="0" w:firstColumn="0" w:lastColumn="0" w:oddVBand="0" w:evenVBand="0" w:oddHBand="1" w:evenHBand="0" w:firstRowFirstColumn="0" w:firstRowLastColumn="0" w:lastRowFirstColumn="0" w:lastRowLastColumn="0"/>
            </w:pPr>
          </w:p>
        </w:tc>
        <w:tc>
          <w:tcPr>
            <w:tcW w:w="1056" w:type="dxa"/>
          </w:tcPr>
          <w:p w14:paraId="2D4AF024" w14:textId="77777777" w:rsidR="00597B5E" w:rsidRPr="00571F1B" w:rsidRDefault="00597B5E" w:rsidP="00747A83">
            <w:pPr>
              <w:pStyle w:val="TableText"/>
              <w:jc w:val="center"/>
              <w:cnfStyle w:val="000000100000" w:firstRow="0" w:lastRow="0" w:firstColumn="0" w:lastColumn="0" w:oddVBand="0" w:evenVBand="0" w:oddHBand="1" w:evenHBand="0" w:firstRowFirstColumn="0" w:firstRowLastColumn="0" w:lastRowFirstColumn="0" w:lastRowLastColumn="0"/>
            </w:pPr>
          </w:p>
        </w:tc>
        <w:tc>
          <w:tcPr>
            <w:tcW w:w="1151" w:type="dxa"/>
            <w:hideMark/>
          </w:tcPr>
          <w:p w14:paraId="2EEB6481" w14:textId="77777777" w:rsidR="00597B5E" w:rsidRPr="00571F1B" w:rsidRDefault="00597B5E" w:rsidP="00747A83">
            <w:pPr>
              <w:pStyle w:val="TableText"/>
              <w:jc w:val="center"/>
              <w:cnfStyle w:val="000000100000" w:firstRow="0" w:lastRow="0" w:firstColumn="0" w:lastColumn="0" w:oddVBand="0" w:evenVBand="0" w:oddHBand="1" w:evenHBand="0" w:firstRowFirstColumn="0" w:firstRowLastColumn="0" w:lastRowFirstColumn="0" w:lastRowLastColumn="0"/>
            </w:pPr>
            <w:r w:rsidRPr="00571F1B">
              <w:t>x</w:t>
            </w:r>
          </w:p>
        </w:tc>
        <w:tc>
          <w:tcPr>
            <w:tcW w:w="972" w:type="dxa"/>
          </w:tcPr>
          <w:p w14:paraId="177B7C86" w14:textId="77777777" w:rsidR="00597B5E" w:rsidRPr="00571F1B" w:rsidRDefault="00597B5E" w:rsidP="00747A83">
            <w:pPr>
              <w:pStyle w:val="TableText"/>
              <w:jc w:val="center"/>
              <w:cnfStyle w:val="000000100000" w:firstRow="0" w:lastRow="0" w:firstColumn="0" w:lastColumn="0" w:oddVBand="0" w:evenVBand="0" w:oddHBand="1" w:evenHBand="0" w:firstRowFirstColumn="0" w:firstRowLastColumn="0" w:lastRowFirstColumn="0" w:lastRowLastColumn="0"/>
            </w:pPr>
            <w:r>
              <w:t>x</w:t>
            </w:r>
          </w:p>
        </w:tc>
      </w:tr>
      <w:tr w:rsidR="00597B5E" w:rsidRPr="00571F1B" w14:paraId="2E117F39" w14:textId="77777777" w:rsidTr="006F6DD1">
        <w:trPr>
          <w:cnfStyle w:val="000000010000" w:firstRow="0" w:lastRow="0" w:firstColumn="0" w:lastColumn="0" w:oddVBand="0" w:evenVBand="0" w:oddHBand="0" w:evenHBand="1"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3823" w:type="dxa"/>
            <w:hideMark/>
          </w:tcPr>
          <w:p w14:paraId="73E7F038" w14:textId="77777777" w:rsidR="00597B5E" w:rsidRPr="00571F1B" w:rsidRDefault="00597B5E" w:rsidP="00747A83">
            <w:pPr>
              <w:pStyle w:val="TableText"/>
            </w:pPr>
            <w:r w:rsidRPr="00571F1B">
              <w:t xml:space="preserve">Australian Government </w:t>
            </w:r>
          </w:p>
        </w:tc>
        <w:tc>
          <w:tcPr>
            <w:tcW w:w="1233" w:type="dxa"/>
            <w:hideMark/>
          </w:tcPr>
          <w:p w14:paraId="23F7905A" w14:textId="77777777" w:rsidR="00597B5E" w:rsidRPr="00571F1B" w:rsidRDefault="00597B5E" w:rsidP="00747A83">
            <w:pPr>
              <w:pStyle w:val="TableText"/>
              <w:jc w:val="center"/>
              <w:cnfStyle w:val="000000010000" w:firstRow="0" w:lastRow="0" w:firstColumn="0" w:lastColumn="0" w:oddVBand="0" w:evenVBand="0" w:oddHBand="0" w:evenHBand="1" w:firstRowFirstColumn="0" w:firstRowLastColumn="0" w:lastRowFirstColumn="0" w:lastRowLastColumn="0"/>
            </w:pPr>
            <w:r w:rsidRPr="00571F1B">
              <w:t>x</w:t>
            </w:r>
          </w:p>
        </w:tc>
        <w:tc>
          <w:tcPr>
            <w:tcW w:w="1387" w:type="dxa"/>
            <w:hideMark/>
          </w:tcPr>
          <w:p w14:paraId="6B6997D9" w14:textId="77777777" w:rsidR="00597B5E" w:rsidRPr="00571F1B" w:rsidRDefault="00597B5E" w:rsidP="00747A83">
            <w:pPr>
              <w:pStyle w:val="TableText"/>
              <w:jc w:val="center"/>
              <w:cnfStyle w:val="000000010000" w:firstRow="0" w:lastRow="0" w:firstColumn="0" w:lastColumn="0" w:oddVBand="0" w:evenVBand="0" w:oddHBand="0" w:evenHBand="1" w:firstRowFirstColumn="0" w:firstRowLastColumn="0" w:lastRowFirstColumn="0" w:lastRowLastColumn="0"/>
            </w:pPr>
          </w:p>
        </w:tc>
        <w:tc>
          <w:tcPr>
            <w:tcW w:w="1056" w:type="dxa"/>
          </w:tcPr>
          <w:p w14:paraId="4CF340CA" w14:textId="77777777" w:rsidR="00597B5E" w:rsidRPr="00571F1B" w:rsidRDefault="00597B5E" w:rsidP="00747A83">
            <w:pPr>
              <w:pStyle w:val="TableText"/>
              <w:jc w:val="center"/>
              <w:cnfStyle w:val="000000010000" w:firstRow="0" w:lastRow="0" w:firstColumn="0" w:lastColumn="0" w:oddVBand="0" w:evenVBand="0" w:oddHBand="0" w:evenHBand="1" w:firstRowFirstColumn="0" w:firstRowLastColumn="0" w:lastRowFirstColumn="0" w:lastRowLastColumn="0"/>
            </w:pPr>
          </w:p>
        </w:tc>
        <w:tc>
          <w:tcPr>
            <w:tcW w:w="1151" w:type="dxa"/>
            <w:hideMark/>
          </w:tcPr>
          <w:p w14:paraId="2B0960DF" w14:textId="77777777" w:rsidR="00597B5E" w:rsidRPr="00571F1B" w:rsidRDefault="00597B5E" w:rsidP="00747A83">
            <w:pPr>
              <w:pStyle w:val="TableText"/>
              <w:jc w:val="center"/>
              <w:cnfStyle w:val="000000010000" w:firstRow="0" w:lastRow="0" w:firstColumn="0" w:lastColumn="0" w:oddVBand="0" w:evenVBand="0" w:oddHBand="0" w:evenHBand="1" w:firstRowFirstColumn="0" w:firstRowLastColumn="0" w:lastRowFirstColumn="0" w:lastRowLastColumn="0"/>
            </w:pPr>
          </w:p>
        </w:tc>
        <w:tc>
          <w:tcPr>
            <w:tcW w:w="972" w:type="dxa"/>
          </w:tcPr>
          <w:p w14:paraId="21D61C89" w14:textId="77777777" w:rsidR="00597B5E" w:rsidRPr="00571F1B" w:rsidRDefault="00597B5E" w:rsidP="00747A83">
            <w:pPr>
              <w:pStyle w:val="TableText"/>
              <w:jc w:val="center"/>
              <w:cnfStyle w:val="000000010000" w:firstRow="0" w:lastRow="0" w:firstColumn="0" w:lastColumn="0" w:oddVBand="0" w:evenVBand="0" w:oddHBand="0" w:evenHBand="1" w:firstRowFirstColumn="0" w:firstRowLastColumn="0" w:lastRowFirstColumn="0" w:lastRowLastColumn="0"/>
            </w:pPr>
          </w:p>
        </w:tc>
      </w:tr>
      <w:tr w:rsidR="00597B5E" w:rsidRPr="00571F1B" w14:paraId="15FA11A0" w14:textId="77777777" w:rsidTr="006F6DD1">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3823" w:type="dxa"/>
            <w:hideMark/>
          </w:tcPr>
          <w:p w14:paraId="704A842C" w14:textId="77777777" w:rsidR="00597B5E" w:rsidRPr="00571F1B" w:rsidRDefault="00597B5E" w:rsidP="00747A83">
            <w:pPr>
              <w:pStyle w:val="TableText"/>
            </w:pPr>
            <w:r w:rsidRPr="00571F1B">
              <w:t xml:space="preserve">State and </w:t>
            </w:r>
            <w:r>
              <w:t>t</w:t>
            </w:r>
            <w:r w:rsidRPr="00571F1B">
              <w:t xml:space="preserve">erritory </w:t>
            </w:r>
            <w:r>
              <w:t>g</w:t>
            </w:r>
            <w:r w:rsidRPr="00571F1B">
              <w:t xml:space="preserve">overnments </w:t>
            </w:r>
          </w:p>
        </w:tc>
        <w:tc>
          <w:tcPr>
            <w:tcW w:w="1233" w:type="dxa"/>
            <w:hideMark/>
          </w:tcPr>
          <w:p w14:paraId="75BD7D59" w14:textId="77777777" w:rsidR="00597B5E" w:rsidRPr="00571F1B" w:rsidRDefault="00597B5E" w:rsidP="00747A83">
            <w:pPr>
              <w:pStyle w:val="TableText"/>
              <w:jc w:val="center"/>
              <w:cnfStyle w:val="000000100000" w:firstRow="0" w:lastRow="0" w:firstColumn="0" w:lastColumn="0" w:oddVBand="0" w:evenVBand="0" w:oddHBand="1" w:evenHBand="0" w:firstRowFirstColumn="0" w:firstRowLastColumn="0" w:lastRowFirstColumn="0" w:lastRowLastColumn="0"/>
            </w:pPr>
            <w:r w:rsidRPr="00571F1B">
              <w:t>x</w:t>
            </w:r>
          </w:p>
        </w:tc>
        <w:tc>
          <w:tcPr>
            <w:tcW w:w="1387" w:type="dxa"/>
            <w:hideMark/>
          </w:tcPr>
          <w:p w14:paraId="017EB8CC" w14:textId="77777777" w:rsidR="00597B5E" w:rsidRPr="00571F1B" w:rsidRDefault="00597B5E" w:rsidP="00747A83">
            <w:pPr>
              <w:pStyle w:val="TableText"/>
              <w:jc w:val="center"/>
              <w:cnfStyle w:val="000000100000" w:firstRow="0" w:lastRow="0" w:firstColumn="0" w:lastColumn="0" w:oddVBand="0" w:evenVBand="0" w:oddHBand="1" w:evenHBand="0" w:firstRowFirstColumn="0" w:firstRowLastColumn="0" w:lastRowFirstColumn="0" w:lastRowLastColumn="0"/>
            </w:pPr>
          </w:p>
        </w:tc>
        <w:tc>
          <w:tcPr>
            <w:tcW w:w="1056" w:type="dxa"/>
          </w:tcPr>
          <w:p w14:paraId="75840827" w14:textId="77777777" w:rsidR="00597B5E" w:rsidRPr="00571F1B" w:rsidRDefault="00597B5E" w:rsidP="00747A83">
            <w:pPr>
              <w:pStyle w:val="TableText"/>
              <w:jc w:val="center"/>
              <w:cnfStyle w:val="000000100000" w:firstRow="0" w:lastRow="0" w:firstColumn="0" w:lastColumn="0" w:oddVBand="0" w:evenVBand="0" w:oddHBand="1" w:evenHBand="0" w:firstRowFirstColumn="0" w:firstRowLastColumn="0" w:lastRowFirstColumn="0" w:lastRowLastColumn="0"/>
            </w:pPr>
          </w:p>
        </w:tc>
        <w:tc>
          <w:tcPr>
            <w:tcW w:w="1151" w:type="dxa"/>
            <w:hideMark/>
          </w:tcPr>
          <w:p w14:paraId="6539BA27" w14:textId="77777777" w:rsidR="00597B5E" w:rsidRPr="00571F1B" w:rsidRDefault="00597B5E" w:rsidP="00747A83">
            <w:pPr>
              <w:pStyle w:val="TableText"/>
              <w:jc w:val="center"/>
              <w:cnfStyle w:val="000000100000" w:firstRow="0" w:lastRow="0" w:firstColumn="0" w:lastColumn="0" w:oddVBand="0" w:evenVBand="0" w:oddHBand="1" w:evenHBand="0" w:firstRowFirstColumn="0" w:firstRowLastColumn="0" w:lastRowFirstColumn="0" w:lastRowLastColumn="0"/>
            </w:pPr>
            <w:r w:rsidRPr="00571F1B">
              <w:t>x</w:t>
            </w:r>
          </w:p>
        </w:tc>
        <w:tc>
          <w:tcPr>
            <w:tcW w:w="972" w:type="dxa"/>
          </w:tcPr>
          <w:p w14:paraId="72A74474" w14:textId="77777777" w:rsidR="00597B5E" w:rsidRPr="00571F1B" w:rsidRDefault="00597B5E" w:rsidP="00747A83">
            <w:pPr>
              <w:pStyle w:val="TableText"/>
              <w:jc w:val="center"/>
              <w:cnfStyle w:val="000000100000" w:firstRow="0" w:lastRow="0" w:firstColumn="0" w:lastColumn="0" w:oddVBand="0" w:evenVBand="0" w:oddHBand="1" w:evenHBand="0" w:firstRowFirstColumn="0" w:firstRowLastColumn="0" w:lastRowFirstColumn="0" w:lastRowLastColumn="0"/>
            </w:pPr>
            <w:r>
              <w:t>x</w:t>
            </w:r>
          </w:p>
        </w:tc>
      </w:tr>
    </w:tbl>
    <w:p w14:paraId="3582E7CA" w14:textId="77777777" w:rsidR="00597B5E" w:rsidRPr="00B65F7F" w:rsidRDefault="00597B5E" w:rsidP="00597B5E">
      <w:pPr>
        <w:rPr>
          <w:rFonts w:cstheme="minorHAnsi"/>
          <w:color w:val="262626"/>
          <w:sz w:val="22"/>
          <w:szCs w:val="22"/>
        </w:rPr>
      </w:pPr>
    </w:p>
    <w:p w14:paraId="7A0300DA" w14:textId="77777777" w:rsidR="00597B5E" w:rsidRPr="00B65F7F" w:rsidRDefault="00597B5E" w:rsidP="00747A83">
      <w:pPr>
        <w:pStyle w:val="BodyText"/>
      </w:pPr>
      <w:r w:rsidRPr="00B65F7F">
        <w:t>Detailed participation lists for each key engagement activity follows below. In summary:</w:t>
      </w:r>
    </w:p>
    <w:p w14:paraId="6044AE8B" w14:textId="77777777" w:rsidR="00597B5E" w:rsidRPr="00B65F7F" w:rsidRDefault="00597B5E" w:rsidP="00747A83">
      <w:pPr>
        <w:pStyle w:val="ListBullet2"/>
      </w:pPr>
      <w:r w:rsidRPr="00B65F7F">
        <w:t>1</w:t>
      </w:r>
      <w:r>
        <w:t>7</w:t>
      </w:r>
      <w:r w:rsidRPr="00B65F7F">
        <w:t xml:space="preserve"> </w:t>
      </w:r>
      <w:r>
        <w:t>ACCHOs</w:t>
      </w:r>
      <w:r w:rsidRPr="00B65F7F">
        <w:rPr>
          <w:lang w:eastAsia="en-AU"/>
        </w:rPr>
        <w:t xml:space="preserve"> and 3 mainstream health service providers supported 272</w:t>
      </w:r>
      <w:r w:rsidRPr="00B65F7F">
        <w:t xml:space="preserve"> community members to share their insights during community yarns held at 22 provider sites, across 19 PHN regions </w:t>
      </w:r>
    </w:p>
    <w:p w14:paraId="45E8F45F" w14:textId="77777777" w:rsidR="00597B5E" w:rsidRDefault="00597B5E" w:rsidP="00747A83">
      <w:pPr>
        <w:pStyle w:val="ListBullet2"/>
      </w:pPr>
      <w:r w:rsidRPr="00B65F7F">
        <w:t xml:space="preserve">83 </w:t>
      </w:r>
      <w:r>
        <w:t>ACCOs</w:t>
      </w:r>
      <w:r w:rsidRPr="00B65F7F">
        <w:t xml:space="preserve">, </w:t>
      </w:r>
      <w:r>
        <w:t>ACCHOs or ACCHSs</w:t>
      </w:r>
      <w:r w:rsidRPr="00B65F7F">
        <w:t xml:space="preserve">, </w:t>
      </w:r>
      <w:r>
        <w:t>AMSs</w:t>
      </w:r>
      <w:r w:rsidRPr="00B65F7F">
        <w:t xml:space="preserve"> and mainstream service providers participated in one of 44 online focus group discussions</w:t>
      </w:r>
    </w:p>
    <w:p w14:paraId="14F3AD3E" w14:textId="77777777" w:rsidR="00597B5E" w:rsidRPr="00B65F7F" w:rsidRDefault="00597B5E" w:rsidP="00747A83">
      <w:pPr>
        <w:pStyle w:val="ListBullet2"/>
      </w:pPr>
      <w:r>
        <w:t>88 representatives of ACCOs</w:t>
      </w:r>
      <w:r w:rsidRPr="00B65F7F">
        <w:t xml:space="preserve">, </w:t>
      </w:r>
      <w:r>
        <w:t>ACCHOs or ACCHSs</w:t>
      </w:r>
      <w:r w:rsidRPr="00B65F7F">
        <w:t xml:space="preserve">, </w:t>
      </w:r>
      <w:r>
        <w:t>AMSs</w:t>
      </w:r>
      <w:r w:rsidRPr="00B65F7F">
        <w:t xml:space="preserve"> and mainstream service providers </w:t>
      </w:r>
      <w:r>
        <w:t>responded to an online survey</w:t>
      </w:r>
    </w:p>
    <w:p w14:paraId="6349D6FF" w14:textId="77777777" w:rsidR="00597B5E" w:rsidRDefault="00597B5E" w:rsidP="00747A83">
      <w:pPr>
        <w:pStyle w:val="ListBullet2"/>
      </w:pPr>
      <w:r w:rsidRPr="00B65F7F">
        <w:t xml:space="preserve">18 </w:t>
      </w:r>
      <w:r>
        <w:t>Aboriginal and/or Torres Strait Islander</w:t>
      </w:r>
      <w:r w:rsidRPr="00B65F7F">
        <w:t xml:space="preserve"> community-controlled peak organisations participate in 18 one-hour online interviews </w:t>
      </w:r>
    </w:p>
    <w:p w14:paraId="22C9ECAD" w14:textId="77777777" w:rsidR="00597B5E" w:rsidRPr="00B65F7F" w:rsidRDefault="00597B5E" w:rsidP="00747A83">
      <w:pPr>
        <w:pStyle w:val="ListBullet2"/>
      </w:pPr>
      <w:r>
        <w:lastRenderedPageBreak/>
        <w:t>10 Aboriginal and/or Torres Strait Islander</w:t>
      </w:r>
      <w:r w:rsidRPr="00B65F7F">
        <w:t xml:space="preserve"> community-controlled peak organisations participate</w:t>
      </w:r>
      <w:r>
        <w:t>d responded to an online survey</w:t>
      </w:r>
    </w:p>
    <w:p w14:paraId="37895BE0" w14:textId="77777777" w:rsidR="00597B5E" w:rsidRDefault="00597B5E" w:rsidP="00747A83">
      <w:pPr>
        <w:pStyle w:val="ListBullet2"/>
      </w:pPr>
      <w:r w:rsidRPr="00B65F7F">
        <w:t>representatives from 29 PHNs participated in one of 29 one-hour online interviews</w:t>
      </w:r>
    </w:p>
    <w:p w14:paraId="2B966E9A" w14:textId="77777777" w:rsidR="00597B5E" w:rsidRPr="00B65F7F" w:rsidRDefault="00597B5E" w:rsidP="00747A83">
      <w:pPr>
        <w:pStyle w:val="ListBullet2"/>
      </w:pPr>
      <w:r>
        <w:t xml:space="preserve">35 </w:t>
      </w:r>
      <w:r w:rsidRPr="00B65F7F">
        <w:t>representatives</w:t>
      </w:r>
      <w:r>
        <w:t xml:space="preserve"> from PHNs responded to an online survey</w:t>
      </w:r>
    </w:p>
    <w:p w14:paraId="451DD5B3" w14:textId="77777777" w:rsidR="00597B5E" w:rsidRDefault="00597B5E" w:rsidP="00747A83">
      <w:pPr>
        <w:pStyle w:val="ListBullet2"/>
      </w:pPr>
      <w:r w:rsidRPr="00B65F7F">
        <w:t>representatives associated with 88 Indigenous and mainstream service providers, PHNs, state or territory governments, along with community members participated in 8</w:t>
      </w:r>
      <w:r w:rsidRPr="00B65F7F" w:rsidDel="00295FAD">
        <w:t xml:space="preserve"> </w:t>
      </w:r>
      <w:r>
        <w:t>two-</w:t>
      </w:r>
      <w:r w:rsidRPr="00B65F7F">
        <w:t xml:space="preserve">day, </w:t>
      </w:r>
      <w:r>
        <w:t>c</w:t>
      </w:r>
      <w:r w:rsidRPr="00B65F7F">
        <w:t>o-</w:t>
      </w:r>
      <w:r>
        <w:t>d</w:t>
      </w:r>
      <w:r w:rsidRPr="00B65F7F">
        <w:t xml:space="preserve">esign </w:t>
      </w:r>
      <w:r>
        <w:t>y</w:t>
      </w:r>
      <w:r w:rsidRPr="00B65F7F">
        <w:t>arns held in each state or territory capital city</w:t>
      </w:r>
    </w:p>
    <w:p w14:paraId="249C0002" w14:textId="77777777" w:rsidR="00597B5E" w:rsidRPr="00855C1F" w:rsidRDefault="00597B5E" w:rsidP="00747A83">
      <w:pPr>
        <w:pStyle w:val="ListBullet2"/>
      </w:pPr>
      <w:r w:rsidRPr="00855C1F">
        <w:t xml:space="preserve">23 representatives </w:t>
      </w:r>
      <w:r>
        <w:t xml:space="preserve">responded to </w:t>
      </w:r>
      <w:r w:rsidRPr="00855C1F">
        <w:t>the online co-design survey</w:t>
      </w:r>
    </w:p>
    <w:p w14:paraId="0FB90740" w14:textId="77777777" w:rsidR="00597B5E" w:rsidRPr="00B65F7F" w:rsidRDefault="00597B5E" w:rsidP="00747A83">
      <w:pPr>
        <w:pStyle w:val="ListBullet2"/>
        <w:rPr>
          <w:rFonts w:eastAsiaTheme="majorEastAsia"/>
        </w:rPr>
      </w:pPr>
      <w:r w:rsidRPr="00B65F7F">
        <w:t xml:space="preserve">9 interviews were completed with representatives from </w:t>
      </w:r>
      <w:r w:rsidR="00C73D9B">
        <w:t>DoHAC</w:t>
      </w:r>
      <w:r w:rsidRPr="00B65F7F">
        <w:t xml:space="preserve"> and the </w:t>
      </w:r>
      <w:r w:rsidR="00C73D9B">
        <w:t>NIAA</w:t>
      </w:r>
    </w:p>
    <w:p w14:paraId="4857D068" w14:textId="77777777" w:rsidR="00597B5E" w:rsidRDefault="00597B5E" w:rsidP="00747A83">
      <w:pPr>
        <w:pStyle w:val="ListBullet2"/>
      </w:pPr>
      <w:r w:rsidRPr="00B65F7F">
        <w:t xml:space="preserve">9 interviews were completed with representatives from each </w:t>
      </w:r>
      <w:r>
        <w:t>s</w:t>
      </w:r>
      <w:r w:rsidRPr="00B65F7F">
        <w:t xml:space="preserve">tate and </w:t>
      </w:r>
      <w:r>
        <w:t>t</w:t>
      </w:r>
      <w:r w:rsidRPr="00B65F7F">
        <w:t xml:space="preserve">erritory </w:t>
      </w:r>
      <w:r>
        <w:t>g</w:t>
      </w:r>
      <w:r w:rsidRPr="00B65F7F">
        <w:t>overnment</w:t>
      </w:r>
    </w:p>
    <w:p w14:paraId="6BE2FB6C" w14:textId="77777777" w:rsidR="00597B5E" w:rsidRPr="00B65F7F" w:rsidRDefault="00597B5E" w:rsidP="00747A83">
      <w:pPr>
        <w:pStyle w:val="ListBullet2"/>
      </w:pPr>
      <w:r>
        <w:t>9 written submissions were received from PHNs, peak bodies and service providers.</w:t>
      </w:r>
    </w:p>
    <w:p w14:paraId="7DD44FAC" w14:textId="77777777" w:rsidR="00597B5E" w:rsidRPr="00B65F7F" w:rsidRDefault="008D330E" w:rsidP="006734AE">
      <w:pPr>
        <w:pStyle w:val="HeadingLevel2NoNumber"/>
      </w:pPr>
      <w:r>
        <w:t xml:space="preserve">A5.3 </w:t>
      </w:r>
      <w:r w:rsidR="00597B5E" w:rsidRPr="00B65F7F">
        <w:t xml:space="preserve">Community </w:t>
      </w:r>
      <w:r w:rsidR="00CF3408">
        <w:t>y</w:t>
      </w:r>
      <w:r w:rsidR="00597B5E">
        <w:t>arns</w:t>
      </w:r>
      <w:r w:rsidR="00597B5E" w:rsidRPr="00B65F7F">
        <w:t xml:space="preserve"> </w:t>
      </w:r>
    </w:p>
    <w:p w14:paraId="550179D6" w14:textId="065F4A25" w:rsidR="00597B5E" w:rsidRPr="00B65F7F" w:rsidRDefault="00597B5E" w:rsidP="00747A83">
      <w:pPr>
        <w:pStyle w:val="BodyText"/>
      </w:pPr>
      <w:r w:rsidRPr="00B65F7F">
        <w:t xml:space="preserve">Community </w:t>
      </w:r>
      <w:r>
        <w:t>y</w:t>
      </w:r>
      <w:r w:rsidRPr="00B65F7F">
        <w:t xml:space="preserve">arns </w:t>
      </w:r>
      <w:r w:rsidR="006D513D">
        <w:t>(</w:t>
      </w:r>
      <w:r w:rsidR="006D513D">
        <w:fldChar w:fldCharType="begin"/>
      </w:r>
      <w:r w:rsidR="006D513D">
        <w:instrText xml:space="preserve"> REF _Ref152082855 \h </w:instrText>
      </w:r>
      <w:r w:rsidR="006D513D">
        <w:fldChar w:fldCharType="separate"/>
      </w:r>
      <w:r w:rsidR="00934D5E">
        <w:t>Table A5.</w:t>
      </w:r>
      <w:r w:rsidR="00934D5E">
        <w:rPr>
          <w:noProof/>
        </w:rPr>
        <w:t>2</w:t>
      </w:r>
      <w:r w:rsidR="006D513D">
        <w:fldChar w:fldCharType="end"/>
      </w:r>
      <w:r w:rsidR="006D513D">
        <w:t xml:space="preserve">) </w:t>
      </w:r>
      <w:r w:rsidRPr="00B65F7F">
        <w:t>were completed over the period of May to June 2023</w:t>
      </w:r>
      <w:r>
        <w:t>:</w:t>
      </w:r>
    </w:p>
    <w:p w14:paraId="34ABE66D" w14:textId="77777777" w:rsidR="00597B5E" w:rsidRPr="00B65F7F" w:rsidRDefault="00597B5E" w:rsidP="00747A83">
      <w:pPr>
        <w:pStyle w:val="ListBullet2"/>
      </w:pPr>
      <w:r w:rsidRPr="00B65F7F">
        <w:t>1</w:t>
      </w:r>
      <w:r>
        <w:t>7</w:t>
      </w:r>
      <w:r w:rsidRPr="00B65F7F">
        <w:t xml:space="preserve"> </w:t>
      </w:r>
      <w:r>
        <w:t>ACCHOs</w:t>
      </w:r>
      <w:r w:rsidRPr="00B65F7F">
        <w:t xml:space="preserve"> and 3 mainstream health service providers were engaged. Each organisation assisted by providing a culturally safe location to hold yarns and identified community members for engagement </w:t>
      </w:r>
    </w:p>
    <w:p w14:paraId="41B3BBB7" w14:textId="77777777" w:rsidR="00597B5E" w:rsidRDefault="00597B5E" w:rsidP="00747A83">
      <w:pPr>
        <w:pStyle w:val="ListBullet2"/>
      </w:pPr>
      <w:r w:rsidRPr="00B65F7F">
        <w:t xml:space="preserve">272 community members each participated in a yarning group at one of 22 provider sites, across 19 PHN regions. </w:t>
      </w:r>
    </w:p>
    <w:p w14:paraId="27352656" w14:textId="3C924CDF" w:rsidR="00597B5E" w:rsidRPr="00B65F7F" w:rsidRDefault="00C73D9B" w:rsidP="00597B5E">
      <w:pPr>
        <w:pStyle w:val="CaptionTable"/>
      </w:pPr>
      <w:bookmarkStart w:id="288" w:name="_Ref152082855"/>
      <w:bookmarkStart w:id="289" w:name="_Toc145604975"/>
      <w:bookmarkStart w:id="290" w:name="_Toc145617847"/>
      <w:bookmarkStart w:id="291" w:name="_Toc156932084"/>
      <w:r>
        <w:t>Table A5.</w:t>
      </w:r>
      <w:r>
        <w:fldChar w:fldCharType="begin"/>
      </w:r>
      <w:r>
        <w:instrText xml:space="preserve"> SEQ Table_A5 \* ARABIC </w:instrText>
      </w:r>
      <w:r>
        <w:fldChar w:fldCharType="separate"/>
      </w:r>
      <w:r w:rsidR="00934D5E">
        <w:rPr>
          <w:noProof/>
        </w:rPr>
        <w:t>2</w:t>
      </w:r>
      <w:r>
        <w:fldChar w:fldCharType="end"/>
      </w:r>
      <w:bookmarkEnd w:id="288"/>
      <w:r>
        <w:t>:</w:t>
      </w:r>
      <w:r w:rsidR="00597B5E">
        <w:t xml:space="preserve"> Community yarns held</w:t>
      </w:r>
      <w:bookmarkEnd w:id="289"/>
      <w:bookmarkEnd w:id="290"/>
      <w:bookmarkEnd w:id="291"/>
    </w:p>
    <w:tbl>
      <w:tblPr>
        <w:tblStyle w:val="Newtableforresport"/>
        <w:tblW w:w="0" w:type="auto"/>
        <w:tblInd w:w="-84" w:type="dxa"/>
        <w:tblLayout w:type="fixed"/>
        <w:tblLook w:val="01A0" w:firstRow="1" w:lastRow="0" w:firstColumn="1" w:lastColumn="1" w:noHBand="0" w:noVBand="0"/>
        <w:tblCaption w:val="Table A5.2: Community yarns held"/>
        <w:tblDescription w:val="The table describes the organisation where different community yarns were held to gather information for the review. The first column lists the relevant state or Primary Health Network (PHN) region. The second column lists the organisation where a community yarn was held for that region. For example, community yarns were held in Marathon Health for the Murrumbidgee PHN region. "/>
      </w:tblPr>
      <w:tblGrid>
        <w:gridCol w:w="3771"/>
        <w:gridCol w:w="5769"/>
      </w:tblGrid>
      <w:tr w:rsidR="00597B5E" w:rsidRPr="00951951" w14:paraId="62D6ADA6" w14:textId="77777777" w:rsidTr="006F6DD1">
        <w:trPr>
          <w:cnfStyle w:val="100000000000" w:firstRow="1" w:lastRow="0" w:firstColumn="0" w:lastColumn="0" w:oddVBand="0" w:evenVBand="0" w:oddHBand="0" w:evenHBand="0" w:firstRowFirstColumn="0" w:firstRowLastColumn="0" w:lastRowFirstColumn="0" w:lastRowLastColumn="0"/>
          <w:trHeight w:val="57"/>
          <w:tblHeader/>
        </w:trPr>
        <w:tc>
          <w:tcPr>
            <w:cnfStyle w:val="001000000000" w:firstRow="0" w:lastRow="0" w:firstColumn="1" w:lastColumn="0" w:oddVBand="0" w:evenVBand="0" w:oddHBand="0" w:evenHBand="0" w:firstRowFirstColumn="0" w:firstRowLastColumn="0" w:lastRowFirstColumn="0" w:lastRowLastColumn="0"/>
            <w:tcW w:w="3771" w:type="dxa"/>
          </w:tcPr>
          <w:p w14:paraId="3D0C7654" w14:textId="77777777" w:rsidR="00597B5E" w:rsidRPr="00951951" w:rsidRDefault="00597B5E" w:rsidP="00024E8D">
            <w:pPr>
              <w:pStyle w:val="TableHeading"/>
              <w:rPr>
                <w:b w:val="0"/>
              </w:rPr>
            </w:pPr>
            <w:r w:rsidRPr="00951951">
              <w:t>State/PHN region</w:t>
            </w:r>
          </w:p>
        </w:tc>
        <w:tc>
          <w:tcPr>
            <w:cnfStyle w:val="000010000000" w:firstRow="0" w:lastRow="0" w:firstColumn="0" w:lastColumn="0" w:oddVBand="1" w:evenVBand="0" w:oddHBand="0" w:evenHBand="0" w:firstRowFirstColumn="0" w:firstRowLastColumn="0" w:lastRowFirstColumn="0" w:lastRowLastColumn="0"/>
            <w:tcW w:w="5769" w:type="dxa"/>
          </w:tcPr>
          <w:p w14:paraId="22243A20" w14:textId="77777777" w:rsidR="00597B5E" w:rsidRPr="00951951" w:rsidRDefault="00597B5E" w:rsidP="00024E8D">
            <w:pPr>
              <w:pStyle w:val="TableHeading"/>
              <w:rPr>
                <w:b w:val="0"/>
              </w:rPr>
            </w:pPr>
            <w:r w:rsidRPr="00951951">
              <w:t>Organisation where community yarns were held</w:t>
            </w:r>
          </w:p>
        </w:tc>
      </w:tr>
      <w:tr w:rsidR="00597B5E" w:rsidRPr="00B65F7F" w14:paraId="1EBBBE5D" w14:textId="77777777" w:rsidTr="006F6DD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771" w:type="dxa"/>
            <w:shd w:val="clear" w:color="auto" w:fill="F2F2F2" w:themeFill="background1" w:themeFillShade="F2"/>
          </w:tcPr>
          <w:p w14:paraId="60D092D8" w14:textId="77777777" w:rsidR="00597B5E" w:rsidRPr="00B65F7F" w:rsidRDefault="00597B5E" w:rsidP="00453226">
            <w:pPr>
              <w:pStyle w:val="TableText"/>
            </w:pPr>
            <w:r w:rsidRPr="00B65F7F">
              <w:t>New South Wales</w:t>
            </w:r>
          </w:p>
        </w:tc>
        <w:tc>
          <w:tcPr>
            <w:cnfStyle w:val="000010000000" w:firstRow="0" w:lastRow="0" w:firstColumn="0" w:lastColumn="0" w:oddVBand="1" w:evenVBand="0" w:oddHBand="0" w:evenHBand="0" w:firstRowFirstColumn="0" w:firstRowLastColumn="0" w:lastRowFirstColumn="0" w:lastRowLastColumn="0"/>
            <w:tcW w:w="5769" w:type="dxa"/>
            <w:shd w:val="clear" w:color="auto" w:fill="F2F2F2" w:themeFill="background1" w:themeFillShade="F2"/>
          </w:tcPr>
          <w:p w14:paraId="3C9E44A2" w14:textId="77777777" w:rsidR="00597B5E" w:rsidRPr="00B65F7F" w:rsidRDefault="00597B5E" w:rsidP="00453226">
            <w:pPr>
              <w:pStyle w:val="TableText"/>
            </w:pPr>
          </w:p>
        </w:tc>
      </w:tr>
      <w:tr w:rsidR="00597B5E" w:rsidRPr="00B65F7F" w14:paraId="71104EA1" w14:textId="77777777" w:rsidTr="006F6DD1">
        <w:trPr>
          <w:cnfStyle w:val="000000010000" w:firstRow="0" w:lastRow="0" w:firstColumn="0" w:lastColumn="0" w:oddVBand="0" w:evenVBand="0" w:oddHBand="0" w:evenHBand="1"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771" w:type="dxa"/>
          </w:tcPr>
          <w:p w14:paraId="2382C284" w14:textId="77777777" w:rsidR="00597B5E" w:rsidRPr="00217887" w:rsidRDefault="00597B5E" w:rsidP="00217887">
            <w:pPr>
              <w:pStyle w:val="TableText"/>
              <w:rPr>
                <w:b w:val="0"/>
                <w:bCs/>
              </w:rPr>
            </w:pPr>
            <w:r w:rsidRPr="00217887">
              <w:rPr>
                <w:b w:val="0"/>
                <w:bCs/>
              </w:rPr>
              <w:t>Murrumbidgee</w:t>
            </w:r>
          </w:p>
        </w:tc>
        <w:tc>
          <w:tcPr>
            <w:cnfStyle w:val="000010000000" w:firstRow="0" w:lastRow="0" w:firstColumn="0" w:lastColumn="0" w:oddVBand="1" w:evenVBand="0" w:oddHBand="0" w:evenHBand="0" w:firstRowFirstColumn="0" w:firstRowLastColumn="0" w:lastRowFirstColumn="0" w:lastRowLastColumn="0"/>
            <w:tcW w:w="5769" w:type="dxa"/>
          </w:tcPr>
          <w:p w14:paraId="6A6CF56D" w14:textId="77777777" w:rsidR="00597B5E" w:rsidRPr="00B65F7F" w:rsidRDefault="00597B5E" w:rsidP="00217887">
            <w:pPr>
              <w:pStyle w:val="TableText"/>
            </w:pPr>
            <w:r w:rsidRPr="00B65F7F">
              <w:t>Marathon Health</w:t>
            </w:r>
          </w:p>
        </w:tc>
      </w:tr>
      <w:tr w:rsidR="00597B5E" w:rsidRPr="00B65F7F" w14:paraId="0ECACF60" w14:textId="77777777" w:rsidTr="006F6DD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771" w:type="dxa"/>
          </w:tcPr>
          <w:p w14:paraId="19A5763E" w14:textId="77777777" w:rsidR="00597B5E" w:rsidRPr="00217887" w:rsidRDefault="00597B5E" w:rsidP="00217887">
            <w:pPr>
              <w:pStyle w:val="TableText"/>
              <w:rPr>
                <w:b w:val="0"/>
                <w:bCs/>
              </w:rPr>
            </w:pPr>
            <w:r w:rsidRPr="00217887">
              <w:rPr>
                <w:b w:val="0"/>
                <w:bCs/>
              </w:rPr>
              <w:t>Hunter New England &amp; Central Coast</w:t>
            </w:r>
          </w:p>
        </w:tc>
        <w:tc>
          <w:tcPr>
            <w:cnfStyle w:val="000010000000" w:firstRow="0" w:lastRow="0" w:firstColumn="0" w:lastColumn="0" w:oddVBand="1" w:evenVBand="0" w:oddHBand="0" w:evenHBand="0" w:firstRowFirstColumn="0" w:firstRowLastColumn="0" w:lastRowFirstColumn="0" w:lastRowLastColumn="0"/>
            <w:tcW w:w="5769" w:type="dxa"/>
          </w:tcPr>
          <w:p w14:paraId="7BB5F6D2" w14:textId="77777777" w:rsidR="00597B5E" w:rsidRPr="00B65F7F" w:rsidRDefault="00597B5E" w:rsidP="00217887">
            <w:pPr>
              <w:pStyle w:val="TableText"/>
            </w:pPr>
            <w:r w:rsidRPr="00B65F7F">
              <w:t>Yerin Eleanor Duncan Aboriginal Health Services</w:t>
            </w:r>
          </w:p>
        </w:tc>
      </w:tr>
      <w:tr w:rsidR="00597B5E" w:rsidRPr="00B65F7F" w14:paraId="103E18CD" w14:textId="77777777" w:rsidTr="006F6DD1">
        <w:trPr>
          <w:cnfStyle w:val="000000010000" w:firstRow="0" w:lastRow="0" w:firstColumn="0" w:lastColumn="0" w:oddVBand="0" w:evenVBand="0" w:oddHBand="0" w:evenHBand="1"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771" w:type="dxa"/>
            <w:tcBorders>
              <w:bottom w:val="single" w:sz="6" w:space="0" w:color="595959" w:themeColor="text1" w:themeTint="A6"/>
            </w:tcBorders>
          </w:tcPr>
          <w:p w14:paraId="15825DBC" w14:textId="77777777" w:rsidR="00597B5E" w:rsidRPr="00217887" w:rsidRDefault="00597B5E" w:rsidP="00217887">
            <w:pPr>
              <w:pStyle w:val="TableText"/>
              <w:rPr>
                <w:b w:val="0"/>
                <w:bCs/>
              </w:rPr>
            </w:pPr>
            <w:r w:rsidRPr="00217887">
              <w:rPr>
                <w:b w:val="0"/>
                <w:bCs/>
              </w:rPr>
              <w:t>Nepean Blue Mountains</w:t>
            </w:r>
          </w:p>
        </w:tc>
        <w:tc>
          <w:tcPr>
            <w:cnfStyle w:val="000010000000" w:firstRow="0" w:lastRow="0" w:firstColumn="0" w:lastColumn="0" w:oddVBand="1" w:evenVBand="0" w:oddHBand="0" w:evenHBand="0" w:firstRowFirstColumn="0" w:firstRowLastColumn="0" w:lastRowFirstColumn="0" w:lastRowLastColumn="0"/>
            <w:tcW w:w="5769" w:type="dxa"/>
            <w:tcBorders>
              <w:bottom w:val="single" w:sz="6" w:space="0" w:color="595959" w:themeColor="text1" w:themeTint="A6"/>
            </w:tcBorders>
          </w:tcPr>
          <w:p w14:paraId="4552B031" w14:textId="77777777" w:rsidR="00597B5E" w:rsidRPr="00B65F7F" w:rsidRDefault="00597B5E" w:rsidP="00217887">
            <w:pPr>
              <w:pStyle w:val="TableText"/>
            </w:pPr>
            <w:r w:rsidRPr="00B65F7F">
              <w:t>Wellington Aboriginal Corporation Health Service</w:t>
            </w:r>
          </w:p>
        </w:tc>
      </w:tr>
      <w:tr w:rsidR="00597B5E" w:rsidRPr="00B65F7F" w14:paraId="16AB0BE1" w14:textId="77777777" w:rsidTr="006F6DD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771" w:type="dxa"/>
            <w:tcBorders>
              <w:top w:val="single" w:sz="6" w:space="0" w:color="595959" w:themeColor="text1" w:themeTint="A6"/>
            </w:tcBorders>
            <w:shd w:val="clear" w:color="auto" w:fill="F2F2F2" w:themeFill="background1" w:themeFillShade="F2"/>
          </w:tcPr>
          <w:p w14:paraId="394A3183" w14:textId="77777777" w:rsidR="00597B5E" w:rsidRPr="00B65F7F" w:rsidRDefault="00597B5E" w:rsidP="00453226">
            <w:pPr>
              <w:pStyle w:val="TableText"/>
            </w:pPr>
            <w:r w:rsidRPr="00B65F7F">
              <w:t>Northern Territory</w:t>
            </w:r>
          </w:p>
        </w:tc>
        <w:tc>
          <w:tcPr>
            <w:cnfStyle w:val="000010000000" w:firstRow="0" w:lastRow="0" w:firstColumn="0" w:lastColumn="0" w:oddVBand="1" w:evenVBand="0" w:oddHBand="0" w:evenHBand="0" w:firstRowFirstColumn="0" w:firstRowLastColumn="0" w:lastRowFirstColumn="0" w:lastRowLastColumn="0"/>
            <w:tcW w:w="5769" w:type="dxa"/>
            <w:tcBorders>
              <w:top w:val="single" w:sz="6" w:space="0" w:color="595959" w:themeColor="text1" w:themeTint="A6"/>
            </w:tcBorders>
            <w:shd w:val="clear" w:color="auto" w:fill="F2F2F2" w:themeFill="background1" w:themeFillShade="F2"/>
          </w:tcPr>
          <w:p w14:paraId="6E5A3B8A" w14:textId="77777777" w:rsidR="00597B5E" w:rsidRPr="00B65F7F" w:rsidRDefault="00597B5E" w:rsidP="00453226">
            <w:pPr>
              <w:pStyle w:val="TableText"/>
            </w:pPr>
          </w:p>
        </w:tc>
      </w:tr>
      <w:tr w:rsidR="00597B5E" w:rsidRPr="00B65F7F" w14:paraId="2BDCFF09" w14:textId="77777777" w:rsidTr="006F6DD1">
        <w:trPr>
          <w:cnfStyle w:val="000000010000" w:firstRow="0" w:lastRow="0" w:firstColumn="0" w:lastColumn="0" w:oddVBand="0" w:evenVBand="0" w:oddHBand="0" w:evenHBand="1"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771" w:type="dxa"/>
          </w:tcPr>
          <w:p w14:paraId="3AF37C0C" w14:textId="77777777" w:rsidR="00597B5E" w:rsidRPr="00217887" w:rsidRDefault="00597B5E" w:rsidP="00217887">
            <w:pPr>
              <w:pStyle w:val="TableText"/>
              <w:rPr>
                <w:b w:val="0"/>
                <w:bCs/>
              </w:rPr>
            </w:pPr>
            <w:r w:rsidRPr="00217887">
              <w:rPr>
                <w:b w:val="0"/>
                <w:bCs/>
              </w:rPr>
              <w:t>Northern Territory</w:t>
            </w:r>
          </w:p>
        </w:tc>
        <w:tc>
          <w:tcPr>
            <w:cnfStyle w:val="000010000000" w:firstRow="0" w:lastRow="0" w:firstColumn="0" w:lastColumn="0" w:oddVBand="1" w:evenVBand="0" w:oddHBand="0" w:evenHBand="0" w:firstRowFirstColumn="0" w:firstRowLastColumn="0" w:lastRowFirstColumn="0" w:lastRowLastColumn="0"/>
            <w:tcW w:w="5769" w:type="dxa"/>
          </w:tcPr>
          <w:p w14:paraId="29EAB2E0" w14:textId="77777777" w:rsidR="00597B5E" w:rsidRPr="00B65F7F" w:rsidRDefault="00597B5E" w:rsidP="00217887">
            <w:pPr>
              <w:pStyle w:val="TableText"/>
            </w:pPr>
            <w:r w:rsidRPr="00B65F7F">
              <w:t>Danila Dilba Biluru Binnilutlum Health Service Aboriginal Corporation</w:t>
            </w:r>
          </w:p>
        </w:tc>
      </w:tr>
      <w:tr w:rsidR="00597B5E" w:rsidRPr="00B65F7F" w14:paraId="2A29E1A8" w14:textId="77777777" w:rsidTr="006F6DD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770" w:type="dxa"/>
            <w:tcBorders>
              <w:top w:val="single" w:sz="6" w:space="0" w:color="595959" w:themeColor="text1" w:themeTint="A6"/>
            </w:tcBorders>
            <w:shd w:val="clear" w:color="auto" w:fill="F2F2F2" w:themeFill="background1" w:themeFillShade="F2"/>
          </w:tcPr>
          <w:p w14:paraId="5830D6EE" w14:textId="77777777" w:rsidR="00597B5E" w:rsidRPr="00B65F7F" w:rsidRDefault="00597B5E" w:rsidP="00453226">
            <w:pPr>
              <w:pStyle w:val="TableText"/>
            </w:pPr>
            <w:r w:rsidRPr="00B65F7F">
              <w:t>Queensland</w:t>
            </w:r>
          </w:p>
        </w:tc>
        <w:tc>
          <w:tcPr>
            <w:cnfStyle w:val="000010000000" w:firstRow="0" w:lastRow="0" w:firstColumn="0" w:lastColumn="0" w:oddVBand="1" w:evenVBand="0" w:oddHBand="0" w:evenHBand="0" w:firstRowFirstColumn="0" w:firstRowLastColumn="0" w:lastRowFirstColumn="0" w:lastRowLastColumn="0"/>
            <w:tcW w:w="5763" w:type="dxa"/>
            <w:tcBorders>
              <w:top w:val="single" w:sz="6" w:space="0" w:color="595959" w:themeColor="text1" w:themeTint="A6"/>
            </w:tcBorders>
            <w:shd w:val="clear" w:color="auto" w:fill="F2F2F2" w:themeFill="background1" w:themeFillShade="F2"/>
          </w:tcPr>
          <w:p w14:paraId="64B2606B" w14:textId="77777777" w:rsidR="00597B5E" w:rsidRPr="00B65F7F" w:rsidRDefault="00597B5E" w:rsidP="00453226">
            <w:pPr>
              <w:pStyle w:val="TableText"/>
            </w:pPr>
          </w:p>
        </w:tc>
      </w:tr>
      <w:tr w:rsidR="00597B5E" w:rsidRPr="00B65F7F" w14:paraId="1F3B9CE6" w14:textId="77777777" w:rsidTr="006F6DD1">
        <w:trPr>
          <w:cnfStyle w:val="000000010000" w:firstRow="0" w:lastRow="0" w:firstColumn="0" w:lastColumn="0" w:oddVBand="0" w:evenVBand="0" w:oddHBand="0" w:evenHBand="1"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771" w:type="dxa"/>
          </w:tcPr>
          <w:p w14:paraId="23C2BC61" w14:textId="77777777" w:rsidR="00597B5E" w:rsidRPr="00217887" w:rsidRDefault="00597B5E" w:rsidP="00217887">
            <w:pPr>
              <w:pStyle w:val="TableText"/>
              <w:rPr>
                <w:b w:val="0"/>
                <w:bCs/>
              </w:rPr>
            </w:pPr>
            <w:r w:rsidRPr="00217887">
              <w:rPr>
                <w:b w:val="0"/>
                <w:bCs/>
              </w:rPr>
              <w:t>Brisbane North</w:t>
            </w:r>
          </w:p>
        </w:tc>
        <w:tc>
          <w:tcPr>
            <w:cnfStyle w:val="000010000000" w:firstRow="0" w:lastRow="0" w:firstColumn="0" w:lastColumn="0" w:oddVBand="1" w:evenVBand="0" w:oddHBand="0" w:evenHBand="0" w:firstRowFirstColumn="0" w:firstRowLastColumn="0" w:lastRowFirstColumn="0" w:lastRowLastColumn="0"/>
            <w:tcW w:w="5769" w:type="dxa"/>
          </w:tcPr>
          <w:p w14:paraId="00C1A09F" w14:textId="77777777" w:rsidR="00597B5E" w:rsidRPr="00B65F7F" w:rsidRDefault="00597B5E" w:rsidP="00217887">
            <w:pPr>
              <w:pStyle w:val="TableText"/>
            </w:pPr>
            <w:r w:rsidRPr="00B65F7F">
              <w:t xml:space="preserve">Moreton </w:t>
            </w:r>
            <w:r>
              <w:t>Aboriginal and/or Torres Strait Islander</w:t>
            </w:r>
            <w:r w:rsidRPr="00B65F7F">
              <w:t xml:space="preserve"> Community Health Service</w:t>
            </w:r>
          </w:p>
        </w:tc>
      </w:tr>
      <w:tr w:rsidR="00597B5E" w:rsidRPr="00B65F7F" w14:paraId="7ADC27FE" w14:textId="77777777" w:rsidTr="006F6DD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771" w:type="dxa"/>
          </w:tcPr>
          <w:p w14:paraId="4CFEF2AE" w14:textId="77777777" w:rsidR="00597B5E" w:rsidRPr="00217887" w:rsidRDefault="00597B5E" w:rsidP="00217887">
            <w:pPr>
              <w:pStyle w:val="TableText"/>
              <w:rPr>
                <w:b w:val="0"/>
                <w:bCs/>
              </w:rPr>
            </w:pPr>
            <w:r w:rsidRPr="00217887">
              <w:rPr>
                <w:b w:val="0"/>
                <w:bCs/>
              </w:rPr>
              <w:t>Brisbane South</w:t>
            </w:r>
          </w:p>
        </w:tc>
        <w:tc>
          <w:tcPr>
            <w:cnfStyle w:val="000010000000" w:firstRow="0" w:lastRow="0" w:firstColumn="0" w:lastColumn="0" w:oddVBand="1" w:evenVBand="0" w:oddHBand="0" w:evenHBand="0" w:firstRowFirstColumn="0" w:firstRowLastColumn="0" w:lastRowFirstColumn="0" w:lastRowLastColumn="0"/>
            <w:tcW w:w="5769" w:type="dxa"/>
          </w:tcPr>
          <w:p w14:paraId="6BB0DB5B" w14:textId="77777777" w:rsidR="00597B5E" w:rsidRPr="00B65F7F" w:rsidRDefault="00597B5E" w:rsidP="00217887">
            <w:pPr>
              <w:pStyle w:val="TableText"/>
            </w:pPr>
            <w:r w:rsidRPr="00B65F7F">
              <w:t>Inala Wangarra</w:t>
            </w:r>
          </w:p>
        </w:tc>
      </w:tr>
      <w:tr w:rsidR="00597B5E" w:rsidRPr="00B65F7F" w14:paraId="11238314" w14:textId="77777777" w:rsidTr="006F6DD1">
        <w:trPr>
          <w:cnfStyle w:val="000000010000" w:firstRow="0" w:lastRow="0" w:firstColumn="0" w:lastColumn="0" w:oddVBand="0" w:evenVBand="0" w:oddHBand="0" w:evenHBand="1"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771" w:type="dxa"/>
            <w:vMerge w:val="restart"/>
          </w:tcPr>
          <w:p w14:paraId="6AF737BA" w14:textId="77777777" w:rsidR="00597B5E" w:rsidRPr="00217887" w:rsidRDefault="00597B5E" w:rsidP="00217887">
            <w:pPr>
              <w:pStyle w:val="TableText"/>
              <w:rPr>
                <w:b w:val="0"/>
                <w:bCs/>
              </w:rPr>
            </w:pPr>
            <w:r w:rsidRPr="00217887">
              <w:rPr>
                <w:b w:val="0"/>
                <w:bCs/>
              </w:rPr>
              <w:t>Northern Queensland</w:t>
            </w:r>
          </w:p>
        </w:tc>
        <w:tc>
          <w:tcPr>
            <w:cnfStyle w:val="000010000000" w:firstRow="0" w:lastRow="0" w:firstColumn="0" w:lastColumn="0" w:oddVBand="1" w:evenVBand="0" w:oddHBand="0" w:evenHBand="0" w:firstRowFirstColumn="0" w:firstRowLastColumn="0" w:lastRowFirstColumn="0" w:lastRowLastColumn="0"/>
            <w:tcW w:w="5769" w:type="dxa"/>
          </w:tcPr>
          <w:p w14:paraId="2921CF89" w14:textId="77777777" w:rsidR="00597B5E" w:rsidRPr="00B65F7F" w:rsidRDefault="00597B5E" w:rsidP="00217887">
            <w:pPr>
              <w:pStyle w:val="TableText"/>
            </w:pPr>
            <w:r w:rsidRPr="00B65F7F">
              <w:t>Torres Health Indigenous Corporation</w:t>
            </w:r>
            <w:r w:rsidRPr="00B65F7F">
              <w:tab/>
            </w:r>
          </w:p>
        </w:tc>
      </w:tr>
      <w:tr w:rsidR="00597B5E" w:rsidRPr="00B65F7F" w14:paraId="40CBB333" w14:textId="77777777" w:rsidTr="006F6DD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771" w:type="dxa"/>
            <w:vMerge/>
          </w:tcPr>
          <w:p w14:paraId="1A68549C" w14:textId="77777777" w:rsidR="00597B5E" w:rsidRPr="00217887" w:rsidRDefault="00597B5E" w:rsidP="00217887">
            <w:pPr>
              <w:pStyle w:val="TableText"/>
              <w:rPr>
                <w:b w:val="0"/>
                <w:bCs/>
              </w:rPr>
            </w:pPr>
          </w:p>
        </w:tc>
        <w:tc>
          <w:tcPr>
            <w:cnfStyle w:val="000010000000" w:firstRow="0" w:lastRow="0" w:firstColumn="0" w:lastColumn="0" w:oddVBand="1" w:evenVBand="0" w:oddHBand="0" w:evenHBand="0" w:firstRowFirstColumn="0" w:firstRowLastColumn="0" w:lastRowFirstColumn="0" w:lastRowLastColumn="0"/>
            <w:tcW w:w="5769" w:type="dxa"/>
          </w:tcPr>
          <w:p w14:paraId="2F829CF2" w14:textId="77777777" w:rsidR="00597B5E" w:rsidRPr="00B65F7F" w:rsidRDefault="00597B5E" w:rsidP="00217887">
            <w:pPr>
              <w:pStyle w:val="TableText"/>
            </w:pPr>
            <w:r w:rsidRPr="00B65F7F">
              <w:t>Wakai Waain Healing</w:t>
            </w:r>
          </w:p>
        </w:tc>
      </w:tr>
      <w:tr w:rsidR="00597B5E" w:rsidRPr="00B65F7F" w14:paraId="451FA756" w14:textId="77777777" w:rsidTr="006F6DD1">
        <w:trPr>
          <w:cnfStyle w:val="000000010000" w:firstRow="0" w:lastRow="0" w:firstColumn="0" w:lastColumn="0" w:oddVBand="0" w:evenVBand="0" w:oddHBand="0" w:evenHBand="1"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771" w:type="dxa"/>
          </w:tcPr>
          <w:p w14:paraId="61A689B6" w14:textId="77777777" w:rsidR="00597B5E" w:rsidRPr="00217887" w:rsidRDefault="00597B5E" w:rsidP="00217887">
            <w:pPr>
              <w:pStyle w:val="TableText"/>
              <w:rPr>
                <w:b w:val="0"/>
                <w:bCs/>
              </w:rPr>
            </w:pPr>
            <w:r w:rsidRPr="00217887">
              <w:rPr>
                <w:b w:val="0"/>
                <w:bCs/>
              </w:rPr>
              <w:t>Western Queensland</w:t>
            </w:r>
          </w:p>
        </w:tc>
        <w:tc>
          <w:tcPr>
            <w:cnfStyle w:val="000010000000" w:firstRow="0" w:lastRow="0" w:firstColumn="0" w:lastColumn="0" w:oddVBand="1" w:evenVBand="0" w:oddHBand="0" w:evenHBand="0" w:firstRowFirstColumn="0" w:firstRowLastColumn="0" w:lastRowFirstColumn="0" w:lastRowLastColumn="0"/>
            <w:tcW w:w="5769" w:type="dxa"/>
          </w:tcPr>
          <w:p w14:paraId="4CFDF152" w14:textId="77777777" w:rsidR="00597B5E" w:rsidRPr="00B65F7F" w:rsidRDefault="00597B5E" w:rsidP="00217887">
            <w:pPr>
              <w:pStyle w:val="TableText"/>
            </w:pPr>
            <w:r w:rsidRPr="00B65F7F">
              <w:t xml:space="preserve">Charleville and Western Areas </w:t>
            </w:r>
            <w:r>
              <w:t>Aboriginal and/or Torres Strait Islander</w:t>
            </w:r>
            <w:r w:rsidRPr="00B65F7F">
              <w:t xml:space="preserve"> Community Health Limited</w:t>
            </w:r>
          </w:p>
        </w:tc>
      </w:tr>
      <w:tr w:rsidR="00597B5E" w:rsidRPr="00B65F7F" w14:paraId="79859D99" w14:textId="77777777" w:rsidTr="006F6DD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771" w:type="dxa"/>
            <w:tcBorders>
              <w:bottom w:val="single" w:sz="6" w:space="0" w:color="595959" w:themeColor="text1" w:themeTint="A6"/>
            </w:tcBorders>
          </w:tcPr>
          <w:p w14:paraId="6A637232" w14:textId="77777777" w:rsidR="00597B5E" w:rsidRPr="00217887" w:rsidRDefault="00597B5E" w:rsidP="00217887">
            <w:pPr>
              <w:pStyle w:val="TableText"/>
              <w:rPr>
                <w:b w:val="0"/>
                <w:bCs/>
              </w:rPr>
            </w:pPr>
            <w:r w:rsidRPr="00217887">
              <w:rPr>
                <w:b w:val="0"/>
                <w:bCs/>
              </w:rPr>
              <w:t>Darling Downs and West Moreton</w:t>
            </w:r>
          </w:p>
        </w:tc>
        <w:tc>
          <w:tcPr>
            <w:cnfStyle w:val="000010000000" w:firstRow="0" w:lastRow="0" w:firstColumn="0" w:lastColumn="0" w:oddVBand="1" w:evenVBand="0" w:oddHBand="0" w:evenHBand="0" w:firstRowFirstColumn="0" w:firstRowLastColumn="0" w:lastRowFirstColumn="0" w:lastRowLastColumn="0"/>
            <w:tcW w:w="5769" w:type="dxa"/>
            <w:tcBorders>
              <w:bottom w:val="single" w:sz="6" w:space="0" w:color="595959" w:themeColor="text1" w:themeTint="A6"/>
            </w:tcBorders>
          </w:tcPr>
          <w:p w14:paraId="0420CDD9" w14:textId="77777777" w:rsidR="00597B5E" w:rsidRPr="00B65F7F" w:rsidRDefault="00597B5E" w:rsidP="00217887">
            <w:pPr>
              <w:pStyle w:val="TableText"/>
            </w:pPr>
            <w:r w:rsidRPr="00B65F7F">
              <w:t>Carbal Medical Centre</w:t>
            </w:r>
          </w:p>
        </w:tc>
      </w:tr>
      <w:tr w:rsidR="00597B5E" w:rsidRPr="00B65F7F" w14:paraId="1D08E4B0" w14:textId="77777777" w:rsidTr="006F6DD1">
        <w:trPr>
          <w:cnfStyle w:val="000000010000" w:firstRow="0" w:lastRow="0" w:firstColumn="0" w:lastColumn="0" w:oddVBand="0" w:evenVBand="0" w:oddHBand="0" w:evenHBand="1"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771" w:type="dxa"/>
            <w:tcBorders>
              <w:top w:val="single" w:sz="6" w:space="0" w:color="595959" w:themeColor="text1" w:themeTint="A6"/>
            </w:tcBorders>
            <w:shd w:val="clear" w:color="auto" w:fill="F2F2F2" w:themeFill="background1" w:themeFillShade="F2"/>
          </w:tcPr>
          <w:p w14:paraId="15FBF763" w14:textId="77777777" w:rsidR="00597B5E" w:rsidRPr="00B65F7F" w:rsidRDefault="00597B5E" w:rsidP="00453226">
            <w:pPr>
              <w:pStyle w:val="TableText"/>
            </w:pPr>
            <w:r w:rsidRPr="00B65F7F">
              <w:t>South Australia</w:t>
            </w:r>
          </w:p>
        </w:tc>
        <w:tc>
          <w:tcPr>
            <w:cnfStyle w:val="000010000000" w:firstRow="0" w:lastRow="0" w:firstColumn="0" w:lastColumn="0" w:oddVBand="1" w:evenVBand="0" w:oddHBand="0" w:evenHBand="0" w:firstRowFirstColumn="0" w:firstRowLastColumn="0" w:lastRowFirstColumn="0" w:lastRowLastColumn="0"/>
            <w:tcW w:w="5769" w:type="dxa"/>
            <w:tcBorders>
              <w:top w:val="single" w:sz="6" w:space="0" w:color="595959" w:themeColor="text1" w:themeTint="A6"/>
            </w:tcBorders>
            <w:shd w:val="clear" w:color="auto" w:fill="F2F2F2" w:themeFill="background1" w:themeFillShade="F2"/>
          </w:tcPr>
          <w:p w14:paraId="7E4E4DBA" w14:textId="77777777" w:rsidR="00597B5E" w:rsidRPr="00B65F7F" w:rsidRDefault="00597B5E" w:rsidP="00453226">
            <w:pPr>
              <w:pStyle w:val="TableText"/>
            </w:pPr>
          </w:p>
        </w:tc>
      </w:tr>
      <w:tr w:rsidR="00597B5E" w:rsidRPr="00B65F7F" w14:paraId="504BF7B5" w14:textId="77777777" w:rsidTr="006F6DD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771" w:type="dxa"/>
          </w:tcPr>
          <w:p w14:paraId="793A0109" w14:textId="77777777" w:rsidR="00597B5E" w:rsidRPr="00217887" w:rsidRDefault="00597B5E" w:rsidP="00217887">
            <w:pPr>
              <w:pStyle w:val="TableText"/>
              <w:rPr>
                <w:b w:val="0"/>
                <w:bCs/>
              </w:rPr>
            </w:pPr>
            <w:r w:rsidRPr="00217887">
              <w:rPr>
                <w:b w:val="0"/>
                <w:bCs/>
              </w:rPr>
              <w:t>Adelaide</w:t>
            </w:r>
          </w:p>
        </w:tc>
        <w:tc>
          <w:tcPr>
            <w:cnfStyle w:val="000010000000" w:firstRow="0" w:lastRow="0" w:firstColumn="0" w:lastColumn="0" w:oddVBand="1" w:evenVBand="0" w:oddHBand="0" w:evenHBand="0" w:firstRowFirstColumn="0" w:firstRowLastColumn="0" w:lastRowFirstColumn="0" w:lastRowLastColumn="0"/>
            <w:tcW w:w="5769" w:type="dxa"/>
          </w:tcPr>
          <w:p w14:paraId="4146B2F3" w14:textId="77777777" w:rsidR="00597B5E" w:rsidRPr="00B65F7F" w:rsidRDefault="00597B5E" w:rsidP="00217887">
            <w:pPr>
              <w:pStyle w:val="TableText"/>
            </w:pPr>
            <w:r w:rsidRPr="00B65F7F">
              <w:t>Nunkuwarrin Yunti of South Australia Incorporated</w:t>
            </w:r>
          </w:p>
        </w:tc>
      </w:tr>
      <w:tr w:rsidR="00597B5E" w:rsidRPr="00B65F7F" w14:paraId="0A926C25" w14:textId="77777777" w:rsidTr="006F6DD1">
        <w:trPr>
          <w:cnfStyle w:val="000000010000" w:firstRow="0" w:lastRow="0" w:firstColumn="0" w:lastColumn="0" w:oddVBand="0" w:evenVBand="0" w:oddHBand="0" w:evenHBand="1"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771" w:type="dxa"/>
            <w:tcBorders>
              <w:bottom w:val="single" w:sz="6" w:space="0" w:color="595959" w:themeColor="text1" w:themeTint="A6"/>
            </w:tcBorders>
          </w:tcPr>
          <w:p w14:paraId="0D6AB605" w14:textId="77777777" w:rsidR="00597B5E" w:rsidRPr="00217887" w:rsidRDefault="00597B5E" w:rsidP="00217887">
            <w:pPr>
              <w:pStyle w:val="TableText"/>
              <w:rPr>
                <w:b w:val="0"/>
                <w:bCs/>
              </w:rPr>
            </w:pPr>
            <w:r w:rsidRPr="00217887">
              <w:rPr>
                <w:b w:val="0"/>
                <w:bCs/>
              </w:rPr>
              <w:t>Country South Australia</w:t>
            </w:r>
          </w:p>
        </w:tc>
        <w:tc>
          <w:tcPr>
            <w:cnfStyle w:val="000010000000" w:firstRow="0" w:lastRow="0" w:firstColumn="0" w:lastColumn="0" w:oddVBand="1" w:evenVBand="0" w:oddHBand="0" w:evenHBand="0" w:firstRowFirstColumn="0" w:firstRowLastColumn="0" w:lastRowFirstColumn="0" w:lastRowLastColumn="0"/>
            <w:tcW w:w="5769" w:type="dxa"/>
            <w:tcBorders>
              <w:bottom w:val="single" w:sz="6" w:space="0" w:color="595959" w:themeColor="text1" w:themeTint="A6"/>
            </w:tcBorders>
          </w:tcPr>
          <w:p w14:paraId="51D59A6F" w14:textId="77777777" w:rsidR="00597B5E" w:rsidRPr="00B65F7F" w:rsidRDefault="00597B5E" w:rsidP="00217887">
            <w:pPr>
              <w:pStyle w:val="TableText"/>
            </w:pPr>
            <w:r w:rsidRPr="00B65F7F">
              <w:t>Country and Outback Health</w:t>
            </w:r>
          </w:p>
        </w:tc>
      </w:tr>
      <w:tr w:rsidR="00597B5E" w:rsidRPr="00B65F7F" w14:paraId="5CABBCF2" w14:textId="77777777" w:rsidTr="006F6DD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771" w:type="dxa"/>
            <w:tcBorders>
              <w:top w:val="single" w:sz="6" w:space="0" w:color="595959" w:themeColor="text1" w:themeTint="A6"/>
            </w:tcBorders>
            <w:shd w:val="clear" w:color="auto" w:fill="F2F2F2" w:themeFill="background1" w:themeFillShade="F2"/>
          </w:tcPr>
          <w:p w14:paraId="2E4B766C" w14:textId="77777777" w:rsidR="00597B5E" w:rsidRPr="00B65F7F" w:rsidRDefault="00597B5E" w:rsidP="00453226">
            <w:pPr>
              <w:pStyle w:val="TableText"/>
            </w:pPr>
            <w:r w:rsidRPr="00B65F7F">
              <w:t>Tasmania</w:t>
            </w:r>
          </w:p>
        </w:tc>
        <w:tc>
          <w:tcPr>
            <w:cnfStyle w:val="000010000000" w:firstRow="0" w:lastRow="0" w:firstColumn="0" w:lastColumn="0" w:oddVBand="1" w:evenVBand="0" w:oddHBand="0" w:evenHBand="0" w:firstRowFirstColumn="0" w:firstRowLastColumn="0" w:lastRowFirstColumn="0" w:lastRowLastColumn="0"/>
            <w:tcW w:w="5769" w:type="dxa"/>
            <w:tcBorders>
              <w:top w:val="single" w:sz="6" w:space="0" w:color="595959" w:themeColor="text1" w:themeTint="A6"/>
            </w:tcBorders>
            <w:shd w:val="clear" w:color="auto" w:fill="F2F2F2" w:themeFill="background1" w:themeFillShade="F2"/>
          </w:tcPr>
          <w:p w14:paraId="200AE2CE" w14:textId="77777777" w:rsidR="00597B5E" w:rsidRPr="00B65F7F" w:rsidRDefault="00597B5E" w:rsidP="00453226">
            <w:pPr>
              <w:pStyle w:val="TableText"/>
            </w:pPr>
          </w:p>
        </w:tc>
      </w:tr>
      <w:tr w:rsidR="00597B5E" w:rsidRPr="00B65F7F" w14:paraId="6643A62D" w14:textId="77777777" w:rsidTr="006F6DD1">
        <w:trPr>
          <w:cnfStyle w:val="000000010000" w:firstRow="0" w:lastRow="0" w:firstColumn="0" w:lastColumn="0" w:oddVBand="0" w:evenVBand="0" w:oddHBand="0" w:evenHBand="1"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771" w:type="dxa"/>
            <w:tcBorders>
              <w:bottom w:val="single" w:sz="6" w:space="0" w:color="595959" w:themeColor="text1" w:themeTint="A6"/>
            </w:tcBorders>
          </w:tcPr>
          <w:p w14:paraId="437C6E06" w14:textId="77777777" w:rsidR="00597B5E" w:rsidRPr="00217887" w:rsidRDefault="00597B5E" w:rsidP="00217887">
            <w:pPr>
              <w:pStyle w:val="TableText"/>
              <w:rPr>
                <w:b w:val="0"/>
                <w:bCs/>
              </w:rPr>
            </w:pPr>
            <w:r w:rsidRPr="00217887">
              <w:rPr>
                <w:b w:val="0"/>
                <w:bCs/>
              </w:rPr>
              <w:t>Tasmania</w:t>
            </w:r>
          </w:p>
        </w:tc>
        <w:tc>
          <w:tcPr>
            <w:cnfStyle w:val="000010000000" w:firstRow="0" w:lastRow="0" w:firstColumn="0" w:lastColumn="0" w:oddVBand="1" w:evenVBand="0" w:oddHBand="0" w:evenHBand="0" w:firstRowFirstColumn="0" w:firstRowLastColumn="0" w:lastRowFirstColumn="0" w:lastRowLastColumn="0"/>
            <w:tcW w:w="5769" w:type="dxa"/>
            <w:tcBorders>
              <w:bottom w:val="single" w:sz="6" w:space="0" w:color="595959" w:themeColor="text1" w:themeTint="A6"/>
            </w:tcBorders>
          </w:tcPr>
          <w:p w14:paraId="1795BB6B" w14:textId="77777777" w:rsidR="00597B5E" w:rsidRPr="00B65F7F" w:rsidRDefault="00597B5E" w:rsidP="00217887">
            <w:pPr>
              <w:pStyle w:val="TableText"/>
            </w:pPr>
            <w:r w:rsidRPr="00B65F7F">
              <w:t>Circular Head Aboriginal Corporation</w:t>
            </w:r>
          </w:p>
        </w:tc>
      </w:tr>
      <w:tr w:rsidR="00597B5E" w:rsidRPr="00B65F7F" w14:paraId="36267E59" w14:textId="77777777" w:rsidTr="006F6DD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771" w:type="dxa"/>
            <w:tcBorders>
              <w:top w:val="single" w:sz="6" w:space="0" w:color="595959" w:themeColor="text1" w:themeTint="A6"/>
            </w:tcBorders>
            <w:shd w:val="clear" w:color="auto" w:fill="F2F2F2" w:themeFill="background1" w:themeFillShade="F2"/>
          </w:tcPr>
          <w:p w14:paraId="4C4AEFED" w14:textId="77777777" w:rsidR="00597B5E" w:rsidRPr="00B65F7F" w:rsidRDefault="00597B5E" w:rsidP="007A5A62">
            <w:pPr>
              <w:pStyle w:val="TableHeading"/>
            </w:pPr>
            <w:r w:rsidRPr="007A5A62">
              <w:rPr>
                <w:color w:val="auto"/>
              </w:rPr>
              <w:lastRenderedPageBreak/>
              <w:t>Victoria</w:t>
            </w:r>
          </w:p>
        </w:tc>
        <w:tc>
          <w:tcPr>
            <w:cnfStyle w:val="000010000000" w:firstRow="0" w:lastRow="0" w:firstColumn="0" w:lastColumn="0" w:oddVBand="1" w:evenVBand="0" w:oddHBand="0" w:evenHBand="0" w:firstRowFirstColumn="0" w:firstRowLastColumn="0" w:lastRowFirstColumn="0" w:lastRowLastColumn="0"/>
            <w:tcW w:w="5769" w:type="dxa"/>
            <w:tcBorders>
              <w:top w:val="single" w:sz="6" w:space="0" w:color="595959" w:themeColor="text1" w:themeTint="A6"/>
            </w:tcBorders>
            <w:shd w:val="clear" w:color="auto" w:fill="F2F2F2" w:themeFill="background1" w:themeFillShade="F2"/>
          </w:tcPr>
          <w:p w14:paraId="71E3404B" w14:textId="77777777" w:rsidR="00597B5E" w:rsidRPr="00B65F7F" w:rsidRDefault="00597B5E" w:rsidP="006F6DD1">
            <w:pPr>
              <w:pStyle w:val="TableText"/>
            </w:pPr>
          </w:p>
        </w:tc>
      </w:tr>
      <w:tr w:rsidR="00597B5E" w:rsidRPr="00B65F7F" w14:paraId="5692B32B" w14:textId="77777777" w:rsidTr="006F6DD1">
        <w:trPr>
          <w:cnfStyle w:val="000000010000" w:firstRow="0" w:lastRow="0" w:firstColumn="0" w:lastColumn="0" w:oddVBand="0" w:evenVBand="0" w:oddHBand="0" w:evenHBand="1"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771" w:type="dxa"/>
          </w:tcPr>
          <w:p w14:paraId="7DC9F4F8" w14:textId="77777777" w:rsidR="00597B5E" w:rsidRPr="00217887" w:rsidRDefault="00597B5E" w:rsidP="00217887">
            <w:pPr>
              <w:pStyle w:val="TableText"/>
              <w:rPr>
                <w:b w:val="0"/>
                <w:bCs/>
              </w:rPr>
            </w:pPr>
            <w:r w:rsidRPr="00217887">
              <w:rPr>
                <w:b w:val="0"/>
                <w:bCs/>
              </w:rPr>
              <w:t>Murray</w:t>
            </w:r>
          </w:p>
        </w:tc>
        <w:tc>
          <w:tcPr>
            <w:cnfStyle w:val="000010000000" w:firstRow="0" w:lastRow="0" w:firstColumn="0" w:lastColumn="0" w:oddVBand="1" w:evenVBand="0" w:oddHBand="0" w:evenHBand="0" w:firstRowFirstColumn="0" w:firstRowLastColumn="0" w:lastRowFirstColumn="0" w:lastRowLastColumn="0"/>
            <w:tcW w:w="5769" w:type="dxa"/>
          </w:tcPr>
          <w:p w14:paraId="47C7C9BA" w14:textId="77777777" w:rsidR="00597B5E" w:rsidRPr="00B65F7F" w:rsidRDefault="00597B5E" w:rsidP="00217887">
            <w:pPr>
              <w:pStyle w:val="TableText"/>
            </w:pPr>
            <w:r w:rsidRPr="00B65F7F">
              <w:t>Mallee District Aboriginal Service</w:t>
            </w:r>
          </w:p>
        </w:tc>
      </w:tr>
      <w:tr w:rsidR="00597B5E" w:rsidRPr="00B65F7F" w14:paraId="19A0FD3D" w14:textId="77777777" w:rsidTr="006F6DD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771" w:type="dxa"/>
          </w:tcPr>
          <w:p w14:paraId="54F06737" w14:textId="77777777" w:rsidR="00597B5E" w:rsidRPr="00217887" w:rsidRDefault="00597B5E" w:rsidP="00217887">
            <w:pPr>
              <w:pStyle w:val="TableText"/>
              <w:rPr>
                <w:b w:val="0"/>
                <w:bCs/>
              </w:rPr>
            </w:pPr>
            <w:r w:rsidRPr="00217887">
              <w:rPr>
                <w:b w:val="0"/>
                <w:bCs/>
              </w:rPr>
              <w:t>Eastern Melbourne</w:t>
            </w:r>
          </w:p>
        </w:tc>
        <w:tc>
          <w:tcPr>
            <w:cnfStyle w:val="000010000000" w:firstRow="0" w:lastRow="0" w:firstColumn="0" w:lastColumn="0" w:oddVBand="1" w:evenVBand="0" w:oddHBand="0" w:evenHBand="0" w:firstRowFirstColumn="0" w:firstRowLastColumn="0" w:lastRowFirstColumn="0" w:lastRowLastColumn="0"/>
            <w:tcW w:w="5769" w:type="dxa"/>
          </w:tcPr>
          <w:p w14:paraId="25B486B8" w14:textId="77777777" w:rsidR="00597B5E" w:rsidRPr="00B65F7F" w:rsidRDefault="00597B5E" w:rsidP="00217887">
            <w:pPr>
              <w:pStyle w:val="TableText"/>
            </w:pPr>
            <w:r w:rsidRPr="00B65F7F">
              <w:t>Victorian Aboriginal Health Service</w:t>
            </w:r>
          </w:p>
        </w:tc>
      </w:tr>
      <w:tr w:rsidR="00597B5E" w:rsidRPr="00B65F7F" w14:paraId="55415954" w14:textId="77777777" w:rsidTr="006F6DD1">
        <w:trPr>
          <w:cnfStyle w:val="000000010000" w:firstRow="0" w:lastRow="0" w:firstColumn="0" w:lastColumn="0" w:oddVBand="0" w:evenVBand="0" w:oddHBand="0" w:evenHBand="1"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771" w:type="dxa"/>
          </w:tcPr>
          <w:p w14:paraId="501FD012" w14:textId="77777777" w:rsidR="00597B5E" w:rsidRPr="00217887" w:rsidRDefault="00597B5E" w:rsidP="00217887">
            <w:pPr>
              <w:pStyle w:val="TableText"/>
              <w:rPr>
                <w:b w:val="0"/>
                <w:bCs/>
              </w:rPr>
            </w:pPr>
            <w:r w:rsidRPr="00217887">
              <w:rPr>
                <w:b w:val="0"/>
                <w:bCs/>
              </w:rPr>
              <w:t>North Western Melbourne</w:t>
            </w:r>
          </w:p>
        </w:tc>
        <w:tc>
          <w:tcPr>
            <w:cnfStyle w:val="000010000000" w:firstRow="0" w:lastRow="0" w:firstColumn="0" w:lastColumn="0" w:oddVBand="1" w:evenVBand="0" w:oddHBand="0" w:evenHBand="0" w:firstRowFirstColumn="0" w:firstRowLastColumn="0" w:lastRowFirstColumn="0" w:lastRowLastColumn="0"/>
            <w:tcW w:w="5769" w:type="dxa"/>
          </w:tcPr>
          <w:p w14:paraId="6F7E243E" w14:textId="77777777" w:rsidR="00597B5E" w:rsidRPr="00B65F7F" w:rsidRDefault="00597B5E" w:rsidP="00217887">
            <w:pPr>
              <w:pStyle w:val="TableText"/>
            </w:pPr>
            <w:r w:rsidRPr="00B65F7F">
              <w:t>Victorian Aboriginal Health Service</w:t>
            </w:r>
          </w:p>
        </w:tc>
      </w:tr>
      <w:tr w:rsidR="00597B5E" w:rsidRPr="00B65F7F" w14:paraId="5E934086" w14:textId="77777777" w:rsidTr="006F6DD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771" w:type="dxa"/>
            <w:tcBorders>
              <w:bottom w:val="single" w:sz="6" w:space="0" w:color="595959" w:themeColor="text1" w:themeTint="A6"/>
            </w:tcBorders>
          </w:tcPr>
          <w:p w14:paraId="470CE0A1" w14:textId="77777777" w:rsidR="00597B5E" w:rsidRPr="00217887" w:rsidRDefault="00597B5E" w:rsidP="00217887">
            <w:pPr>
              <w:pStyle w:val="TableText"/>
              <w:rPr>
                <w:b w:val="0"/>
                <w:bCs/>
              </w:rPr>
            </w:pPr>
            <w:r w:rsidRPr="00217887">
              <w:rPr>
                <w:b w:val="0"/>
                <w:bCs/>
              </w:rPr>
              <w:t>Western Victoria</w:t>
            </w:r>
          </w:p>
        </w:tc>
        <w:tc>
          <w:tcPr>
            <w:cnfStyle w:val="000010000000" w:firstRow="0" w:lastRow="0" w:firstColumn="0" w:lastColumn="0" w:oddVBand="1" w:evenVBand="0" w:oddHBand="0" w:evenHBand="0" w:firstRowFirstColumn="0" w:firstRowLastColumn="0" w:lastRowFirstColumn="0" w:lastRowLastColumn="0"/>
            <w:tcW w:w="5769" w:type="dxa"/>
            <w:tcBorders>
              <w:bottom w:val="single" w:sz="6" w:space="0" w:color="595959" w:themeColor="text1" w:themeTint="A6"/>
            </w:tcBorders>
          </w:tcPr>
          <w:p w14:paraId="541256A8" w14:textId="77777777" w:rsidR="00597B5E" w:rsidRPr="00B65F7F" w:rsidRDefault="00597B5E" w:rsidP="00217887">
            <w:pPr>
              <w:pStyle w:val="TableText"/>
            </w:pPr>
            <w:r w:rsidRPr="00B65F7F">
              <w:t>Wathaurong Aboriginal Cooperative Limited</w:t>
            </w:r>
          </w:p>
        </w:tc>
      </w:tr>
      <w:tr w:rsidR="00597B5E" w:rsidRPr="00B65F7F" w14:paraId="355EA032" w14:textId="77777777" w:rsidTr="006F6DD1">
        <w:trPr>
          <w:cnfStyle w:val="000000010000" w:firstRow="0" w:lastRow="0" w:firstColumn="0" w:lastColumn="0" w:oddVBand="0" w:evenVBand="0" w:oddHBand="0" w:evenHBand="1"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771" w:type="dxa"/>
            <w:tcBorders>
              <w:top w:val="single" w:sz="6" w:space="0" w:color="595959" w:themeColor="text1" w:themeTint="A6"/>
            </w:tcBorders>
            <w:shd w:val="clear" w:color="auto" w:fill="F2F2F2" w:themeFill="background1" w:themeFillShade="F2"/>
          </w:tcPr>
          <w:p w14:paraId="521F382F" w14:textId="77777777" w:rsidR="00597B5E" w:rsidRPr="00B65F7F" w:rsidRDefault="00597B5E" w:rsidP="00453226">
            <w:pPr>
              <w:pStyle w:val="TableText"/>
            </w:pPr>
            <w:r w:rsidRPr="00B65F7F">
              <w:t>Western Australia</w:t>
            </w:r>
          </w:p>
        </w:tc>
        <w:tc>
          <w:tcPr>
            <w:cnfStyle w:val="000010000000" w:firstRow="0" w:lastRow="0" w:firstColumn="0" w:lastColumn="0" w:oddVBand="1" w:evenVBand="0" w:oddHBand="0" w:evenHBand="0" w:firstRowFirstColumn="0" w:firstRowLastColumn="0" w:lastRowFirstColumn="0" w:lastRowLastColumn="0"/>
            <w:tcW w:w="5769" w:type="dxa"/>
            <w:tcBorders>
              <w:top w:val="single" w:sz="6" w:space="0" w:color="595959" w:themeColor="text1" w:themeTint="A6"/>
            </w:tcBorders>
            <w:shd w:val="clear" w:color="auto" w:fill="F2F2F2" w:themeFill="background1" w:themeFillShade="F2"/>
          </w:tcPr>
          <w:p w14:paraId="12BB454F" w14:textId="77777777" w:rsidR="00597B5E" w:rsidRPr="00B65F7F" w:rsidRDefault="00597B5E" w:rsidP="00453226">
            <w:pPr>
              <w:pStyle w:val="TableText"/>
            </w:pPr>
          </w:p>
        </w:tc>
      </w:tr>
      <w:tr w:rsidR="00597B5E" w:rsidRPr="00B65F7F" w14:paraId="29516911" w14:textId="77777777" w:rsidTr="006F6DD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771" w:type="dxa"/>
          </w:tcPr>
          <w:p w14:paraId="0A34765C" w14:textId="77777777" w:rsidR="00597B5E" w:rsidRPr="00777CF9" w:rsidRDefault="00597B5E" w:rsidP="00777CF9">
            <w:pPr>
              <w:pStyle w:val="TableText"/>
              <w:rPr>
                <w:b w:val="0"/>
                <w:bCs/>
              </w:rPr>
            </w:pPr>
            <w:r w:rsidRPr="00777CF9">
              <w:rPr>
                <w:b w:val="0"/>
                <w:bCs/>
              </w:rPr>
              <w:t>Perth North</w:t>
            </w:r>
          </w:p>
        </w:tc>
        <w:tc>
          <w:tcPr>
            <w:cnfStyle w:val="000010000000" w:firstRow="0" w:lastRow="0" w:firstColumn="0" w:lastColumn="0" w:oddVBand="1" w:evenVBand="0" w:oddHBand="0" w:evenHBand="0" w:firstRowFirstColumn="0" w:firstRowLastColumn="0" w:lastRowFirstColumn="0" w:lastRowLastColumn="0"/>
            <w:tcW w:w="5769" w:type="dxa"/>
          </w:tcPr>
          <w:p w14:paraId="19AD52E2" w14:textId="77777777" w:rsidR="00597B5E" w:rsidRPr="00B65F7F" w:rsidRDefault="00597B5E" w:rsidP="00777CF9">
            <w:pPr>
              <w:pStyle w:val="TableText"/>
            </w:pPr>
            <w:r w:rsidRPr="00B65F7F">
              <w:t>Moorditj Koort Aboriginal Corporation</w:t>
            </w:r>
          </w:p>
        </w:tc>
      </w:tr>
      <w:tr w:rsidR="00597B5E" w:rsidRPr="00B65F7F" w14:paraId="70F409FC" w14:textId="77777777" w:rsidTr="006F6DD1">
        <w:trPr>
          <w:cnfStyle w:val="000000010000" w:firstRow="0" w:lastRow="0" w:firstColumn="0" w:lastColumn="0" w:oddVBand="0" w:evenVBand="0" w:oddHBand="0" w:evenHBand="1"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771" w:type="dxa"/>
            <w:vMerge w:val="restart"/>
          </w:tcPr>
          <w:p w14:paraId="33387729" w14:textId="77777777" w:rsidR="00597B5E" w:rsidRPr="00777CF9" w:rsidRDefault="00597B5E" w:rsidP="00777CF9">
            <w:pPr>
              <w:pStyle w:val="TableText"/>
              <w:rPr>
                <w:b w:val="0"/>
                <w:bCs/>
              </w:rPr>
            </w:pPr>
            <w:r w:rsidRPr="00777CF9">
              <w:rPr>
                <w:b w:val="0"/>
                <w:bCs/>
              </w:rPr>
              <w:t>Perth South</w:t>
            </w:r>
          </w:p>
        </w:tc>
        <w:tc>
          <w:tcPr>
            <w:cnfStyle w:val="000010000000" w:firstRow="0" w:lastRow="0" w:firstColumn="0" w:lastColumn="0" w:oddVBand="1" w:evenVBand="0" w:oddHBand="0" w:evenHBand="0" w:firstRowFirstColumn="0" w:firstRowLastColumn="0" w:lastRowFirstColumn="0" w:lastRowLastColumn="0"/>
            <w:tcW w:w="5769" w:type="dxa"/>
          </w:tcPr>
          <w:p w14:paraId="18402C66" w14:textId="77777777" w:rsidR="00597B5E" w:rsidRPr="00B65F7F" w:rsidRDefault="00597B5E" w:rsidP="00777CF9">
            <w:pPr>
              <w:pStyle w:val="TableText"/>
            </w:pPr>
            <w:r w:rsidRPr="00B65F7F">
              <w:t>Moorditj Koort Aboriginal Corporation</w:t>
            </w:r>
          </w:p>
        </w:tc>
      </w:tr>
      <w:tr w:rsidR="00597B5E" w:rsidRPr="00B65F7F" w14:paraId="5DAB355F" w14:textId="77777777" w:rsidTr="006F6DD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771" w:type="dxa"/>
            <w:vMerge/>
          </w:tcPr>
          <w:p w14:paraId="5D300CF2" w14:textId="77777777" w:rsidR="00597B5E" w:rsidRPr="00777CF9" w:rsidRDefault="00597B5E" w:rsidP="00777CF9">
            <w:pPr>
              <w:pStyle w:val="TableText"/>
              <w:rPr>
                <w:b w:val="0"/>
                <w:bCs/>
              </w:rPr>
            </w:pPr>
          </w:p>
        </w:tc>
        <w:tc>
          <w:tcPr>
            <w:cnfStyle w:val="000010000000" w:firstRow="0" w:lastRow="0" w:firstColumn="0" w:lastColumn="0" w:oddVBand="1" w:evenVBand="0" w:oddHBand="0" w:evenHBand="0" w:firstRowFirstColumn="0" w:firstRowLastColumn="0" w:lastRowFirstColumn="0" w:lastRowLastColumn="0"/>
            <w:tcW w:w="5769" w:type="dxa"/>
          </w:tcPr>
          <w:p w14:paraId="176D7842" w14:textId="77777777" w:rsidR="00597B5E" w:rsidRPr="00B65F7F" w:rsidRDefault="00597B5E" w:rsidP="00777CF9">
            <w:pPr>
              <w:pStyle w:val="TableText"/>
            </w:pPr>
            <w:r w:rsidRPr="00B65F7F">
              <w:t>GP Down South</w:t>
            </w:r>
          </w:p>
        </w:tc>
      </w:tr>
      <w:tr w:rsidR="00597B5E" w:rsidRPr="00B65F7F" w14:paraId="78C088E2" w14:textId="77777777" w:rsidTr="006F6DD1">
        <w:trPr>
          <w:cnfStyle w:val="000000010000" w:firstRow="0" w:lastRow="0" w:firstColumn="0" w:lastColumn="0" w:oddVBand="0" w:evenVBand="0" w:oddHBand="0" w:evenHBand="1"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771" w:type="dxa"/>
          </w:tcPr>
          <w:p w14:paraId="0C2B5C99" w14:textId="77777777" w:rsidR="00597B5E" w:rsidRPr="00777CF9" w:rsidRDefault="00597B5E" w:rsidP="00777CF9">
            <w:pPr>
              <w:pStyle w:val="TableText"/>
              <w:rPr>
                <w:b w:val="0"/>
                <w:bCs/>
              </w:rPr>
            </w:pPr>
            <w:r w:rsidRPr="00777CF9">
              <w:rPr>
                <w:b w:val="0"/>
                <w:bCs/>
              </w:rPr>
              <w:t>Country Western Australia</w:t>
            </w:r>
          </w:p>
        </w:tc>
        <w:tc>
          <w:tcPr>
            <w:cnfStyle w:val="000010000000" w:firstRow="0" w:lastRow="0" w:firstColumn="0" w:lastColumn="0" w:oddVBand="1" w:evenVBand="0" w:oddHBand="0" w:evenHBand="0" w:firstRowFirstColumn="0" w:firstRowLastColumn="0" w:lastRowFirstColumn="0" w:lastRowLastColumn="0"/>
            <w:tcW w:w="5769" w:type="dxa"/>
          </w:tcPr>
          <w:p w14:paraId="768C2050" w14:textId="77777777" w:rsidR="00597B5E" w:rsidRPr="00B65F7F" w:rsidRDefault="00597B5E" w:rsidP="00777CF9">
            <w:pPr>
              <w:pStyle w:val="TableText"/>
            </w:pPr>
            <w:r w:rsidRPr="00B65F7F">
              <w:t>South West Aboriginal Medical Service</w:t>
            </w:r>
          </w:p>
        </w:tc>
      </w:tr>
      <w:tr w:rsidR="00597B5E" w:rsidRPr="00B65F7F" w14:paraId="690D8089" w14:textId="77777777" w:rsidTr="006F6DD1">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3771" w:type="dxa"/>
          </w:tcPr>
          <w:p w14:paraId="0D502EA1" w14:textId="77777777" w:rsidR="00597B5E" w:rsidRPr="00B65F7F" w:rsidRDefault="00597B5E" w:rsidP="00777CF9">
            <w:pPr>
              <w:pStyle w:val="TableText"/>
            </w:pPr>
          </w:p>
        </w:tc>
        <w:tc>
          <w:tcPr>
            <w:cnfStyle w:val="000010000000" w:firstRow="0" w:lastRow="0" w:firstColumn="0" w:lastColumn="0" w:oddVBand="1" w:evenVBand="0" w:oddHBand="0" w:evenHBand="0" w:firstRowFirstColumn="0" w:firstRowLastColumn="0" w:lastRowFirstColumn="0" w:lastRowLastColumn="0"/>
            <w:tcW w:w="5769" w:type="dxa"/>
          </w:tcPr>
          <w:p w14:paraId="581998F3" w14:textId="77777777" w:rsidR="00597B5E" w:rsidRPr="00B65F7F" w:rsidRDefault="00597B5E" w:rsidP="00777CF9">
            <w:pPr>
              <w:pStyle w:val="TableText"/>
            </w:pPr>
            <w:r w:rsidRPr="00B65F7F">
              <w:t>Mawarnkarra Health Service</w:t>
            </w:r>
          </w:p>
        </w:tc>
      </w:tr>
    </w:tbl>
    <w:p w14:paraId="4608F4F1" w14:textId="77777777" w:rsidR="00597B5E" w:rsidRPr="00B65F7F" w:rsidRDefault="008D330E" w:rsidP="006734AE">
      <w:pPr>
        <w:pStyle w:val="HeadingLevel2NoNumber"/>
      </w:pPr>
      <w:r>
        <w:t xml:space="preserve">A5.4 </w:t>
      </w:r>
      <w:r w:rsidR="00597B5E" w:rsidRPr="00B65F7F">
        <w:t xml:space="preserve">Service </w:t>
      </w:r>
      <w:r w:rsidR="00597B5E">
        <w:t>p</w:t>
      </w:r>
      <w:r w:rsidR="00597B5E" w:rsidRPr="00B65F7F">
        <w:t xml:space="preserve">rovider </w:t>
      </w:r>
      <w:r w:rsidR="00597B5E">
        <w:t>f</w:t>
      </w:r>
      <w:r w:rsidR="00597B5E" w:rsidRPr="00B65F7F">
        <w:t>ocus</w:t>
      </w:r>
      <w:r w:rsidR="00597B5E" w:rsidRPr="00B65F7F">
        <w:rPr>
          <w:spacing w:val="-6"/>
        </w:rPr>
        <w:t xml:space="preserve"> </w:t>
      </w:r>
      <w:r w:rsidR="00597B5E">
        <w:t>g</w:t>
      </w:r>
      <w:r w:rsidR="00597B5E" w:rsidRPr="00B65F7F">
        <w:t>roup</w:t>
      </w:r>
      <w:r w:rsidR="00597B5E">
        <w:t xml:space="preserve"> </w:t>
      </w:r>
    </w:p>
    <w:p w14:paraId="60A98DFA" w14:textId="5DD2E0D9" w:rsidR="00597B5E" w:rsidRPr="00B65F7F" w:rsidRDefault="00597B5E" w:rsidP="00CA015E">
      <w:pPr>
        <w:pStyle w:val="BodyText"/>
        <w:rPr>
          <w:b/>
        </w:rPr>
      </w:pPr>
      <w:r w:rsidRPr="00B65F7F">
        <w:t xml:space="preserve">Indigenous and mainstream service providers </w:t>
      </w:r>
      <w:r>
        <w:t xml:space="preserve">that </w:t>
      </w:r>
      <w:r w:rsidRPr="00B65F7F">
        <w:t xml:space="preserve">were funded </w:t>
      </w:r>
      <w:r>
        <w:t xml:space="preserve">as </w:t>
      </w:r>
      <w:r w:rsidR="002B46E5" w:rsidRPr="00B65F7F">
        <w:t>of</w:t>
      </w:r>
      <w:r w:rsidRPr="00B65F7F">
        <w:t xml:space="preserve"> February 2023 to deliver First Nations </w:t>
      </w:r>
      <w:r>
        <w:t>m</w:t>
      </w:r>
      <w:r w:rsidRPr="00B65F7F">
        <w:t xml:space="preserve">ental </w:t>
      </w:r>
      <w:r>
        <w:t>h</w:t>
      </w:r>
      <w:r w:rsidRPr="00B65F7F">
        <w:t xml:space="preserve">ealth and </w:t>
      </w:r>
      <w:r>
        <w:t>s</w:t>
      </w:r>
      <w:r w:rsidRPr="00B65F7F">
        <w:t xml:space="preserve">uicide </w:t>
      </w:r>
      <w:r>
        <w:t>p</w:t>
      </w:r>
      <w:r w:rsidRPr="00B65F7F">
        <w:t xml:space="preserve">revention services and/or the ITC </w:t>
      </w:r>
      <w:r>
        <w:t>p</w:t>
      </w:r>
      <w:r w:rsidRPr="00B65F7F">
        <w:t xml:space="preserve">rogram participated in a </w:t>
      </w:r>
      <w:r>
        <w:t>one-</w:t>
      </w:r>
      <w:r w:rsidRPr="00B65F7F">
        <w:t>hour online focus group discussion</w:t>
      </w:r>
      <w:r w:rsidR="006D513D">
        <w:t xml:space="preserve"> (</w:t>
      </w:r>
      <w:r w:rsidR="006D513D">
        <w:fldChar w:fldCharType="begin"/>
      </w:r>
      <w:r w:rsidR="006D513D">
        <w:instrText xml:space="preserve"> REF _Ref152082875 \h </w:instrText>
      </w:r>
      <w:r w:rsidR="006D513D">
        <w:fldChar w:fldCharType="separate"/>
      </w:r>
      <w:r w:rsidR="00934D5E">
        <w:t>Table A5.</w:t>
      </w:r>
      <w:r w:rsidR="00934D5E">
        <w:rPr>
          <w:noProof/>
        </w:rPr>
        <w:t>3</w:t>
      </w:r>
      <w:r w:rsidR="006D513D">
        <w:fldChar w:fldCharType="end"/>
      </w:r>
      <w:r w:rsidR="006D513D">
        <w:t>)</w:t>
      </w:r>
      <w:r>
        <w:t>:</w:t>
      </w:r>
      <w:r w:rsidRPr="00B65F7F">
        <w:t xml:space="preserve"> </w:t>
      </w:r>
    </w:p>
    <w:p w14:paraId="63B89426" w14:textId="77777777" w:rsidR="00597B5E" w:rsidRPr="00B65F7F" w:rsidRDefault="00597B5E" w:rsidP="00453226">
      <w:pPr>
        <w:pStyle w:val="ListBullet2"/>
        <w:rPr>
          <w:b/>
        </w:rPr>
      </w:pPr>
      <w:r w:rsidRPr="00B65F7F">
        <w:rPr>
          <w:rFonts w:cstheme="majorHAnsi"/>
          <w:color w:val="2B1201"/>
        </w:rPr>
        <w:t xml:space="preserve">44 </w:t>
      </w:r>
      <w:r w:rsidRPr="00B65F7F">
        <w:t xml:space="preserve">focus group discussions were completed over the period of February 2023 to March 2023 </w:t>
      </w:r>
    </w:p>
    <w:p w14:paraId="3B1857F6" w14:textId="77777777" w:rsidR="00597B5E" w:rsidRPr="001A0252" w:rsidRDefault="00597B5E" w:rsidP="00453226">
      <w:pPr>
        <w:pStyle w:val="ListBullet2"/>
        <w:rPr>
          <w:rFonts w:cstheme="majorHAnsi"/>
          <w:b/>
          <w:color w:val="2B1201"/>
        </w:rPr>
      </w:pPr>
      <w:r w:rsidRPr="00B65F7F">
        <w:t xml:space="preserve">83 </w:t>
      </w:r>
      <w:r>
        <w:t>ACCHOs</w:t>
      </w:r>
      <w:r w:rsidRPr="00B65F7F">
        <w:t xml:space="preserve">, </w:t>
      </w:r>
      <w:r>
        <w:t>ACCHOs and ACCHSs</w:t>
      </w:r>
      <w:r w:rsidRPr="00B65F7F">
        <w:t xml:space="preserve">, </w:t>
      </w:r>
      <w:r>
        <w:t>AMSs</w:t>
      </w:r>
      <w:r w:rsidRPr="00B65F7F">
        <w:t xml:space="preserve"> and mainstream service providers participated</w:t>
      </w:r>
      <w:r>
        <w:t>.</w:t>
      </w:r>
    </w:p>
    <w:p w14:paraId="2FF35042" w14:textId="6159AA24" w:rsidR="00597B5E" w:rsidRPr="00B65F7F" w:rsidRDefault="00C73D9B" w:rsidP="00597B5E">
      <w:pPr>
        <w:pStyle w:val="CaptionTable"/>
      </w:pPr>
      <w:bookmarkStart w:id="292" w:name="_Ref152082875"/>
      <w:bookmarkStart w:id="293" w:name="_Toc145604976"/>
      <w:bookmarkStart w:id="294" w:name="_Toc145617848"/>
      <w:bookmarkStart w:id="295" w:name="_Toc156932085"/>
      <w:r>
        <w:t>Table A5.</w:t>
      </w:r>
      <w:r>
        <w:fldChar w:fldCharType="begin"/>
      </w:r>
      <w:r>
        <w:instrText xml:space="preserve"> SEQ Table_A5 \* ARABIC </w:instrText>
      </w:r>
      <w:r>
        <w:fldChar w:fldCharType="separate"/>
      </w:r>
      <w:r w:rsidR="00934D5E">
        <w:rPr>
          <w:noProof/>
        </w:rPr>
        <w:t>3</w:t>
      </w:r>
      <w:r>
        <w:fldChar w:fldCharType="end"/>
      </w:r>
      <w:bookmarkEnd w:id="292"/>
      <w:r w:rsidR="00597B5E">
        <w:t>: Focus group discussions held</w:t>
      </w:r>
      <w:bookmarkEnd w:id="293"/>
      <w:bookmarkEnd w:id="294"/>
      <w:bookmarkEnd w:id="295"/>
    </w:p>
    <w:tbl>
      <w:tblPr>
        <w:tblStyle w:val="Newtableforresport"/>
        <w:tblW w:w="0" w:type="auto"/>
        <w:tblInd w:w="0" w:type="dxa"/>
        <w:tblLayout w:type="fixed"/>
        <w:tblLook w:val="04A0" w:firstRow="1" w:lastRow="0" w:firstColumn="1" w:lastColumn="0" w:noHBand="0" w:noVBand="1"/>
        <w:tblCaption w:val="Table A5.3: Focus group discussions held "/>
        <w:tblDescription w:val="The table describes the organisation and location where different focus group discussions were held to gather information for the review. The first column lists the relevant state or Primary Health Network (PHN) region. The second column lists the organisation where a focus group discussion was held for that region. The third column lists the location where a focus group discussion was held for that region. For example, focus group discussions were held in Winnunga-Nimmityjah Aboriginal Health and Community Services (Narrabundah), and Grand Pacific Health (Nowra) for the Australian Capital Territory PHN region.  "/>
      </w:tblPr>
      <w:tblGrid>
        <w:gridCol w:w="2750"/>
        <w:gridCol w:w="5244"/>
        <w:gridCol w:w="1546"/>
      </w:tblGrid>
      <w:tr w:rsidR="00597B5E" w:rsidRPr="00B65F7F" w14:paraId="58D7DF5F" w14:textId="77777777" w:rsidTr="006F6DD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750" w:type="dxa"/>
            <w:vAlign w:val="center"/>
          </w:tcPr>
          <w:p w14:paraId="245AD04A" w14:textId="77777777" w:rsidR="00597B5E" w:rsidRPr="00B65F7F" w:rsidRDefault="00597B5E" w:rsidP="00024E8D">
            <w:pPr>
              <w:pStyle w:val="TableHeading"/>
              <w:rPr>
                <w:b w:val="0"/>
              </w:rPr>
            </w:pPr>
            <w:r w:rsidRPr="00B65F7F">
              <w:t xml:space="preserve">State and </w:t>
            </w:r>
            <w:r w:rsidR="00C73D9B">
              <w:t>PHN</w:t>
            </w:r>
          </w:p>
        </w:tc>
        <w:tc>
          <w:tcPr>
            <w:tcW w:w="5244" w:type="dxa"/>
            <w:vAlign w:val="center"/>
          </w:tcPr>
          <w:p w14:paraId="4AF57854" w14:textId="77777777" w:rsidR="00597B5E" w:rsidRPr="00B65F7F" w:rsidRDefault="00597B5E" w:rsidP="00024E8D">
            <w:pPr>
              <w:pStyle w:val="TableHeading"/>
              <w:cnfStyle w:val="100000000000" w:firstRow="1" w:lastRow="0" w:firstColumn="0" w:lastColumn="0" w:oddVBand="0" w:evenVBand="0" w:oddHBand="0" w:evenHBand="0" w:firstRowFirstColumn="0" w:firstRowLastColumn="0" w:lastRowFirstColumn="0" w:lastRowLastColumn="0"/>
              <w:rPr>
                <w:b w:val="0"/>
              </w:rPr>
            </w:pPr>
            <w:r w:rsidRPr="00B65F7F">
              <w:t>Organisation Name</w:t>
            </w:r>
          </w:p>
        </w:tc>
        <w:tc>
          <w:tcPr>
            <w:tcW w:w="1546" w:type="dxa"/>
            <w:vAlign w:val="center"/>
          </w:tcPr>
          <w:p w14:paraId="4616195D" w14:textId="77777777" w:rsidR="00597B5E" w:rsidRPr="00B65F7F" w:rsidRDefault="00597B5E" w:rsidP="00024E8D">
            <w:pPr>
              <w:pStyle w:val="TableHeading"/>
              <w:cnfStyle w:val="100000000000" w:firstRow="1" w:lastRow="0" w:firstColumn="0" w:lastColumn="0" w:oddVBand="0" w:evenVBand="0" w:oddHBand="0" w:evenHBand="0" w:firstRowFirstColumn="0" w:firstRowLastColumn="0" w:lastRowFirstColumn="0" w:lastRowLastColumn="0"/>
              <w:rPr>
                <w:b w:val="0"/>
              </w:rPr>
            </w:pPr>
            <w:r w:rsidRPr="00B65F7F">
              <w:t>Location</w:t>
            </w:r>
          </w:p>
        </w:tc>
      </w:tr>
      <w:tr w:rsidR="00597B5E" w:rsidRPr="00B65F7F" w14:paraId="696EB8F5" w14:textId="77777777" w:rsidTr="006F6D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shd w:val="clear" w:color="auto" w:fill="F2F2F2" w:themeFill="background1" w:themeFillShade="F2"/>
          </w:tcPr>
          <w:p w14:paraId="6CA13080" w14:textId="77777777" w:rsidR="00597B5E" w:rsidRPr="00B65F7F" w:rsidRDefault="00597B5E" w:rsidP="00CA015E">
            <w:pPr>
              <w:pStyle w:val="TableText"/>
            </w:pPr>
            <w:r w:rsidRPr="00B65F7F">
              <w:t>Australian Capital Territory</w:t>
            </w:r>
          </w:p>
        </w:tc>
        <w:tc>
          <w:tcPr>
            <w:tcW w:w="5244" w:type="dxa"/>
            <w:shd w:val="clear" w:color="auto" w:fill="F2F2F2" w:themeFill="background1" w:themeFillShade="F2"/>
          </w:tcPr>
          <w:p w14:paraId="7ECE9B67"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rPr>
                <w:rFonts w:ascii="Fira Sans Heavy" w:hAnsi="Fira Sans Heavy" w:cstheme="minorBidi"/>
              </w:rPr>
            </w:pPr>
          </w:p>
        </w:tc>
        <w:tc>
          <w:tcPr>
            <w:tcW w:w="1546" w:type="dxa"/>
            <w:shd w:val="clear" w:color="auto" w:fill="F2F2F2" w:themeFill="background1" w:themeFillShade="F2"/>
          </w:tcPr>
          <w:p w14:paraId="572CB6D4"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rPr>
                <w:rFonts w:ascii="Fira Sans Heavy" w:hAnsi="Fira Sans Heavy" w:cstheme="minorBidi"/>
              </w:rPr>
            </w:pPr>
          </w:p>
        </w:tc>
      </w:tr>
      <w:tr w:rsidR="00597B5E" w:rsidRPr="00B65F7F" w14:paraId="79ECDB4D" w14:textId="77777777" w:rsidTr="006F6D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val="restart"/>
          </w:tcPr>
          <w:p w14:paraId="57BA75F4" w14:textId="77777777" w:rsidR="00597B5E" w:rsidRPr="00B65F7F" w:rsidRDefault="00597B5E" w:rsidP="00CA015E">
            <w:pPr>
              <w:pStyle w:val="TableText"/>
              <w:rPr>
                <w:b w:val="0"/>
              </w:rPr>
            </w:pPr>
            <w:r w:rsidRPr="00B65F7F">
              <w:rPr>
                <w:b w:val="0"/>
              </w:rPr>
              <w:t>ACT – Capital Health Network</w:t>
            </w:r>
          </w:p>
        </w:tc>
        <w:tc>
          <w:tcPr>
            <w:tcW w:w="5244" w:type="dxa"/>
          </w:tcPr>
          <w:p w14:paraId="274C0183"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Winnunga Nimmityjah Aboriginal Health and Community Services</w:t>
            </w:r>
          </w:p>
        </w:tc>
        <w:tc>
          <w:tcPr>
            <w:tcW w:w="1546" w:type="dxa"/>
          </w:tcPr>
          <w:p w14:paraId="29E2B956"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Narrabundah</w:t>
            </w:r>
          </w:p>
        </w:tc>
      </w:tr>
      <w:tr w:rsidR="00597B5E" w:rsidRPr="00B65F7F" w14:paraId="664CA4AA" w14:textId="77777777" w:rsidTr="006F6D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Borders>
              <w:bottom w:val="single" w:sz="6" w:space="0" w:color="595959" w:themeColor="text1" w:themeTint="A6"/>
            </w:tcBorders>
          </w:tcPr>
          <w:p w14:paraId="0EA6089F" w14:textId="77777777" w:rsidR="00597B5E" w:rsidRPr="00B65F7F" w:rsidRDefault="00597B5E" w:rsidP="00CA015E">
            <w:pPr>
              <w:pStyle w:val="TableText"/>
              <w:rPr>
                <w:rFonts w:ascii="Fira Sans Heavy" w:hAnsi="Fira Sans Heavy" w:cstheme="minorBidi"/>
                <w:b w:val="0"/>
              </w:rPr>
            </w:pPr>
          </w:p>
        </w:tc>
        <w:tc>
          <w:tcPr>
            <w:tcW w:w="5244" w:type="dxa"/>
            <w:tcBorders>
              <w:bottom w:val="single" w:sz="6" w:space="0" w:color="595959" w:themeColor="text1" w:themeTint="A6"/>
            </w:tcBorders>
          </w:tcPr>
          <w:p w14:paraId="12A5619B"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Grand Pacific Health</w:t>
            </w:r>
          </w:p>
        </w:tc>
        <w:tc>
          <w:tcPr>
            <w:tcW w:w="1546" w:type="dxa"/>
            <w:tcBorders>
              <w:bottom w:val="single" w:sz="6" w:space="0" w:color="595959" w:themeColor="text1" w:themeTint="A6"/>
            </w:tcBorders>
          </w:tcPr>
          <w:p w14:paraId="6D9E205E"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Nowra</w:t>
            </w:r>
          </w:p>
        </w:tc>
      </w:tr>
      <w:tr w:rsidR="00597B5E" w:rsidRPr="00B65F7F" w14:paraId="5199295E" w14:textId="77777777" w:rsidTr="006F6D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tcBorders>
              <w:top w:val="single" w:sz="6" w:space="0" w:color="595959" w:themeColor="text1" w:themeTint="A6"/>
            </w:tcBorders>
            <w:shd w:val="clear" w:color="auto" w:fill="F2F2F2" w:themeFill="background1" w:themeFillShade="F2"/>
          </w:tcPr>
          <w:p w14:paraId="25560AF7" w14:textId="77777777" w:rsidR="00597B5E" w:rsidRPr="00B65F7F" w:rsidRDefault="00597B5E" w:rsidP="00CA015E">
            <w:pPr>
              <w:pStyle w:val="TableText"/>
            </w:pPr>
            <w:r w:rsidRPr="00B65F7F">
              <w:t>New South Wales</w:t>
            </w:r>
          </w:p>
        </w:tc>
        <w:tc>
          <w:tcPr>
            <w:tcW w:w="5244" w:type="dxa"/>
            <w:tcBorders>
              <w:top w:val="single" w:sz="6" w:space="0" w:color="595959" w:themeColor="text1" w:themeTint="A6"/>
            </w:tcBorders>
            <w:shd w:val="clear" w:color="auto" w:fill="F2F2F2" w:themeFill="background1" w:themeFillShade="F2"/>
          </w:tcPr>
          <w:p w14:paraId="70EF6D36"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rPr>
                <w:rFonts w:ascii="Fira Sans Heavy" w:hAnsi="Fira Sans Heavy" w:cstheme="minorBidi"/>
              </w:rPr>
            </w:pPr>
          </w:p>
        </w:tc>
        <w:tc>
          <w:tcPr>
            <w:tcW w:w="1546" w:type="dxa"/>
            <w:tcBorders>
              <w:top w:val="single" w:sz="6" w:space="0" w:color="595959" w:themeColor="text1" w:themeTint="A6"/>
            </w:tcBorders>
            <w:shd w:val="clear" w:color="auto" w:fill="F2F2F2" w:themeFill="background1" w:themeFillShade="F2"/>
          </w:tcPr>
          <w:p w14:paraId="2C3D9566"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rPr>
                <w:rFonts w:ascii="Fira Sans Heavy" w:hAnsi="Fira Sans Heavy" w:cstheme="minorBidi"/>
              </w:rPr>
            </w:pPr>
          </w:p>
        </w:tc>
      </w:tr>
      <w:tr w:rsidR="00597B5E" w:rsidRPr="00B65F7F" w14:paraId="257EEEE7" w14:textId="77777777" w:rsidTr="006F6D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val="restart"/>
          </w:tcPr>
          <w:p w14:paraId="7BD4E7A4" w14:textId="77777777" w:rsidR="00597B5E" w:rsidRPr="00B65F7F" w:rsidRDefault="00597B5E" w:rsidP="00CA015E">
            <w:pPr>
              <w:pStyle w:val="TableText"/>
              <w:rPr>
                <w:b w:val="0"/>
              </w:rPr>
            </w:pPr>
            <w:r w:rsidRPr="00B65F7F">
              <w:rPr>
                <w:b w:val="0"/>
              </w:rPr>
              <w:t xml:space="preserve">North Coast </w:t>
            </w:r>
          </w:p>
        </w:tc>
        <w:tc>
          <w:tcPr>
            <w:tcW w:w="5244" w:type="dxa"/>
          </w:tcPr>
          <w:p w14:paraId="31C77F62"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Werin Aboriginal Corporation</w:t>
            </w:r>
          </w:p>
        </w:tc>
        <w:tc>
          <w:tcPr>
            <w:tcW w:w="1546" w:type="dxa"/>
          </w:tcPr>
          <w:p w14:paraId="4D6E8F5E"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Port Macquarie</w:t>
            </w:r>
          </w:p>
        </w:tc>
      </w:tr>
      <w:tr w:rsidR="00597B5E" w:rsidRPr="00B65F7F" w14:paraId="7E452DEA" w14:textId="77777777" w:rsidTr="006F6D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119FE106" w14:textId="77777777" w:rsidR="00597B5E" w:rsidRPr="00B65F7F" w:rsidRDefault="00597B5E" w:rsidP="00CA015E">
            <w:pPr>
              <w:pStyle w:val="TableText"/>
              <w:rPr>
                <w:rFonts w:ascii="Fira Sans Heavy" w:hAnsi="Fira Sans Heavy" w:cstheme="minorBidi"/>
                <w:b w:val="0"/>
              </w:rPr>
            </w:pPr>
          </w:p>
        </w:tc>
        <w:tc>
          <w:tcPr>
            <w:tcW w:w="5244" w:type="dxa"/>
          </w:tcPr>
          <w:p w14:paraId="3D885322"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Bullinah Aboriginal Health Service</w:t>
            </w:r>
          </w:p>
        </w:tc>
        <w:tc>
          <w:tcPr>
            <w:tcW w:w="1546" w:type="dxa"/>
          </w:tcPr>
          <w:p w14:paraId="31EA22C8"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Ballina</w:t>
            </w:r>
          </w:p>
        </w:tc>
      </w:tr>
      <w:tr w:rsidR="00597B5E" w:rsidRPr="00B65F7F" w14:paraId="2F4B2149" w14:textId="77777777" w:rsidTr="006F6D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3EFF735A" w14:textId="77777777" w:rsidR="00597B5E" w:rsidRPr="00B65F7F" w:rsidRDefault="00597B5E" w:rsidP="00CA015E">
            <w:pPr>
              <w:pStyle w:val="TableText"/>
              <w:rPr>
                <w:rFonts w:ascii="Fira Sans Heavy" w:hAnsi="Fira Sans Heavy" w:cstheme="minorBidi"/>
                <w:b w:val="0"/>
              </w:rPr>
            </w:pPr>
          </w:p>
        </w:tc>
        <w:tc>
          <w:tcPr>
            <w:tcW w:w="5244" w:type="dxa"/>
          </w:tcPr>
          <w:p w14:paraId="68F91B96"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Galambil</w:t>
            </w:r>
            <w:r>
              <w:t>a</w:t>
            </w:r>
            <w:r w:rsidRPr="00B65F7F">
              <w:t xml:space="preserve"> Corporation</w:t>
            </w:r>
          </w:p>
        </w:tc>
        <w:tc>
          <w:tcPr>
            <w:tcW w:w="1546" w:type="dxa"/>
          </w:tcPr>
          <w:p w14:paraId="37A425CE"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Coffs Harbour</w:t>
            </w:r>
          </w:p>
        </w:tc>
      </w:tr>
      <w:tr w:rsidR="00597B5E" w:rsidRPr="00B65F7F" w14:paraId="583A967A" w14:textId="77777777" w:rsidTr="006F6D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7048B200" w14:textId="77777777" w:rsidR="00597B5E" w:rsidRPr="00B65F7F" w:rsidRDefault="00597B5E" w:rsidP="00CA015E">
            <w:pPr>
              <w:pStyle w:val="TableText"/>
              <w:rPr>
                <w:rFonts w:ascii="Fira Sans Heavy" w:hAnsi="Fira Sans Heavy" w:cstheme="minorBidi"/>
                <w:b w:val="0"/>
              </w:rPr>
            </w:pPr>
          </w:p>
        </w:tc>
        <w:tc>
          <w:tcPr>
            <w:tcW w:w="5244" w:type="dxa"/>
          </w:tcPr>
          <w:p w14:paraId="2FE1AAF4" w14:textId="77777777" w:rsidR="00597B5E" w:rsidRPr="009B52C5" w:rsidRDefault="00597B5E" w:rsidP="00CA015E">
            <w:pPr>
              <w:pStyle w:val="TableText"/>
              <w:cnfStyle w:val="000000010000" w:firstRow="0" w:lastRow="0" w:firstColumn="0" w:lastColumn="0" w:oddVBand="0" w:evenVBand="0" w:oddHBand="0" w:evenHBand="1" w:firstRowFirstColumn="0" w:firstRowLastColumn="0" w:lastRowFirstColumn="0" w:lastRowLastColumn="0"/>
              <w:rPr>
                <w:lang w:val="es-CL"/>
              </w:rPr>
            </w:pPr>
            <w:r w:rsidRPr="009B52C5">
              <w:rPr>
                <w:lang w:val="es-CL"/>
              </w:rPr>
              <w:t xml:space="preserve">Bulgarr Ngaru Medical Aboriginal Corporation </w:t>
            </w:r>
          </w:p>
        </w:tc>
        <w:tc>
          <w:tcPr>
            <w:tcW w:w="1546" w:type="dxa"/>
          </w:tcPr>
          <w:p w14:paraId="7F681D57"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Grafton</w:t>
            </w:r>
          </w:p>
        </w:tc>
      </w:tr>
      <w:tr w:rsidR="00597B5E" w:rsidRPr="00B65F7F" w14:paraId="2760ABC7" w14:textId="77777777" w:rsidTr="006F6D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val="restart"/>
          </w:tcPr>
          <w:p w14:paraId="5AABBA88" w14:textId="77777777" w:rsidR="00597B5E" w:rsidRPr="00B65F7F" w:rsidRDefault="00597B5E" w:rsidP="00CA015E">
            <w:pPr>
              <w:pStyle w:val="TableText"/>
              <w:rPr>
                <w:b w:val="0"/>
              </w:rPr>
            </w:pPr>
            <w:r w:rsidRPr="00B65F7F">
              <w:rPr>
                <w:b w:val="0"/>
              </w:rPr>
              <w:t xml:space="preserve">Central and Eastern Sydney </w:t>
            </w:r>
          </w:p>
        </w:tc>
        <w:tc>
          <w:tcPr>
            <w:tcW w:w="5244" w:type="dxa"/>
          </w:tcPr>
          <w:p w14:paraId="091FE90C"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Baban</w:t>
            </w:r>
            <w:r>
              <w:t>a</w:t>
            </w:r>
            <w:r w:rsidRPr="00B65F7F">
              <w:t xml:space="preserve"> Men’s Group Incorporated</w:t>
            </w:r>
          </w:p>
        </w:tc>
        <w:tc>
          <w:tcPr>
            <w:tcW w:w="1546" w:type="dxa"/>
          </w:tcPr>
          <w:p w14:paraId="283C2B95"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Redfern</w:t>
            </w:r>
          </w:p>
        </w:tc>
      </w:tr>
      <w:tr w:rsidR="00597B5E" w:rsidRPr="00B65F7F" w14:paraId="1B7EBCB4" w14:textId="77777777" w:rsidTr="006F6D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42AAB10F" w14:textId="77777777" w:rsidR="00597B5E" w:rsidRPr="00B65F7F" w:rsidRDefault="00597B5E" w:rsidP="00CA015E">
            <w:pPr>
              <w:pStyle w:val="TableText"/>
              <w:rPr>
                <w:rFonts w:ascii="Fira Sans Heavy" w:hAnsi="Fira Sans Heavy" w:cstheme="minorBidi"/>
                <w:b w:val="0"/>
              </w:rPr>
            </w:pPr>
          </w:p>
        </w:tc>
        <w:tc>
          <w:tcPr>
            <w:tcW w:w="5244" w:type="dxa"/>
          </w:tcPr>
          <w:p w14:paraId="29575608"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Tribal Warrior Aboriginal Corporation</w:t>
            </w:r>
          </w:p>
        </w:tc>
        <w:tc>
          <w:tcPr>
            <w:tcW w:w="1546" w:type="dxa"/>
          </w:tcPr>
          <w:p w14:paraId="168C329F"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Redfern</w:t>
            </w:r>
          </w:p>
        </w:tc>
      </w:tr>
      <w:tr w:rsidR="00597B5E" w:rsidRPr="00B65F7F" w14:paraId="005343F6" w14:textId="77777777" w:rsidTr="006F6D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681A0F0B" w14:textId="77777777" w:rsidR="00597B5E" w:rsidRPr="00B65F7F" w:rsidRDefault="00597B5E" w:rsidP="00CA015E">
            <w:pPr>
              <w:pStyle w:val="TableText"/>
              <w:rPr>
                <w:rFonts w:ascii="Fira Sans Heavy" w:hAnsi="Fira Sans Heavy" w:cstheme="minorBidi"/>
                <w:b w:val="0"/>
              </w:rPr>
            </w:pPr>
          </w:p>
        </w:tc>
        <w:tc>
          <w:tcPr>
            <w:tcW w:w="5244" w:type="dxa"/>
          </w:tcPr>
          <w:p w14:paraId="4AC0080A"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La Perouse Local Aboriginal Land Council</w:t>
            </w:r>
          </w:p>
        </w:tc>
        <w:tc>
          <w:tcPr>
            <w:tcW w:w="1546" w:type="dxa"/>
          </w:tcPr>
          <w:p w14:paraId="440148D1"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Phillip Bay</w:t>
            </w:r>
          </w:p>
        </w:tc>
      </w:tr>
      <w:tr w:rsidR="00597B5E" w:rsidRPr="00B65F7F" w14:paraId="31253A0F" w14:textId="77777777" w:rsidTr="006F6D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1562D32A" w14:textId="77777777" w:rsidR="00597B5E" w:rsidRPr="00B65F7F" w:rsidRDefault="00597B5E" w:rsidP="00CA015E">
            <w:pPr>
              <w:pStyle w:val="TableText"/>
              <w:rPr>
                <w:rFonts w:ascii="Fira Sans Heavy" w:hAnsi="Fira Sans Heavy" w:cstheme="minorBidi"/>
                <w:b w:val="0"/>
              </w:rPr>
            </w:pPr>
          </w:p>
        </w:tc>
        <w:tc>
          <w:tcPr>
            <w:tcW w:w="5244" w:type="dxa"/>
          </w:tcPr>
          <w:p w14:paraId="0B4BBED7"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Lilly Pilly Counselling</w:t>
            </w:r>
          </w:p>
        </w:tc>
        <w:tc>
          <w:tcPr>
            <w:tcW w:w="1546" w:type="dxa"/>
          </w:tcPr>
          <w:p w14:paraId="73E4F202"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Various</w:t>
            </w:r>
          </w:p>
        </w:tc>
      </w:tr>
      <w:tr w:rsidR="00597B5E" w:rsidRPr="00B65F7F" w14:paraId="531E1CB6" w14:textId="77777777" w:rsidTr="006F6D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val="restart"/>
          </w:tcPr>
          <w:p w14:paraId="7C311CC0" w14:textId="77777777" w:rsidR="00597B5E" w:rsidRPr="00B65F7F" w:rsidRDefault="00597B5E" w:rsidP="00CA015E">
            <w:pPr>
              <w:pStyle w:val="TableText"/>
              <w:rPr>
                <w:b w:val="0"/>
              </w:rPr>
            </w:pPr>
            <w:r w:rsidRPr="00B65F7F">
              <w:rPr>
                <w:b w:val="0"/>
              </w:rPr>
              <w:t xml:space="preserve">Hunter New England and Central Coast </w:t>
            </w:r>
          </w:p>
        </w:tc>
        <w:tc>
          <w:tcPr>
            <w:tcW w:w="5244" w:type="dxa"/>
          </w:tcPr>
          <w:p w14:paraId="0328E0A6"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Yerin Eleanor Duncan Aboriginal Health Services</w:t>
            </w:r>
          </w:p>
        </w:tc>
        <w:tc>
          <w:tcPr>
            <w:tcW w:w="1546" w:type="dxa"/>
          </w:tcPr>
          <w:p w14:paraId="523EED30"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Wyong</w:t>
            </w:r>
          </w:p>
        </w:tc>
      </w:tr>
      <w:tr w:rsidR="00597B5E" w:rsidRPr="00B65F7F" w14:paraId="47F7B3A5" w14:textId="77777777" w:rsidTr="006F6D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45404D88" w14:textId="77777777" w:rsidR="00597B5E" w:rsidRPr="00B65F7F" w:rsidRDefault="00597B5E" w:rsidP="00CA015E">
            <w:pPr>
              <w:pStyle w:val="TableText"/>
              <w:rPr>
                <w:rFonts w:ascii="Fira Sans Heavy" w:hAnsi="Fira Sans Heavy" w:cstheme="minorBidi"/>
                <w:b w:val="0"/>
              </w:rPr>
            </w:pPr>
          </w:p>
        </w:tc>
        <w:tc>
          <w:tcPr>
            <w:tcW w:w="5244" w:type="dxa"/>
          </w:tcPr>
          <w:p w14:paraId="4EEB24F6"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 xml:space="preserve">Tamworth Aboriginal Medical Service </w:t>
            </w:r>
          </w:p>
        </w:tc>
        <w:tc>
          <w:tcPr>
            <w:tcW w:w="1546" w:type="dxa"/>
          </w:tcPr>
          <w:p w14:paraId="2DF5C0F1"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Tamworth</w:t>
            </w:r>
          </w:p>
        </w:tc>
      </w:tr>
      <w:tr w:rsidR="00597B5E" w:rsidRPr="00B65F7F" w14:paraId="3F7032E4" w14:textId="77777777" w:rsidTr="006F6D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04B38F78" w14:textId="77777777" w:rsidR="00597B5E" w:rsidRPr="00B65F7F" w:rsidRDefault="00597B5E" w:rsidP="00CA015E">
            <w:pPr>
              <w:pStyle w:val="TableText"/>
              <w:rPr>
                <w:rFonts w:ascii="Fira Sans Heavy" w:hAnsi="Fira Sans Heavy" w:cstheme="minorBidi"/>
                <w:b w:val="0"/>
              </w:rPr>
            </w:pPr>
          </w:p>
        </w:tc>
        <w:tc>
          <w:tcPr>
            <w:tcW w:w="5244" w:type="dxa"/>
          </w:tcPr>
          <w:p w14:paraId="7793AFDA"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New England North West Health Ltd /HealthWISE</w:t>
            </w:r>
          </w:p>
        </w:tc>
        <w:tc>
          <w:tcPr>
            <w:tcW w:w="1546" w:type="dxa"/>
          </w:tcPr>
          <w:p w14:paraId="77CE4669"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Tamworth</w:t>
            </w:r>
          </w:p>
        </w:tc>
      </w:tr>
      <w:tr w:rsidR="00597B5E" w:rsidRPr="00B65F7F" w14:paraId="527CE8A0" w14:textId="77777777" w:rsidTr="006F6D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4E5D1B56" w14:textId="77777777" w:rsidR="00597B5E" w:rsidRPr="00B65F7F" w:rsidRDefault="00597B5E" w:rsidP="00CA015E">
            <w:pPr>
              <w:pStyle w:val="TableText"/>
              <w:rPr>
                <w:rFonts w:ascii="Fira Sans Heavy" w:hAnsi="Fira Sans Heavy" w:cstheme="minorBidi"/>
                <w:b w:val="0"/>
              </w:rPr>
            </w:pPr>
          </w:p>
        </w:tc>
        <w:tc>
          <w:tcPr>
            <w:tcW w:w="5244" w:type="dxa"/>
          </w:tcPr>
          <w:p w14:paraId="64EE8928"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Hunter Primary Care</w:t>
            </w:r>
          </w:p>
        </w:tc>
        <w:tc>
          <w:tcPr>
            <w:tcW w:w="1546" w:type="dxa"/>
          </w:tcPr>
          <w:p w14:paraId="2E10B859"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Warabrook </w:t>
            </w:r>
          </w:p>
        </w:tc>
      </w:tr>
      <w:tr w:rsidR="00597B5E" w:rsidRPr="00B65F7F" w14:paraId="1BAF8046" w14:textId="77777777" w:rsidTr="006F6D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val="restart"/>
          </w:tcPr>
          <w:p w14:paraId="1CF5281B" w14:textId="77777777" w:rsidR="00597B5E" w:rsidRPr="00CA015E" w:rsidRDefault="00597B5E" w:rsidP="00CA015E">
            <w:pPr>
              <w:pStyle w:val="TableText"/>
              <w:rPr>
                <w:b w:val="0"/>
                <w:bCs/>
              </w:rPr>
            </w:pPr>
            <w:r w:rsidRPr="00CA015E">
              <w:rPr>
                <w:b w:val="0"/>
                <w:bCs/>
              </w:rPr>
              <w:lastRenderedPageBreak/>
              <w:t>Murrumbidgee</w:t>
            </w:r>
          </w:p>
        </w:tc>
        <w:tc>
          <w:tcPr>
            <w:tcW w:w="5244" w:type="dxa"/>
          </w:tcPr>
          <w:p w14:paraId="04104F75"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Riverina Medical &amp; Dental Aboriginal Corporation</w:t>
            </w:r>
          </w:p>
        </w:tc>
        <w:tc>
          <w:tcPr>
            <w:tcW w:w="1546" w:type="dxa"/>
          </w:tcPr>
          <w:p w14:paraId="00C4DF19"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Wagga Wagga</w:t>
            </w:r>
          </w:p>
        </w:tc>
      </w:tr>
      <w:tr w:rsidR="00597B5E" w:rsidRPr="00B65F7F" w14:paraId="07520D5E" w14:textId="77777777" w:rsidTr="006F6D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36D8CE21" w14:textId="77777777" w:rsidR="00597B5E" w:rsidRPr="00CA015E" w:rsidRDefault="00597B5E" w:rsidP="00CA015E">
            <w:pPr>
              <w:pStyle w:val="TableText"/>
              <w:rPr>
                <w:rFonts w:ascii="Fira Sans Heavy" w:hAnsi="Fira Sans Heavy" w:cstheme="minorBidi"/>
                <w:b w:val="0"/>
                <w:bCs/>
              </w:rPr>
            </w:pPr>
          </w:p>
        </w:tc>
        <w:tc>
          <w:tcPr>
            <w:tcW w:w="5244" w:type="dxa"/>
          </w:tcPr>
          <w:p w14:paraId="36689F05"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Marathon Health Limited</w:t>
            </w:r>
          </w:p>
        </w:tc>
        <w:tc>
          <w:tcPr>
            <w:tcW w:w="1546" w:type="dxa"/>
          </w:tcPr>
          <w:p w14:paraId="66A94893"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Bathurst</w:t>
            </w:r>
          </w:p>
        </w:tc>
      </w:tr>
      <w:tr w:rsidR="00597B5E" w:rsidRPr="00B65F7F" w14:paraId="1F5411B0" w14:textId="77777777" w:rsidTr="006F6D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val="restart"/>
          </w:tcPr>
          <w:p w14:paraId="71D77A14" w14:textId="77777777" w:rsidR="00597B5E" w:rsidRPr="00CA015E" w:rsidRDefault="00597B5E" w:rsidP="00CA015E">
            <w:pPr>
              <w:pStyle w:val="TableText"/>
              <w:rPr>
                <w:b w:val="0"/>
                <w:bCs/>
              </w:rPr>
            </w:pPr>
            <w:r w:rsidRPr="00CA015E">
              <w:rPr>
                <w:b w:val="0"/>
                <w:bCs/>
              </w:rPr>
              <w:t>Nepean Blue Mountains</w:t>
            </w:r>
          </w:p>
        </w:tc>
        <w:tc>
          <w:tcPr>
            <w:tcW w:w="5244" w:type="dxa"/>
          </w:tcPr>
          <w:p w14:paraId="7273548A"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Wellington Aboriginal Corporation Health Service</w:t>
            </w:r>
          </w:p>
        </w:tc>
        <w:tc>
          <w:tcPr>
            <w:tcW w:w="1546" w:type="dxa"/>
          </w:tcPr>
          <w:p w14:paraId="4D7F14F6"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Wellington</w:t>
            </w:r>
          </w:p>
        </w:tc>
      </w:tr>
      <w:tr w:rsidR="00597B5E" w:rsidRPr="00B65F7F" w14:paraId="3B95FA8A" w14:textId="77777777" w:rsidTr="006F6D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77374B20" w14:textId="77777777" w:rsidR="00597B5E" w:rsidRPr="00CA015E" w:rsidRDefault="00597B5E" w:rsidP="00CA015E">
            <w:pPr>
              <w:pStyle w:val="TableText"/>
              <w:rPr>
                <w:rFonts w:ascii="Fira Sans Heavy" w:hAnsi="Fira Sans Heavy" w:cstheme="minorBidi"/>
                <w:b w:val="0"/>
                <w:bCs/>
              </w:rPr>
            </w:pPr>
          </w:p>
        </w:tc>
        <w:tc>
          <w:tcPr>
            <w:tcW w:w="5244" w:type="dxa"/>
          </w:tcPr>
          <w:p w14:paraId="1F4A01B0"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The Ted Noffs Foundation</w:t>
            </w:r>
          </w:p>
        </w:tc>
        <w:tc>
          <w:tcPr>
            <w:tcW w:w="1546" w:type="dxa"/>
          </w:tcPr>
          <w:p w14:paraId="752F888A"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Randwick</w:t>
            </w:r>
          </w:p>
        </w:tc>
      </w:tr>
      <w:tr w:rsidR="00597B5E" w:rsidRPr="00B65F7F" w14:paraId="13810717" w14:textId="77777777" w:rsidTr="006F6D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tcPr>
          <w:p w14:paraId="03B942E6" w14:textId="77777777" w:rsidR="00597B5E" w:rsidRPr="00CA015E" w:rsidRDefault="00597B5E" w:rsidP="00CA015E">
            <w:pPr>
              <w:pStyle w:val="TableText"/>
              <w:rPr>
                <w:b w:val="0"/>
                <w:bCs/>
              </w:rPr>
            </w:pPr>
            <w:r w:rsidRPr="00CA015E">
              <w:rPr>
                <w:b w:val="0"/>
                <w:bCs/>
              </w:rPr>
              <w:t>South Eastern NSW</w:t>
            </w:r>
          </w:p>
        </w:tc>
        <w:tc>
          <w:tcPr>
            <w:tcW w:w="5244" w:type="dxa"/>
          </w:tcPr>
          <w:p w14:paraId="75481EF5"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South Coast Medical Service Aboriginal Corporation</w:t>
            </w:r>
          </w:p>
        </w:tc>
        <w:tc>
          <w:tcPr>
            <w:tcW w:w="1546" w:type="dxa"/>
          </w:tcPr>
          <w:p w14:paraId="6AD8A00D"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Nowra</w:t>
            </w:r>
          </w:p>
        </w:tc>
      </w:tr>
      <w:tr w:rsidR="00597B5E" w:rsidRPr="00B65F7F" w14:paraId="73798116" w14:textId="77777777" w:rsidTr="006F6D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tcPr>
          <w:p w14:paraId="57F9B447" w14:textId="77777777" w:rsidR="00597B5E" w:rsidRPr="00CA015E" w:rsidRDefault="00597B5E" w:rsidP="00CA015E">
            <w:pPr>
              <w:pStyle w:val="TableText"/>
              <w:rPr>
                <w:b w:val="0"/>
                <w:bCs/>
              </w:rPr>
            </w:pPr>
            <w:r w:rsidRPr="00CA015E">
              <w:rPr>
                <w:b w:val="0"/>
                <w:bCs/>
              </w:rPr>
              <w:t>South Western Sydney</w:t>
            </w:r>
          </w:p>
        </w:tc>
        <w:tc>
          <w:tcPr>
            <w:tcW w:w="5244" w:type="dxa"/>
          </w:tcPr>
          <w:p w14:paraId="2185E71B"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 xml:space="preserve">Tharawal Aboriginal Corporation </w:t>
            </w:r>
          </w:p>
        </w:tc>
        <w:tc>
          <w:tcPr>
            <w:tcW w:w="1546" w:type="dxa"/>
          </w:tcPr>
          <w:p w14:paraId="28FFAC16"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Airds</w:t>
            </w:r>
          </w:p>
        </w:tc>
      </w:tr>
      <w:tr w:rsidR="00597B5E" w:rsidRPr="00B65F7F" w14:paraId="1194E63C" w14:textId="77777777" w:rsidTr="006F6D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val="restart"/>
          </w:tcPr>
          <w:p w14:paraId="175A1292" w14:textId="77777777" w:rsidR="00597B5E" w:rsidRPr="00CA015E" w:rsidRDefault="00597B5E" w:rsidP="00CA015E">
            <w:pPr>
              <w:pStyle w:val="TableText"/>
              <w:rPr>
                <w:b w:val="0"/>
                <w:bCs/>
              </w:rPr>
            </w:pPr>
            <w:r w:rsidRPr="00CA015E">
              <w:rPr>
                <w:b w:val="0"/>
                <w:bCs/>
              </w:rPr>
              <w:t xml:space="preserve">Western NSW </w:t>
            </w:r>
          </w:p>
        </w:tc>
        <w:tc>
          <w:tcPr>
            <w:tcW w:w="5244" w:type="dxa"/>
          </w:tcPr>
          <w:p w14:paraId="75871BF7"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Peak Hill Aboriginal Medical Services Incorporated</w:t>
            </w:r>
          </w:p>
        </w:tc>
        <w:tc>
          <w:tcPr>
            <w:tcW w:w="1546" w:type="dxa"/>
          </w:tcPr>
          <w:p w14:paraId="5B48C405"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Peak Hill</w:t>
            </w:r>
          </w:p>
        </w:tc>
      </w:tr>
      <w:tr w:rsidR="00597B5E" w:rsidRPr="00B65F7F" w14:paraId="20A2BDE4" w14:textId="77777777" w:rsidTr="006F6D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18514D49" w14:textId="77777777" w:rsidR="00597B5E" w:rsidRPr="00CA015E" w:rsidRDefault="00597B5E" w:rsidP="00CA015E">
            <w:pPr>
              <w:pStyle w:val="TableText"/>
              <w:rPr>
                <w:rFonts w:ascii="Fira Sans Heavy" w:hAnsi="Fira Sans Heavy" w:cstheme="minorBidi"/>
                <w:b w:val="0"/>
                <w:bCs/>
              </w:rPr>
            </w:pPr>
          </w:p>
        </w:tc>
        <w:tc>
          <w:tcPr>
            <w:tcW w:w="5244" w:type="dxa"/>
          </w:tcPr>
          <w:p w14:paraId="020EB9EC"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 xml:space="preserve">Orange Aboriginal Medical Service </w:t>
            </w:r>
          </w:p>
        </w:tc>
        <w:tc>
          <w:tcPr>
            <w:tcW w:w="1546" w:type="dxa"/>
          </w:tcPr>
          <w:p w14:paraId="09FF4264"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Orange</w:t>
            </w:r>
          </w:p>
        </w:tc>
      </w:tr>
      <w:tr w:rsidR="00597B5E" w:rsidRPr="00B65F7F" w14:paraId="4A77BA44" w14:textId="77777777" w:rsidTr="006F6D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val="restart"/>
          </w:tcPr>
          <w:p w14:paraId="1E5B89D8" w14:textId="77777777" w:rsidR="00597B5E" w:rsidRPr="00CA015E" w:rsidRDefault="00597B5E" w:rsidP="00CA015E">
            <w:pPr>
              <w:pStyle w:val="TableText"/>
              <w:rPr>
                <w:b w:val="0"/>
                <w:bCs/>
              </w:rPr>
            </w:pPr>
            <w:r w:rsidRPr="00CA015E">
              <w:rPr>
                <w:b w:val="0"/>
                <w:bCs/>
              </w:rPr>
              <w:t>Western Sydney</w:t>
            </w:r>
          </w:p>
        </w:tc>
        <w:tc>
          <w:tcPr>
            <w:tcW w:w="5244" w:type="dxa"/>
          </w:tcPr>
          <w:p w14:paraId="38C3ECA3"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Marrin Weejali Aboriginal Corporation</w:t>
            </w:r>
          </w:p>
        </w:tc>
        <w:tc>
          <w:tcPr>
            <w:tcW w:w="1546" w:type="dxa"/>
          </w:tcPr>
          <w:p w14:paraId="4F59FE25"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Blackett</w:t>
            </w:r>
          </w:p>
        </w:tc>
      </w:tr>
      <w:tr w:rsidR="00597B5E" w:rsidRPr="00B65F7F" w14:paraId="0C9C3E27" w14:textId="77777777" w:rsidTr="006F6D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6E31A0F6" w14:textId="77777777" w:rsidR="00597B5E" w:rsidRPr="00CA015E" w:rsidRDefault="00597B5E" w:rsidP="00CA015E">
            <w:pPr>
              <w:pStyle w:val="TableText"/>
              <w:rPr>
                <w:rFonts w:ascii="Fira Sans Heavy" w:hAnsi="Fira Sans Heavy" w:cstheme="minorBidi"/>
                <w:b w:val="0"/>
                <w:bCs/>
              </w:rPr>
            </w:pPr>
          </w:p>
        </w:tc>
        <w:tc>
          <w:tcPr>
            <w:tcW w:w="5244" w:type="dxa"/>
          </w:tcPr>
          <w:p w14:paraId="00F8EA8B"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 xml:space="preserve">Aboriginal Counselling </w:t>
            </w:r>
          </w:p>
        </w:tc>
        <w:tc>
          <w:tcPr>
            <w:tcW w:w="1546" w:type="dxa"/>
          </w:tcPr>
          <w:p w14:paraId="684A7CA2"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Penrith</w:t>
            </w:r>
          </w:p>
        </w:tc>
      </w:tr>
      <w:tr w:rsidR="00597B5E" w:rsidRPr="00B65F7F" w14:paraId="496FF633" w14:textId="77777777" w:rsidTr="006F6D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6109214D" w14:textId="77777777" w:rsidR="00597B5E" w:rsidRPr="00CA015E" w:rsidRDefault="00597B5E" w:rsidP="00CA015E">
            <w:pPr>
              <w:pStyle w:val="TableText"/>
              <w:rPr>
                <w:rFonts w:ascii="Fira Sans Heavy" w:hAnsi="Fira Sans Heavy" w:cstheme="minorBidi"/>
                <w:b w:val="0"/>
                <w:bCs/>
              </w:rPr>
            </w:pPr>
          </w:p>
        </w:tc>
        <w:tc>
          <w:tcPr>
            <w:tcW w:w="5244" w:type="dxa"/>
          </w:tcPr>
          <w:p w14:paraId="364F7D96"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The Trustee for the KRMC Unit Trust – Western Sydney ITC</w:t>
            </w:r>
          </w:p>
        </w:tc>
        <w:tc>
          <w:tcPr>
            <w:tcW w:w="1546" w:type="dxa"/>
          </w:tcPr>
          <w:p w14:paraId="2291AB93"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Whalan</w:t>
            </w:r>
          </w:p>
        </w:tc>
      </w:tr>
      <w:tr w:rsidR="00597B5E" w:rsidRPr="00B65F7F" w14:paraId="236CB7DF" w14:textId="77777777" w:rsidTr="006F6D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6744ED86" w14:textId="77777777" w:rsidR="00597B5E" w:rsidRPr="00CA015E" w:rsidRDefault="00597B5E" w:rsidP="00CA015E">
            <w:pPr>
              <w:pStyle w:val="TableText"/>
              <w:rPr>
                <w:rFonts w:ascii="Fira Sans Heavy" w:hAnsi="Fira Sans Heavy" w:cstheme="minorBidi"/>
                <w:b w:val="0"/>
                <w:bCs/>
              </w:rPr>
            </w:pPr>
          </w:p>
        </w:tc>
        <w:tc>
          <w:tcPr>
            <w:tcW w:w="5244" w:type="dxa"/>
          </w:tcPr>
          <w:p w14:paraId="5A591634"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The Shed – Western Sydney University</w:t>
            </w:r>
          </w:p>
        </w:tc>
        <w:tc>
          <w:tcPr>
            <w:tcW w:w="1546" w:type="dxa"/>
          </w:tcPr>
          <w:p w14:paraId="26B5B1A4"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Mt Druitt</w:t>
            </w:r>
          </w:p>
        </w:tc>
      </w:tr>
      <w:tr w:rsidR="00597B5E" w:rsidRPr="00B65F7F" w14:paraId="749CF281" w14:textId="77777777" w:rsidTr="006F6D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tcPr>
          <w:p w14:paraId="1CD6B0F1" w14:textId="77777777" w:rsidR="00597B5E" w:rsidRPr="00CA015E" w:rsidRDefault="00597B5E" w:rsidP="00CA015E">
            <w:pPr>
              <w:pStyle w:val="TableText"/>
              <w:rPr>
                <w:b w:val="0"/>
                <w:bCs/>
              </w:rPr>
            </w:pPr>
            <w:r w:rsidRPr="00CA015E">
              <w:rPr>
                <w:b w:val="0"/>
                <w:bCs/>
              </w:rPr>
              <w:t>North Sydney</w:t>
            </w:r>
          </w:p>
        </w:tc>
        <w:tc>
          <w:tcPr>
            <w:tcW w:w="5244" w:type="dxa"/>
          </w:tcPr>
          <w:p w14:paraId="734ED99A"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 xml:space="preserve">Relationships Australia </w:t>
            </w:r>
          </w:p>
        </w:tc>
        <w:tc>
          <w:tcPr>
            <w:tcW w:w="1546" w:type="dxa"/>
          </w:tcPr>
          <w:p w14:paraId="32FED0CC"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Various</w:t>
            </w:r>
          </w:p>
        </w:tc>
      </w:tr>
      <w:tr w:rsidR="00597B5E" w:rsidRPr="00B65F7F" w14:paraId="7A92C496" w14:textId="77777777" w:rsidTr="006F6D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tcBorders>
              <w:bottom w:val="single" w:sz="6" w:space="0" w:color="595959" w:themeColor="text1" w:themeTint="A6"/>
            </w:tcBorders>
          </w:tcPr>
          <w:p w14:paraId="44103B3F" w14:textId="77777777" w:rsidR="00597B5E" w:rsidRPr="00CA015E" w:rsidRDefault="00597B5E" w:rsidP="00CA015E">
            <w:pPr>
              <w:pStyle w:val="TableText"/>
              <w:rPr>
                <w:b w:val="0"/>
                <w:bCs/>
              </w:rPr>
            </w:pPr>
            <w:r w:rsidRPr="00CA015E">
              <w:rPr>
                <w:b w:val="0"/>
                <w:bCs/>
              </w:rPr>
              <w:t>South Western Sydney</w:t>
            </w:r>
          </w:p>
        </w:tc>
        <w:tc>
          <w:tcPr>
            <w:tcW w:w="5244" w:type="dxa"/>
            <w:tcBorders>
              <w:bottom w:val="single" w:sz="6" w:space="0" w:color="595959" w:themeColor="text1" w:themeTint="A6"/>
            </w:tcBorders>
          </w:tcPr>
          <w:p w14:paraId="3DBDA772"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 xml:space="preserve">Connection Emotion Reflection </w:t>
            </w:r>
          </w:p>
        </w:tc>
        <w:tc>
          <w:tcPr>
            <w:tcW w:w="1546" w:type="dxa"/>
            <w:tcBorders>
              <w:bottom w:val="single" w:sz="6" w:space="0" w:color="595959" w:themeColor="text1" w:themeTint="A6"/>
            </w:tcBorders>
          </w:tcPr>
          <w:p w14:paraId="2FCD85CD"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Camden</w:t>
            </w:r>
          </w:p>
        </w:tc>
      </w:tr>
      <w:tr w:rsidR="00597B5E" w:rsidRPr="00B65F7F" w14:paraId="401F0598" w14:textId="77777777" w:rsidTr="006F6D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tcBorders>
              <w:top w:val="single" w:sz="6" w:space="0" w:color="595959" w:themeColor="text1" w:themeTint="A6"/>
            </w:tcBorders>
            <w:shd w:val="clear" w:color="auto" w:fill="F2F2F2" w:themeFill="background1" w:themeFillShade="F2"/>
          </w:tcPr>
          <w:p w14:paraId="6B8CBAC1" w14:textId="77777777" w:rsidR="00597B5E" w:rsidRPr="00B65F7F" w:rsidRDefault="00597B5E" w:rsidP="00CA015E">
            <w:pPr>
              <w:pStyle w:val="TableText"/>
            </w:pPr>
            <w:r w:rsidRPr="00B65F7F">
              <w:t>Northern Territory</w:t>
            </w:r>
          </w:p>
        </w:tc>
        <w:tc>
          <w:tcPr>
            <w:tcW w:w="5244" w:type="dxa"/>
            <w:tcBorders>
              <w:top w:val="single" w:sz="6" w:space="0" w:color="595959" w:themeColor="text1" w:themeTint="A6"/>
            </w:tcBorders>
            <w:shd w:val="clear" w:color="auto" w:fill="F2F2F2" w:themeFill="background1" w:themeFillShade="F2"/>
          </w:tcPr>
          <w:p w14:paraId="10E57F85"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rPr>
                <w:rFonts w:ascii="Fira Sans Heavy" w:hAnsi="Fira Sans Heavy" w:cstheme="minorBidi"/>
              </w:rPr>
            </w:pPr>
          </w:p>
        </w:tc>
        <w:tc>
          <w:tcPr>
            <w:tcW w:w="1546" w:type="dxa"/>
            <w:tcBorders>
              <w:top w:val="single" w:sz="6" w:space="0" w:color="595959" w:themeColor="text1" w:themeTint="A6"/>
            </w:tcBorders>
            <w:shd w:val="clear" w:color="auto" w:fill="F2F2F2" w:themeFill="background1" w:themeFillShade="F2"/>
          </w:tcPr>
          <w:p w14:paraId="4F59B91A"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rPr>
                <w:rFonts w:ascii="Fira Sans Heavy" w:hAnsi="Fira Sans Heavy" w:cstheme="minorBidi"/>
              </w:rPr>
            </w:pPr>
          </w:p>
        </w:tc>
      </w:tr>
      <w:tr w:rsidR="00597B5E" w:rsidRPr="00B65F7F" w14:paraId="6EA57EFF" w14:textId="77777777" w:rsidTr="006F6D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val="restart"/>
          </w:tcPr>
          <w:p w14:paraId="01266852" w14:textId="77777777" w:rsidR="00597B5E" w:rsidRPr="00B65F7F" w:rsidRDefault="00597B5E" w:rsidP="00CA015E">
            <w:pPr>
              <w:pStyle w:val="TableText"/>
              <w:rPr>
                <w:b w:val="0"/>
              </w:rPr>
            </w:pPr>
            <w:r w:rsidRPr="00B65F7F">
              <w:rPr>
                <w:b w:val="0"/>
              </w:rPr>
              <w:t>Northern Territory</w:t>
            </w:r>
          </w:p>
        </w:tc>
        <w:tc>
          <w:tcPr>
            <w:tcW w:w="5244" w:type="dxa"/>
          </w:tcPr>
          <w:p w14:paraId="397CCBEF"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Katherine West Health Board Aboriginal Corporation</w:t>
            </w:r>
          </w:p>
        </w:tc>
        <w:tc>
          <w:tcPr>
            <w:tcW w:w="1546" w:type="dxa"/>
          </w:tcPr>
          <w:p w14:paraId="03A867DF"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Katherine</w:t>
            </w:r>
          </w:p>
        </w:tc>
      </w:tr>
      <w:tr w:rsidR="00597B5E" w:rsidRPr="00B65F7F" w14:paraId="15F51118" w14:textId="77777777" w:rsidTr="006F6D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5E05E430" w14:textId="77777777" w:rsidR="00597B5E" w:rsidRPr="00B65F7F" w:rsidRDefault="00597B5E" w:rsidP="00CA015E">
            <w:pPr>
              <w:pStyle w:val="TableText"/>
              <w:rPr>
                <w:rFonts w:ascii="Fira Sans Heavy" w:hAnsi="Fira Sans Heavy" w:cstheme="minorBidi"/>
                <w:b w:val="0"/>
              </w:rPr>
            </w:pPr>
          </w:p>
        </w:tc>
        <w:tc>
          <w:tcPr>
            <w:tcW w:w="5244" w:type="dxa"/>
          </w:tcPr>
          <w:p w14:paraId="230FE054"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 xml:space="preserve">Sunrise Health Service Aboriginal Corporation </w:t>
            </w:r>
          </w:p>
        </w:tc>
        <w:tc>
          <w:tcPr>
            <w:tcW w:w="1546" w:type="dxa"/>
          </w:tcPr>
          <w:p w14:paraId="331DB6A8"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Katherine</w:t>
            </w:r>
          </w:p>
        </w:tc>
      </w:tr>
      <w:tr w:rsidR="00597B5E" w:rsidRPr="00B65F7F" w14:paraId="4CD1E836" w14:textId="77777777" w:rsidTr="006F6D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759D72D3" w14:textId="77777777" w:rsidR="00597B5E" w:rsidRPr="00B65F7F" w:rsidRDefault="00597B5E" w:rsidP="00CA015E">
            <w:pPr>
              <w:pStyle w:val="TableText"/>
              <w:rPr>
                <w:rFonts w:ascii="Fira Sans Heavy" w:hAnsi="Fira Sans Heavy" w:cstheme="minorBidi"/>
                <w:b w:val="0"/>
              </w:rPr>
            </w:pPr>
          </w:p>
        </w:tc>
        <w:tc>
          <w:tcPr>
            <w:tcW w:w="5244" w:type="dxa"/>
          </w:tcPr>
          <w:p w14:paraId="344AEFD4"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Wurli Wurlinjang Aboriginal Corporation</w:t>
            </w:r>
          </w:p>
        </w:tc>
        <w:tc>
          <w:tcPr>
            <w:tcW w:w="1546" w:type="dxa"/>
          </w:tcPr>
          <w:p w14:paraId="39DF7680"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Katherine</w:t>
            </w:r>
          </w:p>
        </w:tc>
      </w:tr>
      <w:tr w:rsidR="00597B5E" w:rsidRPr="00B65F7F" w14:paraId="0F736507" w14:textId="77777777" w:rsidTr="006F6D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2BC6460C" w14:textId="77777777" w:rsidR="00597B5E" w:rsidRPr="00B65F7F" w:rsidRDefault="00597B5E" w:rsidP="00CA015E">
            <w:pPr>
              <w:pStyle w:val="TableText"/>
              <w:rPr>
                <w:rFonts w:ascii="Fira Sans Heavy" w:hAnsi="Fira Sans Heavy" w:cstheme="minorBidi"/>
                <w:b w:val="0"/>
              </w:rPr>
            </w:pPr>
          </w:p>
        </w:tc>
        <w:tc>
          <w:tcPr>
            <w:tcW w:w="5244" w:type="dxa"/>
          </w:tcPr>
          <w:p w14:paraId="7079F972"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Miwatj Health Aboriginal Corporation</w:t>
            </w:r>
          </w:p>
        </w:tc>
        <w:tc>
          <w:tcPr>
            <w:tcW w:w="1546" w:type="dxa"/>
          </w:tcPr>
          <w:p w14:paraId="1263885F"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Nhulunbuy</w:t>
            </w:r>
          </w:p>
        </w:tc>
      </w:tr>
      <w:tr w:rsidR="00597B5E" w:rsidRPr="00B65F7F" w14:paraId="5D585174" w14:textId="77777777" w:rsidTr="006F6D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58F78014" w14:textId="77777777" w:rsidR="00597B5E" w:rsidRPr="00B65F7F" w:rsidRDefault="00597B5E" w:rsidP="00CA015E">
            <w:pPr>
              <w:pStyle w:val="TableText"/>
              <w:rPr>
                <w:rFonts w:ascii="Fira Sans Heavy" w:hAnsi="Fira Sans Heavy" w:cstheme="minorBidi"/>
                <w:b w:val="0"/>
              </w:rPr>
            </w:pPr>
          </w:p>
        </w:tc>
        <w:tc>
          <w:tcPr>
            <w:tcW w:w="5244" w:type="dxa"/>
          </w:tcPr>
          <w:p w14:paraId="29F9647F"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Anyinginyi Health Aboriginal Corporation</w:t>
            </w:r>
          </w:p>
        </w:tc>
        <w:tc>
          <w:tcPr>
            <w:tcW w:w="1546" w:type="dxa"/>
          </w:tcPr>
          <w:p w14:paraId="5F911ED2"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Tennant Creek</w:t>
            </w:r>
          </w:p>
        </w:tc>
      </w:tr>
      <w:tr w:rsidR="00597B5E" w:rsidRPr="00B65F7F" w14:paraId="40EBC35C" w14:textId="77777777" w:rsidTr="006F6DD1">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750" w:type="dxa"/>
            <w:vMerge/>
            <w:tcBorders>
              <w:bottom w:val="single" w:sz="6" w:space="0" w:color="595959" w:themeColor="text1" w:themeTint="A6"/>
            </w:tcBorders>
          </w:tcPr>
          <w:p w14:paraId="2039AFF3" w14:textId="77777777" w:rsidR="00597B5E" w:rsidRPr="00B65F7F" w:rsidRDefault="00597B5E" w:rsidP="00CA015E">
            <w:pPr>
              <w:pStyle w:val="TableText"/>
              <w:rPr>
                <w:rFonts w:ascii="Fira Sans Heavy" w:hAnsi="Fira Sans Heavy" w:cstheme="minorBidi"/>
                <w:b w:val="0"/>
              </w:rPr>
            </w:pPr>
          </w:p>
        </w:tc>
        <w:tc>
          <w:tcPr>
            <w:tcW w:w="5244" w:type="dxa"/>
            <w:tcBorders>
              <w:bottom w:val="single" w:sz="6" w:space="0" w:color="595959" w:themeColor="text1" w:themeTint="A6"/>
            </w:tcBorders>
          </w:tcPr>
          <w:p w14:paraId="601FCAD4"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Danila Dilba Biluru Butji Binnilutlum Health Service Aboriginal Corporation</w:t>
            </w:r>
          </w:p>
        </w:tc>
        <w:tc>
          <w:tcPr>
            <w:tcW w:w="1546" w:type="dxa"/>
            <w:tcBorders>
              <w:bottom w:val="single" w:sz="6" w:space="0" w:color="595959" w:themeColor="text1" w:themeTint="A6"/>
            </w:tcBorders>
          </w:tcPr>
          <w:p w14:paraId="3EB500C8"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Darwin</w:t>
            </w:r>
          </w:p>
        </w:tc>
      </w:tr>
      <w:tr w:rsidR="00597B5E" w:rsidRPr="00B65F7F" w14:paraId="3F0250D8" w14:textId="77777777" w:rsidTr="006F6D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tcBorders>
              <w:top w:val="single" w:sz="6" w:space="0" w:color="595959" w:themeColor="text1" w:themeTint="A6"/>
            </w:tcBorders>
            <w:shd w:val="clear" w:color="auto" w:fill="F2F2F2" w:themeFill="background1" w:themeFillShade="F2"/>
          </w:tcPr>
          <w:p w14:paraId="2FB27DEF" w14:textId="77777777" w:rsidR="00597B5E" w:rsidRPr="00B65F7F" w:rsidRDefault="00597B5E" w:rsidP="00CA015E">
            <w:pPr>
              <w:pStyle w:val="TableText"/>
            </w:pPr>
            <w:r w:rsidRPr="00B65F7F">
              <w:t>Queensland</w:t>
            </w:r>
          </w:p>
        </w:tc>
        <w:tc>
          <w:tcPr>
            <w:tcW w:w="5244" w:type="dxa"/>
            <w:tcBorders>
              <w:top w:val="single" w:sz="6" w:space="0" w:color="595959" w:themeColor="text1" w:themeTint="A6"/>
            </w:tcBorders>
            <w:shd w:val="clear" w:color="auto" w:fill="F2F2F2" w:themeFill="background1" w:themeFillShade="F2"/>
          </w:tcPr>
          <w:p w14:paraId="6D9607AC"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rPr>
                <w:rFonts w:ascii="Fira Sans Heavy" w:hAnsi="Fira Sans Heavy" w:cstheme="minorBidi"/>
              </w:rPr>
            </w:pPr>
          </w:p>
        </w:tc>
        <w:tc>
          <w:tcPr>
            <w:tcW w:w="1546" w:type="dxa"/>
            <w:tcBorders>
              <w:top w:val="single" w:sz="6" w:space="0" w:color="595959" w:themeColor="text1" w:themeTint="A6"/>
            </w:tcBorders>
            <w:shd w:val="clear" w:color="auto" w:fill="F2F2F2" w:themeFill="background1" w:themeFillShade="F2"/>
          </w:tcPr>
          <w:p w14:paraId="2FB14720"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rPr>
                <w:rFonts w:ascii="Fira Sans Heavy" w:hAnsi="Fira Sans Heavy" w:cstheme="minorBidi"/>
              </w:rPr>
            </w:pPr>
          </w:p>
        </w:tc>
      </w:tr>
      <w:tr w:rsidR="00597B5E" w:rsidRPr="00B65F7F" w14:paraId="11CEFB23" w14:textId="77777777" w:rsidTr="006F6D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val="restart"/>
          </w:tcPr>
          <w:p w14:paraId="56E44D7A" w14:textId="77777777" w:rsidR="00597B5E" w:rsidRPr="00B65F7F" w:rsidRDefault="00597B5E" w:rsidP="00CA015E">
            <w:pPr>
              <w:pStyle w:val="TableText"/>
              <w:rPr>
                <w:b w:val="0"/>
              </w:rPr>
            </w:pPr>
            <w:r w:rsidRPr="00B65F7F">
              <w:rPr>
                <w:b w:val="0"/>
              </w:rPr>
              <w:t>Brisbane North/Gold Coast</w:t>
            </w:r>
          </w:p>
        </w:tc>
        <w:tc>
          <w:tcPr>
            <w:tcW w:w="5244" w:type="dxa"/>
          </w:tcPr>
          <w:p w14:paraId="0F7D2773"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Kurbingui Youth Development Limited</w:t>
            </w:r>
          </w:p>
        </w:tc>
        <w:tc>
          <w:tcPr>
            <w:tcW w:w="1546" w:type="dxa"/>
          </w:tcPr>
          <w:p w14:paraId="4F5F305B"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Zillmere </w:t>
            </w:r>
          </w:p>
        </w:tc>
      </w:tr>
      <w:tr w:rsidR="00597B5E" w:rsidRPr="00B65F7F" w14:paraId="76B41894" w14:textId="77777777" w:rsidTr="006F6D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4C852CA7" w14:textId="77777777" w:rsidR="00597B5E" w:rsidRPr="00B65F7F" w:rsidRDefault="00597B5E" w:rsidP="00CA015E">
            <w:pPr>
              <w:pStyle w:val="TableText"/>
              <w:rPr>
                <w:rFonts w:ascii="Fira Sans Heavy" w:hAnsi="Fira Sans Heavy" w:cstheme="minorBidi"/>
                <w:b w:val="0"/>
              </w:rPr>
            </w:pPr>
          </w:p>
        </w:tc>
        <w:tc>
          <w:tcPr>
            <w:tcW w:w="5244" w:type="dxa"/>
          </w:tcPr>
          <w:p w14:paraId="2C0EF2B0"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 xml:space="preserve">Brisbane </w:t>
            </w:r>
            <w:r>
              <w:t>Aboriginal and/or Torres Strait Islander</w:t>
            </w:r>
            <w:r w:rsidRPr="00B65F7F">
              <w:t xml:space="preserve"> Community Health Service </w:t>
            </w:r>
          </w:p>
        </w:tc>
        <w:tc>
          <w:tcPr>
            <w:tcW w:w="1546" w:type="dxa"/>
          </w:tcPr>
          <w:p w14:paraId="5481129E"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Woolloongabba</w:t>
            </w:r>
          </w:p>
        </w:tc>
      </w:tr>
      <w:tr w:rsidR="00597B5E" w:rsidRPr="00B65F7F" w14:paraId="03FB3E89" w14:textId="77777777" w:rsidTr="006F6D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761FD628" w14:textId="77777777" w:rsidR="00597B5E" w:rsidRPr="00B65F7F" w:rsidRDefault="00597B5E" w:rsidP="00CA015E">
            <w:pPr>
              <w:pStyle w:val="TableText"/>
              <w:rPr>
                <w:rFonts w:ascii="Fira Sans Heavy" w:hAnsi="Fira Sans Heavy" w:cstheme="minorBidi"/>
                <w:b w:val="0"/>
              </w:rPr>
            </w:pPr>
          </w:p>
        </w:tc>
        <w:tc>
          <w:tcPr>
            <w:tcW w:w="5244" w:type="dxa"/>
          </w:tcPr>
          <w:p w14:paraId="3E67A80E"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 xml:space="preserve">Kambu </w:t>
            </w:r>
            <w:r>
              <w:t>Aboriginal and/or Torres Strait Islander</w:t>
            </w:r>
            <w:r w:rsidRPr="00B65F7F">
              <w:t xml:space="preserve"> Corporation for Health</w:t>
            </w:r>
          </w:p>
        </w:tc>
        <w:tc>
          <w:tcPr>
            <w:tcW w:w="1546" w:type="dxa"/>
          </w:tcPr>
          <w:p w14:paraId="29A6EDBD"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Ipswich</w:t>
            </w:r>
          </w:p>
        </w:tc>
      </w:tr>
      <w:tr w:rsidR="00597B5E" w:rsidRPr="00B65F7F" w14:paraId="01004EE3" w14:textId="77777777" w:rsidTr="006F6D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589ABD33" w14:textId="77777777" w:rsidR="00597B5E" w:rsidRPr="00B65F7F" w:rsidRDefault="00597B5E" w:rsidP="00CA015E">
            <w:pPr>
              <w:pStyle w:val="TableText"/>
              <w:rPr>
                <w:rFonts w:ascii="Fira Sans Heavy" w:hAnsi="Fira Sans Heavy" w:cstheme="minorBidi"/>
                <w:b w:val="0"/>
              </w:rPr>
            </w:pPr>
          </w:p>
        </w:tc>
        <w:tc>
          <w:tcPr>
            <w:tcW w:w="5244" w:type="dxa"/>
          </w:tcPr>
          <w:p w14:paraId="4359268B"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Kalwun Health Service</w:t>
            </w:r>
          </w:p>
        </w:tc>
        <w:tc>
          <w:tcPr>
            <w:tcW w:w="1546" w:type="dxa"/>
          </w:tcPr>
          <w:p w14:paraId="4E28743E"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Varsity Lakes</w:t>
            </w:r>
          </w:p>
        </w:tc>
      </w:tr>
      <w:tr w:rsidR="00597B5E" w:rsidRPr="00B65F7F" w14:paraId="432F3AE0" w14:textId="77777777" w:rsidTr="006F6D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val="restart"/>
          </w:tcPr>
          <w:p w14:paraId="03DEFE36" w14:textId="77777777" w:rsidR="00597B5E" w:rsidRPr="00B65F7F" w:rsidRDefault="00597B5E" w:rsidP="00CA015E">
            <w:pPr>
              <w:pStyle w:val="TableText"/>
              <w:rPr>
                <w:b w:val="0"/>
              </w:rPr>
            </w:pPr>
            <w:r w:rsidRPr="00B65F7F">
              <w:rPr>
                <w:b w:val="0"/>
              </w:rPr>
              <w:t>Brisbane South</w:t>
            </w:r>
          </w:p>
        </w:tc>
        <w:tc>
          <w:tcPr>
            <w:tcW w:w="5244" w:type="dxa"/>
          </w:tcPr>
          <w:p w14:paraId="1CCB0362"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 xml:space="preserve">Gallang Place </w:t>
            </w:r>
            <w:r>
              <w:t>Aboriginal and/or Torres Strait Islander</w:t>
            </w:r>
            <w:r w:rsidRPr="00B65F7F">
              <w:t xml:space="preserve"> Corporation</w:t>
            </w:r>
          </w:p>
        </w:tc>
        <w:tc>
          <w:tcPr>
            <w:tcW w:w="1546" w:type="dxa"/>
          </w:tcPr>
          <w:p w14:paraId="334D9A8F"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Cannon Hill</w:t>
            </w:r>
          </w:p>
        </w:tc>
      </w:tr>
      <w:tr w:rsidR="00597B5E" w:rsidRPr="00B65F7F" w14:paraId="1FA22A69" w14:textId="77777777" w:rsidTr="006F6D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05F27A2F" w14:textId="77777777" w:rsidR="00597B5E" w:rsidRPr="00B65F7F" w:rsidRDefault="00597B5E" w:rsidP="00CA015E">
            <w:pPr>
              <w:pStyle w:val="TableText"/>
              <w:rPr>
                <w:rFonts w:ascii="Fira Sans Heavy" w:hAnsi="Fira Sans Heavy" w:cstheme="minorBidi"/>
                <w:b w:val="0"/>
              </w:rPr>
            </w:pPr>
          </w:p>
        </w:tc>
        <w:tc>
          <w:tcPr>
            <w:tcW w:w="5244" w:type="dxa"/>
          </w:tcPr>
          <w:p w14:paraId="42460DED"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 xml:space="preserve">Institute for Urban Indigenous Health </w:t>
            </w:r>
          </w:p>
        </w:tc>
        <w:tc>
          <w:tcPr>
            <w:tcW w:w="1546" w:type="dxa"/>
          </w:tcPr>
          <w:p w14:paraId="1491276D"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Windsor</w:t>
            </w:r>
          </w:p>
        </w:tc>
      </w:tr>
      <w:tr w:rsidR="00597B5E" w:rsidRPr="00B65F7F" w14:paraId="3387F09C" w14:textId="77777777" w:rsidTr="006F6D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val="restart"/>
          </w:tcPr>
          <w:p w14:paraId="2B41BF42" w14:textId="77777777" w:rsidR="00597B5E" w:rsidRPr="00B65F7F" w:rsidRDefault="00597B5E" w:rsidP="00CA015E">
            <w:pPr>
              <w:pStyle w:val="TableText"/>
              <w:rPr>
                <w:b w:val="0"/>
              </w:rPr>
            </w:pPr>
            <w:r w:rsidRPr="00B65F7F">
              <w:rPr>
                <w:b w:val="0"/>
              </w:rPr>
              <w:t>Central Q</w:t>
            </w:r>
            <w:r w:rsidR="00C73D9B">
              <w:rPr>
                <w:b w:val="0"/>
              </w:rPr>
              <w:t>ld</w:t>
            </w:r>
            <w:r w:rsidRPr="00B65F7F">
              <w:rPr>
                <w:b w:val="0"/>
              </w:rPr>
              <w:t>, Wide Bay, Sunshine Coast</w:t>
            </w:r>
          </w:p>
        </w:tc>
        <w:tc>
          <w:tcPr>
            <w:tcW w:w="5244" w:type="dxa"/>
          </w:tcPr>
          <w:p w14:paraId="14531AE6"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Nhulundu Health Service</w:t>
            </w:r>
          </w:p>
        </w:tc>
        <w:tc>
          <w:tcPr>
            <w:tcW w:w="1546" w:type="dxa"/>
          </w:tcPr>
          <w:p w14:paraId="533BADD0"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 xml:space="preserve">Gladstone </w:t>
            </w:r>
          </w:p>
        </w:tc>
      </w:tr>
      <w:tr w:rsidR="00597B5E" w:rsidRPr="00B65F7F" w14:paraId="4FC8CBEB" w14:textId="77777777" w:rsidTr="006F6D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012667AB" w14:textId="77777777" w:rsidR="00597B5E" w:rsidRPr="00B65F7F" w:rsidRDefault="00597B5E" w:rsidP="00CA015E">
            <w:pPr>
              <w:pStyle w:val="TableText"/>
              <w:rPr>
                <w:rFonts w:ascii="Fira Sans Heavy" w:hAnsi="Fira Sans Heavy" w:cstheme="minorBidi"/>
                <w:b w:val="0"/>
              </w:rPr>
            </w:pPr>
          </w:p>
        </w:tc>
        <w:tc>
          <w:tcPr>
            <w:tcW w:w="5244" w:type="dxa"/>
          </w:tcPr>
          <w:p w14:paraId="3963BA2D"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Indigenous Wellbeing Centre Limited</w:t>
            </w:r>
          </w:p>
        </w:tc>
        <w:tc>
          <w:tcPr>
            <w:tcW w:w="1546" w:type="dxa"/>
          </w:tcPr>
          <w:p w14:paraId="41EA2CE3"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Bundaberg</w:t>
            </w:r>
          </w:p>
        </w:tc>
      </w:tr>
      <w:tr w:rsidR="00597B5E" w:rsidRPr="00B65F7F" w14:paraId="5B426387" w14:textId="77777777" w:rsidTr="006F6D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6543CCD6" w14:textId="77777777" w:rsidR="00597B5E" w:rsidRPr="00B65F7F" w:rsidRDefault="00597B5E" w:rsidP="00CA015E">
            <w:pPr>
              <w:pStyle w:val="TableText"/>
              <w:rPr>
                <w:rFonts w:ascii="Fira Sans Heavy" w:hAnsi="Fira Sans Heavy" w:cstheme="minorBidi"/>
                <w:b w:val="0"/>
              </w:rPr>
            </w:pPr>
          </w:p>
        </w:tc>
        <w:tc>
          <w:tcPr>
            <w:tcW w:w="5244" w:type="dxa"/>
          </w:tcPr>
          <w:p w14:paraId="75161F1B"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 xml:space="preserve">Bidgerdii Community Health Service </w:t>
            </w:r>
          </w:p>
        </w:tc>
        <w:tc>
          <w:tcPr>
            <w:tcW w:w="1546" w:type="dxa"/>
          </w:tcPr>
          <w:p w14:paraId="6CB44831"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Berserker</w:t>
            </w:r>
          </w:p>
        </w:tc>
      </w:tr>
      <w:tr w:rsidR="00597B5E" w:rsidRPr="00B65F7F" w14:paraId="284BD693" w14:textId="77777777" w:rsidTr="006F6D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1CF12942" w14:textId="77777777" w:rsidR="00597B5E" w:rsidRPr="00B65F7F" w:rsidRDefault="00597B5E" w:rsidP="00CA015E">
            <w:pPr>
              <w:pStyle w:val="TableText"/>
              <w:rPr>
                <w:rFonts w:ascii="Fira Sans Heavy" w:hAnsi="Fira Sans Heavy" w:cstheme="minorBidi"/>
                <w:b w:val="0"/>
              </w:rPr>
            </w:pPr>
          </w:p>
        </w:tc>
        <w:tc>
          <w:tcPr>
            <w:tcW w:w="5244" w:type="dxa"/>
          </w:tcPr>
          <w:p w14:paraId="6AC87C13"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North Coast Aboriginal Corporation for Community Health</w:t>
            </w:r>
          </w:p>
        </w:tc>
        <w:tc>
          <w:tcPr>
            <w:tcW w:w="1546" w:type="dxa"/>
          </w:tcPr>
          <w:p w14:paraId="284CE076"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Birtinya</w:t>
            </w:r>
          </w:p>
        </w:tc>
      </w:tr>
      <w:tr w:rsidR="00597B5E" w:rsidRPr="00B65F7F" w14:paraId="360291B6" w14:textId="77777777" w:rsidTr="006F6D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val="restart"/>
          </w:tcPr>
          <w:p w14:paraId="007398BA" w14:textId="77777777" w:rsidR="00597B5E" w:rsidRPr="00B65F7F" w:rsidRDefault="00597B5E" w:rsidP="00CA015E">
            <w:pPr>
              <w:pStyle w:val="TableText"/>
              <w:rPr>
                <w:b w:val="0"/>
              </w:rPr>
            </w:pPr>
            <w:r w:rsidRPr="00B65F7F">
              <w:rPr>
                <w:b w:val="0"/>
              </w:rPr>
              <w:t xml:space="preserve">Darling Downs and West Moreton </w:t>
            </w:r>
          </w:p>
        </w:tc>
        <w:tc>
          <w:tcPr>
            <w:tcW w:w="5244" w:type="dxa"/>
          </w:tcPr>
          <w:p w14:paraId="6DB6CA72"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Cherbourg Regional Aboriginal and Islander Community Controlled Health Services Limited</w:t>
            </w:r>
          </w:p>
        </w:tc>
        <w:tc>
          <w:tcPr>
            <w:tcW w:w="1546" w:type="dxa"/>
          </w:tcPr>
          <w:p w14:paraId="18815E12"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Cherbourg</w:t>
            </w:r>
          </w:p>
        </w:tc>
      </w:tr>
      <w:tr w:rsidR="00597B5E" w:rsidRPr="00B65F7F" w14:paraId="18FE2A03" w14:textId="77777777" w:rsidTr="006F6D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1B9CBD4C" w14:textId="77777777" w:rsidR="00597B5E" w:rsidRPr="00B65F7F" w:rsidRDefault="00597B5E" w:rsidP="00CA015E">
            <w:pPr>
              <w:pStyle w:val="TableText"/>
              <w:rPr>
                <w:rFonts w:ascii="Fira Sans Heavy" w:hAnsi="Fira Sans Heavy" w:cstheme="minorBidi"/>
                <w:b w:val="0"/>
              </w:rPr>
            </w:pPr>
          </w:p>
        </w:tc>
        <w:tc>
          <w:tcPr>
            <w:tcW w:w="5244" w:type="dxa"/>
          </w:tcPr>
          <w:p w14:paraId="6716DFB4"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Goondir Health Services</w:t>
            </w:r>
          </w:p>
        </w:tc>
        <w:tc>
          <w:tcPr>
            <w:tcW w:w="1546" w:type="dxa"/>
          </w:tcPr>
          <w:p w14:paraId="7390E716"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Dalby</w:t>
            </w:r>
          </w:p>
        </w:tc>
      </w:tr>
      <w:tr w:rsidR="00597B5E" w:rsidRPr="00B65F7F" w14:paraId="740CBBDA" w14:textId="77777777" w:rsidTr="006F6D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val="restart"/>
          </w:tcPr>
          <w:p w14:paraId="699E61AC" w14:textId="77777777" w:rsidR="00597B5E" w:rsidRPr="00CA015E" w:rsidRDefault="00597B5E" w:rsidP="00CA015E">
            <w:pPr>
              <w:pStyle w:val="TableText"/>
              <w:rPr>
                <w:b w:val="0"/>
                <w:bCs/>
              </w:rPr>
            </w:pPr>
            <w:r w:rsidRPr="00CA015E">
              <w:rPr>
                <w:b w:val="0"/>
                <w:bCs/>
              </w:rPr>
              <w:lastRenderedPageBreak/>
              <w:t xml:space="preserve">Northern Queensland </w:t>
            </w:r>
          </w:p>
        </w:tc>
        <w:tc>
          <w:tcPr>
            <w:tcW w:w="5244" w:type="dxa"/>
          </w:tcPr>
          <w:p w14:paraId="7C15E03E"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NPA Family &amp; Community Services ATSIC</w:t>
            </w:r>
          </w:p>
        </w:tc>
        <w:tc>
          <w:tcPr>
            <w:tcW w:w="1546" w:type="dxa"/>
          </w:tcPr>
          <w:p w14:paraId="6E48A5C7"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Bamaga</w:t>
            </w:r>
          </w:p>
        </w:tc>
      </w:tr>
      <w:tr w:rsidR="00597B5E" w:rsidRPr="00B65F7F" w14:paraId="6644ECD6" w14:textId="77777777" w:rsidTr="006F6D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278F7E14" w14:textId="77777777" w:rsidR="00597B5E" w:rsidRPr="00CA015E" w:rsidRDefault="00597B5E" w:rsidP="00CA015E">
            <w:pPr>
              <w:pStyle w:val="TableText"/>
              <w:rPr>
                <w:rFonts w:ascii="Fira Sans Heavy" w:hAnsi="Fira Sans Heavy" w:cstheme="minorBidi"/>
                <w:b w:val="0"/>
                <w:bCs/>
              </w:rPr>
            </w:pPr>
          </w:p>
        </w:tc>
        <w:tc>
          <w:tcPr>
            <w:tcW w:w="5244" w:type="dxa"/>
          </w:tcPr>
          <w:p w14:paraId="46E47DB0"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 xml:space="preserve">Mackay </w:t>
            </w:r>
            <w:r>
              <w:t>Aboriginal and/or Torres Strait Islander</w:t>
            </w:r>
            <w:r w:rsidRPr="00B65F7F">
              <w:t xml:space="preserve"> Community Health Service Limited</w:t>
            </w:r>
          </w:p>
        </w:tc>
        <w:tc>
          <w:tcPr>
            <w:tcW w:w="1546" w:type="dxa"/>
          </w:tcPr>
          <w:p w14:paraId="46B69A29"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Mackay</w:t>
            </w:r>
          </w:p>
        </w:tc>
      </w:tr>
      <w:tr w:rsidR="00597B5E" w:rsidRPr="00B65F7F" w14:paraId="184F9CDE" w14:textId="77777777" w:rsidTr="006F6D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7D3EB4B1" w14:textId="77777777" w:rsidR="00597B5E" w:rsidRPr="00CA015E" w:rsidRDefault="00597B5E" w:rsidP="00CA015E">
            <w:pPr>
              <w:pStyle w:val="TableText"/>
              <w:rPr>
                <w:rFonts w:ascii="Fira Sans Heavy" w:hAnsi="Fira Sans Heavy" w:cstheme="minorBidi"/>
                <w:b w:val="0"/>
                <w:bCs/>
              </w:rPr>
            </w:pPr>
          </w:p>
        </w:tc>
        <w:tc>
          <w:tcPr>
            <w:tcW w:w="5244" w:type="dxa"/>
          </w:tcPr>
          <w:p w14:paraId="69A6DA2B"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 xml:space="preserve">Mookai Rosie-Bi-Bayan </w:t>
            </w:r>
          </w:p>
        </w:tc>
        <w:tc>
          <w:tcPr>
            <w:tcW w:w="1546" w:type="dxa"/>
          </w:tcPr>
          <w:p w14:paraId="410C84CE"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Edmonton</w:t>
            </w:r>
          </w:p>
        </w:tc>
      </w:tr>
      <w:tr w:rsidR="00597B5E" w:rsidRPr="00B65F7F" w14:paraId="35686014" w14:textId="77777777" w:rsidTr="006F6D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4141B5CF" w14:textId="77777777" w:rsidR="00597B5E" w:rsidRPr="00CA015E" w:rsidRDefault="00597B5E" w:rsidP="00CA015E">
            <w:pPr>
              <w:pStyle w:val="TableText"/>
              <w:rPr>
                <w:rFonts w:ascii="Fira Sans Heavy" w:hAnsi="Fira Sans Heavy" w:cstheme="minorBidi"/>
                <w:b w:val="0"/>
                <w:bCs/>
              </w:rPr>
            </w:pPr>
          </w:p>
        </w:tc>
        <w:tc>
          <w:tcPr>
            <w:tcW w:w="5244" w:type="dxa"/>
          </w:tcPr>
          <w:p w14:paraId="10E892C7"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Gurriny Yealamucka Health Services Aboriginal Corporation</w:t>
            </w:r>
          </w:p>
        </w:tc>
        <w:tc>
          <w:tcPr>
            <w:tcW w:w="1546" w:type="dxa"/>
          </w:tcPr>
          <w:p w14:paraId="4553A832"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Yarrabah</w:t>
            </w:r>
          </w:p>
        </w:tc>
      </w:tr>
      <w:tr w:rsidR="00597B5E" w:rsidRPr="00B65F7F" w14:paraId="586BFC45" w14:textId="77777777" w:rsidTr="006F6D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003AB7E9" w14:textId="77777777" w:rsidR="00597B5E" w:rsidRPr="00CA015E" w:rsidRDefault="00597B5E" w:rsidP="00CA015E">
            <w:pPr>
              <w:pStyle w:val="TableText"/>
              <w:rPr>
                <w:rFonts w:ascii="Fira Sans Heavy" w:hAnsi="Fira Sans Heavy" w:cstheme="minorBidi"/>
                <w:b w:val="0"/>
                <w:bCs/>
              </w:rPr>
            </w:pPr>
          </w:p>
        </w:tc>
        <w:tc>
          <w:tcPr>
            <w:tcW w:w="5244" w:type="dxa"/>
          </w:tcPr>
          <w:p w14:paraId="67AE148C"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Mulungu Aboriginal Corporation Primary Health Care Service</w:t>
            </w:r>
          </w:p>
        </w:tc>
        <w:tc>
          <w:tcPr>
            <w:tcW w:w="1546" w:type="dxa"/>
          </w:tcPr>
          <w:p w14:paraId="1C5733D4"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Mareeba </w:t>
            </w:r>
          </w:p>
        </w:tc>
      </w:tr>
      <w:tr w:rsidR="00597B5E" w:rsidRPr="00B65F7F" w14:paraId="260769B3" w14:textId="77777777" w:rsidTr="006F6D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val="restart"/>
          </w:tcPr>
          <w:p w14:paraId="41B9BC02" w14:textId="77777777" w:rsidR="00597B5E" w:rsidRPr="00CA015E" w:rsidRDefault="00597B5E" w:rsidP="00CA015E">
            <w:pPr>
              <w:pStyle w:val="TableText"/>
              <w:rPr>
                <w:b w:val="0"/>
                <w:bCs/>
              </w:rPr>
            </w:pPr>
            <w:r w:rsidRPr="00CA015E">
              <w:rPr>
                <w:b w:val="0"/>
                <w:bCs/>
              </w:rPr>
              <w:t>Western Queensland</w:t>
            </w:r>
          </w:p>
        </w:tc>
        <w:tc>
          <w:tcPr>
            <w:tcW w:w="5244" w:type="dxa"/>
          </w:tcPr>
          <w:p w14:paraId="0D6E6382"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Charleville and Western Are</w:t>
            </w:r>
            <w:r>
              <w:t>a and/or Torres Strait Islander</w:t>
            </w:r>
            <w:r w:rsidRPr="00B65F7F">
              <w:t xml:space="preserve"> Community Health</w:t>
            </w:r>
          </w:p>
        </w:tc>
        <w:tc>
          <w:tcPr>
            <w:tcW w:w="1546" w:type="dxa"/>
          </w:tcPr>
          <w:p w14:paraId="5EEC3057"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Charleville</w:t>
            </w:r>
          </w:p>
        </w:tc>
      </w:tr>
      <w:tr w:rsidR="00597B5E" w:rsidRPr="00B65F7F" w14:paraId="26BC295D" w14:textId="77777777" w:rsidTr="006F6D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056EC7AE" w14:textId="77777777" w:rsidR="00597B5E" w:rsidRPr="00CA015E" w:rsidRDefault="00597B5E" w:rsidP="00CA015E">
            <w:pPr>
              <w:pStyle w:val="TableText"/>
              <w:rPr>
                <w:rFonts w:ascii="Fira Sans Heavy" w:hAnsi="Fira Sans Heavy" w:cstheme="minorBidi"/>
                <w:b w:val="0"/>
                <w:bCs/>
              </w:rPr>
            </w:pPr>
          </w:p>
        </w:tc>
        <w:tc>
          <w:tcPr>
            <w:tcW w:w="5244" w:type="dxa"/>
          </w:tcPr>
          <w:p w14:paraId="05EF14EA"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Cunnamull</w:t>
            </w:r>
            <w:r>
              <w:t>a</w:t>
            </w:r>
            <w:r w:rsidRPr="00B65F7F">
              <w:t xml:space="preserve"> Corporation for Health</w:t>
            </w:r>
          </w:p>
        </w:tc>
        <w:tc>
          <w:tcPr>
            <w:tcW w:w="1546" w:type="dxa"/>
          </w:tcPr>
          <w:p w14:paraId="4001F90C"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Cunnamulla</w:t>
            </w:r>
          </w:p>
        </w:tc>
      </w:tr>
      <w:tr w:rsidR="00597B5E" w:rsidRPr="00B65F7F" w14:paraId="1B770914" w14:textId="77777777" w:rsidTr="006F6D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tcBorders>
              <w:bottom w:val="single" w:sz="6" w:space="0" w:color="595959" w:themeColor="text1" w:themeTint="A6"/>
            </w:tcBorders>
          </w:tcPr>
          <w:p w14:paraId="1B8B8CC2" w14:textId="77777777" w:rsidR="00597B5E" w:rsidRPr="00CA015E" w:rsidRDefault="00597B5E" w:rsidP="00CA015E">
            <w:pPr>
              <w:pStyle w:val="TableText"/>
              <w:rPr>
                <w:b w:val="0"/>
                <w:bCs/>
              </w:rPr>
            </w:pPr>
            <w:r w:rsidRPr="00CA015E">
              <w:rPr>
                <w:b w:val="0"/>
                <w:bCs/>
              </w:rPr>
              <w:t>Brisbane South</w:t>
            </w:r>
          </w:p>
        </w:tc>
        <w:tc>
          <w:tcPr>
            <w:tcW w:w="5244" w:type="dxa"/>
            <w:tcBorders>
              <w:bottom w:val="single" w:sz="6" w:space="0" w:color="595959" w:themeColor="text1" w:themeTint="A6"/>
            </w:tcBorders>
          </w:tcPr>
          <w:p w14:paraId="53A3BC40"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CheckUP</w:t>
            </w:r>
          </w:p>
        </w:tc>
        <w:tc>
          <w:tcPr>
            <w:tcW w:w="1546" w:type="dxa"/>
            <w:tcBorders>
              <w:bottom w:val="single" w:sz="6" w:space="0" w:color="595959" w:themeColor="text1" w:themeTint="A6"/>
            </w:tcBorders>
          </w:tcPr>
          <w:p w14:paraId="4B79D1EB"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South Brisbane </w:t>
            </w:r>
          </w:p>
        </w:tc>
      </w:tr>
      <w:tr w:rsidR="00597B5E" w:rsidRPr="00B65F7F" w14:paraId="1F9B8F5E" w14:textId="77777777" w:rsidTr="006F6D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tcBorders>
              <w:top w:val="single" w:sz="6" w:space="0" w:color="595959" w:themeColor="text1" w:themeTint="A6"/>
            </w:tcBorders>
            <w:shd w:val="clear" w:color="auto" w:fill="F2F2F2" w:themeFill="background1" w:themeFillShade="F2"/>
          </w:tcPr>
          <w:p w14:paraId="40A3FC89" w14:textId="77777777" w:rsidR="00597B5E" w:rsidRPr="00B65F7F" w:rsidRDefault="00597B5E" w:rsidP="00CA015E">
            <w:pPr>
              <w:pStyle w:val="TableText"/>
            </w:pPr>
            <w:r w:rsidRPr="00B65F7F">
              <w:t>South Australia</w:t>
            </w:r>
          </w:p>
        </w:tc>
        <w:tc>
          <w:tcPr>
            <w:tcW w:w="5244" w:type="dxa"/>
            <w:tcBorders>
              <w:top w:val="single" w:sz="6" w:space="0" w:color="595959" w:themeColor="text1" w:themeTint="A6"/>
            </w:tcBorders>
            <w:shd w:val="clear" w:color="auto" w:fill="F2F2F2" w:themeFill="background1" w:themeFillShade="F2"/>
          </w:tcPr>
          <w:p w14:paraId="6E1BFD6A"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rPr>
                <w:rFonts w:ascii="Fira Sans Heavy" w:hAnsi="Fira Sans Heavy" w:cstheme="minorBidi"/>
              </w:rPr>
            </w:pPr>
          </w:p>
        </w:tc>
        <w:tc>
          <w:tcPr>
            <w:tcW w:w="1546" w:type="dxa"/>
            <w:tcBorders>
              <w:top w:val="single" w:sz="6" w:space="0" w:color="595959" w:themeColor="text1" w:themeTint="A6"/>
            </w:tcBorders>
            <w:shd w:val="clear" w:color="auto" w:fill="F2F2F2" w:themeFill="background1" w:themeFillShade="F2"/>
          </w:tcPr>
          <w:p w14:paraId="42D5D00E"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rPr>
                <w:rFonts w:ascii="Fira Sans Heavy" w:hAnsi="Fira Sans Heavy" w:cstheme="minorBidi"/>
              </w:rPr>
            </w:pPr>
          </w:p>
        </w:tc>
      </w:tr>
      <w:tr w:rsidR="00597B5E" w:rsidRPr="00B65F7F" w14:paraId="58633470" w14:textId="77777777" w:rsidTr="006F6D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tcPr>
          <w:p w14:paraId="2DD7BA4E" w14:textId="77777777" w:rsidR="00597B5E" w:rsidRPr="00CA015E" w:rsidRDefault="00597B5E" w:rsidP="00CA015E">
            <w:pPr>
              <w:pStyle w:val="TableText"/>
              <w:rPr>
                <w:b w:val="0"/>
                <w:bCs/>
              </w:rPr>
            </w:pPr>
            <w:r w:rsidRPr="00CA015E">
              <w:rPr>
                <w:b w:val="0"/>
                <w:bCs/>
              </w:rPr>
              <w:t>Adelaide</w:t>
            </w:r>
          </w:p>
        </w:tc>
        <w:tc>
          <w:tcPr>
            <w:tcW w:w="5244" w:type="dxa"/>
          </w:tcPr>
          <w:p w14:paraId="4812FBCE"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Nunkuwarrin Yunti of South Australia Incorporated</w:t>
            </w:r>
          </w:p>
        </w:tc>
        <w:tc>
          <w:tcPr>
            <w:tcW w:w="1546" w:type="dxa"/>
          </w:tcPr>
          <w:p w14:paraId="1B52F3E4"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Adelaide</w:t>
            </w:r>
          </w:p>
        </w:tc>
      </w:tr>
      <w:tr w:rsidR="00597B5E" w:rsidRPr="00B65F7F" w14:paraId="08F4F5CA" w14:textId="77777777" w:rsidTr="006F6D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val="restart"/>
          </w:tcPr>
          <w:p w14:paraId="70DF98E2" w14:textId="77777777" w:rsidR="00597B5E" w:rsidRPr="00CA015E" w:rsidRDefault="00597B5E" w:rsidP="00CA015E">
            <w:pPr>
              <w:pStyle w:val="TableText"/>
              <w:rPr>
                <w:b w:val="0"/>
                <w:bCs/>
              </w:rPr>
            </w:pPr>
            <w:r w:rsidRPr="00CA015E">
              <w:rPr>
                <w:b w:val="0"/>
                <w:bCs/>
              </w:rPr>
              <w:t xml:space="preserve">Country SA </w:t>
            </w:r>
          </w:p>
        </w:tc>
        <w:tc>
          <w:tcPr>
            <w:tcW w:w="5244" w:type="dxa"/>
          </w:tcPr>
          <w:p w14:paraId="4CF8FB08"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Moorundi Aboriginal Health Service</w:t>
            </w:r>
          </w:p>
        </w:tc>
        <w:tc>
          <w:tcPr>
            <w:tcW w:w="1546" w:type="dxa"/>
          </w:tcPr>
          <w:p w14:paraId="06C32F29"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Murray Bridge</w:t>
            </w:r>
          </w:p>
        </w:tc>
      </w:tr>
      <w:tr w:rsidR="00597B5E" w:rsidRPr="00B65F7F" w14:paraId="17B0A08D" w14:textId="77777777" w:rsidTr="006F6D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3885FB35" w14:textId="77777777" w:rsidR="00597B5E" w:rsidRPr="00B65F7F" w:rsidRDefault="00597B5E" w:rsidP="00CA015E">
            <w:pPr>
              <w:pStyle w:val="TableText"/>
              <w:rPr>
                <w:rFonts w:ascii="Fira Sans Heavy" w:hAnsi="Fira Sans Heavy" w:cstheme="minorBidi"/>
              </w:rPr>
            </w:pPr>
          </w:p>
        </w:tc>
        <w:tc>
          <w:tcPr>
            <w:tcW w:w="5244" w:type="dxa"/>
          </w:tcPr>
          <w:p w14:paraId="0702FC45"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Oak Valley (Maralinga) Aboriginal Corporation</w:t>
            </w:r>
          </w:p>
        </w:tc>
        <w:tc>
          <w:tcPr>
            <w:tcW w:w="1546" w:type="dxa"/>
          </w:tcPr>
          <w:p w14:paraId="189498A5"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Ceduna</w:t>
            </w:r>
          </w:p>
        </w:tc>
      </w:tr>
      <w:tr w:rsidR="00597B5E" w:rsidRPr="00B65F7F" w14:paraId="4622B912" w14:textId="77777777" w:rsidTr="006F6D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6E0BF3F2" w14:textId="77777777" w:rsidR="00597B5E" w:rsidRPr="00B65F7F" w:rsidRDefault="00597B5E" w:rsidP="00CA015E">
            <w:pPr>
              <w:pStyle w:val="TableText"/>
              <w:rPr>
                <w:rFonts w:ascii="Fira Sans Heavy" w:hAnsi="Fira Sans Heavy" w:cstheme="minorBidi"/>
              </w:rPr>
            </w:pPr>
          </w:p>
        </w:tc>
        <w:tc>
          <w:tcPr>
            <w:tcW w:w="5244" w:type="dxa"/>
          </w:tcPr>
          <w:p w14:paraId="5B9A89FE"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Tullawon Health Service</w:t>
            </w:r>
          </w:p>
        </w:tc>
        <w:tc>
          <w:tcPr>
            <w:tcW w:w="1546" w:type="dxa"/>
          </w:tcPr>
          <w:p w14:paraId="52ACB182"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Yalata</w:t>
            </w:r>
          </w:p>
        </w:tc>
      </w:tr>
      <w:tr w:rsidR="00597B5E" w:rsidRPr="00B65F7F" w14:paraId="2751BBEF" w14:textId="77777777" w:rsidTr="006F6D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3D22B025" w14:textId="77777777" w:rsidR="00597B5E" w:rsidRPr="00B65F7F" w:rsidRDefault="00597B5E" w:rsidP="00CA015E">
            <w:pPr>
              <w:pStyle w:val="TableText"/>
              <w:rPr>
                <w:rFonts w:ascii="Fira Sans Heavy" w:hAnsi="Fira Sans Heavy" w:cstheme="minorBidi"/>
              </w:rPr>
            </w:pPr>
          </w:p>
        </w:tc>
        <w:tc>
          <w:tcPr>
            <w:tcW w:w="5244" w:type="dxa"/>
          </w:tcPr>
          <w:p w14:paraId="76CC55A7"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Yadu Health Aboriginal Corporation</w:t>
            </w:r>
          </w:p>
        </w:tc>
        <w:tc>
          <w:tcPr>
            <w:tcW w:w="1546" w:type="dxa"/>
          </w:tcPr>
          <w:p w14:paraId="17FEDC2F"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Ceduna</w:t>
            </w:r>
          </w:p>
        </w:tc>
      </w:tr>
      <w:tr w:rsidR="00597B5E" w:rsidRPr="00B65F7F" w14:paraId="6782746A" w14:textId="77777777" w:rsidTr="006F6D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Borders>
              <w:bottom w:val="single" w:sz="6" w:space="0" w:color="595959" w:themeColor="text1" w:themeTint="A6"/>
            </w:tcBorders>
          </w:tcPr>
          <w:p w14:paraId="05A396E5" w14:textId="77777777" w:rsidR="00597B5E" w:rsidRPr="00B65F7F" w:rsidRDefault="00597B5E" w:rsidP="00CA015E">
            <w:pPr>
              <w:pStyle w:val="TableText"/>
              <w:rPr>
                <w:rFonts w:ascii="Fira Sans Heavy" w:hAnsi="Fira Sans Heavy" w:cstheme="minorBidi"/>
              </w:rPr>
            </w:pPr>
          </w:p>
        </w:tc>
        <w:tc>
          <w:tcPr>
            <w:tcW w:w="5244" w:type="dxa"/>
            <w:tcBorders>
              <w:bottom w:val="single" w:sz="6" w:space="0" w:color="595959" w:themeColor="text1" w:themeTint="A6"/>
            </w:tcBorders>
          </w:tcPr>
          <w:p w14:paraId="6FE08536"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FocusOne Health</w:t>
            </w:r>
          </w:p>
        </w:tc>
        <w:tc>
          <w:tcPr>
            <w:tcW w:w="1546" w:type="dxa"/>
            <w:tcBorders>
              <w:bottom w:val="single" w:sz="6" w:space="0" w:color="595959" w:themeColor="text1" w:themeTint="A6"/>
            </w:tcBorders>
          </w:tcPr>
          <w:p w14:paraId="13636766"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Berri</w:t>
            </w:r>
          </w:p>
        </w:tc>
      </w:tr>
      <w:tr w:rsidR="00597B5E" w:rsidRPr="00B65F7F" w14:paraId="02834033" w14:textId="77777777" w:rsidTr="006F6D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tcBorders>
              <w:top w:val="single" w:sz="6" w:space="0" w:color="595959" w:themeColor="text1" w:themeTint="A6"/>
            </w:tcBorders>
            <w:shd w:val="clear" w:color="auto" w:fill="F2F2F2" w:themeFill="background1" w:themeFillShade="F2"/>
          </w:tcPr>
          <w:p w14:paraId="12B907D6" w14:textId="77777777" w:rsidR="00597B5E" w:rsidRPr="00B65F7F" w:rsidRDefault="00597B5E" w:rsidP="00CA015E">
            <w:pPr>
              <w:pStyle w:val="TableText"/>
            </w:pPr>
            <w:r w:rsidRPr="00B65F7F">
              <w:t>Tasmania</w:t>
            </w:r>
          </w:p>
        </w:tc>
        <w:tc>
          <w:tcPr>
            <w:tcW w:w="5244" w:type="dxa"/>
            <w:tcBorders>
              <w:top w:val="single" w:sz="6" w:space="0" w:color="595959" w:themeColor="text1" w:themeTint="A6"/>
            </w:tcBorders>
            <w:shd w:val="clear" w:color="auto" w:fill="F2F2F2" w:themeFill="background1" w:themeFillShade="F2"/>
          </w:tcPr>
          <w:p w14:paraId="5F6E63D9"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rPr>
                <w:rFonts w:ascii="Fira Sans Heavy" w:hAnsi="Fira Sans Heavy" w:cstheme="minorBidi"/>
              </w:rPr>
            </w:pPr>
          </w:p>
        </w:tc>
        <w:tc>
          <w:tcPr>
            <w:tcW w:w="1546" w:type="dxa"/>
            <w:tcBorders>
              <w:top w:val="single" w:sz="6" w:space="0" w:color="595959" w:themeColor="text1" w:themeTint="A6"/>
            </w:tcBorders>
            <w:shd w:val="clear" w:color="auto" w:fill="F2F2F2" w:themeFill="background1" w:themeFillShade="F2"/>
          </w:tcPr>
          <w:p w14:paraId="28F96422"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rPr>
                <w:rFonts w:ascii="Fira Sans Heavy" w:hAnsi="Fira Sans Heavy" w:cstheme="minorBidi"/>
              </w:rPr>
            </w:pPr>
          </w:p>
        </w:tc>
      </w:tr>
      <w:tr w:rsidR="00597B5E" w:rsidRPr="00B65F7F" w14:paraId="668D47DB" w14:textId="77777777" w:rsidTr="006F6D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val="restart"/>
          </w:tcPr>
          <w:p w14:paraId="0042A1D3" w14:textId="77777777" w:rsidR="00597B5E" w:rsidRPr="00B65F7F" w:rsidRDefault="00597B5E" w:rsidP="00CA015E">
            <w:pPr>
              <w:pStyle w:val="TableText"/>
              <w:rPr>
                <w:b w:val="0"/>
              </w:rPr>
            </w:pPr>
            <w:r w:rsidRPr="00B65F7F">
              <w:rPr>
                <w:b w:val="0"/>
              </w:rPr>
              <w:t>Tasmania</w:t>
            </w:r>
          </w:p>
        </w:tc>
        <w:tc>
          <w:tcPr>
            <w:tcW w:w="5244" w:type="dxa"/>
          </w:tcPr>
          <w:p w14:paraId="1746BF19"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Circular Head Aboriginal Corporation</w:t>
            </w:r>
          </w:p>
        </w:tc>
        <w:tc>
          <w:tcPr>
            <w:tcW w:w="1546" w:type="dxa"/>
          </w:tcPr>
          <w:p w14:paraId="101DE956"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Smithton</w:t>
            </w:r>
          </w:p>
        </w:tc>
      </w:tr>
      <w:tr w:rsidR="00597B5E" w:rsidRPr="00B65F7F" w14:paraId="717161B1" w14:textId="77777777" w:rsidTr="006F6D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550A7E90" w14:textId="77777777" w:rsidR="00597B5E" w:rsidRPr="00B65F7F" w:rsidRDefault="00597B5E" w:rsidP="00CA015E">
            <w:pPr>
              <w:pStyle w:val="TableText"/>
              <w:rPr>
                <w:rFonts w:ascii="Fira Sans Heavy" w:hAnsi="Fira Sans Heavy" w:cstheme="minorBidi"/>
                <w:b w:val="0"/>
              </w:rPr>
            </w:pPr>
          </w:p>
        </w:tc>
        <w:tc>
          <w:tcPr>
            <w:tcW w:w="5244" w:type="dxa"/>
          </w:tcPr>
          <w:p w14:paraId="0EA64AA2"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Rural Health Tasmania Incorporated</w:t>
            </w:r>
          </w:p>
        </w:tc>
        <w:tc>
          <w:tcPr>
            <w:tcW w:w="1546" w:type="dxa"/>
          </w:tcPr>
          <w:p w14:paraId="1C89E70B"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Smithton</w:t>
            </w:r>
          </w:p>
        </w:tc>
      </w:tr>
      <w:tr w:rsidR="00597B5E" w:rsidRPr="00B65F7F" w14:paraId="0D01FE65" w14:textId="77777777" w:rsidTr="006F6DD1">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2750" w:type="dxa"/>
            <w:vMerge/>
            <w:tcBorders>
              <w:bottom w:val="single" w:sz="6" w:space="0" w:color="595959" w:themeColor="text1" w:themeTint="A6"/>
            </w:tcBorders>
          </w:tcPr>
          <w:p w14:paraId="25BDB532" w14:textId="77777777" w:rsidR="00597B5E" w:rsidRPr="00B65F7F" w:rsidRDefault="00597B5E" w:rsidP="00CA015E">
            <w:pPr>
              <w:pStyle w:val="TableText"/>
              <w:rPr>
                <w:rFonts w:ascii="Fira Sans Heavy" w:hAnsi="Fira Sans Heavy" w:cstheme="minorBidi"/>
                <w:b w:val="0"/>
              </w:rPr>
            </w:pPr>
          </w:p>
        </w:tc>
        <w:tc>
          <w:tcPr>
            <w:tcW w:w="5244" w:type="dxa"/>
            <w:tcBorders>
              <w:bottom w:val="single" w:sz="6" w:space="0" w:color="595959" w:themeColor="text1" w:themeTint="A6"/>
            </w:tcBorders>
          </w:tcPr>
          <w:p w14:paraId="79DCF63C"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Tasmanian Aboriginal Centre</w:t>
            </w:r>
          </w:p>
        </w:tc>
        <w:tc>
          <w:tcPr>
            <w:tcW w:w="1546" w:type="dxa"/>
            <w:tcBorders>
              <w:bottom w:val="single" w:sz="6" w:space="0" w:color="595959" w:themeColor="text1" w:themeTint="A6"/>
            </w:tcBorders>
          </w:tcPr>
          <w:p w14:paraId="2CDF490B"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Hobart</w:t>
            </w:r>
          </w:p>
        </w:tc>
      </w:tr>
      <w:tr w:rsidR="00597B5E" w:rsidRPr="00B65F7F" w14:paraId="6AA401AC" w14:textId="77777777" w:rsidTr="006F6D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tcBorders>
              <w:top w:val="single" w:sz="6" w:space="0" w:color="595959" w:themeColor="text1" w:themeTint="A6"/>
            </w:tcBorders>
            <w:shd w:val="clear" w:color="auto" w:fill="F2F2F2" w:themeFill="background1" w:themeFillShade="F2"/>
          </w:tcPr>
          <w:p w14:paraId="2089228A" w14:textId="77777777" w:rsidR="00597B5E" w:rsidRPr="00B65F7F" w:rsidRDefault="00597B5E" w:rsidP="00CA015E">
            <w:pPr>
              <w:pStyle w:val="TableText"/>
            </w:pPr>
            <w:r w:rsidRPr="00B65F7F">
              <w:t>Victoria</w:t>
            </w:r>
          </w:p>
        </w:tc>
        <w:tc>
          <w:tcPr>
            <w:tcW w:w="5244" w:type="dxa"/>
            <w:tcBorders>
              <w:top w:val="single" w:sz="6" w:space="0" w:color="595959" w:themeColor="text1" w:themeTint="A6"/>
            </w:tcBorders>
            <w:shd w:val="clear" w:color="auto" w:fill="F2F2F2" w:themeFill="background1" w:themeFillShade="F2"/>
          </w:tcPr>
          <w:p w14:paraId="47FEC44D"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p>
        </w:tc>
        <w:tc>
          <w:tcPr>
            <w:tcW w:w="1546" w:type="dxa"/>
            <w:tcBorders>
              <w:top w:val="single" w:sz="6" w:space="0" w:color="595959" w:themeColor="text1" w:themeTint="A6"/>
            </w:tcBorders>
            <w:shd w:val="clear" w:color="auto" w:fill="F2F2F2" w:themeFill="background1" w:themeFillShade="F2"/>
          </w:tcPr>
          <w:p w14:paraId="13BD9258"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rPr>
                <w:rFonts w:ascii="Fira Sans Heavy" w:hAnsi="Fira Sans Heavy" w:cstheme="minorBidi"/>
              </w:rPr>
            </w:pPr>
          </w:p>
        </w:tc>
      </w:tr>
      <w:tr w:rsidR="00597B5E" w:rsidRPr="00B65F7F" w14:paraId="39952C66" w14:textId="77777777" w:rsidTr="006F6D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tcPr>
          <w:p w14:paraId="30E11D2B" w14:textId="77777777" w:rsidR="00597B5E" w:rsidRPr="00B65F7F" w:rsidRDefault="00597B5E" w:rsidP="00CA015E">
            <w:pPr>
              <w:pStyle w:val="TableText"/>
              <w:rPr>
                <w:b w:val="0"/>
              </w:rPr>
            </w:pPr>
            <w:r w:rsidRPr="00B65F7F">
              <w:rPr>
                <w:b w:val="0"/>
              </w:rPr>
              <w:t>Gippsland</w:t>
            </w:r>
          </w:p>
        </w:tc>
        <w:tc>
          <w:tcPr>
            <w:tcW w:w="5244" w:type="dxa"/>
          </w:tcPr>
          <w:p w14:paraId="4728D3DC"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Gippsland &amp; East Gippsland Aboriginal Co-Operative Limited</w:t>
            </w:r>
          </w:p>
        </w:tc>
        <w:tc>
          <w:tcPr>
            <w:tcW w:w="1546" w:type="dxa"/>
          </w:tcPr>
          <w:p w14:paraId="04548594"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Bairnsdale</w:t>
            </w:r>
          </w:p>
        </w:tc>
      </w:tr>
      <w:tr w:rsidR="00597B5E" w:rsidRPr="00B65F7F" w14:paraId="5C17A688" w14:textId="77777777" w:rsidTr="006F6D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tcPr>
          <w:p w14:paraId="2AD51049" w14:textId="77777777" w:rsidR="00597B5E" w:rsidRPr="00B65F7F" w:rsidRDefault="00597B5E" w:rsidP="00CA015E">
            <w:pPr>
              <w:pStyle w:val="TableText"/>
              <w:rPr>
                <w:b w:val="0"/>
              </w:rPr>
            </w:pPr>
            <w:r w:rsidRPr="00B65F7F">
              <w:rPr>
                <w:b w:val="0"/>
              </w:rPr>
              <w:t>South Eastern Melbourne</w:t>
            </w:r>
          </w:p>
        </w:tc>
        <w:tc>
          <w:tcPr>
            <w:tcW w:w="5244" w:type="dxa"/>
          </w:tcPr>
          <w:p w14:paraId="4ADE8215"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First Peoples’ Health and Wellbeing</w:t>
            </w:r>
          </w:p>
        </w:tc>
        <w:tc>
          <w:tcPr>
            <w:tcW w:w="1546" w:type="dxa"/>
          </w:tcPr>
          <w:p w14:paraId="553136FF"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Thomastown</w:t>
            </w:r>
          </w:p>
        </w:tc>
      </w:tr>
      <w:tr w:rsidR="00597B5E" w:rsidRPr="00B65F7F" w14:paraId="1483A930" w14:textId="77777777" w:rsidTr="006F6D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val="restart"/>
          </w:tcPr>
          <w:p w14:paraId="125C9DB4" w14:textId="77777777" w:rsidR="00597B5E" w:rsidRPr="00B65F7F" w:rsidRDefault="00597B5E" w:rsidP="00CA015E">
            <w:pPr>
              <w:pStyle w:val="TableText"/>
              <w:rPr>
                <w:b w:val="0"/>
              </w:rPr>
            </w:pPr>
            <w:r w:rsidRPr="00B65F7F">
              <w:rPr>
                <w:b w:val="0"/>
              </w:rPr>
              <w:t>Western Victoria</w:t>
            </w:r>
          </w:p>
        </w:tc>
        <w:tc>
          <w:tcPr>
            <w:tcW w:w="5244" w:type="dxa"/>
          </w:tcPr>
          <w:p w14:paraId="061AC442"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Gunditjmar</w:t>
            </w:r>
            <w:r>
              <w:t>a</w:t>
            </w:r>
            <w:r w:rsidRPr="00B65F7F">
              <w:t xml:space="preserve"> Cooperative</w:t>
            </w:r>
          </w:p>
        </w:tc>
        <w:tc>
          <w:tcPr>
            <w:tcW w:w="1546" w:type="dxa"/>
          </w:tcPr>
          <w:p w14:paraId="4BE7BE7D"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Warnambool</w:t>
            </w:r>
          </w:p>
        </w:tc>
      </w:tr>
      <w:tr w:rsidR="00597B5E" w:rsidRPr="00B65F7F" w14:paraId="2C194895" w14:textId="77777777" w:rsidTr="006F6D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19FE5FDF" w14:textId="77777777" w:rsidR="00597B5E" w:rsidRPr="00B65F7F" w:rsidRDefault="00597B5E" w:rsidP="00CA015E">
            <w:pPr>
              <w:pStyle w:val="TableText"/>
              <w:rPr>
                <w:rFonts w:ascii="Fira Sans Heavy" w:hAnsi="Fira Sans Heavy" w:cstheme="minorBidi"/>
                <w:b w:val="0"/>
              </w:rPr>
            </w:pPr>
          </w:p>
        </w:tc>
        <w:tc>
          <w:tcPr>
            <w:tcW w:w="5244" w:type="dxa"/>
          </w:tcPr>
          <w:p w14:paraId="4EB0A1C9"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Ballarat &amp; District Aboriginal Cooperative</w:t>
            </w:r>
          </w:p>
        </w:tc>
        <w:tc>
          <w:tcPr>
            <w:tcW w:w="1546" w:type="dxa"/>
          </w:tcPr>
          <w:p w14:paraId="693B8990"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Ballarat</w:t>
            </w:r>
          </w:p>
        </w:tc>
      </w:tr>
      <w:tr w:rsidR="00597B5E" w:rsidRPr="00B65F7F" w14:paraId="4C8C5E12" w14:textId="77777777" w:rsidTr="006F6D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61024BDA" w14:textId="77777777" w:rsidR="00597B5E" w:rsidRPr="00B65F7F" w:rsidRDefault="00597B5E" w:rsidP="00CA015E">
            <w:pPr>
              <w:pStyle w:val="TableText"/>
              <w:rPr>
                <w:rFonts w:ascii="Fira Sans Heavy" w:hAnsi="Fira Sans Heavy" w:cstheme="minorBidi"/>
                <w:b w:val="0"/>
              </w:rPr>
            </w:pPr>
          </w:p>
        </w:tc>
        <w:tc>
          <w:tcPr>
            <w:tcW w:w="5244" w:type="dxa"/>
          </w:tcPr>
          <w:p w14:paraId="3024CE3A"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Goolum Goolum Aboriginal Cooperative</w:t>
            </w:r>
          </w:p>
        </w:tc>
        <w:tc>
          <w:tcPr>
            <w:tcW w:w="1546" w:type="dxa"/>
          </w:tcPr>
          <w:p w14:paraId="0F084D5B"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Horsham</w:t>
            </w:r>
          </w:p>
        </w:tc>
      </w:tr>
      <w:tr w:rsidR="00597B5E" w:rsidRPr="00B65F7F" w14:paraId="26649222" w14:textId="77777777" w:rsidTr="006F6D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val="restart"/>
          </w:tcPr>
          <w:p w14:paraId="4001B35A" w14:textId="77777777" w:rsidR="00597B5E" w:rsidRPr="00B65F7F" w:rsidRDefault="00597B5E" w:rsidP="00CA015E">
            <w:pPr>
              <w:pStyle w:val="TableText"/>
              <w:rPr>
                <w:b w:val="0"/>
              </w:rPr>
            </w:pPr>
            <w:r w:rsidRPr="00B65F7F">
              <w:rPr>
                <w:b w:val="0"/>
              </w:rPr>
              <w:t xml:space="preserve">Murray </w:t>
            </w:r>
          </w:p>
        </w:tc>
        <w:tc>
          <w:tcPr>
            <w:tcW w:w="5244" w:type="dxa"/>
          </w:tcPr>
          <w:p w14:paraId="1C4A633B"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Mallee District Aboriginal Service</w:t>
            </w:r>
          </w:p>
        </w:tc>
        <w:tc>
          <w:tcPr>
            <w:tcW w:w="1546" w:type="dxa"/>
          </w:tcPr>
          <w:p w14:paraId="6CCD989C"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Mildura</w:t>
            </w:r>
          </w:p>
        </w:tc>
      </w:tr>
      <w:tr w:rsidR="00597B5E" w:rsidRPr="00B65F7F" w14:paraId="2CB7D691" w14:textId="77777777" w:rsidTr="006F6D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7B46E6C2" w14:textId="77777777" w:rsidR="00597B5E" w:rsidRPr="00B65F7F" w:rsidRDefault="00597B5E" w:rsidP="00CA015E">
            <w:pPr>
              <w:pStyle w:val="TableText"/>
              <w:rPr>
                <w:rFonts w:ascii="Fira Sans Heavy" w:hAnsi="Fira Sans Heavy" w:cstheme="minorBidi"/>
                <w:b w:val="0"/>
              </w:rPr>
            </w:pPr>
          </w:p>
        </w:tc>
        <w:tc>
          <w:tcPr>
            <w:tcW w:w="5244" w:type="dxa"/>
          </w:tcPr>
          <w:p w14:paraId="6A0F9A75"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Rumbalar</w:t>
            </w:r>
            <w:r>
              <w:t>a</w:t>
            </w:r>
            <w:r w:rsidRPr="00B65F7F">
              <w:t xml:space="preserve"> Cooperative</w:t>
            </w:r>
          </w:p>
        </w:tc>
        <w:tc>
          <w:tcPr>
            <w:tcW w:w="1546" w:type="dxa"/>
          </w:tcPr>
          <w:p w14:paraId="73A56F9D"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Mooroopna </w:t>
            </w:r>
          </w:p>
        </w:tc>
      </w:tr>
      <w:tr w:rsidR="00597B5E" w:rsidRPr="00B65F7F" w14:paraId="7492CC6A" w14:textId="77777777" w:rsidTr="006F6D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23AF4E2C" w14:textId="77777777" w:rsidR="00597B5E" w:rsidRPr="00B65F7F" w:rsidRDefault="00597B5E" w:rsidP="00CA015E">
            <w:pPr>
              <w:pStyle w:val="TableText"/>
              <w:rPr>
                <w:rFonts w:ascii="Fira Sans Heavy" w:hAnsi="Fira Sans Heavy" w:cstheme="minorBidi"/>
                <w:b w:val="0"/>
              </w:rPr>
            </w:pPr>
          </w:p>
        </w:tc>
        <w:tc>
          <w:tcPr>
            <w:tcW w:w="5244" w:type="dxa"/>
          </w:tcPr>
          <w:p w14:paraId="1756AB21"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Njernd</w:t>
            </w:r>
            <w:r>
              <w:t>a</w:t>
            </w:r>
            <w:r w:rsidRPr="00B65F7F">
              <w:t xml:space="preserve"> Corporation</w:t>
            </w:r>
          </w:p>
        </w:tc>
        <w:tc>
          <w:tcPr>
            <w:tcW w:w="1546" w:type="dxa"/>
          </w:tcPr>
          <w:p w14:paraId="72EFCCDA"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Echuca</w:t>
            </w:r>
          </w:p>
        </w:tc>
      </w:tr>
      <w:tr w:rsidR="00597B5E" w:rsidRPr="00B65F7F" w14:paraId="3481EA96" w14:textId="77777777" w:rsidTr="006F6D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3EB8FD10" w14:textId="77777777" w:rsidR="00597B5E" w:rsidRPr="00B65F7F" w:rsidRDefault="00597B5E" w:rsidP="00CA015E">
            <w:pPr>
              <w:pStyle w:val="TableText"/>
              <w:rPr>
                <w:rFonts w:ascii="Fira Sans Heavy" w:hAnsi="Fira Sans Heavy" w:cstheme="minorBidi"/>
                <w:b w:val="0"/>
              </w:rPr>
            </w:pPr>
          </w:p>
        </w:tc>
        <w:tc>
          <w:tcPr>
            <w:tcW w:w="5244" w:type="dxa"/>
          </w:tcPr>
          <w:p w14:paraId="59D120B5"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Robinvale District Health</w:t>
            </w:r>
          </w:p>
        </w:tc>
        <w:tc>
          <w:tcPr>
            <w:tcW w:w="1546" w:type="dxa"/>
          </w:tcPr>
          <w:p w14:paraId="46E0AE0C"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Robinvale</w:t>
            </w:r>
          </w:p>
        </w:tc>
      </w:tr>
      <w:tr w:rsidR="00597B5E" w:rsidRPr="00B65F7F" w14:paraId="1E760021" w14:textId="77777777" w:rsidTr="006F6D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val="restart"/>
          </w:tcPr>
          <w:p w14:paraId="7711495E" w14:textId="77777777" w:rsidR="00597B5E" w:rsidRPr="00B65F7F" w:rsidRDefault="00597B5E" w:rsidP="00CA015E">
            <w:pPr>
              <w:pStyle w:val="TableText"/>
              <w:rPr>
                <w:b w:val="0"/>
              </w:rPr>
            </w:pPr>
            <w:r w:rsidRPr="00B65F7F">
              <w:rPr>
                <w:b w:val="0"/>
              </w:rPr>
              <w:t>North Western Melbourne</w:t>
            </w:r>
          </w:p>
        </w:tc>
        <w:tc>
          <w:tcPr>
            <w:tcW w:w="5244" w:type="dxa"/>
          </w:tcPr>
          <w:p w14:paraId="6D3882EC"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cohealth</w:t>
            </w:r>
          </w:p>
        </w:tc>
        <w:tc>
          <w:tcPr>
            <w:tcW w:w="1546" w:type="dxa"/>
          </w:tcPr>
          <w:p w14:paraId="2C03879B"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Various</w:t>
            </w:r>
          </w:p>
        </w:tc>
      </w:tr>
      <w:tr w:rsidR="00597B5E" w:rsidRPr="00B65F7F" w14:paraId="54EFBBF5" w14:textId="77777777" w:rsidTr="006F6D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Borders>
              <w:bottom w:val="single" w:sz="6" w:space="0" w:color="595959" w:themeColor="text1" w:themeTint="A6"/>
            </w:tcBorders>
          </w:tcPr>
          <w:p w14:paraId="2FEFBC05" w14:textId="77777777" w:rsidR="00597B5E" w:rsidRPr="00B65F7F" w:rsidRDefault="00597B5E" w:rsidP="00CA015E">
            <w:pPr>
              <w:pStyle w:val="TableText"/>
              <w:rPr>
                <w:rFonts w:ascii="Fira Sans Heavy" w:hAnsi="Fira Sans Heavy" w:cstheme="minorBidi"/>
                <w:b w:val="0"/>
              </w:rPr>
            </w:pPr>
          </w:p>
        </w:tc>
        <w:tc>
          <w:tcPr>
            <w:tcW w:w="5244" w:type="dxa"/>
            <w:tcBorders>
              <w:bottom w:val="single" w:sz="6" w:space="0" w:color="595959" w:themeColor="text1" w:themeTint="A6"/>
            </w:tcBorders>
          </w:tcPr>
          <w:p w14:paraId="1B0CD0FA"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IPC Health Limited</w:t>
            </w:r>
          </w:p>
        </w:tc>
        <w:tc>
          <w:tcPr>
            <w:tcW w:w="1546" w:type="dxa"/>
            <w:tcBorders>
              <w:bottom w:val="single" w:sz="6" w:space="0" w:color="595959" w:themeColor="text1" w:themeTint="A6"/>
            </w:tcBorders>
          </w:tcPr>
          <w:p w14:paraId="55B9D365"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Altona Meadows</w:t>
            </w:r>
          </w:p>
        </w:tc>
      </w:tr>
      <w:tr w:rsidR="00597B5E" w:rsidRPr="00B65F7F" w14:paraId="4896CB05" w14:textId="77777777" w:rsidTr="006F6D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tcBorders>
              <w:top w:val="single" w:sz="6" w:space="0" w:color="595959" w:themeColor="text1" w:themeTint="A6"/>
            </w:tcBorders>
            <w:shd w:val="clear" w:color="auto" w:fill="F2F2F2" w:themeFill="background1" w:themeFillShade="F2"/>
          </w:tcPr>
          <w:p w14:paraId="0C0A7FEC" w14:textId="77777777" w:rsidR="00597B5E" w:rsidRPr="00B65F7F" w:rsidRDefault="00597B5E" w:rsidP="00CA015E">
            <w:pPr>
              <w:pStyle w:val="TableText"/>
            </w:pPr>
            <w:r w:rsidRPr="00B65F7F">
              <w:t>Western Australia</w:t>
            </w:r>
          </w:p>
        </w:tc>
        <w:tc>
          <w:tcPr>
            <w:tcW w:w="5244" w:type="dxa"/>
            <w:tcBorders>
              <w:top w:val="single" w:sz="6" w:space="0" w:color="595959" w:themeColor="text1" w:themeTint="A6"/>
            </w:tcBorders>
            <w:shd w:val="clear" w:color="auto" w:fill="F2F2F2" w:themeFill="background1" w:themeFillShade="F2"/>
          </w:tcPr>
          <w:p w14:paraId="09DA3304"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p>
        </w:tc>
        <w:tc>
          <w:tcPr>
            <w:tcW w:w="1546" w:type="dxa"/>
            <w:tcBorders>
              <w:top w:val="single" w:sz="6" w:space="0" w:color="595959" w:themeColor="text1" w:themeTint="A6"/>
            </w:tcBorders>
            <w:shd w:val="clear" w:color="auto" w:fill="F2F2F2" w:themeFill="background1" w:themeFillShade="F2"/>
          </w:tcPr>
          <w:p w14:paraId="12E3CF5C"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p>
        </w:tc>
      </w:tr>
      <w:tr w:rsidR="00597B5E" w:rsidRPr="00B65F7F" w14:paraId="634FFF0C" w14:textId="77777777" w:rsidTr="006F6D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val="restart"/>
          </w:tcPr>
          <w:p w14:paraId="5BF76D69" w14:textId="77777777" w:rsidR="00597B5E" w:rsidRPr="00B65F7F" w:rsidRDefault="00597B5E" w:rsidP="00CA015E">
            <w:pPr>
              <w:pStyle w:val="TableText"/>
              <w:rPr>
                <w:b w:val="0"/>
              </w:rPr>
            </w:pPr>
            <w:r w:rsidRPr="00B65F7F">
              <w:rPr>
                <w:b w:val="0"/>
              </w:rPr>
              <w:t>WA Country</w:t>
            </w:r>
          </w:p>
        </w:tc>
        <w:tc>
          <w:tcPr>
            <w:tcW w:w="5244" w:type="dxa"/>
          </w:tcPr>
          <w:p w14:paraId="3E2D32E1"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South West Aboriginal Medical Service Aboriginal Corporation</w:t>
            </w:r>
          </w:p>
        </w:tc>
        <w:tc>
          <w:tcPr>
            <w:tcW w:w="1546" w:type="dxa"/>
          </w:tcPr>
          <w:p w14:paraId="6705C47E"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Bunbury</w:t>
            </w:r>
          </w:p>
        </w:tc>
      </w:tr>
      <w:tr w:rsidR="00597B5E" w:rsidRPr="00B65F7F" w14:paraId="2D8C66E3" w14:textId="77777777" w:rsidTr="006F6D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0EF85112" w14:textId="77777777" w:rsidR="00597B5E" w:rsidRPr="00B65F7F" w:rsidRDefault="00597B5E" w:rsidP="00CA015E">
            <w:pPr>
              <w:pStyle w:val="TableText"/>
              <w:rPr>
                <w:rFonts w:ascii="Fira Sans Heavy" w:hAnsi="Fira Sans Heavy" w:cstheme="minorBidi"/>
                <w:b w:val="0"/>
              </w:rPr>
            </w:pPr>
          </w:p>
        </w:tc>
        <w:tc>
          <w:tcPr>
            <w:tcW w:w="5244" w:type="dxa"/>
          </w:tcPr>
          <w:p w14:paraId="674ACD9E"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Amity Health Limited</w:t>
            </w:r>
          </w:p>
        </w:tc>
        <w:tc>
          <w:tcPr>
            <w:tcW w:w="1546" w:type="dxa"/>
          </w:tcPr>
          <w:p w14:paraId="3BBF1B70"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Albany</w:t>
            </w:r>
          </w:p>
        </w:tc>
      </w:tr>
      <w:tr w:rsidR="00597B5E" w:rsidRPr="00B65F7F" w14:paraId="40D5B876" w14:textId="77777777" w:rsidTr="006F6D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7E53EC13" w14:textId="77777777" w:rsidR="00597B5E" w:rsidRPr="00B65F7F" w:rsidRDefault="00597B5E" w:rsidP="00CA015E">
            <w:pPr>
              <w:pStyle w:val="TableText"/>
              <w:rPr>
                <w:rFonts w:ascii="Fira Sans Heavy" w:hAnsi="Fira Sans Heavy" w:cstheme="minorBidi"/>
                <w:b w:val="0"/>
              </w:rPr>
            </w:pPr>
          </w:p>
        </w:tc>
        <w:tc>
          <w:tcPr>
            <w:tcW w:w="5244" w:type="dxa"/>
          </w:tcPr>
          <w:p w14:paraId="74949E65"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Hope Community Services Limited</w:t>
            </w:r>
          </w:p>
        </w:tc>
        <w:tc>
          <w:tcPr>
            <w:tcW w:w="1546" w:type="dxa"/>
          </w:tcPr>
          <w:p w14:paraId="048D6E86"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Various</w:t>
            </w:r>
          </w:p>
        </w:tc>
      </w:tr>
      <w:tr w:rsidR="00597B5E" w:rsidRPr="00B65F7F" w14:paraId="2F96B550" w14:textId="77777777" w:rsidTr="006F6D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62126008" w14:textId="77777777" w:rsidR="00597B5E" w:rsidRPr="00B65F7F" w:rsidRDefault="00597B5E" w:rsidP="006F6DD1">
            <w:pPr>
              <w:pStyle w:val="TableText"/>
              <w:rPr>
                <w:rFonts w:ascii="Fira Sans Heavy" w:hAnsi="Fira Sans Heavy" w:cstheme="minorBidi"/>
                <w:b w:val="0"/>
              </w:rPr>
            </w:pPr>
          </w:p>
        </w:tc>
        <w:tc>
          <w:tcPr>
            <w:tcW w:w="5244" w:type="dxa"/>
          </w:tcPr>
          <w:p w14:paraId="75FAF296"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Boab Health and Community Services Limited</w:t>
            </w:r>
          </w:p>
        </w:tc>
        <w:tc>
          <w:tcPr>
            <w:tcW w:w="1546" w:type="dxa"/>
          </w:tcPr>
          <w:p w14:paraId="373962F9"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Broome</w:t>
            </w:r>
          </w:p>
        </w:tc>
      </w:tr>
      <w:tr w:rsidR="00597B5E" w:rsidRPr="00B65F7F" w14:paraId="453CE2F2" w14:textId="77777777" w:rsidTr="006F6D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43B68326" w14:textId="77777777" w:rsidR="00597B5E" w:rsidRPr="00B65F7F" w:rsidRDefault="00597B5E" w:rsidP="006F6DD1">
            <w:pPr>
              <w:pStyle w:val="TableText"/>
              <w:rPr>
                <w:rFonts w:ascii="Fira Sans Heavy" w:hAnsi="Fira Sans Heavy" w:cstheme="minorBidi"/>
                <w:b w:val="0"/>
              </w:rPr>
            </w:pPr>
          </w:p>
        </w:tc>
        <w:tc>
          <w:tcPr>
            <w:tcW w:w="5244" w:type="dxa"/>
          </w:tcPr>
          <w:p w14:paraId="4BD20E6A"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Wheatbelt Health Network</w:t>
            </w:r>
          </w:p>
        </w:tc>
        <w:tc>
          <w:tcPr>
            <w:tcW w:w="1546" w:type="dxa"/>
          </w:tcPr>
          <w:p w14:paraId="547FC888"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Northam</w:t>
            </w:r>
          </w:p>
        </w:tc>
      </w:tr>
      <w:tr w:rsidR="00597B5E" w:rsidRPr="00B65F7F" w14:paraId="7B54D0A7" w14:textId="77777777" w:rsidTr="006F6D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4BDB3A13" w14:textId="77777777" w:rsidR="00597B5E" w:rsidRPr="00B65F7F" w:rsidRDefault="00597B5E" w:rsidP="006F6DD1">
            <w:pPr>
              <w:pStyle w:val="TableText"/>
              <w:rPr>
                <w:rFonts w:ascii="Fira Sans Heavy" w:hAnsi="Fira Sans Heavy" w:cstheme="minorBidi"/>
                <w:b w:val="0"/>
              </w:rPr>
            </w:pPr>
          </w:p>
        </w:tc>
        <w:tc>
          <w:tcPr>
            <w:tcW w:w="5244" w:type="dxa"/>
          </w:tcPr>
          <w:p w14:paraId="344FD4C7"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 xml:space="preserve">Mawarnkarra Health Service </w:t>
            </w:r>
          </w:p>
        </w:tc>
        <w:tc>
          <w:tcPr>
            <w:tcW w:w="1546" w:type="dxa"/>
          </w:tcPr>
          <w:p w14:paraId="75A2A304"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Roebourne</w:t>
            </w:r>
          </w:p>
        </w:tc>
      </w:tr>
      <w:tr w:rsidR="00597B5E" w:rsidRPr="00B65F7F" w14:paraId="0B1BD9D2" w14:textId="77777777" w:rsidTr="006F6D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val="restart"/>
          </w:tcPr>
          <w:p w14:paraId="7FD58EC6" w14:textId="77777777" w:rsidR="00597B5E" w:rsidRPr="00CA015E" w:rsidRDefault="00597B5E" w:rsidP="00CA015E">
            <w:pPr>
              <w:pStyle w:val="TableText"/>
              <w:rPr>
                <w:b w:val="0"/>
                <w:bCs/>
              </w:rPr>
            </w:pPr>
            <w:r w:rsidRPr="00CA015E">
              <w:rPr>
                <w:b w:val="0"/>
                <w:bCs/>
              </w:rPr>
              <w:t>Perth North</w:t>
            </w:r>
          </w:p>
        </w:tc>
        <w:tc>
          <w:tcPr>
            <w:tcW w:w="5244" w:type="dxa"/>
          </w:tcPr>
          <w:p w14:paraId="3ED348BA"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Moorditj Koort Aboriginal Corporation</w:t>
            </w:r>
          </w:p>
        </w:tc>
        <w:tc>
          <w:tcPr>
            <w:tcW w:w="1546" w:type="dxa"/>
          </w:tcPr>
          <w:p w14:paraId="4A99D8B8"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Midland</w:t>
            </w:r>
          </w:p>
        </w:tc>
      </w:tr>
      <w:tr w:rsidR="00597B5E" w:rsidRPr="00B65F7F" w14:paraId="7F626E10" w14:textId="77777777" w:rsidTr="006F6DD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vMerge/>
          </w:tcPr>
          <w:p w14:paraId="46801200" w14:textId="77777777" w:rsidR="00597B5E" w:rsidRPr="00CA015E" w:rsidRDefault="00597B5E" w:rsidP="00CA015E">
            <w:pPr>
              <w:pStyle w:val="TableText"/>
              <w:rPr>
                <w:rFonts w:ascii="Fira Sans Heavy" w:hAnsi="Fira Sans Heavy" w:cstheme="minorBidi"/>
                <w:b w:val="0"/>
                <w:bCs/>
              </w:rPr>
            </w:pPr>
          </w:p>
        </w:tc>
        <w:tc>
          <w:tcPr>
            <w:tcW w:w="5244" w:type="dxa"/>
          </w:tcPr>
          <w:p w14:paraId="3A3F5321"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Arche Health Limited</w:t>
            </w:r>
          </w:p>
        </w:tc>
        <w:tc>
          <w:tcPr>
            <w:tcW w:w="1546" w:type="dxa"/>
          </w:tcPr>
          <w:p w14:paraId="2A64FD9E" w14:textId="77777777" w:rsidR="00597B5E" w:rsidRPr="00B65F7F" w:rsidRDefault="00597B5E" w:rsidP="00CA015E">
            <w:pPr>
              <w:pStyle w:val="TableText"/>
              <w:cnfStyle w:val="000000010000" w:firstRow="0" w:lastRow="0" w:firstColumn="0" w:lastColumn="0" w:oddVBand="0" w:evenVBand="0" w:oddHBand="0" w:evenHBand="1" w:firstRowFirstColumn="0" w:firstRowLastColumn="0" w:lastRowFirstColumn="0" w:lastRowLastColumn="0"/>
            </w:pPr>
            <w:r w:rsidRPr="00B65F7F">
              <w:t>Bentley</w:t>
            </w:r>
          </w:p>
        </w:tc>
      </w:tr>
      <w:tr w:rsidR="00597B5E" w:rsidRPr="00B65F7F" w14:paraId="470B5FA2" w14:textId="77777777" w:rsidTr="006F6D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0" w:type="dxa"/>
          </w:tcPr>
          <w:p w14:paraId="7E254994" w14:textId="77777777" w:rsidR="00597B5E" w:rsidRPr="00CA015E" w:rsidRDefault="00597B5E" w:rsidP="00CA015E">
            <w:pPr>
              <w:pStyle w:val="TableText"/>
              <w:rPr>
                <w:b w:val="0"/>
                <w:bCs/>
              </w:rPr>
            </w:pPr>
            <w:r w:rsidRPr="00CA015E">
              <w:rPr>
                <w:b w:val="0"/>
                <w:bCs/>
              </w:rPr>
              <w:t>Perth South</w:t>
            </w:r>
          </w:p>
        </w:tc>
        <w:tc>
          <w:tcPr>
            <w:tcW w:w="5244" w:type="dxa"/>
          </w:tcPr>
          <w:p w14:paraId="7784B703"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GP Down South Limited</w:t>
            </w:r>
          </w:p>
        </w:tc>
        <w:tc>
          <w:tcPr>
            <w:tcW w:w="1546" w:type="dxa"/>
          </w:tcPr>
          <w:p w14:paraId="396DDEDC" w14:textId="77777777" w:rsidR="00597B5E" w:rsidRPr="00B65F7F" w:rsidRDefault="00597B5E" w:rsidP="00CA015E">
            <w:pPr>
              <w:pStyle w:val="TableText"/>
              <w:cnfStyle w:val="000000100000" w:firstRow="0" w:lastRow="0" w:firstColumn="0" w:lastColumn="0" w:oddVBand="0" w:evenVBand="0" w:oddHBand="1" w:evenHBand="0" w:firstRowFirstColumn="0" w:firstRowLastColumn="0" w:lastRowFirstColumn="0" w:lastRowLastColumn="0"/>
            </w:pPr>
            <w:r w:rsidRPr="00B65F7F">
              <w:t>Mandurah</w:t>
            </w:r>
          </w:p>
        </w:tc>
      </w:tr>
    </w:tbl>
    <w:p w14:paraId="1A60AF28" w14:textId="77777777" w:rsidR="00597B5E" w:rsidRPr="00B65F7F" w:rsidRDefault="008D330E" w:rsidP="006734AE">
      <w:pPr>
        <w:pStyle w:val="HeadingLevel2NoNumber"/>
      </w:pPr>
      <w:r>
        <w:t xml:space="preserve">A5.5 </w:t>
      </w:r>
      <w:r w:rsidR="00597B5E" w:rsidRPr="00B65F7F">
        <w:t xml:space="preserve">Interviews with </w:t>
      </w:r>
      <w:r w:rsidR="00597B5E">
        <w:t>Aboriginal and/or Torres Strait Islander</w:t>
      </w:r>
      <w:r w:rsidR="00597B5E" w:rsidRPr="00B65F7F">
        <w:t xml:space="preserve"> community-controlled peak organisations </w:t>
      </w:r>
    </w:p>
    <w:p w14:paraId="0A2C5B30" w14:textId="376BA334" w:rsidR="00597B5E" w:rsidRDefault="00597B5E" w:rsidP="00CA015E">
      <w:pPr>
        <w:pStyle w:val="BodyText"/>
      </w:pPr>
      <w:r w:rsidRPr="00B65F7F">
        <w:t xml:space="preserve">Eighteen one-hour online interviews with 18 </w:t>
      </w:r>
      <w:r w:rsidRPr="00B65F7F">
        <w:rPr>
          <w:lang w:eastAsia="en-AU"/>
        </w:rPr>
        <w:t>organisation</w:t>
      </w:r>
      <w:r w:rsidRPr="00B65F7F">
        <w:t>s were completed over the period of December 2022 to September 2023</w:t>
      </w:r>
      <w:r w:rsidR="006D513D">
        <w:t xml:space="preserve"> (</w:t>
      </w:r>
      <w:r w:rsidR="006D513D">
        <w:fldChar w:fldCharType="begin"/>
      </w:r>
      <w:r w:rsidR="006D513D">
        <w:instrText xml:space="preserve"> REF _Ref152082890 \h </w:instrText>
      </w:r>
      <w:r w:rsidR="006D513D">
        <w:fldChar w:fldCharType="separate"/>
      </w:r>
      <w:r w:rsidR="00934D5E">
        <w:t>Table A5.</w:t>
      </w:r>
      <w:r w:rsidR="00934D5E">
        <w:rPr>
          <w:noProof/>
        </w:rPr>
        <w:t>4</w:t>
      </w:r>
      <w:r w:rsidR="006D513D">
        <w:fldChar w:fldCharType="end"/>
      </w:r>
      <w:r w:rsidR="006D513D">
        <w:t>)</w:t>
      </w:r>
      <w:r w:rsidRPr="00B65F7F">
        <w:t xml:space="preserve">. </w:t>
      </w:r>
    </w:p>
    <w:p w14:paraId="62B3091E" w14:textId="1DB68890" w:rsidR="00597B5E" w:rsidRPr="00B65F7F" w:rsidRDefault="006002E7" w:rsidP="00597B5E">
      <w:pPr>
        <w:pStyle w:val="CaptionTable"/>
      </w:pPr>
      <w:bookmarkStart w:id="296" w:name="_Ref152082890"/>
      <w:bookmarkStart w:id="297" w:name="_Toc145604977"/>
      <w:bookmarkStart w:id="298" w:name="_Toc145617849"/>
      <w:bookmarkStart w:id="299" w:name="_Toc156932086"/>
      <w:r>
        <w:t>Table A5.</w:t>
      </w:r>
      <w:r>
        <w:fldChar w:fldCharType="begin"/>
      </w:r>
      <w:r>
        <w:instrText xml:space="preserve"> SEQ Table_A5 \* ARABIC </w:instrText>
      </w:r>
      <w:r>
        <w:fldChar w:fldCharType="separate"/>
      </w:r>
      <w:r w:rsidR="00934D5E">
        <w:rPr>
          <w:noProof/>
        </w:rPr>
        <w:t>4</w:t>
      </w:r>
      <w:r>
        <w:fldChar w:fldCharType="end"/>
      </w:r>
      <w:bookmarkEnd w:id="296"/>
      <w:r w:rsidR="00597B5E">
        <w:t>: Online interviews with Aboriginal and/or Torres Strait Islander</w:t>
      </w:r>
      <w:r w:rsidR="00597B5E" w:rsidRPr="00D037A9">
        <w:t xml:space="preserve"> community-controlled peak </w:t>
      </w:r>
      <w:r w:rsidR="00597B5E">
        <w:t>organisations held</w:t>
      </w:r>
      <w:bookmarkEnd w:id="297"/>
      <w:bookmarkEnd w:id="298"/>
      <w:bookmarkEnd w:id="299"/>
    </w:p>
    <w:tbl>
      <w:tblPr>
        <w:tblStyle w:val="Newtableforresport"/>
        <w:tblW w:w="9639" w:type="dxa"/>
        <w:tblInd w:w="0" w:type="dxa"/>
        <w:tblLook w:val="0420" w:firstRow="1" w:lastRow="0" w:firstColumn="0" w:lastColumn="0" w:noHBand="0" w:noVBand="1"/>
        <w:tblCaption w:val="Table A5.4: Online interviews with Aboriginal and/or Torres Strait Islander community controlled peak organisations held"/>
        <w:tblDescription w:val="The table provides a list of Aboriginal and/or Torres Strait Islander community-controlled peak organisations that engaged in online interviews for the Review. "/>
      </w:tblPr>
      <w:tblGrid>
        <w:gridCol w:w="9639"/>
      </w:tblGrid>
      <w:tr w:rsidR="00597B5E" w:rsidRPr="00B65F7F" w14:paraId="67D6E0A8" w14:textId="77777777" w:rsidTr="006002E7">
        <w:trPr>
          <w:cnfStyle w:val="100000000000" w:firstRow="1" w:lastRow="0" w:firstColumn="0" w:lastColumn="0" w:oddVBand="0" w:evenVBand="0" w:oddHBand="0" w:evenHBand="0" w:firstRowFirstColumn="0" w:firstRowLastColumn="0" w:lastRowFirstColumn="0" w:lastRowLastColumn="0"/>
          <w:trHeight w:val="300"/>
          <w:tblHeader/>
        </w:trPr>
        <w:tc>
          <w:tcPr>
            <w:tcW w:w="9639" w:type="dxa"/>
            <w:noWrap/>
            <w:hideMark/>
          </w:tcPr>
          <w:p w14:paraId="0971A516" w14:textId="77777777" w:rsidR="00597B5E" w:rsidRPr="00B65F7F" w:rsidRDefault="00597B5E" w:rsidP="00024E8D">
            <w:pPr>
              <w:pStyle w:val="TableHeading"/>
              <w:rPr>
                <w:b w:val="0"/>
              </w:rPr>
            </w:pPr>
            <w:r w:rsidRPr="00B65F7F">
              <w:t>Organisation</w:t>
            </w:r>
          </w:p>
        </w:tc>
      </w:tr>
      <w:tr w:rsidR="00597B5E" w:rsidRPr="00B65F7F" w14:paraId="6A9EAC29"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9639" w:type="dxa"/>
            <w:noWrap/>
            <w:hideMark/>
          </w:tcPr>
          <w:p w14:paraId="3975788E" w14:textId="77777777" w:rsidR="00597B5E" w:rsidRPr="00B65F7F" w:rsidRDefault="00597B5E" w:rsidP="00CA015E">
            <w:pPr>
              <w:pStyle w:val="TableText"/>
              <w:rPr>
                <w:b/>
              </w:rPr>
            </w:pPr>
            <w:r w:rsidRPr="00B65F7F">
              <w:t xml:space="preserve">Gayaa Dhuwi (Proud Spirit) Australia </w:t>
            </w:r>
          </w:p>
        </w:tc>
      </w:tr>
      <w:tr w:rsidR="00597B5E" w:rsidRPr="00B65F7F" w14:paraId="75FD65CE"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9639" w:type="dxa"/>
            <w:noWrap/>
            <w:hideMark/>
          </w:tcPr>
          <w:p w14:paraId="643F9329" w14:textId="77777777" w:rsidR="00597B5E" w:rsidRPr="00B65F7F" w:rsidRDefault="00597B5E" w:rsidP="00CA015E">
            <w:pPr>
              <w:pStyle w:val="TableText"/>
              <w:rPr>
                <w:b/>
              </w:rPr>
            </w:pPr>
            <w:r>
              <w:t>Aboriginal and/or Torres Strait Islander</w:t>
            </w:r>
            <w:r w:rsidRPr="00B65F7F">
              <w:t xml:space="preserve"> Lived Experience Centre</w:t>
            </w:r>
          </w:p>
        </w:tc>
      </w:tr>
      <w:tr w:rsidR="00597B5E" w:rsidRPr="00B65F7F" w14:paraId="0F6FA374"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9639" w:type="dxa"/>
            <w:noWrap/>
            <w:hideMark/>
          </w:tcPr>
          <w:p w14:paraId="15378ED8" w14:textId="77777777" w:rsidR="00597B5E" w:rsidRPr="00B65F7F" w:rsidRDefault="00597B5E" w:rsidP="00CA015E">
            <w:pPr>
              <w:pStyle w:val="TableText"/>
              <w:rPr>
                <w:b/>
              </w:rPr>
            </w:pPr>
            <w:r w:rsidRPr="00B65F7F">
              <w:t xml:space="preserve">National Aboriginal Community Controlled Health Organisation </w:t>
            </w:r>
          </w:p>
        </w:tc>
      </w:tr>
      <w:tr w:rsidR="00597B5E" w:rsidRPr="00B65F7F" w14:paraId="128A4272"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9639" w:type="dxa"/>
            <w:noWrap/>
            <w:hideMark/>
          </w:tcPr>
          <w:p w14:paraId="48DE4858" w14:textId="77777777" w:rsidR="00597B5E" w:rsidRPr="00B65F7F" w:rsidRDefault="00597B5E" w:rsidP="00CA015E">
            <w:pPr>
              <w:pStyle w:val="TableText"/>
              <w:rPr>
                <w:b/>
              </w:rPr>
            </w:pPr>
            <w:r w:rsidRPr="00B65F7F">
              <w:t xml:space="preserve">Congress of </w:t>
            </w:r>
            <w:r>
              <w:t>Aboriginal and/or Torres Strait Islander</w:t>
            </w:r>
            <w:r w:rsidRPr="00B65F7F">
              <w:t xml:space="preserve"> Nurses and Midwives </w:t>
            </w:r>
          </w:p>
        </w:tc>
      </w:tr>
      <w:tr w:rsidR="00597B5E" w:rsidRPr="00B65F7F" w14:paraId="409C4F21"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9639" w:type="dxa"/>
            <w:noWrap/>
            <w:hideMark/>
          </w:tcPr>
          <w:p w14:paraId="5D23C729" w14:textId="77777777" w:rsidR="00597B5E" w:rsidRPr="00B65F7F" w:rsidRDefault="00597B5E" w:rsidP="00CA015E">
            <w:pPr>
              <w:pStyle w:val="TableText"/>
              <w:rPr>
                <w:b/>
              </w:rPr>
            </w:pPr>
            <w:r w:rsidRPr="00B65F7F">
              <w:t xml:space="preserve">Indigenous Allied Health Australia </w:t>
            </w:r>
          </w:p>
        </w:tc>
      </w:tr>
      <w:tr w:rsidR="00597B5E" w:rsidRPr="00B65F7F" w14:paraId="260C059D"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9639" w:type="dxa"/>
            <w:noWrap/>
            <w:hideMark/>
          </w:tcPr>
          <w:p w14:paraId="479479A8" w14:textId="77777777" w:rsidR="00597B5E" w:rsidRPr="00B65F7F" w:rsidRDefault="00597B5E" w:rsidP="00CA015E">
            <w:pPr>
              <w:pStyle w:val="TableText"/>
              <w:rPr>
                <w:b/>
              </w:rPr>
            </w:pPr>
            <w:r w:rsidRPr="00B65F7F">
              <w:t>Lowitja Institute</w:t>
            </w:r>
          </w:p>
        </w:tc>
      </w:tr>
      <w:tr w:rsidR="00597B5E" w:rsidRPr="00B65F7F" w14:paraId="5453B7C0"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9639" w:type="dxa"/>
            <w:noWrap/>
            <w:hideMark/>
          </w:tcPr>
          <w:p w14:paraId="36401ADF" w14:textId="77777777" w:rsidR="00597B5E" w:rsidRPr="00B65F7F" w:rsidRDefault="00597B5E" w:rsidP="00CA015E">
            <w:pPr>
              <w:pStyle w:val="TableText"/>
              <w:rPr>
                <w:b/>
              </w:rPr>
            </w:pPr>
            <w:r w:rsidRPr="00B65F7F">
              <w:t xml:space="preserve">National Association </w:t>
            </w:r>
            <w:r>
              <w:t>Aboriginal and/or Torres Strait Islander</w:t>
            </w:r>
            <w:r w:rsidRPr="00B65F7F">
              <w:t xml:space="preserve"> Health Workers and Practitioners</w:t>
            </w:r>
          </w:p>
        </w:tc>
      </w:tr>
      <w:tr w:rsidR="00597B5E" w:rsidRPr="00B65F7F" w14:paraId="338106BA"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9639" w:type="dxa"/>
            <w:noWrap/>
            <w:hideMark/>
          </w:tcPr>
          <w:p w14:paraId="2ABD1951" w14:textId="77777777" w:rsidR="00597B5E" w:rsidRPr="00B65F7F" w:rsidRDefault="00597B5E" w:rsidP="00CA015E">
            <w:pPr>
              <w:pStyle w:val="TableText"/>
              <w:rPr>
                <w:b/>
              </w:rPr>
            </w:pPr>
            <w:r w:rsidRPr="00B65F7F">
              <w:t>National Health Leadership Forum</w:t>
            </w:r>
          </w:p>
        </w:tc>
      </w:tr>
      <w:tr w:rsidR="00597B5E" w:rsidRPr="00B65F7F" w14:paraId="2F08651B"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9639" w:type="dxa"/>
            <w:noWrap/>
            <w:hideMark/>
          </w:tcPr>
          <w:p w14:paraId="77EBE04A" w14:textId="77777777" w:rsidR="00597B5E" w:rsidRPr="00B65F7F" w:rsidRDefault="00597B5E" w:rsidP="00CA015E">
            <w:pPr>
              <w:pStyle w:val="TableText"/>
              <w:rPr>
                <w:b/>
              </w:rPr>
            </w:pPr>
            <w:r w:rsidRPr="00B65F7F">
              <w:t>Ngaanyatjarra Pitjant</w:t>
            </w:r>
            <w:r w:rsidR="00EA3CA5">
              <w:t>j</w:t>
            </w:r>
            <w:r w:rsidRPr="00B65F7F">
              <w:t xml:space="preserve">atjara Yankunytjatjara </w:t>
            </w:r>
            <w:r w:rsidR="002B46E5" w:rsidRPr="00B65F7F">
              <w:t>Women’s</w:t>
            </w:r>
            <w:r w:rsidRPr="00B65F7F">
              <w:t xml:space="preserve"> Council</w:t>
            </w:r>
          </w:p>
        </w:tc>
      </w:tr>
      <w:tr w:rsidR="00597B5E" w:rsidRPr="00B65F7F" w14:paraId="68CEE542"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9639" w:type="dxa"/>
            <w:noWrap/>
            <w:hideMark/>
          </w:tcPr>
          <w:p w14:paraId="701B77C6" w14:textId="77777777" w:rsidR="00597B5E" w:rsidRPr="00B65F7F" w:rsidRDefault="00597B5E" w:rsidP="00CA015E">
            <w:pPr>
              <w:pStyle w:val="TableText"/>
              <w:rPr>
                <w:rFonts w:cstheme="minorHAnsi"/>
                <w:b/>
                <w:color w:val="000000"/>
              </w:rPr>
            </w:pPr>
            <w:r w:rsidRPr="00B65F7F">
              <w:rPr>
                <w:rFonts w:cstheme="minorHAnsi"/>
                <w:color w:val="000000"/>
              </w:rPr>
              <w:t xml:space="preserve">Aboriginal Drug and Alcohol Council (SA) </w:t>
            </w:r>
          </w:p>
        </w:tc>
      </w:tr>
      <w:tr w:rsidR="00597B5E" w:rsidRPr="00B65F7F" w14:paraId="3869C94E"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9639" w:type="dxa"/>
            <w:noWrap/>
          </w:tcPr>
          <w:p w14:paraId="643DF841" w14:textId="77777777" w:rsidR="00597B5E" w:rsidRPr="00B65F7F" w:rsidRDefault="00597B5E" w:rsidP="00CA015E">
            <w:pPr>
              <w:pStyle w:val="TableText"/>
            </w:pPr>
            <w:r w:rsidRPr="00B65F7F">
              <w:rPr>
                <w:rFonts w:cstheme="minorHAnsi"/>
              </w:rPr>
              <w:t>Institute for Urban Indigenous Health</w:t>
            </w:r>
          </w:p>
        </w:tc>
      </w:tr>
      <w:tr w:rsidR="00597B5E" w:rsidRPr="00B65F7F" w14:paraId="6FC8A73A"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9639" w:type="dxa"/>
            <w:noWrap/>
            <w:hideMark/>
          </w:tcPr>
          <w:p w14:paraId="4D5C7A32" w14:textId="77777777" w:rsidR="00597B5E" w:rsidRPr="00B65F7F" w:rsidRDefault="00597B5E" w:rsidP="00CA015E">
            <w:pPr>
              <w:pStyle w:val="TableText"/>
            </w:pPr>
            <w:r w:rsidRPr="00B65F7F">
              <w:t>NSW Aboriginal Health and Medical Research Council</w:t>
            </w:r>
          </w:p>
        </w:tc>
      </w:tr>
      <w:tr w:rsidR="00597B5E" w:rsidRPr="00B65F7F" w14:paraId="2B7676C8"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9639" w:type="dxa"/>
            <w:noWrap/>
            <w:hideMark/>
          </w:tcPr>
          <w:p w14:paraId="7FC45ED1" w14:textId="77777777" w:rsidR="00597B5E" w:rsidRPr="00B65F7F" w:rsidRDefault="00597B5E" w:rsidP="00CA015E">
            <w:pPr>
              <w:pStyle w:val="TableText"/>
            </w:pPr>
            <w:r w:rsidRPr="00B65F7F">
              <w:t>Aboriginal Health Council of Western Australia</w:t>
            </w:r>
          </w:p>
        </w:tc>
      </w:tr>
      <w:tr w:rsidR="00597B5E" w:rsidRPr="00B65F7F" w14:paraId="7137A99F"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9639" w:type="dxa"/>
            <w:noWrap/>
            <w:hideMark/>
          </w:tcPr>
          <w:p w14:paraId="7AB79E0F" w14:textId="77777777" w:rsidR="00597B5E" w:rsidRPr="00B65F7F" w:rsidRDefault="00597B5E" w:rsidP="00CA015E">
            <w:pPr>
              <w:pStyle w:val="TableText"/>
            </w:pPr>
            <w:r w:rsidRPr="00B65F7F">
              <w:t>Queensland Aboriginal and Islander Health Council</w:t>
            </w:r>
          </w:p>
        </w:tc>
      </w:tr>
      <w:tr w:rsidR="00597B5E" w:rsidRPr="00B65F7F" w14:paraId="7EFED446"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9639" w:type="dxa"/>
            <w:noWrap/>
            <w:hideMark/>
          </w:tcPr>
          <w:p w14:paraId="7F73227B" w14:textId="77777777" w:rsidR="00597B5E" w:rsidRPr="00B65F7F" w:rsidRDefault="00597B5E" w:rsidP="00CA015E">
            <w:pPr>
              <w:pStyle w:val="TableText"/>
            </w:pPr>
            <w:r w:rsidRPr="00B65F7F">
              <w:t xml:space="preserve">Winnunga Nimmityjah Aboriginal Health and Community Services </w:t>
            </w:r>
          </w:p>
        </w:tc>
      </w:tr>
      <w:tr w:rsidR="00597B5E" w:rsidRPr="00B65F7F" w14:paraId="705E9D6E"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9639" w:type="dxa"/>
            <w:noWrap/>
            <w:hideMark/>
          </w:tcPr>
          <w:p w14:paraId="11226A8F" w14:textId="77777777" w:rsidR="00597B5E" w:rsidRPr="00B65F7F" w:rsidRDefault="00597B5E" w:rsidP="00CA015E">
            <w:pPr>
              <w:pStyle w:val="TableText"/>
            </w:pPr>
            <w:r w:rsidRPr="00B65F7F">
              <w:t>Aboriginal Health Council of South Australia</w:t>
            </w:r>
          </w:p>
        </w:tc>
      </w:tr>
      <w:tr w:rsidR="00597B5E" w:rsidRPr="00B65F7F" w14:paraId="081C3F35"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9639" w:type="dxa"/>
            <w:noWrap/>
            <w:hideMark/>
          </w:tcPr>
          <w:p w14:paraId="78CA689D" w14:textId="77777777" w:rsidR="00597B5E" w:rsidRPr="00B65F7F" w:rsidRDefault="00597B5E" w:rsidP="00CA015E">
            <w:pPr>
              <w:pStyle w:val="TableText"/>
            </w:pPr>
            <w:r w:rsidRPr="00B65F7F">
              <w:t>Victorian Aboriginal Community Controlled Health Organisation</w:t>
            </w:r>
          </w:p>
        </w:tc>
      </w:tr>
      <w:tr w:rsidR="00597B5E" w:rsidRPr="00B65F7F" w14:paraId="3B38280A"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9639" w:type="dxa"/>
            <w:noWrap/>
            <w:hideMark/>
          </w:tcPr>
          <w:p w14:paraId="3EB18495" w14:textId="77777777" w:rsidR="00597B5E" w:rsidRPr="00B65F7F" w:rsidRDefault="00597B5E" w:rsidP="00CA015E">
            <w:pPr>
              <w:pStyle w:val="TableText"/>
            </w:pPr>
            <w:r w:rsidRPr="00B65F7F">
              <w:t>Aboriginal Medical Services Alliance Northern Territory</w:t>
            </w:r>
          </w:p>
        </w:tc>
      </w:tr>
    </w:tbl>
    <w:p w14:paraId="7464CE4A" w14:textId="77777777" w:rsidR="00597B5E" w:rsidRPr="00B65F7F" w:rsidRDefault="008D330E" w:rsidP="006734AE">
      <w:pPr>
        <w:pStyle w:val="HeadingLevel2NoNumber"/>
      </w:pPr>
      <w:r>
        <w:t xml:space="preserve">A5.6 </w:t>
      </w:r>
      <w:r w:rsidR="00597B5E" w:rsidRPr="00B65F7F">
        <w:t xml:space="preserve">Interviews with representatives from </w:t>
      </w:r>
      <w:r w:rsidR="00D1119F">
        <w:t>Primary</w:t>
      </w:r>
      <w:r w:rsidR="00597B5E" w:rsidRPr="00B65F7F">
        <w:t xml:space="preserve"> Health Networks</w:t>
      </w:r>
      <w:r w:rsidR="00597B5E">
        <w:t xml:space="preserve"> </w:t>
      </w:r>
    </w:p>
    <w:p w14:paraId="5A4AD1BC" w14:textId="29902FCC" w:rsidR="00597B5E" w:rsidRDefault="00597B5E" w:rsidP="00CA015E">
      <w:pPr>
        <w:pStyle w:val="BodyText"/>
        <w:keepNext/>
        <w:keepLines/>
      </w:pPr>
      <w:r w:rsidRPr="00B65F7F">
        <w:t>Representatives from 29 PHNs participated in one of 29 online interviews that were completed over the period of December 2022 to February 2023</w:t>
      </w:r>
      <w:r w:rsidR="006D513D">
        <w:t xml:space="preserve"> (</w:t>
      </w:r>
      <w:r w:rsidR="006D513D">
        <w:fldChar w:fldCharType="begin"/>
      </w:r>
      <w:r w:rsidR="006D513D">
        <w:instrText xml:space="preserve"> REF _Ref152082904 \h  \* MERGEFORMAT </w:instrText>
      </w:r>
      <w:r w:rsidR="006D513D">
        <w:fldChar w:fldCharType="separate"/>
      </w:r>
      <w:r w:rsidR="00934D5E">
        <w:t>Table A5.5</w:t>
      </w:r>
      <w:r w:rsidR="006D513D">
        <w:fldChar w:fldCharType="end"/>
      </w:r>
      <w:r w:rsidR="006D513D">
        <w:t>)</w:t>
      </w:r>
      <w:r w:rsidRPr="00B65F7F">
        <w:t>.</w:t>
      </w:r>
    </w:p>
    <w:p w14:paraId="035D05DF" w14:textId="1D37B31E" w:rsidR="00597B5E" w:rsidRPr="00B65F7F" w:rsidRDefault="00597B5E" w:rsidP="006D513D">
      <w:pPr>
        <w:pStyle w:val="CaptionTable"/>
      </w:pPr>
      <w:bookmarkStart w:id="300" w:name="_Ref152082904"/>
      <w:bookmarkStart w:id="301" w:name="_Toc145604978"/>
      <w:bookmarkStart w:id="302" w:name="_Toc145617850"/>
      <w:bookmarkStart w:id="303" w:name="_Toc156932087"/>
      <w:r>
        <w:t xml:space="preserve">Table </w:t>
      </w:r>
      <w:r w:rsidR="00A2259F">
        <w:t>A5.</w:t>
      </w:r>
      <w:r w:rsidR="00A2259F">
        <w:fldChar w:fldCharType="begin"/>
      </w:r>
      <w:r w:rsidR="00A2259F">
        <w:instrText xml:space="preserve"> SEQ Table_A5 \* ARABIC </w:instrText>
      </w:r>
      <w:r w:rsidR="00A2259F">
        <w:fldChar w:fldCharType="separate"/>
      </w:r>
      <w:r w:rsidR="00934D5E">
        <w:rPr>
          <w:noProof/>
        </w:rPr>
        <w:t>5</w:t>
      </w:r>
      <w:r w:rsidR="00A2259F">
        <w:fldChar w:fldCharType="end"/>
      </w:r>
      <w:bookmarkEnd w:id="300"/>
      <w:r>
        <w:t xml:space="preserve">: Online interviews with </w:t>
      </w:r>
      <w:r w:rsidR="00D1119F">
        <w:t>Primary</w:t>
      </w:r>
      <w:r>
        <w:t xml:space="preserve"> Health Networks held</w:t>
      </w:r>
      <w:bookmarkEnd w:id="301"/>
      <w:bookmarkEnd w:id="302"/>
      <w:bookmarkEnd w:id="303"/>
    </w:p>
    <w:tbl>
      <w:tblPr>
        <w:tblStyle w:val="Newtableforresport"/>
        <w:tblW w:w="9639" w:type="dxa"/>
        <w:tblInd w:w="0" w:type="dxa"/>
        <w:tblLook w:val="04A0" w:firstRow="1" w:lastRow="0" w:firstColumn="1" w:lastColumn="0" w:noHBand="0" w:noVBand="1"/>
        <w:tblCaption w:val="Table A5.5: Online interviews with Primary Health Networks held"/>
        <w:tblDescription w:val="The table provides a list of Primary Health Networks that engaged in online interviews for the Review. "/>
      </w:tblPr>
      <w:tblGrid>
        <w:gridCol w:w="9639"/>
      </w:tblGrid>
      <w:tr w:rsidR="00597B5E" w:rsidRPr="00B65F7F" w14:paraId="6030B305" w14:textId="77777777" w:rsidTr="006F6DD1">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9639" w:type="dxa"/>
            <w:noWrap/>
            <w:hideMark/>
          </w:tcPr>
          <w:p w14:paraId="22B6F70F" w14:textId="77777777" w:rsidR="00597B5E" w:rsidRPr="00B65F7F" w:rsidRDefault="00597B5E" w:rsidP="00024E8D">
            <w:pPr>
              <w:pStyle w:val="TableHeading"/>
              <w:rPr>
                <w:b w:val="0"/>
              </w:rPr>
            </w:pPr>
            <w:r w:rsidRPr="00B65F7F">
              <w:t>PHN</w:t>
            </w:r>
          </w:p>
        </w:tc>
      </w:tr>
      <w:tr w:rsidR="00597B5E" w:rsidRPr="00C04F71" w14:paraId="7BFC3585"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39" w:type="dxa"/>
            <w:noWrap/>
            <w:hideMark/>
          </w:tcPr>
          <w:p w14:paraId="4750A5FA" w14:textId="77777777" w:rsidR="00597B5E" w:rsidRPr="00C04F71" w:rsidRDefault="00597B5E" w:rsidP="00C04F71">
            <w:pPr>
              <w:pStyle w:val="TableText"/>
              <w:rPr>
                <w:b w:val="0"/>
                <w:bCs/>
              </w:rPr>
            </w:pPr>
            <w:r w:rsidRPr="00C04F71">
              <w:rPr>
                <w:b w:val="0"/>
                <w:bCs/>
              </w:rPr>
              <w:t>Adelaide PHN</w:t>
            </w:r>
          </w:p>
        </w:tc>
      </w:tr>
      <w:tr w:rsidR="00597B5E" w:rsidRPr="00C04F71" w14:paraId="6CE5DD46" w14:textId="77777777" w:rsidTr="006F6DD1">
        <w:trPr>
          <w:cnfStyle w:val="000000010000" w:firstRow="0" w:lastRow="0" w:firstColumn="0" w:lastColumn="0" w:oddVBand="0" w:evenVBand="0" w:oddHBand="0" w:evenHBand="1"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9639" w:type="dxa"/>
            <w:hideMark/>
          </w:tcPr>
          <w:p w14:paraId="159E1705" w14:textId="77777777" w:rsidR="00597B5E" w:rsidRPr="00C04F71" w:rsidRDefault="00597B5E" w:rsidP="00C04F71">
            <w:pPr>
              <w:pStyle w:val="TableText"/>
              <w:rPr>
                <w:b w:val="0"/>
                <w:bCs/>
              </w:rPr>
            </w:pPr>
            <w:r w:rsidRPr="00C04F71">
              <w:rPr>
                <w:b w:val="0"/>
                <w:bCs/>
              </w:rPr>
              <w:t>Murrumbidgee PHN</w:t>
            </w:r>
          </w:p>
        </w:tc>
      </w:tr>
      <w:tr w:rsidR="00597B5E" w:rsidRPr="00C04F71" w14:paraId="07889EE6"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39" w:type="dxa"/>
            <w:noWrap/>
            <w:hideMark/>
          </w:tcPr>
          <w:p w14:paraId="4966CB0D" w14:textId="77777777" w:rsidR="00597B5E" w:rsidRPr="00C04F71" w:rsidRDefault="00597B5E" w:rsidP="00C04F71">
            <w:pPr>
              <w:pStyle w:val="TableText"/>
              <w:rPr>
                <w:b w:val="0"/>
                <w:bCs/>
              </w:rPr>
            </w:pPr>
            <w:r w:rsidRPr="00C04F71">
              <w:rPr>
                <w:b w:val="0"/>
                <w:bCs/>
              </w:rPr>
              <w:t xml:space="preserve">Coordinare – South Eastern NSW PHN </w:t>
            </w:r>
          </w:p>
        </w:tc>
      </w:tr>
      <w:tr w:rsidR="00597B5E" w:rsidRPr="00C04F71" w14:paraId="227A28BB"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39" w:type="dxa"/>
            <w:noWrap/>
            <w:hideMark/>
          </w:tcPr>
          <w:p w14:paraId="1F44839F" w14:textId="77777777" w:rsidR="00597B5E" w:rsidRPr="00C04F71" w:rsidRDefault="00597B5E" w:rsidP="00C04F71">
            <w:pPr>
              <w:pStyle w:val="TableText"/>
              <w:rPr>
                <w:b w:val="0"/>
                <w:bCs/>
              </w:rPr>
            </w:pPr>
            <w:r w:rsidRPr="00C04F71">
              <w:rPr>
                <w:b w:val="0"/>
                <w:bCs/>
              </w:rPr>
              <w:t>Central and Eastern Sydney PHN</w:t>
            </w:r>
          </w:p>
        </w:tc>
      </w:tr>
      <w:tr w:rsidR="00597B5E" w:rsidRPr="00C04F71" w14:paraId="1F0E3C77"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39" w:type="dxa"/>
            <w:noWrap/>
            <w:hideMark/>
          </w:tcPr>
          <w:p w14:paraId="437949BA" w14:textId="77777777" w:rsidR="00597B5E" w:rsidRPr="00C04F71" w:rsidRDefault="00597B5E" w:rsidP="00C04F71">
            <w:pPr>
              <w:pStyle w:val="TableText"/>
              <w:rPr>
                <w:b w:val="0"/>
                <w:bCs/>
              </w:rPr>
            </w:pPr>
            <w:r w:rsidRPr="00C04F71">
              <w:rPr>
                <w:b w:val="0"/>
                <w:bCs/>
              </w:rPr>
              <w:t>Western NSW PHN</w:t>
            </w:r>
          </w:p>
        </w:tc>
      </w:tr>
      <w:tr w:rsidR="00597B5E" w:rsidRPr="00C04F71" w14:paraId="26475129"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39" w:type="dxa"/>
            <w:noWrap/>
            <w:hideMark/>
          </w:tcPr>
          <w:p w14:paraId="0032572F" w14:textId="77777777" w:rsidR="00597B5E" w:rsidRPr="00C04F71" w:rsidRDefault="00597B5E" w:rsidP="00C04F71">
            <w:pPr>
              <w:pStyle w:val="TableText"/>
              <w:rPr>
                <w:b w:val="0"/>
                <w:bCs/>
              </w:rPr>
            </w:pPr>
            <w:r w:rsidRPr="00C04F71">
              <w:rPr>
                <w:b w:val="0"/>
                <w:bCs/>
              </w:rPr>
              <w:t>South Western Sydney PHN</w:t>
            </w:r>
          </w:p>
        </w:tc>
      </w:tr>
      <w:tr w:rsidR="00597B5E" w:rsidRPr="00C04F71" w14:paraId="635BB036"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39" w:type="dxa"/>
            <w:noWrap/>
            <w:hideMark/>
          </w:tcPr>
          <w:p w14:paraId="19015662" w14:textId="77777777" w:rsidR="00597B5E" w:rsidRPr="00C04F71" w:rsidRDefault="00597B5E" w:rsidP="00C04F71">
            <w:pPr>
              <w:pStyle w:val="TableText"/>
              <w:rPr>
                <w:b w:val="0"/>
                <w:bCs/>
              </w:rPr>
            </w:pPr>
            <w:r w:rsidRPr="00C04F71">
              <w:rPr>
                <w:b w:val="0"/>
                <w:bCs/>
              </w:rPr>
              <w:t>Nepean Blue Mountains PHN</w:t>
            </w:r>
          </w:p>
        </w:tc>
      </w:tr>
      <w:tr w:rsidR="00597B5E" w:rsidRPr="00C04F71" w14:paraId="142D577E"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39" w:type="dxa"/>
            <w:noWrap/>
            <w:hideMark/>
          </w:tcPr>
          <w:p w14:paraId="4F83F3D0" w14:textId="77777777" w:rsidR="00597B5E" w:rsidRPr="00C04F71" w:rsidRDefault="00597B5E" w:rsidP="00C04F71">
            <w:pPr>
              <w:pStyle w:val="TableText"/>
              <w:rPr>
                <w:b w:val="0"/>
                <w:bCs/>
              </w:rPr>
            </w:pPr>
            <w:r w:rsidRPr="00C04F71">
              <w:rPr>
                <w:b w:val="0"/>
                <w:bCs/>
              </w:rPr>
              <w:t>Hunter New England &amp; Central Coast PHN</w:t>
            </w:r>
          </w:p>
        </w:tc>
      </w:tr>
      <w:tr w:rsidR="00597B5E" w:rsidRPr="00C04F71" w14:paraId="635BCC90"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39" w:type="dxa"/>
            <w:noWrap/>
            <w:hideMark/>
          </w:tcPr>
          <w:p w14:paraId="2A8249F4" w14:textId="77777777" w:rsidR="00597B5E" w:rsidRPr="00C04F71" w:rsidRDefault="00597B5E" w:rsidP="00C04F71">
            <w:pPr>
              <w:pStyle w:val="TableText"/>
              <w:rPr>
                <w:b w:val="0"/>
                <w:bCs/>
              </w:rPr>
            </w:pPr>
            <w:r w:rsidRPr="00C04F71">
              <w:rPr>
                <w:b w:val="0"/>
                <w:bCs/>
              </w:rPr>
              <w:t>North Coast PHN</w:t>
            </w:r>
          </w:p>
        </w:tc>
      </w:tr>
      <w:tr w:rsidR="00597B5E" w:rsidRPr="00C04F71" w14:paraId="1069A267"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39" w:type="dxa"/>
            <w:noWrap/>
            <w:hideMark/>
          </w:tcPr>
          <w:p w14:paraId="53C38F9F" w14:textId="77777777" w:rsidR="00597B5E" w:rsidRPr="00C04F71" w:rsidRDefault="00597B5E" w:rsidP="00C04F71">
            <w:pPr>
              <w:pStyle w:val="TableText"/>
              <w:rPr>
                <w:b w:val="0"/>
                <w:bCs/>
              </w:rPr>
            </w:pPr>
            <w:r w:rsidRPr="00C04F71">
              <w:rPr>
                <w:b w:val="0"/>
                <w:bCs/>
              </w:rPr>
              <w:t>Northern Sydney PHN</w:t>
            </w:r>
          </w:p>
        </w:tc>
      </w:tr>
      <w:tr w:rsidR="00597B5E" w:rsidRPr="00C04F71" w14:paraId="5FD5452A"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39" w:type="dxa"/>
            <w:noWrap/>
            <w:hideMark/>
          </w:tcPr>
          <w:p w14:paraId="3F880284" w14:textId="77777777" w:rsidR="00597B5E" w:rsidRPr="00C04F71" w:rsidRDefault="00597B5E" w:rsidP="00C04F71">
            <w:pPr>
              <w:pStyle w:val="TableText"/>
              <w:rPr>
                <w:b w:val="0"/>
                <w:bCs/>
              </w:rPr>
            </w:pPr>
            <w:r w:rsidRPr="00C04F71">
              <w:rPr>
                <w:b w:val="0"/>
                <w:bCs/>
              </w:rPr>
              <w:t>Western Sydney PHN</w:t>
            </w:r>
          </w:p>
        </w:tc>
      </w:tr>
      <w:tr w:rsidR="00597B5E" w:rsidRPr="00C04F71" w14:paraId="75829347"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39" w:type="dxa"/>
            <w:noWrap/>
            <w:hideMark/>
          </w:tcPr>
          <w:p w14:paraId="13CB337A" w14:textId="77777777" w:rsidR="00597B5E" w:rsidRPr="00C04F71" w:rsidRDefault="002062D1" w:rsidP="00C04F71">
            <w:pPr>
              <w:pStyle w:val="TableText"/>
              <w:rPr>
                <w:b w:val="0"/>
                <w:bCs/>
              </w:rPr>
            </w:pPr>
            <w:r w:rsidRPr="00C04F71">
              <w:rPr>
                <w:b w:val="0"/>
                <w:bCs/>
              </w:rPr>
              <w:t>Western</w:t>
            </w:r>
            <w:r w:rsidR="00597B5E" w:rsidRPr="00C04F71">
              <w:rPr>
                <w:b w:val="0"/>
                <w:bCs/>
              </w:rPr>
              <w:t xml:space="preserve"> Queensland PHN</w:t>
            </w:r>
          </w:p>
        </w:tc>
      </w:tr>
      <w:tr w:rsidR="00597B5E" w:rsidRPr="00C04F71" w14:paraId="4A94DAFE"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39" w:type="dxa"/>
            <w:noWrap/>
            <w:hideMark/>
          </w:tcPr>
          <w:p w14:paraId="2D590155" w14:textId="77777777" w:rsidR="00597B5E" w:rsidRPr="00C04F71" w:rsidRDefault="00597B5E" w:rsidP="00C04F71">
            <w:pPr>
              <w:pStyle w:val="TableText"/>
              <w:rPr>
                <w:b w:val="0"/>
                <w:bCs/>
              </w:rPr>
            </w:pPr>
            <w:r w:rsidRPr="00C04F71">
              <w:rPr>
                <w:b w:val="0"/>
                <w:bCs/>
              </w:rPr>
              <w:t>Darling Downs &amp; West Moreton PHN</w:t>
            </w:r>
          </w:p>
        </w:tc>
      </w:tr>
      <w:tr w:rsidR="00597B5E" w:rsidRPr="00C04F71" w14:paraId="243A406D"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39" w:type="dxa"/>
            <w:noWrap/>
            <w:hideMark/>
          </w:tcPr>
          <w:p w14:paraId="4BA21631" w14:textId="77777777" w:rsidR="00597B5E" w:rsidRPr="00C04F71" w:rsidRDefault="00597B5E" w:rsidP="00C04F71">
            <w:pPr>
              <w:pStyle w:val="TableText"/>
              <w:rPr>
                <w:b w:val="0"/>
                <w:bCs/>
              </w:rPr>
            </w:pPr>
            <w:r w:rsidRPr="00C04F71">
              <w:rPr>
                <w:b w:val="0"/>
                <w:bCs/>
              </w:rPr>
              <w:t>Central Queensland, Wide Bay, Sunshine Coast PHN</w:t>
            </w:r>
          </w:p>
        </w:tc>
      </w:tr>
      <w:tr w:rsidR="00597B5E" w:rsidRPr="00C04F71" w14:paraId="79A8B025"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39" w:type="dxa"/>
            <w:noWrap/>
            <w:hideMark/>
          </w:tcPr>
          <w:p w14:paraId="69C65B47" w14:textId="77777777" w:rsidR="00597B5E" w:rsidRPr="00C04F71" w:rsidRDefault="00597B5E" w:rsidP="00C04F71">
            <w:pPr>
              <w:pStyle w:val="TableText"/>
              <w:rPr>
                <w:b w:val="0"/>
                <w:bCs/>
              </w:rPr>
            </w:pPr>
            <w:r w:rsidRPr="00C04F71">
              <w:rPr>
                <w:b w:val="0"/>
                <w:bCs/>
              </w:rPr>
              <w:t>Brisbane South PHN</w:t>
            </w:r>
          </w:p>
        </w:tc>
      </w:tr>
      <w:tr w:rsidR="00597B5E" w:rsidRPr="00C04F71" w14:paraId="103CA23F"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39" w:type="dxa"/>
            <w:noWrap/>
            <w:hideMark/>
          </w:tcPr>
          <w:p w14:paraId="577A7739" w14:textId="77777777" w:rsidR="00597B5E" w:rsidRPr="00C04F71" w:rsidRDefault="00597B5E" w:rsidP="00C04F71">
            <w:pPr>
              <w:pStyle w:val="TableText"/>
              <w:rPr>
                <w:b w:val="0"/>
                <w:bCs/>
              </w:rPr>
            </w:pPr>
            <w:r w:rsidRPr="00C04F71">
              <w:rPr>
                <w:b w:val="0"/>
                <w:bCs/>
              </w:rPr>
              <w:t>Brisbane North PHN</w:t>
            </w:r>
          </w:p>
        </w:tc>
      </w:tr>
      <w:tr w:rsidR="00597B5E" w:rsidRPr="00C04F71" w14:paraId="1E9311DD"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39" w:type="dxa"/>
            <w:noWrap/>
            <w:hideMark/>
          </w:tcPr>
          <w:p w14:paraId="01290AE1" w14:textId="77777777" w:rsidR="00597B5E" w:rsidRPr="00C04F71" w:rsidRDefault="00597B5E" w:rsidP="00C04F71">
            <w:pPr>
              <w:pStyle w:val="TableText"/>
              <w:rPr>
                <w:b w:val="0"/>
                <w:bCs/>
              </w:rPr>
            </w:pPr>
            <w:r w:rsidRPr="00C04F71">
              <w:rPr>
                <w:b w:val="0"/>
                <w:bCs/>
              </w:rPr>
              <w:t>Gold Coast PHN</w:t>
            </w:r>
          </w:p>
        </w:tc>
      </w:tr>
      <w:tr w:rsidR="00597B5E" w:rsidRPr="00C04F71" w14:paraId="0C2238C9"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39" w:type="dxa"/>
            <w:noWrap/>
            <w:hideMark/>
          </w:tcPr>
          <w:p w14:paraId="0B2100A4" w14:textId="77777777" w:rsidR="00597B5E" w:rsidRPr="00C04F71" w:rsidRDefault="00597B5E" w:rsidP="00C04F71">
            <w:pPr>
              <w:pStyle w:val="TableText"/>
              <w:rPr>
                <w:b w:val="0"/>
                <w:bCs/>
              </w:rPr>
            </w:pPr>
            <w:r w:rsidRPr="00C04F71">
              <w:rPr>
                <w:b w:val="0"/>
                <w:bCs/>
              </w:rPr>
              <w:t>Northern Queensland PHN</w:t>
            </w:r>
          </w:p>
        </w:tc>
      </w:tr>
      <w:tr w:rsidR="00597B5E" w:rsidRPr="00C04F71" w14:paraId="653FE0B1"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39" w:type="dxa"/>
            <w:noWrap/>
            <w:hideMark/>
          </w:tcPr>
          <w:p w14:paraId="17E91E66" w14:textId="77777777" w:rsidR="00597B5E" w:rsidRPr="00C04F71" w:rsidRDefault="00597B5E" w:rsidP="00C04F71">
            <w:pPr>
              <w:pStyle w:val="TableText"/>
              <w:rPr>
                <w:b w:val="0"/>
                <w:bCs/>
              </w:rPr>
            </w:pPr>
            <w:r w:rsidRPr="00C04F71">
              <w:rPr>
                <w:b w:val="0"/>
                <w:bCs/>
              </w:rPr>
              <w:t>Northern Territory PHN</w:t>
            </w:r>
          </w:p>
        </w:tc>
      </w:tr>
      <w:tr w:rsidR="00597B5E" w:rsidRPr="00C04F71" w14:paraId="1CF6AF60"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39" w:type="dxa"/>
            <w:noWrap/>
            <w:hideMark/>
          </w:tcPr>
          <w:p w14:paraId="5E9BE03F" w14:textId="77777777" w:rsidR="00597B5E" w:rsidRPr="00C04F71" w:rsidRDefault="00597B5E" w:rsidP="00C04F71">
            <w:pPr>
              <w:pStyle w:val="TableText"/>
              <w:rPr>
                <w:b w:val="0"/>
                <w:bCs/>
              </w:rPr>
            </w:pPr>
            <w:r w:rsidRPr="00C04F71">
              <w:rPr>
                <w:b w:val="0"/>
                <w:bCs/>
              </w:rPr>
              <w:t>Gippsland PHN</w:t>
            </w:r>
          </w:p>
        </w:tc>
      </w:tr>
      <w:tr w:rsidR="00597B5E" w:rsidRPr="00C04F71" w14:paraId="675F9022"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39" w:type="dxa"/>
            <w:noWrap/>
            <w:hideMark/>
          </w:tcPr>
          <w:p w14:paraId="3EB2AB39" w14:textId="77777777" w:rsidR="00597B5E" w:rsidRPr="00C04F71" w:rsidRDefault="00597B5E" w:rsidP="00C04F71">
            <w:pPr>
              <w:pStyle w:val="TableText"/>
              <w:rPr>
                <w:b w:val="0"/>
                <w:bCs/>
              </w:rPr>
            </w:pPr>
            <w:r w:rsidRPr="00C04F71">
              <w:rPr>
                <w:b w:val="0"/>
                <w:bCs/>
              </w:rPr>
              <w:t>Murray PHN</w:t>
            </w:r>
          </w:p>
        </w:tc>
      </w:tr>
      <w:tr w:rsidR="00597B5E" w:rsidRPr="00C04F71" w14:paraId="439AAF6D"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39" w:type="dxa"/>
            <w:noWrap/>
            <w:hideMark/>
          </w:tcPr>
          <w:p w14:paraId="58294DCE" w14:textId="77777777" w:rsidR="00597B5E" w:rsidRPr="00C04F71" w:rsidRDefault="00597B5E" w:rsidP="00C04F71">
            <w:pPr>
              <w:pStyle w:val="TableText"/>
              <w:rPr>
                <w:b w:val="0"/>
                <w:bCs/>
              </w:rPr>
            </w:pPr>
            <w:r w:rsidRPr="00C04F71">
              <w:rPr>
                <w:b w:val="0"/>
                <w:bCs/>
              </w:rPr>
              <w:t>North Western Melbourne PHN</w:t>
            </w:r>
          </w:p>
        </w:tc>
      </w:tr>
      <w:tr w:rsidR="00597B5E" w:rsidRPr="00C04F71" w14:paraId="24495DFD"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39" w:type="dxa"/>
            <w:noWrap/>
            <w:hideMark/>
          </w:tcPr>
          <w:p w14:paraId="2048CF67" w14:textId="77777777" w:rsidR="00597B5E" w:rsidRPr="00C04F71" w:rsidRDefault="00597B5E" w:rsidP="00C04F71">
            <w:pPr>
              <w:pStyle w:val="TableText"/>
              <w:rPr>
                <w:b w:val="0"/>
                <w:bCs/>
              </w:rPr>
            </w:pPr>
            <w:r w:rsidRPr="00C04F71">
              <w:rPr>
                <w:b w:val="0"/>
                <w:bCs/>
              </w:rPr>
              <w:t>South Eastern Melbourne PHN</w:t>
            </w:r>
          </w:p>
        </w:tc>
      </w:tr>
      <w:tr w:rsidR="00597B5E" w:rsidRPr="00C04F71" w14:paraId="0C62BADF"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39" w:type="dxa"/>
            <w:noWrap/>
            <w:hideMark/>
          </w:tcPr>
          <w:p w14:paraId="2DA775E6" w14:textId="77777777" w:rsidR="00597B5E" w:rsidRPr="00C04F71" w:rsidRDefault="00597B5E" w:rsidP="00C04F71">
            <w:pPr>
              <w:pStyle w:val="TableText"/>
              <w:rPr>
                <w:b w:val="0"/>
                <w:bCs/>
              </w:rPr>
            </w:pPr>
            <w:r w:rsidRPr="00C04F71">
              <w:rPr>
                <w:b w:val="0"/>
                <w:bCs/>
              </w:rPr>
              <w:t>Western Victoria PHN</w:t>
            </w:r>
          </w:p>
        </w:tc>
      </w:tr>
      <w:tr w:rsidR="00597B5E" w:rsidRPr="00C04F71" w14:paraId="34BD6D82"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39" w:type="dxa"/>
            <w:noWrap/>
            <w:hideMark/>
          </w:tcPr>
          <w:p w14:paraId="42A7A6F9" w14:textId="77777777" w:rsidR="00597B5E" w:rsidRPr="00C04F71" w:rsidRDefault="00597B5E" w:rsidP="00C04F71">
            <w:pPr>
              <w:pStyle w:val="TableText"/>
              <w:rPr>
                <w:b w:val="0"/>
                <w:bCs/>
              </w:rPr>
            </w:pPr>
            <w:r w:rsidRPr="00C04F71">
              <w:rPr>
                <w:b w:val="0"/>
                <w:bCs/>
              </w:rPr>
              <w:t>Primary Health Tasmania PHN</w:t>
            </w:r>
          </w:p>
        </w:tc>
      </w:tr>
      <w:tr w:rsidR="00597B5E" w:rsidRPr="00C04F71" w14:paraId="55808C4A"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39" w:type="dxa"/>
            <w:noWrap/>
            <w:hideMark/>
          </w:tcPr>
          <w:p w14:paraId="621EDFE7" w14:textId="77777777" w:rsidR="00597B5E" w:rsidRPr="00C04F71" w:rsidRDefault="00597B5E" w:rsidP="00C04F71">
            <w:pPr>
              <w:pStyle w:val="TableText"/>
              <w:rPr>
                <w:b w:val="0"/>
                <w:bCs/>
              </w:rPr>
            </w:pPr>
            <w:r w:rsidRPr="00C04F71">
              <w:rPr>
                <w:b w:val="0"/>
                <w:bCs/>
              </w:rPr>
              <w:t xml:space="preserve">Perth North PHN </w:t>
            </w:r>
          </w:p>
        </w:tc>
      </w:tr>
      <w:tr w:rsidR="00597B5E" w:rsidRPr="00C04F71" w14:paraId="7F70F39B"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39" w:type="dxa"/>
            <w:noWrap/>
            <w:hideMark/>
          </w:tcPr>
          <w:p w14:paraId="3F92D7E3" w14:textId="77777777" w:rsidR="00597B5E" w:rsidRPr="00C04F71" w:rsidRDefault="00597B5E" w:rsidP="00C04F71">
            <w:pPr>
              <w:pStyle w:val="TableText"/>
              <w:rPr>
                <w:b w:val="0"/>
                <w:bCs/>
              </w:rPr>
            </w:pPr>
            <w:r w:rsidRPr="00C04F71">
              <w:rPr>
                <w:b w:val="0"/>
                <w:bCs/>
              </w:rPr>
              <w:t xml:space="preserve">Perth South PHN </w:t>
            </w:r>
          </w:p>
        </w:tc>
      </w:tr>
      <w:tr w:rsidR="00597B5E" w:rsidRPr="00C04F71" w14:paraId="17E1716E"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39" w:type="dxa"/>
            <w:noWrap/>
            <w:hideMark/>
          </w:tcPr>
          <w:p w14:paraId="2B3E80D7" w14:textId="77777777" w:rsidR="00597B5E" w:rsidRPr="00C04F71" w:rsidRDefault="00597B5E" w:rsidP="00C04F71">
            <w:pPr>
              <w:pStyle w:val="TableText"/>
              <w:rPr>
                <w:b w:val="0"/>
                <w:bCs/>
              </w:rPr>
            </w:pPr>
            <w:r w:rsidRPr="00C04F71">
              <w:rPr>
                <w:b w:val="0"/>
                <w:bCs/>
              </w:rPr>
              <w:t xml:space="preserve">Country WA PHN </w:t>
            </w:r>
          </w:p>
        </w:tc>
      </w:tr>
      <w:tr w:rsidR="00597B5E" w:rsidRPr="00C04F71" w14:paraId="48DE4955"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39" w:type="dxa"/>
            <w:noWrap/>
            <w:hideMark/>
          </w:tcPr>
          <w:p w14:paraId="3EC93AB7" w14:textId="77777777" w:rsidR="00597B5E" w:rsidRPr="00C04F71" w:rsidRDefault="00597B5E" w:rsidP="00C04F71">
            <w:pPr>
              <w:pStyle w:val="TableText"/>
              <w:rPr>
                <w:b w:val="0"/>
                <w:bCs/>
              </w:rPr>
            </w:pPr>
            <w:r w:rsidRPr="00C04F71">
              <w:rPr>
                <w:b w:val="0"/>
                <w:bCs/>
              </w:rPr>
              <w:t>Australian Capital Territory PHN</w:t>
            </w:r>
          </w:p>
        </w:tc>
      </w:tr>
    </w:tbl>
    <w:p w14:paraId="12B02D54" w14:textId="77777777" w:rsidR="00597B5E" w:rsidRPr="00B65F7F" w:rsidRDefault="008D330E" w:rsidP="006734AE">
      <w:pPr>
        <w:pStyle w:val="HeadingLevel2NoNumber"/>
        <w:rPr>
          <w:bCs/>
          <w:sz w:val="22"/>
        </w:rPr>
      </w:pPr>
      <w:r>
        <w:t xml:space="preserve">A5.7 </w:t>
      </w:r>
      <w:r w:rsidR="00597B5E" w:rsidRPr="00B65F7F">
        <w:t xml:space="preserve">Co-design </w:t>
      </w:r>
      <w:r w:rsidR="006002E7">
        <w:t>y</w:t>
      </w:r>
      <w:r w:rsidR="00597B5E" w:rsidRPr="00B65F7F">
        <w:t>arns</w:t>
      </w:r>
    </w:p>
    <w:p w14:paraId="0BC7B521" w14:textId="23FEB77B" w:rsidR="00597B5E" w:rsidRPr="00B65F7F" w:rsidRDefault="00597B5E" w:rsidP="00C04F71">
      <w:pPr>
        <w:pStyle w:val="BodyText"/>
        <w:rPr>
          <w:b/>
        </w:rPr>
      </w:pPr>
      <w:r w:rsidRPr="00B65F7F">
        <w:t>Eight 2</w:t>
      </w:r>
      <w:r>
        <w:t>-</w:t>
      </w:r>
      <w:r w:rsidRPr="00B65F7F">
        <w:t xml:space="preserve">day, </w:t>
      </w:r>
      <w:r>
        <w:t>c</w:t>
      </w:r>
      <w:r w:rsidRPr="00B65F7F">
        <w:t>o-</w:t>
      </w:r>
      <w:r>
        <w:t>d</w:t>
      </w:r>
      <w:r w:rsidRPr="00B65F7F">
        <w:t xml:space="preserve">esign </w:t>
      </w:r>
      <w:r>
        <w:t>y</w:t>
      </w:r>
      <w:r w:rsidRPr="00B65F7F">
        <w:t>arns were completed in each state or territory capital city over the period of July to August 2023</w:t>
      </w:r>
      <w:r w:rsidR="006D513D">
        <w:t xml:space="preserve"> (</w:t>
      </w:r>
      <w:r w:rsidR="006D513D">
        <w:fldChar w:fldCharType="begin"/>
      </w:r>
      <w:r w:rsidR="006D513D">
        <w:instrText xml:space="preserve"> REF _Ref152082955 \h </w:instrText>
      </w:r>
      <w:r w:rsidR="006D513D">
        <w:fldChar w:fldCharType="separate"/>
      </w:r>
      <w:r w:rsidR="00934D5E">
        <w:t>Table A5.</w:t>
      </w:r>
      <w:r w:rsidR="00934D5E">
        <w:rPr>
          <w:noProof/>
        </w:rPr>
        <w:t>6</w:t>
      </w:r>
      <w:r w:rsidR="006D513D">
        <w:fldChar w:fldCharType="end"/>
      </w:r>
      <w:r w:rsidR="006D513D">
        <w:t>)</w:t>
      </w:r>
      <w:r w:rsidRPr="00B65F7F">
        <w:t>.</w:t>
      </w:r>
    </w:p>
    <w:p w14:paraId="077C5CA7" w14:textId="77777777" w:rsidR="00597B5E" w:rsidRDefault="00597B5E" w:rsidP="00C04F71">
      <w:pPr>
        <w:pStyle w:val="BodyText"/>
      </w:pPr>
      <w:r w:rsidRPr="00B65F7F">
        <w:t>Representatives associated with 88 Indigenous and mainstream service providers, PHNs, state or territory governments and community members participated.</w:t>
      </w:r>
      <w:r>
        <w:t xml:space="preserve"> </w:t>
      </w:r>
      <w:r w:rsidRPr="00B65F7F">
        <w:t>Together, the core principles and elements of effective funding and options for the future-state funding arrangements of the programs under review were collectively designed.</w:t>
      </w:r>
      <w:r>
        <w:t xml:space="preserve"> </w:t>
      </w:r>
    </w:p>
    <w:p w14:paraId="48FB25D8" w14:textId="3F2B8A7A" w:rsidR="00597B5E" w:rsidRPr="00B65F7F" w:rsidRDefault="00597B5E" w:rsidP="00597B5E">
      <w:pPr>
        <w:pStyle w:val="CaptionTable"/>
      </w:pPr>
      <w:bookmarkStart w:id="304" w:name="_Ref152082955"/>
      <w:bookmarkStart w:id="305" w:name="_Toc145604979"/>
      <w:bookmarkStart w:id="306" w:name="_Toc145617851"/>
      <w:bookmarkStart w:id="307" w:name="_Toc156932088"/>
      <w:r>
        <w:t xml:space="preserve">Table </w:t>
      </w:r>
      <w:r w:rsidR="00A2259F">
        <w:t>A5.</w:t>
      </w:r>
      <w:r w:rsidR="00A2259F">
        <w:fldChar w:fldCharType="begin"/>
      </w:r>
      <w:r w:rsidR="00A2259F">
        <w:instrText xml:space="preserve"> SEQ Table_A5 \* ARABIC </w:instrText>
      </w:r>
      <w:r w:rsidR="00A2259F">
        <w:fldChar w:fldCharType="separate"/>
      </w:r>
      <w:r w:rsidR="00934D5E">
        <w:rPr>
          <w:noProof/>
        </w:rPr>
        <w:t>6</w:t>
      </w:r>
      <w:r w:rsidR="00A2259F">
        <w:fldChar w:fldCharType="end"/>
      </w:r>
      <w:bookmarkEnd w:id="304"/>
      <w:r>
        <w:t>: Co-design yarns held</w:t>
      </w:r>
      <w:bookmarkEnd w:id="305"/>
      <w:bookmarkEnd w:id="306"/>
      <w:bookmarkEnd w:id="307"/>
    </w:p>
    <w:tbl>
      <w:tblPr>
        <w:tblStyle w:val="Newtableforresport"/>
        <w:tblW w:w="9540" w:type="dxa"/>
        <w:tblInd w:w="0" w:type="dxa"/>
        <w:tblLook w:val="0420" w:firstRow="1" w:lastRow="0" w:firstColumn="0" w:lastColumn="0" w:noHBand="0" w:noVBand="1"/>
        <w:tblCaption w:val="Table A5.6: Co-design yarns held"/>
        <w:tblDescription w:val="The table describes organisations and regions where co-design yarns were held to gather information for the Review, and the stakeholder group that engaged in the co-design yarn. The first column lists regions and organisations that engaged in co-design yarns. The second column lists the type of stakeholder group that the organisation came under. For example, the Aboriginal Health Council of South Australia is a NACCHO state affiliate that engaged in the co-design yarns. "/>
      </w:tblPr>
      <w:tblGrid>
        <w:gridCol w:w="5670"/>
        <w:gridCol w:w="3870"/>
      </w:tblGrid>
      <w:tr w:rsidR="00597B5E" w:rsidRPr="00B65F7F" w14:paraId="182FA184" w14:textId="77777777" w:rsidTr="006F6DD1">
        <w:trPr>
          <w:cnfStyle w:val="100000000000" w:firstRow="1" w:lastRow="0" w:firstColumn="0" w:lastColumn="0" w:oddVBand="0" w:evenVBand="0" w:oddHBand="0" w:evenHBand="0" w:firstRowFirstColumn="0" w:firstRowLastColumn="0" w:lastRowFirstColumn="0" w:lastRowLastColumn="0"/>
          <w:trHeight w:val="300"/>
          <w:tblHeader/>
        </w:trPr>
        <w:tc>
          <w:tcPr>
            <w:tcW w:w="5670" w:type="dxa"/>
            <w:tcBorders>
              <w:bottom w:val="single" w:sz="6" w:space="0" w:color="595959" w:themeColor="text1" w:themeTint="A6"/>
            </w:tcBorders>
            <w:noWrap/>
            <w:hideMark/>
          </w:tcPr>
          <w:p w14:paraId="65E7ABA1" w14:textId="77777777" w:rsidR="00597B5E" w:rsidRPr="00B65F7F" w:rsidRDefault="00597B5E" w:rsidP="00024E8D">
            <w:pPr>
              <w:pStyle w:val="TableHeading"/>
              <w:rPr>
                <w:b w:val="0"/>
              </w:rPr>
            </w:pPr>
            <w:r w:rsidRPr="00B65F7F">
              <w:t>Organisation</w:t>
            </w:r>
            <w:r>
              <w:t xml:space="preserve"> </w:t>
            </w:r>
          </w:p>
        </w:tc>
        <w:tc>
          <w:tcPr>
            <w:tcW w:w="3870" w:type="dxa"/>
            <w:tcBorders>
              <w:bottom w:val="single" w:sz="6" w:space="0" w:color="595959" w:themeColor="text1" w:themeTint="A6"/>
            </w:tcBorders>
            <w:noWrap/>
            <w:hideMark/>
          </w:tcPr>
          <w:p w14:paraId="03B0295E" w14:textId="77777777" w:rsidR="00597B5E" w:rsidRPr="00B65F7F" w:rsidRDefault="00597B5E" w:rsidP="00024E8D">
            <w:pPr>
              <w:pStyle w:val="TableHeading"/>
              <w:rPr>
                <w:b w:val="0"/>
              </w:rPr>
            </w:pPr>
            <w:r w:rsidRPr="00B65F7F">
              <w:t xml:space="preserve">Stakeholder </w:t>
            </w:r>
            <w:r>
              <w:t>g</w:t>
            </w:r>
            <w:r w:rsidRPr="00B65F7F">
              <w:t>roup</w:t>
            </w:r>
          </w:p>
        </w:tc>
      </w:tr>
      <w:tr w:rsidR="00597B5E" w:rsidRPr="00C04F71" w14:paraId="3C3DD13E"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tcBorders>
              <w:top w:val="single" w:sz="6" w:space="0" w:color="595959" w:themeColor="text1" w:themeTint="A6"/>
            </w:tcBorders>
            <w:shd w:val="clear" w:color="auto" w:fill="F2F2F2" w:themeFill="background1" w:themeFillShade="F2"/>
            <w:noWrap/>
          </w:tcPr>
          <w:p w14:paraId="7653F86D" w14:textId="77777777" w:rsidR="00597B5E" w:rsidRPr="00C04F71" w:rsidRDefault="00597B5E" w:rsidP="00C04F71">
            <w:pPr>
              <w:pStyle w:val="TableText"/>
              <w:rPr>
                <w:b/>
                <w:bCs/>
              </w:rPr>
            </w:pPr>
            <w:r w:rsidRPr="00C04F71">
              <w:rPr>
                <w:b/>
                <w:bCs/>
              </w:rPr>
              <w:t>South Australia</w:t>
            </w:r>
          </w:p>
        </w:tc>
        <w:tc>
          <w:tcPr>
            <w:tcW w:w="3870" w:type="dxa"/>
            <w:tcBorders>
              <w:top w:val="single" w:sz="6" w:space="0" w:color="595959" w:themeColor="text1" w:themeTint="A6"/>
            </w:tcBorders>
            <w:shd w:val="clear" w:color="auto" w:fill="F2F2F2" w:themeFill="background1" w:themeFillShade="F2"/>
            <w:noWrap/>
          </w:tcPr>
          <w:p w14:paraId="0E6E65A3" w14:textId="77777777" w:rsidR="00597B5E" w:rsidRPr="00C04F71" w:rsidRDefault="00597B5E" w:rsidP="00C04F71">
            <w:pPr>
              <w:pStyle w:val="TableText"/>
              <w:rPr>
                <w:b/>
                <w:bCs/>
              </w:rPr>
            </w:pPr>
          </w:p>
        </w:tc>
      </w:tr>
      <w:tr w:rsidR="00597B5E" w:rsidRPr="00B65F7F" w14:paraId="5C4DBAD7"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noWrap/>
            <w:hideMark/>
          </w:tcPr>
          <w:p w14:paraId="2A9105C0" w14:textId="77777777" w:rsidR="00597B5E" w:rsidRPr="00B65F7F" w:rsidRDefault="00597B5E" w:rsidP="00C04F71">
            <w:pPr>
              <w:pStyle w:val="TableText"/>
            </w:pPr>
            <w:r w:rsidRPr="00B65F7F">
              <w:t>Aboriginal Health Council of South Australia</w:t>
            </w:r>
          </w:p>
        </w:tc>
        <w:tc>
          <w:tcPr>
            <w:tcW w:w="3870" w:type="dxa"/>
            <w:noWrap/>
            <w:hideMark/>
          </w:tcPr>
          <w:p w14:paraId="18966281" w14:textId="77777777" w:rsidR="00597B5E" w:rsidRPr="00B65F7F" w:rsidRDefault="00597B5E" w:rsidP="00C04F71">
            <w:pPr>
              <w:pStyle w:val="TableText"/>
            </w:pPr>
            <w:r w:rsidRPr="00B65F7F">
              <w:t xml:space="preserve">NACCHO </w:t>
            </w:r>
            <w:r w:rsidR="006002E7">
              <w:t>s</w:t>
            </w:r>
            <w:r w:rsidRPr="00B65F7F">
              <w:t xml:space="preserve">tate </w:t>
            </w:r>
            <w:r w:rsidR="006002E7">
              <w:t>a</w:t>
            </w:r>
            <w:r w:rsidRPr="00B65F7F">
              <w:t>ffiliate</w:t>
            </w:r>
          </w:p>
        </w:tc>
      </w:tr>
      <w:tr w:rsidR="00597B5E" w:rsidRPr="00B65F7F" w14:paraId="62B4D19A"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noWrap/>
            <w:hideMark/>
          </w:tcPr>
          <w:p w14:paraId="2D05AAFD" w14:textId="77777777" w:rsidR="00597B5E" w:rsidRPr="00B65F7F" w:rsidRDefault="00597B5E" w:rsidP="00C04F71">
            <w:pPr>
              <w:pStyle w:val="TableText"/>
            </w:pPr>
            <w:r w:rsidRPr="00B65F7F">
              <w:t>Adelaide PHN</w:t>
            </w:r>
          </w:p>
        </w:tc>
        <w:tc>
          <w:tcPr>
            <w:tcW w:w="3870" w:type="dxa"/>
            <w:noWrap/>
            <w:hideMark/>
          </w:tcPr>
          <w:p w14:paraId="4D7D806E" w14:textId="77777777" w:rsidR="00597B5E" w:rsidRPr="00B65F7F" w:rsidRDefault="00597B5E" w:rsidP="00C04F71">
            <w:pPr>
              <w:pStyle w:val="TableText"/>
            </w:pPr>
            <w:r w:rsidRPr="00B65F7F">
              <w:t>PHN</w:t>
            </w:r>
          </w:p>
        </w:tc>
      </w:tr>
      <w:tr w:rsidR="00597B5E" w:rsidRPr="00B65F7F" w14:paraId="26030540"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noWrap/>
            <w:hideMark/>
          </w:tcPr>
          <w:p w14:paraId="4DD9F263" w14:textId="77777777" w:rsidR="00597B5E" w:rsidRPr="00B65F7F" w:rsidRDefault="00597B5E" w:rsidP="00C04F71">
            <w:pPr>
              <w:pStyle w:val="TableText"/>
            </w:pPr>
            <w:r w:rsidRPr="00B65F7F">
              <w:t>Country SA PHN</w:t>
            </w:r>
          </w:p>
        </w:tc>
        <w:tc>
          <w:tcPr>
            <w:tcW w:w="3870" w:type="dxa"/>
            <w:noWrap/>
            <w:hideMark/>
          </w:tcPr>
          <w:p w14:paraId="3D3499F4" w14:textId="77777777" w:rsidR="00597B5E" w:rsidRPr="00B65F7F" w:rsidRDefault="00597B5E" w:rsidP="00C04F71">
            <w:pPr>
              <w:pStyle w:val="TableText"/>
            </w:pPr>
            <w:r w:rsidRPr="00B65F7F">
              <w:t>PHN</w:t>
            </w:r>
          </w:p>
        </w:tc>
      </w:tr>
      <w:tr w:rsidR="00597B5E" w:rsidRPr="00B65F7F" w14:paraId="4029709E"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noWrap/>
            <w:hideMark/>
          </w:tcPr>
          <w:p w14:paraId="5CED3965" w14:textId="77777777" w:rsidR="00597B5E" w:rsidRPr="00B65F7F" w:rsidRDefault="00597B5E" w:rsidP="00C04F71">
            <w:pPr>
              <w:pStyle w:val="TableText"/>
            </w:pPr>
            <w:r w:rsidRPr="00B65F7F">
              <w:t>Nunkuwarrin Yunti of South Australia Incorporated</w:t>
            </w:r>
          </w:p>
        </w:tc>
        <w:tc>
          <w:tcPr>
            <w:tcW w:w="3870" w:type="dxa"/>
            <w:noWrap/>
            <w:hideMark/>
          </w:tcPr>
          <w:p w14:paraId="13BFCD08" w14:textId="77777777" w:rsidR="00597B5E" w:rsidRPr="00B65F7F" w:rsidRDefault="00597B5E" w:rsidP="00C04F71">
            <w:pPr>
              <w:pStyle w:val="TableText"/>
            </w:pPr>
            <w:r w:rsidRPr="00B65F7F">
              <w:t>ACCHO</w:t>
            </w:r>
          </w:p>
        </w:tc>
      </w:tr>
      <w:tr w:rsidR="00597B5E" w:rsidRPr="00B65F7F" w14:paraId="15D6B727"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noWrap/>
            <w:hideMark/>
          </w:tcPr>
          <w:p w14:paraId="10D22688" w14:textId="77777777" w:rsidR="00597B5E" w:rsidRPr="00B65F7F" w:rsidRDefault="00597B5E" w:rsidP="00C04F71">
            <w:pPr>
              <w:pStyle w:val="TableText"/>
            </w:pPr>
            <w:r w:rsidRPr="00B65F7F">
              <w:t>Tullawon Health Service</w:t>
            </w:r>
          </w:p>
        </w:tc>
        <w:tc>
          <w:tcPr>
            <w:tcW w:w="3870" w:type="dxa"/>
            <w:noWrap/>
            <w:hideMark/>
          </w:tcPr>
          <w:p w14:paraId="691CEDAB" w14:textId="77777777" w:rsidR="00597B5E" w:rsidRPr="00B65F7F" w:rsidRDefault="00597B5E" w:rsidP="00C04F71">
            <w:pPr>
              <w:pStyle w:val="TableText"/>
            </w:pPr>
            <w:r w:rsidRPr="00B65F7F">
              <w:t>ACCHO</w:t>
            </w:r>
          </w:p>
        </w:tc>
      </w:tr>
      <w:tr w:rsidR="00597B5E" w:rsidRPr="00B65F7F" w14:paraId="47EB9C57"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noWrap/>
            <w:hideMark/>
          </w:tcPr>
          <w:p w14:paraId="693D1A93" w14:textId="77777777" w:rsidR="00597B5E" w:rsidRPr="003D7EE8" w:rsidRDefault="00597B5E" w:rsidP="00C04F71">
            <w:pPr>
              <w:pStyle w:val="TableText"/>
              <w:rPr>
                <w:color w:val="000000" w:themeColor="text1"/>
              </w:rPr>
            </w:pPr>
            <w:r w:rsidRPr="003D7EE8">
              <w:rPr>
                <w:color w:val="000000" w:themeColor="text1"/>
              </w:rPr>
              <w:t>Pangula Mannamurn</w:t>
            </w:r>
            <w:r>
              <w:rPr>
                <w:color w:val="000000" w:themeColor="text1"/>
              </w:rPr>
              <w:t>a</w:t>
            </w:r>
            <w:r w:rsidRPr="003D7EE8">
              <w:rPr>
                <w:color w:val="000000" w:themeColor="text1"/>
              </w:rPr>
              <w:t xml:space="preserve"> Corporation</w:t>
            </w:r>
          </w:p>
        </w:tc>
        <w:tc>
          <w:tcPr>
            <w:tcW w:w="3870" w:type="dxa"/>
            <w:noWrap/>
            <w:hideMark/>
          </w:tcPr>
          <w:p w14:paraId="68315736" w14:textId="77777777" w:rsidR="00597B5E" w:rsidRPr="003D7EE8" w:rsidRDefault="00597B5E" w:rsidP="00C04F71">
            <w:pPr>
              <w:pStyle w:val="TableText"/>
              <w:rPr>
                <w:color w:val="000000" w:themeColor="text1"/>
              </w:rPr>
            </w:pPr>
            <w:r w:rsidRPr="003D7EE8">
              <w:rPr>
                <w:color w:val="000000" w:themeColor="text1"/>
              </w:rPr>
              <w:t>ACCHO</w:t>
            </w:r>
          </w:p>
        </w:tc>
      </w:tr>
      <w:tr w:rsidR="00597B5E" w:rsidRPr="00B65F7F" w14:paraId="3F23CCDF"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noWrap/>
          </w:tcPr>
          <w:p w14:paraId="34D99AC2" w14:textId="46FC00B9" w:rsidR="00597B5E" w:rsidRPr="007F34E3" w:rsidRDefault="00597B5E" w:rsidP="007F34E3">
            <w:pPr>
              <w:pStyle w:val="TableText"/>
            </w:pPr>
            <w:r w:rsidRPr="007F34E3">
              <w:t>Aboriginal Sobriety Group</w:t>
            </w:r>
          </w:p>
        </w:tc>
        <w:tc>
          <w:tcPr>
            <w:tcW w:w="3870" w:type="dxa"/>
            <w:noWrap/>
          </w:tcPr>
          <w:p w14:paraId="1B12E68F" w14:textId="4CB48615" w:rsidR="00597B5E" w:rsidRPr="007F34E3" w:rsidRDefault="00597B5E" w:rsidP="007F34E3">
            <w:pPr>
              <w:pStyle w:val="TableText"/>
            </w:pPr>
            <w:r w:rsidRPr="007F34E3">
              <w:t>ACCHO</w:t>
            </w:r>
          </w:p>
        </w:tc>
      </w:tr>
      <w:tr w:rsidR="00597B5E" w:rsidRPr="00B65F7F" w14:paraId="35EAF06B"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noWrap/>
          </w:tcPr>
          <w:p w14:paraId="5B776771" w14:textId="4488BB68" w:rsidR="00597B5E" w:rsidRPr="007F34E3" w:rsidRDefault="00597B5E" w:rsidP="007F34E3">
            <w:pPr>
              <w:pStyle w:val="TableText"/>
            </w:pPr>
            <w:r w:rsidRPr="007F34E3">
              <w:t>Port Lincoln Aboriginal Health Service</w:t>
            </w:r>
          </w:p>
        </w:tc>
        <w:tc>
          <w:tcPr>
            <w:tcW w:w="3870" w:type="dxa"/>
            <w:noWrap/>
          </w:tcPr>
          <w:p w14:paraId="0EC8517D" w14:textId="4C8A4E36" w:rsidR="00597B5E" w:rsidRPr="007F34E3" w:rsidRDefault="00597B5E" w:rsidP="007F34E3">
            <w:pPr>
              <w:pStyle w:val="TableText"/>
            </w:pPr>
            <w:r w:rsidRPr="007F34E3">
              <w:t>ACCHO</w:t>
            </w:r>
          </w:p>
        </w:tc>
      </w:tr>
      <w:tr w:rsidR="00597B5E" w:rsidRPr="00B65F7F" w14:paraId="4753B697"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noWrap/>
          </w:tcPr>
          <w:p w14:paraId="111601B4" w14:textId="70E747C1" w:rsidR="00597B5E" w:rsidRPr="007F34E3" w:rsidRDefault="00597B5E" w:rsidP="007F34E3">
            <w:pPr>
              <w:pStyle w:val="TableText"/>
            </w:pPr>
            <w:r w:rsidRPr="007F34E3">
              <w:t>Nunyara Health Service</w:t>
            </w:r>
          </w:p>
        </w:tc>
        <w:tc>
          <w:tcPr>
            <w:tcW w:w="3870" w:type="dxa"/>
            <w:noWrap/>
          </w:tcPr>
          <w:p w14:paraId="144C1F26" w14:textId="73B8A4A8" w:rsidR="00597B5E" w:rsidRPr="007F34E3" w:rsidRDefault="00597B5E" w:rsidP="007F34E3">
            <w:pPr>
              <w:pStyle w:val="TableText"/>
            </w:pPr>
            <w:r w:rsidRPr="007F34E3">
              <w:t>ACCHO</w:t>
            </w:r>
          </w:p>
        </w:tc>
      </w:tr>
      <w:tr w:rsidR="00597B5E" w:rsidRPr="00B65F7F" w14:paraId="1F8F9BBD"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noWrap/>
            <w:hideMark/>
          </w:tcPr>
          <w:p w14:paraId="7190AB20" w14:textId="77777777" w:rsidR="00597B5E" w:rsidRPr="00B65F7F" w:rsidRDefault="00597B5E" w:rsidP="00C04F71">
            <w:pPr>
              <w:pStyle w:val="TableText"/>
            </w:pPr>
            <w:r w:rsidRPr="00B65F7F">
              <w:t>Sonder</w:t>
            </w:r>
          </w:p>
        </w:tc>
        <w:tc>
          <w:tcPr>
            <w:tcW w:w="3870" w:type="dxa"/>
            <w:noWrap/>
            <w:hideMark/>
          </w:tcPr>
          <w:p w14:paraId="5601D685" w14:textId="77777777" w:rsidR="00597B5E" w:rsidRPr="00B65F7F" w:rsidRDefault="00597B5E" w:rsidP="00C04F71">
            <w:pPr>
              <w:pStyle w:val="TableText"/>
            </w:pPr>
            <w:r w:rsidRPr="00B65F7F">
              <w:t xml:space="preserve">Service </w:t>
            </w:r>
            <w:r w:rsidR="006002E7">
              <w:t>p</w:t>
            </w:r>
            <w:r w:rsidRPr="00B65F7F">
              <w:t>rovider (mainstream)</w:t>
            </w:r>
          </w:p>
        </w:tc>
      </w:tr>
      <w:tr w:rsidR="00597B5E" w:rsidRPr="00B65F7F" w14:paraId="3D9C54C7"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noWrap/>
            <w:hideMark/>
          </w:tcPr>
          <w:p w14:paraId="635658F5" w14:textId="77777777" w:rsidR="00597B5E" w:rsidRPr="00B65F7F" w:rsidRDefault="00597B5E" w:rsidP="00C04F71">
            <w:pPr>
              <w:pStyle w:val="TableText"/>
            </w:pPr>
            <w:r w:rsidRPr="00B65F7F">
              <w:t>Linking Futures</w:t>
            </w:r>
          </w:p>
        </w:tc>
        <w:tc>
          <w:tcPr>
            <w:tcW w:w="3870" w:type="dxa"/>
            <w:noWrap/>
            <w:hideMark/>
          </w:tcPr>
          <w:p w14:paraId="029F8ACC" w14:textId="77777777" w:rsidR="00597B5E" w:rsidRPr="00B65F7F" w:rsidRDefault="00597B5E" w:rsidP="00C04F71">
            <w:pPr>
              <w:pStyle w:val="TableText"/>
            </w:pPr>
            <w:r w:rsidRPr="00B65F7F">
              <w:t xml:space="preserve">Service </w:t>
            </w:r>
            <w:r w:rsidR="006002E7">
              <w:t>p</w:t>
            </w:r>
            <w:r w:rsidRPr="00B65F7F">
              <w:t>rovider (mainstream)</w:t>
            </w:r>
          </w:p>
        </w:tc>
      </w:tr>
      <w:tr w:rsidR="00597B5E" w:rsidRPr="00B65F7F" w14:paraId="6B6A46EE"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noWrap/>
            <w:hideMark/>
          </w:tcPr>
          <w:p w14:paraId="316D37A1" w14:textId="77777777" w:rsidR="00597B5E" w:rsidRPr="00B65F7F" w:rsidRDefault="00597B5E" w:rsidP="00C04F71">
            <w:pPr>
              <w:pStyle w:val="TableText"/>
            </w:pPr>
            <w:r w:rsidRPr="00B65F7F">
              <w:t xml:space="preserve">Country and Outback Health </w:t>
            </w:r>
          </w:p>
        </w:tc>
        <w:tc>
          <w:tcPr>
            <w:tcW w:w="3870" w:type="dxa"/>
            <w:noWrap/>
            <w:hideMark/>
          </w:tcPr>
          <w:p w14:paraId="45FBE418" w14:textId="77777777" w:rsidR="00597B5E" w:rsidRPr="00B65F7F" w:rsidRDefault="00597B5E" w:rsidP="00C04F71">
            <w:pPr>
              <w:pStyle w:val="TableText"/>
            </w:pPr>
            <w:r w:rsidRPr="00B65F7F">
              <w:t xml:space="preserve">Service </w:t>
            </w:r>
            <w:r w:rsidR="006002E7">
              <w:t>p</w:t>
            </w:r>
            <w:r w:rsidRPr="00B65F7F">
              <w:t>rovider (mainstream)</w:t>
            </w:r>
          </w:p>
        </w:tc>
      </w:tr>
      <w:tr w:rsidR="00597B5E" w:rsidRPr="00B65F7F" w14:paraId="62BDC547"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noWrap/>
            <w:hideMark/>
          </w:tcPr>
          <w:p w14:paraId="67300CF9" w14:textId="77777777" w:rsidR="00597B5E" w:rsidRPr="00B65F7F" w:rsidRDefault="00597B5E" w:rsidP="00C04F71">
            <w:pPr>
              <w:pStyle w:val="TableText"/>
            </w:pPr>
            <w:r w:rsidRPr="00B65F7F">
              <w:t>FocusOne Health</w:t>
            </w:r>
          </w:p>
        </w:tc>
        <w:tc>
          <w:tcPr>
            <w:tcW w:w="3870" w:type="dxa"/>
            <w:noWrap/>
            <w:hideMark/>
          </w:tcPr>
          <w:p w14:paraId="396E97AE" w14:textId="77777777" w:rsidR="00597B5E" w:rsidRPr="00B65F7F" w:rsidRDefault="00597B5E" w:rsidP="00C04F71">
            <w:pPr>
              <w:pStyle w:val="TableText"/>
            </w:pPr>
            <w:r w:rsidRPr="00B65F7F">
              <w:t xml:space="preserve">Service </w:t>
            </w:r>
            <w:r w:rsidR="006002E7">
              <w:t>p</w:t>
            </w:r>
            <w:r w:rsidRPr="00B65F7F">
              <w:t>rovider (mainstream)</w:t>
            </w:r>
          </w:p>
        </w:tc>
      </w:tr>
      <w:tr w:rsidR="00597B5E" w:rsidRPr="00B65F7F" w14:paraId="0CDBB45B"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tcBorders>
              <w:bottom w:val="single" w:sz="6" w:space="0" w:color="595959" w:themeColor="text1" w:themeTint="A6"/>
            </w:tcBorders>
            <w:noWrap/>
            <w:hideMark/>
          </w:tcPr>
          <w:p w14:paraId="2546112E" w14:textId="77777777" w:rsidR="00597B5E" w:rsidRPr="00B65F7F" w:rsidRDefault="00597B5E" w:rsidP="00C04F71">
            <w:pPr>
              <w:pStyle w:val="TableText"/>
            </w:pPr>
            <w:r w:rsidRPr="00B65F7F">
              <w:t xml:space="preserve">South Australian Government </w:t>
            </w:r>
            <w:r w:rsidR="006002E7">
              <w:t>–</w:t>
            </w:r>
            <w:r w:rsidRPr="00B65F7F">
              <w:t xml:space="preserve"> Office of Chief Psychiatrist</w:t>
            </w:r>
          </w:p>
        </w:tc>
        <w:tc>
          <w:tcPr>
            <w:tcW w:w="3870" w:type="dxa"/>
            <w:tcBorders>
              <w:bottom w:val="single" w:sz="6" w:space="0" w:color="595959" w:themeColor="text1" w:themeTint="A6"/>
            </w:tcBorders>
            <w:noWrap/>
            <w:hideMark/>
          </w:tcPr>
          <w:p w14:paraId="0C0DEA21" w14:textId="77777777" w:rsidR="00597B5E" w:rsidRPr="00B65F7F" w:rsidRDefault="00597B5E" w:rsidP="00C04F71">
            <w:pPr>
              <w:pStyle w:val="TableText"/>
            </w:pPr>
            <w:r w:rsidRPr="00B65F7F">
              <w:t xml:space="preserve">State </w:t>
            </w:r>
            <w:r w:rsidR="006002E7">
              <w:t>g</w:t>
            </w:r>
            <w:r w:rsidRPr="00B65F7F">
              <w:t>overnment</w:t>
            </w:r>
          </w:p>
        </w:tc>
      </w:tr>
      <w:tr w:rsidR="00597B5E" w:rsidRPr="00C04F71" w14:paraId="03A75BCE"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tcBorders>
              <w:top w:val="single" w:sz="6" w:space="0" w:color="595959" w:themeColor="text1" w:themeTint="A6"/>
            </w:tcBorders>
            <w:shd w:val="clear" w:color="auto" w:fill="F2F2F2" w:themeFill="background1" w:themeFillShade="F2"/>
            <w:noWrap/>
            <w:hideMark/>
          </w:tcPr>
          <w:p w14:paraId="63A2BBA8" w14:textId="77777777" w:rsidR="00597B5E" w:rsidRPr="00C04F71" w:rsidRDefault="00597B5E" w:rsidP="00C04F71">
            <w:pPr>
              <w:pStyle w:val="TableText"/>
              <w:rPr>
                <w:b/>
                <w:bCs/>
              </w:rPr>
            </w:pPr>
            <w:r w:rsidRPr="00C04F71">
              <w:rPr>
                <w:b/>
                <w:bCs/>
                <w:lang w:eastAsia="en-GB"/>
              </w:rPr>
              <w:t>Western Australia</w:t>
            </w:r>
            <w:r w:rsidRPr="00C04F71">
              <w:rPr>
                <w:b/>
                <w:bCs/>
              </w:rPr>
              <w:t xml:space="preserve"> </w:t>
            </w:r>
          </w:p>
        </w:tc>
        <w:tc>
          <w:tcPr>
            <w:tcW w:w="3870" w:type="dxa"/>
            <w:tcBorders>
              <w:top w:val="single" w:sz="6" w:space="0" w:color="595959" w:themeColor="text1" w:themeTint="A6"/>
            </w:tcBorders>
            <w:shd w:val="clear" w:color="auto" w:fill="F2F2F2" w:themeFill="background1" w:themeFillShade="F2"/>
            <w:noWrap/>
            <w:hideMark/>
          </w:tcPr>
          <w:p w14:paraId="75060980" w14:textId="77777777" w:rsidR="00597B5E" w:rsidRPr="00C04F71" w:rsidRDefault="00597B5E" w:rsidP="00C04F71">
            <w:pPr>
              <w:pStyle w:val="TableText"/>
              <w:rPr>
                <w:b/>
                <w:bCs/>
              </w:rPr>
            </w:pPr>
          </w:p>
        </w:tc>
      </w:tr>
      <w:tr w:rsidR="00597B5E" w:rsidRPr="00B65F7F" w14:paraId="6C1B2D6E"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noWrap/>
            <w:hideMark/>
          </w:tcPr>
          <w:p w14:paraId="46799B51" w14:textId="77777777" w:rsidR="00597B5E" w:rsidRPr="00B65F7F" w:rsidRDefault="00597B5E" w:rsidP="00C04F71">
            <w:pPr>
              <w:pStyle w:val="TableText"/>
            </w:pPr>
            <w:r w:rsidRPr="00B65F7F">
              <w:t>Aboriginal Health Council of Western Australia</w:t>
            </w:r>
          </w:p>
        </w:tc>
        <w:tc>
          <w:tcPr>
            <w:tcW w:w="3870" w:type="dxa"/>
            <w:noWrap/>
            <w:hideMark/>
          </w:tcPr>
          <w:p w14:paraId="42485615" w14:textId="77777777" w:rsidR="00597B5E" w:rsidRPr="00B65F7F" w:rsidRDefault="00597B5E" w:rsidP="00C04F71">
            <w:pPr>
              <w:pStyle w:val="TableText"/>
            </w:pPr>
            <w:r w:rsidRPr="00B65F7F">
              <w:t xml:space="preserve">NACCHO </w:t>
            </w:r>
            <w:r w:rsidR="006002E7">
              <w:t>s</w:t>
            </w:r>
            <w:r w:rsidRPr="00B65F7F">
              <w:t xml:space="preserve">tate </w:t>
            </w:r>
            <w:r w:rsidR="006002E7">
              <w:t>a</w:t>
            </w:r>
            <w:r w:rsidRPr="00B65F7F">
              <w:t>ffiliate</w:t>
            </w:r>
          </w:p>
        </w:tc>
      </w:tr>
      <w:tr w:rsidR="00597B5E" w:rsidRPr="00B65F7F" w14:paraId="42D8238D"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noWrap/>
            <w:hideMark/>
          </w:tcPr>
          <w:p w14:paraId="69AAD1F0" w14:textId="77777777" w:rsidR="00597B5E" w:rsidRPr="00B65F7F" w:rsidRDefault="00597B5E" w:rsidP="00C04F71">
            <w:pPr>
              <w:pStyle w:val="TableText"/>
            </w:pPr>
            <w:r w:rsidRPr="00B65F7F">
              <w:t xml:space="preserve">Perth North/South/Country WA PHN </w:t>
            </w:r>
            <w:r w:rsidR="006002E7">
              <w:t>–</w:t>
            </w:r>
            <w:r w:rsidRPr="00B65F7F">
              <w:t xml:space="preserve"> WAPHA</w:t>
            </w:r>
          </w:p>
        </w:tc>
        <w:tc>
          <w:tcPr>
            <w:tcW w:w="3870" w:type="dxa"/>
            <w:noWrap/>
            <w:hideMark/>
          </w:tcPr>
          <w:p w14:paraId="5944E37D" w14:textId="77777777" w:rsidR="00597B5E" w:rsidRPr="00B65F7F" w:rsidRDefault="00597B5E" w:rsidP="00C04F71">
            <w:pPr>
              <w:pStyle w:val="TableText"/>
            </w:pPr>
            <w:r w:rsidRPr="00B65F7F">
              <w:t>PHN</w:t>
            </w:r>
          </w:p>
        </w:tc>
      </w:tr>
      <w:tr w:rsidR="00597B5E" w:rsidRPr="00B65F7F" w14:paraId="086CE7EA"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noWrap/>
            <w:hideMark/>
          </w:tcPr>
          <w:p w14:paraId="78D8BCB3" w14:textId="77777777" w:rsidR="00597B5E" w:rsidRPr="00B65F7F" w:rsidRDefault="00597B5E" w:rsidP="00C04F71">
            <w:pPr>
              <w:pStyle w:val="TableText"/>
            </w:pPr>
            <w:r w:rsidRPr="00B65F7F">
              <w:t>South West Aboriginal Medical Service Aboriginal Corporation</w:t>
            </w:r>
          </w:p>
        </w:tc>
        <w:tc>
          <w:tcPr>
            <w:tcW w:w="3870" w:type="dxa"/>
            <w:noWrap/>
            <w:hideMark/>
          </w:tcPr>
          <w:p w14:paraId="2DCC0F1F" w14:textId="77777777" w:rsidR="00597B5E" w:rsidRPr="00B65F7F" w:rsidRDefault="00597B5E" w:rsidP="00C04F71">
            <w:pPr>
              <w:pStyle w:val="TableText"/>
            </w:pPr>
            <w:r w:rsidRPr="00B65F7F">
              <w:t>ACCHO</w:t>
            </w:r>
          </w:p>
        </w:tc>
      </w:tr>
      <w:tr w:rsidR="00597B5E" w:rsidRPr="00B65F7F" w14:paraId="2055AA89"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noWrap/>
            <w:hideMark/>
          </w:tcPr>
          <w:p w14:paraId="5509B2B4" w14:textId="77777777" w:rsidR="00597B5E" w:rsidRPr="00B65F7F" w:rsidRDefault="00597B5E" w:rsidP="00C04F71">
            <w:pPr>
              <w:pStyle w:val="TableText"/>
            </w:pPr>
            <w:r w:rsidRPr="00B65F7F">
              <w:t xml:space="preserve">Moorditj Koort Aboriginal Corporation </w:t>
            </w:r>
          </w:p>
        </w:tc>
        <w:tc>
          <w:tcPr>
            <w:tcW w:w="3870" w:type="dxa"/>
            <w:noWrap/>
            <w:hideMark/>
          </w:tcPr>
          <w:p w14:paraId="70199428" w14:textId="77777777" w:rsidR="00597B5E" w:rsidRPr="00B65F7F" w:rsidRDefault="00597B5E" w:rsidP="00C04F71">
            <w:pPr>
              <w:pStyle w:val="TableText"/>
            </w:pPr>
            <w:r w:rsidRPr="00B65F7F">
              <w:t>ACCHO</w:t>
            </w:r>
          </w:p>
        </w:tc>
      </w:tr>
      <w:tr w:rsidR="00597B5E" w:rsidRPr="00B65F7F" w14:paraId="1FA7B7C8"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noWrap/>
            <w:hideMark/>
          </w:tcPr>
          <w:p w14:paraId="117C01BE" w14:textId="77777777" w:rsidR="00597B5E" w:rsidRPr="00B65F7F" w:rsidRDefault="00597B5E" w:rsidP="00C04F71">
            <w:pPr>
              <w:pStyle w:val="TableText"/>
            </w:pPr>
            <w:r w:rsidRPr="00B65F7F">
              <w:t xml:space="preserve">Mawarnkarra Health Service </w:t>
            </w:r>
          </w:p>
        </w:tc>
        <w:tc>
          <w:tcPr>
            <w:tcW w:w="3870" w:type="dxa"/>
            <w:noWrap/>
            <w:hideMark/>
          </w:tcPr>
          <w:p w14:paraId="5D5BA3CC" w14:textId="77777777" w:rsidR="00597B5E" w:rsidRPr="00B65F7F" w:rsidRDefault="00597B5E" w:rsidP="00C04F71">
            <w:pPr>
              <w:pStyle w:val="TableText"/>
            </w:pPr>
            <w:r w:rsidRPr="00B65F7F">
              <w:t>ACCHO</w:t>
            </w:r>
          </w:p>
        </w:tc>
      </w:tr>
      <w:tr w:rsidR="00597B5E" w:rsidRPr="00B65F7F" w14:paraId="32E95AB8"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noWrap/>
            <w:hideMark/>
          </w:tcPr>
          <w:p w14:paraId="00423200" w14:textId="77777777" w:rsidR="00597B5E" w:rsidRPr="00B65F7F" w:rsidRDefault="00597B5E" w:rsidP="00C04F71">
            <w:pPr>
              <w:pStyle w:val="TableText"/>
            </w:pPr>
            <w:r w:rsidRPr="00B65F7F">
              <w:t>Ngaannyatjarra Health Service</w:t>
            </w:r>
          </w:p>
        </w:tc>
        <w:tc>
          <w:tcPr>
            <w:tcW w:w="3870" w:type="dxa"/>
            <w:noWrap/>
            <w:hideMark/>
          </w:tcPr>
          <w:p w14:paraId="0684E246" w14:textId="77777777" w:rsidR="00597B5E" w:rsidRPr="00B65F7F" w:rsidRDefault="00597B5E" w:rsidP="00C04F71">
            <w:pPr>
              <w:pStyle w:val="TableText"/>
            </w:pPr>
            <w:r w:rsidRPr="00B65F7F">
              <w:t>ACCHO</w:t>
            </w:r>
          </w:p>
        </w:tc>
      </w:tr>
      <w:tr w:rsidR="00597B5E" w:rsidRPr="00B65F7F" w14:paraId="0C81161E"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noWrap/>
            <w:hideMark/>
          </w:tcPr>
          <w:p w14:paraId="3D4A0B0A" w14:textId="77777777" w:rsidR="00597B5E" w:rsidRPr="00B65F7F" w:rsidRDefault="00597B5E" w:rsidP="00C04F71">
            <w:pPr>
              <w:pStyle w:val="TableText"/>
            </w:pPr>
            <w:r w:rsidRPr="00B65F7F">
              <w:t>South Coastal Health and Community Services</w:t>
            </w:r>
          </w:p>
        </w:tc>
        <w:tc>
          <w:tcPr>
            <w:tcW w:w="3870" w:type="dxa"/>
            <w:noWrap/>
            <w:hideMark/>
          </w:tcPr>
          <w:p w14:paraId="5C964926" w14:textId="77777777" w:rsidR="00597B5E" w:rsidRPr="00B65F7F" w:rsidRDefault="00597B5E" w:rsidP="00C04F71">
            <w:pPr>
              <w:pStyle w:val="TableText"/>
            </w:pPr>
            <w:r w:rsidRPr="00B65F7F">
              <w:t xml:space="preserve">Service </w:t>
            </w:r>
            <w:r w:rsidR="006002E7">
              <w:t>p</w:t>
            </w:r>
            <w:r w:rsidRPr="00B65F7F">
              <w:t>rovider (mainstream)</w:t>
            </w:r>
          </w:p>
        </w:tc>
      </w:tr>
      <w:tr w:rsidR="00597B5E" w:rsidRPr="00B65F7F" w14:paraId="4E7555A0"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noWrap/>
            <w:hideMark/>
          </w:tcPr>
          <w:p w14:paraId="4F3A322C" w14:textId="77777777" w:rsidR="00597B5E" w:rsidRPr="00B65F7F" w:rsidRDefault="00597B5E" w:rsidP="00C04F71">
            <w:pPr>
              <w:pStyle w:val="TableText"/>
            </w:pPr>
            <w:r w:rsidRPr="00B65F7F">
              <w:t>Boab Health and Community Services Limited</w:t>
            </w:r>
          </w:p>
        </w:tc>
        <w:tc>
          <w:tcPr>
            <w:tcW w:w="3870" w:type="dxa"/>
            <w:noWrap/>
            <w:hideMark/>
          </w:tcPr>
          <w:p w14:paraId="06A3A172" w14:textId="77777777" w:rsidR="00597B5E" w:rsidRPr="00B65F7F" w:rsidRDefault="00597B5E" w:rsidP="00C04F71">
            <w:pPr>
              <w:pStyle w:val="TableText"/>
            </w:pPr>
            <w:r w:rsidRPr="00B65F7F">
              <w:t xml:space="preserve">Service </w:t>
            </w:r>
            <w:r w:rsidR="006002E7">
              <w:t>p</w:t>
            </w:r>
            <w:r w:rsidRPr="00B65F7F">
              <w:t>rovider (mainstream)</w:t>
            </w:r>
          </w:p>
        </w:tc>
      </w:tr>
      <w:tr w:rsidR="00597B5E" w:rsidRPr="00B65F7F" w14:paraId="7C9783A1"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noWrap/>
            <w:hideMark/>
          </w:tcPr>
          <w:p w14:paraId="0662B258" w14:textId="77777777" w:rsidR="00597B5E" w:rsidRPr="00B65F7F" w:rsidRDefault="00597B5E" w:rsidP="00C04F71">
            <w:pPr>
              <w:pStyle w:val="TableText"/>
            </w:pPr>
            <w:r w:rsidRPr="00B65F7F">
              <w:t>Amity Health Limited</w:t>
            </w:r>
          </w:p>
        </w:tc>
        <w:tc>
          <w:tcPr>
            <w:tcW w:w="3870" w:type="dxa"/>
            <w:noWrap/>
            <w:hideMark/>
          </w:tcPr>
          <w:p w14:paraId="13609DEF" w14:textId="77777777" w:rsidR="00597B5E" w:rsidRPr="00B65F7F" w:rsidRDefault="00597B5E" w:rsidP="00C04F71">
            <w:pPr>
              <w:pStyle w:val="TableText"/>
            </w:pPr>
            <w:r w:rsidRPr="00B65F7F">
              <w:t xml:space="preserve">Service </w:t>
            </w:r>
            <w:r w:rsidR="006002E7">
              <w:t>p</w:t>
            </w:r>
            <w:r w:rsidRPr="00B65F7F">
              <w:t>rovider (mainstream)</w:t>
            </w:r>
          </w:p>
        </w:tc>
      </w:tr>
      <w:tr w:rsidR="00597B5E" w:rsidRPr="00B65F7F" w14:paraId="148C9BD2"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noWrap/>
            <w:hideMark/>
          </w:tcPr>
          <w:p w14:paraId="5BA1C554" w14:textId="77777777" w:rsidR="00597B5E" w:rsidRPr="00B65F7F" w:rsidRDefault="00597B5E" w:rsidP="00C04F71">
            <w:pPr>
              <w:pStyle w:val="TableText"/>
            </w:pPr>
            <w:r w:rsidRPr="00B65F7F">
              <w:t>Wheatbelt Health Network</w:t>
            </w:r>
          </w:p>
        </w:tc>
        <w:tc>
          <w:tcPr>
            <w:tcW w:w="3870" w:type="dxa"/>
            <w:noWrap/>
            <w:hideMark/>
          </w:tcPr>
          <w:p w14:paraId="681BFB82" w14:textId="77777777" w:rsidR="00597B5E" w:rsidRPr="00B65F7F" w:rsidRDefault="00597B5E" w:rsidP="00C04F71">
            <w:pPr>
              <w:pStyle w:val="TableText"/>
            </w:pPr>
            <w:r w:rsidRPr="00B65F7F">
              <w:t xml:space="preserve">Service </w:t>
            </w:r>
            <w:r w:rsidR="006002E7">
              <w:t>p</w:t>
            </w:r>
            <w:r w:rsidRPr="00B65F7F">
              <w:t>rovider (mainstream)</w:t>
            </w:r>
          </w:p>
        </w:tc>
      </w:tr>
      <w:tr w:rsidR="00597B5E" w:rsidRPr="00B65F7F" w14:paraId="3F9B6836"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noWrap/>
            <w:hideMark/>
          </w:tcPr>
          <w:p w14:paraId="714288D9" w14:textId="77777777" w:rsidR="00597B5E" w:rsidRPr="00B65F7F" w:rsidRDefault="00597B5E" w:rsidP="00C04F71">
            <w:pPr>
              <w:pStyle w:val="TableText"/>
            </w:pPr>
            <w:r w:rsidRPr="00B65F7F">
              <w:t>The Westerman Jilya Institute for Indigenous Mental Health</w:t>
            </w:r>
          </w:p>
        </w:tc>
        <w:tc>
          <w:tcPr>
            <w:tcW w:w="3870" w:type="dxa"/>
            <w:noWrap/>
            <w:hideMark/>
          </w:tcPr>
          <w:p w14:paraId="2088EA90" w14:textId="77777777" w:rsidR="00597B5E" w:rsidRPr="00B65F7F" w:rsidRDefault="00597B5E" w:rsidP="00C04F71">
            <w:pPr>
              <w:pStyle w:val="TableText"/>
            </w:pPr>
            <w:r w:rsidRPr="00B65F7F">
              <w:t>ACCHO</w:t>
            </w:r>
          </w:p>
        </w:tc>
      </w:tr>
      <w:tr w:rsidR="00597B5E" w:rsidRPr="00B65F7F" w14:paraId="6A60AEDE"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tcBorders>
              <w:bottom w:val="single" w:sz="6" w:space="0" w:color="595959" w:themeColor="text1" w:themeTint="A6"/>
            </w:tcBorders>
            <w:noWrap/>
            <w:hideMark/>
          </w:tcPr>
          <w:p w14:paraId="47F9A78C" w14:textId="77777777" w:rsidR="00597B5E" w:rsidRPr="00B65F7F" w:rsidRDefault="00597B5E" w:rsidP="00C04F71">
            <w:pPr>
              <w:pStyle w:val="TableText"/>
            </w:pPr>
            <w:r w:rsidRPr="00B65F7F">
              <w:t xml:space="preserve">Western Australia Government </w:t>
            </w:r>
          </w:p>
        </w:tc>
        <w:tc>
          <w:tcPr>
            <w:tcW w:w="3870" w:type="dxa"/>
            <w:tcBorders>
              <w:bottom w:val="single" w:sz="6" w:space="0" w:color="595959" w:themeColor="text1" w:themeTint="A6"/>
            </w:tcBorders>
            <w:noWrap/>
            <w:hideMark/>
          </w:tcPr>
          <w:p w14:paraId="4F9D8E16" w14:textId="77777777" w:rsidR="00597B5E" w:rsidRPr="00B65F7F" w:rsidRDefault="00597B5E" w:rsidP="00C04F71">
            <w:pPr>
              <w:pStyle w:val="TableText"/>
            </w:pPr>
            <w:r w:rsidRPr="00B65F7F">
              <w:t xml:space="preserve">State </w:t>
            </w:r>
          </w:p>
        </w:tc>
      </w:tr>
      <w:tr w:rsidR="00597B5E" w:rsidRPr="00C04F71" w14:paraId="0ECC1BAF"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tcBorders>
              <w:top w:val="single" w:sz="6" w:space="0" w:color="595959" w:themeColor="text1" w:themeTint="A6"/>
            </w:tcBorders>
            <w:shd w:val="clear" w:color="auto" w:fill="F2F2F2" w:themeFill="background1" w:themeFillShade="F2"/>
            <w:noWrap/>
            <w:hideMark/>
          </w:tcPr>
          <w:p w14:paraId="1A21626D" w14:textId="77777777" w:rsidR="00597B5E" w:rsidRPr="00C04F71" w:rsidRDefault="00597B5E" w:rsidP="00C04F71">
            <w:pPr>
              <w:pStyle w:val="TableText"/>
              <w:rPr>
                <w:b/>
                <w:bCs/>
              </w:rPr>
            </w:pPr>
            <w:r w:rsidRPr="00C04F71">
              <w:rPr>
                <w:b/>
                <w:bCs/>
              </w:rPr>
              <w:t>Victoria</w:t>
            </w:r>
          </w:p>
        </w:tc>
        <w:tc>
          <w:tcPr>
            <w:tcW w:w="3870" w:type="dxa"/>
            <w:tcBorders>
              <w:top w:val="single" w:sz="6" w:space="0" w:color="595959" w:themeColor="text1" w:themeTint="A6"/>
            </w:tcBorders>
            <w:shd w:val="clear" w:color="auto" w:fill="F2F2F2" w:themeFill="background1" w:themeFillShade="F2"/>
            <w:noWrap/>
            <w:hideMark/>
          </w:tcPr>
          <w:p w14:paraId="0DC9B908" w14:textId="77777777" w:rsidR="00597B5E" w:rsidRPr="00C04F71" w:rsidRDefault="00597B5E" w:rsidP="00C04F71">
            <w:pPr>
              <w:pStyle w:val="TableText"/>
              <w:rPr>
                <w:b/>
                <w:bCs/>
              </w:rPr>
            </w:pPr>
          </w:p>
        </w:tc>
      </w:tr>
      <w:tr w:rsidR="00597B5E" w:rsidRPr="00B65F7F" w14:paraId="4C859553"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noWrap/>
            <w:hideMark/>
          </w:tcPr>
          <w:p w14:paraId="474ECFC2" w14:textId="77777777" w:rsidR="00597B5E" w:rsidRPr="00B65F7F" w:rsidRDefault="00597B5E" w:rsidP="00C04F71">
            <w:pPr>
              <w:pStyle w:val="TableText"/>
            </w:pPr>
            <w:r w:rsidRPr="00B65F7F">
              <w:t>Victorian Aboriginal Community Controlled Health Organisation</w:t>
            </w:r>
          </w:p>
        </w:tc>
        <w:tc>
          <w:tcPr>
            <w:tcW w:w="3870" w:type="dxa"/>
            <w:noWrap/>
            <w:hideMark/>
          </w:tcPr>
          <w:p w14:paraId="35850E62" w14:textId="77777777" w:rsidR="00597B5E" w:rsidRPr="00B65F7F" w:rsidRDefault="00597B5E" w:rsidP="00C04F71">
            <w:pPr>
              <w:pStyle w:val="TableText"/>
            </w:pPr>
            <w:r w:rsidRPr="00B65F7F">
              <w:t xml:space="preserve">NACCHO </w:t>
            </w:r>
            <w:r w:rsidR="006002E7">
              <w:t>s</w:t>
            </w:r>
            <w:r w:rsidRPr="00B65F7F">
              <w:t xml:space="preserve">tate </w:t>
            </w:r>
            <w:r w:rsidR="006002E7">
              <w:t>a</w:t>
            </w:r>
            <w:r w:rsidRPr="00B65F7F">
              <w:t>ffiliate</w:t>
            </w:r>
          </w:p>
        </w:tc>
      </w:tr>
      <w:tr w:rsidR="00597B5E" w:rsidRPr="00B65F7F" w14:paraId="323E556F"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noWrap/>
            <w:hideMark/>
          </w:tcPr>
          <w:p w14:paraId="3BBE752F" w14:textId="77777777" w:rsidR="00597B5E" w:rsidRPr="00B65F7F" w:rsidRDefault="00597B5E" w:rsidP="00C04F71">
            <w:pPr>
              <w:pStyle w:val="TableText"/>
            </w:pPr>
            <w:r w:rsidRPr="00B65F7F">
              <w:t>Eastern Melbourne PHN</w:t>
            </w:r>
          </w:p>
        </w:tc>
        <w:tc>
          <w:tcPr>
            <w:tcW w:w="3870" w:type="dxa"/>
            <w:noWrap/>
            <w:hideMark/>
          </w:tcPr>
          <w:p w14:paraId="14A2525C" w14:textId="77777777" w:rsidR="00597B5E" w:rsidRPr="00B65F7F" w:rsidRDefault="00597B5E" w:rsidP="00C04F71">
            <w:pPr>
              <w:pStyle w:val="TableText"/>
            </w:pPr>
            <w:r w:rsidRPr="00B65F7F">
              <w:t xml:space="preserve">State </w:t>
            </w:r>
            <w:r w:rsidR="006002E7">
              <w:t>g</w:t>
            </w:r>
            <w:r w:rsidRPr="00B65F7F">
              <w:t>overnment</w:t>
            </w:r>
          </w:p>
        </w:tc>
      </w:tr>
      <w:tr w:rsidR="00597B5E" w:rsidRPr="00B65F7F" w14:paraId="302F156E"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noWrap/>
            <w:hideMark/>
          </w:tcPr>
          <w:p w14:paraId="1C605E24" w14:textId="77777777" w:rsidR="00597B5E" w:rsidRPr="00B65F7F" w:rsidRDefault="00597B5E" w:rsidP="00C04F71">
            <w:pPr>
              <w:pStyle w:val="TableText"/>
            </w:pPr>
            <w:r w:rsidRPr="00B65F7F">
              <w:t>Gippsland PHN</w:t>
            </w:r>
          </w:p>
        </w:tc>
        <w:tc>
          <w:tcPr>
            <w:tcW w:w="3870" w:type="dxa"/>
            <w:noWrap/>
            <w:hideMark/>
          </w:tcPr>
          <w:p w14:paraId="38084440" w14:textId="77777777" w:rsidR="00597B5E" w:rsidRPr="00B65F7F" w:rsidRDefault="00597B5E" w:rsidP="00C04F71">
            <w:pPr>
              <w:pStyle w:val="TableText"/>
            </w:pPr>
            <w:r w:rsidRPr="00B65F7F">
              <w:t>PHN</w:t>
            </w:r>
          </w:p>
        </w:tc>
      </w:tr>
      <w:tr w:rsidR="00597B5E" w:rsidRPr="00B65F7F" w14:paraId="10BA72AD"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noWrap/>
            <w:hideMark/>
          </w:tcPr>
          <w:p w14:paraId="1955F00F" w14:textId="77777777" w:rsidR="00597B5E" w:rsidRPr="00B65F7F" w:rsidRDefault="00597B5E" w:rsidP="00C04F71">
            <w:pPr>
              <w:pStyle w:val="TableText"/>
            </w:pPr>
            <w:r w:rsidRPr="00B65F7F">
              <w:t>Murray PHN</w:t>
            </w:r>
          </w:p>
        </w:tc>
        <w:tc>
          <w:tcPr>
            <w:tcW w:w="3870" w:type="dxa"/>
            <w:noWrap/>
            <w:hideMark/>
          </w:tcPr>
          <w:p w14:paraId="10E733C9" w14:textId="77777777" w:rsidR="00597B5E" w:rsidRPr="00B65F7F" w:rsidRDefault="00597B5E" w:rsidP="00C04F71">
            <w:pPr>
              <w:pStyle w:val="TableText"/>
            </w:pPr>
            <w:r w:rsidRPr="00B65F7F">
              <w:t>PHN</w:t>
            </w:r>
          </w:p>
        </w:tc>
      </w:tr>
      <w:tr w:rsidR="00597B5E" w:rsidRPr="00B65F7F" w14:paraId="4B927736"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noWrap/>
            <w:hideMark/>
          </w:tcPr>
          <w:p w14:paraId="5BCE035B" w14:textId="77777777" w:rsidR="00597B5E" w:rsidRPr="00B65F7F" w:rsidRDefault="00597B5E" w:rsidP="00C04F71">
            <w:pPr>
              <w:pStyle w:val="TableText"/>
            </w:pPr>
            <w:r w:rsidRPr="00B65F7F">
              <w:t>North Western Melbourne PHN</w:t>
            </w:r>
          </w:p>
        </w:tc>
        <w:tc>
          <w:tcPr>
            <w:tcW w:w="3870" w:type="dxa"/>
            <w:noWrap/>
            <w:hideMark/>
          </w:tcPr>
          <w:p w14:paraId="09638FDB" w14:textId="77777777" w:rsidR="00597B5E" w:rsidRPr="00B65F7F" w:rsidRDefault="00597B5E" w:rsidP="00C04F71">
            <w:pPr>
              <w:pStyle w:val="TableText"/>
            </w:pPr>
            <w:r w:rsidRPr="00B65F7F">
              <w:t>PHN</w:t>
            </w:r>
          </w:p>
        </w:tc>
      </w:tr>
      <w:tr w:rsidR="00597B5E" w:rsidRPr="00B65F7F" w14:paraId="74F4298B"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noWrap/>
            <w:hideMark/>
          </w:tcPr>
          <w:p w14:paraId="4CF4245D" w14:textId="77777777" w:rsidR="00597B5E" w:rsidRPr="00B65F7F" w:rsidRDefault="00597B5E" w:rsidP="00C04F71">
            <w:pPr>
              <w:pStyle w:val="TableText"/>
            </w:pPr>
            <w:r w:rsidRPr="00B65F7F">
              <w:t>South Eastern Melbourne PHN</w:t>
            </w:r>
          </w:p>
        </w:tc>
        <w:tc>
          <w:tcPr>
            <w:tcW w:w="3870" w:type="dxa"/>
            <w:noWrap/>
            <w:hideMark/>
          </w:tcPr>
          <w:p w14:paraId="4D23E424" w14:textId="77777777" w:rsidR="00597B5E" w:rsidRPr="00B65F7F" w:rsidRDefault="00597B5E" w:rsidP="00C04F71">
            <w:pPr>
              <w:pStyle w:val="TableText"/>
            </w:pPr>
            <w:r w:rsidRPr="00B65F7F">
              <w:t>PHN</w:t>
            </w:r>
          </w:p>
        </w:tc>
      </w:tr>
      <w:tr w:rsidR="00597B5E" w:rsidRPr="00B65F7F" w14:paraId="4D70CF6D"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noWrap/>
            <w:hideMark/>
          </w:tcPr>
          <w:p w14:paraId="55EAABFC" w14:textId="77777777" w:rsidR="00597B5E" w:rsidRPr="00B65F7F" w:rsidRDefault="00597B5E" w:rsidP="00C04F71">
            <w:pPr>
              <w:pStyle w:val="TableText"/>
            </w:pPr>
            <w:r w:rsidRPr="00B65F7F">
              <w:t>Western Victoria PHN</w:t>
            </w:r>
          </w:p>
        </w:tc>
        <w:tc>
          <w:tcPr>
            <w:tcW w:w="3870" w:type="dxa"/>
            <w:noWrap/>
            <w:hideMark/>
          </w:tcPr>
          <w:p w14:paraId="26D4D15E" w14:textId="77777777" w:rsidR="00597B5E" w:rsidRPr="00B65F7F" w:rsidRDefault="00597B5E" w:rsidP="00C04F71">
            <w:pPr>
              <w:pStyle w:val="TableText"/>
            </w:pPr>
            <w:r w:rsidRPr="00B65F7F">
              <w:t>PHN</w:t>
            </w:r>
          </w:p>
        </w:tc>
      </w:tr>
      <w:tr w:rsidR="00597B5E" w:rsidRPr="00B65F7F" w14:paraId="31997FD8"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noWrap/>
            <w:hideMark/>
          </w:tcPr>
          <w:p w14:paraId="7BD25EFD" w14:textId="77777777" w:rsidR="00597B5E" w:rsidRPr="00B65F7F" w:rsidRDefault="00597B5E" w:rsidP="00C04F71">
            <w:pPr>
              <w:pStyle w:val="TableText"/>
            </w:pPr>
            <w:r w:rsidRPr="00B65F7F">
              <w:t>Victorian Aboriginal Health Service Co-operative Limited</w:t>
            </w:r>
          </w:p>
        </w:tc>
        <w:tc>
          <w:tcPr>
            <w:tcW w:w="3870" w:type="dxa"/>
            <w:noWrap/>
            <w:hideMark/>
          </w:tcPr>
          <w:p w14:paraId="5092FA4F" w14:textId="77777777" w:rsidR="00597B5E" w:rsidRPr="00B65F7F" w:rsidRDefault="00597B5E" w:rsidP="00C04F71">
            <w:pPr>
              <w:pStyle w:val="TableText"/>
            </w:pPr>
            <w:r w:rsidRPr="00B65F7F">
              <w:t>ACCHO</w:t>
            </w:r>
          </w:p>
        </w:tc>
      </w:tr>
      <w:tr w:rsidR="00597B5E" w:rsidRPr="00B65F7F" w14:paraId="552B50FF"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noWrap/>
            <w:hideMark/>
          </w:tcPr>
          <w:p w14:paraId="68CA3E75" w14:textId="77777777" w:rsidR="00597B5E" w:rsidRPr="00B65F7F" w:rsidRDefault="00597B5E" w:rsidP="00C04F71">
            <w:pPr>
              <w:pStyle w:val="TableText"/>
            </w:pPr>
            <w:r w:rsidRPr="00B65F7F">
              <w:t>Dandenong &amp; District Aboriginal Co</w:t>
            </w:r>
            <w:r w:rsidR="006002E7">
              <w:t>-</w:t>
            </w:r>
            <w:r w:rsidRPr="00B65F7F">
              <w:t>Operative Limited</w:t>
            </w:r>
          </w:p>
        </w:tc>
        <w:tc>
          <w:tcPr>
            <w:tcW w:w="3870" w:type="dxa"/>
            <w:noWrap/>
            <w:hideMark/>
          </w:tcPr>
          <w:p w14:paraId="31CB092A" w14:textId="77777777" w:rsidR="00597B5E" w:rsidRPr="00B65F7F" w:rsidRDefault="00597B5E" w:rsidP="00C04F71">
            <w:pPr>
              <w:pStyle w:val="TableText"/>
            </w:pPr>
            <w:r w:rsidRPr="00B65F7F">
              <w:t>ACCHO</w:t>
            </w:r>
          </w:p>
        </w:tc>
      </w:tr>
      <w:tr w:rsidR="00597B5E" w:rsidRPr="00B65F7F" w14:paraId="38A7E22A"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noWrap/>
            <w:hideMark/>
          </w:tcPr>
          <w:p w14:paraId="79CF1E13" w14:textId="77777777" w:rsidR="00597B5E" w:rsidRPr="00B65F7F" w:rsidRDefault="00597B5E" w:rsidP="00C04F71">
            <w:pPr>
              <w:pStyle w:val="TableText"/>
            </w:pPr>
            <w:r w:rsidRPr="00B65F7F">
              <w:t>First Peoples</w:t>
            </w:r>
            <w:r w:rsidR="006002E7">
              <w:t>’</w:t>
            </w:r>
            <w:r w:rsidRPr="00B65F7F">
              <w:t xml:space="preserve"> Health and Wellbeing</w:t>
            </w:r>
          </w:p>
        </w:tc>
        <w:tc>
          <w:tcPr>
            <w:tcW w:w="3870" w:type="dxa"/>
            <w:noWrap/>
            <w:hideMark/>
          </w:tcPr>
          <w:p w14:paraId="19C1BE22" w14:textId="77777777" w:rsidR="00597B5E" w:rsidRPr="00B65F7F" w:rsidRDefault="00597B5E" w:rsidP="00C04F71">
            <w:pPr>
              <w:pStyle w:val="TableText"/>
            </w:pPr>
            <w:r w:rsidRPr="00B65F7F">
              <w:t>ACCHO</w:t>
            </w:r>
          </w:p>
        </w:tc>
      </w:tr>
      <w:tr w:rsidR="00597B5E" w:rsidRPr="00B65F7F" w14:paraId="3E1A40F2"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noWrap/>
            <w:hideMark/>
          </w:tcPr>
          <w:p w14:paraId="1B9C277F" w14:textId="77777777" w:rsidR="00597B5E" w:rsidRPr="00B65F7F" w:rsidRDefault="00597B5E" w:rsidP="00C04F71">
            <w:pPr>
              <w:pStyle w:val="TableText"/>
            </w:pPr>
            <w:r w:rsidRPr="00B65F7F">
              <w:t>Ballarat &amp; District Aboriginal Cooperative</w:t>
            </w:r>
          </w:p>
        </w:tc>
        <w:tc>
          <w:tcPr>
            <w:tcW w:w="3870" w:type="dxa"/>
            <w:noWrap/>
            <w:hideMark/>
          </w:tcPr>
          <w:p w14:paraId="50A3FC7E" w14:textId="77777777" w:rsidR="00597B5E" w:rsidRPr="00B65F7F" w:rsidRDefault="00597B5E" w:rsidP="00C04F71">
            <w:pPr>
              <w:pStyle w:val="TableText"/>
            </w:pPr>
            <w:r w:rsidRPr="00B65F7F">
              <w:t>ACCHO</w:t>
            </w:r>
          </w:p>
        </w:tc>
      </w:tr>
      <w:tr w:rsidR="00597B5E" w:rsidRPr="00B65F7F" w14:paraId="5182679F"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noWrap/>
            <w:hideMark/>
          </w:tcPr>
          <w:p w14:paraId="103A4F38" w14:textId="77777777" w:rsidR="00597B5E" w:rsidRPr="00B65F7F" w:rsidRDefault="00597B5E" w:rsidP="00C04F71">
            <w:pPr>
              <w:pStyle w:val="TableText"/>
            </w:pPr>
            <w:r w:rsidRPr="00B65F7F">
              <w:t>Njernd</w:t>
            </w:r>
            <w:r>
              <w:t>a</w:t>
            </w:r>
            <w:r w:rsidRPr="00B65F7F">
              <w:t xml:space="preserve"> Corporation</w:t>
            </w:r>
          </w:p>
        </w:tc>
        <w:tc>
          <w:tcPr>
            <w:tcW w:w="3870" w:type="dxa"/>
            <w:noWrap/>
            <w:hideMark/>
          </w:tcPr>
          <w:p w14:paraId="27FDDFE0" w14:textId="77777777" w:rsidR="00597B5E" w:rsidRPr="00B65F7F" w:rsidRDefault="00597B5E" w:rsidP="00C04F71">
            <w:pPr>
              <w:pStyle w:val="TableText"/>
            </w:pPr>
            <w:r w:rsidRPr="00B65F7F">
              <w:t>ACCHO</w:t>
            </w:r>
          </w:p>
        </w:tc>
      </w:tr>
      <w:tr w:rsidR="00597B5E" w:rsidRPr="00B65F7F" w14:paraId="1CEDC8D5"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noWrap/>
            <w:hideMark/>
          </w:tcPr>
          <w:p w14:paraId="12CE1109" w14:textId="77777777" w:rsidR="00597B5E" w:rsidRPr="00B65F7F" w:rsidRDefault="00597B5E" w:rsidP="00C04F71">
            <w:pPr>
              <w:pStyle w:val="TableText"/>
            </w:pPr>
            <w:r w:rsidRPr="00B65F7F">
              <w:t>Oonah Health and Community Services</w:t>
            </w:r>
          </w:p>
        </w:tc>
        <w:tc>
          <w:tcPr>
            <w:tcW w:w="3870" w:type="dxa"/>
            <w:noWrap/>
            <w:hideMark/>
          </w:tcPr>
          <w:p w14:paraId="06704AAF" w14:textId="77777777" w:rsidR="00597B5E" w:rsidRPr="00B65F7F" w:rsidRDefault="00597B5E" w:rsidP="00C04F71">
            <w:pPr>
              <w:pStyle w:val="TableText"/>
            </w:pPr>
            <w:r w:rsidRPr="00B65F7F">
              <w:t>ACCHO</w:t>
            </w:r>
          </w:p>
        </w:tc>
      </w:tr>
      <w:tr w:rsidR="00597B5E" w:rsidRPr="00B65F7F" w14:paraId="628D6E06"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noWrap/>
            <w:hideMark/>
          </w:tcPr>
          <w:p w14:paraId="693E6220" w14:textId="77777777" w:rsidR="00597B5E" w:rsidRPr="00B65F7F" w:rsidRDefault="00597B5E" w:rsidP="00C04F71">
            <w:pPr>
              <w:pStyle w:val="TableText"/>
            </w:pPr>
            <w:r w:rsidRPr="00B65F7F">
              <w:t>IPC Health</w:t>
            </w:r>
          </w:p>
        </w:tc>
        <w:tc>
          <w:tcPr>
            <w:tcW w:w="3870" w:type="dxa"/>
            <w:noWrap/>
            <w:hideMark/>
          </w:tcPr>
          <w:p w14:paraId="19476229" w14:textId="77777777" w:rsidR="00597B5E" w:rsidRPr="00B65F7F" w:rsidRDefault="00597B5E" w:rsidP="00C04F71">
            <w:pPr>
              <w:pStyle w:val="TableText"/>
            </w:pPr>
            <w:r w:rsidRPr="00B65F7F">
              <w:t xml:space="preserve">Service </w:t>
            </w:r>
            <w:r w:rsidR="006002E7">
              <w:t>p</w:t>
            </w:r>
            <w:r w:rsidRPr="00B65F7F">
              <w:t>rovider (mainstream)</w:t>
            </w:r>
          </w:p>
        </w:tc>
      </w:tr>
      <w:tr w:rsidR="00597B5E" w:rsidRPr="00B65F7F" w14:paraId="3D4D83B2"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noWrap/>
            <w:hideMark/>
          </w:tcPr>
          <w:p w14:paraId="66C2BFAF" w14:textId="77777777" w:rsidR="00597B5E" w:rsidRPr="00B65F7F" w:rsidRDefault="00597B5E" w:rsidP="00C04F71">
            <w:pPr>
              <w:pStyle w:val="TableText"/>
            </w:pPr>
            <w:r w:rsidRPr="00B65F7F">
              <w:t>EACH</w:t>
            </w:r>
          </w:p>
        </w:tc>
        <w:tc>
          <w:tcPr>
            <w:tcW w:w="3870" w:type="dxa"/>
            <w:noWrap/>
            <w:hideMark/>
          </w:tcPr>
          <w:p w14:paraId="58407ECE" w14:textId="77777777" w:rsidR="00597B5E" w:rsidRPr="00B65F7F" w:rsidRDefault="00597B5E" w:rsidP="00C04F71">
            <w:pPr>
              <w:pStyle w:val="TableText"/>
            </w:pPr>
            <w:r w:rsidRPr="00B65F7F">
              <w:t xml:space="preserve">Service </w:t>
            </w:r>
            <w:r w:rsidR="006002E7">
              <w:t>p</w:t>
            </w:r>
            <w:r w:rsidRPr="00B65F7F">
              <w:t>rovider (mainstream)</w:t>
            </w:r>
          </w:p>
        </w:tc>
      </w:tr>
      <w:tr w:rsidR="00597B5E" w:rsidRPr="00B65F7F" w14:paraId="7537DA90"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tcBorders>
              <w:bottom w:val="single" w:sz="6" w:space="0" w:color="595959" w:themeColor="text1" w:themeTint="A6"/>
            </w:tcBorders>
            <w:noWrap/>
            <w:hideMark/>
          </w:tcPr>
          <w:p w14:paraId="61C21BDA" w14:textId="77777777" w:rsidR="00597B5E" w:rsidRPr="00B65F7F" w:rsidRDefault="00597B5E" w:rsidP="00C04F71">
            <w:pPr>
              <w:pStyle w:val="TableText"/>
            </w:pPr>
            <w:r w:rsidRPr="00B65F7F">
              <w:t>V</w:t>
            </w:r>
            <w:r w:rsidR="006002E7">
              <w:t>ictorian</w:t>
            </w:r>
            <w:r w:rsidRPr="00B65F7F">
              <w:t xml:space="preserve"> Government</w:t>
            </w:r>
          </w:p>
        </w:tc>
        <w:tc>
          <w:tcPr>
            <w:tcW w:w="3870" w:type="dxa"/>
            <w:tcBorders>
              <w:bottom w:val="single" w:sz="6" w:space="0" w:color="595959" w:themeColor="text1" w:themeTint="A6"/>
            </w:tcBorders>
            <w:noWrap/>
            <w:hideMark/>
          </w:tcPr>
          <w:p w14:paraId="6EB37261" w14:textId="77777777" w:rsidR="00597B5E" w:rsidRPr="00B65F7F" w:rsidRDefault="00597B5E" w:rsidP="00C04F71">
            <w:pPr>
              <w:pStyle w:val="TableText"/>
            </w:pPr>
            <w:r w:rsidRPr="00B65F7F">
              <w:t xml:space="preserve">State </w:t>
            </w:r>
            <w:r w:rsidR="006002E7">
              <w:t>g</w:t>
            </w:r>
            <w:r w:rsidRPr="00B65F7F">
              <w:t>overnment</w:t>
            </w:r>
          </w:p>
        </w:tc>
      </w:tr>
      <w:tr w:rsidR="00597B5E" w:rsidRPr="00C04F71" w14:paraId="6FE98B53"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tcBorders>
              <w:top w:val="single" w:sz="6" w:space="0" w:color="595959" w:themeColor="text1" w:themeTint="A6"/>
            </w:tcBorders>
            <w:shd w:val="clear" w:color="auto" w:fill="F2F2F2" w:themeFill="background1" w:themeFillShade="F2"/>
            <w:noWrap/>
            <w:hideMark/>
          </w:tcPr>
          <w:p w14:paraId="7AC8B2BB" w14:textId="77777777" w:rsidR="00597B5E" w:rsidRPr="00C04F71" w:rsidRDefault="00597B5E" w:rsidP="00C04F71">
            <w:pPr>
              <w:pStyle w:val="TableText"/>
              <w:rPr>
                <w:b/>
                <w:bCs/>
              </w:rPr>
            </w:pPr>
            <w:r w:rsidRPr="00C04F71">
              <w:rPr>
                <w:b/>
                <w:bCs/>
              </w:rPr>
              <w:t>Tasmania</w:t>
            </w:r>
          </w:p>
        </w:tc>
        <w:tc>
          <w:tcPr>
            <w:tcW w:w="3870" w:type="dxa"/>
            <w:tcBorders>
              <w:top w:val="single" w:sz="6" w:space="0" w:color="595959" w:themeColor="text1" w:themeTint="A6"/>
            </w:tcBorders>
            <w:shd w:val="clear" w:color="auto" w:fill="F2F2F2" w:themeFill="background1" w:themeFillShade="F2"/>
            <w:noWrap/>
            <w:hideMark/>
          </w:tcPr>
          <w:p w14:paraId="007DA9D9" w14:textId="77777777" w:rsidR="00597B5E" w:rsidRPr="00C04F71" w:rsidRDefault="00597B5E" w:rsidP="00C04F71">
            <w:pPr>
              <w:pStyle w:val="TableText"/>
              <w:rPr>
                <w:b/>
                <w:bCs/>
              </w:rPr>
            </w:pPr>
          </w:p>
        </w:tc>
      </w:tr>
      <w:tr w:rsidR="00597B5E" w:rsidRPr="00B65F7F" w14:paraId="4EEF81A3"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noWrap/>
            <w:hideMark/>
          </w:tcPr>
          <w:p w14:paraId="6D92D068" w14:textId="77777777" w:rsidR="00597B5E" w:rsidRPr="00B65F7F" w:rsidRDefault="00597B5E" w:rsidP="00C04F71">
            <w:pPr>
              <w:pStyle w:val="TableText"/>
            </w:pPr>
            <w:r w:rsidRPr="00B65F7F">
              <w:t>Tasmanian Aboriginal Centre</w:t>
            </w:r>
          </w:p>
        </w:tc>
        <w:tc>
          <w:tcPr>
            <w:tcW w:w="3870" w:type="dxa"/>
            <w:noWrap/>
            <w:hideMark/>
          </w:tcPr>
          <w:p w14:paraId="345228AF" w14:textId="77777777" w:rsidR="00597B5E" w:rsidRPr="00B65F7F" w:rsidRDefault="00597B5E" w:rsidP="00C04F71">
            <w:pPr>
              <w:pStyle w:val="TableText"/>
            </w:pPr>
            <w:r w:rsidRPr="00B65F7F">
              <w:t xml:space="preserve">NACCHO </w:t>
            </w:r>
            <w:r w:rsidR="006002E7">
              <w:t>s</w:t>
            </w:r>
            <w:r w:rsidRPr="00B65F7F">
              <w:t xml:space="preserve">tate </w:t>
            </w:r>
            <w:r w:rsidR="006002E7">
              <w:t>a</w:t>
            </w:r>
            <w:r w:rsidRPr="00B65F7F">
              <w:t>ffiliate</w:t>
            </w:r>
          </w:p>
        </w:tc>
      </w:tr>
      <w:tr w:rsidR="00597B5E" w:rsidRPr="00B65F7F" w14:paraId="34184EEB"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noWrap/>
            <w:hideMark/>
          </w:tcPr>
          <w:p w14:paraId="554D2FAB" w14:textId="77777777" w:rsidR="00597B5E" w:rsidRPr="00B65F7F" w:rsidRDefault="00597B5E" w:rsidP="00C04F71">
            <w:pPr>
              <w:pStyle w:val="TableText"/>
            </w:pPr>
            <w:r w:rsidRPr="00B65F7F">
              <w:t>Primary Health Tasmania</w:t>
            </w:r>
          </w:p>
        </w:tc>
        <w:tc>
          <w:tcPr>
            <w:tcW w:w="3870" w:type="dxa"/>
            <w:noWrap/>
            <w:hideMark/>
          </w:tcPr>
          <w:p w14:paraId="0D2A8AB7" w14:textId="77777777" w:rsidR="00597B5E" w:rsidRPr="00B65F7F" w:rsidRDefault="00597B5E" w:rsidP="00C04F71">
            <w:pPr>
              <w:pStyle w:val="TableText"/>
            </w:pPr>
            <w:r w:rsidRPr="00B65F7F">
              <w:t>PHN</w:t>
            </w:r>
          </w:p>
        </w:tc>
      </w:tr>
      <w:tr w:rsidR="00597B5E" w:rsidRPr="00B65F7F" w14:paraId="61AF2076"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noWrap/>
            <w:hideMark/>
          </w:tcPr>
          <w:p w14:paraId="23986F4E" w14:textId="77777777" w:rsidR="00597B5E" w:rsidRPr="00B65F7F" w:rsidRDefault="00597B5E" w:rsidP="00C04F71">
            <w:pPr>
              <w:pStyle w:val="TableText"/>
            </w:pPr>
            <w:r w:rsidRPr="00B65F7F">
              <w:t>Circular Head Aboriginal Corporation</w:t>
            </w:r>
          </w:p>
        </w:tc>
        <w:tc>
          <w:tcPr>
            <w:tcW w:w="3870" w:type="dxa"/>
            <w:noWrap/>
            <w:hideMark/>
          </w:tcPr>
          <w:p w14:paraId="29F2C653" w14:textId="77777777" w:rsidR="00597B5E" w:rsidRPr="00B65F7F" w:rsidRDefault="00597B5E" w:rsidP="00C04F71">
            <w:pPr>
              <w:pStyle w:val="TableText"/>
            </w:pPr>
            <w:r w:rsidRPr="00B65F7F">
              <w:t>ACCHO</w:t>
            </w:r>
          </w:p>
        </w:tc>
      </w:tr>
      <w:tr w:rsidR="00597B5E" w:rsidRPr="00B65F7F" w14:paraId="251763E5"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noWrap/>
            <w:hideMark/>
          </w:tcPr>
          <w:p w14:paraId="167D458E" w14:textId="77777777" w:rsidR="00597B5E" w:rsidRPr="00B65F7F" w:rsidRDefault="00597B5E" w:rsidP="00C04F71">
            <w:pPr>
              <w:pStyle w:val="TableText"/>
            </w:pPr>
            <w:r w:rsidRPr="00B65F7F">
              <w:t>Karadi Aboriginal Corporation</w:t>
            </w:r>
          </w:p>
        </w:tc>
        <w:tc>
          <w:tcPr>
            <w:tcW w:w="3870" w:type="dxa"/>
            <w:noWrap/>
            <w:hideMark/>
          </w:tcPr>
          <w:p w14:paraId="5EE227A2" w14:textId="77777777" w:rsidR="00597B5E" w:rsidRPr="00B65F7F" w:rsidRDefault="00597B5E" w:rsidP="00C04F71">
            <w:pPr>
              <w:pStyle w:val="TableText"/>
            </w:pPr>
            <w:r w:rsidRPr="00B65F7F">
              <w:t>ACCHO</w:t>
            </w:r>
          </w:p>
        </w:tc>
      </w:tr>
      <w:tr w:rsidR="00597B5E" w:rsidRPr="00B65F7F" w14:paraId="1AF02F8E"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noWrap/>
            <w:hideMark/>
          </w:tcPr>
          <w:p w14:paraId="0D600D34" w14:textId="77777777" w:rsidR="00597B5E" w:rsidRPr="00B65F7F" w:rsidRDefault="00597B5E" w:rsidP="00C04F71">
            <w:pPr>
              <w:pStyle w:val="TableText"/>
            </w:pPr>
            <w:r w:rsidRPr="00B65F7F">
              <w:t>South East Tasmanian Aboriginal Corporation</w:t>
            </w:r>
          </w:p>
        </w:tc>
        <w:tc>
          <w:tcPr>
            <w:tcW w:w="3870" w:type="dxa"/>
            <w:noWrap/>
            <w:hideMark/>
          </w:tcPr>
          <w:p w14:paraId="38E74288" w14:textId="77777777" w:rsidR="00597B5E" w:rsidRPr="00B65F7F" w:rsidRDefault="00597B5E" w:rsidP="00C04F71">
            <w:pPr>
              <w:pStyle w:val="TableText"/>
            </w:pPr>
            <w:r w:rsidRPr="00B65F7F">
              <w:t>ACCHO</w:t>
            </w:r>
          </w:p>
        </w:tc>
      </w:tr>
      <w:tr w:rsidR="00597B5E" w:rsidRPr="00B65F7F" w14:paraId="62BCAE6B"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noWrap/>
            <w:hideMark/>
          </w:tcPr>
          <w:p w14:paraId="0B5D0D64" w14:textId="77777777" w:rsidR="00597B5E" w:rsidRPr="00B65F7F" w:rsidRDefault="00597B5E" w:rsidP="00C04F71">
            <w:pPr>
              <w:pStyle w:val="TableText"/>
            </w:pPr>
            <w:r w:rsidRPr="00B65F7F">
              <w:t>Rural Health Tasmania Incorporated</w:t>
            </w:r>
          </w:p>
        </w:tc>
        <w:tc>
          <w:tcPr>
            <w:tcW w:w="3870" w:type="dxa"/>
            <w:noWrap/>
            <w:hideMark/>
          </w:tcPr>
          <w:p w14:paraId="0BD76EA7" w14:textId="77777777" w:rsidR="00597B5E" w:rsidRPr="00B65F7F" w:rsidRDefault="00597B5E" w:rsidP="00C04F71">
            <w:pPr>
              <w:pStyle w:val="TableText"/>
            </w:pPr>
            <w:r w:rsidRPr="00B65F7F">
              <w:t xml:space="preserve">Service </w:t>
            </w:r>
            <w:r w:rsidR="006002E7">
              <w:t>p</w:t>
            </w:r>
            <w:r w:rsidRPr="00B65F7F">
              <w:t>rovider (mainstream)</w:t>
            </w:r>
          </w:p>
        </w:tc>
      </w:tr>
      <w:tr w:rsidR="00597B5E" w:rsidRPr="00B65F7F" w14:paraId="4C1D5FA9"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tcBorders>
              <w:bottom w:val="single" w:sz="6" w:space="0" w:color="595959" w:themeColor="text1" w:themeTint="A6"/>
            </w:tcBorders>
            <w:noWrap/>
            <w:hideMark/>
          </w:tcPr>
          <w:p w14:paraId="7B7C3016" w14:textId="77777777" w:rsidR="00597B5E" w:rsidRPr="00B65F7F" w:rsidRDefault="00597B5E" w:rsidP="00C04F71">
            <w:pPr>
              <w:pStyle w:val="TableText"/>
            </w:pPr>
            <w:r w:rsidRPr="00B65F7F">
              <w:t xml:space="preserve">Tasmanian Government </w:t>
            </w:r>
          </w:p>
        </w:tc>
        <w:tc>
          <w:tcPr>
            <w:tcW w:w="3870" w:type="dxa"/>
            <w:tcBorders>
              <w:bottom w:val="single" w:sz="6" w:space="0" w:color="595959" w:themeColor="text1" w:themeTint="A6"/>
            </w:tcBorders>
            <w:noWrap/>
            <w:hideMark/>
          </w:tcPr>
          <w:p w14:paraId="664DA770" w14:textId="77777777" w:rsidR="00597B5E" w:rsidRPr="00B65F7F" w:rsidRDefault="00597B5E" w:rsidP="00C04F71">
            <w:pPr>
              <w:pStyle w:val="TableText"/>
            </w:pPr>
            <w:r w:rsidRPr="00B65F7F">
              <w:t xml:space="preserve">State </w:t>
            </w:r>
            <w:r w:rsidR="006002E7">
              <w:t>g</w:t>
            </w:r>
            <w:r w:rsidRPr="00B65F7F">
              <w:t>overnment</w:t>
            </w:r>
          </w:p>
        </w:tc>
      </w:tr>
      <w:tr w:rsidR="00597B5E" w:rsidRPr="00C04F71" w14:paraId="0FBA084F"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tcBorders>
              <w:top w:val="single" w:sz="6" w:space="0" w:color="595959" w:themeColor="text1" w:themeTint="A6"/>
            </w:tcBorders>
            <w:shd w:val="clear" w:color="auto" w:fill="F2F2F2" w:themeFill="background1" w:themeFillShade="F2"/>
            <w:noWrap/>
            <w:hideMark/>
          </w:tcPr>
          <w:p w14:paraId="1DEBA66C" w14:textId="77777777" w:rsidR="00597B5E" w:rsidRPr="00C04F71" w:rsidRDefault="00597B5E" w:rsidP="00C04F71">
            <w:pPr>
              <w:pStyle w:val="TableText"/>
              <w:rPr>
                <w:b/>
                <w:bCs/>
              </w:rPr>
            </w:pPr>
            <w:r w:rsidRPr="00C04F71">
              <w:rPr>
                <w:b/>
                <w:bCs/>
              </w:rPr>
              <w:t>New South Wales</w:t>
            </w:r>
          </w:p>
        </w:tc>
        <w:tc>
          <w:tcPr>
            <w:tcW w:w="3870" w:type="dxa"/>
            <w:tcBorders>
              <w:top w:val="single" w:sz="6" w:space="0" w:color="595959" w:themeColor="text1" w:themeTint="A6"/>
            </w:tcBorders>
            <w:shd w:val="clear" w:color="auto" w:fill="F2F2F2" w:themeFill="background1" w:themeFillShade="F2"/>
            <w:noWrap/>
            <w:hideMark/>
          </w:tcPr>
          <w:p w14:paraId="745C3068" w14:textId="77777777" w:rsidR="00597B5E" w:rsidRPr="00C04F71" w:rsidRDefault="00597B5E" w:rsidP="00C04F71">
            <w:pPr>
              <w:pStyle w:val="TableText"/>
              <w:rPr>
                <w:b/>
                <w:bCs/>
              </w:rPr>
            </w:pPr>
          </w:p>
        </w:tc>
      </w:tr>
      <w:tr w:rsidR="00597B5E" w:rsidRPr="00B65F7F" w14:paraId="1E6DEFCF"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noWrap/>
            <w:hideMark/>
          </w:tcPr>
          <w:p w14:paraId="6EDD8235" w14:textId="77777777" w:rsidR="00597B5E" w:rsidRPr="00B65F7F" w:rsidRDefault="00597B5E" w:rsidP="00C04F71">
            <w:pPr>
              <w:pStyle w:val="TableText"/>
            </w:pPr>
            <w:r w:rsidRPr="00B65F7F">
              <w:t>South Eastern NSW PHN</w:t>
            </w:r>
            <w:r>
              <w:t xml:space="preserve"> </w:t>
            </w:r>
          </w:p>
        </w:tc>
        <w:tc>
          <w:tcPr>
            <w:tcW w:w="3870" w:type="dxa"/>
            <w:noWrap/>
            <w:hideMark/>
          </w:tcPr>
          <w:p w14:paraId="42D91E58" w14:textId="77777777" w:rsidR="00597B5E" w:rsidRPr="00B65F7F" w:rsidRDefault="00597B5E" w:rsidP="00C04F71">
            <w:pPr>
              <w:pStyle w:val="TableText"/>
            </w:pPr>
            <w:r w:rsidRPr="00B65F7F">
              <w:t>PHN</w:t>
            </w:r>
          </w:p>
        </w:tc>
      </w:tr>
      <w:tr w:rsidR="00597B5E" w:rsidRPr="00B65F7F" w14:paraId="2D49A2B8"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noWrap/>
            <w:hideMark/>
          </w:tcPr>
          <w:p w14:paraId="7A95A9DE" w14:textId="77777777" w:rsidR="00597B5E" w:rsidRPr="00B65F7F" w:rsidRDefault="00597B5E" w:rsidP="00C04F71">
            <w:pPr>
              <w:pStyle w:val="TableText"/>
            </w:pPr>
            <w:r w:rsidRPr="00B65F7F">
              <w:t>Central and Eastern Sydney PHN</w:t>
            </w:r>
          </w:p>
        </w:tc>
        <w:tc>
          <w:tcPr>
            <w:tcW w:w="3870" w:type="dxa"/>
            <w:noWrap/>
            <w:hideMark/>
          </w:tcPr>
          <w:p w14:paraId="5AA2A966" w14:textId="77777777" w:rsidR="00597B5E" w:rsidRPr="00B65F7F" w:rsidRDefault="00597B5E" w:rsidP="00C04F71">
            <w:pPr>
              <w:pStyle w:val="TableText"/>
            </w:pPr>
            <w:r w:rsidRPr="00B65F7F">
              <w:t>PHN</w:t>
            </w:r>
          </w:p>
        </w:tc>
      </w:tr>
      <w:tr w:rsidR="00597B5E" w:rsidRPr="00B65F7F" w14:paraId="053EF3BE"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noWrap/>
            <w:hideMark/>
          </w:tcPr>
          <w:p w14:paraId="7CF43F90" w14:textId="77777777" w:rsidR="00597B5E" w:rsidRPr="00B65F7F" w:rsidRDefault="00597B5E" w:rsidP="00C04F71">
            <w:pPr>
              <w:pStyle w:val="TableText"/>
            </w:pPr>
            <w:r w:rsidRPr="00B65F7F">
              <w:t>Western NSW PHN</w:t>
            </w:r>
          </w:p>
        </w:tc>
        <w:tc>
          <w:tcPr>
            <w:tcW w:w="3870" w:type="dxa"/>
            <w:noWrap/>
            <w:hideMark/>
          </w:tcPr>
          <w:p w14:paraId="41376588" w14:textId="77777777" w:rsidR="00597B5E" w:rsidRPr="00B65F7F" w:rsidRDefault="00597B5E" w:rsidP="00C04F71">
            <w:pPr>
              <w:pStyle w:val="TableText"/>
            </w:pPr>
            <w:r w:rsidRPr="00B65F7F">
              <w:t>PHN</w:t>
            </w:r>
          </w:p>
        </w:tc>
      </w:tr>
      <w:tr w:rsidR="00597B5E" w:rsidRPr="00B65F7F" w14:paraId="0EB5651C"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noWrap/>
            <w:hideMark/>
          </w:tcPr>
          <w:p w14:paraId="5B1971A0" w14:textId="77777777" w:rsidR="00597B5E" w:rsidRPr="00B65F7F" w:rsidRDefault="00597B5E" w:rsidP="00C04F71">
            <w:pPr>
              <w:pStyle w:val="TableText"/>
            </w:pPr>
            <w:r w:rsidRPr="00B65F7F">
              <w:t>Nepean Blue Mountains PHN</w:t>
            </w:r>
          </w:p>
        </w:tc>
        <w:tc>
          <w:tcPr>
            <w:tcW w:w="3870" w:type="dxa"/>
            <w:noWrap/>
            <w:hideMark/>
          </w:tcPr>
          <w:p w14:paraId="7A28EA67" w14:textId="77777777" w:rsidR="00597B5E" w:rsidRPr="00B65F7F" w:rsidRDefault="00597B5E" w:rsidP="00C04F71">
            <w:pPr>
              <w:pStyle w:val="TableText"/>
            </w:pPr>
            <w:r w:rsidRPr="00B65F7F">
              <w:t>PHN</w:t>
            </w:r>
          </w:p>
        </w:tc>
      </w:tr>
      <w:tr w:rsidR="00597B5E" w:rsidRPr="00B65F7F" w14:paraId="53C159D8"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noWrap/>
            <w:hideMark/>
          </w:tcPr>
          <w:p w14:paraId="5FF4A808" w14:textId="77777777" w:rsidR="00597B5E" w:rsidRPr="00B65F7F" w:rsidRDefault="00597B5E" w:rsidP="00C04F71">
            <w:pPr>
              <w:pStyle w:val="TableText"/>
            </w:pPr>
            <w:r w:rsidRPr="00B65F7F">
              <w:t>Hunter New England &amp; Central Coast PHN</w:t>
            </w:r>
          </w:p>
        </w:tc>
        <w:tc>
          <w:tcPr>
            <w:tcW w:w="3870" w:type="dxa"/>
            <w:noWrap/>
            <w:hideMark/>
          </w:tcPr>
          <w:p w14:paraId="47DF11F9" w14:textId="77777777" w:rsidR="00597B5E" w:rsidRPr="00B65F7F" w:rsidRDefault="00597B5E" w:rsidP="00C04F71">
            <w:pPr>
              <w:pStyle w:val="TableText"/>
            </w:pPr>
            <w:r w:rsidRPr="00B65F7F">
              <w:t>PHN</w:t>
            </w:r>
          </w:p>
        </w:tc>
      </w:tr>
      <w:tr w:rsidR="00597B5E" w:rsidRPr="00B65F7F" w14:paraId="78EDF6FA"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noWrap/>
            <w:hideMark/>
          </w:tcPr>
          <w:p w14:paraId="3BA08BE2" w14:textId="77777777" w:rsidR="00597B5E" w:rsidRPr="00B65F7F" w:rsidRDefault="00597B5E" w:rsidP="00C04F71">
            <w:pPr>
              <w:pStyle w:val="TableText"/>
            </w:pPr>
            <w:r w:rsidRPr="00B65F7F">
              <w:t>Northern Sydney PHN</w:t>
            </w:r>
          </w:p>
        </w:tc>
        <w:tc>
          <w:tcPr>
            <w:tcW w:w="3870" w:type="dxa"/>
            <w:noWrap/>
            <w:hideMark/>
          </w:tcPr>
          <w:p w14:paraId="192343D5" w14:textId="77777777" w:rsidR="00597B5E" w:rsidRPr="00B65F7F" w:rsidRDefault="00597B5E" w:rsidP="00C04F71">
            <w:pPr>
              <w:pStyle w:val="TableText"/>
            </w:pPr>
            <w:r w:rsidRPr="00B65F7F">
              <w:t>PHN</w:t>
            </w:r>
          </w:p>
        </w:tc>
      </w:tr>
      <w:tr w:rsidR="00597B5E" w:rsidRPr="00B65F7F" w14:paraId="33E2B3CA"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noWrap/>
            <w:hideMark/>
          </w:tcPr>
          <w:p w14:paraId="5C28C24A" w14:textId="77777777" w:rsidR="00597B5E" w:rsidRPr="00B65F7F" w:rsidRDefault="00597B5E" w:rsidP="00C04F71">
            <w:pPr>
              <w:pStyle w:val="TableText"/>
            </w:pPr>
            <w:r w:rsidRPr="00B65F7F">
              <w:t>Western Sydney PHN</w:t>
            </w:r>
          </w:p>
        </w:tc>
        <w:tc>
          <w:tcPr>
            <w:tcW w:w="3870" w:type="dxa"/>
            <w:noWrap/>
            <w:hideMark/>
          </w:tcPr>
          <w:p w14:paraId="22B27943" w14:textId="77777777" w:rsidR="00597B5E" w:rsidRPr="00B65F7F" w:rsidRDefault="00597B5E" w:rsidP="00C04F71">
            <w:pPr>
              <w:pStyle w:val="TableText"/>
            </w:pPr>
            <w:r w:rsidRPr="00B65F7F">
              <w:t>PHN</w:t>
            </w:r>
          </w:p>
        </w:tc>
      </w:tr>
      <w:tr w:rsidR="00597B5E" w:rsidRPr="00B65F7F" w14:paraId="4E711451"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noWrap/>
            <w:hideMark/>
          </w:tcPr>
          <w:p w14:paraId="1B182BEB" w14:textId="77777777" w:rsidR="00597B5E" w:rsidRPr="00B65F7F" w:rsidRDefault="00597B5E" w:rsidP="00C04F71">
            <w:pPr>
              <w:pStyle w:val="TableText"/>
            </w:pPr>
            <w:r w:rsidRPr="00B65F7F">
              <w:t>La Perouse Local Aboriginal Land Council</w:t>
            </w:r>
          </w:p>
        </w:tc>
        <w:tc>
          <w:tcPr>
            <w:tcW w:w="3870" w:type="dxa"/>
            <w:noWrap/>
            <w:hideMark/>
          </w:tcPr>
          <w:p w14:paraId="0959A08E" w14:textId="77777777" w:rsidR="00597B5E" w:rsidRPr="00B65F7F" w:rsidRDefault="00597B5E" w:rsidP="00C04F71">
            <w:pPr>
              <w:pStyle w:val="TableText"/>
            </w:pPr>
            <w:r w:rsidRPr="00B65F7F">
              <w:t>ACCO</w:t>
            </w:r>
          </w:p>
        </w:tc>
      </w:tr>
      <w:tr w:rsidR="00597B5E" w:rsidRPr="00B65F7F" w14:paraId="20E310AA"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noWrap/>
            <w:hideMark/>
          </w:tcPr>
          <w:p w14:paraId="6325521F" w14:textId="77777777" w:rsidR="00597B5E" w:rsidRPr="00B65F7F" w:rsidRDefault="00597B5E" w:rsidP="00C04F71">
            <w:pPr>
              <w:pStyle w:val="TableText"/>
            </w:pPr>
            <w:r w:rsidRPr="00B65F7F">
              <w:t>Griffith Aboriginal Medical Service Incorporated</w:t>
            </w:r>
          </w:p>
        </w:tc>
        <w:tc>
          <w:tcPr>
            <w:tcW w:w="3870" w:type="dxa"/>
            <w:noWrap/>
            <w:hideMark/>
          </w:tcPr>
          <w:p w14:paraId="29CC6247" w14:textId="77777777" w:rsidR="00597B5E" w:rsidRPr="00B65F7F" w:rsidRDefault="00597B5E" w:rsidP="00C04F71">
            <w:pPr>
              <w:pStyle w:val="TableText"/>
            </w:pPr>
            <w:r w:rsidRPr="00B65F7F">
              <w:t>ACCHO</w:t>
            </w:r>
          </w:p>
        </w:tc>
      </w:tr>
      <w:tr w:rsidR="00597B5E" w:rsidRPr="00B65F7F" w14:paraId="44E01EE8"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noWrap/>
            <w:hideMark/>
          </w:tcPr>
          <w:p w14:paraId="42031F8D" w14:textId="77777777" w:rsidR="00597B5E" w:rsidRPr="00B65F7F" w:rsidRDefault="00597B5E" w:rsidP="00C04F71">
            <w:pPr>
              <w:pStyle w:val="TableText"/>
            </w:pPr>
            <w:r w:rsidRPr="00B65F7F">
              <w:t>South Coast Medical Service Aboriginal</w:t>
            </w:r>
          </w:p>
        </w:tc>
        <w:tc>
          <w:tcPr>
            <w:tcW w:w="3870" w:type="dxa"/>
            <w:noWrap/>
            <w:hideMark/>
          </w:tcPr>
          <w:p w14:paraId="0CDE3D3E" w14:textId="77777777" w:rsidR="00597B5E" w:rsidRPr="00B65F7F" w:rsidRDefault="00597B5E" w:rsidP="00C04F71">
            <w:pPr>
              <w:pStyle w:val="TableText"/>
            </w:pPr>
            <w:r w:rsidRPr="00B65F7F">
              <w:t>AMS</w:t>
            </w:r>
          </w:p>
        </w:tc>
      </w:tr>
      <w:tr w:rsidR="00597B5E" w:rsidRPr="00B65F7F" w14:paraId="0DD428B4"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noWrap/>
            <w:hideMark/>
          </w:tcPr>
          <w:p w14:paraId="650E8AA3" w14:textId="77777777" w:rsidR="00597B5E" w:rsidRPr="00B65F7F" w:rsidRDefault="00597B5E" w:rsidP="00C04F71">
            <w:pPr>
              <w:pStyle w:val="TableText"/>
            </w:pPr>
            <w:r w:rsidRPr="00B65F7F">
              <w:t>Walgett Aboriginal Medical Service Limited</w:t>
            </w:r>
          </w:p>
        </w:tc>
        <w:tc>
          <w:tcPr>
            <w:tcW w:w="3870" w:type="dxa"/>
            <w:noWrap/>
            <w:hideMark/>
          </w:tcPr>
          <w:p w14:paraId="79E97FAE" w14:textId="77777777" w:rsidR="00597B5E" w:rsidRPr="00B65F7F" w:rsidRDefault="00597B5E" w:rsidP="00C04F71">
            <w:pPr>
              <w:pStyle w:val="TableText"/>
            </w:pPr>
            <w:r w:rsidRPr="00B65F7F">
              <w:t>AMS</w:t>
            </w:r>
          </w:p>
        </w:tc>
      </w:tr>
      <w:tr w:rsidR="00597B5E" w:rsidRPr="00B65F7F" w14:paraId="5BA5C690"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noWrap/>
            <w:hideMark/>
          </w:tcPr>
          <w:p w14:paraId="1F2A49D9" w14:textId="77777777" w:rsidR="00597B5E" w:rsidRPr="00B65F7F" w:rsidRDefault="00597B5E" w:rsidP="00C04F71">
            <w:pPr>
              <w:pStyle w:val="TableText"/>
            </w:pPr>
            <w:r w:rsidRPr="00B65F7F">
              <w:t xml:space="preserve">Orange Aboriginal Medical Service </w:t>
            </w:r>
          </w:p>
        </w:tc>
        <w:tc>
          <w:tcPr>
            <w:tcW w:w="3870" w:type="dxa"/>
            <w:noWrap/>
            <w:hideMark/>
          </w:tcPr>
          <w:p w14:paraId="345FD61C" w14:textId="77777777" w:rsidR="00597B5E" w:rsidRPr="00B65F7F" w:rsidRDefault="00597B5E" w:rsidP="00C04F71">
            <w:pPr>
              <w:pStyle w:val="TableText"/>
            </w:pPr>
            <w:r w:rsidRPr="00B65F7F">
              <w:t>AMS</w:t>
            </w:r>
          </w:p>
        </w:tc>
      </w:tr>
      <w:tr w:rsidR="00597B5E" w:rsidRPr="00B65F7F" w14:paraId="32FF1C56"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noWrap/>
            <w:hideMark/>
          </w:tcPr>
          <w:p w14:paraId="01BF6CB7" w14:textId="77777777" w:rsidR="00597B5E" w:rsidRPr="00B65F7F" w:rsidRDefault="00597B5E" w:rsidP="00C04F71">
            <w:pPr>
              <w:pStyle w:val="TableText"/>
            </w:pPr>
            <w:r w:rsidRPr="00B65F7F">
              <w:t>Brewarrin</w:t>
            </w:r>
            <w:r>
              <w:t>a</w:t>
            </w:r>
            <w:r w:rsidRPr="00B65F7F">
              <w:t xml:space="preserve"> Medical Service</w:t>
            </w:r>
          </w:p>
        </w:tc>
        <w:tc>
          <w:tcPr>
            <w:tcW w:w="3870" w:type="dxa"/>
            <w:noWrap/>
            <w:hideMark/>
          </w:tcPr>
          <w:p w14:paraId="27BA5943" w14:textId="77777777" w:rsidR="00597B5E" w:rsidRPr="00B65F7F" w:rsidRDefault="00597B5E" w:rsidP="00C04F71">
            <w:pPr>
              <w:pStyle w:val="TableText"/>
            </w:pPr>
            <w:r w:rsidRPr="00B65F7F">
              <w:t>AMS</w:t>
            </w:r>
          </w:p>
        </w:tc>
      </w:tr>
      <w:tr w:rsidR="00597B5E" w:rsidRPr="00B65F7F" w14:paraId="4B6BA7F1"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noWrap/>
            <w:hideMark/>
          </w:tcPr>
          <w:p w14:paraId="7FEED42C" w14:textId="77777777" w:rsidR="00597B5E" w:rsidRPr="00B65F7F" w:rsidRDefault="00597B5E" w:rsidP="00C04F71">
            <w:pPr>
              <w:pStyle w:val="TableText"/>
            </w:pPr>
            <w:r w:rsidRPr="00B65F7F">
              <w:t>South Eastern Sydney Local Health District</w:t>
            </w:r>
          </w:p>
        </w:tc>
        <w:tc>
          <w:tcPr>
            <w:tcW w:w="3870" w:type="dxa"/>
            <w:noWrap/>
            <w:hideMark/>
          </w:tcPr>
          <w:p w14:paraId="084EA063" w14:textId="77777777" w:rsidR="00597B5E" w:rsidRPr="00B65F7F" w:rsidRDefault="00597B5E" w:rsidP="00C04F71">
            <w:pPr>
              <w:pStyle w:val="TableText"/>
            </w:pPr>
            <w:r w:rsidRPr="00B65F7F">
              <w:t xml:space="preserve">Service </w:t>
            </w:r>
            <w:r w:rsidR="006002E7">
              <w:t>p</w:t>
            </w:r>
            <w:r w:rsidRPr="00B65F7F">
              <w:t>rovider (mainstream)</w:t>
            </w:r>
          </w:p>
        </w:tc>
      </w:tr>
      <w:tr w:rsidR="00597B5E" w:rsidRPr="00B65F7F" w14:paraId="1DD48ED4"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noWrap/>
            <w:hideMark/>
          </w:tcPr>
          <w:p w14:paraId="7C16A84E" w14:textId="77777777" w:rsidR="00597B5E" w:rsidRPr="00B65F7F" w:rsidRDefault="00597B5E" w:rsidP="00C04F71">
            <w:pPr>
              <w:pStyle w:val="TableText"/>
            </w:pPr>
            <w:r w:rsidRPr="00B65F7F">
              <w:t>New England North West Health Ltd (HealthWISE)</w:t>
            </w:r>
          </w:p>
        </w:tc>
        <w:tc>
          <w:tcPr>
            <w:tcW w:w="3870" w:type="dxa"/>
            <w:noWrap/>
            <w:hideMark/>
          </w:tcPr>
          <w:p w14:paraId="0C43BDC9" w14:textId="77777777" w:rsidR="00597B5E" w:rsidRPr="00B65F7F" w:rsidRDefault="00597B5E" w:rsidP="00C04F71">
            <w:pPr>
              <w:pStyle w:val="TableText"/>
            </w:pPr>
            <w:r w:rsidRPr="00B65F7F">
              <w:t xml:space="preserve">Service </w:t>
            </w:r>
            <w:r w:rsidR="006002E7">
              <w:t>p</w:t>
            </w:r>
            <w:r w:rsidRPr="00B65F7F">
              <w:t>rovider (mainstream)</w:t>
            </w:r>
          </w:p>
        </w:tc>
      </w:tr>
      <w:tr w:rsidR="00597B5E" w:rsidRPr="00B65F7F" w14:paraId="7C64B177"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tcBorders>
              <w:bottom w:val="single" w:sz="6" w:space="0" w:color="595959" w:themeColor="text1" w:themeTint="A6"/>
            </w:tcBorders>
            <w:noWrap/>
            <w:hideMark/>
          </w:tcPr>
          <w:p w14:paraId="7E782770" w14:textId="77777777" w:rsidR="00597B5E" w:rsidRPr="00B65F7F" w:rsidRDefault="00597B5E" w:rsidP="00C04F71">
            <w:pPr>
              <w:pStyle w:val="TableText"/>
            </w:pPr>
            <w:r w:rsidRPr="00B65F7F">
              <w:t>NSW Government</w:t>
            </w:r>
          </w:p>
        </w:tc>
        <w:tc>
          <w:tcPr>
            <w:tcW w:w="3870" w:type="dxa"/>
            <w:tcBorders>
              <w:bottom w:val="single" w:sz="6" w:space="0" w:color="595959" w:themeColor="text1" w:themeTint="A6"/>
            </w:tcBorders>
            <w:noWrap/>
            <w:hideMark/>
          </w:tcPr>
          <w:p w14:paraId="628DFE61" w14:textId="77777777" w:rsidR="00597B5E" w:rsidRPr="00B65F7F" w:rsidRDefault="00597B5E" w:rsidP="00C04F71">
            <w:pPr>
              <w:pStyle w:val="TableText"/>
            </w:pPr>
            <w:r w:rsidRPr="00B65F7F">
              <w:t xml:space="preserve">State </w:t>
            </w:r>
            <w:r w:rsidR="006002E7">
              <w:t>g</w:t>
            </w:r>
            <w:r w:rsidRPr="00B65F7F">
              <w:t>overnment</w:t>
            </w:r>
          </w:p>
        </w:tc>
      </w:tr>
      <w:tr w:rsidR="00597B5E" w:rsidRPr="00C04F71" w14:paraId="251B3FB4"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tcBorders>
              <w:top w:val="single" w:sz="6" w:space="0" w:color="595959" w:themeColor="text1" w:themeTint="A6"/>
            </w:tcBorders>
            <w:shd w:val="clear" w:color="auto" w:fill="F2F2F2" w:themeFill="background1" w:themeFillShade="F2"/>
            <w:noWrap/>
            <w:hideMark/>
          </w:tcPr>
          <w:p w14:paraId="3DF92774" w14:textId="77777777" w:rsidR="00597B5E" w:rsidRPr="00C04F71" w:rsidRDefault="00597B5E" w:rsidP="00C04F71">
            <w:pPr>
              <w:pStyle w:val="TableText"/>
              <w:rPr>
                <w:b/>
                <w:bCs/>
              </w:rPr>
            </w:pPr>
            <w:r w:rsidRPr="00C04F71">
              <w:rPr>
                <w:b/>
                <w:bCs/>
              </w:rPr>
              <w:t>Northern Territory</w:t>
            </w:r>
          </w:p>
        </w:tc>
        <w:tc>
          <w:tcPr>
            <w:tcW w:w="3870" w:type="dxa"/>
            <w:tcBorders>
              <w:top w:val="single" w:sz="6" w:space="0" w:color="595959" w:themeColor="text1" w:themeTint="A6"/>
            </w:tcBorders>
            <w:shd w:val="clear" w:color="auto" w:fill="F2F2F2" w:themeFill="background1" w:themeFillShade="F2"/>
            <w:noWrap/>
            <w:hideMark/>
          </w:tcPr>
          <w:p w14:paraId="1A6B6555" w14:textId="77777777" w:rsidR="00597B5E" w:rsidRPr="00C04F71" w:rsidRDefault="00597B5E" w:rsidP="00C04F71">
            <w:pPr>
              <w:pStyle w:val="TableText"/>
              <w:rPr>
                <w:b/>
                <w:bCs/>
              </w:rPr>
            </w:pPr>
          </w:p>
        </w:tc>
      </w:tr>
      <w:tr w:rsidR="00597B5E" w:rsidRPr="00B65F7F" w14:paraId="3B7FDC80"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noWrap/>
            <w:hideMark/>
          </w:tcPr>
          <w:p w14:paraId="21679D5B" w14:textId="77777777" w:rsidR="00597B5E" w:rsidRPr="00B65F7F" w:rsidRDefault="00597B5E" w:rsidP="00C04F71">
            <w:pPr>
              <w:pStyle w:val="TableText"/>
            </w:pPr>
            <w:r w:rsidRPr="00B65F7F">
              <w:t>Northern Territory PHN</w:t>
            </w:r>
          </w:p>
        </w:tc>
        <w:tc>
          <w:tcPr>
            <w:tcW w:w="3870" w:type="dxa"/>
            <w:noWrap/>
            <w:hideMark/>
          </w:tcPr>
          <w:p w14:paraId="1F0C720B" w14:textId="77777777" w:rsidR="00597B5E" w:rsidRPr="00B65F7F" w:rsidRDefault="00597B5E" w:rsidP="00C04F71">
            <w:pPr>
              <w:pStyle w:val="TableText"/>
            </w:pPr>
            <w:r w:rsidRPr="00B65F7F">
              <w:t>PHN</w:t>
            </w:r>
          </w:p>
        </w:tc>
      </w:tr>
      <w:tr w:rsidR="00597B5E" w:rsidRPr="00B65F7F" w14:paraId="66AE38AF"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noWrap/>
            <w:hideMark/>
          </w:tcPr>
          <w:p w14:paraId="333ADF6F" w14:textId="77777777" w:rsidR="00597B5E" w:rsidRPr="00B65F7F" w:rsidRDefault="00597B5E" w:rsidP="00C04F71">
            <w:pPr>
              <w:pStyle w:val="TableText"/>
            </w:pPr>
            <w:r w:rsidRPr="00B65F7F">
              <w:t>Katherine West Health Board Aboriginal Corporation</w:t>
            </w:r>
          </w:p>
        </w:tc>
        <w:tc>
          <w:tcPr>
            <w:tcW w:w="3870" w:type="dxa"/>
            <w:noWrap/>
            <w:hideMark/>
          </w:tcPr>
          <w:p w14:paraId="749A835B" w14:textId="77777777" w:rsidR="00597B5E" w:rsidRPr="00B65F7F" w:rsidRDefault="00597B5E" w:rsidP="00C04F71">
            <w:pPr>
              <w:pStyle w:val="TableText"/>
            </w:pPr>
            <w:r w:rsidRPr="00B65F7F">
              <w:t>ACCHO</w:t>
            </w:r>
          </w:p>
        </w:tc>
      </w:tr>
      <w:tr w:rsidR="00597B5E" w:rsidRPr="00B65F7F" w14:paraId="590F22A6"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noWrap/>
            <w:hideMark/>
          </w:tcPr>
          <w:p w14:paraId="44C190BA" w14:textId="77777777" w:rsidR="00597B5E" w:rsidRPr="00B65F7F" w:rsidRDefault="00597B5E" w:rsidP="00C04F71">
            <w:pPr>
              <w:pStyle w:val="TableText"/>
            </w:pPr>
            <w:r w:rsidRPr="00B65F7F">
              <w:t>Central Australian Aboriginal Congress Aboriginal Corporation</w:t>
            </w:r>
          </w:p>
        </w:tc>
        <w:tc>
          <w:tcPr>
            <w:tcW w:w="3870" w:type="dxa"/>
            <w:noWrap/>
            <w:hideMark/>
          </w:tcPr>
          <w:p w14:paraId="50DA12C6" w14:textId="77777777" w:rsidR="00597B5E" w:rsidRPr="00B65F7F" w:rsidRDefault="00597B5E" w:rsidP="00C04F71">
            <w:pPr>
              <w:pStyle w:val="TableText"/>
            </w:pPr>
            <w:r w:rsidRPr="00B65F7F">
              <w:t>ACCHO</w:t>
            </w:r>
          </w:p>
        </w:tc>
      </w:tr>
      <w:tr w:rsidR="00597B5E" w:rsidRPr="00B65F7F" w14:paraId="5248658B"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noWrap/>
            <w:hideMark/>
          </w:tcPr>
          <w:p w14:paraId="34B129A6" w14:textId="77777777" w:rsidR="00597B5E" w:rsidRPr="00B65F7F" w:rsidRDefault="00597B5E" w:rsidP="00C04F71">
            <w:pPr>
              <w:pStyle w:val="TableText"/>
            </w:pPr>
            <w:r w:rsidRPr="00B65F7F">
              <w:t>Danila Dilba Biluru Butji Binnilutlum Health Service Aboriginal Corporation</w:t>
            </w:r>
          </w:p>
        </w:tc>
        <w:tc>
          <w:tcPr>
            <w:tcW w:w="3870" w:type="dxa"/>
            <w:noWrap/>
            <w:hideMark/>
          </w:tcPr>
          <w:p w14:paraId="0B979C00" w14:textId="77777777" w:rsidR="00597B5E" w:rsidRPr="00B65F7F" w:rsidRDefault="00597B5E" w:rsidP="00C04F71">
            <w:pPr>
              <w:pStyle w:val="TableText"/>
            </w:pPr>
            <w:r w:rsidRPr="00B65F7F">
              <w:t>ACCHO</w:t>
            </w:r>
          </w:p>
        </w:tc>
      </w:tr>
      <w:tr w:rsidR="00597B5E" w:rsidRPr="00B65F7F" w14:paraId="70E1C968"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tcBorders>
              <w:bottom w:val="single" w:sz="6" w:space="0" w:color="595959" w:themeColor="text1" w:themeTint="A6"/>
            </w:tcBorders>
            <w:noWrap/>
            <w:hideMark/>
          </w:tcPr>
          <w:p w14:paraId="3E6C7284" w14:textId="77777777" w:rsidR="00597B5E" w:rsidRPr="00B65F7F" w:rsidRDefault="00597B5E" w:rsidP="00C04F71">
            <w:pPr>
              <w:pStyle w:val="TableText"/>
            </w:pPr>
            <w:r w:rsidRPr="00B65F7F">
              <w:t xml:space="preserve">Northern Territory Government </w:t>
            </w:r>
          </w:p>
        </w:tc>
        <w:tc>
          <w:tcPr>
            <w:tcW w:w="3870" w:type="dxa"/>
            <w:tcBorders>
              <w:bottom w:val="single" w:sz="6" w:space="0" w:color="595959" w:themeColor="text1" w:themeTint="A6"/>
            </w:tcBorders>
            <w:noWrap/>
            <w:hideMark/>
          </w:tcPr>
          <w:p w14:paraId="617216CE" w14:textId="77777777" w:rsidR="00597B5E" w:rsidRPr="00B65F7F" w:rsidRDefault="00597B5E" w:rsidP="00C04F71">
            <w:pPr>
              <w:pStyle w:val="TableText"/>
            </w:pPr>
            <w:r w:rsidRPr="00B65F7F">
              <w:t xml:space="preserve">Territory </w:t>
            </w:r>
            <w:r w:rsidR="006002E7">
              <w:t>g</w:t>
            </w:r>
            <w:r w:rsidRPr="00B65F7F">
              <w:t>overnment</w:t>
            </w:r>
          </w:p>
        </w:tc>
      </w:tr>
      <w:tr w:rsidR="00597B5E" w:rsidRPr="00C04F71" w14:paraId="466A47AC"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tcBorders>
              <w:top w:val="single" w:sz="6" w:space="0" w:color="595959" w:themeColor="text1" w:themeTint="A6"/>
            </w:tcBorders>
            <w:shd w:val="clear" w:color="auto" w:fill="F2F2F2" w:themeFill="background1" w:themeFillShade="F2"/>
            <w:noWrap/>
            <w:hideMark/>
          </w:tcPr>
          <w:p w14:paraId="20F87C31" w14:textId="77777777" w:rsidR="00597B5E" w:rsidRPr="00C04F71" w:rsidRDefault="00597B5E" w:rsidP="00C04F71">
            <w:pPr>
              <w:pStyle w:val="TableText"/>
              <w:rPr>
                <w:b/>
                <w:bCs/>
              </w:rPr>
            </w:pPr>
            <w:r w:rsidRPr="00C04F71">
              <w:rPr>
                <w:b/>
                <w:bCs/>
              </w:rPr>
              <w:t>Queensland</w:t>
            </w:r>
          </w:p>
        </w:tc>
        <w:tc>
          <w:tcPr>
            <w:tcW w:w="3870" w:type="dxa"/>
            <w:tcBorders>
              <w:top w:val="single" w:sz="6" w:space="0" w:color="595959" w:themeColor="text1" w:themeTint="A6"/>
            </w:tcBorders>
            <w:shd w:val="clear" w:color="auto" w:fill="F2F2F2" w:themeFill="background1" w:themeFillShade="F2"/>
            <w:noWrap/>
            <w:hideMark/>
          </w:tcPr>
          <w:p w14:paraId="77C11C5E" w14:textId="77777777" w:rsidR="00597B5E" w:rsidRPr="00C04F71" w:rsidRDefault="00597B5E" w:rsidP="00C04F71">
            <w:pPr>
              <w:pStyle w:val="TableText"/>
              <w:rPr>
                <w:b/>
                <w:bCs/>
              </w:rPr>
            </w:pPr>
          </w:p>
        </w:tc>
      </w:tr>
      <w:tr w:rsidR="00597B5E" w:rsidRPr="00B65F7F" w14:paraId="0C6F15C2"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noWrap/>
            <w:hideMark/>
          </w:tcPr>
          <w:p w14:paraId="764C5F2F" w14:textId="77777777" w:rsidR="00597B5E" w:rsidRPr="00B65F7F" w:rsidRDefault="00597B5E" w:rsidP="00C04F71">
            <w:pPr>
              <w:pStyle w:val="TableText"/>
            </w:pPr>
            <w:r w:rsidRPr="00B65F7F">
              <w:t>Queensland Aboriginal and Islander Health Council</w:t>
            </w:r>
          </w:p>
        </w:tc>
        <w:tc>
          <w:tcPr>
            <w:tcW w:w="3870" w:type="dxa"/>
            <w:noWrap/>
            <w:hideMark/>
          </w:tcPr>
          <w:p w14:paraId="6AEC75C6" w14:textId="77777777" w:rsidR="00597B5E" w:rsidRPr="00B65F7F" w:rsidRDefault="00597B5E" w:rsidP="00C04F71">
            <w:pPr>
              <w:pStyle w:val="TableText"/>
            </w:pPr>
            <w:r w:rsidRPr="00B65F7F">
              <w:t xml:space="preserve">NACCHO </w:t>
            </w:r>
            <w:r w:rsidR="006002E7">
              <w:t>s</w:t>
            </w:r>
            <w:r w:rsidRPr="00B65F7F">
              <w:t xml:space="preserve">tate </w:t>
            </w:r>
            <w:r w:rsidR="006002E7">
              <w:t>f</w:t>
            </w:r>
            <w:r w:rsidRPr="00B65F7F">
              <w:t>ffiliate</w:t>
            </w:r>
          </w:p>
        </w:tc>
      </w:tr>
      <w:tr w:rsidR="00597B5E" w:rsidRPr="00B65F7F" w14:paraId="23E657E5"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noWrap/>
            <w:hideMark/>
          </w:tcPr>
          <w:p w14:paraId="1CA26B73" w14:textId="77777777" w:rsidR="00597B5E" w:rsidRPr="00B65F7F" w:rsidRDefault="002B46E5" w:rsidP="00C04F71">
            <w:pPr>
              <w:pStyle w:val="TableText"/>
            </w:pPr>
            <w:r w:rsidRPr="00B65F7F">
              <w:t>Western</w:t>
            </w:r>
            <w:r w:rsidR="00597B5E" w:rsidRPr="00B65F7F">
              <w:t xml:space="preserve"> Queensland PHN</w:t>
            </w:r>
          </w:p>
        </w:tc>
        <w:tc>
          <w:tcPr>
            <w:tcW w:w="3870" w:type="dxa"/>
            <w:noWrap/>
            <w:hideMark/>
          </w:tcPr>
          <w:p w14:paraId="1E00E88E" w14:textId="77777777" w:rsidR="00597B5E" w:rsidRPr="00B65F7F" w:rsidRDefault="00597B5E" w:rsidP="00C04F71">
            <w:pPr>
              <w:pStyle w:val="TableText"/>
            </w:pPr>
            <w:r w:rsidRPr="00B65F7F">
              <w:t>PHN</w:t>
            </w:r>
          </w:p>
        </w:tc>
      </w:tr>
      <w:tr w:rsidR="00597B5E" w:rsidRPr="00B65F7F" w14:paraId="09202349"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noWrap/>
            <w:hideMark/>
          </w:tcPr>
          <w:p w14:paraId="56C6AA88" w14:textId="77777777" w:rsidR="00597B5E" w:rsidRPr="00B65F7F" w:rsidRDefault="00597B5E" w:rsidP="00C04F71">
            <w:pPr>
              <w:pStyle w:val="TableText"/>
            </w:pPr>
            <w:r w:rsidRPr="00B65F7F">
              <w:t>Darling Downs &amp; West Moreton PHN</w:t>
            </w:r>
          </w:p>
        </w:tc>
        <w:tc>
          <w:tcPr>
            <w:tcW w:w="3870" w:type="dxa"/>
            <w:noWrap/>
            <w:hideMark/>
          </w:tcPr>
          <w:p w14:paraId="1E89020B" w14:textId="77777777" w:rsidR="00597B5E" w:rsidRPr="00B65F7F" w:rsidRDefault="00597B5E" w:rsidP="00C04F71">
            <w:pPr>
              <w:pStyle w:val="TableText"/>
            </w:pPr>
            <w:r w:rsidRPr="00B65F7F">
              <w:t>PHN</w:t>
            </w:r>
          </w:p>
        </w:tc>
      </w:tr>
      <w:tr w:rsidR="00597B5E" w:rsidRPr="00B65F7F" w14:paraId="03A53FC0"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noWrap/>
            <w:hideMark/>
          </w:tcPr>
          <w:p w14:paraId="30F65F58" w14:textId="77777777" w:rsidR="00597B5E" w:rsidRPr="00B65F7F" w:rsidRDefault="00597B5E" w:rsidP="00C04F71">
            <w:pPr>
              <w:pStyle w:val="TableText"/>
            </w:pPr>
            <w:r w:rsidRPr="00B65F7F">
              <w:t>Central Queensland, Wide Bay, Sunshine Coast PHN</w:t>
            </w:r>
          </w:p>
        </w:tc>
        <w:tc>
          <w:tcPr>
            <w:tcW w:w="3870" w:type="dxa"/>
            <w:noWrap/>
            <w:hideMark/>
          </w:tcPr>
          <w:p w14:paraId="76B472CE" w14:textId="77777777" w:rsidR="00597B5E" w:rsidRPr="00B65F7F" w:rsidRDefault="00597B5E" w:rsidP="00C04F71">
            <w:pPr>
              <w:pStyle w:val="TableText"/>
            </w:pPr>
            <w:r w:rsidRPr="00B65F7F">
              <w:t>PHN</w:t>
            </w:r>
          </w:p>
        </w:tc>
      </w:tr>
      <w:tr w:rsidR="00597B5E" w:rsidRPr="00B65F7F" w14:paraId="0A05098C"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noWrap/>
            <w:hideMark/>
          </w:tcPr>
          <w:p w14:paraId="758B666A" w14:textId="77777777" w:rsidR="00597B5E" w:rsidRPr="00B65F7F" w:rsidRDefault="00597B5E" w:rsidP="00C04F71">
            <w:pPr>
              <w:pStyle w:val="TableText"/>
            </w:pPr>
            <w:r w:rsidRPr="00B65F7F">
              <w:t>Brisbane North</w:t>
            </w:r>
          </w:p>
        </w:tc>
        <w:tc>
          <w:tcPr>
            <w:tcW w:w="3870" w:type="dxa"/>
            <w:noWrap/>
            <w:hideMark/>
          </w:tcPr>
          <w:p w14:paraId="7FE4DD26" w14:textId="77777777" w:rsidR="00597B5E" w:rsidRPr="00B65F7F" w:rsidRDefault="00597B5E" w:rsidP="00C04F71">
            <w:pPr>
              <w:pStyle w:val="TableText"/>
            </w:pPr>
            <w:r w:rsidRPr="00B65F7F">
              <w:t>PHN</w:t>
            </w:r>
          </w:p>
        </w:tc>
      </w:tr>
      <w:tr w:rsidR="00597B5E" w:rsidRPr="00B65F7F" w14:paraId="5520E3DE"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noWrap/>
            <w:hideMark/>
          </w:tcPr>
          <w:p w14:paraId="7E4BF461" w14:textId="77777777" w:rsidR="00597B5E" w:rsidRPr="00B65F7F" w:rsidRDefault="00597B5E" w:rsidP="00C04F71">
            <w:pPr>
              <w:pStyle w:val="TableText"/>
            </w:pPr>
            <w:r w:rsidRPr="00B65F7F">
              <w:t>Gold Coast PHN</w:t>
            </w:r>
          </w:p>
        </w:tc>
        <w:tc>
          <w:tcPr>
            <w:tcW w:w="3870" w:type="dxa"/>
            <w:noWrap/>
            <w:hideMark/>
          </w:tcPr>
          <w:p w14:paraId="42EB3A1B" w14:textId="77777777" w:rsidR="00597B5E" w:rsidRPr="00B65F7F" w:rsidRDefault="00597B5E" w:rsidP="00C04F71">
            <w:pPr>
              <w:pStyle w:val="TableText"/>
            </w:pPr>
            <w:r w:rsidRPr="00B65F7F">
              <w:t>PHN</w:t>
            </w:r>
          </w:p>
        </w:tc>
      </w:tr>
      <w:tr w:rsidR="00597B5E" w:rsidRPr="00B65F7F" w14:paraId="406B0C50"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noWrap/>
            <w:hideMark/>
          </w:tcPr>
          <w:p w14:paraId="69D28F1E" w14:textId="77777777" w:rsidR="00597B5E" w:rsidRPr="00B65F7F" w:rsidRDefault="00597B5E" w:rsidP="00C04F71">
            <w:pPr>
              <w:pStyle w:val="TableText"/>
            </w:pPr>
            <w:r w:rsidRPr="00B65F7F">
              <w:t>Northern Queensland PHN</w:t>
            </w:r>
          </w:p>
        </w:tc>
        <w:tc>
          <w:tcPr>
            <w:tcW w:w="3870" w:type="dxa"/>
            <w:noWrap/>
            <w:hideMark/>
          </w:tcPr>
          <w:p w14:paraId="4DC95913" w14:textId="77777777" w:rsidR="00597B5E" w:rsidRPr="00B65F7F" w:rsidRDefault="00597B5E" w:rsidP="00C04F71">
            <w:pPr>
              <w:pStyle w:val="TableText"/>
            </w:pPr>
            <w:r w:rsidRPr="00B65F7F">
              <w:t>PHN</w:t>
            </w:r>
          </w:p>
        </w:tc>
      </w:tr>
      <w:tr w:rsidR="00597B5E" w:rsidRPr="00B65F7F" w14:paraId="4919EEAE"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noWrap/>
            <w:hideMark/>
          </w:tcPr>
          <w:p w14:paraId="65C42DCE" w14:textId="77777777" w:rsidR="00597B5E" w:rsidRPr="00B65F7F" w:rsidRDefault="00597B5E" w:rsidP="00C04F71">
            <w:pPr>
              <w:pStyle w:val="TableText"/>
            </w:pPr>
            <w:r w:rsidRPr="00B65F7F">
              <w:t>Yulu-Burri-B</w:t>
            </w:r>
            <w:r>
              <w:t>a</w:t>
            </w:r>
            <w:r w:rsidRPr="00B65F7F">
              <w:t xml:space="preserve"> Corporation for Community Health</w:t>
            </w:r>
          </w:p>
        </w:tc>
        <w:tc>
          <w:tcPr>
            <w:tcW w:w="3870" w:type="dxa"/>
            <w:noWrap/>
            <w:hideMark/>
          </w:tcPr>
          <w:p w14:paraId="321E2263" w14:textId="77777777" w:rsidR="00597B5E" w:rsidRPr="00B65F7F" w:rsidRDefault="00597B5E" w:rsidP="00C04F71">
            <w:pPr>
              <w:pStyle w:val="TableText"/>
            </w:pPr>
            <w:r w:rsidRPr="00B65F7F">
              <w:t>ACCHO</w:t>
            </w:r>
          </w:p>
        </w:tc>
      </w:tr>
      <w:tr w:rsidR="00597B5E" w:rsidRPr="00B65F7F" w14:paraId="2E38F33A"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noWrap/>
            <w:hideMark/>
          </w:tcPr>
          <w:p w14:paraId="02E66454" w14:textId="77777777" w:rsidR="00597B5E" w:rsidRPr="00B65F7F" w:rsidRDefault="00597B5E" w:rsidP="00C04F71">
            <w:pPr>
              <w:pStyle w:val="TableText"/>
            </w:pPr>
            <w:r w:rsidRPr="00B65F7F">
              <w:t xml:space="preserve">Institute for Urban Indigenous Health </w:t>
            </w:r>
          </w:p>
        </w:tc>
        <w:tc>
          <w:tcPr>
            <w:tcW w:w="3870" w:type="dxa"/>
            <w:noWrap/>
            <w:hideMark/>
          </w:tcPr>
          <w:p w14:paraId="5BA39932" w14:textId="77777777" w:rsidR="00597B5E" w:rsidRPr="00B65F7F" w:rsidRDefault="00597B5E" w:rsidP="00C04F71">
            <w:pPr>
              <w:pStyle w:val="TableText"/>
            </w:pPr>
            <w:r w:rsidRPr="00B65F7F">
              <w:t>ACCHO</w:t>
            </w:r>
          </w:p>
        </w:tc>
      </w:tr>
      <w:tr w:rsidR="00597B5E" w:rsidRPr="00B65F7F" w14:paraId="6A74A1E1"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noWrap/>
            <w:hideMark/>
          </w:tcPr>
          <w:p w14:paraId="59D7BD4E" w14:textId="77777777" w:rsidR="00597B5E" w:rsidRPr="00B65F7F" w:rsidRDefault="00597B5E" w:rsidP="00C04F71">
            <w:pPr>
              <w:pStyle w:val="TableText"/>
            </w:pPr>
            <w:r w:rsidRPr="00B65F7F">
              <w:t>Indigenous Wellbeing Centre Limited</w:t>
            </w:r>
          </w:p>
        </w:tc>
        <w:tc>
          <w:tcPr>
            <w:tcW w:w="3870" w:type="dxa"/>
            <w:noWrap/>
            <w:hideMark/>
          </w:tcPr>
          <w:p w14:paraId="44862CE2" w14:textId="77777777" w:rsidR="00597B5E" w:rsidRPr="00B65F7F" w:rsidRDefault="00597B5E" w:rsidP="00C04F71">
            <w:pPr>
              <w:pStyle w:val="TableText"/>
            </w:pPr>
            <w:r w:rsidRPr="00B65F7F">
              <w:t>ACCHO</w:t>
            </w:r>
          </w:p>
        </w:tc>
      </w:tr>
      <w:tr w:rsidR="00597B5E" w:rsidRPr="00B65F7F" w14:paraId="17D48671"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noWrap/>
            <w:hideMark/>
          </w:tcPr>
          <w:p w14:paraId="17733565" w14:textId="77777777" w:rsidR="00597B5E" w:rsidRPr="00B65F7F" w:rsidRDefault="00597B5E" w:rsidP="00C04F71">
            <w:pPr>
              <w:pStyle w:val="TableText"/>
            </w:pPr>
            <w:r w:rsidRPr="00B65F7F">
              <w:t>Carbal Medical Centre</w:t>
            </w:r>
          </w:p>
        </w:tc>
        <w:tc>
          <w:tcPr>
            <w:tcW w:w="3870" w:type="dxa"/>
            <w:noWrap/>
            <w:hideMark/>
          </w:tcPr>
          <w:p w14:paraId="39D41273" w14:textId="77777777" w:rsidR="00597B5E" w:rsidRPr="00B65F7F" w:rsidRDefault="00597B5E" w:rsidP="00C04F71">
            <w:pPr>
              <w:pStyle w:val="TableText"/>
            </w:pPr>
            <w:r w:rsidRPr="00B65F7F">
              <w:t>ACCHO</w:t>
            </w:r>
          </w:p>
        </w:tc>
      </w:tr>
      <w:tr w:rsidR="00597B5E" w:rsidRPr="00B65F7F" w14:paraId="0D18858F"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noWrap/>
            <w:hideMark/>
          </w:tcPr>
          <w:p w14:paraId="4F366D86" w14:textId="77777777" w:rsidR="00597B5E" w:rsidRPr="00B65F7F" w:rsidRDefault="00597B5E" w:rsidP="00C04F71">
            <w:pPr>
              <w:pStyle w:val="TableText"/>
            </w:pPr>
            <w:r w:rsidRPr="00B65F7F">
              <w:t xml:space="preserve">Mackay </w:t>
            </w:r>
            <w:r>
              <w:t>Aboriginal and/or Torres Strait Islander</w:t>
            </w:r>
            <w:r w:rsidRPr="00B65F7F">
              <w:t xml:space="preserve"> Community Health Service Limited</w:t>
            </w:r>
          </w:p>
        </w:tc>
        <w:tc>
          <w:tcPr>
            <w:tcW w:w="3870" w:type="dxa"/>
            <w:noWrap/>
            <w:hideMark/>
          </w:tcPr>
          <w:p w14:paraId="76148AAA" w14:textId="77777777" w:rsidR="00597B5E" w:rsidRPr="00B65F7F" w:rsidRDefault="00597B5E" w:rsidP="00C04F71">
            <w:pPr>
              <w:pStyle w:val="TableText"/>
            </w:pPr>
            <w:r w:rsidRPr="00B65F7F">
              <w:t>ACCHO</w:t>
            </w:r>
          </w:p>
        </w:tc>
      </w:tr>
      <w:tr w:rsidR="00597B5E" w:rsidRPr="00B65F7F" w14:paraId="0B20CAC8"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noWrap/>
            <w:hideMark/>
          </w:tcPr>
          <w:p w14:paraId="00C884B6" w14:textId="77777777" w:rsidR="00597B5E" w:rsidRPr="00B65F7F" w:rsidRDefault="00597B5E" w:rsidP="00C04F71">
            <w:pPr>
              <w:pStyle w:val="TableText"/>
            </w:pPr>
            <w:r w:rsidRPr="00B65F7F">
              <w:t>Gurriny Yealamucka Health Services Aboriginal Corporation</w:t>
            </w:r>
          </w:p>
        </w:tc>
        <w:tc>
          <w:tcPr>
            <w:tcW w:w="3870" w:type="dxa"/>
            <w:noWrap/>
            <w:hideMark/>
          </w:tcPr>
          <w:p w14:paraId="2797F1B7" w14:textId="77777777" w:rsidR="00597B5E" w:rsidRPr="00B65F7F" w:rsidRDefault="00597B5E" w:rsidP="00C04F71">
            <w:pPr>
              <w:pStyle w:val="TableText"/>
            </w:pPr>
            <w:r w:rsidRPr="00B65F7F">
              <w:t>ACCHO</w:t>
            </w:r>
          </w:p>
        </w:tc>
      </w:tr>
      <w:tr w:rsidR="00597B5E" w:rsidRPr="00B65F7F" w14:paraId="5EBC334D"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noWrap/>
            <w:hideMark/>
          </w:tcPr>
          <w:p w14:paraId="04101CB6" w14:textId="77777777" w:rsidR="00597B5E" w:rsidRPr="00B65F7F" w:rsidRDefault="00597B5E" w:rsidP="00C04F71">
            <w:pPr>
              <w:pStyle w:val="TableText"/>
            </w:pPr>
            <w:r w:rsidRPr="00B65F7F">
              <w:t xml:space="preserve">Each </w:t>
            </w:r>
            <w:r w:rsidR="006002E7">
              <w:t>–</w:t>
            </w:r>
            <w:r w:rsidRPr="00B65F7F">
              <w:t xml:space="preserve"> QLD </w:t>
            </w:r>
          </w:p>
        </w:tc>
        <w:tc>
          <w:tcPr>
            <w:tcW w:w="3870" w:type="dxa"/>
            <w:noWrap/>
            <w:hideMark/>
          </w:tcPr>
          <w:p w14:paraId="792A16DE" w14:textId="77777777" w:rsidR="00597B5E" w:rsidRPr="00B65F7F" w:rsidRDefault="00597B5E" w:rsidP="00C04F71">
            <w:pPr>
              <w:pStyle w:val="TableText"/>
            </w:pPr>
            <w:r w:rsidRPr="00B65F7F">
              <w:t xml:space="preserve">Service </w:t>
            </w:r>
            <w:r w:rsidR="006002E7">
              <w:t>p</w:t>
            </w:r>
            <w:r w:rsidRPr="00B65F7F">
              <w:t>rovider (mainstream)</w:t>
            </w:r>
          </w:p>
        </w:tc>
      </w:tr>
      <w:tr w:rsidR="00597B5E" w:rsidRPr="00B65F7F" w14:paraId="608B0CBA"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noWrap/>
            <w:hideMark/>
          </w:tcPr>
          <w:p w14:paraId="750901BD" w14:textId="77777777" w:rsidR="00597B5E" w:rsidRPr="00B65F7F" w:rsidRDefault="00597B5E" w:rsidP="00C04F71">
            <w:pPr>
              <w:pStyle w:val="TableText"/>
            </w:pPr>
            <w:r w:rsidRPr="00B65F7F">
              <w:t>CheckUP</w:t>
            </w:r>
          </w:p>
        </w:tc>
        <w:tc>
          <w:tcPr>
            <w:tcW w:w="3870" w:type="dxa"/>
            <w:noWrap/>
            <w:hideMark/>
          </w:tcPr>
          <w:p w14:paraId="759497A8" w14:textId="77777777" w:rsidR="00597B5E" w:rsidRPr="00B65F7F" w:rsidRDefault="00597B5E" w:rsidP="00C04F71">
            <w:pPr>
              <w:pStyle w:val="TableText"/>
            </w:pPr>
            <w:r w:rsidRPr="00B65F7F">
              <w:t xml:space="preserve">Service </w:t>
            </w:r>
            <w:r w:rsidR="006002E7">
              <w:t>p</w:t>
            </w:r>
            <w:r w:rsidRPr="00B65F7F">
              <w:t>rovider (mainstream)</w:t>
            </w:r>
          </w:p>
        </w:tc>
      </w:tr>
      <w:tr w:rsidR="00597B5E" w:rsidRPr="00B65F7F" w14:paraId="24F07AD5"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tcBorders>
              <w:bottom w:val="single" w:sz="6" w:space="0" w:color="595959" w:themeColor="text1" w:themeTint="A6"/>
            </w:tcBorders>
            <w:hideMark/>
          </w:tcPr>
          <w:p w14:paraId="51742FC9" w14:textId="77777777" w:rsidR="00597B5E" w:rsidRPr="00B65F7F" w:rsidRDefault="00597B5E" w:rsidP="00C04F71">
            <w:pPr>
              <w:pStyle w:val="TableText"/>
              <w:rPr>
                <w:rFonts w:ascii="Arial" w:hAnsi="Arial" w:cs="Arial"/>
              </w:rPr>
            </w:pPr>
            <w:r w:rsidRPr="00B65F7F">
              <w:t>Q</w:t>
            </w:r>
            <w:r w:rsidR="006002E7">
              <w:t>ueensland</w:t>
            </w:r>
            <w:r w:rsidRPr="00B65F7F">
              <w:t xml:space="preserve"> Government </w:t>
            </w:r>
          </w:p>
        </w:tc>
        <w:tc>
          <w:tcPr>
            <w:tcW w:w="3870" w:type="dxa"/>
            <w:tcBorders>
              <w:bottom w:val="single" w:sz="6" w:space="0" w:color="595959" w:themeColor="text1" w:themeTint="A6"/>
            </w:tcBorders>
            <w:noWrap/>
            <w:hideMark/>
          </w:tcPr>
          <w:p w14:paraId="715A014A" w14:textId="77777777" w:rsidR="00597B5E" w:rsidRPr="00B65F7F" w:rsidRDefault="00597B5E" w:rsidP="00C04F71">
            <w:pPr>
              <w:pStyle w:val="TableText"/>
            </w:pPr>
            <w:r w:rsidRPr="00B65F7F">
              <w:t xml:space="preserve">State </w:t>
            </w:r>
            <w:r w:rsidR="006002E7">
              <w:t>g</w:t>
            </w:r>
            <w:r w:rsidRPr="00B65F7F">
              <w:t>overnment</w:t>
            </w:r>
          </w:p>
        </w:tc>
      </w:tr>
      <w:tr w:rsidR="00597B5E" w:rsidRPr="00C04F71" w14:paraId="36CD4C2C"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tcBorders>
              <w:top w:val="single" w:sz="6" w:space="0" w:color="595959" w:themeColor="text1" w:themeTint="A6"/>
            </w:tcBorders>
            <w:shd w:val="clear" w:color="auto" w:fill="F2F2F2" w:themeFill="background1" w:themeFillShade="F2"/>
            <w:noWrap/>
            <w:hideMark/>
          </w:tcPr>
          <w:p w14:paraId="38A4F61A" w14:textId="77777777" w:rsidR="00597B5E" w:rsidRPr="00C04F71" w:rsidRDefault="00597B5E" w:rsidP="00C04F71">
            <w:pPr>
              <w:pStyle w:val="TableText"/>
              <w:rPr>
                <w:b/>
                <w:bCs/>
              </w:rPr>
            </w:pPr>
            <w:r w:rsidRPr="00C04F71">
              <w:rPr>
                <w:b/>
                <w:bCs/>
              </w:rPr>
              <w:t>Australian Capital Territory</w:t>
            </w:r>
          </w:p>
        </w:tc>
        <w:tc>
          <w:tcPr>
            <w:tcW w:w="3870" w:type="dxa"/>
            <w:tcBorders>
              <w:top w:val="single" w:sz="6" w:space="0" w:color="595959" w:themeColor="text1" w:themeTint="A6"/>
            </w:tcBorders>
            <w:shd w:val="clear" w:color="auto" w:fill="F2F2F2" w:themeFill="background1" w:themeFillShade="F2"/>
            <w:noWrap/>
            <w:hideMark/>
          </w:tcPr>
          <w:p w14:paraId="2B820A2E" w14:textId="77777777" w:rsidR="00597B5E" w:rsidRPr="00C04F71" w:rsidRDefault="00597B5E" w:rsidP="00C04F71">
            <w:pPr>
              <w:pStyle w:val="TableText"/>
              <w:rPr>
                <w:b/>
                <w:bCs/>
              </w:rPr>
            </w:pPr>
          </w:p>
        </w:tc>
      </w:tr>
      <w:tr w:rsidR="00597B5E" w:rsidRPr="00B65F7F" w14:paraId="0AC00F48"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noWrap/>
            <w:hideMark/>
          </w:tcPr>
          <w:p w14:paraId="7CEFF611" w14:textId="77777777" w:rsidR="00597B5E" w:rsidRPr="00B65F7F" w:rsidRDefault="00597B5E" w:rsidP="00C04F71">
            <w:pPr>
              <w:pStyle w:val="TableText"/>
            </w:pPr>
            <w:r w:rsidRPr="00B65F7F">
              <w:t>ACT Government</w:t>
            </w:r>
          </w:p>
        </w:tc>
        <w:tc>
          <w:tcPr>
            <w:tcW w:w="3870" w:type="dxa"/>
            <w:noWrap/>
            <w:hideMark/>
          </w:tcPr>
          <w:p w14:paraId="1CBFF253" w14:textId="77777777" w:rsidR="00597B5E" w:rsidRPr="00B65F7F" w:rsidRDefault="00597B5E" w:rsidP="00C04F71">
            <w:pPr>
              <w:pStyle w:val="TableText"/>
            </w:pPr>
            <w:r w:rsidRPr="00B65F7F">
              <w:t xml:space="preserve">Territory </w:t>
            </w:r>
            <w:r w:rsidR="006002E7">
              <w:t>g</w:t>
            </w:r>
            <w:r w:rsidRPr="00B65F7F">
              <w:t>overnment</w:t>
            </w:r>
          </w:p>
        </w:tc>
      </w:tr>
      <w:tr w:rsidR="00597B5E" w:rsidRPr="00B65F7F" w14:paraId="26D52C35" w14:textId="77777777" w:rsidTr="006F6DD1">
        <w:trPr>
          <w:cnfStyle w:val="000000010000" w:firstRow="0" w:lastRow="0" w:firstColumn="0" w:lastColumn="0" w:oddVBand="0" w:evenVBand="0" w:oddHBand="0" w:evenHBand="1" w:firstRowFirstColumn="0" w:firstRowLastColumn="0" w:lastRowFirstColumn="0" w:lastRowLastColumn="0"/>
          <w:trHeight w:val="300"/>
        </w:trPr>
        <w:tc>
          <w:tcPr>
            <w:tcW w:w="5670" w:type="dxa"/>
            <w:noWrap/>
            <w:hideMark/>
          </w:tcPr>
          <w:p w14:paraId="0516E852" w14:textId="77777777" w:rsidR="00597B5E" w:rsidRPr="00B65F7F" w:rsidRDefault="00597B5E" w:rsidP="00C04F71">
            <w:pPr>
              <w:pStyle w:val="TableText"/>
            </w:pPr>
            <w:r w:rsidRPr="00B65F7F">
              <w:t>Australian Capital Territory PHN</w:t>
            </w:r>
          </w:p>
        </w:tc>
        <w:tc>
          <w:tcPr>
            <w:tcW w:w="3870" w:type="dxa"/>
            <w:noWrap/>
            <w:hideMark/>
          </w:tcPr>
          <w:p w14:paraId="5ADB36E1" w14:textId="77777777" w:rsidR="00597B5E" w:rsidRPr="00B65F7F" w:rsidRDefault="00597B5E" w:rsidP="00C04F71">
            <w:pPr>
              <w:pStyle w:val="TableText"/>
            </w:pPr>
            <w:r w:rsidRPr="00B65F7F">
              <w:t>PHN</w:t>
            </w:r>
          </w:p>
        </w:tc>
      </w:tr>
      <w:tr w:rsidR="00597B5E" w:rsidRPr="00B65F7F" w14:paraId="3814B05E" w14:textId="77777777" w:rsidTr="006F6DD1">
        <w:trPr>
          <w:cnfStyle w:val="000000100000" w:firstRow="0" w:lastRow="0" w:firstColumn="0" w:lastColumn="0" w:oddVBand="0" w:evenVBand="0" w:oddHBand="1" w:evenHBand="0" w:firstRowFirstColumn="0" w:firstRowLastColumn="0" w:lastRowFirstColumn="0" w:lastRowLastColumn="0"/>
          <w:trHeight w:val="300"/>
        </w:trPr>
        <w:tc>
          <w:tcPr>
            <w:tcW w:w="5670" w:type="dxa"/>
            <w:noWrap/>
            <w:hideMark/>
          </w:tcPr>
          <w:p w14:paraId="5B0DB841" w14:textId="77777777" w:rsidR="00597B5E" w:rsidRPr="00B65F7F" w:rsidRDefault="00597B5E" w:rsidP="00C04F71">
            <w:pPr>
              <w:pStyle w:val="TableText"/>
            </w:pPr>
            <w:r w:rsidRPr="00B65F7F">
              <w:t>Grand Pacific Health</w:t>
            </w:r>
          </w:p>
        </w:tc>
        <w:tc>
          <w:tcPr>
            <w:tcW w:w="3870" w:type="dxa"/>
            <w:noWrap/>
            <w:hideMark/>
          </w:tcPr>
          <w:p w14:paraId="38628EFF" w14:textId="77777777" w:rsidR="00597B5E" w:rsidRPr="00B65F7F" w:rsidRDefault="00597B5E" w:rsidP="00C04F71">
            <w:pPr>
              <w:pStyle w:val="TableText"/>
            </w:pPr>
            <w:r w:rsidRPr="00B65F7F">
              <w:t xml:space="preserve">Service </w:t>
            </w:r>
            <w:r w:rsidR="006002E7">
              <w:t>p</w:t>
            </w:r>
            <w:r w:rsidRPr="00B65F7F">
              <w:t>rovider (mainstream)</w:t>
            </w:r>
          </w:p>
        </w:tc>
      </w:tr>
    </w:tbl>
    <w:p w14:paraId="0CBED6ED" w14:textId="77777777" w:rsidR="00597B5E" w:rsidRPr="00B65F7F" w:rsidRDefault="00597B5E" w:rsidP="00597B5E"/>
    <w:p w14:paraId="1047EE3C" w14:textId="77777777" w:rsidR="00597B5E" w:rsidRPr="00B65F7F" w:rsidRDefault="008D330E" w:rsidP="006734AE">
      <w:pPr>
        <w:pStyle w:val="HeadingLevel2NoNumber"/>
      </w:pPr>
      <w:r>
        <w:t xml:space="preserve">A5.8 </w:t>
      </w:r>
      <w:r w:rsidR="00597B5E" w:rsidRPr="00B65F7F">
        <w:t xml:space="preserve">Interviews with Australian Government representatives </w:t>
      </w:r>
    </w:p>
    <w:p w14:paraId="53ED095C" w14:textId="77777777" w:rsidR="00934D5E" w:rsidRDefault="00597B5E">
      <w:pPr>
        <w:rPr>
          <w:rFonts w:cstheme="minorHAnsi"/>
          <w:b/>
          <w:sz w:val="20"/>
          <w:szCs w:val="18"/>
          <w:lang w:eastAsia="en-US" w:bidi="en-US"/>
        </w:rPr>
      </w:pPr>
      <w:r w:rsidRPr="00B65F7F">
        <w:t>Seven in</w:t>
      </w:r>
      <w:r>
        <w:t>-</w:t>
      </w:r>
      <w:r w:rsidRPr="00B65F7F">
        <w:t xml:space="preserve">person interviews and one online interview with representatives from </w:t>
      </w:r>
      <w:r w:rsidR="00A2259F">
        <w:t>DoHAC</w:t>
      </w:r>
      <w:r w:rsidRPr="00B65F7F">
        <w:rPr>
          <w:lang w:eastAsia="en-AU"/>
        </w:rPr>
        <w:t xml:space="preserve"> </w:t>
      </w:r>
      <w:r w:rsidRPr="00B65F7F">
        <w:t>were completed over the period of December 2022 to January 2023. One in</w:t>
      </w:r>
      <w:r>
        <w:t>-</w:t>
      </w:r>
      <w:r w:rsidRPr="00B65F7F">
        <w:t xml:space="preserve">person interview with a representative from the </w:t>
      </w:r>
      <w:r w:rsidR="00A2259F">
        <w:t>NIAA</w:t>
      </w:r>
      <w:r w:rsidRPr="00B65F7F">
        <w:t xml:space="preserve"> was completed on 7 December 2023</w:t>
      </w:r>
      <w:r w:rsidR="006D513D">
        <w:t xml:space="preserve"> (</w:t>
      </w:r>
      <w:r w:rsidR="006D513D">
        <w:fldChar w:fldCharType="begin"/>
      </w:r>
      <w:r w:rsidR="006D513D">
        <w:instrText xml:space="preserve"> REF _Ref152082978 \h </w:instrText>
      </w:r>
      <w:r w:rsidR="006D513D">
        <w:fldChar w:fldCharType="separate"/>
      </w:r>
      <w:r w:rsidR="00934D5E">
        <w:br w:type="page"/>
      </w:r>
    </w:p>
    <w:p w14:paraId="328B26C0" w14:textId="079F7703" w:rsidR="00597B5E" w:rsidRDefault="00934D5E" w:rsidP="00C04F71">
      <w:pPr>
        <w:pStyle w:val="BodyText"/>
        <w:keepNext/>
        <w:keepLines/>
      </w:pPr>
      <w:r>
        <w:t>Table A5.</w:t>
      </w:r>
      <w:r>
        <w:rPr>
          <w:noProof/>
        </w:rPr>
        <w:t>7</w:t>
      </w:r>
      <w:r w:rsidR="006D513D">
        <w:fldChar w:fldCharType="end"/>
      </w:r>
      <w:r w:rsidR="006D513D">
        <w:t>)</w:t>
      </w:r>
      <w:r w:rsidR="00597B5E" w:rsidRPr="00B65F7F">
        <w:t xml:space="preserve">. </w:t>
      </w:r>
    </w:p>
    <w:p w14:paraId="0B56A771" w14:textId="77777777" w:rsidR="008444BD" w:rsidRDefault="008444BD">
      <w:pPr>
        <w:rPr>
          <w:rFonts w:cstheme="minorHAnsi"/>
          <w:b/>
          <w:sz w:val="20"/>
          <w:szCs w:val="18"/>
          <w:lang w:eastAsia="en-US" w:bidi="en-US"/>
        </w:rPr>
      </w:pPr>
      <w:bookmarkStart w:id="308" w:name="_Ref152082978"/>
      <w:bookmarkStart w:id="309" w:name="_Toc145604980"/>
      <w:bookmarkStart w:id="310" w:name="_Toc145617852"/>
      <w:r>
        <w:br w:type="page"/>
      </w:r>
    </w:p>
    <w:p w14:paraId="1F5A5B02" w14:textId="2E8A3658" w:rsidR="00597B5E" w:rsidRPr="00B65F7F" w:rsidRDefault="00597B5E" w:rsidP="00597B5E">
      <w:pPr>
        <w:pStyle w:val="CaptionTable"/>
      </w:pPr>
      <w:bookmarkStart w:id="311" w:name="_Toc156932089"/>
      <w:r>
        <w:t xml:space="preserve">Table </w:t>
      </w:r>
      <w:r w:rsidR="00A2259F">
        <w:t>A5.</w:t>
      </w:r>
      <w:r w:rsidR="00A2259F">
        <w:fldChar w:fldCharType="begin"/>
      </w:r>
      <w:r w:rsidR="00A2259F">
        <w:instrText xml:space="preserve"> SEQ Table_A5 \* ARABIC </w:instrText>
      </w:r>
      <w:r w:rsidR="00A2259F">
        <w:fldChar w:fldCharType="separate"/>
      </w:r>
      <w:r w:rsidR="00934D5E">
        <w:rPr>
          <w:noProof/>
        </w:rPr>
        <w:t>7</w:t>
      </w:r>
      <w:r w:rsidR="00A2259F">
        <w:fldChar w:fldCharType="end"/>
      </w:r>
      <w:bookmarkEnd w:id="308"/>
      <w:r>
        <w:t xml:space="preserve">: Interviews with representatives from </w:t>
      </w:r>
      <w:r w:rsidR="00840E8D">
        <w:t>DoHAC</w:t>
      </w:r>
      <w:r>
        <w:t xml:space="preserve"> held</w:t>
      </w:r>
      <w:bookmarkEnd w:id="309"/>
      <w:bookmarkEnd w:id="310"/>
      <w:bookmarkEnd w:id="311"/>
    </w:p>
    <w:tbl>
      <w:tblPr>
        <w:tblStyle w:val="Newtableforresport"/>
        <w:tblW w:w="9540" w:type="dxa"/>
        <w:tblInd w:w="0" w:type="dxa"/>
        <w:tblLook w:val="0620" w:firstRow="1" w:lastRow="0" w:firstColumn="0" w:lastColumn="0" w:noHBand="1" w:noVBand="1"/>
        <w:tblCaption w:val="Table A5.7: Interviews with representatives from DoHAC held"/>
        <w:tblDescription w:val="This table provides a list of Commonwealth Government agencies that were engaged for the Review. "/>
      </w:tblPr>
      <w:tblGrid>
        <w:gridCol w:w="9540"/>
      </w:tblGrid>
      <w:tr w:rsidR="00597B5E" w:rsidRPr="00B65F7F" w14:paraId="192F7E8D" w14:textId="77777777" w:rsidTr="009D4C69">
        <w:trPr>
          <w:cnfStyle w:val="100000000000" w:firstRow="1" w:lastRow="0" w:firstColumn="0" w:lastColumn="0" w:oddVBand="0" w:evenVBand="0" w:oddHBand="0" w:evenHBand="0" w:firstRowFirstColumn="0" w:firstRowLastColumn="0" w:lastRowFirstColumn="0" w:lastRowLastColumn="0"/>
          <w:trHeight w:val="300"/>
          <w:tblHeader/>
        </w:trPr>
        <w:tc>
          <w:tcPr>
            <w:tcW w:w="9540" w:type="dxa"/>
            <w:noWrap/>
            <w:hideMark/>
          </w:tcPr>
          <w:p w14:paraId="68622B99" w14:textId="77777777" w:rsidR="00597B5E" w:rsidRPr="00B65F7F" w:rsidRDefault="00597B5E" w:rsidP="00024E8D">
            <w:pPr>
              <w:pStyle w:val="TableHeading"/>
              <w:rPr>
                <w:b w:val="0"/>
              </w:rPr>
            </w:pPr>
            <w:r w:rsidRPr="00B65F7F">
              <w:t>Organisation</w:t>
            </w:r>
          </w:p>
        </w:tc>
      </w:tr>
      <w:tr w:rsidR="00597B5E" w:rsidRPr="00B65F7F" w14:paraId="55CEE477" w14:textId="77777777" w:rsidTr="006F6DD1">
        <w:trPr>
          <w:trHeight w:val="300"/>
        </w:trPr>
        <w:tc>
          <w:tcPr>
            <w:tcW w:w="9540" w:type="dxa"/>
            <w:noWrap/>
            <w:hideMark/>
          </w:tcPr>
          <w:p w14:paraId="4E16A543" w14:textId="77777777" w:rsidR="00597B5E" w:rsidRPr="00B65F7F" w:rsidRDefault="00597B5E" w:rsidP="00C87C6E">
            <w:pPr>
              <w:pStyle w:val="TableText"/>
              <w:rPr>
                <w:b/>
              </w:rPr>
            </w:pPr>
            <w:r w:rsidRPr="00B65F7F">
              <w:t>Australian Government Department of Health and Aged Care</w:t>
            </w:r>
            <w:r w:rsidR="00A2259F">
              <w:t xml:space="preserve"> (DoHAC)</w:t>
            </w:r>
          </w:p>
        </w:tc>
      </w:tr>
      <w:tr w:rsidR="00597B5E" w:rsidRPr="00B65F7F" w14:paraId="3C0B45B0" w14:textId="77777777" w:rsidTr="006F6DD1">
        <w:trPr>
          <w:trHeight w:val="300"/>
        </w:trPr>
        <w:tc>
          <w:tcPr>
            <w:tcW w:w="9540" w:type="dxa"/>
            <w:noWrap/>
            <w:hideMark/>
          </w:tcPr>
          <w:p w14:paraId="7D1F7CFF" w14:textId="77777777" w:rsidR="00597B5E" w:rsidRPr="00B65F7F" w:rsidRDefault="00597B5E" w:rsidP="00C87C6E">
            <w:pPr>
              <w:pStyle w:val="TableText"/>
              <w:rPr>
                <w:b/>
              </w:rPr>
            </w:pPr>
            <w:r w:rsidRPr="00B65F7F">
              <w:t>National Indigenous Australians Agency</w:t>
            </w:r>
            <w:r w:rsidR="00A2259F">
              <w:t xml:space="preserve"> (NIAA)</w:t>
            </w:r>
          </w:p>
        </w:tc>
      </w:tr>
    </w:tbl>
    <w:p w14:paraId="177D3EF1" w14:textId="77777777" w:rsidR="00597B5E" w:rsidRPr="00B65F7F" w:rsidRDefault="008D330E" w:rsidP="006734AE">
      <w:pPr>
        <w:pStyle w:val="HeadingLevel2NoNumber"/>
        <w:rPr>
          <w:rFonts w:asciiTheme="majorHAnsi" w:hAnsiTheme="majorHAnsi" w:cstheme="majorBidi"/>
        </w:rPr>
      </w:pPr>
      <w:r>
        <w:t xml:space="preserve">A5.9 </w:t>
      </w:r>
      <w:r w:rsidR="00597B5E" w:rsidRPr="00B65F7F">
        <w:t xml:space="preserve">Interviews with </w:t>
      </w:r>
      <w:r w:rsidR="00597B5E">
        <w:t>s</w:t>
      </w:r>
      <w:r w:rsidR="00597B5E" w:rsidRPr="00B65F7F">
        <w:t xml:space="preserve">tate or </w:t>
      </w:r>
      <w:r w:rsidR="00597B5E">
        <w:t>t</w:t>
      </w:r>
      <w:r w:rsidR="00597B5E" w:rsidRPr="00B65F7F">
        <w:t xml:space="preserve">erritory </w:t>
      </w:r>
      <w:r w:rsidR="00597B5E">
        <w:rPr>
          <w:rFonts w:asciiTheme="majorHAnsi" w:hAnsiTheme="majorHAnsi" w:cstheme="majorBidi"/>
        </w:rPr>
        <w:t>g</w:t>
      </w:r>
      <w:r w:rsidR="00597B5E" w:rsidRPr="00B65F7F">
        <w:rPr>
          <w:rFonts w:asciiTheme="majorHAnsi" w:hAnsiTheme="majorHAnsi" w:cstheme="majorBidi"/>
        </w:rPr>
        <w:t xml:space="preserve">overnment representatives </w:t>
      </w:r>
    </w:p>
    <w:p w14:paraId="3AE45A66" w14:textId="74253055" w:rsidR="00597B5E" w:rsidRDefault="00597B5E" w:rsidP="00C87C6E">
      <w:pPr>
        <w:pStyle w:val="BodyText"/>
      </w:pPr>
      <w:r w:rsidRPr="00B65F7F">
        <w:rPr>
          <w:lang w:eastAsia="en-AU"/>
        </w:rPr>
        <w:t xml:space="preserve">Representatives from each </w:t>
      </w:r>
      <w:r>
        <w:rPr>
          <w:lang w:eastAsia="en-AU"/>
        </w:rPr>
        <w:t>s</w:t>
      </w:r>
      <w:r w:rsidRPr="00B65F7F">
        <w:rPr>
          <w:lang w:eastAsia="en-AU"/>
        </w:rPr>
        <w:t xml:space="preserve">tate and </w:t>
      </w:r>
      <w:r>
        <w:rPr>
          <w:lang w:eastAsia="en-AU"/>
        </w:rPr>
        <w:t>t</w:t>
      </w:r>
      <w:r w:rsidRPr="00B65F7F">
        <w:rPr>
          <w:lang w:eastAsia="en-AU"/>
        </w:rPr>
        <w:t xml:space="preserve">erritory </w:t>
      </w:r>
      <w:r>
        <w:rPr>
          <w:lang w:eastAsia="en-AU"/>
        </w:rPr>
        <w:t>g</w:t>
      </w:r>
      <w:r w:rsidRPr="00B65F7F">
        <w:rPr>
          <w:lang w:eastAsia="en-AU"/>
        </w:rPr>
        <w:t xml:space="preserve">overnment participated in </w:t>
      </w:r>
      <w:r w:rsidRPr="00B65F7F">
        <w:t>9 one-hour online interviews completed over the period of December 2022 to March 2023</w:t>
      </w:r>
      <w:r w:rsidR="006D513D">
        <w:t xml:space="preserve"> (</w:t>
      </w:r>
      <w:r w:rsidR="006D513D">
        <w:fldChar w:fldCharType="begin"/>
      </w:r>
      <w:r w:rsidR="006D513D">
        <w:instrText xml:space="preserve"> REF _Ref152082989 \h </w:instrText>
      </w:r>
      <w:r w:rsidR="006D513D">
        <w:fldChar w:fldCharType="separate"/>
      </w:r>
      <w:r w:rsidR="00934D5E">
        <w:t>Table A5.</w:t>
      </w:r>
      <w:r w:rsidR="00934D5E">
        <w:rPr>
          <w:noProof/>
        </w:rPr>
        <w:t>8</w:t>
      </w:r>
      <w:r w:rsidR="006D513D">
        <w:fldChar w:fldCharType="end"/>
      </w:r>
      <w:r w:rsidR="006D513D">
        <w:t>)</w:t>
      </w:r>
      <w:r w:rsidRPr="00B65F7F">
        <w:t xml:space="preserve">. </w:t>
      </w:r>
    </w:p>
    <w:p w14:paraId="656CD365" w14:textId="45CD18F9" w:rsidR="00597B5E" w:rsidRPr="00B65F7F" w:rsidRDefault="00597B5E" w:rsidP="00597B5E">
      <w:pPr>
        <w:pStyle w:val="CaptionTable"/>
      </w:pPr>
      <w:bookmarkStart w:id="312" w:name="_Ref152082989"/>
      <w:bookmarkStart w:id="313" w:name="_Toc145604981"/>
      <w:bookmarkStart w:id="314" w:name="_Toc145617853"/>
      <w:bookmarkStart w:id="315" w:name="_Toc156932090"/>
      <w:r>
        <w:t xml:space="preserve">Table </w:t>
      </w:r>
      <w:r w:rsidR="00A2259F">
        <w:t>A5.</w:t>
      </w:r>
      <w:r w:rsidR="00A2259F">
        <w:fldChar w:fldCharType="begin"/>
      </w:r>
      <w:r w:rsidR="00A2259F">
        <w:instrText xml:space="preserve"> SEQ Table_A5 \* ARABIC </w:instrText>
      </w:r>
      <w:r w:rsidR="00A2259F">
        <w:fldChar w:fldCharType="separate"/>
      </w:r>
      <w:r w:rsidR="00934D5E">
        <w:rPr>
          <w:noProof/>
        </w:rPr>
        <w:t>8</w:t>
      </w:r>
      <w:r w:rsidR="00A2259F">
        <w:fldChar w:fldCharType="end"/>
      </w:r>
      <w:bookmarkEnd w:id="312"/>
      <w:r>
        <w:t>: Interviews with representatives from state or territory governments held</w:t>
      </w:r>
      <w:bookmarkEnd w:id="313"/>
      <w:bookmarkEnd w:id="314"/>
      <w:bookmarkEnd w:id="315"/>
    </w:p>
    <w:tbl>
      <w:tblPr>
        <w:tblStyle w:val="Newtableforresport"/>
        <w:tblW w:w="9540" w:type="dxa"/>
        <w:tblInd w:w="0" w:type="dxa"/>
        <w:tblLook w:val="0620" w:firstRow="1" w:lastRow="0" w:firstColumn="0" w:lastColumn="0" w:noHBand="1" w:noVBand="1"/>
        <w:tblCaption w:val="Table A5.8: Interviews with representatives from state or territory governments held"/>
        <w:tblDescription w:val="The table lists state and territory government departments that were interviewed for the Review. "/>
      </w:tblPr>
      <w:tblGrid>
        <w:gridCol w:w="9540"/>
      </w:tblGrid>
      <w:tr w:rsidR="00597B5E" w:rsidRPr="00B65F7F" w14:paraId="03CF7FDE" w14:textId="77777777" w:rsidTr="009D4C69">
        <w:trPr>
          <w:cnfStyle w:val="100000000000" w:firstRow="1" w:lastRow="0" w:firstColumn="0" w:lastColumn="0" w:oddVBand="0" w:evenVBand="0" w:oddHBand="0" w:evenHBand="0" w:firstRowFirstColumn="0" w:firstRowLastColumn="0" w:lastRowFirstColumn="0" w:lastRowLastColumn="0"/>
          <w:trHeight w:val="300"/>
          <w:tblHeader/>
        </w:trPr>
        <w:tc>
          <w:tcPr>
            <w:tcW w:w="9540" w:type="dxa"/>
            <w:noWrap/>
            <w:hideMark/>
          </w:tcPr>
          <w:p w14:paraId="1AF6A974" w14:textId="77777777" w:rsidR="00597B5E" w:rsidRPr="00B65F7F" w:rsidRDefault="00597B5E" w:rsidP="00024E8D">
            <w:pPr>
              <w:pStyle w:val="TableHeading"/>
              <w:rPr>
                <w:b w:val="0"/>
              </w:rPr>
            </w:pPr>
            <w:r w:rsidRPr="00B65F7F">
              <w:t xml:space="preserve">State or </w:t>
            </w:r>
            <w:r>
              <w:t>t</w:t>
            </w:r>
            <w:r w:rsidRPr="00B65F7F">
              <w:t xml:space="preserve">erritory </w:t>
            </w:r>
            <w:r>
              <w:t>g</w:t>
            </w:r>
            <w:r w:rsidRPr="00B65F7F">
              <w:t xml:space="preserve">overnment (Department, </w:t>
            </w:r>
            <w:r w:rsidR="00A2259F">
              <w:t>o</w:t>
            </w:r>
            <w:r w:rsidRPr="00B65F7F">
              <w:t xml:space="preserve">ffice, </w:t>
            </w:r>
            <w:r w:rsidR="00A2259F">
              <w:t>d</w:t>
            </w:r>
            <w:r w:rsidRPr="00B65F7F">
              <w:t xml:space="preserve">ivision, </w:t>
            </w:r>
            <w:r w:rsidR="00A2259F">
              <w:t>d</w:t>
            </w:r>
            <w:r w:rsidRPr="00B65F7F">
              <w:t xml:space="preserve">irectorate or </w:t>
            </w:r>
            <w:r w:rsidR="00A2259F">
              <w:t>b</w:t>
            </w:r>
            <w:r w:rsidRPr="00B65F7F">
              <w:t>ranch)</w:t>
            </w:r>
          </w:p>
        </w:tc>
      </w:tr>
      <w:tr w:rsidR="00597B5E" w:rsidRPr="00B65F7F" w14:paraId="3A656D47" w14:textId="77777777" w:rsidTr="006F6DD1">
        <w:trPr>
          <w:trHeight w:val="300"/>
        </w:trPr>
        <w:tc>
          <w:tcPr>
            <w:tcW w:w="9540" w:type="dxa"/>
            <w:noWrap/>
          </w:tcPr>
          <w:p w14:paraId="4A690804" w14:textId="77777777" w:rsidR="00597B5E" w:rsidRPr="00B65F7F" w:rsidRDefault="00597B5E" w:rsidP="00C87C6E">
            <w:pPr>
              <w:pStyle w:val="TableText"/>
              <w:rPr>
                <w:b/>
                <w:highlight w:val="yellow"/>
              </w:rPr>
            </w:pPr>
            <w:r w:rsidRPr="00B65F7F">
              <w:t>SA Government, Office of the Chief Psychiatrist</w:t>
            </w:r>
          </w:p>
        </w:tc>
      </w:tr>
      <w:tr w:rsidR="00597B5E" w:rsidRPr="00B65F7F" w14:paraId="79C7DF84" w14:textId="77777777" w:rsidTr="006F6DD1">
        <w:trPr>
          <w:trHeight w:val="300"/>
        </w:trPr>
        <w:tc>
          <w:tcPr>
            <w:tcW w:w="9540" w:type="dxa"/>
            <w:noWrap/>
          </w:tcPr>
          <w:p w14:paraId="601DFEE1" w14:textId="77777777" w:rsidR="00597B5E" w:rsidRPr="00B65F7F" w:rsidRDefault="00597B5E" w:rsidP="00C87C6E">
            <w:pPr>
              <w:pStyle w:val="TableText"/>
              <w:rPr>
                <w:b/>
                <w:highlight w:val="yellow"/>
              </w:rPr>
            </w:pPr>
            <w:r w:rsidRPr="00B65F7F">
              <w:t>WA Government, Department of Health</w:t>
            </w:r>
          </w:p>
        </w:tc>
      </w:tr>
      <w:tr w:rsidR="00597B5E" w:rsidRPr="00B65F7F" w14:paraId="6278EC7C" w14:textId="77777777" w:rsidTr="006F6DD1">
        <w:trPr>
          <w:trHeight w:val="300"/>
        </w:trPr>
        <w:tc>
          <w:tcPr>
            <w:tcW w:w="9540" w:type="dxa"/>
            <w:noWrap/>
          </w:tcPr>
          <w:p w14:paraId="03D6CCBC" w14:textId="77777777" w:rsidR="00597B5E" w:rsidRPr="00B65F7F" w:rsidRDefault="00597B5E" w:rsidP="00C87C6E">
            <w:pPr>
              <w:pStyle w:val="TableText"/>
              <w:rPr>
                <w:b/>
                <w:highlight w:val="yellow"/>
              </w:rPr>
            </w:pPr>
            <w:r w:rsidRPr="00B65F7F">
              <w:t>VIC Government, Department of Health</w:t>
            </w:r>
          </w:p>
        </w:tc>
      </w:tr>
      <w:tr w:rsidR="00597B5E" w:rsidRPr="00B65F7F" w14:paraId="4F5107A4" w14:textId="77777777" w:rsidTr="006F6DD1">
        <w:trPr>
          <w:trHeight w:val="300"/>
        </w:trPr>
        <w:tc>
          <w:tcPr>
            <w:tcW w:w="9540" w:type="dxa"/>
            <w:noWrap/>
          </w:tcPr>
          <w:p w14:paraId="541546FC" w14:textId="77777777" w:rsidR="00597B5E" w:rsidRPr="00B65F7F" w:rsidRDefault="00597B5E" w:rsidP="00C87C6E">
            <w:pPr>
              <w:pStyle w:val="TableText"/>
              <w:rPr>
                <w:b/>
                <w:highlight w:val="yellow"/>
              </w:rPr>
            </w:pPr>
            <w:r w:rsidRPr="00B65F7F">
              <w:t>TAS Government, Mental Health, Alcohol and Drug Directorate</w:t>
            </w:r>
          </w:p>
        </w:tc>
      </w:tr>
      <w:tr w:rsidR="00597B5E" w:rsidRPr="00B65F7F" w14:paraId="55FAE612" w14:textId="77777777" w:rsidTr="006F6DD1">
        <w:trPr>
          <w:trHeight w:val="300"/>
        </w:trPr>
        <w:tc>
          <w:tcPr>
            <w:tcW w:w="9540" w:type="dxa"/>
            <w:noWrap/>
          </w:tcPr>
          <w:p w14:paraId="729EED1A" w14:textId="77777777" w:rsidR="00597B5E" w:rsidRPr="00B65F7F" w:rsidRDefault="00597B5E" w:rsidP="00C87C6E">
            <w:pPr>
              <w:pStyle w:val="TableText"/>
              <w:rPr>
                <w:b/>
                <w:highlight w:val="yellow"/>
              </w:rPr>
            </w:pPr>
            <w:r w:rsidRPr="00B65F7F">
              <w:t>NSW Government, Priority Programs, Mental Health Branch</w:t>
            </w:r>
          </w:p>
        </w:tc>
      </w:tr>
      <w:tr w:rsidR="00597B5E" w:rsidRPr="00B65F7F" w14:paraId="178C3EF2" w14:textId="77777777" w:rsidTr="006F6DD1">
        <w:trPr>
          <w:trHeight w:val="300"/>
        </w:trPr>
        <w:tc>
          <w:tcPr>
            <w:tcW w:w="9540" w:type="dxa"/>
            <w:noWrap/>
          </w:tcPr>
          <w:p w14:paraId="15592279" w14:textId="77777777" w:rsidR="00597B5E" w:rsidRPr="00B65F7F" w:rsidRDefault="00597B5E" w:rsidP="00C87C6E">
            <w:pPr>
              <w:pStyle w:val="TableText"/>
              <w:rPr>
                <w:b/>
                <w:highlight w:val="yellow"/>
              </w:rPr>
            </w:pPr>
            <w:r w:rsidRPr="00B65F7F">
              <w:t>QLD Government, Office of the Chief Psychiatrist, Mental Health Alcohol and Other Drugs Branch</w:t>
            </w:r>
          </w:p>
        </w:tc>
      </w:tr>
      <w:tr w:rsidR="00597B5E" w:rsidRPr="00B65F7F" w14:paraId="0BAB5D66" w14:textId="77777777" w:rsidTr="006F6DD1">
        <w:trPr>
          <w:trHeight w:val="300"/>
        </w:trPr>
        <w:tc>
          <w:tcPr>
            <w:tcW w:w="9540" w:type="dxa"/>
            <w:noWrap/>
          </w:tcPr>
          <w:p w14:paraId="7A578C39" w14:textId="77777777" w:rsidR="00597B5E" w:rsidRPr="00B65F7F" w:rsidRDefault="00597B5E" w:rsidP="00C87C6E">
            <w:pPr>
              <w:pStyle w:val="TableText"/>
              <w:rPr>
                <w:b/>
                <w:highlight w:val="yellow"/>
              </w:rPr>
            </w:pPr>
            <w:r w:rsidRPr="00B65F7F">
              <w:t>QLD Government, Queensland Health</w:t>
            </w:r>
          </w:p>
        </w:tc>
      </w:tr>
      <w:tr w:rsidR="00597B5E" w:rsidRPr="00B65F7F" w14:paraId="2A4AD6B4" w14:textId="77777777" w:rsidTr="006F6DD1">
        <w:trPr>
          <w:trHeight w:val="300"/>
        </w:trPr>
        <w:tc>
          <w:tcPr>
            <w:tcW w:w="9540" w:type="dxa"/>
            <w:noWrap/>
          </w:tcPr>
          <w:p w14:paraId="482ABABE" w14:textId="77777777" w:rsidR="00597B5E" w:rsidRPr="00B65F7F" w:rsidRDefault="00597B5E" w:rsidP="00C87C6E">
            <w:pPr>
              <w:pStyle w:val="TableText"/>
              <w:rPr>
                <w:b/>
                <w:highlight w:val="yellow"/>
              </w:rPr>
            </w:pPr>
            <w:r w:rsidRPr="00B65F7F">
              <w:t>NT Government, NT Health</w:t>
            </w:r>
          </w:p>
        </w:tc>
      </w:tr>
      <w:tr w:rsidR="00597B5E" w:rsidRPr="00B65F7F" w14:paraId="7D803A0E" w14:textId="77777777" w:rsidTr="006F6DD1">
        <w:trPr>
          <w:trHeight w:val="300"/>
        </w:trPr>
        <w:tc>
          <w:tcPr>
            <w:tcW w:w="9540" w:type="dxa"/>
            <w:noWrap/>
          </w:tcPr>
          <w:p w14:paraId="141B7C67" w14:textId="77777777" w:rsidR="00597B5E" w:rsidRPr="00B65F7F" w:rsidRDefault="00597B5E" w:rsidP="00C87C6E">
            <w:pPr>
              <w:pStyle w:val="TableText"/>
              <w:rPr>
                <w:b/>
                <w:highlight w:val="yellow"/>
              </w:rPr>
            </w:pPr>
            <w:r w:rsidRPr="00B65F7F">
              <w:t>ACT Government, Mental Health and Suicide Prevention Division</w:t>
            </w:r>
          </w:p>
        </w:tc>
      </w:tr>
    </w:tbl>
    <w:p w14:paraId="3B402598" w14:textId="77777777" w:rsidR="00597B5E" w:rsidRDefault="00597B5E" w:rsidP="00292E56">
      <w:pPr>
        <w:pStyle w:val="BodyText"/>
      </w:pPr>
    </w:p>
    <w:p w14:paraId="26EF1176" w14:textId="77777777" w:rsidR="00597B5E" w:rsidRPr="008D330E" w:rsidRDefault="00597B5E" w:rsidP="009912B7">
      <w:pPr>
        <w:pStyle w:val="HeadingLevel3NoNumber"/>
      </w:pPr>
      <w:r w:rsidRPr="008D330E">
        <w:t xml:space="preserve">Survey </w:t>
      </w:r>
      <w:r w:rsidR="00A2259F" w:rsidRPr="008D330E">
        <w:t>r</w:t>
      </w:r>
      <w:r w:rsidRPr="008D330E">
        <w:t>espondents</w:t>
      </w:r>
    </w:p>
    <w:p w14:paraId="3C7D9C28" w14:textId="6CF97579" w:rsidR="00597B5E" w:rsidRPr="002F0A10" w:rsidRDefault="00597B5E" w:rsidP="00C87C6E">
      <w:pPr>
        <w:pStyle w:val="BodyText"/>
        <w:rPr>
          <w:lang w:val="en-US"/>
        </w:rPr>
      </w:pPr>
      <w:r w:rsidRPr="002F0A10">
        <w:t>A total of 161 survey responses were received from key stakeholder groups at 2 data collection points</w:t>
      </w:r>
      <w:r w:rsidRPr="009A2203">
        <w:t xml:space="preserve"> during the </w:t>
      </w:r>
      <w:r w:rsidR="002B031B">
        <w:t>R</w:t>
      </w:r>
      <w:r w:rsidRPr="009A2203">
        <w:t>eview process</w:t>
      </w:r>
      <w:r w:rsidRPr="002F0A10">
        <w:t xml:space="preserve">. Consistent with </w:t>
      </w:r>
      <w:r w:rsidRPr="009A2203">
        <w:t xml:space="preserve">the </w:t>
      </w:r>
      <w:r w:rsidR="00A2259F">
        <w:t>R</w:t>
      </w:r>
      <w:r w:rsidRPr="009A2203">
        <w:t xml:space="preserve">eview’s </w:t>
      </w:r>
      <w:r w:rsidRPr="002F0A10">
        <w:t>ethical approach to research, data has been de</w:t>
      </w:r>
      <w:r w:rsidRPr="009A2203">
        <w:t>-</w:t>
      </w:r>
      <w:r w:rsidRPr="002F0A10">
        <w:t>identified.</w:t>
      </w:r>
      <w:r w:rsidRPr="002F0A10">
        <w:rPr>
          <w:lang w:val="en-US"/>
        </w:rPr>
        <w:t> </w:t>
      </w:r>
    </w:p>
    <w:p w14:paraId="39DC7E87" w14:textId="77777777" w:rsidR="00597B5E" w:rsidRPr="002F0A10" w:rsidRDefault="00597B5E" w:rsidP="00C87C6E">
      <w:pPr>
        <w:pStyle w:val="BodyText"/>
        <w:rPr>
          <w:lang w:val="en-US"/>
        </w:rPr>
      </w:pPr>
      <w:r w:rsidRPr="002F0A10">
        <w:t>During April to June 2023</w:t>
      </w:r>
      <w:r w:rsidRPr="009A2203">
        <w:t>, A</w:t>
      </w:r>
      <w:r w:rsidRPr="002F0A10">
        <w:t xml:space="preserve">boriginal and/or Torres Strait Islander community-controlled peak organisations, PHNs, service providers and community members were invited to complete a </w:t>
      </w:r>
      <w:r w:rsidRPr="009A2203">
        <w:t>survey.</w:t>
      </w:r>
      <w:r w:rsidRPr="002F0A10">
        <w:t xml:space="preserve"> The survey included quantitative and qualitative questions and sought to identify connections between the respondent and Relevant Health Programs. The 3 overarching review questions focused on funding arrangements, service sector capacity, and community and consumer needs. Questions that related to Indigenous wellbeing were asked only of Indigenous community member respondents. Efforts were made to engage with all stakeholder groups to participate in the survey through email promotion of the survey.</w:t>
      </w:r>
      <w:r w:rsidR="000B479E">
        <w:t xml:space="preserve"> </w:t>
      </w:r>
    </w:p>
    <w:p w14:paraId="5AEECC45" w14:textId="77777777" w:rsidR="00597B5E" w:rsidRPr="002F0A10" w:rsidRDefault="00AF046B" w:rsidP="00C87C6E">
      <w:pPr>
        <w:pStyle w:val="BodyText"/>
        <w:rPr>
          <w:lang w:val="en-US"/>
        </w:rPr>
      </w:pPr>
      <w:r>
        <w:t xml:space="preserve">Responses totalled </w:t>
      </w:r>
      <w:r w:rsidR="00597B5E" w:rsidRPr="002F0A10">
        <w:t>138:</w:t>
      </w:r>
      <w:r w:rsidR="00597B5E" w:rsidRPr="002F0A10">
        <w:rPr>
          <w:lang w:val="en-US"/>
        </w:rPr>
        <w:t> </w:t>
      </w:r>
    </w:p>
    <w:p w14:paraId="161F5AFF" w14:textId="77777777" w:rsidR="00597B5E" w:rsidRPr="009A2203" w:rsidRDefault="00597B5E" w:rsidP="00C87C6E">
      <w:pPr>
        <w:pStyle w:val="ListBullet2"/>
      </w:pPr>
      <w:r w:rsidRPr="009A2203">
        <w:t>10 responses were received from Aboriginal and/or Torres Strait Islander community-controlled peak organisation staff </w:t>
      </w:r>
    </w:p>
    <w:p w14:paraId="4BF299A4" w14:textId="77777777" w:rsidR="00597B5E" w:rsidRPr="009A2203" w:rsidRDefault="00597B5E" w:rsidP="00C87C6E">
      <w:pPr>
        <w:pStyle w:val="ListBullet2"/>
        <w:rPr>
          <w:lang w:val="en-US"/>
        </w:rPr>
      </w:pPr>
      <w:r w:rsidRPr="009A2203">
        <w:t>35 responses were received from staff representing PHNs</w:t>
      </w:r>
      <w:r w:rsidRPr="009A2203">
        <w:rPr>
          <w:lang w:val="en-US"/>
        </w:rPr>
        <w:t> </w:t>
      </w:r>
    </w:p>
    <w:p w14:paraId="34FCFA7A" w14:textId="77777777" w:rsidR="00597B5E" w:rsidRPr="009A2203" w:rsidRDefault="00597B5E" w:rsidP="00C87C6E">
      <w:pPr>
        <w:pStyle w:val="ListBullet2"/>
        <w:rPr>
          <w:lang w:val="en-US"/>
        </w:rPr>
      </w:pPr>
      <w:r w:rsidRPr="009A2203">
        <w:t>88 responses were received from service providers:</w:t>
      </w:r>
      <w:r w:rsidRPr="009A2203">
        <w:rPr>
          <w:lang w:val="en-US"/>
        </w:rPr>
        <w:t> </w:t>
      </w:r>
    </w:p>
    <w:p w14:paraId="6821E240" w14:textId="77777777" w:rsidR="00597B5E" w:rsidRPr="002F0A10" w:rsidRDefault="00597B5E" w:rsidP="00C87C6E">
      <w:pPr>
        <w:pStyle w:val="ListBullet3"/>
      </w:pPr>
      <w:r w:rsidRPr="002F0A10">
        <w:rPr>
          <w:lang w:val="en-GB"/>
        </w:rPr>
        <w:t>54 staff from ACCHOs, ACCOs</w:t>
      </w:r>
      <w:r>
        <w:rPr>
          <w:lang w:val="en-GB"/>
        </w:rPr>
        <w:t>,</w:t>
      </w:r>
      <w:r w:rsidRPr="002F0A10">
        <w:rPr>
          <w:lang w:val="en-GB"/>
        </w:rPr>
        <w:t xml:space="preserve"> ACCHSs, AMSs</w:t>
      </w:r>
      <w:r w:rsidRPr="002F0A10">
        <w:t> </w:t>
      </w:r>
    </w:p>
    <w:p w14:paraId="76F19979" w14:textId="77777777" w:rsidR="00597B5E" w:rsidRPr="002F0A10" w:rsidRDefault="00597B5E" w:rsidP="00C87C6E">
      <w:pPr>
        <w:pStyle w:val="ListBullet3"/>
      </w:pPr>
      <w:r w:rsidRPr="002F0A10">
        <w:rPr>
          <w:lang w:val="en-GB"/>
        </w:rPr>
        <w:t>24 from non-Indigenous service providers</w:t>
      </w:r>
      <w:r w:rsidR="000B479E">
        <w:rPr>
          <w:lang w:val="en-GB"/>
        </w:rPr>
        <w:t xml:space="preserve"> </w:t>
      </w:r>
    </w:p>
    <w:p w14:paraId="2D99AA33" w14:textId="77777777" w:rsidR="00597B5E" w:rsidRPr="002F0A10" w:rsidRDefault="00597B5E" w:rsidP="00C87C6E">
      <w:pPr>
        <w:pStyle w:val="ListBullet3"/>
      </w:pPr>
      <w:r w:rsidRPr="002F0A10">
        <w:rPr>
          <w:lang w:val="en-GB"/>
        </w:rPr>
        <w:t>10 from other types of service providers</w:t>
      </w:r>
      <w:r w:rsidRPr="002F0A10">
        <w:t> </w:t>
      </w:r>
    </w:p>
    <w:p w14:paraId="7B2327F0" w14:textId="77777777" w:rsidR="00597B5E" w:rsidRPr="009A2203" w:rsidRDefault="00597B5E" w:rsidP="00C87C6E">
      <w:pPr>
        <w:pStyle w:val="ListBullet2"/>
        <w:rPr>
          <w:lang w:val="en-US"/>
        </w:rPr>
      </w:pPr>
      <w:r w:rsidRPr="009A2203">
        <w:t>5 responses from community members</w:t>
      </w:r>
      <w:r w:rsidR="00AF046B">
        <w:t>.</w:t>
      </w:r>
      <w:r w:rsidRPr="009A2203">
        <w:rPr>
          <w:lang w:val="en-US"/>
        </w:rPr>
        <w:t> </w:t>
      </w:r>
    </w:p>
    <w:p w14:paraId="0EC011FC" w14:textId="77777777" w:rsidR="00597B5E" w:rsidRPr="009A2203" w:rsidRDefault="00597B5E" w:rsidP="00292E56">
      <w:pPr>
        <w:pStyle w:val="BodyText"/>
      </w:pPr>
    </w:p>
    <w:p w14:paraId="797EA452" w14:textId="77777777" w:rsidR="00597B5E" w:rsidRPr="009A2203" w:rsidRDefault="00597B5E" w:rsidP="00C87C6E">
      <w:pPr>
        <w:pStyle w:val="BodyText"/>
      </w:pPr>
      <w:r w:rsidRPr="009A2203">
        <w:t xml:space="preserve">Following </w:t>
      </w:r>
      <w:r w:rsidR="00AF046B">
        <w:t>the c</w:t>
      </w:r>
      <w:r w:rsidRPr="002F0A10">
        <w:t>o-</w:t>
      </w:r>
      <w:r w:rsidR="00AF046B">
        <w:t>d</w:t>
      </w:r>
      <w:r w:rsidRPr="002F0A10">
        <w:t xml:space="preserve">esign </w:t>
      </w:r>
      <w:r w:rsidR="00AF046B">
        <w:t>y</w:t>
      </w:r>
      <w:r w:rsidRPr="002F0A10">
        <w:t>arn</w:t>
      </w:r>
      <w:r w:rsidRPr="009A2203">
        <w:t>s</w:t>
      </w:r>
      <w:r w:rsidRPr="002F0A10">
        <w:t xml:space="preserve"> that </w:t>
      </w:r>
      <w:r w:rsidRPr="009A2203">
        <w:t>were</w:t>
      </w:r>
      <w:r w:rsidRPr="002F0A10">
        <w:t xml:space="preserve"> held in each </w:t>
      </w:r>
      <w:r>
        <w:t>s</w:t>
      </w:r>
      <w:r w:rsidRPr="002F0A10">
        <w:t xml:space="preserve">tate and </w:t>
      </w:r>
      <w:r>
        <w:t>t</w:t>
      </w:r>
      <w:r w:rsidRPr="002F0A10">
        <w:t xml:space="preserve">erritory capital city </w:t>
      </w:r>
      <w:r w:rsidRPr="009A2203">
        <w:t xml:space="preserve">during July and August 2023, </w:t>
      </w:r>
      <w:r w:rsidRPr="002F0A10">
        <w:t xml:space="preserve">a </w:t>
      </w:r>
      <w:r w:rsidRPr="009A2203">
        <w:t xml:space="preserve">link to an online consultation hub, containing a </w:t>
      </w:r>
      <w:r w:rsidRPr="002F0A10">
        <w:t>post-yarn reflection paper and accompanying survey</w:t>
      </w:r>
      <w:r w:rsidRPr="009A2203">
        <w:t>,</w:t>
      </w:r>
      <w:r w:rsidRPr="002F0A10">
        <w:t xml:space="preserve"> was sent to both </w:t>
      </w:r>
      <w:r w:rsidRPr="009A2203">
        <w:t xml:space="preserve">those </w:t>
      </w:r>
      <w:r w:rsidRPr="002F0A10">
        <w:t xml:space="preserve">who participated and those who were unable to </w:t>
      </w:r>
      <w:r w:rsidRPr="009A2203">
        <w:t>attend the yarn</w:t>
      </w:r>
      <w:r w:rsidRPr="002F0A10">
        <w:t xml:space="preserve">. The survey sought to gather additional reflections of the key themes and findings that emerged during each </w:t>
      </w:r>
      <w:r w:rsidR="00AF046B">
        <w:t>c</w:t>
      </w:r>
      <w:r w:rsidRPr="002F0A10">
        <w:t>o-design yarn</w:t>
      </w:r>
      <w:r w:rsidRPr="009A2203">
        <w:t>.</w:t>
      </w:r>
      <w:r w:rsidR="00AF046B">
        <w:t xml:space="preserve"> From this, </w:t>
      </w:r>
      <w:r w:rsidRPr="002F0A10">
        <w:t>23 survey responses were successfully collected</w:t>
      </w:r>
      <w:r w:rsidRPr="009A2203">
        <w:t>. The number of responses by state or territory were</w:t>
      </w:r>
      <w:r w:rsidRPr="002F0A10">
        <w:t xml:space="preserve">: </w:t>
      </w:r>
    </w:p>
    <w:p w14:paraId="0A72CB56" w14:textId="77777777" w:rsidR="00597B5E" w:rsidRPr="009A2203" w:rsidRDefault="00597B5E" w:rsidP="00C87C6E">
      <w:pPr>
        <w:pStyle w:val="ListBullet2"/>
      </w:pPr>
      <w:r w:rsidRPr="009A2203">
        <w:t>ACT: 1</w:t>
      </w:r>
    </w:p>
    <w:p w14:paraId="70EF6B25" w14:textId="77777777" w:rsidR="00597B5E" w:rsidRPr="009A2203" w:rsidRDefault="00597B5E" w:rsidP="00C87C6E">
      <w:pPr>
        <w:pStyle w:val="ListBullet2"/>
      </w:pPr>
      <w:r w:rsidRPr="009A2203">
        <w:t>NSW: 8</w:t>
      </w:r>
    </w:p>
    <w:p w14:paraId="2BEE6088" w14:textId="77777777" w:rsidR="00597B5E" w:rsidRPr="009A2203" w:rsidRDefault="00597B5E" w:rsidP="00C87C6E">
      <w:pPr>
        <w:pStyle w:val="ListBullet2"/>
      </w:pPr>
      <w:r w:rsidRPr="009A2203">
        <w:t>SA:</w:t>
      </w:r>
      <w:r w:rsidR="00AF046B">
        <w:t xml:space="preserve"> </w:t>
      </w:r>
      <w:r w:rsidRPr="009A2203">
        <w:t>1</w:t>
      </w:r>
    </w:p>
    <w:p w14:paraId="72F9FF12" w14:textId="77777777" w:rsidR="00597B5E" w:rsidRPr="009A2203" w:rsidRDefault="00597B5E" w:rsidP="00C87C6E">
      <w:pPr>
        <w:pStyle w:val="ListBullet2"/>
      </w:pPr>
      <w:r w:rsidRPr="009A2203">
        <w:t>Q</w:t>
      </w:r>
      <w:r w:rsidR="00AF046B">
        <w:t>ld</w:t>
      </w:r>
      <w:r w:rsidRPr="009A2203">
        <w:t>:</w:t>
      </w:r>
      <w:r w:rsidR="00AF046B">
        <w:t xml:space="preserve"> </w:t>
      </w:r>
      <w:r w:rsidRPr="009A2203">
        <w:t>1</w:t>
      </w:r>
    </w:p>
    <w:p w14:paraId="7BBB422F" w14:textId="77777777" w:rsidR="00597B5E" w:rsidRPr="009A2203" w:rsidRDefault="00597B5E" w:rsidP="00C87C6E">
      <w:pPr>
        <w:pStyle w:val="ListBullet2"/>
      </w:pPr>
      <w:r w:rsidRPr="009A2203">
        <w:t>WA: 11</w:t>
      </w:r>
    </w:p>
    <w:p w14:paraId="59E6ED73" w14:textId="77777777" w:rsidR="00597B5E" w:rsidRPr="004D3C52" w:rsidRDefault="00597B5E" w:rsidP="00C87C6E">
      <w:pPr>
        <w:pStyle w:val="ListBullet2"/>
        <w:rPr>
          <w:lang w:val="en-US"/>
        </w:rPr>
      </w:pPr>
      <w:r w:rsidRPr="004D3C52">
        <w:t>NT:</w:t>
      </w:r>
      <w:r w:rsidR="00AF046B">
        <w:t xml:space="preserve"> </w:t>
      </w:r>
      <w:r w:rsidRPr="004D3C52">
        <w:t xml:space="preserve">1 </w:t>
      </w:r>
    </w:p>
    <w:p w14:paraId="0B302FAB" w14:textId="77777777" w:rsidR="004D3C52" w:rsidRDefault="004D3C52" w:rsidP="00292E56">
      <w:pPr>
        <w:pStyle w:val="BodyText"/>
        <w:sectPr w:rsidR="004D3C52" w:rsidSect="002B05C0">
          <w:headerReference w:type="default" r:id="rId104"/>
          <w:footerReference w:type="default" r:id="rId105"/>
          <w:pgSz w:w="11907" w:h="16840" w:code="9"/>
          <w:pgMar w:top="1134" w:right="1134" w:bottom="1276" w:left="1134" w:header="720" w:footer="720" w:gutter="0"/>
          <w:cols w:space="720"/>
          <w:docGrid w:linePitch="326"/>
        </w:sectPr>
      </w:pPr>
    </w:p>
    <w:p w14:paraId="52A17342" w14:textId="7F57EF0A" w:rsidR="0039533F" w:rsidRDefault="0048421D" w:rsidP="001611E1">
      <w:pPr>
        <w:pStyle w:val="Heading1App"/>
      </w:pPr>
      <w:bookmarkStart w:id="316" w:name="_Toc156932017"/>
      <w:bookmarkStart w:id="317" w:name="Appendix4"/>
      <w:bookmarkStart w:id="318" w:name="_Toc145955269"/>
      <w:r w:rsidRPr="00B65F7F">
        <w:t xml:space="preserve">Appendix </w:t>
      </w:r>
      <w:r>
        <w:t>6</w:t>
      </w:r>
      <w:r w:rsidR="006C172C">
        <w:t xml:space="preserve"> –</w:t>
      </w:r>
      <w:r w:rsidRPr="00B65F7F">
        <w:t xml:space="preserve"> </w:t>
      </w:r>
      <w:r>
        <w:t>Future roles and responsibilities under each arrangement</w:t>
      </w:r>
      <w:bookmarkEnd w:id="316"/>
    </w:p>
    <w:p w14:paraId="16CF9767" w14:textId="04AAFA4E" w:rsidR="0048421D" w:rsidRPr="00B65F7F" w:rsidRDefault="00887A66" w:rsidP="00C87C6E">
      <w:pPr>
        <w:pStyle w:val="BodyText"/>
      </w:pPr>
      <w:r>
        <w:fldChar w:fldCharType="begin"/>
      </w:r>
      <w:r>
        <w:instrText xml:space="preserve"> REF _Ref151908964 \h </w:instrText>
      </w:r>
      <w:r>
        <w:fldChar w:fldCharType="separate"/>
      </w:r>
      <w:r w:rsidR="00934D5E">
        <w:t>Table A6.</w:t>
      </w:r>
      <w:r w:rsidR="00934D5E">
        <w:rPr>
          <w:noProof/>
        </w:rPr>
        <w:t>1</w:t>
      </w:r>
      <w:r>
        <w:fldChar w:fldCharType="end"/>
      </w:r>
      <w:r w:rsidR="0048421D">
        <w:t xml:space="preserve"> below </w:t>
      </w:r>
      <w:r w:rsidR="0048421D" w:rsidRPr="00B65F7F">
        <w:t xml:space="preserve">provides an overview of the </w:t>
      </w:r>
      <w:r w:rsidR="0048421D" w:rsidRPr="00F0334E">
        <w:t>responsible decision-maker</w:t>
      </w:r>
      <w:r w:rsidR="0048421D" w:rsidRPr="00B65F7F">
        <w:t xml:space="preserve"> for each of the</w:t>
      </w:r>
      <w:r w:rsidR="002B2FD8">
        <w:t xml:space="preserve"> future-state funding</w:t>
      </w:r>
      <w:r w:rsidR="0048421D" w:rsidRPr="00B65F7F">
        <w:t xml:space="preserve"> arrangements noted </w:t>
      </w:r>
      <w:r w:rsidR="002B2FD8">
        <w:t>in this report</w:t>
      </w:r>
      <w:r w:rsidR="0048421D" w:rsidRPr="00B65F7F">
        <w:t xml:space="preserve">. The detail described is not exhaustive; rather, it is intended to illustrate who would be responsible for the activities and sub-activities of each arrangement. </w:t>
      </w:r>
    </w:p>
    <w:p w14:paraId="34EFF787" w14:textId="246F4EB7" w:rsidR="0048421D" w:rsidRPr="00B65F7F" w:rsidRDefault="0048421D" w:rsidP="00C87C6E">
      <w:pPr>
        <w:pStyle w:val="BodyText"/>
      </w:pPr>
      <w:r w:rsidRPr="00B65F7F">
        <w:t>The principles</w:t>
      </w:r>
      <w:r>
        <w:t xml:space="preserve"> and </w:t>
      </w:r>
      <w:r w:rsidRPr="00B65F7F">
        <w:t xml:space="preserve">enablers </w:t>
      </w:r>
      <w:r w:rsidRPr="00E51C30">
        <w:t xml:space="preserve">(as </w:t>
      </w:r>
      <w:r w:rsidRPr="00887A66">
        <w:t xml:space="preserve">presented in </w:t>
      </w:r>
      <w:r w:rsidR="00566A45">
        <w:t xml:space="preserve">section 3.2.1 </w:t>
      </w:r>
      <w:r w:rsidR="00887A66" w:rsidRPr="00887A66">
        <w:fldChar w:fldCharType="begin"/>
      </w:r>
      <w:r w:rsidR="00887A66" w:rsidRPr="00887A66">
        <w:instrText xml:space="preserve"> REF Ch3_321_PrincEnab \h </w:instrText>
      </w:r>
      <w:r w:rsidR="00887A66">
        <w:instrText xml:space="preserve"> \* MERGEFORMAT </w:instrText>
      </w:r>
      <w:r w:rsidR="00887A66" w:rsidRPr="00887A66">
        <w:fldChar w:fldCharType="separate"/>
      </w:r>
      <w:r w:rsidR="00934D5E" w:rsidRPr="002F1E04">
        <w:t>Principles and enablers for effective future-state funding arrangements</w:t>
      </w:r>
      <w:r w:rsidR="00887A66" w:rsidRPr="00887A66">
        <w:fldChar w:fldCharType="end"/>
      </w:r>
      <w:r w:rsidRPr="00887A66">
        <w:t>) are linked to eac</w:t>
      </w:r>
      <w:r w:rsidRPr="00B65F7F">
        <w:t xml:space="preserve">h of the sub-activities, to demonstrate how each sub-activity should be approached by the responsible organisation. The activities and sub-activities have been developed based on the research </w:t>
      </w:r>
      <w:r w:rsidRPr="00887A66">
        <w:t>in</w:t>
      </w:r>
      <w:r w:rsidR="00566A45">
        <w:t xml:space="preserve"> Appendix 4, section</w:t>
      </w:r>
      <w:r w:rsidRPr="00887A66">
        <w:t xml:space="preserve"> </w:t>
      </w:r>
      <w:r w:rsidRPr="00887A66">
        <w:fldChar w:fldCharType="begin"/>
      </w:r>
      <w:r w:rsidRPr="00887A66">
        <w:instrText xml:space="preserve"> REF Approaches21 \h </w:instrText>
      </w:r>
      <w:r w:rsidR="002B2FD8" w:rsidRPr="00887A66">
        <w:instrText xml:space="preserve"> \* MERGEFORMAT </w:instrText>
      </w:r>
      <w:r w:rsidRPr="00887A66">
        <w:fldChar w:fldCharType="separate"/>
      </w:r>
      <w:r w:rsidR="00934D5E" w:rsidRPr="00B65F7F">
        <w:t>Approaches to purchasing and funding health and social services</w:t>
      </w:r>
      <w:r w:rsidRPr="00887A66">
        <w:fldChar w:fldCharType="end"/>
      </w:r>
      <w:r w:rsidRPr="00887A66">
        <w:t>,</w:t>
      </w:r>
      <w:r w:rsidRPr="00B65F7F">
        <w:t xml:space="preserve"> which outlines different roles and responsibilities generally undertaken as part of different funding arrangements. </w:t>
      </w:r>
    </w:p>
    <w:p w14:paraId="74F7B6DA" w14:textId="6A4747EB" w:rsidR="0048421D" w:rsidRPr="00474A90" w:rsidRDefault="0048421D" w:rsidP="00C87C6E">
      <w:pPr>
        <w:pStyle w:val="BodyText"/>
      </w:pPr>
      <w:r w:rsidRPr="00B65F7F">
        <w:rPr>
          <w:b/>
          <w:bCs/>
        </w:rPr>
        <w:t>Note:</w:t>
      </w:r>
      <w:r>
        <w:rPr>
          <w:b/>
          <w:bCs/>
        </w:rPr>
        <w:t xml:space="preserve"> </w:t>
      </w:r>
      <w:r w:rsidRPr="00B65F7F">
        <w:t>The table is indicative only</w:t>
      </w:r>
      <w:r>
        <w:t>,</w:t>
      </w:r>
      <w:r w:rsidRPr="00B65F7F">
        <w:t xml:space="preserve"> and the exact activities should be self-determined during the transformation process, which </w:t>
      </w:r>
      <w:r>
        <w:t>is</w:t>
      </w:r>
      <w:r w:rsidRPr="00B65F7F">
        <w:t xml:space="preserve"> outli</w:t>
      </w:r>
      <w:r w:rsidRPr="00474A90">
        <w:t>ned i</w:t>
      </w:r>
      <w:r w:rsidRPr="00887A66">
        <w:t xml:space="preserve">n </w:t>
      </w:r>
      <w:r w:rsidR="00566A45">
        <w:fldChar w:fldCharType="begin"/>
      </w:r>
      <w:r w:rsidR="00566A45">
        <w:instrText xml:space="preserve"> REF Ch4_Plan4Xformn \r \h </w:instrText>
      </w:r>
      <w:r w:rsidR="00566A45">
        <w:fldChar w:fldCharType="separate"/>
      </w:r>
      <w:r w:rsidR="00934D5E">
        <w:t>Chapter 4</w:t>
      </w:r>
      <w:r w:rsidR="00566A45">
        <w:fldChar w:fldCharType="end"/>
      </w:r>
      <w:r w:rsidRPr="00887A66">
        <w:t>.</w:t>
      </w:r>
    </w:p>
    <w:p w14:paraId="5E2ECDF7" w14:textId="77777777" w:rsidR="0048421D" w:rsidRPr="00474A90" w:rsidRDefault="0048421D" w:rsidP="00C87C6E">
      <w:pPr>
        <w:pStyle w:val="ListBullet2"/>
      </w:pPr>
      <w:r w:rsidRPr="00474A90">
        <w:t>The table does not identify the roles and responsibilities that form part of an organisation’s current and usual business, and which would assist in delivering on the arrangement. For example, NACCHO and state/territory affiliates would continue to play a significant role in increasing the capacity of the community-controlled sector (in arrangements A1 and A2). It is not proposed that this changes; rather, such a role should continue and work to support the realisation of the preferred funding arrangements.</w:t>
      </w:r>
    </w:p>
    <w:p w14:paraId="44A077D6" w14:textId="3B004B67" w:rsidR="0048421D" w:rsidRPr="00474A90" w:rsidRDefault="0048421D" w:rsidP="00C87C6E">
      <w:pPr>
        <w:pStyle w:val="ListBullet2"/>
      </w:pPr>
      <w:r w:rsidRPr="00474A90">
        <w:t xml:space="preserve">The identification of support roles that other organisations may play is outlined in </w:t>
      </w:r>
      <w:r w:rsidR="00887A66">
        <w:rPr>
          <w:b/>
          <w:bCs/>
        </w:rPr>
        <w:fldChar w:fldCharType="begin"/>
      </w:r>
      <w:r w:rsidR="00887A66">
        <w:instrText xml:space="preserve"> REF App7 \h </w:instrText>
      </w:r>
      <w:r w:rsidR="00887A66">
        <w:rPr>
          <w:b/>
          <w:bCs/>
        </w:rPr>
      </w:r>
      <w:r w:rsidR="00887A66">
        <w:rPr>
          <w:b/>
          <w:bCs/>
        </w:rPr>
        <w:fldChar w:fldCharType="separate"/>
      </w:r>
      <w:r w:rsidR="00934D5E" w:rsidRPr="00B65F7F">
        <w:t xml:space="preserve">Appendix </w:t>
      </w:r>
      <w:r w:rsidR="00934D5E">
        <w:t>7 –</w:t>
      </w:r>
      <w:r w:rsidR="00934D5E" w:rsidRPr="00B65F7F">
        <w:t xml:space="preserve"> Details about potential roles and responsibilities</w:t>
      </w:r>
      <w:r w:rsidR="00887A66">
        <w:rPr>
          <w:b/>
          <w:bCs/>
        </w:rPr>
        <w:fldChar w:fldCharType="end"/>
      </w:r>
      <w:r w:rsidRPr="00474A90">
        <w:t>.</w:t>
      </w:r>
    </w:p>
    <w:p w14:paraId="4AAFF6F6" w14:textId="77777777" w:rsidR="0048421D" w:rsidRPr="00B65F7F" w:rsidRDefault="0048421D" w:rsidP="00292E56">
      <w:pPr>
        <w:pStyle w:val="BodyText"/>
        <w:rPr>
          <w:rFonts w:cs="Calibri"/>
          <w:b/>
          <w:bCs/>
          <w:szCs w:val="22"/>
        </w:rPr>
      </w:pPr>
    </w:p>
    <w:p w14:paraId="5BA2167B" w14:textId="77777777" w:rsidR="0048421D" w:rsidRPr="00B65F7F" w:rsidRDefault="0048421D" w:rsidP="0048421D">
      <w:pPr>
        <w:spacing w:line="276" w:lineRule="auto"/>
        <w:rPr>
          <w:rFonts w:ascii="Calibri" w:hAnsi="Calibri" w:cs="Calibri"/>
          <w:b/>
          <w:bCs/>
          <w:sz w:val="22"/>
          <w:szCs w:val="22"/>
        </w:rPr>
        <w:sectPr w:rsidR="0048421D" w:rsidRPr="00B65F7F" w:rsidSect="002B05C0">
          <w:headerReference w:type="default" r:id="rId106"/>
          <w:footerReference w:type="default" r:id="rId107"/>
          <w:pgSz w:w="11907" w:h="16840" w:code="9"/>
          <w:pgMar w:top="1134" w:right="1134" w:bottom="1276" w:left="1134" w:header="720" w:footer="720" w:gutter="0"/>
          <w:cols w:space="720"/>
        </w:sectPr>
      </w:pPr>
    </w:p>
    <w:p w14:paraId="744541B9" w14:textId="7CE3A5C6" w:rsidR="0048421D" w:rsidRPr="00B65F7F" w:rsidRDefault="00887A66" w:rsidP="00887A66">
      <w:pPr>
        <w:pStyle w:val="CaptionTable"/>
        <w:rPr>
          <w:bCs/>
        </w:rPr>
      </w:pPr>
      <w:bookmarkStart w:id="319" w:name="_Ref151908964"/>
      <w:bookmarkStart w:id="320" w:name="_Toc145604941"/>
      <w:bookmarkStart w:id="321" w:name="_Toc145617813"/>
      <w:bookmarkStart w:id="322" w:name="_Toc156932091"/>
      <w:r>
        <w:t>Table A6.</w:t>
      </w:r>
      <w:r>
        <w:fldChar w:fldCharType="begin"/>
      </w:r>
      <w:r>
        <w:instrText xml:space="preserve"> SEQ Table_A6 \* ARABIC </w:instrText>
      </w:r>
      <w:r>
        <w:fldChar w:fldCharType="separate"/>
      </w:r>
      <w:r w:rsidR="00934D5E">
        <w:rPr>
          <w:noProof/>
        </w:rPr>
        <w:t>1</w:t>
      </w:r>
      <w:r>
        <w:fldChar w:fldCharType="end"/>
      </w:r>
      <w:bookmarkEnd w:id="319"/>
      <w:r w:rsidR="0048421D" w:rsidRPr="006E7F59">
        <w:t>: Funding activ</w:t>
      </w:r>
      <w:r w:rsidR="0048421D" w:rsidRPr="00B65F7F">
        <w:t>ities, sub</w:t>
      </w:r>
      <w:r w:rsidR="00946235">
        <w:t>-</w:t>
      </w:r>
      <w:r w:rsidR="0048421D" w:rsidRPr="00B65F7F">
        <w:t>activities – roles and principles/enablers</w:t>
      </w:r>
      <w:bookmarkEnd w:id="320"/>
      <w:bookmarkEnd w:id="321"/>
      <w:bookmarkEnd w:id="322"/>
    </w:p>
    <w:tbl>
      <w:tblPr>
        <w:tblStyle w:val="Newtableforresport"/>
        <w:tblW w:w="14071" w:type="dxa"/>
        <w:tblInd w:w="8" w:type="dxa"/>
        <w:tblLook w:val="04A0" w:firstRow="1" w:lastRow="0" w:firstColumn="1" w:lastColumn="0" w:noHBand="0" w:noVBand="1"/>
        <w:tblCaption w:val="Table A6.1: Funding activities, sub-activities - roles and principles/enablers"/>
        <w:tblDescription w:val="The table provides information on the responsible decision maker for different activities and funding arrangements proposed by the Review. The first column lists funding activities. The second column lists sub-activities that come under the primary funding activity. The third column lists who the responsible decision maker would be for each activity under Arrangement A1 and Arrangement A2. The fourth column lists who the responsible decision maker would be for each activity under Arrangement B. The fifth column lists who the responsible decision maker would be for each activity under Arrangement C. The sixth column lists enablers for the responsible decision maker to deliver the activity.   "/>
      </w:tblPr>
      <w:tblGrid>
        <w:gridCol w:w="1410"/>
        <w:gridCol w:w="1984"/>
        <w:gridCol w:w="2313"/>
        <w:gridCol w:w="1843"/>
        <w:gridCol w:w="1701"/>
        <w:gridCol w:w="4820"/>
      </w:tblGrid>
      <w:tr w:rsidR="002B2FD8" w:rsidRPr="00B65F7F" w14:paraId="53194269" w14:textId="77777777" w:rsidTr="00DC0B1E">
        <w:trPr>
          <w:cnfStyle w:val="100000000000" w:firstRow="1" w:lastRow="0" w:firstColumn="0" w:lastColumn="0" w:oddVBand="0" w:evenVBand="0" w:oddHBand="0" w:evenHBand="0" w:firstRowFirstColumn="0" w:firstRowLastColumn="0" w:lastRowFirstColumn="0" w:lastRowLastColumn="0"/>
          <w:trHeight w:val="1291"/>
          <w:tblHeader/>
        </w:trPr>
        <w:tc>
          <w:tcPr>
            <w:cnfStyle w:val="001000000000" w:firstRow="0" w:lastRow="0" w:firstColumn="1" w:lastColumn="0" w:oddVBand="0" w:evenVBand="0" w:oddHBand="0" w:evenHBand="0" w:firstRowFirstColumn="0" w:firstRowLastColumn="0" w:lastRowFirstColumn="0" w:lastRowLastColumn="0"/>
            <w:tcW w:w="1410" w:type="dxa"/>
            <w:hideMark/>
          </w:tcPr>
          <w:p w14:paraId="1FF75CA1" w14:textId="77777777" w:rsidR="002B2FD8" w:rsidRPr="0071151C" w:rsidRDefault="002B2FD8" w:rsidP="00024E8D">
            <w:pPr>
              <w:pStyle w:val="TableHeading"/>
              <w:rPr>
                <w:b w:val="0"/>
              </w:rPr>
            </w:pPr>
            <w:r w:rsidRPr="0071151C">
              <w:t>Funding activity</w:t>
            </w:r>
          </w:p>
        </w:tc>
        <w:tc>
          <w:tcPr>
            <w:tcW w:w="1984" w:type="dxa"/>
            <w:hideMark/>
          </w:tcPr>
          <w:p w14:paraId="6FA96114" w14:textId="77777777" w:rsidR="002B2FD8" w:rsidRPr="0071151C" w:rsidRDefault="002B2FD8" w:rsidP="00024E8D">
            <w:pPr>
              <w:pStyle w:val="TableHeading"/>
              <w:cnfStyle w:val="100000000000" w:firstRow="1" w:lastRow="0" w:firstColumn="0" w:lastColumn="0" w:oddVBand="0" w:evenVBand="0" w:oddHBand="0" w:evenHBand="0" w:firstRowFirstColumn="0" w:firstRowLastColumn="0" w:lastRowFirstColumn="0" w:lastRowLastColumn="0"/>
              <w:rPr>
                <w:b w:val="0"/>
              </w:rPr>
            </w:pPr>
            <w:r w:rsidRPr="0071151C">
              <w:t>Sub-activities</w:t>
            </w:r>
          </w:p>
        </w:tc>
        <w:tc>
          <w:tcPr>
            <w:tcW w:w="2313" w:type="dxa"/>
            <w:hideMark/>
          </w:tcPr>
          <w:p w14:paraId="4FFE3F3D" w14:textId="77777777" w:rsidR="002B2FD8" w:rsidRPr="0071151C" w:rsidRDefault="002B2FD8" w:rsidP="00024E8D">
            <w:pPr>
              <w:pStyle w:val="TableHeading"/>
              <w:cnfStyle w:val="100000000000" w:firstRow="1" w:lastRow="0" w:firstColumn="0" w:lastColumn="0" w:oddVBand="0" w:evenVBand="0" w:oddHBand="0" w:evenHBand="0" w:firstRowFirstColumn="0" w:firstRowLastColumn="0" w:lastRowFirstColumn="0" w:lastRowLastColumn="0"/>
              <w:rPr>
                <w:b w:val="0"/>
              </w:rPr>
            </w:pPr>
            <w:r w:rsidRPr="0071151C">
              <w:t>Arrangement A1 – State/</w:t>
            </w:r>
            <w:r>
              <w:t xml:space="preserve"> </w:t>
            </w:r>
            <w:r w:rsidRPr="0071151C">
              <w:t>territory</w:t>
            </w:r>
          </w:p>
          <w:p w14:paraId="67CCF47A" w14:textId="77777777" w:rsidR="002B2FD8" w:rsidRPr="0071151C" w:rsidRDefault="002B2FD8" w:rsidP="00024E8D">
            <w:pPr>
              <w:pStyle w:val="TableHeading"/>
              <w:cnfStyle w:val="100000000000" w:firstRow="1" w:lastRow="0" w:firstColumn="0" w:lastColumn="0" w:oddVBand="0" w:evenVBand="0" w:oddHBand="0" w:evenHBand="0" w:firstRowFirstColumn="0" w:firstRowLastColumn="0" w:lastRowFirstColumn="0" w:lastRowLastColumn="0"/>
              <w:rPr>
                <w:b w:val="0"/>
              </w:rPr>
            </w:pPr>
            <w:r w:rsidRPr="0071151C">
              <w:t>Arrangement A2 – Regional model</w:t>
            </w:r>
          </w:p>
          <w:p w14:paraId="3CCBED0C" w14:textId="77777777" w:rsidR="002B2FD8" w:rsidRPr="0071151C" w:rsidRDefault="002B2FD8" w:rsidP="00024E8D">
            <w:pPr>
              <w:pStyle w:val="TableHeading"/>
              <w:cnfStyle w:val="100000000000" w:firstRow="1" w:lastRow="0" w:firstColumn="0" w:lastColumn="0" w:oddVBand="0" w:evenVBand="0" w:oddHBand="0" w:evenHBand="0" w:firstRowFirstColumn="0" w:firstRowLastColumn="0" w:lastRowFirstColumn="0" w:lastRowLastColumn="0"/>
              <w:rPr>
                <w:b w:val="0"/>
              </w:rPr>
            </w:pPr>
            <w:r w:rsidRPr="0071151C">
              <w:t>Responsible decision-maker</w:t>
            </w:r>
          </w:p>
        </w:tc>
        <w:tc>
          <w:tcPr>
            <w:tcW w:w="1843" w:type="dxa"/>
            <w:hideMark/>
          </w:tcPr>
          <w:p w14:paraId="7651C171" w14:textId="77777777" w:rsidR="002B2FD8" w:rsidRPr="0071151C" w:rsidRDefault="002B2FD8" w:rsidP="00024E8D">
            <w:pPr>
              <w:pStyle w:val="TableHeading"/>
              <w:cnfStyle w:val="100000000000" w:firstRow="1" w:lastRow="0" w:firstColumn="0" w:lastColumn="0" w:oddVBand="0" w:evenVBand="0" w:oddHBand="0" w:evenHBand="0" w:firstRowFirstColumn="0" w:firstRowLastColumn="0" w:lastRowFirstColumn="0" w:lastRowLastColumn="0"/>
              <w:rPr>
                <w:b w:val="0"/>
              </w:rPr>
            </w:pPr>
            <w:r w:rsidRPr="0071151C">
              <w:t>Arrangement B – Direct model</w:t>
            </w:r>
          </w:p>
          <w:p w14:paraId="39771552" w14:textId="77777777" w:rsidR="002B2FD8" w:rsidRPr="0071151C" w:rsidRDefault="002B2FD8" w:rsidP="00024E8D">
            <w:pPr>
              <w:pStyle w:val="TableHeading"/>
              <w:cnfStyle w:val="100000000000" w:firstRow="1" w:lastRow="0" w:firstColumn="0" w:lastColumn="0" w:oddVBand="0" w:evenVBand="0" w:oddHBand="0" w:evenHBand="0" w:firstRowFirstColumn="0" w:firstRowLastColumn="0" w:lastRowFirstColumn="0" w:lastRowLastColumn="0"/>
              <w:rPr>
                <w:b w:val="0"/>
              </w:rPr>
            </w:pPr>
            <w:r w:rsidRPr="0071151C">
              <w:t>Responsible decision-maker</w:t>
            </w:r>
          </w:p>
        </w:tc>
        <w:tc>
          <w:tcPr>
            <w:tcW w:w="1701" w:type="dxa"/>
          </w:tcPr>
          <w:p w14:paraId="2879BBA3" w14:textId="77777777" w:rsidR="002B2FD8" w:rsidRPr="0071151C" w:rsidRDefault="002B2FD8" w:rsidP="00024E8D">
            <w:pPr>
              <w:pStyle w:val="TableHeading"/>
              <w:cnfStyle w:val="100000000000" w:firstRow="1" w:lastRow="0" w:firstColumn="0" w:lastColumn="0" w:oddVBand="0" w:evenVBand="0" w:oddHBand="0" w:evenHBand="0" w:firstRowFirstColumn="0" w:firstRowLastColumn="0" w:lastRowFirstColumn="0" w:lastRowLastColumn="0"/>
              <w:rPr>
                <w:b w:val="0"/>
              </w:rPr>
            </w:pPr>
            <w:r w:rsidRPr="0071151C">
              <w:t xml:space="preserve">Arrangement </w:t>
            </w:r>
            <w:r>
              <w:t>C</w:t>
            </w:r>
            <w:r w:rsidRPr="0071151C">
              <w:t xml:space="preserve"> – </w:t>
            </w:r>
            <w:r>
              <w:t>National</w:t>
            </w:r>
            <w:r w:rsidRPr="0071151C">
              <w:t xml:space="preserve"> model</w:t>
            </w:r>
          </w:p>
          <w:p w14:paraId="612035AD" w14:textId="77777777" w:rsidR="002B2FD8" w:rsidRPr="0071151C" w:rsidRDefault="002B2FD8" w:rsidP="00024E8D">
            <w:pPr>
              <w:pStyle w:val="TableHeading"/>
              <w:cnfStyle w:val="100000000000" w:firstRow="1" w:lastRow="0" w:firstColumn="0" w:lastColumn="0" w:oddVBand="0" w:evenVBand="0" w:oddHBand="0" w:evenHBand="0" w:firstRowFirstColumn="0" w:firstRowLastColumn="0" w:lastRowFirstColumn="0" w:lastRowLastColumn="0"/>
            </w:pPr>
            <w:r w:rsidRPr="0071151C">
              <w:t>Responsible decision-maker</w:t>
            </w:r>
          </w:p>
        </w:tc>
        <w:tc>
          <w:tcPr>
            <w:tcW w:w="4820" w:type="dxa"/>
            <w:hideMark/>
          </w:tcPr>
          <w:p w14:paraId="2BB82968" w14:textId="77777777" w:rsidR="002B2FD8" w:rsidRPr="0071151C" w:rsidRDefault="002B2FD8" w:rsidP="00024E8D">
            <w:pPr>
              <w:pStyle w:val="TableHeading"/>
              <w:cnfStyle w:val="100000000000" w:firstRow="1" w:lastRow="0" w:firstColumn="0" w:lastColumn="0" w:oddVBand="0" w:evenVBand="0" w:oddHBand="0" w:evenHBand="0" w:firstRowFirstColumn="0" w:firstRowLastColumn="0" w:lastRowFirstColumn="0" w:lastRowLastColumn="0"/>
              <w:rPr>
                <w:b w:val="0"/>
              </w:rPr>
            </w:pPr>
            <w:r w:rsidRPr="0071151C">
              <w:t>Enablers for the responsible organisation to deliver the activity </w:t>
            </w:r>
          </w:p>
        </w:tc>
      </w:tr>
      <w:tr w:rsidR="002B2FD8" w:rsidRPr="00B65F7F" w14:paraId="6C3671B1" w14:textId="77777777" w:rsidTr="00DC0B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0" w:type="dxa"/>
            <w:hideMark/>
          </w:tcPr>
          <w:p w14:paraId="0B15A8DD" w14:textId="77777777" w:rsidR="002B2FD8" w:rsidRPr="006E7F59" w:rsidRDefault="002B2FD8" w:rsidP="00627C1D">
            <w:pPr>
              <w:pStyle w:val="TableText"/>
            </w:pPr>
            <w:r w:rsidRPr="006E7F59">
              <w:t>Understanding community needs</w:t>
            </w:r>
            <w:r>
              <w:t xml:space="preserve"> and priorities</w:t>
            </w:r>
          </w:p>
        </w:tc>
        <w:tc>
          <w:tcPr>
            <w:tcW w:w="1984" w:type="dxa"/>
            <w:hideMark/>
          </w:tcPr>
          <w:p w14:paraId="58FBDD48" w14:textId="77777777" w:rsidR="002B2FD8" w:rsidRPr="006E7F59" w:rsidRDefault="002B2FD8" w:rsidP="00627C1D">
            <w:pPr>
              <w:pStyle w:val="TableText"/>
              <w:cnfStyle w:val="000000100000" w:firstRow="0" w:lastRow="0" w:firstColumn="0" w:lastColumn="0" w:oddVBand="0" w:evenVBand="0" w:oddHBand="1" w:evenHBand="0" w:firstRowFirstColumn="0" w:firstRowLastColumn="0" w:lastRowFirstColumn="0" w:lastRowLastColumn="0"/>
            </w:pPr>
            <w:r w:rsidRPr="006E7F59">
              <w:t>Identifying the need/opportunity</w:t>
            </w:r>
          </w:p>
          <w:p w14:paraId="5164F96F" w14:textId="77777777" w:rsidR="002B2FD8" w:rsidRPr="00B65F7F" w:rsidRDefault="002B2FD8" w:rsidP="00627C1D">
            <w:pPr>
              <w:pStyle w:val="TableText"/>
              <w:cnfStyle w:val="000000100000" w:firstRow="0" w:lastRow="0" w:firstColumn="0" w:lastColumn="0" w:oddVBand="0" w:evenVBand="0" w:oddHBand="1" w:evenHBand="0" w:firstRowFirstColumn="0" w:firstRowLastColumn="0" w:lastRowFirstColumn="0" w:lastRowLastColumn="0"/>
            </w:pPr>
            <w:r w:rsidRPr="00B65F7F">
              <w:rPr>
                <w:rFonts w:ascii="Calibri" w:hAnsi="Calibri" w:cs="Calibri"/>
                <w:color w:val="000000"/>
              </w:rPr>
              <w:t>Understand</w:t>
            </w:r>
            <w:r>
              <w:rPr>
                <w:rFonts w:ascii="Calibri" w:hAnsi="Calibri" w:cs="Calibri"/>
                <w:color w:val="000000"/>
              </w:rPr>
              <w:t>ing</w:t>
            </w:r>
            <w:r w:rsidRPr="00B65F7F">
              <w:rPr>
                <w:rFonts w:ascii="Calibri" w:hAnsi="Calibri" w:cs="Calibri"/>
                <w:color w:val="000000"/>
              </w:rPr>
              <w:t xml:space="preserve"> service and sector capabilities and restraints</w:t>
            </w:r>
          </w:p>
          <w:p w14:paraId="29C1EED8" w14:textId="77777777" w:rsidR="002B2FD8" w:rsidRPr="006E7F59" w:rsidRDefault="002B2FD8" w:rsidP="00627C1D">
            <w:pPr>
              <w:pStyle w:val="TableText"/>
              <w:cnfStyle w:val="000000100000" w:firstRow="0" w:lastRow="0" w:firstColumn="0" w:lastColumn="0" w:oddVBand="0" w:evenVBand="0" w:oddHBand="1" w:evenHBand="0" w:firstRowFirstColumn="0" w:firstRowLastColumn="0" w:lastRowFirstColumn="0" w:lastRowLastColumn="0"/>
            </w:pPr>
            <w:r w:rsidRPr="00B65F7F">
              <w:rPr>
                <w:rFonts w:ascii="Calibri" w:hAnsi="Calibri" w:cs="Calibri"/>
                <w:color w:val="000000"/>
              </w:rPr>
              <w:t>Develop</w:t>
            </w:r>
            <w:r>
              <w:rPr>
                <w:rFonts w:ascii="Calibri" w:hAnsi="Calibri" w:cs="Calibri"/>
                <w:color w:val="000000"/>
              </w:rPr>
              <w:t>ing</w:t>
            </w:r>
            <w:r w:rsidRPr="00B65F7F">
              <w:rPr>
                <w:rFonts w:ascii="Calibri" w:hAnsi="Calibri" w:cs="Calibri"/>
                <w:color w:val="000000"/>
              </w:rPr>
              <w:t xml:space="preserve"> and articulat</w:t>
            </w:r>
            <w:r>
              <w:rPr>
                <w:rFonts w:ascii="Calibri" w:hAnsi="Calibri" w:cs="Calibri"/>
                <w:color w:val="000000"/>
              </w:rPr>
              <w:t>ing</w:t>
            </w:r>
            <w:r w:rsidRPr="00B65F7F">
              <w:rPr>
                <w:rFonts w:ascii="Calibri" w:hAnsi="Calibri" w:cs="Calibri"/>
                <w:color w:val="000000"/>
              </w:rPr>
              <w:t xml:space="preserve"> the case for funding</w:t>
            </w:r>
          </w:p>
        </w:tc>
        <w:tc>
          <w:tcPr>
            <w:tcW w:w="2313" w:type="dxa"/>
            <w:hideMark/>
          </w:tcPr>
          <w:p w14:paraId="0FF48DF1" w14:textId="77777777" w:rsidR="002B2FD8" w:rsidRPr="00B65F7F" w:rsidRDefault="002B2FD8" w:rsidP="00627C1D">
            <w:pPr>
              <w:pStyle w:val="TableText"/>
              <w:cnfStyle w:val="000000100000" w:firstRow="0" w:lastRow="0" w:firstColumn="0" w:lastColumn="0" w:oddVBand="0" w:evenVBand="0" w:oddHBand="1" w:evenHBand="0" w:firstRowFirstColumn="0" w:firstRowLastColumn="0" w:lastRowFirstColumn="0" w:lastRowLastColumn="0"/>
            </w:pPr>
            <w:r>
              <w:t>Aboriginal and/or Torres Strait Islander</w:t>
            </w:r>
            <w:r w:rsidRPr="00B65F7F">
              <w:t xml:space="preserve"> funding body at a state/territory or regional level</w:t>
            </w:r>
          </w:p>
        </w:tc>
        <w:tc>
          <w:tcPr>
            <w:tcW w:w="1843" w:type="dxa"/>
            <w:hideMark/>
          </w:tcPr>
          <w:p w14:paraId="33F6163E" w14:textId="77777777" w:rsidR="002B2FD8" w:rsidRPr="00B65F7F" w:rsidRDefault="002B2FD8" w:rsidP="00627C1D">
            <w:pPr>
              <w:pStyle w:val="TableText"/>
              <w:cnfStyle w:val="000000100000" w:firstRow="0" w:lastRow="0" w:firstColumn="0" w:lastColumn="0" w:oddVBand="0" w:evenVBand="0" w:oddHBand="1" w:evenHBand="0" w:firstRowFirstColumn="0" w:firstRowLastColumn="0" w:lastRowFirstColumn="0" w:lastRowLastColumn="0"/>
            </w:pPr>
            <w:r w:rsidRPr="00B65F7F">
              <w:t>ACCOs and other relevant providers)</w:t>
            </w:r>
          </w:p>
        </w:tc>
        <w:tc>
          <w:tcPr>
            <w:tcW w:w="1701" w:type="dxa"/>
          </w:tcPr>
          <w:p w14:paraId="02C00B24" w14:textId="77777777" w:rsidR="002B2FD8" w:rsidRPr="00B65F7F" w:rsidRDefault="002B2FD8" w:rsidP="00627C1D">
            <w:pPr>
              <w:pStyle w:val="TableText"/>
              <w:cnfStyle w:val="000000100000" w:firstRow="0" w:lastRow="0" w:firstColumn="0" w:lastColumn="0" w:oddVBand="0" w:evenVBand="0" w:oddHBand="1" w:evenHBand="0" w:firstRowFirstColumn="0" w:firstRowLastColumn="0" w:lastRowFirstColumn="0" w:lastRowLastColumn="0"/>
            </w:pPr>
            <w:r>
              <w:t>NACCHO</w:t>
            </w:r>
          </w:p>
        </w:tc>
        <w:tc>
          <w:tcPr>
            <w:tcW w:w="4820" w:type="dxa"/>
            <w:hideMark/>
          </w:tcPr>
          <w:p w14:paraId="1C78038D"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B65F7F">
              <w:t xml:space="preserve">1 – </w:t>
            </w:r>
            <w:r>
              <w:t>Aboriginal and/or Torres Strait Islander</w:t>
            </w:r>
            <w:r w:rsidRPr="00B65F7F">
              <w:t xml:space="preserve"> communities lead the process</w:t>
            </w:r>
          </w:p>
          <w:p w14:paraId="432CF6CA"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B65F7F">
              <w:t>5 – A true understanding and use of partnerships/co-design</w:t>
            </w:r>
          </w:p>
          <w:p w14:paraId="2F048790"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B65F7F">
              <w:t xml:space="preserve">9 – Using </w:t>
            </w:r>
            <w:r>
              <w:t>Aboriginal and/or Torres Strait Islander</w:t>
            </w:r>
            <w:r w:rsidRPr="00B65F7F">
              <w:t>’ approach to health</w:t>
            </w:r>
          </w:p>
          <w:p w14:paraId="5BD17388"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B65F7F">
              <w:t>13 – Flexibility to meet local and unique needs</w:t>
            </w:r>
          </w:p>
          <w:p w14:paraId="0D4A088B" w14:textId="77777777" w:rsidR="00DC0B1E"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B65F7F">
              <w:t>18 – Interagency and jurisdictional collaboration</w:t>
            </w:r>
          </w:p>
        </w:tc>
      </w:tr>
      <w:tr w:rsidR="008A1451" w:rsidRPr="00B65F7F" w14:paraId="4F2224E7" w14:textId="77777777" w:rsidTr="00DC0B1E">
        <w:trPr>
          <w:cnfStyle w:val="000000010000" w:firstRow="0" w:lastRow="0" w:firstColumn="0" w:lastColumn="0" w:oddVBand="0" w:evenVBand="0" w:oddHBand="0" w:evenHBand="1" w:firstRowFirstColumn="0" w:firstRowLastColumn="0" w:lastRowFirstColumn="0" w:lastRowLastColumn="0"/>
          <w:trHeight w:val="967"/>
        </w:trPr>
        <w:tc>
          <w:tcPr>
            <w:cnfStyle w:val="001000000000" w:firstRow="0" w:lastRow="0" w:firstColumn="1" w:lastColumn="0" w:oddVBand="0" w:evenVBand="0" w:oddHBand="0" w:evenHBand="0" w:firstRowFirstColumn="0" w:firstRowLastColumn="0" w:lastRowFirstColumn="0" w:lastRowLastColumn="0"/>
            <w:tcW w:w="1410" w:type="dxa"/>
            <w:vMerge w:val="restart"/>
            <w:hideMark/>
          </w:tcPr>
          <w:p w14:paraId="7FB49227" w14:textId="77777777" w:rsidR="008A1451" w:rsidRPr="00B65F7F" w:rsidRDefault="008A1451" w:rsidP="00627C1D">
            <w:pPr>
              <w:pStyle w:val="TableText"/>
            </w:pPr>
            <w:r w:rsidRPr="00B65F7F">
              <w:t>Meeting community needs</w:t>
            </w:r>
            <w:r>
              <w:t xml:space="preserve"> and priorities</w:t>
            </w:r>
          </w:p>
        </w:tc>
        <w:tc>
          <w:tcPr>
            <w:tcW w:w="1984" w:type="dxa"/>
            <w:hideMark/>
          </w:tcPr>
          <w:p w14:paraId="4D57CFF0" w14:textId="77777777" w:rsidR="008A1451" w:rsidRPr="00B65F7F" w:rsidRDefault="008A1451" w:rsidP="00627C1D">
            <w:pPr>
              <w:pStyle w:val="TableText"/>
              <w:cnfStyle w:val="000000010000" w:firstRow="0" w:lastRow="0" w:firstColumn="0" w:lastColumn="0" w:oddVBand="0" w:evenVBand="0" w:oddHBand="0" w:evenHBand="1" w:firstRowFirstColumn="0" w:firstRowLastColumn="0" w:lastRowFirstColumn="0" w:lastRowLastColumn="0"/>
            </w:pPr>
            <w:r w:rsidRPr="00B65F7F">
              <w:t>Determin</w:t>
            </w:r>
            <w:r>
              <w:t>ing</w:t>
            </w:r>
            <w:r w:rsidRPr="00B65F7F">
              <w:t xml:space="preserve"> overall funding </w:t>
            </w:r>
            <w:r>
              <w:t>amount</w:t>
            </w:r>
          </w:p>
        </w:tc>
        <w:tc>
          <w:tcPr>
            <w:tcW w:w="2313" w:type="dxa"/>
            <w:hideMark/>
          </w:tcPr>
          <w:p w14:paraId="3CD10813" w14:textId="77777777" w:rsidR="008A1451" w:rsidRPr="00B65F7F" w:rsidRDefault="008A1451" w:rsidP="00627C1D">
            <w:pPr>
              <w:pStyle w:val="TableText"/>
              <w:cnfStyle w:val="000000010000" w:firstRow="0" w:lastRow="0" w:firstColumn="0" w:lastColumn="0" w:oddVBand="0" w:evenVBand="0" w:oddHBand="0" w:evenHBand="1" w:firstRowFirstColumn="0" w:firstRowLastColumn="0" w:lastRowFirstColumn="0" w:lastRowLastColumn="0"/>
            </w:pPr>
            <w:r>
              <w:t>DoHAC</w:t>
            </w:r>
          </w:p>
        </w:tc>
        <w:tc>
          <w:tcPr>
            <w:tcW w:w="1843" w:type="dxa"/>
            <w:hideMark/>
          </w:tcPr>
          <w:p w14:paraId="3A2F8B3B" w14:textId="77777777" w:rsidR="008A1451" w:rsidRPr="00B65F7F" w:rsidRDefault="008A1451" w:rsidP="00627C1D">
            <w:pPr>
              <w:pStyle w:val="TableText"/>
              <w:cnfStyle w:val="000000010000" w:firstRow="0" w:lastRow="0" w:firstColumn="0" w:lastColumn="0" w:oddVBand="0" w:evenVBand="0" w:oddHBand="0" w:evenHBand="1" w:firstRowFirstColumn="0" w:firstRowLastColumn="0" w:lastRowFirstColumn="0" w:lastRowLastColumn="0"/>
            </w:pPr>
            <w:r>
              <w:t>DoHAC</w:t>
            </w:r>
          </w:p>
        </w:tc>
        <w:tc>
          <w:tcPr>
            <w:tcW w:w="1701" w:type="dxa"/>
          </w:tcPr>
          <w:p w14:paraId="4CFD3777" w14:textId="77777777" w:rsidR="008A1451" w:rsidRPr="00B65F7F" w:rsidRDefault="008A1451" w:rsidP="00627C1D">
            <w:pPr>
              <w:pStyle w:val="TableText"/>
              <w:cnfStyle w:val="000000010000" w:firstRow="0" w:lastRow="0" w:firstColumn="0" w:lastColumn="0" w:oddVBand="0" w:evenVBand="0" w:oddHBand="0" w:evenHBand="1" w:firstRowFirstColumn="0" w:firstRowLastColumn="0" w:lastRowFirstColumn="0" w:lastRowLastColumn="0"/>
            </w:pPr>
            <w:r>
              <w:t>DoHAC</w:t>
            </w:r>
          </w:p>
        </w:tc>
        <w:tc>
          <w:tcPr>
            <w:tcW w:w="4820" w:type="dxa"/>
            <w:hideMark/>
          </w:tcPr>
          <w:p w14:paraId="2945B2B0" w14:textId="77777777" w:rsidR="008A1451" w:rsidRPr="00B65F7F" w:rsidRDefault="008A1451" w:rsidP="00627C1D">
            <w:pPr>
              <w:pStyle w:val="TableText"/>
              <w:cnfStyle w:val="000000010000" w:firstRow="0" w:lastRow="0" w:firstColumn="0" w:lastColumn="0" w:oddVBand="0" w:evenVBand="0" w:oddHBand="0" w:evenHBand="1" w:firstRowFirstColumn="0" w:firstRowLastColumn="0" w:lastRowFirstColumn="0" w:lastRowLastColumn="0"/>
            </w:pPr>
            <w:r w:rsidRPr="00B65F7F">
              <w:t>6 – Longer funding cycles </w:t>
            </w:r>
          </w:p>
          <w:p w14:paraId="71E4D756" w14:textId="77777777" w:rsidR="008A1451" w:rsidRPr="00B65F7F" w:rsidRDefault="008A1451" w:rsidP="00627C1D">
            <w:pPr>
              <w:pStyle w:val="TableText"/>
              <w:cnfStyle w:val="000000010000" w:firstRow="0" w:lastRow="0" w:firstColumn="0" w:lastColumn="0" w:oddVBand="0" w:evenVBand="0" w:oddHBand="0" w:evenHBand="1" w:firstRowFirstColumn="0" w:firstRowLastColumn="0" w:lastRowFirstColumn="0" w:lastRowLastColumn="0"/>
            </w:pPr>
            <w:r w:rsidRPr="00B65F7F">
              <w:t>7 – Universal coverage with no geographical gaps</w:t>
            </w:r>
          </w:p>
          <w:p w14:paraId="7325F06E" w14:textId="77777777" w:rsidR="008A1451" w:rsidRPr="00B65F7F" w:rsidRDefault="008A1451" w:rsidP="00627C1D">
            <w:pPr>
              <w:pStyle w:val="TableText"/>
              <w:cnfStyle w:val="000000010000" w:firstRow="0" w:lastRow="0" w:firstColumn="0" w:lastColumn="0" w:oddVBand="0" w:evenVBand="0" w:oddHBand="0" w:evenHBand="1" w:firstRowFirstColumn="0" w:firstRowLastColumn="0" w:lastRowFirstColumn="0" w:lastRowLastColumn="0"/>
            </w:pPr>
            <w:r w:rsidRPr="00B65F7F">
              <w:t>8 – Consolidated and pooled funding </w:t>
            </w:r>
          </w:p>
          <w:p w14:paraId="1185A546" w14:textId="77777777" w:rsidR="008A1451" w:rsidRPr="00B65F7F" w:rsidRDefault="008A1451" w:rsidP="00627C1D">
            <w:pPr>
              <w:pStyle w:val="TableText"/>
              <w:cnfStyle w:val="000000010000" w:firstRow="0" w:lastRow="0" w:firstColumn="0" w:lastColumn="0" w:oddVBand="0" w:evenVBand="0" w:oddHBand="0" w:evenHBand="1" w:firstRowFirstColumn="0" w:firstRowLastColumn="0" w:lastRowFirstColumn="0" w:lastRowLastColumn="0"/>
            </w:pPr>
            <w:r w:rsidRPr="00B65F7F">
              <w:t>10 – Needs based funding and distribution</w:t>
            </w:r>
          </w:p>
        </w:tc>
      </w:tr>
      <w:tr w:rsidR="008A1451" w:rsidRPr="00B65F7F" w14:paraId="587A4F81" w14:textId="77777777" w:rsidTr="00DC0B1E">
        <w:trPr>
          <w:cnfStyle w:val="000000100000" w:firstRow="0" w:lastRow="0" w:firstColumn="0" w:lastColumn="0" w:oddVBand="0" w:evenVBand="0" w:oddHBand="1" w:evenHBand="0" w:firstRowFirstColumn="0" w:firstRowLastColumn="0" w:lastRowFirstColumn="0" w:lastRowLastColumn="0"/>
          <w:trHeight w:val="1699"/>
        </w:trPr>
        <w:tc>
          <w:tcPr>
            <w:cnfStyle w:val="001000000000" w:firstRow="0" w:lastRow="0" w:firstColumn="1" w:lastColumn="0" w:oddVBand="0" w:evenVBand="0" w:oddHBand="0" w:evenHBand="0" w:firstRowFirstColumn="0" w:firstRowLastColumn="0" w:lastRowFirstColumn="0" w:lastRowLastColumn="0"/>
            <w:tcW w:w="1410" w:type="dxa"/>
            <w:vMerge/>
            <w:hideMark/>
          </w:tcPr>
          <w:p w14:paraId="6BEE8DC7" w14:textId="77777777" w:rsidR="008A1451" w:rsidRPr="00B65F7F" w:rsidRDefault="008A1451" w:rsidP="008A1451">
            <w:pPr>
              <w:pStyle w:val="TableText"/>
              <w:spacing w:before="0" w:after="0"/>
            </w:pPr>
          </w:p>
        </w:tc>
        <w:tc>
          <w:tcPr>
            <w:tcW w:w="1984" w:type="dxa"/>
            <w:hideMark/>
          </w:tcPr>
          <w:p w14:paraId="39C1FFA8"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B65F7F">
              <w:t>Assessing and determining funds for each community, based on needs</w:t>
            </w:r>
          </w:p>
        </w:tc>
        <w:tc>
          <w:tcPr>
            <w:tcW w:w="2313" w:type="dxa"/>
            <w:hideMark/>
          </w:tcPr>
          <w:p w14:paraId="6279AD51"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t>Aboriginal and/or Torres Strait Islander</w:t>
            </w:r>
            <w:r w:rsidRPr="00B65F7F">
              <w:t xml:space="preserve"> funding body at a state/territory or regional level</w:t>
            </w:r>
          </w:p>
        </w:tc>
        <w:tc>
          <w:tcPr>
            <w:tcW w:w="1843" w:type="dxa"/>
            <w:hideMark/>
          </w:tcPr>
          <w:p w14:paraId="70FADBBB"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t>DoHAC</w:t>
            </w:r>
          </w:p>
        </w:tc>
        <w:tc>
          <w:tcPr>
            <w:tcW w:w="1701" w:type="dxa"/>
          </w:tcPr>
          <w:p w14:paraId="62CC96EF"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t>NACCHO</w:t>
            </w:r>
          </w:p>
        </w:tc>
        <w:tc>
          <w:tcPr>
            <w:tcW w:w="4820" w:type="dxa"/>
            <w:hideMark/>
          </w:tcPr>
          <w:p w14:paraId="5DC72E5B"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B65F7F">
              <w:t>6 – Longer funding cycles </w:t>
            </w:r>
          </w:p>
          <w:p w14:paraId="3D4A499A"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B65F7F">
              <w:t>7 – Universal coverage with no geographical gaps</w:t>
            </w:r>
          </w:p>
          <w:p w14:paraId="65F66C0A"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B65F7F">
              <w:t>8 – Consolidated and pooled funding </w:t>
            </w:r>
          </w:p>
          <w:p w14:paraId="399BA655"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B65F7F">
              <w:t>10 – Needs based funding and distribution</w:t>
            </w:r>
          </w:p>
          <w:p w14:paraId="2348D788"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B65F7F">
              <w:t>11 – Fair and transparent funding decisions</w:t>
            </w:r>
          </w:p>
          <w:p w14:paraId="3C814F47"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B65F7F">
              <w:t>12 – Inclusive funding processes</w:t>
            </w:r>
          </w:p>
          <w:p w14:paraId="47CB2C96"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B65F7F">
              <w:t>13 – Flexibility to meet local and unique needs</w:t>
            </w:r>
          </w:p>
        </w:tc>
      </w:tr>
      <w:tr w:rsidR="002B2FD8" w:rsidRPr="00B65F7F" w14:paraId="4188C303" w14:textId="77777777" w:rsidTr="00DC0B1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0" w:type="dxa"/>
            <w:vMerge/>
            <w:hideMark/>
          </w:tcPr>
          <w:p w14:paraId="6748FFF9" w14:textId="77777777" w:rsidR="002B2FD8" w:rsidRPr="00B65F7F" w:rsidRDefault="002B2FD8" w:rsidP="006F6DD1">
            <w:pPr>
              <w:pStyle w:val="TableText"/>
              <w:spacing w:before="0" w:after="0"/>
            </w:pPr>
          </w:p>
        </w:tc>
        <w:tc>
          <w:tcPr>
            <w:tcW w:w="1984" w:type="dxa"/>
            <w:hideMark/>
          </w:tcPr>
          <w:p w14:paraId="7690D3D0" w14:textId="77777777" w:rsidR="002B2FD8" w:rsidRPr="00B65F7F" w:rsidRDefault="002B2FD8" w:rsidP="00627C1D">
            <w:pPr>
              <w:pStyle w:val="TableText"/>
              <w:cnfStyle w:val="000000010000" w:firstRow="0" w:lastRow="0" w:firstColumn="0" w:lastColumn="0" w:oddVBand="0" w:evenVBand="0" w:oddHBand="0" w:evenHBand="1" w:firstRowFirstColumn="0" w:firstRowLastColumn="0" w:lastRowFirstColumn="0" w:lastRowLastColumn="0"/>
            </w:pPr>
            <w:r w:rsidRPr="00B65F7F">
              <w:t>Determining requirements and scope of the broad program (not at individual provider level)</w:t>
            </w:r>
          </w:p>
          <w:p w14:paraId="2D1AC308" w14:textId="77777777" w:rsidR="002B2FD8" w:rsidRPr="00B65F7F" w:rsidRDefault="002B2FD8" w:rsidP="00627C1D">
            <w:pPr>
              <w:pStyle w:val="TableText"/>
              <w:cnfStyle w:val="000000010000" w:firstRow="0" w:lastRow="0" w:firstColumn="0" w:lastColumn="0" w:oddVBand="0" w:evenVBand="0" w:oddHBand="0" w:evenHBand="1" w:firstRowFirstColumn="0" w:firstRowLastColumn="0" w:lastRowFirstColumn="0" w:lastRowLastColumn="0"/>
            </w:pPr>
            <w:r w:rsidRPr="00B65F7F">
              <w:t>Determin</w:t>
            </w:r>
            <w:r>
              <w:t>ing</w:t>
            </w:r>
            <w:r w:rsidRPr="00B65F7F">
              <w:t xml:space="preserve"> the procurement method/strategy</w:t>
            </w:r>
          </w:p>
          <w:p w14:paraId="76B8D61B" w14:textId="77777777" w:rsidR="002B2FD8" w:rsidRPr="00B65F7F" w:rsidRDefault="002B2FD8" w:rsidP="00627C1D">
            <w:pPr>
              <w:pStyle w:val="TableText"/>
              <w:cnfStyle w:val="000000010000" w:firstRow="0" w:lastRow="0" w:firstColumn="0" w:lastColumn="0" w:oddVBand="0" w:evenVBand="0" w:oddHBand="0" w:evenHBand="1" w:firstRowFirstColumn="0" w:firstRowLastColumn="0" w:lastRowFirstColumn="0" w:lastRowLastColumn="0"/>
            </w:pPr>
            <w:r w:rsidRPr="00B65F7F">
              <w:t>Prepar</w:t>
            </w:r>
            <w:r>
              <w:t>ing</w:t>
            </w:r>
            <w:r w:rsidRPr="00B65F7F">
              <w:t xml:space="preserve"> to approach the market, including determining contract characteristics</w:t>
            </w:r>
          </w:p>
        </w:tc>
        <w:tc>
          <w:tcPr>
            <w:tcW w:w="2313" w:type="dxa"/>
            <w:hideMark/>
          </w:tcPr>
          <w:p w14:paraId="2BFABF99" w14:textId="77777777" w:rsidR="002B2FD8" w:rsidRPr="00B65F7F" w:rsidRDefault="002B2FD8" w:rsidP="00627C1D">
            <w:pPr>
              <w:pStyle w:val="TableText"/>
              <w:cnfStyle w:val="000000010000" w:firstRow="0" w:lastRow="0" w:firstColumn="0" w:lastColumn="0" w:oddVBand="0" w:evenVBand="0" w:oddHBand="0" w:evenHBand="1" w:firstRowFirstColumn="0" w:firstRowLastColumn="0" w:lastRowFirstColumn="0" w:lastRowLastColumn="0"/>
            </w:pPr>
            <w:r>
              <w:t>Aboriginal and/or Torres Strait Islander</w:t>
            </w:r>
            <w:r w:rsidRPr="00B65F7F">
              <w:t xml:space="preserve"> funding body at a state/territory or regional level</w:t>
            </w:r>
          </w:p>
        </w:tc>
        <w:tc>
          <w:tcPr>
            <w:tcW w:w="1843" w:type="dxa"/>
            <w:hideMark/>
          </w:tcPr>
          <w:p w14:paraId="4D9518BD" w14:textId="77777777" w:rsidR="002B2FD8" w:rsidRPr="00B65F7F" w:rsidRDefault="00946235" w:rsidP="00627C1D">
            <w:pPr>
              <w:pStyle w:val="TableText"/>
              <w:cnfStyle w:val="000000010000" w:firstRow="0" w:lastRow="0" w:firstColumn="0" w:lastColumn="0" w:oddVBand="0" w:evenVBand="0" w:oddHBand="0" w:evenHBand="1" w:firstRowFirstColumn="0" w:firstRowLastColumn="0" w:lastRowFirstColumn="0" w:lastRowLastColumn="0"/>
            </w:pPr>
            <w:r>
              <w:t>DoHAC</w:t>
            </w:r>
          </w:p>
        </w:tc>
        <w:tc>
          <w:tcPr>
            <w:tcW w:w="1701" w:type="dxa"/>
          </w:tcPr>
          <w:p w14:paraId="6BE2E16D" w14:textId="77777777" w:rsidR="002B2FD8" w:rsidRPr="00B65F7F" w:rsidRDefault="007B6DD1" w:rsidP="00627C1D">
            <w:pPr>
              <w:pStyle w:val="TableText"/>
              <w:cnfStyle w:val="000000010000" w:firstRow="0" w:lastRow="0" w:firstColumn="0" w:lastColumn="0" w:oddVBand="0" w:evenVBand="0" w:oddHBand="0" w:evenHBand="1" w:firstRowFirstColumn="0" w:firstRowLastColumn="0" w:lastRowFirstColumn="0" w:lastRowLastColumn="0"/>
            </w:pPr>
            <w:r>
              <w:t>NACCHO</w:t>
            </w:r>
          </w:p>
        </w:tc>
        <w:tc>
          <w:tcPr>
            <w:tcW w:w="4820" w:type="dxa"/>
            <w:hideMark/>
          </w:tcPr>
          <w:p w14:paraId="79EEF979" w14:textId="77777777" w:rsidR="008A1451" w:rsidRPr="00B65F7F" w:rsidRDefault="008A1451" w:rsidP="00627C1D">
            <w:pPr>
              <w:pStyle w:val="TableText"/>
              <w:cnfStyle w:val="000000010000" w:firstRow="0" w:lastRow="0" w:firstColumn="0" w:lastColumn="0" w:oddVBand="0" w:evenVBand="0" w:oddHBand="0" w:evenHBand="1" w:firstRowFirstColumn="0" w:firstRowLastColumn="0" w:lastRowFirstColumn="0" w:lastRowLastColumn="0"/>
            </w:pPr>
            <w:r w:rsidRPr="00B65F7F">
              <w:t xml:space="preserve">1 – </w:t>
            </w:r>
            <w:r>
              <w:t>Aboriginal and/or Torres Strait Islander</w:t>
            </w:r>
            <w:r w:rsidRPr="00B65F7F">
              <w:t xml:space="preserve"> communities lead the process</w:t>
            </w:r>
          </w:p>
          <w:p w14:paraId="5FE57FEE" w14:textId="77777777" w:rsidR="008A1451" w:rsidRPr="00B65F7F" w:rsidRDefault="008A1451" w:rsidP="00627C1D">
            <w:pPr>
              <w:pStyle w:val="TableText"/>
              <w:cnfStyle w:val="000000010000" w:firstRow="0" w:lastRow="0" w:firstColumn="0" w:lastColumn="0" w:oddVBand="0" w:evenVBand="0" w:oddHBand="0" w:evenHBand="1" w:firstRowFirstColumn="0" w:firstRowLastColumn="0" w:lastRowFirstColumn="0" w:lastRowLastColumn="0"/>
            </w:pPr>
            <w:r w:rsidRPr="00B65F7F">
              <w:t>2 – Place based governance arrangements</w:t>
            </w:r>
          </w:p>
          <w:p w14:paraId="0269B9BD" w14:textId="77777777" w:rsidR="008A1451" w:rsidRPr="00B65F7F" w:rsidRDefault="008A1451" w:rsidP="00627C1D">
            <w:pPr>
              <w:pStyle w:val="TableText"/>
              <w:cnfStyle w:val="000000010000" w:firstRow="0" w:lastRow="0" w:firstColumn="0" w:lastColumn="0" w:oddVBand="0" w:evenVBand="0" w:oddHBand="0" w:evenHBand="1" w:firstRowFirstColumn="0" w:firstRowLastColumn="0" w:lastRowFirstColumn="0" w:lastRowLastColumn="0"/>
            </w:pPr>
            <w:r w:rsidRPr="00B65F7F">
              <w:t>5 – A true understanding and use of partnerships/co-design</w:t>
            </w:r>
          </w:p>
          <w:p w14:paraId="2D0726D5" w14:textId="77777777" w:rsidR="008A1451" w:rsidRPr="00B65F7F" w:rsidRDefault="008A1451" w:rsidP="00627C1D">
            <w:pPr>
              <w:pStyle w:val="TableText"/>
              <w:cnfStyle w:val="000000010000" w:firstRow="0" w:lastRow="0" w:firstColumn="0" w:lastColumn="0" w:oddVBand="0" w:evenVBand="0" w:oddHBand="0" w:evenHBand="1" w:firstRowFirstColumn="0" w:firstRowLastColumn="0" w:lastRowFirstColumn="0" w:lastRowLastColumn="0"/>
            </w:pPr>
            <w:r w:rsidRPr="00B65F7F">
              <w:t xml:space="preserve">9 – Using </w:t>
            </w:r>
            <w:r>
              <w:t>Aboriginal and/or Torres Strait Islander</w:t>
            </w:r>
            <w:r w:rsidRPr="00B65F7F">
              <w:t>’ approach to health</w:t>
            </w:r>
          </w:p>
          <w:p w14:paraId="06698271" w14:textId="77777777" w:rsidR="008A1451" w:rsidRPr="00B65F7F" w:rsidRDefault="008A1451" w:rsidP="00627C1D">
            <w:pPr>
              <w:pStyle w:val="TableText"/>
              <w:cnfStyle w:val="000000010000" w:firstRow="0" w:lastRow="0" w:firstColumn="0" w:lastColumn="0" w:oddVBand="0" w:evenVBand="0" w:oddHBand="0" w:evenHBand="1" w:firstRowFirstColumn="0" w:firstRowLastColumn="0" w:lastRowFirstColumn="0" w:lastRowLastColumn="0"/>
            </w:pPr>
            <w:r w:rsidRPr="00B65F7F">
              <w:t>13 – Flexibility to meet local and unique needs</w:t>
            </w:r>
          </w:p>
          <w:p w14:paraId="18BDD0FE" w14:textId="77777777" w:rsidR="008A1451" w:rsidRPr="00B65F7F" w:rsidRDefault="008A1451" w:rsidP="00627C1D">
            <w:pPr>
              <w:pStyle w:val="TableText"/>
              <w:cnfStyle w:val="000000010000" w:firstRow="0" w:lastRow="0" w:firstColumn="0" w:lastColumn="0" w:oddVBand="0" w:evenVBand="0" w:oddHBand="0" w:evenHBand="1" w:firstRowFirstColumn="0" w:firstRowLastColumn="0" w:lastRowFirstColumn="0" w:lastRowLastColumn="0"/>
            </w:pPr>
            <w:r w:rsidRPr="00B65F7F">
              <w:t>18 – Interagency and jurisdictional collaboration</w:t>
            </w:r>
          </w:p>
          <w:p w14:paraId="45074CA2" w14:textId="77777777" w:rsidR="008A1451" w:rsidRPr="00B65F7F" w:rsidRDefault="008A1451" w:rsidP="00627C1D">
            <w:pPr>
              <w:pStyle w:val="TableText"/>
              <w:cnfStyle w:val="000000010000" w:firstRow="0" w:lastRow="0" w:firstColumn="0" w:lastColumn="0" w:oddVBand="0" w:evenVBand="0" w:oddHBand="0" w:evenHBand="1" w:firstRowFirstColumn="0" w:firstRowLastColumn="0" w:lastRowFirstColumn="0" w:lastRowLastColumn="0"/>
            </w:pPr>
            <w:r w:rsidRPr="00B65F7F">
              <w:t>20 – Service coordination</w:t>
            </w:r>
          </w:p>
          <w:p w14:paraId="4413AAB5" w14:textId="77777777" w:rsidR="00DC0B1E" w:rsidRPr="00B65F7F" w:rsidRDefault="008A1451" w:rsidP="00627C1D">
            <w:pPr>
              <w:pStyle w:val="TableText"/>
              <w:cnfStyle w:val="000000010000" w:firstRow="0" w:lastRow="0" w:firstColumn="0" w:lastColumn="0" w:oddVBand="0" w:evenVBand="0" w:oddHBand="0" w:evenHBand="1" w:firstRowFirstColumn="0" w:firstRowLastColumn="0" w:lastRowFirstColumn="0" w:lastRowLastColumn="0"/>
            </w:pPr>
            <w:r w:rsidRPr="00B65F7F">
              <w:t xml:space="preserve">21 – No wrong door policy </w:t>
            </w:r>
          </w:p>
        </w:tc>
      </w:tr>
      <w:tr w:rsidR="008A1451" w:rsidRPr="00B65F7F" w14:paraId="53F3738F" w14:textId="77777777" w:rsidTr="00DC0B1E">
        <w:trPr>
          <w:cnfStyle w:val="000000100000" w:firstRow="0" w:lastRow="0" w:firstColumn="0" w:lastColumn="0" w:oddVBand="0" w:evenVBand="0" w:oddHBand="1" w:evenHBand="0" w:firstRowFirstColumn="0" w:firstRowLastColumn="0" w:lastRowFirstColumn="0" w:lastRowLastColumn="0"/>
          <w:trHeight w:val="2676"/>
        </w:trPr>
        <w:tc>
          <w:tcPr>
            <w:cnfStyle w:val="001000000000" w:firstRow="0" w:lastRow="0" w:firstColumn="1" w:lastColumn="0" w:oddVBand="0" w:evenVBand="0" w:oddHBand="0" w:evenHBand="0" w:firstRowFirstColumn="0" w:firstRowLastColumn="0" w:lastRowFirstColumn="0" w:lastRowLastColumn="0"/>
            <w:tcW w:w="1410" w:type="dxa"/>
            <w:vMerge/>
            <w:hideMark/>
          </w:tcPr>
          <w:p w14:paraId="36AE1B17" w14:textId="77777777" w:rsidR="008A1451" w:rsidRPr="00B65F7F" w:rsidRDefault="008A1451" w:rsidP="008A1451">
            <w:pPr>
              <w:pStyle w:val="TableText"/>
              <w:spacing w:before="0" w:after="0"/>
            </w:pPr>
          </w:p>
        </w:tc>
        <w:tc>
          <w:tcPr>
            <w:tcW w:w="1984" w:type="dxa"/>
            <w:hideMark/>
          </w:tcPr>
          <w:p w14:paraId="50520264"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B65F7F">
              <w:t>Designing service response</w:t>
            </w:r>
          </w:p>
        </w:tc>
        <w:tc>
          <w:tcPr>
            <w:tcW w:w="2313" w:type="dxa"/>
            <w:hideMark/>
          </w:tcPr>
          <w:p w14:paraId="7532A9A4"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B65F7F">
              <w:t>ACCOs and other relevant providers)</w:t>
            </w:r>
          </w:p>
        </w:tc>
        <w:tc>
          <w:tcPr>
            <w:tcW w:w="1843" w:type="dxa"/>
            <w:hideMark/>
          </w:tcPr>
          <w:p w14:paraId="33A2E753"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B65F7F">
              <w:t>ACCOs and other relevant providers)</w:t>
            </w:r>
          </w:p>
        </w:tc>
        <w:tc>
          <w:tcPr>
            <w:tcW w:w="1701" w:type="dxa"/>
          </w:tcPr>
          <w:p w14:paraId="0B912077"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B65F7F">
              <w:t>ACCOs and other relevant providers)</w:t>
            </w:r>
          </w:p>
        </w:tc>
        <w:tc>
          <w:tcPr>
            <w:tcW w:w="4820" w:type="dxa"/>
            <w:hideMark/>
          </w:tcPr>
          <w:p w14:paraId="59972961"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B65F7F">
              <w:t xml:space="preserve">1 – </w:t>
            </w:r>
            <w:r>
              <w:t>Aboriginal and/or Torres Strait Islander</w:t>
            </w:r>
            <w:r w:rsidRPr="00B65F7F">
              <w:t xml:space="preserve"> communities lead the process</w:t>
            </w:r>
          </w:p>
          <w:p w14:paraId="171B5844"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B65F7F">
              <w:t>5 – A true understanding and use of partnerships/co-design</w:t>
            </w:r>
          </w:p>
          <w:p w14:paraId="0F15DD02"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B65F7F">
              <w:t>7 – Universal coverage with no geographical gaps</w:t>
            </w:r>
          </w:p>
          <w:p w14:paraId="54CC40F6"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B65F7F">
              <w:t xml:space="preserve">9 – Using </w:t>
            </w:r>
            <w:r>
              <w:t>Aboriginal and/or Torres Strait Islander</w:t>
            </w:r>
            <w:r w:rsidRPr="00B65F7F">
              <w:t>’ approach to health</w:t>
            </w:r>
          </w:p>
          <w:p w14:paraId="3AE4EFCA"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B65F7F">
              <w:t>13 – Flexibility to meet local and unique needs</w:t>
            </w:r>
          </w:p>
          <w:p w14:paraId="7BCFEABA"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B65F7F">
              <w:t xml:space="preserve">17 – Support for the broader </w:t>
            </w:r>
            <w:r>
              <w:t>Aboriginal and/or Torres Strait Islander</w:t>
            </w:r>
            <w:r w:rsidRPr="00B65F7F">
              <w:t xml:space="preserve"> workforce</w:t>
            </w:r>
          </w:p>
          <w:p w14:paraId="726CD34F"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B65F7F">
              <w:t>20 – Service coordination</w:t>
            </w:r>
          </w:p>
        </w:tc>
      </w:tr>
      <w:tr w:rsidR="008A1451" w:rsidRPr="00B65F7F" w14:paraId="2AFDCA4D" w14:textId="77777777" w:rsidTr="00DC0B1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0" w:type="dxa"/>
            <w:vMerge/>
            <w:hideMark/>
          </w:tcPr>
          <w:p w14:paraId="3DA52A83" w14:textId="77777777" w:rsidR="008A1451" w:rsidRPr="00B65F7F" w:rsidRDefault="008A1451" w:rsidP="008A1451">
            <w:pPr>
              <w:pStyle w:val="TableText"/>
              <w:spacing w:before="0" w:after="0"/>
            </w:pPr>
          </w:p>
        </w:tc>
        <w:tc>
          <w:tcPr>
            <w:tcW w:w="1984" w:type="dxa"/>
            <w:hideMark/>
          </w:tcPr>
          <w:p w14:paraId="045CBD35" w14:textId="77777777" w:rsidR="008A1451" w:rsidRPr="00B65F7F" w:rsidRDefault="008A1451" w:rsidP="00627C1D">
            <w:pPr>
              <w:pStyle w:val="TableText"/>
              <w:cnfStyle w:val="000000010000" w:firstRow="0" w:lastRow="0" w:firstColumn="0" w:lastColumn="0" w:oddVBand="0" w:evenVBand="0" w:oddHBand="0" w:evenHBand="1" w:firstRowFirstColumn="0" w:firstRowLastColumn="0" w:lastRowFirstColumn="0" w:lastRowLastColumn="0"/>
            </w:pPr>
            <w:r w:rsidRPr="00B65F7F">
              <w:t>Approach</w:t>
            </w:r>
            <w:r>
              <w:t>ing</w:t>
            </w:r>
            <w:r w:rsidRPr="00B65F7F">
              <w:t xml:space="preserve"> the market</w:t>
            </w:r>
          </w:p>
          <w:p w14:paraId="74D35705" w14:textId="77777777" w:rsidR="008A1451" w:rsidRPr="00B65F7F" w:rsidRDefault="008A1451" w:rsidP="00627C1D">
            <w:pPr>
              <w:pStyle w:val="TableText"/>
              <w:cnfStyle w:val="000000010000" w:firstRow="0" w:lastRow="0" w:firstColumn="0" w:lastColumn="0" w:oddVBand="0" w:evenVBand="0" w:oddHBand="0" w:evenHBand="1" w:firstRowFirstColumn="0" w:firstRowLastColumn="0" w:lastRowFirstColumn="0" w:lastRowLastColumn="0"/>
            </w:pPr>
            <w:r w:rsidRPr="00B65F7F">
              <w:t>Evaluat</w:t>
            </w:r>
            <w:r>
              <w:t>ing</w:t>
            </w:r>
            <w:r w:rsidRPr="00B65F7F">
              <w:t xml:space="preserve"> submissions and select provider/s</w:t>
            </w:r>
          </w:p>
        </w:tc>
        <w:tc>
          <w:tcPr>
            <w:tcW w:w="2313" w:type="dxa"/>
            <w:hideMark/>
          </w:tcPr>
          <w:p w14:paraId="6ABE4091" w14:textId="77777777" w:rsidR="008A1451" w:rsidRPr="00B65F7F" w:rsidRDefault="008A1451" w:rsidP="00627C1D">
            <w:pPr>
              <w:pStyle w:val="TableText"/>
              <w:cnfStyle w:val="000000010000" w:firstRow="0" w:lastRow="0" w:firstColumn="0" w:lastColumn="0" w:oddVBand="0" w:evenVBand="0" w:oddHBand="0" w:evenHBand="1" w:firstRowFirstColumn="0" w:firstRowLastColumn="0" w:lastRowFirstColumn="0" w:lastRowLastColumn="0"/>
            </w:pPr>
            <w:r>
              <w:t>Aboriginal and/or Torres Strait Islander</w:t>
            </w:r>
            <w:r w:rsidRPr="00B65F7F">
              <w:t xml:space="preserve"> funding body at a state/territory or regional level</w:t>
            </w:r>
          </w:p>
        </w:tc>
        <w:tc>
          <w:tcPr>
            <w:tcW w:w="1843" w:type="dxa"/>
            <w:hideMark/>
          </w:tcPr>
          <w:p w14:paraId="1FBFEE24" w14:textId="77777777" w:rsidR="008A1451" w:rsidRPr="00B65F7F" w:rsidRDefault="008A1451" w:rsidP="00627C1D">
            <w:pPr>
              <w:pStyle w:val="TableText"/>
              <w:cnfStyle w:val="000000010000" w:firstRow="0" w:lastRow="0" w:firstColumn="0" w:lastColumn="0" w:oddVBand="0" w:evenVBand="0" w:oddHBand="0" w:evenHBand="1" w:firstRowFirstColumn="0" w:firstRowLastColumn="0" w:lastRowFirstColumn="0" w:lastRowLastColumn="0"/>
            </w:pPr>
            <w:r>
              <w:t>DoHAC</w:t>
            </w:r>
          </w:p>
        </w:tc>
        <w:tc>
          <w:tcPr>
            <w:tcW w:w="1701" w:type="dxa"/>
          </w:tcPr>
          <w:p w14:paraId="211FB166" w14:textId="77777777" w:rsidR="008A1451" w:rsidRPr="00B65F7F" w:rsidRDefault="008A1451" w:rsidP="00627C1D">
            <w:pPr>
              <w:pStyle w:val="TableText"/>
              <w:cnfStyle w:val="000000010000" w:firstRow="0" w:lastRow="0" w:firstColumn="0" w:lastColumn="0" w:oddVBand="0" w:evenVBand="0" w:oddHBand="0" w:evenHBand="1" w:firstRowFirstColumn="0" w:firstRowLastColumn="0" w:lastRowFirstColumn="0" w:lastRowLastColumn="0"/>
            </w:pPr>
            <w:r>
              <w:t>NACCHO</w:t>
            </w:r>
          </w:p>
        </w:tc>
        <w:tc>
          <w:tcPr>
            <w:tcW w:w="4820" w:type="dxa"/>
            <w:hideMark/>
          </w:tcPr>
          <w:p w14:paraId="57E5531F" w14:textId="77777777" w:rsidR="008A1451" w:rsidRPr="00B65F7F" w:rsidRDefault="008A1451" w:rsidP="00627C1D">
            <w:pPr>
              <w:pStyle w:val="TableText"/>
              <w:cnfStyle w:val="000000010000" w:firstRow="0" w:lastRow="0" w:firstColumn="0" w:lastColumn="0" w:oddVBand="0" w:evenVBand="0" w:oddHBand="0" w:evenHBand="1" w:firstRowFirstColumn="0" w:firstRowLastColumn="0" w:lastRowFirstColumn="0" w:lastRowLastColumn="0"/>
            </w:pPr>
            <w:r w:rsidRPr="00B65F7F">
              <w:t xml:space="preserve">1 – </w:t>
            </w:r>
            <w:r>
              <w:t>Aboriginal and/or Torres Strait Islander</w:t>
            </w:r>
            <w:r w:rsidRPr="00B65F7F">
              <w:t xml:space="preserve"> communities lead the process</w:t>
            </w:r>
          </w:p>
          <w:p w14:paraId="13B2A787" w14:textId="77777777" w:rsidR="008A1451" w:rsidRPr="00B65F7F" w:rsidRDefault="008A1451" w:rsidP="00627C1D">
            <w:pPr>
              <w:pStyle w:val="TableText"/>
              <w:cnfStyle w:val="000000010000" w:firstRow="0" w:lastRow="0" w:firstColumn="0" w:lastColumn="0" w:oddVBand="0" w:evenVBand="0" w:oddHBand="0" w:evenHBand="1" w:firstRowFirstColumn="0" w:firstRowLastColumn="0" w:lastRowFirstColumn="0" w:lastRowLastColumn="0"/>
            </w:pPr>
            <w:bookmarkStart w:id="323" w:name="_Hlk152073523"/>
            <w:r w:rsidRPr="00B65F7F">
              <w:t>2 – Place based governance arrangements</w:t>
            </w:r>
          </w:p>
          <w:bookmarkEnd w:id="323"/>
          <w:p w14:paraId="47D1A2A9" w14:textId="77777777" w:rsidR="008A1451" w:rsidRPr="00B65F7F" w:rsidRDefault="008A1451" w:rsidP="00627C1D">
            <w:pPr>
              <w:pStyle w:val="TableText"/>
              <w:cnfStyle w:val="000000010000" w:firstRow="0" w:lastRow="0" w:firstColumn="0" w:lastColumn="0" w:oddVBand="0" w:evenVBand="0" w:oddHBand="0" w:evenHBand="1" w:firstRowFirstColumn="0" w:firstRowLastColumn="0" w:lastRowFirstColumn="0" w:lastRowLastColumn="0"/>
            </w:pPr>
            <w:r w:rsidRPr="00B65F7F">
              <w:t>11 – Fair and transparent funding decisions</w:t>
            </w:r>
          </w:p>
          <w:p w14:paraId="505A0536" w14:textId="77777777" w:rsidR="008A1451" w:rsidRPr="00B65F7F" w:rsidRDefault="008A1451" w:rsidP="00627C1D">
            <w:pPr>
              <w:pStyle w:val="TableText"/>
              <w:cnfStyle w:val="000000010000" w:firstRow="0" w:lastRow="0" w:firstColumn="0" w:lastColumn="0" w:oddVBand="0" w:evenVBand="0" w:oddHBand="0" w:evenHBand="1" w:firstRowFirstColumn="0" w:firstRowLastColumn="0" w:lastRowFirstColumn="0" w:lastRowLastColumn="0"/>
            </w:pPr>
            <w:r w:rsidRPr="00B65F7F">
              <w:t>12 – Inclusive funding processes</w:t>
            </w:r>
          </w:p>
          <w:p w14:paraId="2886BDF6" w14:textId="77777777" w:rsidR="008A1451" w:rsidRPr="00B65F7F" w:rsidRDefault="008A1451" w:rsidP="00627C1D">
            <w:pPr>
              <w:pStyle w:val="TableText"/>
              <w:cnfStyle w:val="000000010000" w:firstRow="0" w:lastRow="0" w:firstColumn="0" w:lastColumn="0" w:oddVBand="0" w:evenVBand="0" w:oddHBand="0" w:evenHBand="1" w:firstRowFirstColumn="0" w:firstRowLastColumn="0" w:lastRowFirstColumn="0" w:lastRowLastColumn="0"/>
            </w:pPr>
            <w:r w:rsidRPr="00B65F7F">
              <w:t>13 – Flexibility to meet local and unique needs</w:t>
            </w:r>
          </w:p>
          <w:p w14:paraId="54325BEF" w14:textId="77777777" w:rsidR="008A1451" w:rsidRPr="00B65F7F" w:rsidRDefault="008A1451" w:rsidP="00627C1D">
            <w:pPr>
              <w:pStyle w:val="TableText"/>
              <w:cnfStyle w:val="000000010000" w:firstRow="0" w:lastRow="0" w:firstColumn="0" w:lastColumn="0" w:oddVBand="0" w:evenVBand="0" w:oddHBand="0" w:evenHBand="1" w:firstRowFirstColumn="0" w:firstRowLastColumn="0" w:lastRowFirstColumn="0" w:lastRowLastColumn="0"/>
            </w:pPr>
            <w:r w:rsidRPr="00B65F7F">
              <w:t xml:space="preserve">17 – Support for the broader </w:t>
            </w:r>
            <w:r>
              <w:t>Aboriginal and/or Torres Strait Islander</w:t>
            </w:r>
            <w:r w:rsidRPr="00B65F7F">
              <w:t xml:space="preserve"> workforce</w:t>
            </w:r>
          </w:p>
        </w:tc>
      </w:tr>
      <w:tr w:rsidR="008A1451" w:rsidRPr="00316DD4" w14:paraId="433ED689" w14:textId="77777777">
        <w:trPr>
          <w:cnfStyle w:val="000000100000" w:firstRow="0" w:lastRow="0" w:firstColumn="0" w:lastColumn="0" w:oddVBand="0" w:evenVBand="0" w:oddHBand="1" w:evenHBand="0" w:firstRowFirstColumn="0" w:firstRowLastColumn="0" w:lastRowFirstColumn="0" w:lastRowLastColumn="0"/>
          <w:cantSplit/>
          <w:trHeight w:val="2920"/>
        </w:trPr>
        <w:tc>
          <w:tcPr>
            <w:cnfStyle w:val="001000000000" w:firstRow="0" w:lastRow="0" w:firstColumn="1" w:lastColumn="0" w:oddVBand="0" w:evenVBand="0" w:oddHBand="0" w:evenHBand="0" w:firstRowFirstColumn="0" w:firstRowLastColumn="0" w:lastRowFirstColumn="0" w:lastRowLastColumn="0"/>
            <w:tcW w:w="1410" w:type="dxa"/>
            <w:vMerge w:val="restart"/>
            <w:hideMark/>
          </w:tcPr>
          <w:p w14:paraId="6546A3B8" w14:textId="77777777" w:rsidR="008A1451" w:rsidRPr="00316DD4" w:rsidRDefault="008A1451" w:rsidP="00627C1D">
            <w:pPr>
              <w:pStyle w:val="TableText"/>
            </w:pPr>
            <w:r w:rsidRPr="00316DD4">
              <w:t>Monitoring and evaluation</w:t>
            </w:r>
          </w:p>
        </w:tc>
        <w:tc>
          <w:tcPr>
            <w:tcW w:w="1984" w:type="dxa"/>
            <w:hideMark/>
          </w:tcPr>
          <w:p w14:paraId="6203A913" w14:textId="77777777" w:rsidR="008A1451" w:rsidRPr="00316DD4"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316DD4">
              <w:t>Determining KPIs and other reporting requirements (placed on provider)</w:t>
            </w:r>
          </w:p>
        </w:tc>
        <w:tc>
          <w:tcPr>
            <w:tcW w:w="2313" w:type="dxa"/>
            <w:hideMark/>
          </w:tcPr>
          <w:p w14:paraId="417A38EF" w14:textId="77777777" w:rsidR="008A1451" w:rsidRPr="00316DD4" w:rsidRDefault="008A1451" w:rsidP="00627C1D">
            <w:pPr>
              <w:pStyle w:val="TableText"/>
              <w:cnfStyle w:val="000000100000" w:firstRow="0" w:lastRow="0" w:firstColumn="0" w:lastColumn="0" w:oddVBand="0" w:evenVBand="0" w:oddHBand="1" w:evenHBand="0" w:firstRowFirstColumn="0" w:firstRowLastColumn="0" w:lastRowFirstColumn="0" w:lastRowLastColumn="0"/>
            </w:pPr>
            <w:r>
              <w:t>Aboriginal and/or Torres Strait Islander</w:t>
            </w:r>
            <w:r w:rsidRPr="00316DD4">
              <w:t xml:space="preserve"> funding body at a state/territory or regional level</w:t>
            </w:r>
          </w:p>
        </w:tc>
        <w:tc>
          <w:tcPr>
            <w:tcW w:w="1843" w:type="dxa"/>
            <w:hideMark/>
          </w:tcPr>
          <w:p w14:paraId="08E70C68" w14:textId="77777777" w:rsidR="008A1451" w:rsidRPr="00316DD4" w:rsidRDefault="008A1451" w:rsidP="00627C1D">
            <w:pPr>
              <w:pStyle w:val="TableText"/>
              <w:cnfStyle w:val="000000100000" w:firstRow="0" w:lastRow="0" w:firstColumn="0" w:lastColumn="0" w:oddVBand="0" w:evenVBand="0" w:oddHBand="1" w:evenHBand="0" w:firstRowFirstColumn="0" w:firstRowLastColumn="0" w:lastRowFirstColumn="0" w:lastRowLastColumn="0"/>
            </w:pPr>
            <w:r>
              <w:t>DoHAC</w:t>
            </w:r>
          </w:p>
        </w:tc>
        <w:tc>
          <w:tcPr>
            <w:tcW w:w="1701" w:type="dxa"/>
          </w:tcPr>
          <w:p w14:paraId="22D3B49F" w14:textId="77777777" w:rsidR="008A1451" w:rsidRPr="00316DD4" w:rsidRDefault="008A1451" w:rsidP="00627C1D">
            <w:pPr>
              <w:pStyle w:val="TableText"/>
              <w:cnfStyle w:val="000000100000" w:firstRow="0" w:lastRow="0" w:firstColumn="0" w:lastColumn="0" w:oddVBand="0" w:evenVBand="0" w:oddHBand="1" w:evenHBand="0" w:firstRowFirstColumn="0" w:firstRowLastColumn="0" w:lastRowFirstColumn="0" w:lastRowLastColumn="0"/>
            </w:pPr>
            <w:r>
              <w:t>NACCHO</w:t>
            </w:r>
          </w:p>
        </w:tc>
        <w:tc>
          <w:tcPr>
            <w:tcW w:w="4820" w:type="dxa"/>
            <w:hideMark/>
          </w:tcPr>
          <w:p w14:paraId="2EC4EC23" w14:textId="77777777" w:rsidR="008A1451" w:rsidRPr="00316DD4" w:rsidRDefault="008A1451" w:rsidP="00627C1D">
            <w:pPr>
              <w:pStyle w:val="TableText"/>
              <w:cnfStyle w:val="000000100000" w:firstRow="0" w:lastRow="0" w:firstColumn="0" w:lastColumn="0" w:oddVBand="0" w:evenVBand="0" w:oddHBand="1" w:evenHBand="0" w:firstRowFirstColumn="0" w:firstRowLastColumn="0" w:lastRowFirstColumn="0" w:lastRowLastColumn="0"/>
            </w:pPr>
            <w:bookmarkStart w:id="324" w:name="_Hlk152073399"/>
            <w:r w:rsidRPr="00316DD4">
              <w:t xml:space="preserve">1 – </w:t>
            </w:r>
            <w:r>
              <w:t>Aboriginal and/or Torres Strait Islander</w:t>
            </w:r>
            <w:r w:rsidRPr="00316DD4">
              <w:t xml:space="preserve"> communities lead the process</w:t>
            </w:r>
          </w:p>
          <w:p w14:paraId="53A3D347" w14:textId="77777777" w:rsidR="008A1451" w:rsidRPr="00316DD4"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316DD4">
              <w:t>3 – Ongoing and accessible feedback mechanisms</w:t>
            </w:r>
          </w:p>
          <w:p w14:paraId="4EED3F75" w14:textId="77777777" w:rsidR="008A1451" w:rsidRPr="00316DD4"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316DD4">
              <w:t>4 – Data sovereignty</w:t>
            </w:r>
          </w:p>
          <w:p w14:paraId="7EA83E39" w14:textId="77777777" w:rsidR="008A1451" w:rsidRPr="00316DD4"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316DD4">
              <w:t>5 – A true understanding and use of partnerships/co-design</w:t>
            </w:r>
          </w:p>
          <w:p w14:paraId="1767FEEE" w14:textId="77777777" w:rsidR="008A1451" w:rsidRPr="00316DD4"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316DD4">
              <w:t xml:space="preserve">9 – Using </w:t>
            </w:r>
            <w:r>
              <w:t>Aboriginal and/or Torres Strait Islander</w:t>
            </w:r>
            <w:r w:rsidRPr="00316DD4">
              <w:t>’ approach to health</w:t>
            </w:r>
          </w:p>
          <w:p w14:paraId="0BABAB6F" w14:textId="77777777" w:rsidR="008A1451" w:rsidRPr="00316DD4"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316DD4">
              <w:t>13 – Flexibility to meet local and unique needs</w:t>
            </w:r>
          </w:p>
          <w:p w14:paraId="53DC72ED" w14:textId="77777777" w:rsidR="008A1451" w:rsidRPr="00316DD4"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316DD4">
              <w:t>14 – Outcome-based reporting and KPIs</w:t>
            </w:r>
          </w:p>
          <w:p w14:paraId="4B31D161" w14:textId="77777777" w:rsidR="008A1451" w:rsidRPr="00316DD4"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316DD4">
              <w:t>15 – Consolidated, streamlined reporting</w:t>
            </w:r>
          </w:p>
          <w:p w14:paraId="513A4390" w14:textId="77777777" w:rsidR="008A1451" w:rsidRPr="00316DD4"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316DD4">
              <w:t>16 – Transparent reporting</w:t>
            </w:r>
            <w:bookmarkEnd w:id="324"/>
          </w:p>
        </w:tc>
      </w:tr>
      <w:tr w:rsidR="008A1451" w:rsidRPr="00B65F7F" w14:paraId="7345DC55" w14:textId="77777777" w:rsidTr="00DC0B1E">
        <w:trPr>
          <w:cnfStyle w:val="000000010000" w:firstRow="0" w:lastRow="0" w:firstColumn="0" w:lastColumn="0" w:oddVBand="0" w:evenVBand="0" w:oddHBand="0" w:evenHBand="1" w:firstRowFirstColumn="0" w:firstRowLastColumn="0" w:lastRowFirstColumn="0" w:lastRowLastColumn="0"/>
          <w:trHeight w:val="2920"/>
        </w:trPr>
        <w:tc>
          <w:tcPr>
            <w:cnfStyle w:val="001000000000" w:firstRow="0" w:lastRow="0" w:firstColumn="1" w:lastColumn="0" w:oddVBand="0" w:evenVBand="0" w:oddHBand="0" w:evenHBand="0" w:firstRowFirstColumn="0" w:firstRowLastColumn="0" w:lastRowFirstColumn="0" w:lastRowLastColumn="0"/>
            <w:tcW w:w="1410" w:type="dxa"/>
            <w:vMerge/>
            <w:hideMark/>
          </w:tcPr>
          <w:p w14:paraId="5CB91CD6" w14:textId="77777777" w:rsidR="008A1451" w:rsidRPr="00B65F7F" w:rsidRDefault="008A1451" w:rsidP="008A1451">
            <w:pPr>
              <w:pStyle w:val="TableText"/>
              <w:spacing w:before="0" w:after="0"/>
            </w:pPr>
          </w:p>
        </w:tc>
        <w:tc>
          <w:tcPr>
            <w:tcW w:w="1984" w:type="dxa"/>
            <w:hideMark/>
          </w:tcPr>
          <w:p w14:paraId="44941A21" w14:textId="77777777" w:rsidR="008A1451" w:rsidRPr="00B65F7F" w:rsidRDefault="008A1451" w:rsidP="00627C1D">
            <w:pPr>
              <w:pStyle w:val="TableText"/>
              <w:cnfStyle w:val="000000010000" w:firstRow="0" w:lastRow="0" w:firstColumn="0" w:lastColumn="0" w:oddVBand="0" w:evenVBand="0" w:oddHBand="0" w:evenHBand="1" w:firstRowFirstColumn="0" w:firstRowLastColumn="0" w:lastRowFirstColumn="0" w:lastRowLastColumn="0"/>
            </w:pPr>
            <w:r w:rsidRPr="00B65F7F">
              <w:t>Reporting of KPIs and other measures</w:t>
            </w:r>
          </w:p>
        </w:tc>
        <w:tc>
          <w:tcPr>
            <w:tcW w:w="2313" w:type="dxa"/>
            <w:hideMark/>
          </w:tcPr>
          <w:p w14:paraId="00BB3C68" w14:textId="77777777" w:rsidR="008A1451" w:rsidRPr="00B65F7F" w:rsidRDefault="008A1451" w:rsidP="00627C1D">
            <w:pPr>
              <w:pStyle w:val="TableText"/>
              <w:cnfStyle w:val="000000010000" w:firstRow="0" w:lastRow="0" w:firstColumn="0" w:lastColumn="0" w:oddVBand="0" w:evenVBand="0" w:oddHBand="0" w:evenHBand="1" w:firstRowFirstColumn="0" w:firstRowLastColumn="0" w:lastRowFirstColumn="0" w:lastRowLastColumn="0"/>
            </w:pPr>
            <w:r w:rsidRPr="00B65F7F">
              <w:t>ACCOs and other relevant providers)</w:t>
            </w:r>
          </w:p>
        </w:tc>
        <w:tc>
          <w:tcPr>
            <w:tcW w:w="1843" w:type="dxa"/>
            <w:hideMark/>
          </w:tcPr>
          <w:p w14:paraId="2A092225" w14:textId="77777777" w:rsidR="008A1451" w:rsidRPr="00B65F7F" w:rsidRDefault="008A1451" w:rsidP="00627C1D">
            <w:pPr>
              <w:pStyle w:val="TableText"/>
              <w:cnfStyle w:val="000000010000" w:firstRow="0" w:lastRow="0" w:firstColumn="0" w:lastColumn="0" w:oddVBand="0" w:evenVBand="0" w:oddHBand="0" w:evenHBand="1" w:firstRowFirstColumn="0" w:firstRowLastColumn="0" w:lastRowFirstColumn="0" w:lastRowLastColumn="0"/>
            </w:pPr>
            <w:r w:rsidRPr="00B65F7F">
              <w:t>ACCOs and other relevant providers)</w:t>
            </w:r>
          </w:p>
        </w:tc>
        <w:tc>
          <w:tcPr>
            <w:tcW w:w="1701" w:type="dxa"/>
          </w:tcPr>
          <w:p w14:paraId="3B6FC068" w14:textId="77777777" w:rsidR="008A1451" w:rsidRPr="00B65F7F" w:rsidRDefault="008A1451" w:rsidP="00627C1D">
            <w:pPr>
              <w:pStyle w:val="TableText"/>
              <w:cnfStyle w:val="000000010000" w:firstRow="0" w:lastRow="0" w:firstColumn="0" w:lastColumn="0" w:oddVBand="0" w:evenVBand="0" w:oddHBand="0" w:evenHBand="1" w:firstRowFirstColumn="0" w:firstRowLastColumn="0" w:lastRowFirstColumn="0" w:lastRowLastColumn="0"/>
            </w:pPr>
            <w:r w:rsidRPr="00B65F7F">
              <w:t>ACCOs and other relevant providers</w:t>
            </w:r>
          </w:p>
        </w:tc>
        <w:tc>
          <w:tcPr>
            <w:tcW w:w="4820" w:type="dxa"/>
            <w:hideMark/>
          </w:tcPr>
          <w:p w14:paraId="49352864" w14:textId="77777777" w:rsidR="008A1451" w:rsidRPr="00B65F7F" w:rsidRDefault="008A1451" w:rsidP="00627C1D">
            <w:pPr>
              <w:pStyle w:val="TableText"/>
              <w:cnfStyle w:val="000000010000" w:firstRow="0" w:lastRow="0" w:firstColumn="0" w:lastColumn="0" w:oddVBand="0" w:evenVBand="0" w:oddHBand="0" w:evenHBand="1" w:firstRowFirstColumn="0" w:firstRowLastColumn="0" w:lastRowFirstColumn="0" w:lastRowLastColumn="0"/>
            </w:pPr>
            <w:r>
              <w:t>1</w:t>
            </w:r>
            <w:r w:rsidRPr="00B65F7F">
              <w:t xml:space="preserve"> – Data sovereignty</w:t>
            </w:r>
          </w:p>
          <w:p w14:paraId="175B54F4" w14:textId="77777777" w:rsidR="008A1451" w:rsidRPr="00B65F7F" w:rsidRDefault="008A1451" w:rsidP="00627C1D">
            <w:pPr>
              <w:pStyle w:val="TableText"/>
              <w:cnfStyle w:val="000000010000" w:firstRow="0" w:lastRow="0" w:firstColumn="0" w:lastColumn="0" w:oddVBand="0" w:evenVBand="0" w:oddHBand="0" w:evenHBand="1" w:firstRowFirstColumn="0" w:firstRowLastColumn="0" w:lastRowFirstColumn="0" w:lastRowLastColumn="0"/>
            </w:pPr>
            <w:r>
              <w:t>2</w:t>
            </w:r>
            <w:r w:rsidRPr="00B65F7F">
              <w:t xml:space="preserve"> – A true understanding and use of partnerships/co-design</w:t>
            </w:r>
          </w:p>
          <w:p w14:paraId="25D6D934" w14:textId="77777777" w:rsidR="008A1451" w:rsidRPr="00B65F7F" w:rsidRDefault="008A1451" w:rsidP="00627C1D">
            <w:pPr>
              <w:pStyle w:val="TableText"/>
              <w:cnfStyle w:val="000000010000" w:firstRow="0" w:lastRow="0" w:firstColumn="0" w:lastColumn="0" w:oddVBand="0" w:evenVBand="0" w:oddHBand="0" w:evenHBand="1" w:firstRowFirstColumn="0" w:firstRowLastColumn="0" w:lastRowFirstColumn="0" w:lastRowLastColumn="0"/>
            </w:pPr>
            <w:r>
              <w:t>6</w:t>
            </w:r>
            <w:r w:rsidRPr="00B65F7F">
              <w:t xml:space="preserve"> – Using </w:t>
            </w:r>
            <w:r>
              <w:t>Aboriginal and/or Torres Strait Islander</w:t>
            </w:r>
            <w:r w:rsidRPr="00B65F7F">
              <w:t xml:space="preserve"> approach to health</w:t>
            </w:r>
          </w:p>
          <w:p w14:paraId="3E575B16" w14:textId="77777777" w:rsidR="008A1451" w:rsidRPr="00B65F7F" w:rsidRDefault="008A1451" w:rsidP="00627C1D">
            <w:pPr>
              <w:pStyle w:val="TableText"/>
              <w:cnfStyle w:val="000000010000" w:firstRow="0" w:lastRow="0" w:firstColumn="0" w:lastColumn="0" w:oddVBand="0" w:evenVBand="0" w:oddHBand="0" w:evenHBand="1" w:firstRowFirstColumn="0" w:firstRowLastColumn="0" w:lastRowFirstColumn="0" w:lastRowLastColumn="0"/>
            </w:pPr>
            <w:r>
              <w:t>10</w:t>
            </w:r>
            <w:r w:rsidRPr="00B65F7F">
              <w:t xml:space="preserve"> – Flexibility to meet local and unique needs</w:t>
            </w:r>
          </w:p>
          <w:p w14:paraId="384E2180" w14:textId="77777777" w:rsidR="008A1451" w:rsidRPr="00B65F7F" w:rsidRDefault="008A1451" w:rsidP="00627C1D">
            <w:pPr>
              <w:pStyle w:val="TableText"/>
              <w:cnfStyle w:val="000000010000" w:firstRow="0" w:lastRow="0" w:firstColumn="0" w:lastColumn="0" w:oddVBand="0" w:evenVBand="0" w:oddHBand="0" w:evenHBand="1" w:firstRowFirstColumn="0" w:firstRowLastColumn="0" w:lastRowFirstColumn="0" w:lastRowLastColumn="0"/>
            </w:pPr>
            <w:r w:rsidRPr="00B65F7F">
              <w:t>1</w:t>
            </w:r>
            <w:r>
              <w:t>1</w:t>
            </w:r>
            <w:r w:rsidRPr="00B65F7F">
              <w:t xml:space="preserve"> – Outcome-based reporting and KPIs</w:t>
            </w:r>
          </w:p>
          <w:p w14:paraId="2868026B" w14:textId="77777777" w:rsidR="008A1451" w:rsidRPr="00B65F7F" w:rsidRDefault="008A1451" w:rsidP="00627C1D">
            <w:pPr>
              <w:pStyle w:val="TableText"/>
              <w:cnfStyle w:val="000000010000" w:firstRow="0" w:lastRow="0" w:firstColumn="0" w:lastColumn="0" w:oddVBand="0" w:evenVBand="0" w:oddHBand="0" w:evenHBand="1" w:firstRowFirstColumn="0" w:firstRowLastColumn="0" w:lastRowFirstColumn="0" w:lastRowLastColumn="0"/>
            </w:pPr>
            <w:r w:rsidRPr="00B65F7F">
              <w:t>1</w:t>
            </w:r>
            <w:r>
              <w:t>2</w:t>
            </w:r>
            <w:r w:rsidRPr="00B65F7F">
              <w:t xml:space="preserve"> – Consolidated, streamlined reporting</w:t>
            </w:r>
          </w:p>
          <w:p w14:paraId="39319152" w14:textId="77777777" w:rsidR="008A1451" w:rsidRDefault="008A1451" w:rsidP="00627C1D">
            <w:pPr>
              <w:pStyle w:val="TableText"/>
              <w:cnfStyle w:val="000000010000" w:firstRow="0" w:lastRow="0" w:firstColumn="0" w:lastColumn="0" w:oddVBand="0" w:evenVBand="0" w:oddHBand="0" w:evenHBand="1" w:firstRowFirstColumn="0" w:firstRowLastColumn="0" w:lastRowFirstColumn="0" w:lastRowLastColumn="0"/>
            </w:pPr>
            <w:r w:rsidRPr="00B65F7F">
              <w:t>1</w:t>
            </w:r>
            <w:r>
              <w:t>3</w:t>
            </w:r>
            <w:r w:rsidRPr="00B65F7F">
              <w:t xml:space="preserve"> – Transparent reporting</w:t>
            </w:r>
          </w:p>
          <w:p w14:paraId="3DA0D772" w14:textId="77777777" w:rsidR="008A1451" w:rsidRPr="00B65F7F" w:rsidRDefault="008A1451" w:rsidP="00627C1D">
            <w:pPr>
              <w:pStyle w:val="TableText"/>
              <w:cnfStyle w:val="000000010000" w:firstRow="0" w:lastRow="0" w:firstColumn="0" w:lastColumn="0" w:oddVBand="0" w:evenVBand="0" w:oddHBand="0" w:evenHBand="1" w:firstRowFirstColumn="0" w:firstRowLastColumn="0" w:lastRowFirstColumn="0" w:lastRowLastColumn="0"/>
            </w:pPr>
            <w:r w:rsidRPr="00B65F7F">
              <w:t>1</w:t>
            </w:r>
            <w:r>
              <w:t>9</w:t>
            </w:r>
            <w:r w:rsidRPr="00B65F7F">
              <w:t xml:space="preserve"> – </w:t>
            </w:r>
            <w:r>
              <w:t>Aboriginal and/or Torres Strait Islander</w:t>
            </w:r>
            <w:r w:rsidRPr="00B65F7F">
              <w:t xml:space="preserve"> communities lead the process</w:t>
            </w:r>
          </w:p>
          <w:p w14:paraId="5E761664" w14:textId="77777777" w:rsidR="008A1451" w:rsidRPr="00B65F7F" w:rsidRDefault="008A1451" w:rsidP="00627C1D">
            <w:pPr>
              <w:pStyle w:val="TableText"/>
              <w:cnfStyle w:val="000000010000" w:firstRow="0" w:lastRow="0" w:firstColumn="0" w:lastColumn="0" w:oddVBand="0" w:evenVBand="0" w:oddHBand="0" w:evenHBand="1" w:firstRowFirstColumn="0" w:firstRowLastColumn="0" w:lastRowFirstColumn="0" w:lastRowLastColumn="0"/>
            </w:pPr>
            <w:r>
              <w:t>21</w:t>
            </w:r>
            <w:r w:rsidRPr="00B65F7F">
              <w:t xml:space="preserve"> – Ongoing and accessible feedback mechanisms</w:t>
            </w:r>
          </w:p>
        </w:tc>
      </w:tr>
      <w:tr w:rsidR="008A1451" w:rsidRPr="00B65F7F" w14:paraId="123BBAFC" w14:textId="77777777" w:rsidTr="00DC0B1E">
        <w:trPr>
          <w:cnfStyle w:val="000000100000" w:firstRow="0" w:lastRow="0" w:firstColumn="0" w:lastColumn="0" w:oddVBand="0" w:evenVBand="0" w:oddHBand="1" w:evenHBand="0" w:firstRowFirstColumn="0" w:firstRowLastColumn="0" w:lastRowFirstColumn="0" w:lastRowLastColumn="0"/>
          <w:trHeight w:val="1943"/>
        </w:trPr>
        <w:tc>
          <w:tcPr>
            <w:cnfStyle w:val="001000000000" w:firstRow="0" w:lastRow="0" w:firstColumn="1" w:lastColumn="0" w:oddVBand="0" w:evenVBand="0" w:oddHBand="0" w:evenHBand="0" w:firstRowFirstColumn="0" w:firstRowLastColumn="0" w:lastRowFirstColumn="0" w:lastRowLastColumn="0"/>
            <w:tcW w:w="1410" w:type="dxa"/>
            <w:vMerge/>
            <w:hideMark/>
          </w:tcPr>
          <w:p w14:paraId="5A229932" w14:textId="77777777" w:rsidR="008A1451" w:rsidRPr="00B65F7F" w:rsidRDefault="008A1451" w:rsidP="008A1451">
            <w:pPr>
              <w:pStyle w:val="TableText"/>
              <w:spacing w:before="0" w:after="0"/>
            </w:pPr>
          </w:p>
        </w:tc>
        <w:tc>
          <w:tcPr>
            <w:tcW w:w="1984" w:type="dxa"/>
            <w:hideMark/>
          </w:tcPr>
          <w:p w14:paraId="7C5BF7CA"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B65F7F">
              <w:t>Manag</w:t>
            </w:r>
            <w:r>
              <w:t>ing</w:t>
            </w:r>
            <w:r w:rsidRPr="00B65F7F">
              <w:t xml:space="preserve"> contract deliverables</w:t>
            </w:r>
          </w:p>
        </w:tc>
        <w:tc>
          <w:tcPr>
            <w:tcW w:w="2313" w:type="dxa"/>
            <w:hideMark/>
          </w:tcPr>
          <w:p w14:paraId="6F3DFE69"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t>Aboriginal and/or Torres Strait Islander</w:t>
            </w:r>
            <w:r w:rsidRPr="00B65F7F">
              <w:t xml:space="preserve"> funding body at a state/territory or regional level</w:t>
            </w:r>
          </w:p>
        </w:tc>
        <w:tc>
          <w:tcPr>
            <w:tcW w:w="1843" w:type="dxa"/>
            <w:hideMark/>
          </w:tcPr>
          <w:p w14:paraId="3855EFEA"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t>DoHAC</w:t>
            </w:r>
          </w:p>
        </w:tc>
        <w:tc>
          <w:tcPr>
            <w:tcW w:w="1701" w:type="dxa"/>
          </w:tcPr>
          <w:p w14:paraId="53E1C1E4"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t>NACCHO</w:t>
            </w:r>
          </w:p>
        </w:tc>
        <w:tc>
          <w:tcPr>
            <w:tcW w:w="4820" w:type="dxa"/>
            <w:hideMark/>
          </w:tcPr>
          <w:p w14:paraId="16D83886"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bookmarkStart w:id="325" w:name="_Hlk152073423"/>
            <w:r w:rsidRPr="00B65F7F">
              <w:t>3 – Ongoing and accessible feedback mechanisms</w:t>
            </w:r>
          </w:p>
          <w:p w14:paraId="7FFD2758"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B65F7F">
              <w:t>4 – Data sovereignty</w:t>
            </w:r>
          </w:p>
          <w:p w14:paraId="2DDB63CA"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B65F7F">
              <w:t xml:space="preserve">9 – Using </w:t>
            </w:r>
            <w:r>
              <w:t>Aboriginal and/or Torres Strait Islander</w:t>
            </w:r>
            <w:r w:rsidRPr="00B65F7F">
              <w:t>’ approach to health</w:t>
            </w:r>
          </w:p>
          <w:p w14:paraId="549009C8"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B65F7F">
              <w:t>13 – Flexibility to meet local and unique needs</w:t>
            </w:r>
          </w:p>
          <w:p w14:paraId="34D42FD9"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B65F7F">
              <w:t>14 – Outcome-based reporting and KPIs</w:t>
            </w:r>
          </w:p>
          <w:p w14:paraId="4B3C6AC7"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B65F7F">
              <w:t>15 – Consolidated, streamlined reporting</w:t>
            </w:r>
          </w:p>
          <w:p w14:paraId="67D9310D"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B65F7F">
              <w:t>16 – Transparent reporting</w:t>
            </w:r>
            <w:bookmarkEnd w:id="325"/>
          </w:p>
        </w:tc>
      </w:tr>
      <w:tr w:rsidR="008A1451" w:rsidRPr="000616D5" w14:paraId="4D21788B" w14:textId="77777777" w:rsidTr="004D6F30">
        <w:trPr>
          <w:cnfStyle w:val="000000010000" w:firstRow="0" w:lastRow="0" w:firstColumn="0" w:lastColumn="0" w:oddVBand="0" w:evenVBand="0" w:oddHBand="0" w:evenHBand="1" w:firstRowFirstColumn="0" w:firstRowLastColumn="0" w:lastRowFirstColumn="0" w:lastRowLastColumn="0"/>
          <w:trHeight w:val="2012"/>
        </w:trPr>
        <w:tc>
          <w:tcPr>
            <w:cnfStyle w:val="001000000000" w:firstRow="0" w:lastRow="0" w:firstColumn="1" w:lastColumn="0" w:oddVBand="0" w:evenVBand="0" w:oddHBand="0" w:evenHBand="0" w:firstRowFirstColumn="0" w:firstRowLastColumn="0" w:lastRowFirstColumn="0" w:lastRowLastColumn="0"/>
            <w:tcW w:w="1410" w:type="dxa"/>
            <w:hideMark/>
          </w:tcPr>
          <w:p w14:paraId="1881014F" w14:textId="77777777" w:rsidR="008A1451" w:rsidRPr="000616D5" w:rsidRDefault="008A1451" w:rsidP="008A1451">
            <w:pPr>
              <w:pStyle w:val="TableText"/>
              <w:spacing w:before="0" w:after="0"/>
            </w:pPr>
          </w:p>
        </w:tc>
        <w:tc>
          <w:tcPr>
            <w:tcW w:w="1984" w:type="dxa"/>
            <w:hideMark/>
          </w:tcPr>
          <w:p w14:paraId="281BEA2D" w14:textId="77777777" w:rsidR="008A1451" w:rsidRPr="000616D5" w:rsidRDefault="008A1451" w:rsidP="00627C1D">
            <w:pPr>
              <w:pStyle w:val="TableText"/>
              <w:cnfStyle w:val="000000010000" w:firstRow="0" w:lastRow="0" w:firstColumn="0" w:lastColumn="0" w:oddVBand="0" w:evenVBand="0" w:oddHBand="0" w:evenHBand="1" w:firstRowFirstColumn="0" w:firstRowLastColumn="0" w:lastRowFirstColumn="0" w:lastRowLastColumn="0"/>
            </w:pPr>
            <w:r w:rsidRPr="000616D5">
              <w:t>Evaluating efficacy of program</w:t>
            </w:r>
          </w:p>
        </w:tc>
        <w:tc>
          <w:tcPr>
            <w:tcW w:w="2313" w:type="dxa"/>
            <w:hideMark/>
          </w:tcPr>
          <w:p w14:paraId="51F375D8" w14:textId="77777777" w:rsidR="008A1451" w:rsidRPr="000616D5" w:rsidRDefault="008A1451" w:rsidP="00627C1D">
            <w:pPr>
              <w:pStyle w:val="TableText"/>
              <w:cnfStyle w:val="000000010000" w:firstRow="0" w:lastRow="0" w:firstColumn="0" w:lastColumn="0" w:oddVBand="0" w:evenVBand="0" w:oddHBand="0" w:evenHBand="1" w:firstRowFirstColumn="0" w:firstRowLastColumn="0" w:lastRowFirstColumn="0" w:lastRowLastColumn="0"/>
            </w:pPr>
            <w:r>
              <w:t>Aboriginal and/or Torres Strait Islander</w:t>
            </w:r>
            <w:r w:rsidRPr="000616D5">
              <w:t xml:space="preserve"> funding body at a state/territory or regional level</w:t>
            </w:r>
          </w:p>
        </w:tc>
        <w:tc>
          <w:tcPr>
            <w:tcW w:w="1843" w:type="dxa"/>
            <w:hideMark/>
          </w:tcPr>
          <w:p w14:paraId="03FCD3D6" w14:textId="77777777" w:rsidR="008A1451" w:rsidRPr="000616D5" w:rsidRDefault="008A1451" w:rsidP="00627C1D">
            <w:pPr>
              <w:pStyle w:val="TableText"/>
              <w:cnfStyle w:val="000000010000" w:firstRow="0" w:lastRow="0" w:firstColumn="0" w:lastColumn="0" w:oddVBand="0" w:evenVBand="0" w:oddHBand="0" w:evenHBand="1" w:firstRowFirstColumn="0" w:firstRowLastColumn="0" w:lastRowFirstColumn="0" w:lastRowLastColumn="0"/>
            </w:pPr>
            <w:r w:rsidRPr="000616D5">
              <w:t>ACCOs and other relevant providers)</w:t>
            </w:r>
          </w:p>
        </w:tc>
        <w:tc>
          <w:tcPr>
            <w:tcW w:w="1701" w:type="dxa"/>
          </w:tcPr>
          <w:p w14:paraId="15576F98" w14:textId="77777777" w:rsidR="008A1451" w:rsidRPr="000616D5" w:rsidRDefault="008A1451" w:rsidP="00627C1D">
            <w:pPr>
              <w:pStyle w:val="TableText"/>
              <w:cnfStyle w:val="000000010000" w:firstRow="0" w:lastRow="0" w:firstColumn="0" w:lastColumn="0" w:oddVBand="0" w:evenVBand="0" w:oddHBand="0" w:evenHBand="1" w:firstRowFirstColumn="0" w:firstRowLastColumn="0" w:lastRowFirstColumn="0" w:lastRowLastColumn="0"/>
            </w:pPr>
            <w:r>
              <w:t xml:space="preserve">NACCHO in collaboration with </w:t>
            </w:r>
            <w:r w:rsidRPr="00B65F7F">
              <w:t>ACCOs and other relevant providers</w:t>
            </w:r>
          </w:p>
        </w:tc>
        <w:tc>
          <w:tcPr>
            <w:tcW w:w="4820" w:type="dxa"/>
            <w:hideMark/>
          </w:tcPr>
          <w:p w14:paraId="5660CC32" w14:textId="77777777" w:rsidR="008A1451" w:rsidRPr="000616D5" w:rsidRDefault="008A1451" w:rsidP="00627C1D">
            <w:pPr>
              <w:pStyle w:val="TableText"/>
              <w:cnfStyle w:val="000000010000" w:firstRow="0" w:lastRow="0" w:firstColumn="0" w:lastColumn="0" w:oddVBand="0" w:evenVBand="0" w:oddHBand="0" w:evenHBand="1" w:firstRowFirstColumn="0" w:firstRowLastColumn="0" w:lastRowFirstColumn="0" w:lastRowLastColumn="0"/>
            </w:pPr>
            <w:r w:rsidRPr="000616D5">
              <w:t>3 – Ongoing and accessible feedback mechanisms</w:t>
            </w:r>
          </w:p>
          <w:p w14:paraId="5A8679EC" w14:textId="77777777" w:rsidR="008A1451" w:rsidRPr="000616D5" w:rsidRDefault="008A1451" w:rsidP="00627C1D">
            <w:pPr>
              <w:pStyle w:val="TableText"/>
              <w:cnfStyle w:val="000000010000" w:firstRow="0" w:lastRow="0" w:firstColumn="0" w:lastColumn="0" w:oddVBand="0" w:evenVBand="0" w:oddHBand="0" w:evenHBand="1" w:firstRowFirstColumn="0" w:firstRowLastColumn="0" w:lastRowFirstColumn="0" w:lastRowLastColumn="0"/>
            </w:pPr>
            <w:r w:rsidRPr="000616D5">
              <w:t>4 – Data sovereignty</w:t>
            </w:r>
          </w:p>
          <w:p w14:paraId="740031D1" w14:textId="77777777" w:rsidR="008A1451" w:rsidRPr="000616D5" w:rsidRDefault="008A1451" w:rsidP="00627C1D">
            <w:pPr>
              <w:pStyle w:val="TableText"/>
              <w:cnfStyle w:val="000000010000" w:firstRow="0" w:lastRow="0" w:firstColumn="0" w:lastColumn="0" w:oddVBand="0" w:evenVBand="0" w:oddHBand="0" w:evenHBand="1" w:firstRowFirstColumn="0" w:firstRowLastColumn="0" w:lastRowFirstColumn="0" w:lastRowLastColumn="0"/>
            </w:pPr>
            <w:r w:rsidRPr="000616D5">
              <w:t xml:space="preserve">9 – Using </w:t>
            </w:r>
            <w:r>
              <w:t>Aboriginal and/or Torres Strait Islander</w:t>
            </w:r>
            <w:r w:rsidRPr="000616D5">
              <w:t>’ approach to health</w:t>
            </w:r>
          </w:p>
          <w:p w14:paraId="46840C05" w14:textId="77777777" w:rsidR="008A1451" w:rsidRPr="000616D5" w:rsidRDefault="008A1451" w:rsidP="00627C1D">
            <w:pPr>
              <w:pStyle w:val="TableText"/>
              <w:cnfStyle w:val="000000010000" w:firstRow="0" w:lastRow="0" w:firstColumn="0" w:lastColumn="0" w:oddVBand="0" w:evenVBand="0" w:oddHBand="0" w:evenHBand="1" w:firstRowFirstColumn="0" w:firstRowLastColumn="0" w:lastRowFirstColumn="0" w:lastRowLastColumn="0"/>
            </w:pPr>
            <w:r w:rsidRPr="000616D5">
              <w:t>13 – Flexibility to meet local and unique needs</w:t>
            </w:r>
          </w:p>
          <w:p w14:paraId="52CE07A3" w14:textId="77777777" w:rsidR="008A1451" w:rsidRPr="000616D5" w:rsidRDefault="008A1451" w:rsidP="00627C1D">
            <w:pPr>
              <w:pStyle w:val="TableText"/>
              <w:cnfStyle w:val="000000010000" w:firstRow="0" w:lastRow="0" w:firstColumn="0" w:lastColumn="0" w:oddVBand="0" w:evenVBand="0" w:oddHBand="0" w:evenHBand="1" w:firstRowFirstColumn="0" w:firstRowLastColumn="0" w:lastRowFirstColumn="0" w:lastRowLastColumn="0"/>
            </w:pPr>
            <w:r w:rsidRPr="000616D5">
              <w:t>14 – Outcome-based reporting and KPIs</w:t>
            </w:r>
          </w:p>
          <w:p w14:paraId="4507E0AA" w14:textId="77777777" w:rsidR="008A1451" w:rsidRPr="000616D5" w:rsidRDefault="008A1451" w:rsidP="00627C1D">
            <w:pPr>
              <w:pStyle w:val="TableText"/>
              <w:cnfStyle w:val="000000010000" w:firstRow="0" w:lastRow="0" w:firstColumn="0" w:lastColumn="0" w:oddVBand="0" w:evenVBand="0" w:oddHBand="0" w:evenHBand="1" w:firstRowFirstColumn="0" w:firstRowLastColumn="0" w:lastRowFirstColumn="0" w:lastRowLastColumn="0"/>
            </w:pPr>
            <w:r w:rsidRPr="000616D5">
              <w:t>15 – Consolidated, streamlined reporting</w:t>
            </w:r>
          </w:p>
          <w:p w14:paraId="5A42BB8A" w14:textId="77777777" w:rsidR="008A1451" w:rsidRPr="000616D5" w:rsidRDefault="008A1451" w:rsidP="00627C1D">
            <w:pPr>
              <w:pStyle w:val="TableText"/>
              <w:cnfStyle w:val="000000010000" w:firstRow="0" w:lastRow="0" w:firstColumn="0" w:lastColumn="0" w:oddVBand="0" w:evenVBand="0" w:oddHBand="0" w:evenHBand="1" w:firstRowFirstColumn="0" w:firstRowLastColumn="0" w:lastRowFirstColumn="0" w:lastRowLastColumn="0"/>
            </w:pPr>
            <w:r w:rsidRPr="000616D5">
              <w:t>16 – Transparent reporting</w:t>
            </w:r>
          </w:p>
        </w:tc>
      </w:tr>
      <w:tr w:rsidR="007B6DD1" w:rsidRPr="00B65F7F" w14:paraId="02372859" w14:textId="77777777" w:rsidTr="00DC0B1E">
        <w:trPr>
          <w:cnfStyle w:val="000000100000" w:firstRow="0" w:lastRow="0" w:firstColumn="0" w:lastColumn="0" w:oddVBand="0" w:evenVBand="0" w:oddHBand="1" w:evenHBand="0" w:firstRowFirstColumn="0" w:firstRowLastColumn="0" w:lastRowFirstColumn="0" w:lastRowLastColumn="0"/>
          <w:trHeight w:val="967"/>
        </w:trPr>
        <w:tc>
          <w:tcPr>
            <w:cnfStyle w:val="001000000000" w:firstRow="0" w:lastRow="0" w:firstColumn="1" w:lastColumn="0" w:oddVBand="0" w:evenVBand="0" w:oddHBand="0" w:evenHBand="0" w:firstRowFirstColumn="0" w:firstRowLastColumn="0" w:lastRowFirstColumn="0" w:lastRowLastColumn="0"/>
            <w:tcW w:w="1410" w:type="dxa"/>
            <w:vMerge w:val="restart"/>
            <w:hideMark/>
          </w:tcPr>
          <w:p w14:paraId="181A5D6A" w14:textId="77777777" w:rsidR="007B6DD1" w:rsidRPr="00B65F7F" w:rsidRDefault="007B6DD1" w:rsidP="005949E7">
            <w:pPr>
              <w:pStyle w:val="TableText"/>
              <w:pageBreakBefore/>
            </w:pPr>
            <w:r w:rsidRPr="00B65F7F">
              <w:t>Service sector strengthening</w:t>
            </w:r>
          </w:p>
        </w:tc>
        <w:tc>
          <w:tcPr>
            <w:tcW w:w="1984" w:type="dxa"/>
            <w:hideMark/>
          </w:tcPr>
          <w:p w14:paraId="467E7B15" w14:textId="77777777" w:rsidR="007B6DD1" w:rsidRPr="00B65F7F" w:rsidRDefault="007B6DD1" w:rsidP="00627C1D">
            <w:pPr>
              <w:pStyle w:val="TableText"/>
              <w:cnfStyle w:val="000000100000" w:firstRow="0" w:lastRow="0" w:firstColumn="0" w:lastColumn="0" w:oddVBand="0" w:evenVBand="0" w:oddHBand="1" w:evenHBand="0" w:firstRowFirstColumn="0" w:firstRowLastColumn="0" w:lastRowFirstColumn="0" w:lastRowLastColumn="0"/>
            </w:pPr>
            <w:r w:rsidRPr="00B65F7F">
              <w:t>Building service workforce capacity and capability</w:t>
            </w:r>
          </w:p>
        </w:tc>
        <w:tc>
          <w:tcPr>
            <w:tcW w:w="2313" w:type="dxa"/>
            <w:hideMark/>
          </w:tcPr>
          <w:p w14:paraId="7D44AAB8" w14:textId="77777777" w:rsidR="007B6DD1" w:rsidRPr="00B65F7F" w:rsidRDefault="007B6DD1" w:rsidP="00627C1D">
            <w:pPr>
              <w:pStyle w:val="TableText"/>
              <w:cnfStyle w:val="000000100000" w:firstRow="0" w:lastRow="0" w:firstColumn="0" w:lastColumn="0" w:oddVBand="0" w:evenVBand="0" w:oddHBand="1" w:evenHBand="0" w:firstRowFirstColumn="0" w:firstRowLastColumn="0" w:lastRowFirstColumn="0" w:lastRowLastColumn="0"/>
            </w:pPr>
            <w:r>
              <w:t>Aboriginal and/or Torres Strait Islander</w:t>
            </w:r>
            <w:r w:rsidRPr="00B65F7F">
              <w:t xml:space="preserve"> funding body at a state/territory or regional level</w:t>
            </w:r>
          </w:p>
        </w:tc>
        <w:tc>
          <w:tcPr>
            <w:tcW w:w="1843" w:type="dxa"/>
            <w:hideMark/>
          </w:tcPr>
          <w:p w14:paraId="4E5649BB" w14:textId="77777777" w:rsidR="007B6DD1" w:rsidRPr="00B65F7F" w:rsidRDefault="007B6DD1" w:rsidP="00627C1D">
            <w:pPr>
              <w:pStyle w:val="TableText"/>
              <w:cnfStyle w:val="000000100000" w:firstRow="0" w:lastRow="0" w:firstColumn="0" w:lastColumn="0" w:oddVBand="0" w:evenVBand="0" w:oddHBand="1" w:evenHBand="0" w:firstRowFirstColumn="0" w:firstRowLastColumn="0" w:lastRowFirstColumn="0" w:lastRowLastColumn="0"/>
            </w:pPr>
            <w:r w:rsidRPr="00B65F7F">
              <w:t>NACCHO and/or state/territory affiliate</w:t>
            </w:r>
          </w:p>
        </w:tc>
        <w:tc>
          <w:tcPr>
            <w:tcW w:w="1701" w:type="dxa"/>
          </w:tcPr>
          <w:p w14:paraId="5F57728F" w14:textId="77777777" w:rsidR="007B6DD1" w:rsidRPr="00B65F7F" w:rsidRDefault="007B6DD1" w:rsidP="00627C1D">
            <w:pPr>
              <w:pStyle w:val="TableText"/>
              <w:cnfStyle w:val="000000100000" w:firstRow="0" w:lastRow="0" w:firstColumn="0" w:lastColumn="0" w:oddVBand="0" w:evenVBand="0" w:oddHBand="1" w:evenHBand="0" w:firstRowFirstColumn="0" w:firstRowLastColumn="0" w:lastRowFirstColumn="0" w:lastRowLastColumn="0"/>
            </w:pPr>
            <w:r>
              <w:t>NACCHO</w:t>
            </w:r>
          </w:p>
        </w:tc>
        <w:tc>
          <w:tcPr>
            <w:tcW w:w="4820" w:type="dxa"/>
            <w:vMerge w:val="restart"/>
            <w:hideMark/>
          </w:tcPr>
          <w:p w14:paraId="38D2B9CE"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B65F7F">
              <w:t xml:space="preserve">1 – </w:t>
            </w:r>
            <w:r>
              <w:t>Aboriginal and/or Torres Strait Islander</w:t>
            </w:r>
            <w:r w:rsidRPr="00B65F7F">
              <w:t xml:space="preserve"> communities lead the process</w:t>
            </w:r>
          </w:p>
          <w:p w14:paraId="072EF638"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bookmarkStart w:id="326" w:name="_Hlk152073453"/>
            <w:r w:rsidRPr="00B65F7F">
              <w:t>5 – A true understanding and use of partnerships/co-design</w:t>
            </w:r>
          </w:p>
          <w:p w14:paraId="2FA888C7"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B65F7F">
              <w:t xml:space="preserve">9 – Using </w:t>
            </w:r>
            <w:r>
              <w:t>Aboriginal and/or Torres Strait Islander</w:t>
            </w:r>
            <w:r w:rsidRPr="00B65F7F">
              <w:t>’ approach to health</w:t>
            </w:r>
          </w:p>
          <w:p w14:paraId="6F940A3D"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B65F7F">
              <w:t>11 – Fair and transparent funding decisions</w:t>
            </w:r>
          </w:p>
          <w:p w14:paraId="1D59BF19"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B65F7F">
              <w:t>12 – Inclusive funding processes</w:t>
            </w:r>
          </w:p>
          <w:p w14:paraId="1704DC01"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B65F7F">
              <w:t>13 – Flexibility to meet local and unique needs</w:t>
            </w:r>
          </w:p>
          <w:p w14:paraId="3078D580"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B65F7F">
              <w:t xml:space="preserve">17 – Support for the broader </w:t>
            </w:r>
            <w:r>
              <w:t>Aboriginal and/or Torres Strait Islander</w:t>
            </w:r>
            <w:r w:rsidRPr="00B65F7F">
              <w:t xml:space="preserve"> workforce</w:t>
            </w:r>
          </w:p>
          <w:p w14:paraId="26A35FC0"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bookmarkStart w:id="327" w:name="_Hlk152073490"/>
            <w:bookmarkEnd w:id="326"/>
            <w:r w:rsidRPr="00B65F7F">
              <w:t>18 – Interagency and jurisdictional collaboration</w:t>
            </w:r>
          </w:p>
          <w:p w14:paraId="649D10D4"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B65F7F">
              <w:t>19 – Enhance the non-Indigenous service sector with cultural safety</w:t>
            </w:r>
          </w:p>
          <w:p w14:paraId="789B8B2D" w14:textId="77777777" w:rsidR="00531FD2"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B65F7F">
              <w:t>20 – Service coordination</w:t>
            </w:r>
            <w:bookmarkEnd w:id="327"/>
          </w:p>
        </w:tc>
      </w:tr>
      <w:tr w:rsidR="007B6DD1" w:rsidRPr="00B65F7F" w14:paraId="6884DA03" w14:textId="77777777" w:rsidTr="00DC0B1E">
        <w:trPr>
          <w:cnfStyle w:val="000000010000" w:firstRow="0" w:lastRow="0" w:firstColumn="0" w:lastColumn="0" w:oddVBand="0" w:evenVBand="0" w:oddHBand="0" w:evenHBand="1" w:firstRowFirstColumn="0" w:firstRowLastColumn="0" w:lastRowFirstColumn="0" w:lastRowLastColumn="0"/>
          <w:trHeight w:val="642"/>
        </w:trPr>
        <w:tc>
          <w:tcPr>
            <w:cnfStyle w:val="001000000000" w:firstRow="0" w:lastRow="0" w:firstColumn="1" w:lastColumn="0" w:oddVBand="0" w:evenVBand="0" w:oddHBand="0" w:evenHBand="0" w:firstRowFirstColumn="0" w:firstRowLastColumn="0" w:lastRowFirstColumn="0" w:lastRowLastColumn="0"/>
            <w:tcW w:w="1410" w:type="dxa"/>
            <w:vMerge/>
            <w:hideMark/>
          </w:tcPr>
          <w:p w14:paraId="1913A07F" w14:textId="77777777" w:rsidR="007B6DD1" w:rsidRPr="00B65F7F" w:rsidRDefault="007B6DD1" w:rsidP="00627C1D">
            <w:pPr>
              <w:pStyle w:val="TableText"/>
            </w:pPr>
          </w:p>
        </w:tc>
        <w:tc>
          <w:tcPr>
            <w:tcW w:w="1984" w:type="dxa"/>
            <w:hideMark/>
          </w:tcPr>
          <w:p w14:paraId="2100EA87" w14:textId="77777777" w:rsidR="007B6DD1" w:rsidRPr="00B65F7F" w:rsidRDefault="007B6DD1" w:rsidP="00627C1D">
            <w:pPr>
              <w:pStyle w:val="TableText"/>
              <w:cnfStyle w:val="000000010000" w:firstRow="0" w:lastRow="0" w:firstColumn="0" w:lastColumn="0" w:oddVBand="0" w:evenVBand="0" w:oddHBand="0" w:evenHBand="1" w:firstRowFirstColumn="0" w:firstRowLastColumn="0" w:lastRowFirstColumn="0" w:lastRowLastColumn="0"/>
            </w:pPr>
            <w:r w:rsidRPr="00B65F7F">
              <w:t>Building funder capacity and capability</w:t>
            </w:r>
          </w:p>
        </w:tc>
        <w:tc>
          <w:tcPr>
            <w:tcW w:w="2313" w:type="dxa"/>
            <w:hideMark/>
          </w:tcPr>
          <w:p w14:paraId="3B3204FA" w14:textId="77777777" w:rsidR="007B6DD1" w:rsidRPr="00B65F7F" w:rsidRDefault="00946235" w:rsidP="00627C1D">
            <w:pPr>
              <w:pStyle w:val="TableText"/>
              <w:cnfStyle w:val="000000010000" w:firstRow="0" w:lastRow="0" w:firstColumn="0" w:lastColumn="0" w:oddVBand="0" w:evenVBand="0" w:oddHBand="0" w:evenHBand="1" w:firstRowFirstColumn="0" w:firstRowLastColumn="0" w:lastRowFirstColumn="0" w:lastRowLastColumn="0"/>
            </w:pPr>
            <w:r>
              <w:t>DoHAC</w:t>
            </w:r>
          </w:p>
        </w:tc>
        <w:tc>
          <w:tcPr>
            <w:tcW w:w="1843" w:type="dxa"/>
            <w:hideMark/>
          </w:tcPr>
          <w:p w14:paraId="08F5ACB0" w14:textId="77777777" w:rsidR="007B6DD1" w:rsidRPr="00B65F7F" w:rsidRDefault="007B6DD1" w:rsidP="00627C1D">
            <w:pPr>
              <w:pStyle w:val="TableText"/>
              <w:cnfStyle w:val="000000010000" w:firstRow="0" w:lastRow="0" w:firstColumn="0" w:lastColumn="0" w:oddVBand="0" w:evenVBand="0" w:oddHBand="0" w:evenHBand="1" w:firstRowFirstColumn="0" w:firstRowLastColumn="0" w:lastRowFirstColumn="0" w:lastRowLastColumn="0"/>
            </w:pPr>
            <w:r w:rsidRPr="00B65F7F">
              <w:t>N/A (no funding body in model)</w:t>
            </w:r>
          </w:p>
        </w:tc>
        <w:tc>
          <w:tcPr>
            <w:tcW w:w="1701" w:type="dxa"/>
          </w:tcPr>
          <w:p w14:paraId="53EE8273" w14:textId="77777777" w:rsidR="007B6DD1" w:rsidRPr="00B65F7F" w:rsidRDefault="00946235" w:rsidP="00627C1D">
            <w:pPr>
              <w:pStyle w:val="TableText"/>
              <w:cnfStyle w:val="000000010000" w:firstRow="0" w:lastRow="0" w:firstColumn="0" w:lastColumn="0" w:oddVBand="0" w:evenVBand="0" w:oddHBand="0" w:evenHBand="1" w:firstRowFirstColumn="0" w:firstRowLastColumn="0" w:lastRowFirstColumn="0" w:lastRowLastColumn="0"/>
            </w:pPr>
            <w:r>
              <w:t>DoHAC</w:t>
            </w:r>
          </w:p>
        </w:tc>
        <w:tc>
          <w:tcPr>
            <w:tcW w:w="4820" w:type="dxa"/>
            <w:vMerge/>
            <w:hideMark/>
          </w:tcPr>
          <w:p w14:paraId="000F5D8F" w14:textId="77777777" w:rsidR="007B6DD1" w:rsidRPr="00B65F7F" w:rsidRDefault="007B6DD1" w:rsidP="00627C1D">
            <w:pPr>
              <w:pStyle w:val="TableText"/>
              <w:cnfStyle w:val="000000010000" w:firstRow="0" w:lastRow="0" w:firstColumn="0" w:lastColumn="0" w:oddVBand="0" w:evenVBand="0" w:oddHBand="0" w:evenHBand="1" w:firstRowFirstColumn="0" w:firstRowLastColumn="0" w:lastRowFirstColumn="0" w:lastRowLastColumn="0"/>
            </w:pPr>
          </w:p>
        </w:tc>
      </w:tr>
      <w:tr w:rsidR="007B6DD1" w:rsidRPr="00B65F7F" w14:paraId="5EF9AE29" w14:textId="77777777" w:rsidTr="00DC0B1E">
        <w:trPr>
          <w:cnfStyle w:val="000000100000" w:firstRow="0" w:lastRow="0" w:firstColumn="0" w:lastColumn="0" w:oddVBand="0" w:evenVBand="0" w:oddHBand="1" w:evenHBand="0" w:firstRowFirstColumn="0" w:firstRowLastColumn="0" w:lastRowFirstColumn="0" w:lastRowLastColumn="0"/>
          <w:trHeight w:val="722"/>
        </w:trPr>
        <w:tc>
          <w:tcPr>
            <w:cnfStyle w:val="001000000000" w:firstRow="0" w:lastRow="0" w:firstColumn="1" w:lastColumn="0" w:oddVBand="0" w:evenVBand="0" w:oddHBand="0" w:evenHBand="0" w:firstRowFirstColumn="0" w:firstRowLastColumn="0" w:lastRowFirstColumn="0" w:lastRowLastColumn="0"/>
            <w:tcW w:w="1410" w:type="dxa"/>
            <w:vMerge/>
            <w:hideMark/>
          </w:tcPr>
          <w:p w14:paraId="4BACA598" w14:textId="77777777" w:rsidR="007B6DD1" w:rsidRPr="00B65F7F" w:rsidRDefault="007B6DD1" w:rsidP="00627C1D">
            <w:pPr>
              <w:pStyle w:val="TableText"/>
            </w:pPr>
          </w:p>
        </w:tc>
        <w:tc>
          <w:tcPr>
            <w:tcW w:w="1984" w:type="dxa"/>
            <w:hideMark/>
          </w:tcPr>
          <w:p w14:paraId="39598D0A" w14:textId="77777777" w:rsidR="007B6DD1" w:rsidRPr="00B65F7F" w:rsidRDefault="007B6DD1" w:rsidP="00627C1D">
            <w:pPr>
              <w:pStyle w:val="TableText"/>
              <w:cnfStyle w:val="000000100000" w:firstRow="0" w:lastRow="0" w:firstColumn="0" w:lastColumn="0" w:oddVBand="0" w:evenVBand="0" w:oddHBand="1" w:evenHBand="0" w:firstRowFirstColumn="0" w:firstRowLastColumn="0" w:lastRowFirstColumn="0" w:lastRowLastColumn="0"/>
            </w:pPr>
            <w:r w:rsidRPr="00B65F7F">
              <w:t>Building and strengthening governance mechanisms</w:t>
            </w:r>
          </w:p>
        </w:tc>
        <w:tc>
          <w:tcPr>
            <w:tcW w:w="2313" w:type="dxa"/>
            <w:hideMark/>
          </w:tcPr>
          <w:p w14:paraId="3B8483C9" w14:textId="77777777" w:rsidR="007B6DD1" w:rsidRPr="00B65F7F" w:rsidRDefault="00946235" w:rsidP="00627C1D">
            <w:pPr>
              <w:pStyle w:val="TableText"/>
              <w:cnfStyle w:val="000000100000" w:firstRow="0" w:lastRow="0" w:firstColumn="0" w:lastColumn="0" w:oddVBand="0" w:evenVBand="0" w:oddHBand="1" w:evenHBand="0" w:firstRowFirstColumn="0" w:firstRowLastColumn="0" w:lastRowFirstColumn="0" w:lastRowLastColumn="0"/>
            </w:pPr>
            <w:r>
              <w:t>DoHAC</w:t>
            </w:r>
          </w:p>
        </w:tc>
        <w:tc>
          <w:tcPr>
            <w:tcW w:w="1843" w:type="dxa"/>
            <w:hideMark/>
          </w:tcPr>
          <w:p w14:paraId="65C096FA" w14:textId="77777777" w:rsidR="007B6DD1" w:rsidRPr="00B65F7F" w:rsidRDefault="007B6DD1" w:rsidP="00627C1D">
            <w:pPr>
              <w:pStyle w:val="TableText"/>
              <w:cnfStyle w:val="000000100000" w:firstRow="0" w:lastRow="0" w:firstColumn="0" w:lastColumn="0" w:oddVBand="0" w:evenVBand="0" w:oddHBand="1" w:evenHBand="0" w:firstRowFirstColumn="0" w:firstRowLastColumn="0" w:lastRowFirstColumn="0" w:lastRowLastColumn="0"/>
            </w:pPr>
            <w:r w:rsidRPr="00B65F7F">
              <w:t>NACCHO and/or state/territory affiliate </w:t>
            </w:r>
          </w:p>
        </w:tc>
        <w:tc>
          <w:tcPr>
            <w:tcW w:w="1701" w:type="dxa"/>
          </w:tcPr>
          <w:p w14:paraId="286CD04F" w14:textId="77777777" w:rsidR="007B6DD1" w:rsidRPr="00B65F7F" w:rsidRDefault="007B6DD1" w:rsidP="00627C1D">
            <w:pPr>
              <w:pStyle w:val="TableText"/>
              <w:cnfStyle w:val="000000100000" w:firstRow="0" w:lastRow="0" w:firstColumn="0" w:lastColumn="0" w:oddVBand="0" w:evenVBand="0" w:oddHBand="1" w:evenHBand="0" w:firstRowFirstColumn="0" w:firstRowLastColumn="0" w:lastRowFirstColumn="0" w:lastRowLastColumn="0"/>
            </w:pPr>
            <w:r>
              <w:t>NACCHO</w:t>
            </w:r>
          </w:p>
        </w:tc>
        <w:tc>
          <w:tcPr>
            <w:tcW w:w="4820" w:type="dxa"/>
            <w:vMerge/>
            <w:hideMark/>
          </w:tcPr>
          <w:p w14:paraId="71803838" w14:textId="77777777" w:rsidR="007B6DD1" w:rsidRPr="00B65F7F" w:rsidRDefault="007B6DD1" w:rsidP="00627C1D">
            <w:pPr>
              <w:pStyle w:val="TableText"/>
              <w:cnfStyle w:val="000000100000" w:firstRow="0" w:lastRow="0" w:firstColumn="0" w:lastColumn="0" w:oddVBand="0" w:evenVBand="0" w:oddHBand="1" w:evenHBand="0" w:firstRowFirstColumn="0" w:firstRowLastColumn="0" w:lastRowFirstColumn="0" w:lastRowLastColumn="0"/>
            </w:pPr>
          </w:p>
        </w:tc>
      </w:tr>
      <w:tr w:rsidR="005949E7" w:rsidRPr="00B65F7F" w14:paraId="1A3B3804" w14:textId="77777777" w:rsidTr="009C7EE4">
        <w:trPr>
          <w:cnfStyle w:val="000000010000" w:firstRow="0" w:lastRow="0" w:firstColumn="0" w:lastColumn="0" w:oddVBand="0" w:evenVBand="0" w:oddHBand="0" w:evenHBand="1" w:firstRowFirstColumn="0" w:firstRowLastColumn="0" w:lastRowFirstColumn="0" w:lastRowLastColumn="0"/>
          <w:trHeight w:val="1027"/>
        </w:trPr>
        <w:tc>
          <w:tcPr>
            <w:cnfStyle w:val="001000000000" w:firstRow="0" w:lastRow="0" w:firstColumn="1" w:lastColumn="0" w:oddVBand="0" w:evenVBand="0" w:oddHBand="0" w:evenHBand="0" w:firstRowFirstColumn="0" w:firstRowLastColumn="0" w:lastRowFirstColumn="0" w:lastRowLastColumn="0"/>
            <w:tcW w:w="1410" w:type="dxa"/>
            <w:vMerge/>
            <w:hideMark/>
          </w:tcPr>
          <w:p w14:paraId="2B9B3170" w14:textId="77777777" w:rsidR="005949E7" w:rsidRPr="00B65F7F" w:rsidRDefault="005949E7" w:rsidP="00627C1D">
            <w:pPr>
              <w:pStyle w:val="TableText"/>
            </w:pPr>
          </w:p>
        </w:tc>
        <w:tc>
          <w:tcPr>
            <w:tcW w:w="1984" w:type="dxa"/>
            <w:hideMark/>
          </w:tcPr>
          <w:p w14:paraId="7BC467A8" w14:textId="77777777" w:rsidR="005949E7" w:rsidRPr="00B65F7F" w:rsidRDefault="005949E7" w:rsidP="00627C1D">
            <w:pPr>
              <w:pStyle w:val="TableText"/>
              <w:cnfStyle w:val="000000010000" w:firstRow="0" w:lastRow="0" w:firstColumn="0" w:lastColumn="0" w:oddVBand="0" w:evenVBand="0" w:oddHBand="0" w:evenHBand="1" w:firstRowFirstColumn="0" w:firstRowLastColumn="0" w:lastRowFirstColumn="0" w:lastRowLastColumn="0"/>
            </w:pPr>
            <w:r w:rsidRPr="00B65F7F">
              <w:t>Enhancing the cultural safety of non-Indigenous service providers</w:t>
            </w:r>
          </w:p>
        </w:tc>
        <w:tc>
          <w:tcPr>
            <w:tcW w:w="2313" w:type="dxa"/>
            <w:hideMark/>
          </w:tcPr>
          <w:p w14:paraId="38C98D4B" w14:textId="77777777" w:rsidR="005949E7" w:rsidRPr="00B65F7F" w:rsidRDefault="005949E7" w:rsidP="00627C1D">
            <w:pPr>
              <w:pStyle w:val="TableText"/>
              <w:cnfStyle w:val="000000010000" w:firstRow="0" w:lastRow="0" w:firstColumn="0" w:lastColumn="0" w:oddVBand="0" w:evenVBand="0" w:oddHBand="0" w:evenHBand="1" w:firstRowFirstColumn="0" w:firstRowLastColumn="0" w:lastRowFirstColumn="0" w:lastRowLastColumn="0"/>
            </w:pPr>
            <w:r>
              <w:t>Aboriginal and/or Torres Strait Islander</w:t>
            </w:r>
            <w:r w:rsidRPr="00B65F7F">
              <w:t xml:space="preserve"> funding body at a state/territory or regional level</w:t>
            </w:r>
          </w:p>
        </w:tc>
        <w:tc>
          <w:tcPr>
            <w:tcW w:w="1843" w:type="dxa"/>
            <w:hideMark/>
          </w:tcPr>
          <w:p w14:paraId="273E5A6D" w14:textId="77777777" w:rsidR="005949E7" w:rsidRPr="00B65F7F" w:rsidRDefault="005949E7" w:rsidP="00627C1D">
            <w:pPr>
              <w:pStyle w:val="TableText"/>
              <w:cnfStyle w:val="000000010000" w:firstRow="0" w:lastRow="0" w:firstColumn="0" w:lastColumn="0" w:oddVBand="0" w:evenVBand="0" w:oddHBand="0" w:evenHBand="1" w:firstRowFirstColumn="0" w:firstRowLastColumn="0" w:lastRowFirstColumn="0" w:lastRowLastColumn="0"/>
            </w:pPr>
            <w:r w:rsidRPr="00B65F7F">
              <w:t>NACCHO and/or state/territory affiliate </w:t>
            </w:r>
          </w:p>
        </w:tc>
        <w:tc>
          <w:tcPr>
            <w:tcW w:w="1701" w:type="dxa"/>
          </w:tcPr>
          <w:p w14:paraId="1E1FDBD2" w14:textId="29E5085A" w:rsidR="005949E7" w:rsidRPr="00B65F7F" w:rsidRDefault="005949E7" w:rsidP="00627C1D">
            <w:pPr>
              <w:pStyle w:val="TableText"/>
              <w:cnfStyle w:val="000000010000" w:firstRow="0" w:lastRow="0" w:firstColumn="0" w:lastColumn="0" w:oddVBand="0" w:evenVBand="0" w:oddHBand="0" w:evenHBand="1" w:firstRowFirstColumn="0" w:firstRowLastColumn="0" w:lastRowFirstColumn="0" w:lastRowLastColumn="0"/>
            </w:pPr>
            <w:r>
              <w:t>NACCHO</w:t>
            </w:r>
          </w:p>
        </w:tc>
        <w:tc>
          <w:tcPr>
            <w:tcW w:w="4820" w:type="dxa"/>
            <w:vMerge/>
            <w:hideMark/>
          </w:tcPr>
          <w:p w14:paraId="4740C10F" w14:textId="77777777" w:rsidR="005949E7" w:rsidRPr="00B65F7F" w:rsidRDefault="005949E7" w:rsidP="00627C1D">
            <w:pPr>
              <w:pStyle w:val="TableText"/>
              <w:cnfStyle w:val="000000010000" w:firstRow="0" w:lastRow="0" w:firstColumn="0" w:lastColumn="0" w:oddVBand="0" w:evenVBand="0" w:oddHBand="0" w:evenHBand="1" w:firstRowFirstColumn="0" w:firstRowLastColumn="0" w:lastRowFirstColumn="0" w:lastRowLastColumn="0"/>
            </w:pPr>
          </w:p>
        </w:tc>
      </w:tr>
      <w:tr w:rsidR="002B2FD8" w:rsidRPr="00B65F7F" w14:paraId="52E2CCD1" w14:textId="77777777" w:rsidTr="00DC0B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0" w:type="dxa"/>
            <w:vMerge w:val="restart"/>
            <w:hideMark/>
          </w:tcPr>
          <w:p w14:paraId="5A8E4A62" w14:textId="77777777" w:rsidR="002B2FD8" w:rsidRPr="00B65F7F" w:rsidRDefault="002B2FD8" w:rsidP="00627C1D">
            <w:pPr>
              <w:pStyle w:val="TableText"/>
            </w:pPr>
            <w:r w:rsidRPr="00B65F7F">
              <w:t>Other considerations and activities</w:t>
            </w:r>
            <w:r w:rsidRPr="00B65F7F">
              <w:rPr>
                <w:rFonts w:ascii="Arial" w:hAnsi="Arial" w:cs="Arial"/>
              </w:rPr>
              <w:t> </w:t>
            </w:r>
          </w:p>
        </w:tc>
        <w:tc>
          <w:tcPr>
            <w:tcW w:w="1984" w:type="dxa"/>
            <w:hideMark/>
          </w:tcPr>
          <w:p w14:paraId="1FC870FD" w14:textId="77777777" w:rsidR="002B2FD8" w:rsidRPr="00B65F7F" w:rsidRDefault="002B2FD8" w:rsidP="00627C1D">
            <w:pPr>
              <w:pStyle w:val="TableText"/>
              <w:cnfStyle w:val="000000100000" w:firstRow="0" w:lastRow="0" w:firstColumn="0" w:lastColumn="0" w:oddVBand="0" w:evenVBand="0" w:oddHBand="1" w:evenHBand="0" w:firstRowFirstColumn="0" w:firstRowLastColumn="0" w:lastRowFirstColumn="0" w:lastRowLastColumn="0"/>
            </w:pPr>
            <w:r w:rsidRPr="00B65F7F">
              <w:t>Working with the non-Indigenous sector to ensure choice.</w:t>
            </w:r>
          </w:p>
        </w:tc>
        <w:tc>
          <w:tcPr>
            <w:tcW w:w="2313" w:type="dxa"/>
            <w:hideMark/>
          </w:tcPr>
          <w:p w14:paraId="67A35627" w14:textId="77777777" w:rsidR="002B2FD8" w:rsidRPr="00B65F7F" w:rsidRDefault="002B2FD8" w:rsidP="00627C1D">
            <w:pPr>
              <w:pStyle w:val="TableText"/>
              <w:cnfStyle w:val="000000100000" w:firstRow="0" w:lastRow="0" w:firstColumn="0" w:lastColumn="0" w:oddVBand="0" w:evenVBand="0" w:oddHBand="1" w:evenHBand="0" w:firstRowFirstColumn="0" w:firstRowLastColumn="0" w:lastRowFirstColumn="0" w:lastRowLastColumn="0"/>
            </w:pPr>
            <w:r>
              <w:t>Aboriginal and/or Torres Strait Islander</w:t>
            </w:r>
            <w:r w:rsidRPr="00B65F7F">
              <w:t xml:space="preserve"> funding body at a state/territory or regional level</w:t>
            </w:r>
          </w:p>
        </w:tc>
        <w:tc>
          <w:tcPr>
            <w:tcW w:w="1843" w:type="dxa"/>
            <w:hideMark/>
          </w:tcPr>
          <w:p w14:paraId="002CF183" w14:textId="77777777" w:rsidR="002B2FD8" w:rsidRPr="00B65F7F" w:rsidRDefault="00946235" w:rsidP="00627C1D">
            <w:pPr>
              <w:pStyle w:val="TableText"/>
              <w:cnfStyle w:val="000000100000" w:firstRow="0" w:lastRow="0" w:firstColumn="0" w:lastColumn="0" w:oddVBand="0" w:evenVBand="0" w:oddHBand="1" w:evenHBand="0" w:firstRowFirstColumn="0" w:firstRowLastColumn="0" w:lastRowFirstColumn="0" w:lastRowLastColumn="0"/>
            </w:pPr>
            <w:r>
              <w:t>DoHAC</w:t>
            </w:r>
          </w:p>
        </w:tc>
        <w:tc>
          <w:tcPr>
            <w:tcW w:w="1701" w:type="dxa"/>
          </w:tcPr>
          <w:p w14:paraId="5739CBD0" w14:textId="77777777" w:rsidR="002B2FD8" w:rsidRPr="00B65F7F" w:rsidRDefault="007B6DD1" w:rsidP="00627C1D">
            <w:pPr>
              <w:pStyle w:val="TableText"/>
              <w:cnfStyle w:val="000000100000" w:firstRow="0" w:lastRow="0" w:firstColumn="0" w:lastColumn="0" w:oddVBand="0" w:evenVBand="0" w:oddHBand="1" w:evenHBand="0" w:firstRowFirstColumn="0" w:firstRowLastColumn="0" w:lastRowFirstColumn="0" w:lastRowLastColumn="0"/>
            </w:pPr>
            <w:r>
              <w:t>NACCHO</w:t>
            </w:r>
          </w:p>
        </w:tc>
        <w:tc>
          <w:tcPr>
            <w:tcW w:w="4820" w:type="dxa"/>
            <w:vMerge w:val="restart"/>
            <w:hideMark/>
          </w:tcPr>
          <w:p w14:paraId="5F4CBE42"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B65F7F">
              <w:t xml:space="preserve">1 – </w:t>
            </w:r>
            <w:r>
              <w:t>Aboriginal and/or Torres Strait Islander</w:t>
            </w:r>
            <w:r w:rsidRPr="00B65F7F">
              <w:t xml:space="preserve"> communities lead the process</w:t>
            </w:r>
          </w:p>
          <w:p w14:paraId="1E2BCE15"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bookmarkStart w:id="328" w:name="_Hlk152073553"/>
            <w:r w:rsidRPr="00B65F7F">
              <w:t>7 – Universal coverage with no geographical gaps</w:t>
            </w:r>
          </w:p>
          <w:p w14:paraId="118DC8E2"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B65F7F">
              <w:t>13 – F</w:t>
            </w:r>
            <w:bookmarkEnd w:id="328"/>
            <w:r w:rsidRPr="00B65F7F">
              <w:t>lexibility to meet local and unique needs</w:t>
            </w:r>
          </w:p>
          <w:p w14:paraId="076043FF"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B65F7F">
              <w:t xml:space="preserve">17 – Support for the broader </w:t>
            </w:r>
            <w:r>
              <w:t>Aboriginal and/or Torres Strait Islander</w:t>
            </w:r>
            <w:r w:rsidRPr="00B65F7F">
              <w:t xml:space="preserve"> workforce</w:t>
            </w:r>
          </w:p>
          <w:p w14:paraId="131D4277"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B65F7F">
              <w:t>19 – Enhance the non-Indigenous service sector with cultural safety</w:t>
            </w:r>
          </w:p>
          <w:p w14:paraId="648B84E1" w14:textId="77777777" w:rsidR="008A1451"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r w:rsidRPr="00B65F7F">
              <w:t>20 – Service coordination</w:t>
            </w:r>
          </w:p>
          <w:p w14:paraId="577587AD" w14:textId="77777777" w:rsidR="00531FD2" w:rsidRPr="00B65F7F" w:rsidRDefault="008A1451" w:rsidP="00627C1D">
            <w:pPr>
              <w:pStyle w:val="TableText"/>
              <w:cnfStyle w:val="000000100000" w:firstRow="0" w:lastRow="0" w:firstColumn="0" w:lastColumn="0" w:oddVBand="0" w:evenVBand="0" w:oddHBand="1" w:evenHBand="0" w:firstRowFirstColumn="0" w:firstRowLastColumn="0" w:lastRowFirstColumn="0" w:lastRowLastColumn="0"/>
            </w:pPr>
            <w:bookmarkStart w:id="329" w:name="_Hlk152073502"/>
            <w:r w:rsidRPr="00B65F7F">
              <w:t>21 – No wrong door policy</w:t>
            </w:r>
            <w:bookmarkEnd w:id="329"/>
          </w:p>
        </w:tc>
      </w:tr>
      <w:tr w:rsidR="002B2FD8" w:rsidRPr="00B65F7F" w14:paraId="1E48A8CA" w14:textId="77777777" w:rsidTr="00DC0B1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0" w:type="dxa"/>
            <w:vMerge/>
            <w:hideMark/>
          </w:tcPr>
          <w:p w14:paraId="61D84704" w14:textId="77777777" w:rsidR="002B2FD8" w:rsidRPr="00B65F7F" w:rsidRDefault="002B2FD8" w:rsidP="006F6DD1">
            <w:pPr>
              <w:snapToGrid w:val="0"/>
            </w:pPr>
          </w:p>
        </w:tc>
        <w:tc>
          <w:tcPr>
            <w:tcW w:w="1984" w:type="dxa"/>
            <w:hideMark/>
          </w:tcPr>
          <w:p w14:paraId="41293D2B" w14:textId="77777777" w:rsidR="002B2FD8" w:rsidRPr="00B65F7F" w:rsidRDefault="002B2FD8" w:rsidP="00627C1D">
            <w:pPr>
              <w:pStyle w:val="TableText"/>
              <w:cnfStyle w:val="000000010000" w:firstRow="0" w:lastRow="0" w:firstColumn="0" w:lastColumn="0" w:oddVBand="0" w:evenVBand="0" w:oddHBand="0" w:evenHBand="1" w:firstRowFirstColumn="0" w:firstRowLastColumn="0" w:lastRowFirstColumn="0" w:lastRowLastColumn="0"/>
            </w:pPr>
            <w:r w:rsidRPr="00B65F7F">
              <w:t>Working with the non-Indigenous sector to ensure universal access </w:t>
            </w:r>
          </w:p>
        </w:tc>
        <w:tc>
          <w:tcPr>
            <w:tcW w:w="2313" w:type="dxa"/>
            <w:hideMark/>
          </w:tcPr>
          <w:p w14:paraId="661C76DB" w14:textId="77777777" w:rsidR="002B2FD8" w:rsidRPr="00B65F7F" w:rsidRDefault="002B2FD8" w:rsidP="00627C1D">
            <w:pPr>
              <w:pStyle w:val="TableText"/>
              <w:cnfStyle w:val="000000010000" w:firstRow="0" w:lastRow="0" w:firstColumn="0" w:lastColumn="0" w:oddVBand="0" w:evenVBand="0" w:oddHBand="0" w:evenHBand="1" w:firstRowFirstColumn="0" w:firstRowLastColumn="0" w:lastRowFirstColumn="0" w:lastRowLastColumn="0"/>
            </w:pPr>
            <w:r>
              <w:t>Aboriginal and/or Torres Strait Islander</w:t>
            </w:r>
            <w:r w:rsidRPr="00B65F7F">
              <w:t xml:space="preserve"> funding body at a state/territory or regional level</w:t>
            </w:r>
          </w:p>
        </w:tc>
        <w:tc>
          <w:tcPr>
            <w:tcW w:w="1843" w:type="dxa"/>
            <w:hideMark/>
          </w:tcPr>
          <w:p w14:paraId="6D08A066" w14:textId="77777777" w:rsidR="002B2FD8" w:rsidRPr="00B65F7F" w:rsidRDefault="00946235" w:rsidP="00627C1D">
            <w:pPr>
              <w:pStyle w:val="TableText"/>
              <w:cnfStyle w:val="000000010000" w:firstRow="0" w:lastRow="0" w:firstColumn="0" w:lastColumn="0" w:oddVBand="0" w:evenVBand="0" w:oddHBand="0" w:evenHBand="1" w:firstRowFirstColumn="0" w:firstRowLastColumn="0" w:lastRowFirstColumn="0" w:lastRowLastColumn="0"/>
            </w:pPr>
            <w:r>
              <w:t>DoHAC</w:t>
            </w:r>
          </w:p>
        </w:tc>
        <w:tc>
          <w:tcPr>
            <w:tcW w:w="1701" w:type="dxa"/>
          </w:tcPr>
          <w:p w14:paraId="7EFE5805" w14:textId="77777777" w:rsidR="002B2FD8" w:rsidRPr="00B65F7F" w:rsidRDefault="007B6DD1" w:rsidP="00627C1D">
            <w:pPr>
              <w:pStyle w:val="TableText"/>
              <w:cnfStyle w:val="000000010000" w:firstRow="0" w:lastRow="0" w:firstColumn="0" w:lastColumn="0" w:oddVBand="0" w:evenVBand="0" w:oddHBand="0" w:evenHBand="1" w:firstRowFirstColumn="0" w:firstRowLastColumn="0" w:lastRowFirstColumn="0" w:lastRowLastColumn="0"/>
            </w:pPr>
            <w:r>
              <w:t>NACCHO</w:t>
            </w:r>
          </w:p>
        </w:tc>
        <w:tc>
          <w:tcPr>
            <w:tcW w:w="4820" w:type="dxa"/>
            <w:vMerge/>
            <w:hideMark/>
          </w:tcPr>
          <w:p w14:paraId="7E83B877" w14:textId="77777777" w:rsidR="002B2FD8" w:rsidRPr="00B65F7F" w:rsidRDefault="002B2FD8" w:rsidP="006F6DD1">
            <w:pPr>
              <w:snapToGrid w:val="0"/>
              <w:cnfStyle w:val="000000010000" w:firstRow="0" w:lastRow="0" w:firstColumn="0" w:lastColumn="0" w:oddVBand="0" w:evenVBand="0" w:oddHBand="0" w:evenHBand="1" w:firstRowFirstColumn="0" w:firstRowLastColumn="0" w:lastRowFirstColumn="0" w:lastRowLastColumn="0"/>
            </w:pPr>
          </w:p>
        </w:tc>
      </w:tr>
    </w:tbl>
    <w:p w14:paraId="64801516" w14:textId="77777777" w:rsidR="0048421D" w:rsidRPr="00B65F7F" w:rsidRDefault="0048421D" w:rsidP="0048421D">
      <w:pPr>
        <w:spacing w:line="276" w:lineRule="auto"/>
        <w:rPr>
          <w:rFonts w:ascii="Calibri" w:hAnsi="Calibri" w:cs="Calibri"/>
          <w:sz w:val="22"/>
          <w:szCs w:val="22"/>
        </w:rPr>
        <w:sectPr w:rsidR="0048421D" w:rsidRPr="00B65F7F" w:rsidSect="002B05C0">
          <w:headerReference w:type="default" r:id="rId108"/>
          <w:footerReference w:type="default" r:id="rId109"/>
          <w:pgSz w:w="16840" w:h="11907" w:orient="landscape" w:code="9"/>
          <w:pgMar w:top="1134" w:right="1440" w:bottom="1440" w:left="1440" w:header="720" w:footer="720" w:gutter="0"/>
          <w:cols w:space="720"/>
        </w:sectPr>
      </w:pPr>
    </w:p>
    <w:p w14:paraId="20B5E6AE" w14:textId="69DFFA2D" w:rsidR="000372FE" w:rsidRPr="00B65F7F" w:rsidRDefault="000372FE" w:rsidP="001611E1">
      <w:pPr>
        <w:pStyle w:val="Heading1App"/>
      </w:pPr>
      <w:bookmarkStart w:id="330" w:name="App7_notitle"/>
      <w:bookmarkStart w:id="331" w:name="App7"/>
      <w:bookmarkStart w:id="332" w:name="_Toc156932018"/>
      <w:r w:rsidRPr="00B65F7F">
        <w:t xml:space="preserve">Appendix </w:t>
      </w:r>
      <w:r>
        <w:t>7</w:t>
      </w:r>
      <w:bookmarkEnd w:id="330"/>
      <w:r w:rsidR="006C172C">
        <w:t xml:space="preserve"> –</w:t>
      </w:r>
      <w:r w:rsidRPr="00B65F7F">
        <w:t xml:space="preserve"> </w:t>
      </w:r>
      <w:bookmarkStart w:id="333" w:name="Appendix7"/>
      <w:r w:rsidRPr="00B65F7F">
        <w:t>Details about potential roles and responsibilities</w:t>
      </w:r>
      <w:bookmarkEnd w:id="331"/>
      <w:bookmarkEnd w:id="332"/>
      <w:bookmarkEnd w:id="333"/>
    </w:p>
    <w:p w14:paraId="7D5F5415" w14:textId="48B7836F" w:rsidR="000372FE" w:rsidRPr="00B82A3A" w:rsidRDefault="00E418BB" w:rsidP="00176938">
      <w:pPr>
        <w:pStyle w:val="BodyText"/>
      </w:pPr>
      <w:r>
        <w:fldChar w:fldCharType="begin"/>
      </w:r>
      <w:r>
        <w:instrText xml:space="preserve"> REF _Ref152003647 \h  \* MERGEFORMAT </w:instrText>
      </w:r>
      <w:r>
        <w:fldChar w:fldCharType="separate"/>
      </w:r>
      <w:r w:rsidR="00934D5E">
        <w:t>Table A7.1</w:t>
      </w:r>
      <w:r>
        <w:fldChar w:fldCharType="end"/>
      </w:r>
      <w:r>
        <w:t xml:space="preserve"> </w:t>
      </w:r>
      <w:r w:rsidR="000372FE" w:rsidRPr="00B82A3A">
        <w:t>shows the potential future roles and responsibilities of key stakeholders for each of the future-state funding arrangements. The future roles and responsibilities have been developed through the research undertaken and present</w:t>
      </w:r>
      <w:r w:rsidR="000372FE" w:rsidRPr="002643B1">
        <w:t xml:space="preserve">ed in </w:t>
      </w:r>
      <w:r w:rsidR="0081556E">
        <w:t xml:space="preserve">Appendix 4, section </w:t>
      </w:r>
      <w:r w:rsidR="000372FE" w:rsidRPr="002643B1">
        <w:fldChar w:fldCharType="begin"/>
      </w:r>
      <w:r w:rsidR="000372FE" w:rsidRPr="002643B1">
        <w:instrText xml:space="preserve"> REF Approaches21 \h  \* MERGEFORMAT </w:instrText>
      </w:r>
      <w:r w:rsidR="000372FE" w:rsidRPr="002643B1">
        <w:fldChar w:fldCharType="separate"/>
      </w:r>
      <w:r w:rsidR="00934D5E" w:rsidRPr="00B65F7F">
        <w:t>Approaches to purchasing and funding health and social services</w:t>
      </w:r>
      <w:r w:rsidR="000372FE" w:rsidRPr="002643B1">
        <w:fldChar w:fldCharType="end"/>
      </w:r>
      <w:r w:rsidR="000372FE" w:rsidRPr="002643B1">
        <w:t xml:space="preserve"> and detailed in the context of </w:t>
      </w:r>
      <w:r w:rsidR="007B6DD1" w:rsidRPr="002643B1">
        <w:t>recommended future-state funding</w:t>
      </w:r>
      <w:r w:rsidR="000372FE" w:rsidRPr="002643B1">
        <w:t xml:space="preserve"> arrangements in </w:t>
      </w:r>
      <w:r w:rsidR="0081556E">
        <w:fldChar w:fldCharType="begin"/>
      </w:r>
      <w:r w:rsidR="0081556E">
        <w:instrText xml:space="preserve"> REF Chapter3_withtitle \r \h </w:instrText>
      </w:r>
      <w:r w:rsidR="0081556E">
        <w:fldChar w:fldCharType="separate"/>
      </w:r>
      <w:r w:rsidR="00934D5E">
        <w:t>Chapter 3</w:t>
      </w:r>
      <w:r w:rsidR="0081556E">
        <w:fldChar w:fldCharType="end"/>
      </w:r>
      <w:r w:rsidR="000372FE" w:rsidRPr="00B82A3A">
        <w:t xml:space="preserve">. </w:t>
      </w:r>
    </w:p>
    <w:p w14:paraId="4D29B6A5" w14:textId="77777777" w:rsidR="000372FE" w:rsidRPr="00B65F7F" w:rsidRDefault="000372FE" w:rsidP="00176938">
      <w:pPr>
        <w:pStyle w:val="BodyText"/>
      </w:pPr>
      <w:r w:rsidRPr="00B65F7F">
        <w:t xml:space="preserve">The purpose of identifying these roles and responsibilities is to add some clarity about the contribution of key stakeholders in delivering on the preferred funding arrangements. These have been identified as ‘lead’ and ‘support’ roles for each arrangement. </w:t>
      </w:r>
    </w:p>
    <w:p w14:paraId="5450ABEF" w14:textId="77777777" w:rsidR="000372FE" w:rsidRPr="00B65F7F" w:rsidRDefault="000372FE" w:rsidP="00176938">
      <w:pPr>
        <w:pStyle w:val="ListBullet2"/>
      </w:pPr>
      <w:r w:rsidRPr="00B65F7F">
        <w:rPr>
          <w:b/>
          <w:bCs/>
        </w:rPr>
        <w:t>Lead</w:t>
      </w:r>
      <w:r w:rsidRPr="00B65F7F">
        <w:t>: The organisation/s that may</w:t>
      </w:r>
      <w:r>
        <w:t xml:space="preserve"> lead</w:t>
      </w:r>
      <w:r w:rsidRPr="00B65F7F">
        <w:t xml:space="preserve"> the activity</w:t>
      </w:r>
    </w:p>
    <w:p w14:paraId="35E0E16B" w14:textId="77777777" w:rsidR="000372FE" w:rsidRPr="00B65F7F" w:rsidRDefault="000372FE" w:rsidP="00176938">
      <w:pPr>
        <w:pStyle w:val="ListBullet2"/>
      </w:pPr>
      <w:r w:rsidRPr="00B65F7F">
        <w:rPr>
          <w:b/>
          <w:bCs/>
        </w:rPr>
        <w:t>Support</w:t>
      </w:r>
      <w:r w:rsidRPr="00B65F7F">
        <w:t>: Organisations that may support the activity</w:t>
      </w:r>
    </w:p>
    <w:p w14:paraId="0F348770" w14:textId="77777777" w:rsidR="000372FE" w:rsidRPr="00176938" w:rsidRDefault="000372FE" w:rsidP="00176938">
      <w:pPr>
        <w:pStyle w:val="BodyText1stparaafterlist"/>
        <w:rPr>
          <w:b/>
          <w:bCs/>
        </w:rPr>
      </w:pPr>
      <w:r w:rsidRPr="00176938">
        <w:rPr>
          <w:b/>
          <w:bCs/>
        </w:rPr>
        <w:t xml:space="preserve">Note: </w:t>
      </w:r>
    </w:p>
    <w:p w14:paraId="6D3C84B0" w14:textId="77777777" w:rsidR="000372FE" w:rsidRPr="0045569D" w:rsidRDefault="000372FE" w:rsidP="00176938">
      <w:pPr>
        <w:pStyle w:val="ListBullet2"/>
      </w:pPr>
      <w:r w:rsidRPr="00B65F7F">
        <w:t>The following table is indicative only and the exact activities that each organisation would play should be self-determined as outli</w:t>
      </w:r>
      <w:r w:rsidRPr="0045569D">
        <w:t xml:space="preserve">ned in </w:t>
      </w:r>
      <w:r>
        <w:t>Chapter 6</w:t>
      </w:r>
      <w:r w:rsidRPr="0045569D">
        <w:t>.</w:t>
      </w:r>
    </w:p>
    <w:p w14:paraId="45BB4C33" w14:textId="77777777" w:rsidR="000372FE" w:rsidRPr="00B65F7F" w:rsidRDefault="000372FE" w:rsidP="00176938">
      <w:pPr>
        <w:pStyle w:val="ListBullet2"/>
      </w:pPr>
      <w:r w:rsidRPr="00B65F7F">
        <w:t>The table does not identify the roles and responsibilities that form part of an organisation’s current and usual business, and which would assist in delivering on the arrangement. For example, NACCHO and state/territory affiliates would continue to play a significant role in increasing the capacity of the community-controlled sector (in arrangements A1 and A2). It is not proposed that this changes; rather, such a role should continue and work to support the realisation of the preferred funding arrangements.</w:t>
      </w:r>
    </w:p>
    <w:p w14:paraId="3D670889" w14:textId="77777777" w:rsidR="000372FE" w:rsidRDefault="000372FE" w:rsidP="00292E56">
      <w:pPr>
        <w:pStyle w:val="BodyText"/>
      </w:pPr>
      <w:bookmarkStart w:id="334" w:name="_Ref145252091"/>
      <w:r>
        <w:br w:type="page"/>
      </w:r>
    </w:p>
    <w:p w14:paraId="26EB34B4" w14:textId="1FBEDD64" w:rsidR="000372FE" w:rsidRPr="00B65F7F" w:rsidRDefault="00063887" w:rsidP="00063887">
      <w:pPr>
        <w:pStyle w:val="CaptionTable"/>
        <w:rPr>
          <w:rFonts w:eastAsia="Arial"/>
        </w:rPr>
      </w:pPr>
      <w:bookmarkStart w:id="335" w:name="_Ref152003647"/>
      <w:bookmarkStart w:id="336" w:name="_Toc145604982"/>
      <w:bookmarkStart w:id="337" w:name="_Toc145617854"/>
      <w:bookmarkStart w:id="338" w:name="_Toc156932092"/>
      <w:bookmarkEnd w:id="334"/>
      <w:r>
        <w:t>Table A7.</w:t>
      </w:r>
      <w:r>
        <w:fldChar w:fldCharType="begin"/>
      </w:r>
      <w:r>
        <w:instrText xml:space="preserve"> SEQ Table_A7 \* ARABIC </w:instrText>
      </w:r>
      <w:r>
        <w:fldChar w:fldCharType="separate"/>
      </w:r>
      <w:r w:rsidR="00934D5E">
        <w:rPr>
          <w:noProof/>
        </w:rPr>
        <w:t>1</w:t>
      </w:r>
      <w:r>
        <w:fldChar w:fldCharType="end"/>
      </w:r>
      <w:bookmarkEnd w:id="335"/>
      <w:r w:rsidR="000372FE">
        <w:t>: Potential future roles and responsibilities of key stakeholders</w:t>
      </w:r>
      <w:bookmarkEnd w:id="336"/>
      <w:bookmarkEnd w:id="337"/>
      <w:bookmarkEnd w:id="338"/>
    </w:p>
    <w:tbl>
      <w:tblPr>
        <w:tblW w:w="5000" w:type="pct"/>
        <w:tblCellMar>
          <w:left w:w="0" w:type="dxa"/>
          <w:right w:w="0" w:type="dxa"/>
        </w:tblCellMar>
        <w:tblLook w:val="0420" w:firstRow="1" w:lastRow="0" w:firstColumn="0" w:lastColumn="0" w:noHBand="0" w:noVBand="1"/>
      </w:tblPr>
      <w:tblGrid>
        <w:gridCol w:w="13960"/>
      </w:tblGrid>
      <w:tr w:rsidR="000372FE" w:rsidRPr="00B65F7F" w14:paraId="520795EE" w14:textId="77777777" w:rsidTr="00461B0B">
        <w:trPr>
          <w:trHeight w:val="1568"/>
        </w:trPr>
        <w:tc>
          <w:tcPr>
            <w:tcW w:w="5000" w:type="pct"/>
            <w:shd w:val="clear" w:color="auto" w:fill="auto"/>
            <w:tcMar>
              <w:top w:w="72" w:type="dxa"/>
              <w:left w:w="144" w:type="dxa"/>
              <w:bottom w:w="72" w:type="dxa"/>
              <w:right w:w="144" w:type="dxa"/>
            </w:tcMar>
            <w:vAlign w:val="bottom"/>
          </w:tcPr>
          <w:p w14:paraId="28519F2E" w14:textId="77777777" w:rsidR="000372FE" w:rsidRPr="00A12F34" w:rsidRDefault="000372FE" w:rsidP="00176938">
            <w:pPr>
              <w:pStyle w:val="TableText"/>
              <w:rPr>
                <w:b/>
                <w:bCs/>
              </w:rPr>
            </w:pPr>
            <w:r w:rsidRPr="00A12F34">
              <w:rPr>
                <w:b/>
                <w:bCs/>
              </w:rPr>
              <w:t>Legend</w:t>
            </w:r>
          </w:p>
          <w:p w14:paraId="5E546D9E" w14:textId="77777777" w:rsidR="000372FE" w:rsidRPr="00A12F34" w:rsidRDefault="00063887" w:rsidP="00176938">
            <w:pPr>
              <w:pStyle w:val="TableText"/>
              <w:rPr>
                <w:sz w:val="18"/>
                <w:szCs w:val="18"/>
              </w:rPr>
            </w:pPr>
            <w:r w:rsidRPr="00A12F34">
              <w:rPr>
                <w:sz w:val="18"/>
                <w:szCs w:val="18"/>
              </w:rPr>
              <w:t>DoHAC</w:t>
            </w:r>
            <w:r w:rsidR="000372FE" w:rsidRPr="00A12F34">
              <w:rPr>
                <w:sz w:val="18"/>
                <w:szCs w:val="18"/>
              </w:rPr>
              <w:t xml:space="preserve"> - </w:t>
            </w:r>
            <w:r w:rsidR="000372FE" w:rsidRPr="00A12F34">
              <w:rPr>
                <w:b/>
                <w:bCs/>
                <w:sz w:val="18"/>
                <w:szCs w:val="18"/>
              </w:rPr>
              <w:t>H</w:t>
            </w:r>
          </w:p>
          <w:p w14:paraId="67FE324B" w14:textId="77777777" w:rsidR="000372FE" w:rsidRPr="00A12F34" w:rsidRDefault="000372FE" w:rsidP="00176938">
            <w:pPr>
              <w:pStyle w:val="TableText"/>
              <w:rPr>
                <w:sz w:val="18"/>
                <w:szCs w:val="18"/>
              </w:rPr>
            </w:pPr>
            <w:r w:rsidRPr="00A12F34">
              <w:rPr>
                <w:sz w:val="18"/>
                <w:szCs w:val="18"/>
              </w:rPr>
              <w:t xml:space="preserve">PHNs - </w:t>
            </w:r>
            <w:r w:rsidRPr="00A12F34">
              <w:rPr>
                <w:b/>
                <w:bCs/>
                <w:sz w:val="18"/>
                <w:szCs w:val="18"/>
              </w:rPr>
              <w:t>P</w:t>
            </w:r>
          </w:p>
          <w:p w14:paraId="1DDC56AB" w14:textId="77777777" w:rsidR="000372FE" w:rsidRPr="00A12F34" w:rsidRDefault="000372FE" w:rsidP="00176938">
            <w:pPr>
              <w:pStyle w:val="TableText"/>
              <w:rPr>
                <w:sz w:val="18"/>
                <w:szCs w:val="18"/>
              </w:rPr>
            </w:pPr>
            <w:r w:rsidRPr="00A12F34">
              <w:rPr>
                <w:sz w:val="18"/>
                <w:szCs w:val="18"/>
              </w:rPr>
              <w:t xml:space="preserve">State/territory or Regional First Nations </w:t>
            </w:r>
            <w:r w:rsidR="00063887" w:rsidRPr="00A12F34">
              <w:rPr>
                <w:sz w:val="18"/>
                <w:szCs w:val="18"/>
              </w:rPr>
              <w:t>f</w:t>
            </w:r>
            <w:r w:rsidRPr="00A12F34">
              <w:rPr>
                <w:sz w:val="18"/>
                <w:szCs w:val="18"/>
              </w:rPr>
              <w:t xml:space="preserve">unding </w:t>
            </w:r>
            <w:r w:rsidR="00063887" w:rsidRPr="00A12F34">
              <w:rPr>
                <w:sz w:val="18"/>
                <w:szCs w:val="18"/>
              </w:rPr>
              <w:t>b</w:t>
            </w:r>
            <w:r w:rsidRPr="00A12F34">
              <w:rPr>
                <w:sz w:val="18"/>
                <w:szCs w:val="18"/>
              </w:rPr>
              <w:t xml:space="preserve">ody - </w:t>
            </w:r>
            <w:r w:rsidRPr="00A12F34">
              <w:rPr>
                <w:b/>
                <w:bCs/>
                <w:sz w:val="18"/>
                <w:szCs w:val="18"/>
              </w:rPr>
              <w:t>F</w:t>
            </w:r>
          </w:p>
          <w:p w14:paraId="28F5956B" w14:textId="77777777" w:rsidR="000372FE" w:rsidRPr="00A12F34" w:rsidRDefault="000372FE" w:rsidP="00176938">
            <w:pPr>
              <w:pStyle w:val="TableText"/>
              <w:rPr>
                <w:sz w:val="18"/>
                <w:szCs w:val="18"/>
              </w:rPr>
            </w:pPr>
            <w:r w:rsidRPr="00A12F34">
              <w:rPr>
                <w:sz w:val="18"/>
                <w:szCs w:val="18"/>
              </w:rPr>
              <w:t xml:space="preserve">Service </w:t>
            </w:r>
            <w:r w:rsidR="00063887" w:rsidRPr="00A12F34">
              <w:rPr>
                <w:sz w:val="18"/>
                <w:szCs w:val="18"/>
              </w:rPr>
              <w:t>p</w:t>
            </w:r>
            <w:r w:rsidRPr="00A12F34">
              <w:rPr>
                <w:sz w:val="18"/>
                <w:szCs w:val="18"/>
              </w:rPr>
              <w:t xml:space="preserve">roviders - ACCOs and other relevant providers - </w:t>
            </w:r>
            <w:r w:rsidRPr="00A12F34">
              <w:rPr>
                <w:b/>
                <w:bCs/>
                <w:sz w:val="18"/>
                <w:szCs w:val="18"/>
              </w:rPr>
              <w:t>S</w:t>
            </w:r>
          </w:p>
          <w:p w14:paraId="707205A8" w14:textId="77777777" w:rsidR="000372FE" w:rsidRPr="00A12F34" w:rsidRDefault="000372FE" w:rsidP="00176938">
            <w:pPr>
              <w:pStyle w:val="TableText"/>
              <w:rPr>
                <w:sz w:val="18"/>
                <w:szCs w:val="18"/>
              </w:rPr>
            </w:pPr>
            <w:r w:rsidRPr="00A12F34">
              <w:rPr>
                <w:sz w:val="18"/>
                <w:szCs w:val="18"/>
              </w:rPr>
              <w:t>NACC</w:t>
            </w:r>
            <w:r w:rsidR="00353973" w:rsidRPr="00A12F34">
              <w:rPr>
                <w:sz w:val="18"/>
                <w:szCs w:val="18"/>
              </w:rPr>
              <w:t>H</w:t>
            </w:r>
            <w:r w:rsidRPr="00A12F34">
              <w:rPr>
                <w:sz w:val="18"/>
                <w:szCs w:val="18"/>
              </w:rPr>
              <w:t xml:space="preserve">O and/or state/territory affiliate - </w:t>
            </w:r>
            <w:r w:rsidRPr="00A12F34">
              <w:rPr>
                <w:b/>
                <w:bCs/>
                <w:sz w:val="18"/>
                <w:szCs w:val="18"/>
              </w:rPr>
              <w:t>N</w:t>
            </w:r>
          </w:p>
          <w:p w14:paraId="614FEB6D" w14:textId="77777777" w:rsidR="000372FE" w:rsidRPr="00B65F7F" w:rsidRDefault="000372FE" w:rsidP="00176938">
            <w:pPr>
              <w:pStyle w:val="TableText"/>
              <w:rPr>
                <w:sz w:val="18"/>
                <w:szCs w:val="18"/>
              </w:rPr>
            </w:pPr>
            <w:r w:rsidRPr="00A12F34">
              <w:rPr>
                <w:sz w:val="18"/>
                <w:szCs w:val="18"/>
              </w:rPr>
              <w:t xml:space="preserve">First Nations communities - </w:t>
            </w:r>
            <w:r w:rsidRPr="00A12F34">
              <w:rPr>
                <w:b/>
                <w:bCs/>
                <w:sz w:val="18"/>
                <w:szCs w:val="18"/>
              </w:rPr>
              <w:t>C</w:t>
            </w:r>
          </w:p>
        </w:tc>
      </w:tr>
    </w:tbl>
    <w:p w14:paraId="080FA36E" w14:textId="77777777" w:rsidR="000372FE" w:rsidRDefault="000372FE" w:rsidP="000372FE"/>
    <w:tbl>
      <w:tblPr>
        <w:tblStyle w:val="Newtableforresport"/>
        <w:tblW w:w="5008" w:type="pct"/>
        <w:tblInd w:w="0" w:type="dxa"/>
        <w:tblLook w:val="0620" w:firstRow="1" w:lastRow="0" w:firstColumn="0" w:lastColumn="0" w:noHBand="1" w:noVBand="1"/>
        <w:tblCaption w:val="Table A7.1: Potential future roles and repsonsibilities of stakeholders"/>
        <w:tblDescription w:val="The table provides information on potential roles and responsibilities of different stakeholders. &#10;&#10;The first column lists funding activities. &#10;&#10;The second column lists sub-activities that come under the primary funding activity. &#10;&#10;The third column describes whether different stakeholders would be in a lead or support role for the activity, depending on the funding arrangement. &#10;&#10;The fourth column describes which stakeholder has the lead or support role under arrangements A1 and A2, and also contains five sub-columns. Each of the five sub-columns describes a different agency with a letter. 'H' stands for the Department of Health and Aged Care. 'P' stands for Primary Health Networks. 'F' stands for state/territory or a regional First Nations funding body. 'S' stands for service providers including ACCOs and other relevant providers. 'C' stands for First Nations communities. Tick symbols have been placed in the applicable sub-columns. For example, where the funding activity is 'understanding community needs and priorities', one of the sub-activities is 'identifying the need/opportunity'. Under this sub-activity, one tick has been placed against 'state/territory or regional First Nations funding body (F)' in the 'lead role' row. Ticks have been placed against 'PHNs (P)','Service providers - ACCOs and other relevant providers (S)' and 'First Nations Communities (C)' in the 'support' row.  &#10;&#10;The fifth column describes which stakeholder has the lead or support role under arrangement B, and contains same five stakeholder sub-columns as column four. &#10;&#10;The sixth column describes which stakeholder has the lead or support role under arrangement C, and contains same five stakeholder sub-columns as columns four and five. "/>
      </w:tblPr>
      <w:tblGrid>
        <w:gridCol w:w="1407"/>
        <w:gridCol w:w="2663"/>
        <w:gridCol w:w="939"/>
        <w:gridCol w:w="606"/>
        <w:gridCol w:w="601"/>
        <w:gridCol w:w="8"/>
        <w:gridCol w:w="592"/>
        <w:gridCol w:w="14"/>
        <w:gridCol w:w="587"/>
        <w:gridCol w:w="20"/>
        <w:gridCol w:w="447"/>
        <w:gridCol w:w="601"/>
        <w:gridCol w:w="7"/>
        <w:gridCol w:w="595"/>
        <w:gridCol w:w="11"/>
        <w:gridCol w:w="590"/>
        <w:gridCol w:w="17"/>
        <w:gridCol w:w="584"/>
        <w:gridCol w:w="22"/>
        <w:gridCol w:w="606"/>
        <w:gridCol w:w="573"/>
        <w:gridCol w:w="34"/>
        <w:gridCol w:w="567"/>
        <w:gridCol w:w="39"/>
        <w:gridCol w:w="562"/>
        <w:gridCol w:w="45"/>
        <w:gridCol w:w="556"/>
        <w:gridCol w:w="50"/>
        <w:gridCol w:w="606"/>
        <w:gridCol w:w="25"/>
      </w:tblGrid>
      <w:tr w:rsidR="002B46E5" w:rsidRPr="00B65F7F" w14:paraId="1D0D40E8" w14:textId="77777777" w:rsidTr="00F820B9">
        <w:trPr>
          <w:cnfStyle w:val="100000000000" w:firstRow="1" w:lastRow="0" w:firstColumn="0" w:lastColumn="0" w:oddVBand="0" w:evenVBand="0" w:oddHBand="0" w:evenHBand="0" w:firstRowFirstColumn="0" w:firstRowLastColumn="0" w:lastRowFirstColumn="0" w:lastRowLastColumn="0"/>
          <w:trHeight w:val="20"/>
          <w:tblHeader/>
        </w:trPr>
        <w:tc>
          <w:tcPr>
            <w:tcW w:w="503" w:type="pct"/>
            <w:vMerge w:val="restart"/>
            <w:tcBorders>
              <w:top w:val="nil"/>
            </w:tcBorders>
            <w:shd w:val="clear" w:color="auto" w:fill="0196A7" w:themeFill="accent3"/>
            <w:vAlign w:val="center"/>
            <w:hideMark/>
          </w:tcPr>
          <w:p w14:paraId="5AFD6FE0" w14:textId="77777777" w:rsidR="002E3163" w:rsidRPr="00951951" w:rsidRDefault="002E3163" w:rsidP="00024E8D">
            <w:pPr>
              <w:pStyle w:val="TableHeading"/>
              <w:rPr>
                <w:b w:val="0"/>
              </w:rPr>
            </w:pPr>
            <w:r w:rsidRPr="00951951">
              <w:t>Funding activity</w:t>
            </w:r>
          </w:p>
        </w:tc>
        <w:tc>
          <w:tcPr>
            <w:tcW w:w="953" w:type="pct"/>
            <w:vMerge w:val="restart"/>
            <w:tcBorders>
              <w:top w:val="nil"/>
            </w:tcBorders>
            <w:shd w:val="clear" w:color="auto" w:fill="0196A7" w:themeFill="accent3"/>
            <w:vAlign w:val="center"/>
            <w:hideMark/>
          </w:tcPr>
          <w:p w14:paraId="47B9D810" w14:textId="77777777" w:rsidR="002E3163" w:rsidRPr="00951951" w:rsidRDefault="002E3163" w:rsidP="00024E8D">
            <w:pPr>
              <w:pStyle w:val="TableHeading"/>
              <w:rPr>
                <w:b w:val="0"/>
              </w:rPr>
            </w:pPr>
            <w:r w:rsidRPr="00951951">
              <w:t>Sub-activities</w:t>
            </w:r>
          </w:p>
        </w:tc>
        <w:tc>
          <w:tcPr>
            <w:tcW w:w="336" w:type="pct"/>
            <w:vMerge w:val="restart"/>
            <w:tcBorders>
              <w:top w:val="nil"/>
              <w:right w:val="single" w:sz="6" w:space="0" w:color="595959" w:themeColor="text1" w:themeTint="A6"/>
            </w:tcBorders>
            <w:shd w:val="clear" w:color="auto" w:fill="0196A7" w:themeFill="accent3"/>
            <w:vAlign w:val="center"/>
            <w:hideMark/>
          </w:tcPr>
          <w:p w14:paraId="3FA2C909" w14:textId="77777777" w:rsidR="002E3163" w:rsidRPr="00951951" w:rsidRDefault="002E3163" w:rsidP="00024E8D">
            <w:pPr>
              <w:pStyle w:val="TableHeading"/>
              <w:rPr>
                <w:b w:val="0"/>
                <w:sz w:val="18"/>
                <w:szCs w:val="18"/>
              </w:rPr>
            </w:pPr>
            <w:r w:rsidRPr="00951951">
              <w:t>Role</w:t>
            </w:r>
          </w:p>
        </w:tc>
        <w:tc>
          <w:tcPr>
            <w:tcW w:w="1029" w:type="pct"/>
            <w:gridSpan w:val="8"/>
            <w:tcBorders>
              <w:top w:val="nil"/>
              <w:left w:val="single" w:sz="6" w:space="0" w:color="595959" w:themeColor="text1" w:themeTint="A6"/>
              <w:bottom w:val="single" w:sz="6" w:space="0" w:color="595959" w:themeColor="text1" w:themeTint="A6"/>
              <w:right w:val="single" w:sz="6" w:space="0" w:color="595959" w:themeColor="text1" w:themeTint="A6"/>
            </w:tcBorders>
            <w:shd w:val="clear" w:color="auto" w:fill="0196A7" w:themeFill="accent3"/>
            <w:hideMark/>
          </w:tcPr>
          <w:p w14:paraId="63073556" w14:textId="77777777" w:rsidR="002E3163" w:rsidRPr="00A12F34" w:rsidRDefault="002E3163" w:rsidP="00176938">
            <w:pPr>
              <w:pStyle w:val="TableHeading"/>
              <w:jc w:val="center"/>
              <w:rPr>
                <w:b w:val="0"/>
                <w:sz w:val="18"/>
                <w:szCs w:val="18"/>
              </w:rPr>
            </w:pPr>
            <w:r w:rsidRPr="00A12F34">
              <w:rPr>
                <w:sz w:val="18"/>
                <w:szCs w:val="18"/>
              </w:rPr>
              <w:t>Arrangement A1 – State/territory</w:t>
            </w:r>
          </w:p>
          <w:p w14:paraId="269600A1" w14:textId="77777777" w:rsidR="002E3163" w:rsidRPr="00A12F34" w:rsidRDefault="002E3163" w:rsidP="00176938">
            <w:pPr>
              <w:pStyle w:val="TableHeading"/>
              <w:jc w:val="center"/>
              <w:rPr>
                <w:b w:val="0"/>
                <w:sz w:val="18"/>
                <w:szCs w:val="18"/>
              </w:rPr>
            </w:pPr>
            <w:r w:rsidRPr="00A12F34">
              <w:rPr>
                <w:sz w:val="18"/>
                <w:szCs w:val="18"/>
              </w:rPr>
              <w:t>Arrangement A2 – Regional model</w:t>
            </w:r>
          </w:p>
        </w:tc>
        <w:tc>
          <w:tcPr>
            <w:tcW w:w="1085" w:type="pct"/>
            <w:gridSpan w:val="9"/>
            <w:tcBorders>
              <w:top w:val="nil"/>
              <w:left w:val="single" w:sz="6" w:space="0" w:color="595959" w:themeColor="text1" w:themeTint="A6"/>
              <w:bottom w:val="single" w:sz="6" w:space="0" w:color="595959" w:themeColor="text1" w:themeTint="A6"/>
            </w:tcBorders>
            <w:shd w:val="clear" w:color="auto" w:fill="0196A7" w:themeFill="accent3"/>
            <w:hideMark/>
          </w:tcPr>
          <w:p w14:paraId="63A2F8E7" w14:textId="77777777" w:rsidR="002E3163" w:rsidRPr="00A12F34" w:rsidRDefault="002E3163" w:rsidP="00176938">
            <w:pPr>
              <w:pStyle w:val="TableHeading"/>
              <w:jc w:val="center"/>
              <w:rPr>
                <w:b w:val="0"/>
                <w:sz w:val="18"/>
                <w:szCs w:val="18"/>
              </w:rPr>
            </w:pPr>
            <w:r w:rsidRPr="00A12F34">
              <w:rPr>
                <w:sz w:val="18"/>
                <w:szCs w:val="18"/>
              </w:rPr>
              <w:t xml:space="preserve">Arrangement B – </w:t>
            </w:r>
            <w:r w:rsidRPr="00A12F34">
              <w:rPr>
                <w:sz w:val="18"/>
                <w:szCs w:val="18"/>
              </w:rPr>
              <w:br/>
              <w:t>Direct model</w:t>
            </w:r>
          </w:p>
        </w:tc>
        <w:tc>
          <w:tcPr>
            <w:tcW w:w="1094" w:type="pct"/>
            <w:gridSpan w:val="10"/>
            <w:tcBorders>
              <w:top w:val="nil"/>
              <w:left w:val="single" w:sz="6" w:space="0" w:color="595959" w:themeColor="text1" w:themeTint="A6"/>
              <w:bottom w:val="single" w:sz="6" w:space="0" w:color="595959" w:themeColor="text1" w:themeTint="A6"/>
              <w:right w:val="single" w:sz="6" w:space="0" w:color="auto"/>
            </w:tcBorders>
            <w:shd w:val="clear" w:color="auto" w:fill="0196A7" w:themeFill="accent3"/>
          </w:tcPr>
          <w:p w14:paraId="7E339CA4" w14:textId="77777777" w:rsidR="002E3163" w:rsidRPr="00A12F34" w:rsidRDefault="002E3163" w:rsidP="00176938">
            <w:pPr>
              <w:pStyle w:val="TableHeading"/>
              <w:jc w:val="center"/>
              <w:rPr>
                <w:sz w:val="18"/>
                <w:szCs w:val="18"/>
              </w:rPr>
            </w:pPr>
            <w:r w:rsidRPr="00A12F34">
              <w:rPr>
                <w:sz w:val="18"/>
                <w:szCs w:val="18"/>
              </w:rPr>
              <w:t>Arrangement </w:t>
            </w:r>
            <w:r w:rsidR="00236956" w:rsidRPr="00A12F34">
              <w:rPr>
                <w:sz w:val="18"/>
                <w:szCs w:val="18"/>
              </w:rPr>
              <w:t>C</w:t>
            </w:r>
            <w:r w:rsidRPr="00A12F34">
              <w:rPr>
                <w:sz w:val="18"/>
                <w:szCs w:val="18"/>
              </w:rPr>
              <w:t xml:space="preserve"> – </w:t>
            </w:r>
            <w:r w:rsidRPr="00A12F34">
              <w:rPr>
                <w:sz w:val="18"/>
                <w:szCs w:val="18"/>
              </w:rPr>
              <w:br/>
              <w:t>National model</w:t>
            </w:r>
          </w:p>
        </w:tc>
      </w:tr>
      <w:tr w:rsidR="00380CE9" w:rsidRPr="00B65F7F" w14:paraId="6FB415A8" w14:textId="77777777" w:rsidTr="00F820B9">
        <w:trPr>
          <w:cnfStyle w:val="100000000000" w:firstRow="1" w:lastRow="0" w:firstColumn="0" w:lastColumn="0" w:oddVBand="0" w:evenVBand="0" w:oddHBand="0" w:evenHBand="0" w:firstRowFirstColumn="0" w:firstRowLastColumn="0" w:lastRowFirstColumn="0" w:lastRowLastColumn="0"/>
          <w:trHeight w:val="20"/>
          <w:tblHeader/>
        </w:trPr>
        <w:tc>
          <w:tcPr>
            <w:tcW w:w="503" w:type="pct"/>
            <w:vMerge/>
            <w:tcBorders>
              <w:bottom w:val="single" w:sz="4" w:space="0" w:color="BFBFBF" w:themeColor="background1" w:themeShade="BF"/>
            </w:tcBorders>
            <w:shd w:val="clear" w:color="auto" w:fill="0196A7" w:themeFill="accent3"/>
            <w:hideMark/>
          </w:tcPr>
          <w:p w14:paraId="207FCB64" w14:textId="77777777" w:rsidR="002E3163" w:rsidRPr="00951951" w:rsidRDefault="002E3163" w:rsidP="002E3163">
            <w:pPr>
              <w:pStyle w:val="TableHeading"/>
              <w:rPr>
                <w:bCs/>
                <w:sz w:val="18"/>
                <w:szCs w:val="18"/>
              </w:rPr>
            </w:pPr>
          </w:p>
        </w:tc>
        <w:tc>
          <w:tcPr>
            <w:tcW w:w="953" w:type="pct"/>
            <w:vMerge/>
            <w:shd w:val="clear" w:color="auto" w:fill="0196A7" w:themeFill="accent3"/>
            <w:hideMark/>
          </w:tcPr>
          <w:p w14:paraId="61AA7D43" w14:textId="77777777" w:rsidR="002E3163" w:rsidRPr="00951951" w:rsidRDefault="002E3163" w:rsidP="002E3163">
            <w:pPr>
              <w:pStyle w:val="TableHeading"/>
              <w:rPr>
                <w:bCs/>
                <w:sz w:val="18"/>
                <w:szCs w:val="18"/>
              </w:rPr>
            </w:pPr>
          </w:p>
        </w:tc>
        <w:tc>
          <w:tcPr>
            <w:tcW w:w="336" w:type="pct"/>
            <w:vMerge/>
            <w:tcBorders>
              <w:right w:val="single" w:sz="6" w:space="0" w:color="595959" w:themeColor="text1" w:themeTint="A6"/>
            </w:tcBorders>
            <w:shd w:val="clear" w:color="auto" w:fill="0196A7" w:themeFill="accent3"/>
            <w:hideMark/>
          </w:tcPr>
          <w:p w14:paraId="64946D8C" w14:textId="77777777" w:rsidR="002E3163" w:rsidRPr="00951951" w:rsidRDefault="002E3163" w:rsidP="002E3163">
            <w:pPr>
              <w:pStyle w:val="TableHeading"/>
              <w:rPr>
                <w:bCs/>
                <w:sz w:val="18"/>
                <w:szCs w:val="18"/>
              </w:rPr>
            </w:pPr>
          </w:p>
        </w:tc>
        <w:tc>
          <w:tcPr>
            <w:tcW w:w="217" w:type="pct"/>
            <w:tcBorders>
              <w:top w:val="single" w:sz="6" w:space="0" w:color="595959" w:themeColor="text1" w:themeTint="A6"/>
              <w:left w:val="single" w:sz="6" w:space="0" w:color="595959" w:themeColor="text1" w:themeTint="A6"/>
              <w:bottom w:val="single" w:sz="4" w:space="0" w:color="BFBFBF" w:themeColor="background1" w:themeShade="BF"/>
              <w:right w:val="single" w:sz="6" w:space="0" w:color="BFBFBF" w:themeColor="background1" w:themeShade="BF"/>
            </w:tcBorders>
            <w:shd w:val="clear" w:color="auto" w:fill="0196A7" w:themeFill="accent3"/>
            <w:hideMark/>
          </w:tcPr>
          <w:p w14:paraId="2D3B7784" w14:textId="77777777" w:rsidR="002E3163" w:rsidRPr="00951951" w:rsidRDefault="002E3163" w:rsidP="00176938">
            <w:pPr>
              <w:pStyle w:val="TableHeading"/>
              <w:jc w:val="center"/>
            </w:pPr>
            <w:r w:rsidRPr="00951951">
              <w:t>H</w:t>
            </w:r>
          </w:p>
        </w:tc>
        <w:tc>
          <w:tcPr>
            <w:tcW w:w="215" w:type="pct"/>
            <w:tcBorders>
              <w:top w:val="single" w:sz="6" w:space="0" w:color="595959" w:themeColor="text1" w:themeTint="A6"/>
              <w:left w:val="single" w:sz="6" w:space="0" w:color="BFBFBF" w:themeColor="background1" w:themeShade="BF"/>
              <w:right w:val="single" w:sz="6" w:space="0" w:color="BFBFBF" w:themeColor="background1" w:themeShade="BF"/>
            </w:tcBorders>
            <w:shd w:val="clear" w:color="auto" w:fill="0196A7" w:themeFill="accent3"/>
            <w:hideMark/>
          </w:tcPr>
          <w:p w14:paraId="5D64CCC2" w14:textId="77777777" w:rsidR="002E3163" w:rsidRPr="00951951" w:rsidRDefault="002E3163" w:rsidP="00176938">
            <w:pPr>
              <w:pStyle w:val="TableHeading"/>
              <w:jc w:val="center"/>
            </w:pPr>
            <w:r w:rsidRPr="00951951">
              <w:t>P</w:t>
            </w:r>
          </w:p>
        </w:tc>
        <w:tc>
          <w:tcPr>
            <w:tcW w:w="215" w:type="pct"/>
            <w:gridSpan w:val="2"/>
            <w:tcBorders>
              <w:top w:val="single" w:sz="6" w:space="0" w:color="595959" w:themeColor="text1" w:themeTint="A6"/>
              <w:left w:val="single" w:sz="6" w:space="0" w:color="BFBFBF" w:themeColor="background1" w:themeShade="BF"/>
              <w:right w:val="single" w:sz="6" w:space="0" w:color="BFBFBF" w:themeColor="background1" w:themeShade="BF"/>
            </w:tcBorders>
            <w:shd w:val="clear" w:color="auto" w:fill="0196A7" w:themeFill="accent3"/>
            <w:hideMark/>
          </w:tcPr>
          <w:p w14:paraId="7F100517" w14:textId="77777777" w:rsidR="002E3163" w:rsidRPr="00951951" w:rsidRDefault="002E3163" w:rsidP="00176938">
            <w:pPr>
              <w:pStyle w:val="TableHeading"/>
              <w:jc w:val="center"/>
            </w:pPr>
            <w:r w:rsidRPr="00951951">
              <w:t>F</w:t>
            </w:r>
          </w:p>
        </w:tc>
        <w:tc>
          <w:tcPr>
            <w:tcW w:w="215" w:type="pct"/>
            <w:gridSpan w:val="2"/>
            <w:tcBorders>
              <w:top w:val="single" w:sz="6" w:space="0" w:color="595959" w:themeColor="text1" w:themeTint="A6"/>
              <w:left w:val="single" w:sz="6" w:space="0" w:color="BFBFBF" w:themeColor="background1" w:themeShade="BF"/>
              <w:right w:val="single" w:sz="6" w:space="0" w:color="BFBFBF" w:themeColor="background1" w:themeShade="BF"/>
            </w:tcBorders>
            <w:shd w:val="clear" w:color="auto" w:fill="0196A7" w:themeFill="accent3"/>
            <w:hideMark/>
          </w:tcPr>
          <w:p w14:paraId="24A042A9" w14:textId="77777777" w:rsidR="002E3163" w:rsidRPr="00951951" w:rsidRDefault="002E3163" w:rsidP="00176938">
            <w:pPr>
              <w:pStyle w:val="TableHeading"/>
              <w:jc w:val="center"/>
            </w:pPr>
            <w:r w:rsidRPr="00951951">
              <w:t>S</w:t>
            </w:r>
          </w:p>
        </w:tc>
        <w:tc>
          <w:tcPr>
            <w:tcW w:w="167" w:type="pct"/>
            <w:gridSpan w:val="2"/>
            <w:tcBorders>
              <w:top w:val="single" w:sz="6" w:space="0" w:color="595959" w:themeColor="text1" w:themeTint="A6"/>
              <w:left w:val="single" w:sz="6" w:space="0" w:color="BFBFBF" w:themeColor="background1" w:themeShade="BF"/>
              <w:right w:val="single" w:sz="6" w:space="0" w:color="595959" w:themeColor="text1" w:themeTint="A6"/>
            </w:tcBorders>
            <w:shd w:val="clear" w:color="auto" w:fill="0196A7" w:themeFill="accent3"/>
            <w:hideMark/>
          </w:tcPr>
          <w:p w14:paraId="332A1840" w14:textId="77777777" w:rsidR="002E3163" w:rsidRPr="00951951" w:rsidRDefault="002E3163" w:rsidP="00176938">
            <w:pPr>
              <w:pStyle w:val="TableHeading"/>
              <w:jc w:val="center"/>
            </w:pPr>
            <w:r w:rsidRPr="00951951">
              <w:t>C</w:t>
            </w:r>
          </w:p>
        </w:tc>
        <w:tc>
          <w:tcPr>
            <w:tcW w:w="215" w:type="pct"/>
            <w:tcBorders>
              <w:top w:val="single" w:sz="6" w:space="0" w:color="595959" w:themeColor="text1" w:themeTint="A6"/>
              <w:left w:val="single" w:sz="6" w:space="0" w:color="595959" w:themeColor="text1" w:themeTint="A6"/>
              <w:bottom w:val="single" w:sz="4" w:space="0" w:color="BFBFBF" w:themeColor="background1" w:themeShade="BF"/>
            </w:tcBorders>
            <w:shd w:val="clear" w:color="auto" w:fill="0196A7" w:themeFill="accent3"/>
            <w:hideMark/>
          </w:tcPr>
          <w:p w14:paraId="70F11455" w14:textId="77777777" w:rsidR="002E3163" w:rsidRPr="00951951" w:rsidRDefault="002E3163" w:rsidP="00176938">
            <w:pPr>
              <w:pStyle w:val="TableHeading"/>
              <w:jc w:val="center"/>
            </w:pPr>
            <w:r w:rsidRPr="00951951">
              <w:t>H</w:t>
            </w:r>
          </w:p>
        </w:tc>
        <w:tc>
          <w:tcPr>
            <w:tcW w:w="215" w:type="pct"/>
            <w:gridSpan w:val="2"/>
            <w:tcBorders>
              <w:top w:val="single" w:sz="6" w:space="0" w:color="595959" w:themeColor="text1" w:themeTint="A6"/>
              <w:bottom w:val="single" w:sz="4" w:space="0" w:color="BFBFBF" w:themeColor="background1" w:themeShade="BF"/>
            </w:tcBorders>
            <w:shd w:val="clear" w:color="auto" w:fill="0196A7" w:themeFill="accent3"/>
            <w:hideMark/>
          </w:tcPr>
          <w:p w14:paraId="6BA5ECD9" w14:textId="77777777" w:rsidR="002E3163" w:rsidRPr="00951951" w:rsidRDefault="002E3163" w:rsidP="00176938">
            <w:pPr>
              <w:pStyle w:val="TableHeading"/>
              <w:jc w:val="center"/>
            </w:pPr>
            <w:r w:rsidRPr="00951951">
              <w:t>P</w:t>
            </w:r>
          </w:p>
        </w:tc>
        <w:tc>
          <w:tcPr>
            <w:tcW w:w="215" w:type="pct"/>
            <w:gridSpan w:val="2"/>
            <w:tcBorders>
              <w:top w:val="single" w:sz="6" w:space="0" w:color="595959" w:themeColor="text1" w:themeTint="A6"/>
              <w:bottom w:val="single" w:sz="4" w:space="0" w:color="BFBFBF" w:themeColor="background1" w:themeShade="BF"/>
            </w:tcBorders>
            <w:shd w:val="clear" w:color="auto" w:fill="0196A7" w:themeFill="accent3"/>
            <w:hideMark/>
          </w:tcPr>
          <w:p w14:paraId="577C374B" w14:textId="77777777" w:rsidR="002E3163" w:rsidRPr="00951951" w:rsidRDefault="002E3163" w:rsidP="00176938">
            <w:pPr>
              <w:pStyle w:val="TableHeading"/>
              <w:jc w:val="center"/>
            </w:pPr>
            <w:r w:rsidRPr="00951951">
              <w:t>N</w:t>
            </w:r>
          </w:p>
        </w:tc>
        <w:tc>
          <w:tcPr>
            <w:tcW w:w="215" w:type="pct"/>
            <w:gridSpan w:val="2"/>
            <w:tcBorders>
              <w:top w:val="single" w:sz="6" w:space="0" w:color="595959" w:themeColor="text1" w:themeTint="A6"/>
              <w:bottom w:val="single" w:sz="4" w:space="0" w:color="BFBFBF" w:themeColor="background1" w:themeShade="BF"/>
            </w:tcBorders>
            <w:shd w:val="clear" w:color="auto" w:fill="0196A7" w:themeFill="accent3"/>
            <w:hideMark/>
          </w:tcPr>
          <w:p w14:paraId="536218D4" w14:textId="77777777" w:rsidR="002E3163" w:rsidRPr="00951951" w:rsidRDefault="002E3163" w:rsidP="00176938">
            <w:pPr>
              <w:pStyle w:val="TableHeading"/>
              <w:jc w:val="center"/>
            </w:pPr>
            <w:r w:rsidRPr="00951951">
              <w:t>S</w:t>
            </w:r>
          </w:p>
        </w:tc>
        <w:tc>
          <w:tcPr>
            <w:tcW w:w="225" w:type="pct"/>
            <w:gridSpan w:val="2"/>
            <w:tcBorders>
              <w:top w:val="single" w:sz="6" w:space="0" w:color="595959" w:themeColor="text1" w:themeTint="A6"/>
              <w:bottom w:val="single" w:sz="4" w:space="0" w:color="BFBFBF" w:themeColor="background1" w:themeShade="BF"/>
              <w:right w:val="single" w:sz="6" w:space="0" w:color="595959" w:themeColor="text1" w:themeTint="A6"/>
            </w:tcBorders>
            <w:shd w:val="clear" w:color="auto" w:fill="0196A7" w:themeFill="accent3"/>
            <w:hideMark/>
          </w:tcPr>
          <w:p w14:paraId="755F5C06" w14:textId="77777777" w:rsidR="002E3163" w:rsidRPr="00951951" w:rsidRDefault="002E3163" w:rsidP="00176938">
            <w:pPr>
              <w:pStyle w:val="TableHeading"/>
              <w:jc w:val="center"/>
            </w:pPr>
            <w:r w:rsidRPr="00951951">
              <w:t>C</w:t>
            </w:r>
          </w:p>
        </w:tc>
        <w:tc>
          <w:tcPr>
            <w:tcW w:w="205" w:type="pct"/>
            <w:tcBorders>
              <w:top w:val="single" w:sz="6" w:space="0" w:color="595959" w:themeColor="text1" w:themeTint="A6"/>
              <w:left w:val="single" w:sz="6" w:space="0" w:color="595959" w:themeColor="text1" w:themeTint="A6"/>
              <w:bottom w:val="single" w:sz="4" w:space="0" w:color="BFBFBF" w:themeColor="background1" w:themeShade="BF"/>
            </w:tcBorders>
            <w:shd w:val="clear" w:color="auto" w:fill="0196A7" w:themeFill="accent3"/>
          </w:tcPr>
          <w:p w14:paraId="665A384E" w14:textId="77777777" w:rsidR="002E3163" w:rsidRPr="00951951" w:rsidRDefault="002E3163" w:rsidP="00176938">
            <w:pPr>
              <w:pStyle w:val="TableHeading"/>
              <w:jc w:val="center"/>
            </w:pPr>
            <w:r w:rsidRPr="00951951">
              <w:t>H</w:t>
            </w:r>
          </w:p>
        </w:tc>
        <w:tc>
          <w:tcPr>
            <w:tcW w:w="215" w:type="pct"/>
            <w:gridSpan w:val="2"/>
            <w:tcBorders>
              <w:top w:val="single" w:sz="6" w:space="0" w:color="595959" w:themeColor="text1" w:themeTint="A6"/>
              <w:bottom w:val="single" w:sz="4" w:space="0" w:color="BFBFBF" w:themeColor="background1" w:themeShade="BF"/>
            </w:tcBorders>
            <w:shd w:val="clear" w:color="auto" w:fill="0196A7" w:themeFill="accent3"/>
          </w:tcPr>
          <w:p w14:paraId="2E2EF85B" w14:textId="77777777" w:rsidR="002E3163" w:rsidRPr="00951951" w:rsidRDefault="002E3163" w:rsidP="00176938">
            <w:pPr>
              <w:pStyle w:val="TableHeading"/>
              <w:jc w:val="center"/>
            </w:pPr>
            <w:r w:rsidRPr="00951951">
              <w:t>P</w:t>
            </w:r>
          </w:p>
        </w:tc>
        <w:tc>
          <w:tcPr>
            <w:tcW w:w="215" w:type="pct"/>
            <w:gridSpan w:val="2"/>
            <w:tcBorders>
              <w:top w:val="single" w:sz="6" w:space="0" w:color="595959" w:themeColor="text1" w:themeTint="A6"/>
              <w:bottom w:val="single" w:sz="4" w:space="0" w:color="BFBFBF" w:themeColor="background1" w:themeShade="BF"/>
            </w:tcBorders>
            <w:shd w:val="clear" w:color="auto" w:fill="0196A7" w:themeFill="accent3"/>
          </w:tcPr>
          <w:p w14:paraId="5AFA83BD" w14:textId="77777777" w:rsidR="002E3163" w:rsidRPr="00951951" w:rsidRDefault="00BC1C3A" w:rsidP="00176938">
            <w:pPr>
              <w:pStyle w:val="TableHeading"/>
              <w:jc w:val="center"/>
            </w:pPr>
            <w:r>
              <w:t>N</w:t>
            </w:r>
          </w:p>
        </w:tc>
        <w:tc>
          <w:tcPr>
            <w:tcW w:w="215" w:type="pct"/>
            <w:gridSpan w:val="2"/>
            <w:tcBorders>
              <w:top w:val="single" w:sz="6" w:space="0" w:color="595959" w:themeColor="text1" w:themeTint="A6"/>
              <w:bottom w:val="single" w:sz="4" w:space="0" w:color="BFBFBF" w:themeColor="background1" w:themeShade="BF"/>
            </w:tcBorders>
            <w:shd w:val="clear" w:color="auto" w:fill="0196A7" w:themeFill="accent3"/>
          </w:tcPr>
          <w:p w14:paraId="579CCAD7" w14:textId="77777777" w:rsidR="002E3163" w:rsidRPr="00951951" w:rsidRDefault="00BC1C3A" w:rsidP="00176938">
            <w:pPr>
              <w:pStyle w:val="TableHeading"/>
              <w:jc w:val="center"/>
            </w:pPr>
            <w:r>
              <w:t>S</w:t>
            </w:r>
          </w:p>
        </w:tc>
        <w:tc>
          <w:tcPr>
            <w:tcW w:w="244" w:type="pct"/>
            <w:gridSpan w:val="3"/>
            <w:tcBorders>
              <w:top w:val="single" w:sz="6" w:space="0" w:color="595959" w:themeColor="text1" w:themeTint="A6"/>
              <w:bottom w:val="single" w:sz="4" w:space="0" w:color="BFBFBF" w:themeColor="background1" w:themeShade="BF"/>
              <w:right w:val="single" w:sz="6" w:space="0" w:color="auto"/>
            </w:tcBorders>
            <w:shd w:val="clear" w:color="auto" w:fill="0196A7" w:themeFill="accent3"/>
          </w:tcPr>
          <w:p w14:paraId="351E8A80" w14:textId="77777777" w:rsidR="002E3163" w:rsidRPr="00951951" w:rsidRDefault="002E3163" w:rsidP="00176938">
            <w:pPr>
              <w:pStyle w:val="TableHeading"/>
              <w:jc w:val="center"/>
            </w:pPr>
            <w:r w:rsidRPr="00951951">
              <w:t>C</w:t>
            </w:r>
          </w:p>
        </w:tc>
      </w:tr>
      <w:tr w:rsidR="00380CE9" w:rsidRPr="00B65F7F" w14:paraId="6FADAD3C" w14:textId="77777777" w:rsidTr="00F820B9">
        <w:trPr>
          <w:gridAfter w:val="1"/>
          <w:wAfter w:w="9" w:type="pct"/>
          <w:trHeight w:val="65"/>
        </w:trPr>
        <w:tc>
          <w:tcPr>
            <w:tcW w:w="503" w:type="pct"/>
            <w:vMerge w:val="restart"/>
            <w:tcBorders>
              <w:top w:val="single" w:sz="4" w:space="0" w:color="BFBFBF" w:themeColor="background1" w:themeShade="BF"/>
              <w:bottom w:val="single" w:sz="6" w:space="0" w:color="595959" w:themeColor="text1" w:themeTint="A6"/>
            </w:tcBorders>
            <w:hideMark/>
          </w:tcPr>
          <w:p w14:paraId="6AAFC0F8" w14:textId="77777777" w:rsidR="00BC1C3A" w:rsidRPr="00B65F7F" w:rsidRDefault="00BC1C3A" w:rsidP="00A12F34">
            <w:pPr>
              <w:pStyle w:val="TableText"/>
            </w:pPr>
            <w:r w:rsidRPr="00B65F7F">
              <w:t>Understanding community needs</w:t>
            </w:r>
            <w:r>
              <w:t xml:space="preserve"> and priorities</w:t>
            </w:r>
            <w:r w:rsidRPr="00B65F7F">
              <w:t xml:space="preserve"> </w:t>
            </w:r>
          </w:p>
        </w:tc>
        <w:tc>
          <w:tcPr>
            <w:tcW w:w="953" w:type="pct"/>
            <w:vMerge w:val="restart"/>
            <w:hideMark/>
          </w:tcPr>
          <w:p w14:paraId="738ADC5B" w14:textId="77777777" w:rsidR="00BC1C3A" w:rsidRPr="00B65F7F" w:rsidRDefault="00BC1C3A" w:rsidP="00A12F34">
            <w:pPr>
              <w:pStyle w:val="TableText"/>
            </w:pPr>
            <w:r w:rsidRPr="00B65F7F">
              <w:t xml:space="preserve">Identifying the need/opportunity </w:t>
            </w:r>
          </w:p>
        </w:tc>
        <w:tc>
          <w:tcPr>
            <w:tcW w:w="336" w:type="pct"/>
            <w:tcBorders>
              <w:right w:val="single" w:sz="6" w:space="0" w:color="595959" w:themeColor="text1" w:themeTint="A6"/>
            </w:tcBorders>
            <w:shd w:val="clear" w:color="auto" w:fill="F2F2F2" w:themeFill="background1" w:themeFillShade="F2"/>
            <w:hideMark/>
          </w:tcPr>
          <w:p w14:paraId="31348F56" w14:textId="77777777" w:rsidR="00BC1C3A" w:rsidRPr="00B65F7F" w:rsidRDefault="00BC1C3A" w:rsidP="00A12F34">
            <w:pPr>
              <w:pStyle w:val="TableText"/>
            </w:pPr>
            <w:r w:rsidRPr="00B65F7F">
              <w:t>Lead</w:t>
            </w:r>
          </w:p>
        </w:tc>
        <w:tc>
          <w:tcPr>
            <w:tcW w:w="217" w:type="pct"/>
            <w:tcBorders>
              <w:top w:val="single" w:sz="4" w:space="0" w:color="BFBFBF" w:themeColor="background1" w:themeShade="BF"/>
              <w:left w:val="single" w:sz="6" w:space="0" w:color="595959" w:themeColor="text1" w:themeTint="A6"/>
              <w:right w:val="single" w:sz="6" w:space="0" w:color="BFBFBF" w:themeColor="background1" w:themeShade="BF"/>
            </w:tcBorders>
            <w:shd w:val="clear" w:color="auto" w:fill="F2F2F2" w:themeFill="background1" w:themeFillShade="F2"/>
            <w:vAlign w:val="center"/>
            <w:hideMark/>
          </w:tcPr>
          <w:p w14:paraId="486BAEE2" w14:textId="77777777" w:rsidR="00BC1C3A" w:rsidRPr="00B65F7F" w:rsidRDefault="00BC1C3A" w:rsidP="00A12F34">
            <w:pPr>
              <w:pStyle w:val="TableText"/>
              <w:jc w:val="center"/>
            </w:pPr>
          </w:p>
        </w:tc>
        <w:tc>
          <w:tcPr>
            <w:tcW w:w="218" w:type="pct"/>
            <w:gridSpan w:val="2"/>
            <w:tcBorders>
              <w:top w:val="single" w:sz="4" w:space="0" w:color="BFBFBF" w:themeColor="background1" w:themeShade="BF"/>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6620E95E" w14:textId="77777777" w:rsidR="00BC1C3A" w:rsidRPr="00B65F7F" w:rsidRDefault="00BC1C3A" w:rsidP="00A12F34">
            <w:pPr>
              <w:pStyle w:val="TableText"/>
              <w:jc w:val="center"/>
            </w:pPr>
          </w:p>
        </w:tc>
        <w:tc>
          <w:tcPr>
            <w:tcW w:w="217" w:type="pct"/>
            <w:gridSpan w:val="2"/>
            <w:tcBorders>
              <w:top w:val="single" w:sz="4" w:space="0" w:color="BFBFBF" w:themeColor="background1" w:themeShade="BF"/>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17A5B01D" w14:textId="77777777" w:rsidR="00BC1C3A" w:rsidRPr="00A12F34" w:rsidRDefault="00BC1C3A" w:rsidP="00A12F34">
            <w:pPr>
              <w:pStyle w:val="TableText"/>
              <w:jc w:val="center"/>
              <w:rPr>
                <w:b/>
                <w:bCs/>
              </w:rPr>
            </w:pPr>
            <w:r w:rsidRPr="00A12F34">
              <w:rPr>
                <w:rFonts w:ascii="Segoe UI Symbol" w:hAnsi="Segoe UI Symbol" w:cs="Segoe UI Symbol"/>
                <w:b/>
                <w:bCs/>
              </w:rPr>
              <w:t>✓</w:t>
            </w:r>
          </w:p>
        </w:tc>
        <w:tc>
          <w:tcPr>
            <w:tcW w:w="217" w:type="pct"/>
            <w:gridSpan w:val="2"/>
            <w:tcBorders>
              <w:top w:val="single" w:sz="4" w:space="0" w:color="BFBFBF" w:themeColor="background1" w:themeShade="BF"/>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4A6210C4" w14:textId="77777777" w:rsidR="00BC1C3A" w:rsidRPr="00B65F7F" w:rsidRDefault="00BC1C3A" w:rsidP="00BC1C3A">
            <w:pPr>
              <w:pStyle w:val="TableText"/>
              <w:jc w:val="center"/>
            </w:pPr>
          </w:p>
        </w:tc>
        <w:tc>
          <w:tcPr>
            <w:tcW w:w="160" w:type="pct"/>
            <w:tcBorders>
              <w:top w:val="single" w:sz="4" w:space="0" w:color="BFBFBF" w:themeColor="background1" w:themeShade="BF"/>
              <w:left w:val="single" w:sz="6" w:space="0" w:color="BFBFBF" w:themeColor="background1" w:themeShade="BF"/>
              <w:right w:val="single" w:sz="6" w:space="0" w:color="595959" w:themeColor="text1" w:themeTint="A6"/>
            </w:tcBorders>
            <w:shd w:val="clear" w:color="auto" w:fill="F2F2F2" w:themeFill="background1" w:themeFillShade="F2"/>
            <w:vAlign w:val="center"/>
            <w:hideMark/>
          </w:tcPr>
          <w:p w14:paraId="2F2A0CF1" w14:textId="77777777" w:rsidR="00BC1C3A" w:rsidRPr="00B65F7F" w:rsidRDefault="00BC1C3A" w:rsidP="00BC1C3A">
            <w:pPr>
              <w:pStyle w:val="TableText"/>
              <w:jc w:val="center"/>
            </w:pPr>
          </w:p>
        </w:tc>
        <w:tc>
          <w:tcPr>
            <w:tcW w:w="217" w:type="pct"/>
            <w:gridSpan w:val="2"/>
            <w:tcBorders>
              <w:top w:val="single" w:sz="4" w:space="0" w:color="BFBFBF" w:themeColor="background1" w:themeShade="BF"/>
              <w:left w:val="single" w:sz="6" w:space="0" w:color="595959" w:themeColor="text1" w:themeTint="A6"/>
              <w:right w:val="single" w:sz="6" w:space="0" w:color="BFBFBF" w:themeColor="background1" w:themeShade="BF"/>
            </w:tcBorders>
            <w:shd w:val="clear" w:color="auto" w:fill="F2F2F2" w:themeFill="background1" w:themeFillShade="F2"/>
            <w:vAlign w:val="center"/>
            <w:hideMark/>
          </w:tcPr>
          <w:p w14:paraId="7B3F35F1" w14:textId="77777777" w:rsidR="00BC1C3A" w:rsidRPr="00B65F7F" w:rsidRDefault="00BC1C3A" w:rsidP="00A12F34">
            <w:pPr>
              <w:pStyle w:val="TableText"/>
              <w:jc w:val="center"/>
            </w:pPr>
          </w:p>
        </w:tc>
        <w:tc>
          <w:tcPr>
            <w:tcW w:w="217" w:type="pct"/>
            <w:gridSpan w:val="2"/>
            <w:tcBorders>
              <w:top w:val="single" w:sz="4" w:space="0" w:color="BFBFBF" w:themeColor="background1" w:themeShade="BF"/>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430547D3" w14:textId="77777777" w:rsidR="00BC1C3A" w:rsidRPr="00B65F7F" w:rsidRDefault="00BC1C3A" w:rsidP="00A12F34">
            <w:pPr>
              <w:pStyle w:val="TableText"/>
              <w:jc w:val="center"/>
            </w:pPr>
          </w:p>
        </w:tc>
        <w:tc>
          <w:tcPr>
            <w:tcW w:w="217" w:type="pct"/>
            <w:gridSpan w:val="2"/>
            <w:tcBorders>
              <w:top w:val="single" w:sz="4" w:space="0" w:color="BFBFBF" w:themeColor="background1" w:themeShade="BF"/>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3CA14B6F" w14:textId="77777777" w:rsidR="00BC1C3A" w:rsidRPr="00B65F7F" w:rsidRDefault="00BC1C3A" w:rsidP="00A12F34">
            <w:pPr>
              <w:pStyle w:val="TableText"/>
              <w:jc w:val="center"/>
            </w:pPr>
          </w:p>
        </w:tc>
        <w:tc>
          <w:tcPr>
            <w:tcW w:w="217" w:type="pct"/>
            <w:gridSpan w:val="2"/>
            <w:tcBorders>
              <w:top w:val="single" w:sz="4" w:space="0" w:color="BFBFBF" w:themeColor="background1" w:themeShade="BF"/>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12D7BCBD" w14:textId="77777777" w:rsidR="00BC1C3A" w:rsidRPr="00A12F34" w:rsidRDefault="00BC1C3A" w:rsidP="00A12F34">
            <w:pPr>
              <w:pStyle w:val="TableText"/>
              <w:jc w:val="center"/>
              <w:rPr>
                <w:b/>
                <w:bCs/>
              </w:rPr>
            </w:pPr>
            <w:r w:rsidRPr="00A12F34">
              <w:rPr>
                <w:rFonts w:ascii="Segoe UI Symbol" w:hAnsi="Segoe UI Symbol" w:cs="Segoe UI Symbol"/>
                <w:b/>
                <w:bCs/>
              </w:rPr>
              <w:t>✓</w:t>
            </w:r>
          </w:p>
        </w:tc>
        <w:tc>
          <w:tcPr>
            <w:tcW w:w="217" w:type="pct"/>
            <w:tcBorders>
              <w:top w:val="single" w:sz="4" w:space="0" w:color="BFBFBF" w:themeColor="background1" w:themeShade="BF"/>
              <w:left w:val="single" w:sz="6" w:space="0" w:color="BFBFBF" w:themeColor="background1" w:themeShade="BF"/>
              <w:right w:val="single" w:sz="6" w:space="0" w:color="595959" w:themeColor="text1" w:themeTint="A6"/>
            </w:tcBorders>
            <w:shd w:val="clear" w:color="auto" w:fill="F2F2F2" w:themeFill="background1" w:themeFillShade="F2"/>
            <w:vAlign w:val="center"/>
            <w:hideMark/>
          </w:tcPr>
          <w:p w14:paraId="79706936" w14:textId="77777777" w:rsidR="00BC1C3A" w:rsidRPr="00B65F7F" w:rsidRDefault="00BC1C3A" w:rsidP="00BC1C3A">
            <w:pPr>
              <w:pStyle w:val="TableText"/>
              <w:jc w:val="center"/>
            </w:pPr>
          </w:p>
        </w:tc>
        <w:tc>
          <w:tcPr>
            <w:tcW w:w="217" w:type="pct"/>
            <w:gridSpan w:val="2"/>
            <w:tcBorders>
              <w:top w:val="single" w:sz="4" w:space="0" w:color="BFBFBF" w:themeColor="background1" w:themeShade="BF"/>
              <w:left w:val="single" w:sz="6" w:space="0" w:color="595959" w:themeColor="text1" w:themeTint="A6"/>
            </w:tcBorders>
            <w:shd w:val="clear" w:color="auto" w:fill="F2F2F2" w:themeFill="background1" w:themeFillShade="F2"/>
            <w:vAlign w:val="center"/>
          </w:tcPr>
          <w:p w14:paraId="6881328D" w14:textId="77777777" w:rsidR="00BC1C3A" w:rsidRPr="00B65F7F" w:rsidRDefault="00BC1C3A" w:rsidP="00A12F34">
            <w:pPr>
              <w:pStyle w:val="TableParagraph"/>
              <w:jc w:val="center"/>
            </w:pPr>
          </w:p>
        </w:tc>
        <w:tc>
          <w:tcPr>
            <w:tcW w:w="217" w:type="pct"/>
            <w:gridSpan w:val="2"/>
            <w:tcBorders>
              <w:top w:val="single" w:sz="4" w:space="0" w:color="BFBFBF" w:themeColor="background1" w:themeShade="BF"/>
              <w:left w:val="single" w:sz="6" w:space="0" w:color="BFBFBF" w:themeColor="background1" w:themeShade="BF"/>
            </w:tcBorders>
            <w:shd w:val="clear" w:color="auto" w:fill="F2F2F2" w:themeFill="background1" w:themeFillShade="F2"/>
            <w:vAlign w:val="center"/>
          </w:tcPr>
          <w:p w14:paraId="3F7D47AE" w14:textId="77777777" w:rsidR="00BC1C3A" w:rsidRPr="00B65F7F" w:rsidRDefault="00BC1C3A" w:rsidP="00A12F34">
            <w:pPr>
              <w:pStyle w:val="TableParagraph"/>
              <w:jc w:val="center"/>
            </w:pPr>
          </w:p>
        </w:tc>
        <w:tc>
          <w:tcPr>
            <w:tcW w:w="217" w:type="pct"/>
            <w:gridSpan w:val="2"/>
            <w:tcBorders>
              <w:top w:val="single" w:sz="4" w:space="0" w:color="BFBFBF" w:themeColor="background1" w:themeShade="BF"/>
              <w:left w:val="single" w:sz="6" w:space="0" w:color="BFBFBF" w:themeColor="background1" w:themeShade="BF"/>
            </w:tcBorders>
            <w:shd w:val="clear" w:color="auto" w:fill="F2F2F2" w:themeFill="background1" w:themeFillShade="F2"/>
            <w:vAlign w:val="center"/>
          </w:tcPr>
          <w:p w14:paraId="4433ACBC" w14:textId="77777777" w:rsidR="00BC1C3A" w:rsidRPr="00A12F34" w:rsidRDefault="00BC1C3A" w:rsidP="00A12F34">
            <w:pPr>
              <w:pStyle w:val="TableText"/>
              <w:jc w:val="center"/>
              <w:rPr>
                <w:b/>
                <w:bCs/>
              </w:rPr>
            </w:pPr>
            <w:r w:rsidRPr="00A12F34">
              <w:rPr>
                <w:rFonts w:ascii="Segoe UI Symbol" w:hAnsi="Segoe UI Symbol" w:cs="Segoe UI Symbol"/>
                <w:b/>
                <w:bCs/>
              </w:rPr>
              <w:t>✓</w:t>
            </w:r>
          </w:p>
        </w:tc>
        <w:tc>
          <w:tcPr>
            <w:tcW w:w="217" w:type="pct"/>
            <w:gridSpan w:val="2"/>
            <w:tcBorders>
              <w:top w:val="single" w:sz="4" w:space="0" w:color="BFBFBF" w:themeColor="background1" w:themeShade="BF"/>
              <w:left w:val="single" w:sz="6" w:space="0" w:color="BFBFBF" w:themeColor="background1" w:themeShade="BF"/>
            </w:tcBorders>
            <w:shd w:val="clear" w:color="auto" w:fill="F2F2F2" w:themeFill="background1" w:themeFillShade="F2"/>
            <w:vAlign w:val="center"/>
          </w:tcPr>
          <w:p w14:paraId="0D768FED" w14:textId="77777777" w:rsidR="00BC1C3A" w:rsidRPr="00B65F7F" w:rsidRDefault="00BC1C3A" w:rsidP="00A12F34">
            <w:pPr>
              <w:pStyle w:val="TableText"/>
              <w:jc w:val="center"/>
            </w:pPr>
          </w:p>
        </w:tc>
        <w:tc>
          <w:tcPr>
            <w:tcW w:w="217" w:type="pct"/>
            <w:tcBorders>
              <w:top w:val="single" w:sz="4" w:space="0" w:color="BFBFBF" w:themeColor="background1" w:themeShade="BF"/>
              <w:left w:val="single" w:sz="6" w:space="0" w:color="BFBFBF" w:themeColor="background1" w:themeShade="BF"/>
              <w:right w:val="single" w:sz="6" w:space="0" w:color="auto"/>
            </w:tcBorders>
            <w:shd w:val="clear" w:color="auto" w:fill="F2F2F2" w:themeFill="background1" w:themeFillShade="F2"/>
            <w:vAlign w:val="center"/>
          </w:tcPr>
          <w:p w14:paraId="187C3298" w14:textId="77777777" w:rsidR="00BC1C3A" w:rsidRPr="00B65F7F" w:rsidRDefault="00BC1C3A" w:rsidP="00A12F34">
            <w:pPr>
              <w:pStyle w:val="TableText"/>
              <w:jc w:val="center"/>
            </w:pPr>
          </w:p>
        </w:tc>
      </w:tr>
      <w:tr w:rsidR="00380CE9" w:rsidRPr="00B65F7F" w14:paraId="23CF5EF7" w14:textId="77777777" w:rsidTr="00F820B9">
        <w:trPr>
          <w:gridAfter w:val="1"/>
          <w:wAfter w:w="9" w:type="pct"/>
          <w:trHeight w:val="20"/>
        </w:trPr>
        <w:tc>
          <w:tcPr>
            <w:tcW w:w="503" w:type="pct"/>
            <w:vMerge/>
            <w:tcBorders>
              <w:top w:val="single" w:sz="4" w:space="0" w:color="BFBFBF" w:themeColor="background1" w:themeShade="BF"/>
              <w:bottom w:val="single" w:sz="6" w:space="0" w:color="595959" w:themeColor="text1" w:themeTint="A6"/>
            </w:tcBorders>
            <w:hideMark/>
          </w:tcPr>
          <w:p w14:paraId="74DBC397" w14:textId="77777777" w:rsidR="00BC1C3A" w:rsidRPr="00B65F7F" w:rsidRDefault="00BC1C3A" w:rsidP="00A12F34">
            <w:pPr>
              <w:pStyle w:val="TableText"/>
            </w:pPr>
          </w:p>
        </w:tc>
        <w:tc>
          <w:tcPr>
            <w:tcW w:w="953" w:type="pct"/>
            <w:vMerge/>
            <w:hideMark/>
          </w:tcPr>
          <w:p w14:paraId="2DEB6E2B" w14:textId="77777777" w:rsidR="00BC1C3A" w:rsidRPr="00B65F7F" w:rsidRDefault="00BC1C3A" w:rsidP="00A12F34">
            <w:pPr>
              <w:pStyle w:val="TableText"/>
            </w:pPr>
          </w:p>
        </w:tc>
        <w:tc>
          <w:tcPr>
            <w:tcW w:w="336" w:type="pct"/>
            <w:tcBorders>
              <w:right w:val="single" w:sz="6" w:space="0" w:color="595959" w:themeColor="text1" w:themeTint="A6"/>
            </w:tcBorders>
            <w:hideMark/>
          </w:tcPr>
          <w:p w14:paraId="3BEE3A44" w14:textId="77777777" w:rsidR="00BC1C3A" w:rsidRPr="00B65F7F" w:rsidRDefault="00BC1C3A" w:rsidP="00A12F34">
            <w:pPr>
              <w:pStyle w:val="TableText"/>
            </w:pPr>
            <w:r w:rsidRPr="00B65F7F">
              <w:t>Support</w:t>
            </w:r>
          </w:p>
        </w:tc>
        <w:tc>
          <w:tcPr>
            <w:tcW w:w="217" w:type="pct"/>
            <w:tcBorders>
              <w:top w:val="single" w:sz="4" w:space="0" w:color="BFBFBF" w:themeColor="background1" w:themeShade="BF"/>
              <w:left w:val="single" w:sz="6" w:space="0" w:color="595959" w:themeColor="text1" w:themeTint="A6"/>
              <w:right w:val="single" w:sz="6" w:space="0" w:color="BFBFBF" w:themeColor="background1" w:themeShade="BF"/>
            </w:tcBorders>
            <w:vAlign w:val="center"/>
            <w:hideMark/>
          </w:tcPr>
          <w:p w14:paraId="3D3E29F4" w14:textId="77777777" w:rsidR="00BC1C3A" w:rsidRPr="00B65F7F" w:rsidRDefault="00BC1C3A" w:rsidP="00A12F34">
            <w:pPr>
              <w:pStyle w:val="TableText"/>
              <w:jc w:val="center"/>
            </w:pPr>
          </w:p>
        </w:tc>
        <w:tc>
          <w:tcPr>
            <w:tcW w:w="218" w:type="pct"/>
            <w:gridSpan w:val="2"/>
            <w:tcBorders>
              <w:top w:val="single" w:sz="4" w:space="0" w:color="BFBFBF" w:themeColor="background1" w:themeShade="BF"/>
              <w:left w:val="single" w:sz="6" w:space="0" w:color="BFBFBF" w:themeColor="background1" w:themeShade="BF"/>
              <w:right w:val="single" w:sz="6" w:space="0" w:color="BFBFBF" w:themeColor="background1" w:themeShade="BF"/>
            </w:tcBorders>
            <w:vAlign w:val="center"/>
            <w:hideMark/>
          </w:tcPr>
          <w:p w14:paraId="14DC5B06" w14:textId="77777777" w:rsidR="00BC1C3A" w:rsidRPr="00B65F7F" w:rsidRDefault="00BC1C3A" w:rsidP="00A12F34">
            <w:pPr>
              <w:pStyle w:val="TableText"/>
              <w:jc w:val="center"/>
            </w:pPr>
            <w:r w:rsidRPr="00B65F7F">
              <w:rPr>
                <w:rFonts w:ascii="Segoe UI Symbol" w:hAnsi="Segoe UI Symbol" w:cs="Segoe UI Symbol"/>
              </w:rPr>
              <w:t>✓</w:t>
            </w:r>
          </w:p>
        </w:tc>
        <w:tc>
          <w:tcPr>
            <w:tcW w:w="217" w:type="pct"/>
            <w:gridSpan w:val="2"/>
            <w:tcBorders>
              <w:top w:val="single" w:sz="4" w:space="0" w:color="BFBFBF" w:themeColor="background1" w:themeShade="BF"/>
              <w:left w:val="single" w:sz="6" w:space="0" w:color="BFBFBF" w:themeColor="background1" w:themeShade="BF"/>
              <w:right w:val="single" w:sz="6" w:space="0" w:color="BFBFBF" w:themeColor="background1" w:themeShade="BF"/>
            </w:tcBorders>
            <w:vAlign w:val="center"/>
            <w:hideMark/>
          </w:tcPr>
          <w:p w14:paraId="649C9F70" w14:textId="77777777" w:rsidR="00BC1C3A" w:rsidRPr="00A12F34" w:rsidRDefault="00BC1C3A" w:rsidP="00A12F34">
            <w:pPr>
              <w:pStyle w:val="TableText"/>
              <w:jc w:val="center"/>
              <w:rPr>
                <w:b/>
                <w:bCs/>
              </w:rPr>
            </w:pPr>
          </w:p>
        </w:tc>
        <w:tc>
          <w:tcPr>
            <w:tcW w:w="217" w:type="pct"/>
            <w:gridSpan w:val="2"/>
            <w:tcBorders>
              <w:top w:val="single" w:sz="4" w:space="0" w:color="BFBFBF" w:themeColor="background1" w:themeShade="BF"/>
              <w:left w:val="single" w:sz="6" w:space="0" w:color="BFBFBF" w:themeColor="background1" w:themeShade="BF"/>
              <w:right w:val="single" w:sz="6" w:space="0" w:color="BFBFBF" w:themeColor="background1" w:themeShade="BF"/>
            </w:tcBorders>
            <w:vAlign w:val="center"/>
            <w:hideMark/>
          </w:tcPr>
          <w:p w14:paraId="679D769C" w14:textId="77777777" w:rsidR="00BC1C3A" w:rsidRPr="00B65F7F" w:rsidRDefault="00BC1C3A" w:rsidP="00A12F34">
            <w:pPr>
              <w:pStyle w:val="TableText"/>
              <w:jc w:val="center"/>
            </w:pPr>
            <w:r w:rsidRPr="00B65F7F">
              <w:rPr>
                <w:rFonts w:ascii="Segoe UI Symbol" w:hAnsi="Segoe UI Symbol" w:cs="Segoe UI Symbol"/>
              </w:rPr>
              <w:t>✓</w:t>
            </w:r>
          </w:p>
        </w:tc>
        <w:tc>
          <w:tcPr>
            <w:tcW w:w="160" w:type="pct"/>
            <w:tcBorders>
              <w:top w:val="single" w:sz="4" w:space="0" w:color="BFBFBF" w:themeColor="background1" w:themeShade="BF"/>
              <w:left w:val="single" w:sz="6" w:space="0" w:color="BFBFBF" w:themeColor="background1" w:themeShade="BF"/>
              <w:right w:val="single" w:sz="6" w:space="0" w:color="595959" w:themeColor="text1" w:themeTint="A6"/>
            </w:tcBorders>
            <w:vAlign w:val="center"/>
            <w:hideMark/>
          </w:tcPr>
          <w:p w14:paraId="1EDC203B" w14:textId="77777777" w:rsidR="00BC1C3A" w:rsidRPr="00B65F7F" w:rsidRDefault="00BC1C3A" w:rsidP="00A12F34">
            <w:pPr>
              <w:pStyle w:val="TableText"/>
              <w:jc w:val="center"/>
            </w:pPr>
            <w:r w:rsidRPr="00B65F7F">
              <w:rPr>
                <w:rFonts w:ascii="Segoe UI Symbol" w:hAnsi="Segoe UI Symbol" w:cs="Segoe UI Symbol"/>
              </w:rPr>
              <w:t>✓</w:t>
            </w:r>
          </w:p>
        </w:tc>
        <w:tc>
          <w:tcPr>
            <w:tcW w:w="217" w:type="pct"/>
            <w:gridSpan w:val="2"/>
            <w:tcBorders>
              <w:top w:val="single" w:sz="4" w:space="0" w:color="BFBFBF" w:themeColor="background1" w:themeShade="BF"/>
              <w:left w:val="single" w:sz="6" w:space="0" w:color="595959" w:themeColor="text1" w:themeTint="A6"/>
              <w:right w:val="single" w:sz="6" w:space="0" w:color="BFBFBF" w:themeColor="background1" w:themeShade="BF"/>
            </w:tcBorders>
            <w:vAlign w:val="center"/>
            <w:hideMark/>
          </w:tcPr>
          <w:p w14:paraId="7DCD3DF0" w14:textId="77777777" w:rsidR="00BC1C3A" w:rsidRPr="00B65F7F" w:rsidRDefault="00BC1C3A" w:rsidP="00A12F34">
            <w:pPr>
              <w:pStyle w:val="TableText"/>
              <w:jc w:val="center"/>
            </w:pPr>
            <w:r w:rsidRPr="00B65F7F">
              <w:rPr>
                <w:rFonts w:ascii="Segoe UI Symbol" w:hAnsi="Segoe UI Symbol" w:cs="Segoe UI Symbol"/>
              </w:rPr>
              <w:t>✓</w:t>
            </w:r>
          </w:p>
        </w:tc>
        <w:tc>
          <w:tcPr>
            <w:tcW w:w="217" w:type="pct"/>
            <w:gridSpan w:val="2"/>
            <w:tcBorders>
              <w:top w:val="single" w:sz="4" w:space="0" w:color="BFBFBF" w:themeColor="background1" w:themeShade="BF"/>
              <w:left w:val="single" w:sz="6" w:space="0" w:color="BFBFBF" w:themeColor="background1" w:themeShade="BF"/>
              <w:right w:val="single" w:sz="6" w:space="0" w:color="BFBFBF" w:themeColor="background1" w:themeShade="BF"/>
            </w:tcBorders>
            <w:vAlign w:val="center"/>
            <w:hideMark/>
          </w:tcPr>
          <w:p w14:paraId="45CE1D78" w14:textId="77777777" w:rsidR="00BC1C3A" w:rsidRPr="00B65F7F" w:rsidRDefault="00BC1C3A" w:rsidP="00A12F34">
            <w:pPr>
              <w:pStyle w:val="TableText"/>
              <w:jc w:val="center"/>
            </w:pPr>
            <w:r w:rsidRPr="00B65F7F">
              <w:rPr>
                <w:rFonts w:ascii="Segoe UI Symbol" w:hAnsi="Segoe UI Symbol" w:cs="Segoe UI Symbol"/>
              </w:rPr>
              <w:t>✓</w:t>
            </w:r>
          </w:p>
        </w:tc>
        <w:tc>
          <w:tcPr>
            <w:tcW w:w="217" w:type="pct"/>
            <w:gridSpan w:val="2"/>
            <w:tcBorders>
              <w:top w:val="single" w:sz="4" w:space="0" w:color="BFBFBF" w:themeColor="background1" w:themeShade="BF"/>
              <w:left w:val="single" w:sz="6" w:space="0" w:color="BFBFBF" w:themeColor="background1" w:themeShade="BF"/>
              <w:right w:val="single" w:sz="6" w:space="0" w:color="BFBFBF" w:themeColor="background1" w:themeShade="BF"/>
            </w:tcBorders>
            <w:vAlign w:val="center"/>
            <w:hideMark/>
          </w:tcPr>
          <w:p w14:paraId="0F4D530C" w14:textId="77777777" w:rsidR="00BC1C3A" w:rsidRPr="00B65F7F" w:rsidRDefault="00BC1C3A" w:rsidP="00A12F34">
            <w:pPr>
              <w:pStyle w:val="TableText"/>
              <w:jc w:val="center"/>
            </w:pPr>
            <w:r w:rsidRPr="00B65F7F">
              <w:rPr>
                <w:rFonts w:ascii="Segoe UI Symbol" w:hAnsi="Segoe UI Symbol" w:cs="Segoe UI Symbol"/>
              </w:rPr>
              <w:t>✓</w:t>
            </w:r>
          </w:p>
        </w:tc>
        <w:tc>
          <w:tcPr>
            <w:tcW w:w="217" w:type="pct"/>
            <w:gridSpan w:val="2"/>
            <w:tcBorders>
              <w:top w:val="single" w:sz="4" w:space="0" w:color="BFBFBF" w:themeColor="background1" w:themeShade="BF"/>
              <w:left w:val="single" w:sz="6" w:space="0" w:color="BFBFBF" w:themeColor="background1" w:themeShade="BF"/>
              <w:right w:val="single" w:sz="6" w:space="0" w:color="BFBFBF" w:themeColor="background1" w:themeShade="BF"/>
            </w:tcBorders>
            <w:vAlign w:val="center"/>
            <w:hideMark/>
          </w:tcPr>
          <w:p w14:paraId="2477ADA8" w14:textId="77777777" w:rsidR="00BC1C3A" w:rsidRPr="00A12F34" w:rsidRDefault="00BC1C3A" w:rsidP="00A12F34">
            <w:pPr>
              <w:pStyle w:val="TableText"/>
              <w:jc w:val="center"/>
              <w:rPr>
                <w:b/>
                <w:bCs/>
              </w:rPr>
            </w:pPr>
          </w:p>
        </w:tc>
        <w:tc>
          <w:tcPr>
            <w:tcW w:w="217" w:type="pct"/>
            <w:tcBorders>
              <w:top w:val="single" w:sz="4" w:space="0" w:color="BFBFBF" w:themeColor="background1" w:themeShade="BF"/>
              <w:left w:val="single" w:sz="6" w:space="0" w:color="BFBFBF" w:themeColor="background1" w:themeShade="BF"/>
              <w:right w:val="single" w:sz="6" w:space="0" w:color="595959" w:themeColor="text1" w:themeTint="A6"/>
            </w:tcBorders>
            <w:vAlign w:val="center"/>
            <w:hideMark/>
          </w:tcPr>
          <w:p w14:paraId="1E4DC5A6" w14:textId="77777777" w:rsidR="00BC1C3A" w:rsidRPr="00B65F7F" w:rsidRDefault="00BC1C3A" w:rsidP="00A12F34">
            <w:pPr>
              <w:pStyle w:val="TableText"/>
              <w:jc w:val="center"/>
            </w:pPr>
            <w:r w:rsidRPr="00B65F7F">
              <w:rPr>
                <w:rFonts w:ascii="Segoe UI Symbol" w:hAnsi="Segoe UI Symbol" w:cs="Segoe UI Symbol"/>
              </w:rPr>
              <w:t>✓</w:t>
            </w:r>
          </w:p>
        </w:tc>
        <w:tc>
          <w:tcPr>
            <w:tcW w:w="217" w:type="pct"/>
            <w:gridSpan w:val="2"/>
            <w:tcBorders>
              <w:top w:val="single" w:sz="4" w:space="0" w:color="BFBFBF" w:themeColor="background1" w:themeShade="BF"/>
              <w:left w:val="single" w:sz="6" w:space="0" w:color="595959" w:themeColor="text1" w:themeTint="A6"/>
            </w:tcBorders>
            <w:vAlign w:val="center"/>
          </w:tcPr>
          <w:p w14:paraId="28A42CF3" w14:textId="77777777" w:rsidR="00BC1C3A" w:rsidRPr="00B65F7F" w:rsidRDefault="00BC1C3A" w:rsidP="00A12F34">
            <w:pPr>
              <w:pStyle w:val="TableParagraph"/>
              <w:jc w:val="center"/>
              <w:rPr>
                <w:rFonts w:ascii="Segoe UI Symbol" w:hAnsi="Segoe UI Symbol" w:cs="Segoe UI Symbol"/>
              </w:rPr>
            </w:pPr>
          </w:p>
        </w:tc>
        <w:tc>
          <w:tcPr>
            <w:tcW w:w="217" w:type="pct"/>
            <w:gridSpan w:val="2"/>
            <w:tcBorders>
              <w:top w:val="single" w:sz="4" w:space="0" w:color="BFBFBF" w:themeColor="background1" w:themeShade="BF"/>
              <w:left w:val="single" w:sz="6" w:space="0" w:color="BFBFBF" w:themeColor="background1" w:themeShade="BF"/>
            </w:tcBorders>
            <w:vAlign w:val="center"/>
          </w:tcPr>
          <w:p w14:paraId="3D5D303B" w14:textId="77777777" w:rsidR="00BC1C3A" w:rsidRPr="00B65F7F" w:rsidRDefault="00BC1C3A" w:rsidP="00A12F34">
            <w:pPr>
              <w:pStyle w:val="TableParagraph"/>
              <w:jc w:val="center"/>
              <w:rPr>
                <w:rFonts w:ascii="Segoe UI Symbol" w:hAnsi="Segoe UI Symbol" w:cs="Segoe UI Symbol"/>
              </w:rPr>
            </w:pPr>
            <w:r w:rsidRPr="00B65F7F">
              <w:rPr>
                <w:rFonts w:ascii="Segoe UI Symbol" w:hAnsi="Segoe UI Symbol" w:cs="Segoe UI Symbol"/>
              </w:rPr>
              <w:t>✓</w:t>
            </w:r>
          </w:p>
        </w:tc>
        <w:tc>
          <w:tcPr>
            <w:tcW w:w="217" w:type="pct"/>
            <w:gridSpan w:val="2"/>
            <w:tcBorders>
              <w:top w:val="single" w:sz="4" w:space="0" w:color="BFBFBF" w:themeColor="background1" w:themeShade="BF"/>
              <w:left w:val="single" w:sz="6" w:space="0" w:color="BFBFBF" w:themeColor="background1" w:themeShade="BF"/>
            </w:tcBorders>
            <w:vAlign w:val="center"/>
          </w:tcPr>
          <w:p w14:paraId="3B102BFD" w14:textId="77777777" w:rsidR="00BC1C3A" w:rsidRPr="00A12F34" w:rsidRDefault="00BC1C3A" w:rsidP="00A12F34">
            <w:pPr>
              <w:pStyle w:val="TableText"/>
              <w:jc w:val="center"/>
              <w:rPr>
                <w:b/>
                <w:bCs/>
              </w:rPr>
            </w:pPr>
          </w:p>
        </w:tc>
        <w:tc>
          <w:tcPr>
            <w:tcW w:w="217" w:type="pct"/>
            <w:gridSpan w:val="2"/>
            <w:tcBorders>
              <w:top w:val="single" w:sz="4" w:space="0" w:color="BFBFBF" w:themeColor="background1" w:themeShade="BF"/>
              <w:left w:val="single" w:sz="6" w:space="0" w:color="BFBFBF" w:themeColor="background1" w:themeShade="BF"/>
            </w:tcBorders>
            <w:vAlign w:val="center"/>
          </w:tcPr>
          <w:p w14:paraId="7674599B" w14:textId="77777777" w:rsidR="00BC1C3A" w:rsidRPr="00B65F7F" w:rsidRDefault="00BC1C3A" w:rsidP="00A12F34">
            <w:pPr>
              <w:pStyle w:val="TableText"/>
              <w:jc w:val="center"/>
              <w:rPr>
                <w:rFonts w:ascii="Segoe UI Symbol" w:hAnsi="Segoe UI Symbol" w:cs="Segoe UI Symbol"/>
              </w:rPr>
            </w:pPr>
            <w:r w:rsidRPr="00B65F7F">
              <w:rPr>
                <w:rFonts w:ascii="Segoe UI Symbol" w:hAnsi="Segoe UI Symbol" w:cs="Segoe UI Symbol"/>
              </w:rPr>
              <w:t>✓</w:t>
            </w:r>
          </w:p>
        </w:tc>
        <w:tc>
          <w:tcPr>
            <w:tcW w:w="217" w:type="pct"/>
            <w:tcBorders>
              <w:top w:val="single" w:sz="4" w:space="0" w:color="BFBFBF" w:themeColor="background1" w:themeShade="BF"/>
              <w:left w:val="single" w:sz="6" w:space="0" w:color="BFBFBF" w:themeColor="background1" w:themeShade="BF"/>
              <w:right w:val="single" w:sz="6" w:space="0" w:color="auto"/>
            </w:tcBorders>
            <w:vAlign w:val="center"/>
          </w:tcPr>
          <w:p w14:paraId="689E8133" w14:textId="77777777" w:rsidR="00BC1C3A" w:rsidRPr="00B65F7F" w:rsidRDefault="00BC1C3A" w:rsidP="00A12F34">
            <w:pPr>
              <w:pStyle w:val="TableText"/>
              <w:jc w:val="center"/>
              <w:rPr>
                <w:rFonts w:ascii="Segoe UI Symbol" w:hAnsi="Segoe UI Symbol" w:cs="Segoe UI Symbol"/>
              </w:rPr>
            </w:pPr>
            <w:r w:rsidRPr="00B65F7F">
              <w:rPr>
                <w:rFonts w:ascii="Segoe UI Symbol" w:hAnsi="Segoe UI Symbol" w:cs="Segoe UI Symbol"/>
              </w:rPr>
              <w:t>✓</w:t>
            </w:r>
          </w:p>
        </w:tc>
      </w:tr>
      <w:tr w:rsidR="00380CE9" w:rsidRPr="00B65F7F" w14:paraId="3973F110" w14:textId="77777777" w:rsidTr="00F820B9">
        <w:trPr>
          <w:gridAfter w:val="1"/>
          <w:wAfter w:w="9" w:type="pct"/>
          <w:trHeight w:val="20"/>
        </w:trPr>
        <w:tc>
          <w:tcPr>
            <w:tcW w:w="503" w:type="pct"/>
            <w:vMerge/>
            <w:tcBorders>
              <w:top w:val="single" w:sz="4" w:space="0" w:color="BFBFBF" w:themeColor="background1" w:themeShade="BF"/>
              <w:bottom w:val="single" w:sz="6" w:space="0" w:color="595959" w:themeColor="text1" w:themeTint="A6"/>
            </w:tcBorders>
            <w:hideMark/>
          </w:tcPr>
          <w:p w14:paraId="657AF09C" w14:textId="77777777" w:rsidR="00BC1C3A" w:rsidRPr="00B65F7F" w:rsidRDefault="00BC1C3A" w:rsidP="00A12F34">
            <w:pPr>
              <w:pStyle w:val="TableText"/>
              <w:rPr>
                <w:rFonts w:ascii="Calibri" w:hAnsi="Calibri" w:cs="Calibri"/>
                <w:sz w:val="18"/>
                <w:szCs w:val="18"/>
              </w:rPr>
            </w:pPr>
          </w:p>
        </w:tc>
        <w:tc>
          <w:tcPr>
            <w:tcW w:w="953" w:type="pct"/>
            <w:vMerge w:val="restart"/>
            <w:hideMark/>
          </w:tcPr>
          <w:p w14:paraId="386D8A6E" w14:textId="77777777" w:rsidR="00BC1C3A" w:rsidRPr="00B65F7F" w:rsidRDefault="00BC1C3A" w:rsidP="00A12F34">
            <w:pPr>
              <w:pStyle w:val="TableText"/>
            </w:pPr>
            <w:r w:rsidRPr="00B65F7F">
              <w:t>Understand service and sector capabilities and restraints</w:t>
            </w:r>
          </w:p>
        </w:tc>
        <w:tc>
          <w:tcPr>
            <w:tcW w:w="336" w:type="pct"/>
            <w:tcBorders>
              <w:right w:val="single" w:sz="6" w:space="0" w:color="595959" w:themeColor="text1" w:themeTint="A6"/>
            </w:tcBorders>
            <w:shd w:val="clear" w:color="auto" w:fill="F2F2F2" w:themeFill="background1" w:themeFillShade="F2"/>
            <w:hideMark/>
          </w:tcPr>
          <w:p w14:paraId="5D647E2B" w14:textId="77777777" w:rsidR="00BC1C3A" w:rsidRPr="00B65F7F" w:rsidRDefault="00BC1C3A" w:rsidP="00A12F34">
            <w:pPr>
              <w:pStyle w:val="TableText"/>
            </w:pPr>
            <w:r w:rsidRPr="00B65F7F">
              <w:t>Lead</w:t>
            </w:r>
          </w:p>
        </w:tc>
        <w:tc>
          <w:tcPr>
            <w:tcW w:w="217" w:type="pct"/>
            <w:tcBorders>
              <w:top w:val="single" w:sz="4" w:space="0" w:color="BFBFBF" w:themeColor="background1" w:themeShade="BF"/>
              <w:left w:val="single" w:sz="6" w:space="0" w:color="595959" w:themeColor="text1" w:themeTint="A6"/>
              <w:right w:val="single" w:sz="6" w:space="0" w:color="BFBFBF" w:themeColor="background1" w:themeShade="BF"/>
            </w:tcBorders>
            <w:shd w:val="clear" w:color="auto" w:fill="F2F2F2" w:themeFill="background1" w:themeFillShade="F2"/>
            <w:vAlign w:val="center"/>
            <w:hideMark/>
          </w:tcPr>
          <w:p w14:paraId="73491A26" w14:textId="77777777" w:rsidR="00BC1C3A" w:rsidRPr="00B65F7F" w:rsidRDefault="00BC1C3A" w:rsidP="00A12F34">
            <w:pPr>
              <w:pStyle w:val="TableText"/>
              <w:jc w:val="center"/>
            </w:pPr>
          </w:p>
        </w:tc>
        <w:tc>
          <w:tcPr>
            <w:tcW w:w="218" w:type="pct"/>
            <w:gridSpan w:val="2"/>
            <w:tcBorders>
              <w:top w:val="single" w:sz="4" w:space="0" w:color="BFBFBF" w:themeColor="background1" w:themeShade="BF"/>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567D1E89" w14:textId="77777777" w:rsidR="00BC1C3A" w:rsidRPr="00B65F7F" w:rsidRDefault="00BC1C3A" w:rsidP="00A12F34">
            <w:pPr>
              <w:pStyle w:val="TableText"/>
              <w:jc w:val="center"/>
            </w:pPr>
          </w:p>
        </w:tc>
        <w:tc>
          <w:tcPr>
            <w:tcW w:w="217" w:type="pct"/>
            <w:gridSpan w:val="2"/>
            <w:tcBorders>
              <w:top w:val="single" w:sz="4" w:space="0" w:color="BFBFBF" w:themeColor="background1" w:themeShade="BF"/>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19095BD8" w14:textId="77777777" w:rsidR="00BC1C3A" w:rsidRPr="00A12F34" w:rsidRDefault="00BC1C3A" w:rsidP="00A12F34">
            <w:pPr>
              <w:pStyle w:val="TableText"/>
              <w:jc w:val="center"/>
              <w:rPr>
                <w:b/>
                <w:bCs/>
              </w:rPr>
            </w:pPr>
            <w:r w:rsidRPr="00A12F34">
              <w:rPr>
                <w:rFonts w:ascii="Segoe UI Symbol" w:hAnsi="Segoe UI Symbol" w:cs="Segoe UI Symbol"/>
                <w:b/>
                <w:bCs/>
              </w:rPr>
              <w:t>✓</w:t>
            </w:r>
          </w:p>
        </w:tc>
        <w:tc>
          <w:tcPr>
            <w:tcW w:w="217" w:type="pct"/>
            <w:gridSpan w:val="2"/>
            <w:tcBorders>
              <w:top w:val="single" w:sz="4" w:space="0" w:color="BFBFBF" w:themeColor="background1" w:themeShade="BF"/>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17151A6E" w14:textId="77777777" w:rsidR="00BC1C3A" w:rsidRPr="00B65F7F" w:rsidRDefault="00BC1C3A" w:rsidP="00A12F34">
            <w:pPr>
              <w:pStyle w:val="TableText"/>
              <w:jc w:val="center"/>
            </w:pPr>
          </w:p>
        </w:tc>
        <w:tc>
          <w:tcPr>
            <w:tcW w:w="160" w:type="pct"/>
            <w:tcBorders>
              <w:top w:val="single" w:sz="4" w:space="0" w:color="BFBFBF" w:themeColor="background1" w:themeShade="BF"/>
              <w:left w:val="single" w:sz="6" w:space="0" w:color="BFBFBF" w:themeColor="background1" w:themeShade="BF"/>
              <w:right w:val="single" w:sz="6" w:space="0" w:color="595959" w:themeColor="text1" w:themeTint="A6"/>
            </w:tcBorders>
            <w:shd w:val="clear" w:color="auto" w:fill="F2F2F2" w:themeFill="background1" w:themeFillShade="F2"/>
            <w:vAlign w:val="center"/>
            <w:hideMark/>
          </w:tcPr>
          <w:p w14:paraId="1FA3A0D7" w14:textId="77777777" w:rsidR="00BC1C3A" w:rsidRPr="00B65F7F" w:rsidRDefault="00BC1C3A" w:rsidP="00A12F34">
            <w:pPr>
              <w:pStyle w:val="TableText"/>
              <w:jc w:val="center"/>
            </w:pPr>
          </w:p>
        </w:tc>
        <w:tc>
          <w:tcPr>
            <w:tcW w:w="217" w:type="pct"/>
            <w:gridSpan w:val="2"/>
            <w:tcBorders>
              <w:top w:val="single" w:sz="4" w:space="0" w:color="BFBFBF" w:themeColor="background1" w:themeShade="BF"/>
              <w:left w:val="single" w:sz="6" w:space="0" w:color="595959" w:themeColor="text1" w:themeTint="A6"/>
              <w:right w:val="single" w:sz="6" w:space="0" w:color="BFBFBF" w:themeColor="background1" w:themeShade="BF"/>
            </w:tcBorders>
            <w:shd w:val="clear" w:color="auto" w:fill="F2F2F2" w:themeFill="background1" w:themeFillShade="F2"/>
            <w:vAlign w:val="center"/>
            <w:hideMark/>
          </w:tcPr>
          <w:p w14:paraId="635E1864" w14:textId="77777777" w:rsidR="00BC1C3A" w:rsidRPr="00B65F7F" w:rsidRDefault="00BC1C3A" w:rsidP="00A12F34">
            <w:pPr>
              <w:pStyle w:val="TableText"/>
              <w:jc w:val="center"/>
            </w:pPr>
          </w:p>
        </w:tc>
        <w:tc>
          <w:tcPr>
            <w:tcW w:w="217" w:type="pct"/>
            <w:gridSpan w:val="2"/>
            <w:tcBorders>
              <w:top w:val="single" w:sz="4" w:space="0" w:color="BFBFBF" w:themeColor="background1" w:themeShade="BF"/>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2BDAAEB0" w14:textId="77777777" w:rsidR="00BC1C3A" w:rsidRPr="00B65F7F" w:rsidRDefault="00BC1C3A" w:rsidP="00A12F34">
            <w:pPr>
              <w:pStyle w:val="TableText"/>
              <w:jc w:val="center"/>
            </w:pPr>
          </w:p>
        </w:tc>
        <w:tc>
          <w:tcPr>
            <w:tcW w:w="217" w:type="pct"/>
            <w:gridSpan w:val="2"/>
            <w:tcBorders>
              <w:top w:val="single" w:sz="4" w:space="0" w:color="BFBFBF" w:themeColor="background1" w:themeShade="BF"/>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7F6C6129" w14:textId="77777777" w:rsidR="00BC1C3A" w:rsidRPr="00B65F7F" w:rsidRDefault="00BC1C3A" w:rsidP="00A12F34">
            <w:pPr>
              <w:pStyle w:val="TableText"/>
              <w:jc w:val="center"/>
            </w:pPr>
          </w:p>
        </w:tc>
        <w:tc>
          <w:tcPr>
            <w:tcW w:w="217" w:type="pct"/>
            <w:gridSpan w:val="2"/>
            <w:tcBorders>
              <w:top w:val="single" w:sz="4" w:space="0" w:color="BFBFBF" w:themeColor="background1" w:themeShade="BF"/>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7BD8702E" w14:textId="77777777" w:rsidR="00BC1C3A" w:rsidRPr="00A12F34" w:rsidRDefault="00BC1C3A" w:rsidP="00A12F34">
            <w:pPr>
              <w:pStyle w:val="TableText"/>
              <w:jc w:val="center"/>
              <w:rPr>
                <w:b/>
                <w:bCs/>
              </w:rPr>
            </w:pPr>
            <w:r w:rsidRPr="00A12F34">
              <w:rPr>
                <w:rFonts w:ascii="Segoe UI Symbol" w:hAnsi="Segoe UI Symbol" w:cs="Segoe UI Symbol"/>
                <w:b/>
                <w:bCs/>
              </w:rPr>
              <w:t>✓</w:t>
            </w:r>
          </w:p>
        </w:tc>
        <w:tc>
          <w:tcPr>
            <w:tcW w:w="217" w:type="pct"/>
            <w:tcBorders>
              <w:top w:val="single" w:sz="4" w:space="0" w:color="BFBFBF" w:themeColor="background1" w:themeShade="BF"/>
              <w:left w:val="single" w:sz="6" w:space="0" w:color="BFBFBF" w:themeColor="background1" w:themeShade="BF"/>
              <w:right w:val="single" w:sz="6" w:space="0" w:color="595959" w:themeColor="text1" w:themeTint="A6"/>
            </w:tcBorders>
            <w:shd w:val="clear" w:color="auto" w:fill="F2F2F2" w:themeFill="background1" w:themeFillShade="F2"/>
            <w:vAlign w:val="center"/>
            <w:hideMark/>
          </w:tcPr>
          <w:p w14:paraId="39549284" w14:textId="77777777" w:rsidR="00BC1C3A" w:rsidRPr="00B65F7F" w:rsidRDefault="00BC1C3A" w:rsidP="00A12F34">
            <w:pPr>
              <w:pStyle w:val="TableText"/>
              <w:jc w:val="center"/>
            </w:pPr>
          </w:p>
        </w:tc>
        <w:tc>
          <w:tcPr>
            <w:tcW w:w="217" w:type="pct"/>
            <w:gridSpan w:val="2"/>
            <w:tcBorders>
              <w:top w:val="single" w:sz="4" w:space="0" w:color="BFBFBF" w:themeColor="background1" w:themeShade="BF"/>
              <w:left w:val="single" w:sz="6" w:space="0" w:color="595959" w:themeColor="text1" w:themeTint="A6"/>
            </w:tcBorders>
            <w:shd w:val="clear" w:color="auto" w:fill="F2F2F2" w:themeFill="background1" w:themeFillShade="F2"/>
            <w:vAlign w:val="center"/>
          </w:tcPr>
          <w:p w14:paraId="7C85AAE4" w14:textId="77777777" w:rsidR="00BC1C3A" w:rsidRPr="00B65F7F" w:rsidRDefault="00BC1C3A" w:rsidP="00A12F34">
            <w:pPr>
              <w:pStyle w:val="TableParagraph"/>
              <w:jc w:val="center"/>
            </w:pPr>
          </w:p>
        </w:tc>
        <w:tc>
          <w:tcPr>
            <w:tcW w:w="217" w:type="pct"/>
            <w:gridSpan w:val="2"/>
            <w:tcBorders>
              <w:top w:val="single" w:sz="4" w:space="0" w:color="BFBFBF" w:themeColor="background1" w:themeShade="BF"/>
              <w:left w:val="single" w:sz="6" w:space="0" w:color="BFBFBF" w:themeColor="background1" w:themeShade="BF"/>
            </w:tcBorders>
            <w:shd w:val="clear" w:color="auto" w:fill="F2F2F2" w:themeFill="background1" w:themeFillShade="F2"/>
            <w:vAlign w:val="center"/>
          </w:tcPr>
          <w:p w14:paraId="2EF9DDF9" w14:textId="77777777" w:rsidR="00BC1C3A" w:rsidRPr="00B65F7F" w:rsidRDefault="00BC1C3A" w:rsidP="00A12F34">
            <w:pPr>
              <w:pStyle w:val="TableParagraph"/>
              <w:jc w:val="center"/>
            </w:pPr>
          </w:p>
        </w:tc>
        <w:tc>
          <w:tcPr>
            <w:tcW w:w="217" w:type="pct"/>
            <w:gridSpan w:val="2"/>
            <w:tcBorders>
              <w:top w:val="single" w:sz="4" w:space="0" w:color="BFBFBF" w:themeColor="background1" w:themeShade="BF"/>
              <w:left w:val="single" w:sz="6" w:space="0" w:color="BFBFBF" w:themeColor="background1" w:themeShade="BF"/>
            </w:tcBorders>
            <w:shd w:val="clear" w:color="auto" w:fill="F2F2F2" w:themeFill="background1" w:themeFillShade="F2"/>
            <w:vAlign w:val="center"/>
          </w:tcPr>
          <w:p w14:paraId="42C55793" w14:textId="77777777" w:rsidR="00BC1C3A" w:rsidRPr="00A12F34" w:rsidRDefault="00BC1C3A" w:rsidP="00A12F34">
            <w:pPr>
              <w:pStyle w:val="TableText"/>
              <w:jc w:val="center"/>
              <w:rPr>
                <w:b/>
                <w:bCs/>
              </w:rPr>
            </w:pPr>
            <w:r w:rsidRPr="00A12F34">
              <w:rPr>
                <w:rFonts w:ascii="Segoe UI Symbol" w:hAnsi="Segoe UI Symbol" w:cs="Segoe UI Symbol"/>
                <w:b/>
                <w:bCs/>
              </w:rPr>
              <w:t>✓</w:t>
            </w:r>
          </w:p>
        </w:tc>
        <w:tc>
          <w:tcPr>
            <w:tcW w:w="217" w:type="pct"/>
            <w:gridSpan w:val="2"/>
            <w:tcBorders>
              <w:top w:val="single" w:sz="4" w:space="0" w:color="BFBFBF" w:themeColor="background1" w:themeShade="BF"/>
              <w:left w:val="single" w:sz="6" w:space="0" w:color="BFBFBF" w:themeColor="background1" w:themeShade="BF"/>
            </w:tcBorders>
            <w:shd w:val="clear" w:color="auto" w:fill="F2F2F2" w:themeFill="background1" w:themeFillShade="F2"/>
            <w:vAlign w:val="center"/>
          </w:tcPr>
          <w:p w14:paraId="27BD6C22" w14:textId="77777777" w:rsidR="00BC1C3A" w:rsidRPr="00B65F7F" w:rsidRDefault="00BC1C3A" w:rsidP="00A12F34">
            <w:pPr>
              <w:pStyle w:val="TableText"/>
              <w:jc w:val="center"/>
            </w:pPr>
          </w:p>
        </w:tc>
        <w:tc>
          <w:tcPr>
            <w:tcW w:w="217" w:type="pct"/>
            <w:tcBorders>
              <w:top w:val="single" w:sz="4" w:space="0" w:color="BFBFBF" w:themeColor="background1" w:themeShade="BF"/>
              <w:left w:val="single" w:sz="6" w:space="0" w:color="BFBFBF" w:themeColor="background1" w:themeShade="BF"/>
              <w:right w:val="single" w:sz="6" w:space="0" w:color="auto"/>
            </w:tcBorders>
            <w:shd w:val="clear" w:color="auto" w:fill="F2F2F2" w:themeFill="background1" w:themeFillShade="F2"/>
            <w:vAlign w:val="center"/>
          </w:tcPr>
          <w:p w14:paraId="28EA2401" w14:textId="77777777" w:rsidR="00BC1C3A" w:rsidRPr="00B65F7F" w:rsidRDefault="00BC1C3A" w:rsidP="00A12F34">
            <w:pPr>
              <w:pStyle w:val="TableText"/>
              <w:jc w:val="center"/>
            </w:pPr>
          </w:p>
        </w:tc>
      </w:tr>
      <w:tr w:rsidR="00380CE9" w:rsidRPr="00B65F7F" w14:paraId="5D2B3DA5" w14:textId="77777777" w:rsidTr="00F820B9">
        <w:trPr>
          <w:gridAfter w:val="1"/>
          <w:wAfter w:w="9" w:type="pct"/>
          <w:trHeight w:val="20"/>
        </w:trPr>
        <w:tc>
          <w:tcPr>
            <w:tcW w:w="503" w:type="pct"/>
            <w:vMerge/>
            <w:tcBorders>
              <w:top w:val="single" w:sz="4" w:space="0" w:color="BFBFBF" w:themeColor="background1" w:themeShade="BF"/>
              <w:bottom w:val="single" w:sz="6" w:space="0" w:color="595959" w:themeColor="text1" w:themeTint="A6"/>
            </w:tcBorders>
            <w:hideMark/>
          </w:tcPr>
          <w:p w14:paraId="2FF3BD38" w14:textId="77777777" w:rsidR="00BC1C3A" w:rsidRPr="00B65F7F" w:rsidRDefault="00BC1C3A" w:rsidP="00A12F34">
            <w:pPr>
              <w:pStyle w:val="TableText"/>
              <w:rPr>
                <w:rFonts w:ascii="Calibri" w:hAnsi="Calibri" w:cs="Calibri"/>
                <w:sz w:val="18"/>
                <w:szCs w:val="18"/>
              </w:rPr>
            </w:pPr>
          </w:p>
        </w:tc>
        <w:tc>
          <w:tcPr>
            <w:tcW w:w="953" w:type="pct"/>
            <w:vMerge/>
            <w:tcBorders>
              <w:bottom w:val="single" w:sz="4" w:space="0" w:color="BFBFBF" w:themeColor="background1" w:themeShade="BF"/>
            </w:tcBorders>
            <w:hideMark/>
          </w:tcPr>
          <w:p w14:paraId="34AECEFB" w14:textId="77777777" w:rsidR="00BC1C3A" w:rsidRPr="00B65F7F" w:rsidRDefault="00BC1C3A" w:rsidP="00A12F34">
            <w:pPr>
              <w:pStyle w:val="TableText"/>
            </w:pPr>
          </w:p>
        </w:tc>
        <w:tc>
          <w:tcPr>
            <w:tcW w:w="336" w:type="pct"/>
            <w:tcBorders>
              <w:right w:val="single" w:sz="6" w:space="0" w:color="595959" w:themeColor="text1" w:themeTint="A6"/>
            </w:tcBorders>
            <w:hideMark/>
          </w:tcPr>
          <w:p w14:paraId="31475185" w14:textId="77777777" w:rsidR="00BC1C3A" w:rsidRPr="00B65F7F" w:rsidRDefault="00BC1C3A" w:rsidP="00A12F34">
            <w:pPr>
              <w:pStyle w:val="TableText"/>
            </w:pPr>
            <w:r w:rsidRPr="00B65F7F">
              <w:t>Support</w:t>
            </w:r>
          </w:p>
        </w:tc>
        <w:tc>
          <w:tcPr>
            <w:tcW w:w="217" w:type="pct"/>
            <w:tcBorders>
              <w:top w:val="single" w:sz="4" w:space="0" w:color="BFBFBF" w:themeColor="background1" w:themeShade="BF"/>
              <w:left w:val="single" w:sz="6" w:space="0" w:color="595959" w:themeColor="text1" w:themeTint="A6"/>
              <w:right w:val="single" w:sz="6" w:space="0" w:color="BFBFBF" w:themeColor="background1" w:themeShade="BF"/>
            </w:tcBorders>
            <w:vAlign w:val="center"/>
            <w:hideMark/>
          </w:tcPr>
          <w:p w14:paraId="180F2918" w14:textId="77777777" w:rsidR="00BC1C3A" w:rsidRPr="00B65F7F" w:rsidRDefault="00BC1C3A" w:rsidP="00A12F34">
            <w:pPr>
              <w:pStyle w:val="TableText"/>
              <w:jc w:val="center"/>
            </w:pPr>
          </w:p>
        </w:tc>
        <w:tc>
          <w:tcPr>
            <w:tcW w:w="218" w:type="pct"/>
            <w:gridSpan w:val="2"/>
            <w:tcBorders>
              <w:top w:val="single" w:sz="4" w:space="0" w:color="BFBFBF" w:themeColor="background1" w:themeShade="BF"/>
              <w:left w:val="single" w:sz="6" w:space="0" w:color="BFBFBF" w:themeColor="background1" w:themeShade="BF"/>
              <w:right w:val="single" w:sz="6" w:space="0" w:color="BFBFBF" w:themeColor="background1" w:themeShade="BF"/>
            </w:tcBorders>
            <w:vAlign w:val="center"/>
            <w:hideMark/>
          </w:tcPr>
          <w:p w14:paraId="18A84607" w14:textId="77777777" w:rsidR="00BC1C3A" w:rsidRPr="00B65F7F" w:rsidRDefault="00BC1C3A" w:rsidP="00A12F34">
            <w:pPr>
              <w:pStyle w:val="TableText"/>
              <w:jc w:val="center"/>
            </w:pPr>
            <w:r w:rsidRPr="00B65F7F">
              <w:rPr>
                <w:rFonts w:ascii="Segoe UI Symbol" w:hAnsi="Segoe UI Symbol" w:cs="Segoe UI Symbol"/>
              </w:rPr>
              <w:t>✓</w:t>
            </w:r>
          </w:p>
        </w:tc>
        <w:tc>
          <w:tcPr>
            <w:tcW w:w="217" w:type="pct"/>
            <w:gridSpan w:val="2"/>
            <w:tcBorders>
              <w:top w:val="single" w:sz="4" w:space="0" w:color="BFBFBF" w:themeColor="background1" w:themeShade="BF"/>
              <w:left w:val="single" w:sz="6" w:space="0" w:color="BFBFBF" w:themeColor="background1" w:themeShade="BF"/>
              <w:right w:val="single" w:sz="6" w:space="0" w:color="BFBFBF" w:themeColor="background1" w:themeShade="BF"/>
            </w:tcBorders>
            <w:vAlign w:val="center"/>
            <w:hideMark/>
          </w:tcPr>
          <w:p w14:paraId="0A9338E3" w14:textId="77777777" w:rsidR="00BC1C3A" w:rsidRPr="00A12F34" w:rsidRDefault="00BC1C3A" w:rsidP="00A12F34">
            <w:pPr>
              <w:pStyle w:val="TableText"/>
              <w:jc w:val="center"/>
              <w:rPr>
                <w:b/>
                <w:bCs/>
              </w:rPr>
            </w:pPr>
          </w:p>
        </w:tc>
        <w:tc>
          <w:tcPr>
            <w:tcW w:w="217" w:type="pct"/>
            <w:gridSpan w:val="2"/>
            <w:tcBorders>
              <w:top w:val="single" w:sz="4" w:space="0" w:color="BFBFBF" w:themeColor="background1" w:themeShade="BF"/>
              <w:left w:val="single" w:sz="6" w:space="0" w:color="BFBFBF" w:themeColor="background1" w:themeShade="BF"/>
              <w:right w:val="single" w:sz="6" w:space="0" w:color="BFBFBF" w:themeColor="background1" w:themeShade="BF"/>
            </w:tcBorders>
            <w:vAlign w:val="center"/>
            <w:hideMark/>
          </w:tcPr>
          <w:p w14:paraId="4CFA14BC" w14:textId="77777777" w:rsidR="00BC1C3A" w:rsidRPr="00B65F7F" w:rsidRDefault="00BC1C3A" w:rsidP="00A12F34">
            <w:pPr>
              <w:pStyle w:val="TableText"/>
              <w:jc w:val="center"/>
            </w:pPr>
            <w:r w:rsidRPr="00B65F7F">
              <w:rPr>
                <w:rFonts w:ascii="Segoe UI Symbol" w:hAnsi="Segoe UI Symbol" w:cs="Segoe UI Symbol"/>
              </w:rPr>
              <w:t>✓</w:t>
            </w:r>
          </w:p>
        </w:tc>
        <w:tc>
          <w:tcPr>
            <w:tcW w:w="160" w:type="pct"/>
            <w:tcBorders>
              <w:top w:val="single" w:sz="4" w:space="0" w:color="BFBFBF" w:themeColor="background1" w:themeShade="BF"/>
              <w:left w:val="single" w:sz="6" w:space="0" w:color="BFBFBF" w:themeColor="background1" w:themeShade="BF"/>
              <w:right w:val="single" w:sz="6" w:space="0" w:color="595959" w:themeColor="text1" w:themeTint="A6"/>
            </w:tcBorders>
            <w:vAlign w:val="center"/>
            <w:hideMark/>
          </w:tcPr>
          <w:p w14:paraId="30FA59F2" w14:textId="77777777" w:rsidR="00BC1C3A" w:rsidRPr="00B65F7F" w:rsidRDefault="00BC1C3A" w:rsidP="00A12F34">
            <w:pPr>
              <w:pStyle w:val="TableText"/>
              <w:jc w:val="center"/>
            </w:pPr>
            <w:r w:rsidRPr="00B65F7F">
              <w:rPr>
                <w:rFonts w:ascii="Segoe UI Symbol" w:hAnsi="Segoe UI Symbol" w:cs="Segoe UI Symbol"/>
              </w:rPr>
              <w:t>✓</w:t>
            </w:r>
          </w:p>
        </w:tc>
        <w:tc>
          <w:tcPr>
            <w:tcW w:w="217" w:type="pct"/>
            <w:gridSpan w:val="2"/>
            <w:tcBorders>
              <w:top w:val="single" w:sz="4" w:space="0" w:color="BFBFBF" w:themeColor="background1" w:themeShade="BF"/>
              <w:left w:val="single" w:sz="6" w:space="0" w:color="595959" w:themeColor="text1" w:themeTint="A6"/>
              <w:right w:val="single" w:sz="6" w:space="0" w:color="BFBFBF" w:themeColor="background1" w:themeShade="BF"/>
            </w:tcBorders>
            <w:vAlign w:val="center"/>
            <w:hideMark/>
          </w:tcPr>
          <w:p w14:paraId="0F59771A" w14:textId="77777777" w:rsidR="00BC1C3A" w:rsidRPr="00B65F7F" w:rsidRDefault="00BC1C3A" w:rsidP="00A12F34">
            <w:pPr>
              <w:pStyle w:val="TableText"/>
              <w:jc w:val="center"/>
            </w:pPr>
            <w:r w:rsidRPr="00B65F7F">
              <w:rPr>
                <w:rFonts w:ascii="Segoe UI Symbol" w:hAnsi="Segoe UI Symbol" w:cs="Segoe UI Symbol"/>
              </w:rPr>
              <w:t>✓</w:t>
            </w:r>
          </w:p>
        </w:tc>
        <w:tc>
          <w:tcPr>
            <w:tcW w:w="217" w:type="pct"/>
            <w:gridSpan w:val="2"/>
            <w:tcBorders>
              <w:top w:val="single" w:sz="4" w:space="0" w:color="BFBFBF" w:themeColor="background1" w:themeShade="BF"/>
              <w:left w:val="single" w:sz="6" w:space="0" w:color="BFBFBF" w:themeColor="background1" w:themeShade="BF"/>
              <w:right w:val="single" w:sz="6" w:space="0" w:color="BFBFBF" w:themeColor="background1" w:themeShade="BF"/>
            </w:tcBorders>
            <w:vAlign w:val="center"/>
            <w:hideMark/>
          </w:tcPr>
          <w:p w14:paraId="763AE048" w14:textId="77777777" w:rsidR="00BC1C3A" w:rsidRPr="00B65F7F" w:rsidRDefault="00BC1C3A" w:rsidP="00A12F34">
            <w:pPr>
              <w:pStyle w:val="TableText"/>
              <w:jc w:val="center"/>
            </w:pPr>
            <w:r w:rsidRPr="00B65F7F">
              <w:rPr>
                <w:rFonts w:ascii="Segoe UI Symbol" w:hAnsi="Segoe UI Symbol" w:cs="Segoe UI Symbol"/>
              </w:rPr>
              <w:t>✓</w:t>
            </w:r>
          </w:p>
        </w:tc>
        <w:tc>
          <w:tcPr>
            <w:tcW w:w="217" w:type="pct"/>
            <w:gridSpan w:val="2"/>
            <w:tcBorders>
              <w:top w:val="single" w:sz="4" w:space="0" w:color="BFBFBF" w:themeColor="background1" w:themeShade="BF"/>
              <w:left w:val="single" w:sz="6" w:space="0" w:color="BFBFBF" w:themeColor="background1" w:themeShade="BF"/>
              <w:right w:val="single" w:sz="6" w:space="0" w:color="BFBFBF" w:themeColor="background1" w:themeShade="BF"/>
            </w:tcBorders>
            <w:vAlign w:val="center"/>
            <w:hideMark/>
          </w:tcPr>
          <w:p w14:paraId="4BBB2111" w14:textId="77777777" w:rsidR="00BC1C3A" w:rsidRPr="00B65F7F" w:rsidRDefault="00BC1C3A" w:rsidP="00A12F34">
            <w:pPr>
              <w:pStyle w:val="TableText"/>
              <w:jc w:val="center"/>
            </w:pPr>
            <w:r w:rsidRPr="00B65F7F">
              <w:rPr>
                <w:rFonts w:ascii="Segoe UI Symbol" w:hAnsi="Segoe UI Symbol" w:cs="Segoe UI Symbol"/>
              </w:rPr>
              <w:t>✓</w:t>
            </w:r>
          </w:p>
        </w:tc>
        <w:tc>
          <w:tcPr>
            <w:tcW w:w="217" w:type="pct"/>
            <w:gridSpan w:val="2"/>
            <w:tcBorders>
              <w:top w:val="single" w:sz="4" w:space="0" w:color="BFBFBF" w:themeColor="background1" w:themeShade="BF"/>
              <w:left w:val="single" w:sz="6" w:space="0" w:color="BFBFBF" w:themeColor="background1" w:themeShade="BF"/>
              <w:right w:val="single" w:sz="6" w:space="0" w:color="BFBFBF" w:themeColor="background1" w:themeShade="BF"/>
            </w:tcBorders>
            <w:vAlign w:val="center"/>
            <w:hideMark/>
          </w:tcPr>
          <w:p w14:paraId="64F06D34" w14:textId="77777777" w:rsidR="00BC1C3A" w:rsidRPr="00A12F34" w:rsidRDefault="00BC1C3A" w:rsidP="00A12F34">
            <w:pPr>
              <w:pStyle w:val="TableText"/>
              <w:jc w:val="center"/>
              <w:rPr>
                <w:b/>
                <w:bCs/>
              </w:rPr>
            </w:pPr>
          </w:p>
        </w:tc>
        <w:tc>
          <w:tcPr>
            <w:tcW w:w="217" w:type="pct"/>
            <w:tcBorders>
              <w:top w:val="single" w:sz="4" w:space="0" w:color="BFBFBF" w:themeColor="background1" w:themeShade="BF"/>
              <w:left w:val="single" w:sz="6" w:space="0" w:color="BFBFBF" w:themeColor="background1" w:themeShade="BF"/>
              <w:right w:val="single" w:sz="6" w:space="0" w:color="595959" w:themeColor="text1" w:themeTint="A6"/>
            </w:tcBorders>
            <w:vAlign w:val="center"/>
            <w:hideMark/>
          </w:tcPr>
          <w:p w14:paraId="769A5089" w14:textId="77777777" w:rsidR="00BC1C3A" w:rsidRPr="00B65F7F" w:rsidRDefault="00BC1C3A" w:rsidP="00A12F34">
            <w:pPr>
              <w:pStyle w:val="TableText"/>
              <w:jc w:val="center"/>
            </w:pPr>
            <w:r w:rsidRPr="00B65F7F">
              <w:rPr>
                <w:rFonts w:ascii="Segoe UI Symbol" w:hAnsi="Segoe UI Symbol" w:cs="Segoe UI Symbol"/>
              </w:rPr>
              <w:t>✓</w:t>
            </w:r>
          </w:p>
        </w:tc>
        <w:tc>
          <w:tcPr>
            <w:tcW w:w="217" w:type="pct"/>
            <w:gridSpan w:val="2"/>
            <w:tcBorders>
              <w:top w:val="single" w:sz="4" w:space="0" w:color="BFBFBF" w:themeColor="background1" w:themeShade="BF"/>
              <w:left w:val="single" w:sz="6" w:space="0" w:color="595959" w:themeColor="text1" w:themeTint="A6"/>
            </w:tcBorders>
            <w:vAlign w:val="center"/>
          </w:tcPr>
          <w:p w14:paraId="19108026" w14:textId="77777777" w:rsidR="00BC1C3A" w:rsidRPr="00B65F7F" w:rsidRDefault="00BC1C3A" w:rsidP="00A12F34">
            <w:pPr>
              <w:pStyle w:val="TableParagraph"/>
              <w:jc w:val="center"/>
              <w:rPr>
                <w:rFonts w:ascii="Segoe UI Symbol" w:hAnsi="Segoe UI Symbol" w:cs="Segoe UI Symbol"/>
              </w:rPr>
            </w:pPr>
          </w:p>
        </w:tc>
        <w:tc>
          <w:tcPr>
            <w:tcW w:w="217" w:type="pct"/>
            <w:gridSpan w:val="2"/>
            <w:tcBorders>
              <w:top w:val="single" w:sz="4" w:space="0" w:color="BFBFBF" w:themeColor="background1" w:themeShade="BF"/>
              <w:left w:val="single" w:sz="6" w:space="0" w:color="BFBFBF" w:themeColor="background1" w:themeShade="BF"/>
            </w:tcBorders>
            <w:vAlign w:val="center"/>
          </w:tcPr>
          <w:p w14:paraId="2910E655" w14:textId="77777777" w:rsidR="00BC1C3A" w:rsidRPr="00B65F7F" w:rsidRDefault="00BC1C3A" w:rsidP="00A12F34">
            <w:pPr>
              <w:pStyle w:val="TableParagraph"/>
              <w:jc w:val="center"/>
              <w:rPr>
                <w:rFonts w:ascii="Segoe UI Symbol" w:hAnsi="Segoe UI Symbol" w:cs="Segoe UI Symbol"/>
              </w:rPr>
            </w:pPr>
            <w:r w:rsidRPr="00B65F7F">
              <w:rPr>
                <w:rFonts w:ascii="Segoe UI Symbol" w:hAnsi="Segoe UI Symbol" w:cs="Segoe UI Symbol"/>
              </w:rPr>
              <w:t>✓</w:t>
            </w:r>
          </w:p>
        </w:tc>
        <w:tc>
          <w:tcPr>
            <w:tcW w:w="217" w:type="pct"/>
            <w:gridSpan w:val="2"/>
            <w:tcBorders>
              <w:top w:val="single" w:sz="4" w:space="0" w:color="BFBFBF" w:themeColor="background1" w:themeShade="BF"/>
              <w:left w:val="single" w:sz="6" w:space="0" w:color="BFBFBF" w:themeColor="background1" w:themeShade="BF"/>
            </w:tcBorders>
            <w:vAlign w:val="center"/>
          </w:tcPr>
          <w:p w14:paraId="08610B05" w14:textId="77777777" w:rsidR="00BC1C3A" w:rsidRPr="00A12F34" w:rsidRDefault="00BC1C3A" w:rsidP="00A12F34">
            <w:pPr>
              <w:pStyle w:val="TableText"/>
              <w:jc w:val="center"/>
              <w:rPr>
                <w:b/>
                <w:bCs/>
              </w:rPr>
            </w:pPr>
          </w:p>
        </w:tc>
        <w:tc>
          <w:tcPr>
            <w:tcW w:w="217" w:type="pct"/>
            <w:gridSpan w:val="2"/>
            <w:tcBorders>
              <w:top w:val="single" w:sz="4" w:space="0" w:color="BFBFBF" w:themeColor="background1" w:themeShade="BF"/>
              <w:left w:val="single" w:sz="6" w:space="0" w:color="BFBFBF" w:themeColor="background1" w:themeShade="BF"/>
            </w:tcBorders>
            <w:vAlign w:val="center"/>
          </w:tcPr>
          <w:p w14:paraId="0DF084E1" w14:textId="77777777" w:rsidR="00BC1C3A" w:rsidRPr="00B65F7F" w:rsidRDefault="00BC1C3A" w:rsidP="00A12F34">
            <w:pPr>
              <w:pStyle w:val="TableText"/>
              <w:jc w:val="center"/>
              <w:rPr>
                <w:rFonts w:ascii="Segoe UI Symbol" w:hAnsi="Segoe UI Symbol" w:cs="Segoe UI Symbol"/>
              </w:rPr>
            </w:pPr>
            <w:r w:rsidRPr="00B65F7F">
              <w:rPr>
                <w:rFonts w:ascii="Segoe UI Symbol" w:hAnsi="Segoe UI Symbol" w:cs="Segoe UI Symbol"/>
              </w:rPr>
              <w:t>✓</w:t>
            </w:r>
          </w:p>
        </w:tc>
        <w:tc>
          <w:tcPr>
            <w:tcW w:w="217" w:type="pct"/>
            <w:tcBorders>
              <w:top w:val="single" w:sz="4" w:space="0" w:color="BFBFBF" w:themeColor="background1" w:themeShade="BF"/>
              <w:left w:val="single" w:sz="6" w:space="0" w:color="BFBFBF" w:themeColor="background1" w:themeShade="BF"/>
              <w:right w:val="single" w:sz="6" w:space="0" w:color="auto"/>
            </w:tcBorders>
            <w:vAlign w:val="center"/>
          </w:tcPr>
          <w:p w14:paraId="5F2658D8" w14:textId="77777777" w:rsidR="00BC1C3A" w:rsidRPr="00B65F7F" w:rsidRDefault="00BC1C3A" w:rsidP="00A12F34">
            <w:pPr>
              <w:pStyle w:val="TableText"/>
              <w:jc w:val="center"/>
              <w:rPr>
                <w:rFonts w:ascii="Segoe UI Symbol" w:hAnsi="Segoe UI Symbol" w:cs="Segoe UI Symbol"/>
              </w:rPr>
            </w:pPr>
            <w:r w:rsidRPr="00B65F7F">
              <w:rPr>
                <w:rFonts w:ascii="Segoe UI Symbol" w:hAnsi="Segoe UI Symbol" w:cs="Segoe UI Symbol"/>
              </w:rPr>
              <w:t>✓</w:t>
            </w:r>
          </w:p>
        </w:tc>
      </w:tr>
      <w:tr w:rsidR="00380CE9" w:rsidRPr="00B65F7F" w14:paraId="7BE2A5B9" w14:textId="77777777" w:rsidTr="00F820B9">
        <w:trPr>
          <w:gridAfter w:val="1"/>
          <w:wAfter w:w="9" w:type="pct"/>
          <w:trHeight w:val="20"/>
        </w:trPr>
        <w:tc>
          <w:tcPr>
            <w:tcW w:w="503" w:type="pct"/>
            <w:vMerge/>
            <w:tcBorders>
              <w:top w:val="single" w:sz="4" w:space="0" w:color="BFBFBF" w:themeColor="background1" w:themeShade="BF"/>
              <w:bottom w:val="single" w:sz="6" w:space="0" w:color="595959" w:themeColor="text1" w:themeTint="A6"/>
            </w:tcBorders>
            <w:hideMark/>
          </w:tcPr>
          <w:p w14:paraId="5EE8C159" w14:textId="77777777" w:rsidR="00BC1C3A" w:rsidRPr="00B65F7F" w:rsidRDefault="00BC1C3A" w:rsidP="00A12F34">
            <w:pPr>
              <w:pStyle w:val="TableText"/>
              <w:rPr>
                <w:rFonts w:ascii="Calibri" w:hAnsi="Calibri" w:cs="Calibri"/>
                <w:sz w:val="18"/>
                <w:szCs w:val="18"/>
              </w:rPr>
            </w:pPr>
          </w:p>
        </w:tc>
        <w:tc>
          <w:tcPr>
            <w:tcW w:w="953" w:type="pct"/>
            <w:vMerge w:val="restart"/>
            <w:tcBorders>
              <w:top w:val="single" w:sz="4" w:space="0" w:color="BFBFBF" w:themeColor="background1" w:themeShade="BF"/>
              <w:bottom w:val="single" w:sz="6" w:space="0" w:color="595959" w:themeColor="text1" w:themeTint="A6"/>
            </w:tcBorders>
            <w:hideMark/>
          </w:tcPr>
          <w:p w14:paraId="224E6E71" w14:textId="77777777" w:rsidR="00BC1C3A" w:rsidRPr="00B65F7F" w:rsidRDefault="00BC1C3A" w:rsidP="00A12F34">
            <w:pPr>
              <w:pStyle w:val="TableText"/>
            </w:pPr>
            <w:r w:rsidRPr="00B65F7F">
              <w:t>Develop and articulate the case for funding</w:t>
            </w:r>
          </w:p>
        </w:tc>
        <w:tc>
          <w:tcPr>
            <w:tcW w:w="336" w:type="pct"/>
            <w:tcBorders>
              <w:bottom w:val="single" w:sz="4" w:space="0" w:color="BFBFBF" w:themeColor="background1" w:themeShade="BF"/>
              <w:right w:val="single" w:sz="6" w:space="0" w:color="595959" w:themeColor="text1" w:themeTint="A6"/>
            </w:tcBorders>
            <w:shd w:val="clear" w:color="auto" w:fill="F2F2F2" w:themeFill="background1" w:themeFillShade="F2"/>
            <w:hideMark/>
          </w:tcPr>
          <w:p w14:paraId="35EFA93D" w14:textId="77777777" w:rsidR="00BC1C3A" w:rsidRPr="00B65F7F" w:rsidRDefault="00BC1C3A" w:rsidP="00A12F34">
            <w:pPr>
              <w:pStyle w:val="TableText"/>
            </w:pPr>
            <w:r w:rsidRPr="00B65F7F">
              <w:t>Lead</w:t>
            </w:r>
          </w:p>
        </w:tc>
        <w:tc>
          <w:tcPr>
            <w:tcW w:w="217" w:type="pct"/>
            <w:tcBorders>
              <w:top w:val="single" w:sz="4" w:space="0" w:color="BFBFBF" w:themeColor="background1" w:themeShade="BF"/>
              <w:left w:val="single" w:sz="6" w:space="0" w:color="595959" w:themeColor="text1" w:themeTint="A6"/>
              <w:bottom w:val="single" w:sz="4" w:space="0" w:color="BFBFBF" w:themeColor="background1" w:themeShade="BF"/>
              <w:right w:val="single" w:sz="6" w:space="0" w:color="BFBFBF" w:themeColor="background1" w:themeShade="BF"/>
            </w:tcBorders>
            <w:shd w:val="clear" w:color="auto" w:fill="F2F2F2" w:themeFill="background1" w:themeFillShade="F2"/>
            <w:vAlign w:val="center"/>
            <w:hideMark/>
          </w:tcPr>
          <w:p w14:paraId="463C47E0" w14:textId="77777777" w:rsidR="00BC1C3A" w:rsidRPr="00B65F7F" w:rsidRDefault="00BC1C3A" w:rsidP="00A12F34">
            <w:pPr>
              <w:pStyle w:val="TableText"/>
              <w:jc w:val="center"/>
            </w:pPr>
          </w:p>
        </w:tc>
        <w:tc>
          <w:tcPr>
            <w:tcW w:w="218" w:type="pct"/>
            <w:gridSpan w:val="2"/>
            <w:tcBorders>
              <w:top w:val="single" w:sz="4" w:space="0" w:color="BFBFBF" w:themeColor="background1" w:themeShade="BF"/>
              <w:left w:val="single" w:sz="6" w:space="0" w:color="BFBFBF" w:themeColor="background1" w:themeShade="BF"/>
              <w:bottom w:val="single" w:sz="4" w:space="0" w:color="BFBFBF" w:themeColor="background1" w:themeShade="BF"/>
              <w:right w:val="single" w:sz="6" w:space="0" w:color="BFBFBF" w:themeColor="background1" w:themeShade="BF"/>
            </w:tcBorders>
            <w:shd w:val="clear" w:color="auto" w:fill="F2F2F2" w:themeFill="background1" w:themeFillShade="F2"/>
            <w:vAlign w:val="center"/>
            <w:hideMark/>
          </w:tcPr>
          <w:p w14:paraId="119E377E" w14:textId="77777777" w:rsidR="00BC1C3A" w:rsidRPr="00B65F7F" w:rsidRDefault="00BC1C3A" w:rsidP="00A12F34">
            <w:pPr>
              <w:pStyle w:val="TableText"/>
              <w:jc w:val="center"/>
            </w:pPr>
          </w:p>
        </w:tc>
        <w:tc>
          <w:tcPr>
            <w:tcW w:w="217" w:type="pct"/>
            <w:gridSpan w:val="2"/>
            <w:tcBorders>
              <w:top w:val="single" w:sz="4" w:space="0" w:color="BFBFBF" w:themeColor="background1" w:themeShade="BF"/>
              <w:left w:val="single" w:sz="6" w:space="0" w:color="BFBFBF" w:themeColor="background1" w:themeShade="BF"/>
              <w:bottom w:val="single" w:sz="4" w:space="0" w:color="BFBFBF" w:themeColor="background1" w:themeShade="BF"/>
              <w:right w:val="single" w:sz="6" w:space="0" w:color="BFBFBF" w:themeColor="background1" w:themeShade="BF"/>
            </w:tcBorders>
            <w:shd w:val="clear" w:color="auto" w:fill="F2F2F2" w:themeFill="background1" w:themeFillShade="F2"/>
            <w:vAlign w:val="center"/>
            <w:hideMark/>
          </w:tcPr>
          <w:p w14:paraId="7DC38B73" w14:textId="77777777" w:rsidR="00BC1C3A" w:rsidRPr="00A12F34" w:rsidRDefault="00BC1C3A" w:rsidP="00A12F34">
            <w:pPr>
              <w:pStyle w:val="TableText"/>
              <w:jc w:val="center"/>
              <w:rPr>
                <w:b/>
                <w:bCs/>
              </w:rPr>
            </w:pPr>
            <w:r w:rsidRPr="00A12F34">
              <w:rPr>
                <w:rFonts w:ascii="Segoe UI Symbol" w:hAnsi="Segoe UI Symbol" w:cs="Segoe UI Symbol"/>
                <w:b/>
                <w:bCs/>
              </w:rPr>
              <w:t>✓</w:t>
            </w:r>
          </w:p>
        </w:tc>
        <w:tc>
          <w:tcPr>
            <w:tcW w:w="217" w:type="pct"/>
            <w:gridSpan w:val="2"/>
            <w:tcBorders>
              <w:top w:val="single" w:sz="4" w:space="0" w:color="BFBFBF" w:themeColor="background1" w:themeShade="BF"/>
              <w:left w:val="single" w:sz="6" w:space="0" w:color="BFBFBF" w:themeColor="background1" w:themeShade="BF"/>
              <w:bottom w:val="single" w:sz="4" w:space="0" w:color="BFBFBF" w:themeColor="background1" w:themeShade="BF"/>
              <w:right w:val="single" w:sz="6" w:space="0" w:color="BFBFBF" w:themeColor="background1" w:themeShade="BF"/>
            </w:tcBorders>
            <w:shd w:val="clear" w:color="auto" w:fill="F2F2F2" w:themeFill="background1" w:themeFillShade="F2"/>
            <w:vAlign w:val="center"/>
            <w:hideMark/>
          </w:tcPr>
          <w:p w14:paraId="51C9C133" w14:textId="77777777" w:rsidR="00BC1C3A" w:rsidRPr="00B65F7F" w:rsidRDefault="00BC1C3A" w:rsidP="00A12F34">
            <w:pPr>
              <w:pStyle w:val="TableText"/>
              <w:jc w:val="center"/>
            </w:pPr>
          </w:p>
        </w:tc>
        <w:tc>
          <w:tcPr>
            <w:tcW w:w="160" w:type="pct"/>
            <w:tcBorders>
              <w:top w:val="single" w:sz="4" w:space="0" w:color="BFBFBF" w:themeColor="background1" w:themeShade="BF"/>
              <w:left w:val="single" w:sz="6" w:space="0" w:color="BFBFBF" w:themeColor="background1" w:themeShade="BF"/>
              <w:bottom w:val="single" w:sz="4" w:space="0" w:color="BFBFBF" w:themeColor="background1" w:themeShade="BF"/>
              <w:right w:val="single" w:sz="6" w:space="0" w:color="595959" w:themeColor="text1" w:themeTint="A6"/>
            </w:tcBorders>
            <w:shd w:val="clear" w:color="auto" w:fill="F2F2F2" w:themeFill="background1" w:themeFillShade="F2"/>
            <w:vAlign w:val="center"/>
            <w:hideMark/>
          </w:tcPr>
          <w:p w14:paraId="4405961F" w14:textId="77777777" w:rsidR="00BC1C3A" w:rsidRPr="00B65F7F" w:rsidRDefault="00BC1C3A" w:rsidP="00A12F34">
            <w:pPr>
              <w:pStyle w:val="TableText"/>
              <w:jc w:val="center"/>
            </w:pPr>
          </w:p>
        </w:tc>
        <w:tc>
          <w:tcPr>
            <w:tcW w:w="217" w:type="pct"/>
            <w:gridSpan w:val="2"/>
            <w:tcBorders>
              <w:top w:val="single" w:sz="4" w:space="0" w:color="BFBFBF" w:themeColor="background1" w:themeShade="BF"/>
              <w:left w:val="single" w:sz="6" w:space="0" w:color="595959" w:themeColor="text1" w:themeTint="A6"/>
              <w:bottom w:val="single" w:sz="4" w:space="0" w:color="BFBFBF" w:themeColor="background1" w:themeShade="BF"/>
              <w:right w:val="single" w:sz="6" w:space="0" w:color="BFBFBF" w:themeColor="background1" w:themeShade="BF"/>
            </w:tcBorders>
            <w:shd w:val="clear" w:color="auto" w:fill="F2F2F2" w:themeFill="background1" w:themeFillShade="F2"/>
            <w:vAlign w:val="center"/>
            <w:hideMark/>
          </w:tcPr>
          <w:p w14:paraId="255CFFE0" w14:textId="77777777" w:rsidR="00BC1C3A" w:rsidRPr="00B65F7F" w:rsidRDefault="00BC1C3A" w:rsidP="00A12F34">
            <w:pPr>
              <w:pStyle w:val="TableText"/>
              <w:jc w:val="center"/>
            </w:pPr>
          </w:p>
        </w:tc>
        <w:tc>
          <w:tcPr>
            <w:tcW w:w="217" w:type="pct"/>
            <w:gridSpan w:val="2"/>
            <w:tcBorders>
              <w:top w:val="single" w:sz="4" w:space="0" w:color="BFBFBF" w:themeColor="background1" w:themeShade="BF"/>
              <w:left w:val="single" w:sz="6" w:space="0" w:color="BFBFBF" w:themeColor="background1" w:themeShade="BF"/>
              <w:bottom w:val="single" w:sz="4" w:space="0" w:color="BFBFBF" w:themeColor="background1" w:themeShade="BF"/>
              <w:right w:val="single" w:sz="6" w:space="0" w:color="BFBFBF" w:themeColor="background1" w:themeShade="BF"/>
            </w:tcBorders>
            <w:shd w:val="clear" w:color="auto" w:fill="F2F2F2" w:themeFill="background1" w:themeFillShade="F2"/>
            <w:vAlign w:val="center"/>
            <w:hideMark/>
          </w:tcPr>
          <w:p w14:paraId="7BD0FB54" w14:textId="77777777" w:rsidR="00BC1C3A" w:rsidRPr="00B65F7F" w:rsidRDefault="00BC1C3A" w:rsidP="00A12F34">
            <w:pPr>
              <w:pStyle w:val="TableText"/>
              <w:jc w:val="center"/>
            </w:pPr>
          </w:p>
        </w:tc>
        <w:tc>
          <w:tcPr>
            <w:tcW w:w="217" w:type="pct"/>
            <w:gridSpan w:val="2"/>
            <w:tcBorders>
              <w:top w:val="single" w:sz="4" w:space="0" w:color="BFBFBF" w:themeColor="background1" w:themeShade="BF"/>
              <w:left w:val="single" w:sz="6" w:space="0" w:color="BFBFBF" w:themeColor="background1" w:themeShade="BF"/>
              <w:bottom w:val="single" w:sz="4" w:space="0" w:color="BFBFBF" w:themeColor="background1" w:themeShade="BF"/>
              <w:right w:val="single" w:sz="6" w:space="0" w:color="BFBFBF" w:themeColor="background1" w:themeShade="BF"/>
            </w:tcBorders>
            <w:shd w:val="clear" w:color="auto" w:fill="F2F2F2" w:themeFill="background1" w:themeFillShade="F2"/>
            <w:vAlign w:val="center"/>
            <w:hideMark/>
          </w:tcPr>
          <w:p w14:paraId="1B46C63F" w14:textId="77777777" w:rsidR="00BC1C3A" w:rsidRPr="00B65F7F" w:rsidRDefault="00BC1C3A" w:rsidP="00A12F34">
            <w:pPr>
              <w:pStyle w:val="TableText"/>
              <w:jc w:val="center"/>
            </w:pPr>
          </w:p>
        </w:tc>
        <w:tc>
          <w:tcPr>
            <w:tcW w:w="217" w:type="pct"/>
            <w:gridSpan w:val="2"/>
            <w:tcBorders>
              <w:top w:val="single" w:sz="4" w:space="0" w:color="BFBFBF" w:themeColor="background1" w:themeShade="BF"/>
              <w:left w:val="single" w:sz="6" w:space="0" w:color="BFBFBF" w:themeColor="background1" w:themeShade="BF"/>
              <w:bottom w:val="single" w:sz="4" w:space="0" w:color="BFBFBF" w:themeColor="background1" w:themeShade="BF"/>
              <w:right w:val="single" w:sz="6" w:space="0" w:color="BFBFBF" w:themeColor="background1" w:themeShade="BF"/>
            </w:tcBorders>
            <w:shd w:val="clear" w:color="auto" w:fill="F2F2F2" w:themeFill="background1" w:themeFillShade="F2"/>
            <w:vAlign w:val="center"/>
            <w:hideMark/>
          </w:tcPr>
          <w:p w14:paraId="0530149D" w14:textId="77777777" w:rsidR="00BC1C3A" w:rsidRPr="00A12F34" w:rsidRDefault="00BC1C3A" w:rsidP="00A12F34">
            <w:pPr>
              <w:pStyle w:val="TableText"/>
              <w:jc w:val="center"/>
              <w:rPr>
                <w:b/>
                <w:bCs/>
              </w:rPr>
            </w:pPr>
            <w:r w:rsidRPr="00A12F34">
              <w:rPr>
                <w:rFonts w:ascii="Segoe UI Symbol" w:hAnsi="Segoe UI Symbol" w:cs="Segoe UI Symbol"/>
                <w:b/>
                <w:bCs/>
              </w:rPr>
              <w:t>✓</w:t>
            </w:r>
          </w:p>
        </w:tc>
        <w:tc>
          <w:tcPr>
            <w:tcW w:w="217" w:type="pct"/>
            <w:tcBorders>
              <w:top w:val="single" w:sz="4" w:space="0" w:color="BFBFBF" w:themeColor="background1" w:themeShade="BF"/>
              <w:left w:val="single" w:sz="6" w:space="0" w:color="BFBFBF" w:themeColor="background1" w:themeShade="BF"/>
              <w:bottom w:val="single" w:sz="4" w:space="0" w:color="BFBFBF" w:themeColor="background1" w:themeShade="BF"/>
              <w:right w:val="single" w:sz="6" w:space="0" w:color="595959" w:themeColor="text1" w:themeTint="A6"/>
            </w:tcBorders>
            <w:shd w:val="clear" w:color="auto" w:fill="F2F2F2" w:themeFill="background1" w:themeFillShade="F2"/>
            <w:vAlign w:val="center"/>
            <w:hideMark/>
          </w:tcPr>
          <w:p w14:paraId="20938794" w14:textId="77777777" w:rsidR="00BC1C3A" w:rsidRPr="00B65F7F" w:rsidRDefault="00BC1C3A" w:rsidP="00A12F34">
            <w:pPr>
              <w:pStyle w:val="TableText"/>
              <w:jc w:val="center"/>
            </w:pPr>
          </w:p>
        </w:tc>
        <w:tc>
          <w:tcPr>
            <w:tcW w:w="217" w:type="pct"/>
            <w:gridSpan w:val="2"/>
            <w:tcBorders>
              <w:top w:val="single" w:sz="4" w:space="0" w:color="BFBFBF" w:themeColor="background1" w:themeShade="BF"/>
              <w:left w:val="single" w:sz="6" w:space="0" w:color="595959" w:themeColor="text1" w:themeTint="A6"/>
              <w:bottom w:val="single" w:sz="4" w:space="0" w:color="BFBFBF" w:themeColor="background1" w:themeShade="BF"/>
            </w:tcBorders>
            <w:shd w:val="clear" w:color="auto" w:fill="F2F2F2" w:themeFill="background1" w:themeFillShade="F2"/>
            <w:vAlign w:val="center"/>
          </w:tcPr>
          <w:p w14:paraId="56C5099D" w14:textId="77777777" w:rsidR="00BC1C3A" w:rsidRPr="00B65F7F" w:rsidRDefault="00BC1C3A" w:rsidP="00A12F34">
            <w:pPr>
              <w:pStyle w:val="TableParagraph"/>
              <w:jc w:val="center"/>
            </w:pPr>
          </w:p>
        </w:tc>
        <w:tc>
          <w:tcPr>
            <w:tcW w:w="217" w:type="pct"/>
            <w:gridSpan w:val="2"/>
            <w:tcBorders>
              <w:top w:val="single" w:sz="4" w:space="0" w:color="BFBFBF" w:themeColor="background1" w:themeShade="BF"/>
              <w:left w:val="single" w:sz="6" w:space="0" w:color="BFBFBF" w:themeColor="background1" w:themeShade="BF"/>
              <w:bottom w:val="single" w:sz="4" w:space="0" w:color="BFBFBF" w:themeColor="background1" w:themeShade="BF"/>
            </w:tcBorders>
            <w:shd w:val="clear" w:color="auto" w:fill="F2F2F2" w:themeFill="background1" w:themeFillShade="F2"/>
            <w:vAlign w:val="center"/>
          </w:tcPr>
          <w:p w14:paraId="600EA57F" w14:textId="77777777" w:rsidR="00BC1C3A" w:rsidRPr="00B65F7F" w:rsidRDefault="00BC1C3A" w:rsidP="00A12F34">
            <w:pPr>
              <w:pStyle w:val="TableParagraph"/>
              <w:jc w:val="center"/>
            </w:pPr>
          </w:p>
        </w:tc>
        <w:tc>
          <w:tcPr>
            <w:tcW w:w="217" w:type="pct"/>
            <w:gridSpan w:val="2"/>
            <w:tcBorders>
              <w:top w:val="single" w:sz="4" w:space="0" w:color="BFBFBF" w:themeColor="background1" w:themeShade="BF"/>
              <w:left w:val="single" w:sz="6" w:space="0" w:color="BFBFBF" w:themeColor="background1" w:themeShade="BF"/>
              <w:bottom w:val="single" w:sz="4" w:space="0" w:color="BFBFBF" w:themeColor="background1" w:themeShade="BF"/>
            </w:tcBorders>
            <w:shd w:val="clear" w:color="auto" w:fill="F2F2F2" w:themeFill="background1" w:themeFillShade="F2"/>
            <w:vAlign w:val="center"/>
          </w:tcPr>
          <w:p w14:paraId="2CEFF4B2" w14:textId="77777777" w:rsidR="00BC1C3A" w:rsidRPr="00A12F34" w:rsidRDefault="00BC1C3A" w:rsidP="00A12F34">
            <w:pPr>
              <w:pStyle w:val="TableText"/>
              <w:jc w:val="center"/>
              <w:rPr>
                <w:b/>
                <w:bCs/>
              </w:rPr>
            </w:pPr>
            <w:r w:rsidRPr="00A12F34">
              <w:rPr>
                <w:rFonts w:ascii="Segoe UI Symbol" w:hAnsi="Segoe UI Symbol" w:cs="Segoe UI Symbol"/>
                <w:b/>
                <w:bCs/>
              </w:rPr>
              <w:t>✓</w:t>
            </w:r>
          </w:p>
        </w:tc>
        <w:tc>
          <w:tcPr>
            <w:tcW w:w="217" w:type="pct"/>
            <w:gridSpan w:val="2"/>
            <w:tcBorders>
              <w:top w:val="single" w:sz="4" w:space="0" w:color="BFBFBF" w:themeColor="background1" w:themeShade="BF"/>
              <w:left w:val="single" w:sz="6" w:space="0" w:color="BFBFBF" w:themeColor="background1" w:themeShade="BF"/>
              <w:bottom w:val="single" w:sz="4" w:space="0" w:color="BFBFBF" w:themeColor="background1" w:themeShade="BF"/>
            </w:tcBorders>
            <w:shd w:val="clear" w:color="auto" w:fill="F2F2F2" w:themeFill="background1" w:themeFillShade="F2"/>
            <w:vAlign w:val="center"/>
          </w:tcPr>
          <w:p w14:paraId="0C8B184D" w14:textId="77777777" w:rsidR="00BC1C3A" w:rsidRPr="00B65F7F" w:rsidRDefault="00BC1C3A" w:rsidP="00A12F34">
            <w:pPr>
              <w:pStyle w:val="TableText"/>
              <w:jc w:val="center"/>
            </w:pPr>
          </w:p>
        </w:tc>
        <w:tc>
          <w:tcPr>
            <w:tcW w:w="217" w:type="pct"/>
            <w:tcBorders>
              <w:top w:val="single" w:sz="4" w:space="0" w:color="BFBFBF" w:themeColor="background1" w:themeShade="BF"/>
              <w:left w:val="single" w:sz="6" w:space="0" w:color="BFBFBF" w:themeColor="background1" w:themeShade="BF"/>
              <w:bottom w:val="single" w:sz="4" w:space="0" w:color="BFBFBF" w:themeColor="background1" w:themeShade="BF"/>
              <w:right w:val="single" w:sz="6" w:space="0" w:color="auto"/>
            </w:tcBorders>
            <w:shd w:val="clear" w:color="auto" w:fill="F2F2F2" w:themeFill="background1" w:themeFillShade="F2"/>
            <w:vAlign w:val="center"/>
          </w:tcPr>
          <w:p w14:paraId="4F2FE7F6" w14:textId="77777777" w:rsidR="00BC1C3A" w:rsidRPr="00B65F7F" w:rsidRDefault="00BC1C3A" w:rsidP="00A12F34">
            <w:pPr>
              <w:pStyle w:val="TableText"/>
              <w:jc w:val="center"/>
            </w:pPr>
          </w:p>
        </w:tc>
      </w:tr>
      <w:tr w:rsidR="00380CE9" w:rsidRPr="00B65F7F" w14:paraId="370FEDB8" w14:textId="77777777" w:rsidTr="00F820B9">
        <w:trPr>
          <w:gridAfter w:val="1"/>
          <w:wAfter w:w="9" w:type="pct"/>
          <w:trHeight w:val="20"/>
        </w:trPr>
        <w:tc>
          <w:tcPr>
            <w:tcW w:w="503" w:type="pct"/>
            <w:vMerge/>
            <w:tcBorders>
              <w:top w:val="single" w:sz="4" w:space="0" w:color="BFBFBF" w:themeColor="background1" w:themeShade="BF"/>
              <w:bottom w:val="single" w:sz="6" w:space="0" w:color="595959" w:themeColor="text1" w:themeTint="A6"/>
            </w:tcBorders>
            <w:hideMark/>
          </w:tcPr>
          <w:p w14:paraId="40FCB6D9" w14:textId="77777777" w:rsidR="00BC1C3A" w:rsidRPr="00B65F7F" w:rsidRDefault="00BC1C3A" w:rsidP="00A12F34">
            <w:pPr>
              <w:pStyle w:val="TableText"/>
              <w:rPr>
                <w:rFonts w:ascii="Calibri" w:hAnsi="Calibri" w:cs="Calibri"/>
                <w:sz w:val="18"/>
                <w:szCs w:val="18"/>
              </w:rPr>
            </w:pPr>
          </w:p>
        </w:tc>
        <w:tc>
          <w:tcPr>
            <w:tcW w:w="953" w:type="pct"/>
            <w:vMerge/>
            <w:tcBorders>
              <w:top w:val="single" w:sz="4" w:space="0" w:color="BFBFBF" w:themeColor="background1" w:themeShade="BF"/>
              <w:bottom w:val="single" w:sz="6" w:space="0" w:color="595959" w:themeColor="text1" w:themeTint="A6"/>
            </w:tcBorders>
            <w:hideMark/>
          </w:tcPr>
          <w:p w14:paraId="39FF7A6D" w14:textId="77777777" w:rsidR="00BC1C3A" w:rsidRPr="00B65F7F" w:rsidRDefault="00BC1C3A" w:rsidP="00A12F34">
            <w:pPr>
              <w:pStyle w:val="TableText"/>
            </w:pPr>
          </w:p>
        </w:tc>
        <w:tc>
          <w:tcPr>
            <w:tcW w:w="336" w:type="pct"/>
            <w:tcBorders>
              <w:top w:val="single" w:sz="4" w:space="0" w:color="BFBFBF" w:themeColor="background1" w:themeShade="BF"/>
              <w:bottom w:val="single" w:sz="6" w:space="0" w:color="595959" w:themeColor="text1" w:themeTint="A6"/>
              <w:right w:val="single" w:sz="6" w:space="0" w:color="595959" w:themeColor="text1" w:themeTint="A6"/>
            </w:tcBorders>
            <w:hideMark/>
          </w:tcPr>
          <w:p w14:paraId="1908680A" w14:textId="77777777" w:rsidR="00BC1C3A" w:rsidRPr="00B65F7F" w:rsidRDefault="00BC1C3A" w:rsidP="00A12F34">
            <w:pPr>
              <w:pStyle w:val="TableText"/>
            </w:pPr>
            <w:r w:rsidRPr="00B65F7F">
              <w:t>Support</w:t>
            </w:r>
          </w:p>
        </w:tc>
        <w:tc>
          <w:tcPr>
            <w:tcW w:w="217" w:type="pct"/>
            <w:tcBorders>
              <w:top w:val="single" w:sz="4" w:space="0" w:color="BFBFBF" w:themeColor="background1" w:themeShade="BF"/>
              <w:left w:val="single" w:sz="6" w:space="0" w:color="595959" w:themeColor="text1" w:themeTint="A6"/>
              <w:bottom w:val="single" w:sz="6" w:space="0" w:color="595959" w:themeColor="text1" w:themeTint="A6"/>
              <w:right w:val="single" w:sz="6" w:space="0" w:color="BFBFBF" w:themeColor="background1" w:themeShade="BF"/>
            </w:tcBorders>
            <w:vAlign w:val="center"/>
            <w:hideMark/>
          </w:tcPr>
          <w:p w14:paraId="728C0333" w14:textId="77777777" w:rsidR="00BC1C3A" w:rsidRPr="00B65F7F" w:rsidRDefault="00BC1C3A" w:rsidP="00A12F34">
            <w:pPr>
              <w:pStyle w:val="TableText"/>
              <w:jc w:val="center"/>
            </w:pPr>
          </w:p>
        </w:tc>
        <w:tc>
          <w:tcPr>
            <w:tcW w:w="218" w:type="pct"/>
            <w:gridSpan w:val="2"/>
            <w:tcBorders>
              <w:top w:val="single" w:sz="4" w:space="0" w:color="BFBFBF" w:themeColor="background1" w:themeShade="BF"/>
              <w:left w:val="single" w:sz="6" w:space="0" w:color="BFBFBF" w:themeColor="background1" w:themeShade="BF"/>
              <w:bottom w:val="single" w:sz="6" w:space="0" w:color="595959" w:themeColor="text1" w:themeTint="A6"/>
              <w:right w:val="single" w:sz="6" w:space="0" w:color="BFBFBF" w:themeColor="background1" w:themeShade="BF"/>
            </w:tcBorders>
            <w:vAlign w:val="center"/>
            <w:hideMark/>
          </w:tcPr>
          <w:p w14:paraId="0063A4E1" w14:textId="77777777" w:rsidR="00BC1C3A" w:rsidRPr="00B65F7F" w:rsidRDefault="00BC1C3A" w:rsidP="00A12F34">
            <w:pPr>
              <w:pStyle w:val="TableText"/>
              <w:jc w:val="center"/>
            </w:pPr>
          </w:p>
        </w:tc>
        <w:tc>
          <w:tcPr>
            <w:tcW w:w="217" w:type="pct"/>
            <w:gridSpan w:val="2"/>
            <w:tcBorders>
              <w:top w:val="single" w:sz="4" w:space="0" w:color="BFBFBF" w:themeColor="background1" w:themeShade="BF"/>
              <w:left w:val="single" w:sz="6" w:space="0" w:color="BFBFBF" w:themeColor="background1" w:themeShade="BF"/>
              <w:bottom w:val="single" w:sz="6" w:space="0" w:color="595959" w:themeColor="text1" w:themeTint="A6"/>
              <w:right w:val="single" w:sz="6" w:space="0" w:color="BFBFBF" w:themeColor="background1" w:themeShade="BF"/>
            </w:tcBorders>
            <w:vAlign w:val="center"/>
            <w:hideMark/>
          </w:tcPr>
          <w:p w14:paraId="09B90E0E" w14:textId="77777777" w:rsidR="00BC1C3A" w:rsidRPr="00A12F34" w:rsidRDefault="00BC1C3A" w:rsidP="00A12F34">
            <w:pPr>
              <w:pStyle w:val="TableText"/>
              <w:jc w:val="center"/>
              <w:rPr>
                <w:b/>
                <w:bCs/>
              </w:rPr>
            </w:pPr>
          </w:p>
        </w:tc>
        <w:tc>
          <w:tcPr>
            <w:tcW w:w="217" w:type="pct"/>
            <w:gridSpan w:val="2"/>
            <w:tcBorders>
              <w:top w:val="single" w:sz="4" w:space="0" w:color="BFBFBF" w:themeColor="background1" w:themeShade="BF"/>
              <w:left w:val="single" w:sz="6" w:space="0" w:color="BFBFBF" w:themeColor="background1" w:themeShade="BF"/>
              <w:bottom w:val="single" w:sz="6" w:space="0" w:color="595959" w:themeColor="text1" w:themeTint="A6"/>
              <w:right w:val="single" w:sz="6" w:space="0" w:color="BFBFBF" w:themeColor="background1" w:themeShade="BF"/>
            </w:tcBorders>
            <w:vAlign w:val="center"/>
            <w:hideMark/>
          </w:tcPr>
          <w:p w14:paraId="1B5CD90D" w14:textId="77777777" w:rsidR="00BC1C3A" w:rsidRPr="00B65F7F" w:rsidRDefault="00BC1C3A" w:rsidP="00A12F34">
            <w:pPr>
              <w:pStyle w:val="TableText"/>
              <w:jc w:val="center"/>
            </w:pPr>
            <w:r w:rsidRPr="00B65F7F">
              <w:rPr>
                <w:rFonts w:ascii="Segoe UI Symbol" w:hAnsi="Segoe UI Symbol" w:cs="Segoe UI Symbol"/>
              </w:rPr>
              <w:t>✓</w:t>
            </w:r>
          </w:p>
        </w:tc>
        <w:tc>
          <w:tcPr>
            <w:tcW w:w="160" w:type="pct"/>
            <w:tcBorders>
              <w:top w:val="single" w:sz="4" w:space="0" w:color="BFBFBF" w:themeColor="background1" w:themeShade="BF"/>
              <w:left w:val="single" w:sz="6" w:space="0" w:color="BFBFBF" w:themeColor="background1" w:themeShade="BF"/>
              <w:bottom w:val="single" w:sz="6" w:space="0" w:color="595959" w:themeColor="text1" w:themeTint="A6"/>
              <w:right w:val="single" w:sz="6" w:space="0" w:color="595959" w:themeColor="text1" w:themeTint="A6"/>
            </w:tcBorders>
            <w:vAlign w:val="center"/>
            <w:hideMark/>
          </w:tcPr>
          <w:p w14:paraId="53FF7EC9" w14:textId="77777777" w:rsidR="00BC1C3A" w:rsidRPr="00B65F7F" w:rsidRDefault="00BC1C3A" w:rsidP="00A12F34">
            <w:pPr>
              <w:pStyle w:val="TableText"/>
              <w:jc w:val="center"/>
            </w:pPr>
          </w:p>
        </w:tc>
        <w:tc>
          <w:tcPr>
            <w:tcW w:w="217" w:type="pct"/>
            <w:gridSpan w:val="2"/>
            <w:tcBorders>
              <w:top w:val="single" w:sz="4" w:space="0" w:color="BFBFBF" w:themeColor="background1" w:themeShade="BF"/>
              <w:left w:val="single" w:sz="6" w:space="0" w:color="595959" w:themeColor="text1" w:themeTint="A6"/>
              <w:bottom w:val="single" w:sz="6" w:space="0" w:color="595959" w:themeColor="text1" w:themeTint="A6"/>
              <w:right w:val="single" w:sz="6" w:space="0" w:color="BFBFBF" w:themeColor="background1" w:themeShade="BF"/>
            </w:tcBorders>
            <w:vAlign w:val="center"/>
            <w:hideMark/>
          </w:tcPr>
          <w:p w14:paraId="0BAFC305" w14:textId="77777777" w:rsidR="00BC1C3A" w:rsidRPr="00B65F7F" w:rsidRDefault="00BC1C3A" w:rsidP="00A12F34">
            <w:pPr>
              <w:pStyle w:val="TableText"/>
              <w:jc w:val="center"/>
            </w:pPr>
            <w:r w:rsidRPr="00B65F7F">
              <w:rPr>
                <w:rFonts w:ascii="Segoe UI Symbol" w:hAnsi="Segoe UI Symbol" w:cs="Segoe UI Symbol"/>
              </w:rPr>
              <w:t>✓</w:t>
            </w:r>
          </w:p>
        </w:tc>
        <w:tc>
          <w:tcPr>
            <w:tcW w:w="217" w:type="pct"/>
            <w:gridSpan w:val="2"/>
            <w:tcBorders>
              <w:top w:val="single" w:sz="4" w:space="0" w:color="BFBFBF" w:themeColor="background1" w:themeShade="BF"/>
              <w:left w:val="single" w:sz="6" w:space="0" w:color="BFBFBF" w:themeColor="background1" w:themeShade="BF"/>
              <w:bottom w:val="single" w:sz="6" w:space="0" w:color="595959" w:themeColor="text1" w:themeTint="A6"/>
              <w:right w:val="single" w:sz="6" w:space="0" w:color="BFBFBF" w:themeColor="background1" w:themeShade="BF"/>
            </w:tcBorders>
            <w:vAlign w:val="center"/>
            <w:hideMark/>
          </w:tcPr>
          <w:p w14:paraId="70D95873" w14:textId="77777777" w:rsidR="00BC1C3A" w:rsidRPr="00B65F7F" w:rsidRDefault="00BC1C3A" w:rsidP="00A12F34">
            <w:pPr>
              <w:pStyle w:val="TableText"/>
              <w:jc w:val="center"/>
            </w:pPr>
            <w:r w:rsidRPr="00B65F7F">
              <w:rPr>
                <w:rFonts w:ascii="Segoe UI Symbol" w:hAnsi="Segoe UI Symbol" w:cs="Segoe UI Symbol"/>
              </w:rPr>
              <w:t>✓</w:t>
            </w:r>
          </w:p>
        </w:tc>
        <w:tc>
          <w:tcPr>
            <w:tcW w:w="217" w:type="pct"/>
            <w:gridSpan w:val="2"/>
            <w:tcBorders>
              <w:top w:val="single" w:sz="4" w:space="0" w:color="BFBFBF" w:themeColor="background1" w:themeShade="BF"/>
              <w:left w:val="single" w:sz="6" w:space="0" w:color="BFBFBF" w:themeColor="background1" w:themeShade="BF"/>
              <w:bottom w:val="single" w:sz="6" w:space="0" w:color="595959" w:themeColor="text1" w:themeTint="A6"/>
              <w:right w:val="single" w:sz="6" w:space="0" w:color="BFBFBF" w:themeColor="background1" w:themeShade="BF"/>
            </w:tcBorders>
            <w:vAlign w:val="center"/>
            <w:hideMark/>
          </w:tcPr>
          <w:p w14:paraId="5D233879" w14:textId="77777777" w:rsidR="00BC1C3A" w:rsidRPr="00B65F7F" w:rsidRDefault="00BC1C3A" w:rsidP="00A12F34">
            <w:pPr>
              <w:pStyle w:val="TableText"/>
              <w:jc w:val="center"/>
            </w:pPr>
            <w:r w:rsidRPr="00B65F7F">
              <w:rPr>
                <w:rFonts w:ascii="Segoe UI Symbol" w:hAnsi="Segoe UI Symbol" w:cs="Segoe UI Symbol"/>
              </w:rPr>
              <w:t>✓</w:t>
            </w:r>
          </w:p>
        </w:tc>
        <w:tc>
          <w:tcPr>
            <w:tcW w:w="217" w:type="pct"/>
            <w:gridSpan w:val="2"/>
            <w:tcBorders>
              <w:top w:val="single" w:sz="4" w:space="0" w:color="BFBFBF" w:themeColor="background1" w:themeShade="BF"/>
              <w:left w:val="single" w:sz="6" w:space="0" w:color="BFBFBF" w:themeColor="background1" w:themeShade="BF"/>
              <w:bottom w:val="single" w:sz="6" w:space="0" w:color="595959" w:themeColor="text1" w:themeTint="A6"/>
              <w:right w:val="single" w:sz="6" w:space="0" w:color="BFBFBF" w:themeColor="background1" w:themeShade="BF"/>
            </w:tcBorders>
            <w:vAlign w:val="center"/>
            <w:hideMark/>
          </w:tcPr>
          <w:p w14:paraId="2B3A6E2C" w14:textId="77777777" w:rsidR="00BC1C3A" w:rsidRPr="00A12F34" w:rsidRDefault="00BC1C3A" w:rsidP="00A12F34">
            <w:pPr>
              <w:pStyle w:val="TableText"/>
              <w:jc w:val="center"/>
              <w:rPr>
                <w:b/>
                <w:bCs/>
              </w:rPr>
            </w:pPr>
          </w:p>
        </w:tc>
        <w:tc>
          <w:tcPr>
            <w:tcW w:w="217" w:type="pct"/>
            <w:tcBorders>
              <w:top w:val="single" w:sz="4" w:space="0" w:color="BFBFBF" w:themeColor="background1" w:themeShade="BF"/>
              <w:left w:val="single" w:sz="6" w:space="0" w:color="BFBFBF" w:themeColor="background1" w:themeShade="BF"/>
              <w:bottom w:val="single" w:sz="6" w:space="0" w:color="595959" w:themeColor="text1" w:themeTint="A6"/>
              <w:right w:val="single" w:sz="6" w:space="0" w:color="595959" w:themeColor="text1" w:themeTint="A6"/>
            </w:tcBorders>
            <w:vAlign w:val="center"/>
            <w:hideMark/>
          </w:tcPr>
          <w:p w14:paraId="7BA15D41" w14:textId="77777777" w:rsidR="00BC1C3A" w:rsidRPr="00B65F7F" w:rsidRDefault="00BC1C3A" w:rsidP="00A12F34">
            <w:pPr>
              <w:pStyle w:val="TableText"/>
              <w:jc w:val="center"/>
            </w:pPr>
          </w:p>
        </w:tc>
        <w:tc>
          <w:tcPr>
            <w:tcW w:w="217" w:type="pct"/>
            <w:gridSpan w:val="2"/>
            <w:tcBorders>
              <w:top w:val="single" w:sz="4" w:space="0" w:color="BFBFBF" w:themeColor="background1" w:themeShade="BF"/>
              <w:left w:val="single" w:sz="6" w:space="0" w:color="595959" w:themeColor="text1" w:themeTint="A6"/>
              <w:bottom w:val="single" w:sz="6" w:space="0" w:color="595959" w:themeColor="text1" w:themeTint="A6"/>
            </w:tcBorders>
            <w:vAlign w:val="center"/>
          </w:tcPr>
          <w:p w14:paraId="78838D8E" w14:textId="77777777" w:rsidR="00BC1C3A" w:rsidRPr="00B65F7F" w:rsidRDefault="00BC1C3A" w:rsidP="00A12F34">
            <w:pPr>
              <w:pStyle w:val="TableParagraph"/>
              <w:jc w:val="center"/>
            </w:pPr>
          </w:p>
        </w:tc>
        <w:tc>
          <w:tcPr>
            <w:tcW w:w="217" w:type="pct"/>
            <w:gridSpan w:val="2"/>
            <w:tcBorders>
              <w:top w:val="single" w:sz="4" w:space="0" w:color="BFBFBF" w:themeColor="background1" w:themeShade="BF"/>
              <w:left w:val="single" w:sz="6" w:space="0" w:color="BFBFBF" w:themeColor="background1" w:themeShade="BF"/>
              <w:bottom w:val="single" w:sz="6" w:space="0" w:color="595959" w:themeColor="text1" w:themeTint="A6"/>
            </w:tcBorders>
            <w:vAlign w:val="center"/>
          </w:tcPr>
          <w:p w14:paraId="69DA8608" w14:textId="77777777" w:rsidR="00BC1C3A" w:rsidRPr="00B65F7F" w:rsidRDefault="00BC1C3A" w:rsidP="00A12F34">
            <w:pPr>
              <w:pStyle w:val="TableParagraph"/>
              <w:jc w:val="center"/>
            </w:pPr>
          </w:p>
        </w:tc>
        <w:tc>
          <w:tcPr>
            <w:tcW w:w="217" w:type="pct"/>
            <w:gridSpan w:val="2"/>
            <w:tcBorders>
              <w:top w:val="single" w:sz="4" w:space="0" w:color="BFBFBF" w:themeColor="background1" w:themeShade="BF"/>
              <w:left w:val="single" w:sz="6" w:space="0" w:color="BFBFBF" w:themeColor="background1" w:themeShade="BF"/>
              <w:bottom w:val="single" w:sz="6" w:space="0" w:color="595959" w:themeColor="text1" w:themeTint="A6"/>
            </w:tcBorders>
            <w:vAlign w:val="center"/>
          </w:tcPr>
          <w:p w14:paraId="7F54CE13" w14:textId="77777777" w:rsidR="00BC1C3A" w:rsidRPr="00A12F34" w:rsidRDefault="00BC1C3A" w:rsidP="00A12F34">
            <w:pPr>
              <w:pStyle w:val="TableText"/>
              <w:jc w:val="center"/>
              <w:rPr>
                <w:b/>
                <w:bCs/>
              </w:rPr>
            </w:pPr>
          </w:p>
        </w:tc>
        <w:tc>
          <w:tcPr>
            <w:tcW w:w="217" w:type="pct"/>
            <w:gridSpan w:val="2"/>
            <w:tcBorders>
              <w:top w:val="single" w:sz="4" w:space="0" w:color="BFBFBF" w:themeColor="background1" w:themeShade="BF"/>
              <w:left w:val="single" w:sz="6" w:space="0" w:color="BFBFBF" w:themeColor="background1" w:themeShade="BF"/>
              <w:bottom w:val="single" w:sz="6" w:space="0" w:color="595959" w:themeColor="text1" w:themeTint="A6"/>
            </w:tcBorders>
            <w:vAlign w:val="center"/>
          </w:tcPr>
          <w:p w14:paraId="7372A1B1" w14:textId="77777777" w:rsidR="00BC1C3A" w:rsidRPr="00B65F7F" w:rsidRDefault="00BC1C3A" w:rsidP="00A12F34">
            <w:pPr>
              <w:pStyle w:val="TableText"/>
              <w:jc w:val="center"/>
            </w:pPr>
            <w:r w:rsidRPr="00B65F7F">
              <w:rPr>
                <w:rFonts w:ascii="Segoe UI Symbol" w:hAnsi="Segoe UI Symbol" w:cs="Segoe UI Symbol"/>
              </w:rPr>
              <w:t>✓</w:t>
            </w:r>
          </w:p>
        </w:tc>
        <w:tc>
          <w:tcPr>
            <w:tcW w:w="217" w:type="pct"/>
            <w:tcBorders>
              <w:top w:val="single" w:sz="4" w:space="0" w:color="BFBFBF" w:themeColor="background1" w:themeShade="BF"/>
              <w:left w:val="single" w:sz="6" w:space="0" w:color="BFBFBF" w:themeColor="background1" w:themeShade="BF"/>
              <w:bottom w:val="single" w:sz="6" w:space="0" w:color="595959" w:themeColor="text1" w:themeTint="A6"/>
              <w:right w:val="single" w:sz="6" w:space="0" w:color="auto"/>
            </w:tcBorders>
            <w:vAlign w:val="center"/>
          </w:tcPr>
          <w:p w14:paraId="0FB1E7A2" w14:textId="77777777" w:rsidR="00BC1C3A" w:rsidRPr="00B65F7F" w:rsidRDefault="00BC1C3A" w:rsidP="00A12F34">
            <w:pPr>
              <w:pStyle w:val="TableText"/>
              <w:jc w:val="center"/>
            </w:pPr>
          </w:p>
        </w:tc>
      </w:tr>
      <w:tr w:rsidR="00380CE9" w:rsidRPr="00B65F7F" w14:paraId="1C2E9108" w14:textId="77777777" w:rsidTr="00F820B9">
        <w:trPr>
          <w:gridAfter w:val="1"/>
          <w:wAfter w:w="9" w:type="pct"/>
          <w:trHeight w:val="20"/>
        </w:trPr>
        <w:tc>
          <w:tcPr>
            <w:tcW w:w="503" w:type="pct"/>
            <w:vMerge w:val="restart"/>
            <w:tcBorders>
              <w:top w:val="single" w:sz="6" w:space="0" w:color="595959" w:themeColor="text1" w:themeTint="A6"/>
              <w:bottom w:val="single" w:sz="6" w:space="0" w:color="595959" w:themeColor="text1" w:themeTint="A6"/>
            </w:tcBorders>
            <w:hideMark/>
          </w:tcPr>
          <w:p w14:paraId="791F8AB3" w14:textId="77777777" w:rsidR="00BC1C3A" w:rsidRPr="00B65F7F" w:rsidRDefault="00BC1C3A" w:rsidP="00A12F34">
            <w:pPr>
              <w:pStyle w:val="TableText"/>
            </w:pPr>
            <w:r w:rsidRPr="00B65F7F">
              <w:t>Meeting community needs</w:t>
            </w:r>
            <w:r>
              <w:t xml:space="preserve"> and priorities</w:t>
            </w:r>
          </w:p>
        </w:tc>
        <w:tc>
          <w:tcPr>
            <w:tcW w:w="953" w:type="pct"/>
            <w:vMerge w:val="restart"/>
            <w:tcBorders>
              <w:top w:val="single" w:sz="6" w:space="0" w:color="595959" w:themeColor="text1" w:themeTint="A6"/>
            </w:tcBorders>
            <w:hideMark/>
          </w:tcPr>
          <w:p w14:paraId="4A18F395" w14:textId="77777777" w:rsidR="00BC1C3A" w:rsidRPr="00B65F7F" w:rsidRDefault="00BC1C3A" w:rsidP="00A12F34">
            <w:pPr>
              <w:pStyle w:val="TableText"/>
            </w:pPr>
            <w:r w:rsidRPr="00B65F7F">
              <w:t>Determine overall funding quantum</w:t>
            </w:r>
          </w:p>
        </w:tc>
        <w:tc>
          <w:tcPr>
            <w:tcW w:w="336" w:type="pct"/>
            <w:tcBorders>
              <w:top w:val="single" w:sz="6" w:space="0" w:color="595959" w:themeColor="text1" w:themeTint="A6"/>
              <w:right w:val="single" w:sz="6" w:space="0" w:color="595959" w:themeColor="text1" w:themeTint="A6"/>
            </w:tcBorders>
            <w:shd w:val="clear" w:color="auto" w:fill="F2F2F2" w:themeFill="background1" w:themeFillShade="F2"/>
            <w:hideMark/>
          </w:tcPr>
          <w:p w14:paraId="3A456D07" w14:textId="77777777" w:rsidR="00BC1C3A" w:rsidRPr="00B65F7F" w:rsidRDefault="00BC1C3A" w:rsidP="00A12F34">
            <w:pPr>
              <w:pStyle w:val="TableText"/>
            </w:pPr>
            <w:r w:rsidRPr="00B65F7F">
              <w:t>Lead</w:t>
            </w:r>
          </w:p>
        </w:tc>
        <w:tc>
          <w:tcPr>
            <w:tcW w:w="217" w:type="pct"/>
            <w:tcBorders>
              <w:top w:val="single" w:sz="6" w:space="0" w:color="595959" w:themeColor="text1" w:themeTint="A6"/>
              <w:left w:val="single" w:sz="6" w:space="0" w:color="595959" w:themeColor="text1" w:themeTint="A6"/>
              <w:right w:val="single" w:sz="6" w:space="0" w:color="BFBFBF" w:themeColor="background1" w:themeShade="BF"/>
            </w:tcBorders>
            <w:shd w:val="clear" w:color="auto" w:fill="F2F2F2" w:themeFill="background1" w:themeFillShade="F2"/>
            <w:vAlign w:val="center"/>
            <w:hideMark/>
          </w:tcPr>
          <w:p w14:paraId="14746D7A" w14:textId="77777777" w:rsidR="00BC1C3A" w:rsidRPr="00DC6C42" w:rsidRDefault="00BC1C3A" w:rsidP="00A12F34">
            <w:pPr>
              <w:pStyle w:val="TableText"/>
              <w:jc w:val="center"/>
              <w:rPr>
                <w:b/>
                <w:bCs/>
              </w:rPr>
            </w:pPr>
            <w:r w:rsidRPr="00DC6C42">
              <w:rPr>
                <w:rFonts w:ascii="Segoe UI Symbol" w:hAnsi="Segoe UI Symbol" w:cs="Segoe UI Symbol"/>
                <w:b/>
              </w:rPr>
              <w:t>✓</w:t>
            </w:r>
          </w:p>
        </w:tc>
        <w:tc>
          <w:tcPr>
            <w:tcW w:w="218" w:type="pct"/>
            <w:gridSpan w:val="2"/>
            <w:tcBorders>
              <w:top w:val="single" w:sz="6" w:space="0" w:color="595959" w:themeColor="text1" w:themeTint="A6"/>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5198A32E" w14:textId="77777777" w:rsidR="00BC1C3A" w:rsidRPr="00B65F7F" w:rsidRDefault="00BC1C3A" w:rsidP="00A12F34">
            <w:pPr>
              <w:pStyle w:val="TableText"/>
              <w:jc w:val="center"/>
            </w:pPr>
          </w:p>
        </w:tc>
        <w:tc>
          <w:tcPr>
            <w:tcW w:w="217" w:type="pct"/>
            <w:gridSpan w:val="2"/>
            <w:tcBorders>
              <w:top w:val="single" w:sz="6" w:space="0" w:color="595959" w:themeColor="text1" w:themeTint="A6"/>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67B90EF3" w14:textId="77777777" w:rsidR="00BC1C3A" w:rsidRPr="00A12F34" w:rsidRDefault="00BC1C3A" w:rsidP="00A12F34">
            <w:pPr>
              <w:pStyle w:val="TableText"/>
              <w:jc w:val="center"/>
              <w:rPr>
                <w:b/>
                <w:bCs/>
              </w:rPr>
            </w:pPr>
          </w:p>
        </w:tc>
        <w:tc>
          <w:tcPr>
            <w:tcW w:w="217" w:type="pct"/>
            <w:gridSpan w:val="2"/>
            <w:tcBorders>
              <w:top w:val="single" w:sz="6" w:space="0" w:color="595959" w:themeColor="text1" w:themeTint="A6"/>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417F680E" w14:textId="77777777" w:rsidR="00BC1C3A" w:rsidRPr="00B65F7F" w:rsidRDefault="00BC1C3A" w:rsidP="00A12F34">
            <w:pPr>
              <w:pStyle w:val="TableText"/>
              <w:jc w:val="center"/>
            </w:pPr>
          </w:p>
        </w:tc>
        <w:tc>
          <w:tcPr>
            <w:tcW w:w="160" w:type="pct"/>
            <w:tcBorders>
              <w:top w:val="single" w:sz="6" w:space="0" w:color="595959" w:themeColor="text1" w:themeTint="A6"/>
              <w:left w:val="single" w:sz="6" w:space="0" w:color="BFBFBF" w:themeColor="background1" w:themeShade="BF"/>
              <w:right w:val="single" w:sz="6" w:space="0" w:color="595959" w:themeColor="text1" w:themeTint="A6"/>
            </w:tcBorders>
            <w:shd w:val="clear" w:color="auto" w:fill="F2F2F2" w:themeFill="background1" w:themeFillShade="F2"/>
            <w:vAlign w:val="center"/>
            <w:hideMark/>
          </w:tcPr>
          <w:p w14:paraId="4FC7AA84" w14:textId="77777777" w:rsidR="00BC1C3A" w:rsidRPr="00B65F7F" w:rsidRDefault="00BC1C3A" w:rsidP="00A12F34">
            <w:pPr>
              <w:pStyle w:val="TableText"/>
              <w:jc w:val="center"/>
            </w:pPr>
          </w:p>
        </w:tc>
        <w:tc>
          <w:tcPr>
            <w:tcW w:w="217" w:type="pct"/>
            <w:gridSpan w:val="2"/>
            <w:tcBorders>
              <w:top w:val="single" w:sz="6" w:space="0" w:color="595959" w:themeColor="text1" w:themeTint="A6"/>
              <w:left w:val="single" w:sz="6" w:space="0" w:color="595959" w:themeColor="text1" w:themeTint="A6"/>
              <w:right w:val="single" w:sz="6" w:space="0" w:color="BFBFBF" w:themeColor="background1" w:themeShade="BF"/>
            </w:tcBorders>
            <w:shd w:val="clear" w:color="auto" w:fill="F2F2F2" w:themeFill="background1" w:themeFillShade="F2"/>
            <w:vAlign w:val="center"/>
            <w:hideMark/>
          </w:tcPr>
          <w:p w14:paraId="39E56418" w14:textId="77777777" w:rsidR="00BC1C3A" w:rsidRPr="00A12F34" w:rsidRDefault="00BC1C3A" w:rsidP="00A12F34">
            <w:pPr>
              <w:pStyle w:val="TableText"/>
              <w:jc w:val="center"/>
              <w:rPr>
                <w:b/>
                <w:bCs/>
              </w:rPr>
            </w:pPr>
            <w:r w:rsidRPr="00A12F34">
              <w:rPr>
                <w:rFonts w:ascii="Segoe UI Symbol" w:hAnsi="Segoe UI Symbol" w:cs="Segoe UI Symbol"/>
                <w:b/>
                <w:bCs/>
              </w:rPr>
              <w:t>✓</w:t>
            </w:r>
          </w:p>
        </w:tc>
        <w:tc>
          <w:tcPr>
            <w:tcW w:w="217" w:type="pct"/>
            <w:gridSpan w:val="2"/>
            <w:tcBorders>
              <w:top w:val="single" w:sz="6" w:space="0" w:color="595959" w:themeColor="text1" w:themeTint="A6"/>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303DB3E7" w14:textId="77777777" w:rsidR="00BC1C3A" w:rsidRPr="00B65F7F" w:rsidRDefault="00BC1C3A" w:rsidP="00A12F34">
            <w:pPr>
              <w:pStyle w:val="TableText"/>
              <w:jc w:val="center"/>
            </w:pPr>
          </w:p>
        </w:tc>
        <w:tc>
          <w:tcPr>
            <w:tcW w:w="217" w:type="pct"/>
            <w:gridSpan w:val="2"/>
            <w:tcBorders>
              <w:top w:val="single" w:sz="6" w:space="0" w:color="595959" w:themeColor="text1" w:themeTint="A6"/>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4A2B6DD3" w14:textId="77777777" w:rsidR="00BC1C3A" w:rsidRPr="00B65F7F" w:rsidRDefault="00BC1C3A" w:rsidP="00A12F34">
            <w:pPr>
              <w:pStyle w:val="TableText"/>
              <w:jc w:val="center"/>
            </w:pPr>
          </w:p>
        </w:tc>
        <w:tc>
          <w:tcPr>
            <w:tcW w:w="217" w:type="pct"/>
            <w:gridSpan w:val="2"/>
            <w:tcBorders>
              <w:top w:val="single" w:sz="6" w:space="0" w:color="595959" w:themeColor="text1" w:themeTint="A6"/>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7F21075F" w14:textId="77777777" w:rsidR="00BC1C3A" w:rsidRPr="00B65F7F" w:rsidRDefault="00BC1C3A" w:rsidP="00A12F34">
            <w:pPr>
              <w:pStyle w:val="TableText"/>
              <w:jc w:val="center"/>
            </w:pPr>
          </w:p>
        </w:tc>
        <w:tc>
          <w:tcPr>
            <w:tcW w:w="217" w:type="pct"/>
            <w:tcBorders>
              <w:top w:val="single" w:sz="6" w:space="0" w:color="595959" w:themeColor="text1" w:themeTint="A6"/>
              <w:left w:val="single" w:sz="6" w:space="0" w:color="BFBFBF" w:themeColor="background1" w:themeShade="BF"/>
              <w:right w:val="single" w:sz="6" w:space="0" w:color="595959" w:themeColor="text1" w:themeTint="A6"/>
            </w:tcBorders>
            <w:shd w:val="clear" w:color="auto" w:fill="F2F2F2" w:themeFill="background1" w:themeFillShade="F2"/>
            <w:vAlign w:val="center"/>
            <w:hideMark/>
          </w:tcPr>
          <w:p w14:paraId="3124D1E8" w14:textId="77777777" w:rsidR="00BC1C3A" w:rsidRPr="00B65F7F" w:rsidRDefault="00BC1C3A" w:rsidP="00A12F34">
            <w:pPr>
              <w:pStyle w:val="TableText"/>
              <w:jc w:val="center"/>
            </w:pPr>
          </w:p>
        </w:tc>
        <w:tc>
          <w:tcPr>
            <w:tcW w:w="217" w:type="pct"/>
            <w:gridSpan w:val="2"/>
            <w:tcBorders>
              <w:top w:val="single" w:sz="6" w:space="0" w:color="595959" w:themeColor="text1" w:themeTint="A6"/>
              <w:left w:val="single" w:sz="6" w:space="0" w:color="595959" w:themeColor="text1" w:themeTint="A6"/>
            </w:tcBorders>
            <w:shd w:val="clear" w:color="auto" w:fill="F2F2F2" w:themeFill="background1" w:themeFillShade="F2"/>
            <w:vAlign w:val="center"/>
          </w:tcPr>
          <w:p w14:paraId="6C9577A3" w14:textId="77777777" w:rsidR="00BC1C3A" w:rsidRPr="00A12F34" w:rsidRDefault="00BC1C3A" w:rsidP="00A12F34">
            <w:pPr>
              <w:pStyle w:val="TableText"/>
              <w:jc w:val="center"/>
              <w:rPr>
                <w:b/>
                <w:bCs/>
              </w:rPr>
            </w:pPr>
            <w:r w:rsidRPr="00A12F34">
              <w:rPr>
                <w:rFonts w:ascii="Segoe UI Symbol" w:hAnsi="Segoe UI Symbol" w:cs="Segoe UI Symbol"/>
                <w:b/>
                <w:bCs/>
              </w:rPr>
              <w:t>✓</w:t>
            </w:r>
          </w:p>
        </w:tc>
        <w:tc>
          <w:tcPr>
            <w:tcW w:w="217" w:type="pct"/>
            <w:gridSpan w:val="2"/>
            <w:tcBorders>
              <w:top w:val="single" w:sz="6" w:space="0" w:color="595959" w:themeColor="text1" w:themeTint="A6"/>
              <w:left w:val="single" w:sz="6" w:space="0" w:color="BFBFBF" w:themeColor="background1" w:themeShade="BF"/>
            </w:tcBorders>
            <w:shd w:val="clear" w:color="auto" w:fill="F2F2F2" w:themeFill="background1" w:themeFillShade="F2"/>
            <w:vAlign w:val="center"/>
          </w:tcPr>
          <w:p w14:paraId="3D1B978F" w14:textId="77777777" w:rsidR="00BC1C3A" w:rsidRPr="00A12F34" w:rsidRDefault="00BC1C3A" w:rsidP="00A12F34">
            <w:pPr>
              <w:pStyle w:val="TableText"/>
              <w:jc w:val="center"/>
              <w:rPr>
                <w:b/>
                <w:bCs/>
              </w:rPr>
            </w:pPr>
          </w:p>
        </w:tc>
        <w:tc>
          <w:tcPr>
            <w:tcW w:w="217" w:type="pct"/>
            <w:gridSpan w:val="2"/>
            <w:tcBorders>
              <w:top w:val="single" w:sz="6" w:space="0" w:color="595959" w:themeColor="text1" w:themeTint="A6"/>
              <w:left w:val="single" w:sz="6" w:space="0" w:color="BFBFBF" w:themeColor="background1" w:themeShade="BF"/>
            </w:tcBorders>
            <w:shd w:val="clear" w:color="auto" w:fill="F2F2F2" w:themeFill="background1" w:themeFillShade="F2"/>
            <w:vAlign w:val="center"/>
          </w:tcPr>
          <w:p w14:paraId="66921FA4" w14:textId="77777777" w:rsidR="00BC1C3A" w:rsidRPr="00A12F34" w:rsidRDefault="00BC1C3A" w:rsidP="00A12F34">
            <w:pPr>
              <w:pStyle w:val="TableText"/>
              <w:jc w:val="center"/>
              <w:rPr>
                <w:b/>
                <w:bCs/>
              </w:rPr>
            </w:pPr>
          </w:p>
        </w:tc>
        <w:tc>
          <w:tcPr>
            <w:tcW w:w="217" w:type="pct"/>
            <w:gridSpan w:val="2"/>
            <w:tcBorders>
              <w:top w:val="single" w:sz="6" w:space="0" w:color="595959" w:themeColor="text1" w:themeTint="A6"/>
              <w:left w:val="single" w:sz="6" w:space="0" w:color="BFBFBF" w:themeColor="background1" w:themeShade="BF"/>
            </w:tcBorders>
            <w:shd w:val="clear" w:color="auto" w:fill="F2F2F2" w:themeFill="background1" w:themeFillShade="F2"/>
            <w:vAlign w:val="center"/>
          </w:tcPr>
          <w:p w14:paraId="0ED4B67D" w14:textId="77777777" w:rsidR="00BC1C3A" w:rsidRPr="00B65F7F" w:rsidRDefault="00BC1C3A" w:rsidP="00A12F34">
            <w:pPr>
              <w:pStyle w:val="TableText"/>
              <w:jc w:val="center"/>
            </w:pPr>
          </w:p>
        </w:tc>
        <w:tc>
          <w:tcPr>
            <w:tcW w:w="217" w:type="pct"/>
            <w:tcBorders>
              <w:top w:val="single" w:sz="6" w:space="0" w:color="595959" w:themeColor="text1" w:themeTint="A6"/>
              <w:left w:val="single" w:sz="6" w:space="0" w:color="BFBFBF" w:themeColor="background1" w:themeShade="BF"/>
              <w:right w:val="single" w:sz="6" w:space="0" w:color="auto"/>
            </w:tcBorders>
            <w:shd w:val="clear" w:color="auto" w:fill="F2F2F2" w:themeFill="background1" w:themeFillShade="F2"/>
            <w:vAlign w:val="center"/>
          </w:tcPr>
          <w:p w14:paraId="1169A012" w14:textId="77777777" w:rsidR="00BC1C3A" w:rsidRPr="00B65F7F" w:rsidRDefault="00BC1C3A" w:rsidP="00A12F34">
            <w:pPr>
              <w:pStyle w:val="TableText"/>
              <w:jc w:val="center"/>
            </w:pPr>
          </w:p>
        </w:tc>
      </w:tr>
      <w:tr w:rsidR="00380CE9" w:rsidRPr="00B65F7F" w14:paraId="5391EA9B" w14:textId="77777777" w:rsidTr="00F820B9">
        <w:trPr>
          <w:gridAfter w:val="1"/>
          <w:wAfter w:w="9" w:type="pct"/>
          <w:trHeight w:val="20"/>
        </w:trPr>
        <w:tc>
          <w:tcPr>
            <w:tcW w:w="503" w:type="pct"/>
            <w:vMerge/>
            <w:tcBorders>
              <w:top w:val="single" w:sz="4" w:space="0" w:color="BFBFBF" w:themeColor="background1" w:themeShade="BF"/>
              <w:bottom w:val="single" w:sz="6" w:space="0" w:color="595959" w:themeColor="text1" w:themeTint="A6"/>
            </w:tcBorders>
            <w:hideMark/>
          </w:tcPr>
          <w:p w14:paraId="417EA61D" w14:textId="77777777" w:rsidR="00BC1C3A" w:rsidRPr="00B65F7F" w:rsidRDefault="00BC1C3A" w:rsidP="00A12F34">
            <w:pPr>
              <w:pStyle w:val="TableText"/>
            </w:pPr>
          </w:p>
        </w:tc>
        <w:tc>
          <w:tcPr>
            <w:tcW w:w="953" w:type="pct"/>
            <w:vMerge/>
            <w:hideMark/>
          </w:tcPr>
          <w:p w14:paraId="32B787F1" w14:textId="77777777" w:rsidR="00BC1C3A" w:rsidRPr="00B65F7F" w:rsidRDefault="00BC1C3A" w:rsidP="00A12F34">
            <w:pPr>
              <w:pStyle w:val="TableText"/>
            </w:pPr>
          </w:p>
        </w:tc>
        <w:tc>
          <w:tcPr>
            <w:tcW w:w="336" w:type="pct"/>
            <w:tcBorders>
              <w:right w:val="single" w:sz="6" w:space="0" w:color="595959" w:themeColor="text1" w:themeTint="A6"/>
            </w:tcBorders>
            <w:hideMark/>
          </w:tcPr>
          <w:p w14:paraId="45E7077C" w14:textId="77777777" w:rsidR="00BC1C3A" w:rsidRPr="00B65F7F" w:rsidRDefault="00BC1C3A" w:rsidP="00A12F34">
            <w:pPr>
              <w:pStyle w:val="TableText"/>
            </w:pPr>
            <w:r w:rsidRPr="00B65F7F">
              <w:t>Support</w:t>
            </w:r>
          </w:p>
        </w:tc>
        <w:tc>
          <w:tcPr>
            <w:tcW w:w="217" w:type="pct"/>
            <w:tcBorders>
              <w:top w:val="single" w:sz="4" w:space="0" w:color="BFBFBF" w:themeColor="background1" w:themeShade="BF"/>
              <w:left w:val="single" w:sz="6" w:space="0" w:color="595959" w:themeColor="text1" w:themeTint="A6"/>
              <w:right w:val="single" w:sz="6" w:space="0" w:color="BFBFBF" w:themeColor="background1" w:themeShade="BF"/>
            </w:tcBorders>
            <w:vAlign w:val="center"/>
            <w:hideMark/>
          </w:tcPr>
          <w:p w14:paraId="4B16FF35" w14:textId="77777777" w:rsidR="00BC1C3A" w:rsidRPr="00B65F7F" w:rsidRDefault="00BC1C3A" w:rsidP="00A12F34">
            <w:pPr>
              <w:pStyle w:val="TableText"/>
              <w:jc w:val="center"/>
            </w:pPr>
          </w:p>
        </w:tc>
        <w:tc>
          <w:tcPr>
            <w:tcW w:w="218" w:type="pct"/>
            <w:gridSpan w:val="2"/>
            <w:tcBorders>
              <w:left w:val="single" w:sz="6" w:space="0" w:color="BFBFBF" w:themeColor="background1" w:themeShade="BF"/>
              <w:right w:val="single" w:sz="6" w:space="0" w:color="BFBFBF" w:themeColor="background1" w:themeShade="BF"/>
            </w:tcBorders>
            <w:vAlign w:val="center"/>
            <w:hideMark/>
          </w:tcPr>
          <w:p w14:paraId="4C4961F4" w14:textId="77777777" w:rsidR="00BC1C3A" w:rsidRPr="00B65F7F" w:rsidRDefault="00BC1C3A" w:rsidP="00A12F34">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363FB558" w14:textId="77777777" w:rsidR="00BC1C3A" w:rsidRPr="00A12F34" w:rsidRDefault="00BC1C3A" w:rsidP="00A12F34">
            <w:pPr>
              <w:pStyle w:val="TableText"/>
              <w:jc w:val="center"/>
              <w:rPr>
                <w:b/>
                <w:bCs/>
              </w:rP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451CB36E" w14:textId="77777777" w:rsidR="00BC1C3A" w:rsidRPr="00B65F7F" w:rsidRDefault="00BC1C3A" w:rsidP="00A12F34">
            <w:pPr>
              <w:pStyle w:val="TableText"/>
              <w:jc w:val="center"/>
            </w:pPr>
          </w:p>
        </w:tc>
        <w:tc>
          <w:tcPr>
            <w:tcW w:w="160" w:type="pct"/>
            <w:tcBorders>
              <w:left w:val="single" w:sz="6" w:space="0" w:color="BFBFBF" w:themeColor="background1" w:themeShade="BF"/>
              <w:right w:val="single" w:sz="6" w:space="0" w:color="595959" w:themeColor="text1" w:themeTint="A6"/>
            </w:tcBorders>
            <w:vAlign w:val="center"/>
            <w:hideMark/>
          </w:tcPr>
          <w:p w14:paraId="791C6138" w14:textId="77777777" w:rsidR="00BC1C3A" w:rsidRPr="00B65F7F" w:rsidRDefault="00BC1C3A" w:rsidP="00A12F34">
            <w:pPr>
              <w:pStyle w:val="TableText"/>
              <w:jc w:val="center"/>
            </w:pPr>
          </w:p>
        </w:tc>
        <w:tc>
          <w:tcPr>
            <w:tcW w:w="217" w:type="pct"/>
            <w:gridSpan w:val="2"/>
            <w:tcBorders>
              <w:top w:val="single" w:sz="4" w:space="0" w:color="BFBFBF" w:themeColor="background1" w:themeShade="BF"/>
              <w:left w:val="single" w:sz="6" w:space="0" w:color="595959" w:themeColor="text1" w:themeTint="A6"/>
              <w:right w:val="single" w:sz="6" w:space="0" w:color="BFBFBF" w:themeColor="background1" w:themeShade="BF"/>
            </w:tcBorders>
            <w:vAlign w:val="center"/>
            <w:hideMark/>
          </w:tcPr>
          <w:p w14:paraId="50CA8E83" w14:textId="77777777" w:rsidR="00BC1C3A" w:rsidRPr="00A12F34" w:rsidRDefault="00BC1C3A" w:rsidP="00A12F34">
            <w:pPr>
              <w:pStyle w:val="TableText"/>
              <w:jc w:val="center"/>
              <w:rPr>
                <w:b/>
                <w:bCs/>
              </w:rP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05CA2A75" w14:textId="77777777" w:rsidR="00BC1C3A" w:rsidRPr="00B65F7F" w:rsidRDefault="00BC1C3A" w:rsidP="00A12F34">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37CB8F70" w14:textId="77777777" w:rsidR="00BC1C3A" w:rsidRPr="00B65F7F" w:rsidRDefault="00BC1C3A" w:rsidP="00A12F34">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174A99BA" w14:textId="77777777" w:rsidR="00BC1C3A" w:rsidRPr="00B65F7F" w:rsidRDefault="00BC1C3A" w:rsidP="00A12F34">
            <w:pPr>
              <w:pStyle w:val="TableText"/>
              <w:jc w:val="center"/>
            </w:pPr>
          </w:p>
        </w:tc>
        <w:tc>
          <w:tcPr>
            <w:tcW w:w="217" w:type="pct"/>
            <w:tcBorders>
              <w:left w:val="single" w:sz="6" w:space="0" w:color="BFBFBF" w:themeColor="background1" w:themeShade="BF"/>
              <w:right w:val="single" w:sz="6" w:space="0" w:color="595959" w:themeColor="text1" w:themeTint="A6"/>
            </w:tcBorders>
            <w:vAlign w:val="center"/>
            <w:hideMark/>
          </w:tcPr>
          <w:p w14:paraId="23F82679" w14:textId="77777777" w:rsidR="00BC1C3A" w:rsidRPr="00B65F7F" w:rsidRDefault="00BC1C3A" w:rsidP="00A12F34">
            <w:pPr>
              <w:pStyle w:val="TableText"/>
              <w:jc w:val="center"/>
            </w:pPr>
          </w:p>
        </w:tc>
        <w:tc>
          <w:tcPr>
            <w:tcW w:w="217" w:type="pct"/>
            <w:gridSpan w:val="2"/>
            <w:tcBorders>
              <w:left w:val="single" w:sz="6" w:space="0" w:color="595959" w:themeColor="text1" w:themeTint="A6"/>
            </w:tcBorders>
            <w:vAlign w:val="center"/>
          </w:tcPr>
          <w:p w14:paraId="01E8C8C0" w14:textId="77777777" w:rsidR="00BC1C3A" w:rsidRPr="00A12F34" w:rsidRDefault="00BC1C3A" w:rsidP="00A12F34">
            <w:pPr>
              <w:pStyle w:val="TableText"/>
              <w:jc w:val="center"/>
              <w:rPr>
                <w:b/>
                <w:bCs/>
              </w:rPr>
            </w:pPr>
          </w:p>
        </w:tc>
        <w:tc>
          <w:tcPr>
            <w:tcW w:w="217" w:type="pct"/>
            <w:gridSpan w:val="2"/>
            <w:tcBorders>
              <w:left w:val="single" w:sz="6" w:space="0" w:color="BFBFBF" w:themeColor="background1" w:themeShade="BF"/>
            </w:tcBorders>
            <w:vAlign w:val="center"/>
          </w:tcPr>
          <w:p w14:paraId="5A6A2A97" w14:textId="77777777" w:rsidR="00BC1C3A" w:rsidRPr="00A12F34" w:rsidRDefault="00BC1C3A" w:rsidP="00A12F34">
            <w:pPr>
              <w:pStyle w:val="TableText"/>
              <w:jc w:val="center"/>
              <w:rPr>
                <w:b/>
                <w:bCs/>
              </w:rPr>
            </w:pPr>
          </w:p>
        </w:tc>
        <w:tc>
          <w:tcPr>
            <w:tcW w:w="217" w:type="pct"/>
            <w:gridSpan w:val="2"/>
            <w:tcBorders>
              <w:left w:val="single" w:sz="6" w:space="0" w:color="BFBFBF" w:themeColor="background1" w:themeShade="BF"/>
            </w:tcBorders>
            <w:vAlign w:val="center"/>
          </w:tcPr>
          <w:p w14:paraId="35F0CF94" w14:textId="77777777" w:rsidR="00BC1C3A" w:rsidRPr="00A12F34" w:rsidRDefault="00BC1C3A" w:rsidP="00A12F34">
            <w:pPr>
              <w:pStyle w:val="TableText"/>
              <w:jc w:val="center"/>
              <w:rPr>
                <w:b/>
                <w:bCs/>
              </w:rPr>
            </w:pPr>
          </w:p>
        </w:tc>
        <w:tc>
          <w:tcPr>
            <w:tcW w:w="217" w:type="pct"/>
            <w:gridSpan w:val="2"/>
            <w:tcBorders>
              <w:left w:val="single" w:sz="6" w:space="0" w:color="BFBFBF" w:themeColor="background1" w:themeShade="BF"/>
            </w:tcBorders>
            <w:vAlign w:val="center"/>
          </w:tcPr>
          <w:p w14:paraId="725840BF" w14:textId="77777777" w:rsidR="00BC1C3A" w:rsidRPr="00B65F7F" w:rsidRDefault="00BC1C3A" w:rsidP="00A12F34">
            <w:pPr>
              <w:pStyle w:val="TableText"/>
              <w:jc w:val="center"/>
            </w:pPr>
          </w:p>
        </w:tc>
        <w:tc>
          <w:tcPr>
            <w:tcW w:w="217" w:type="pct"/>
            <w:tcBorders>
              <w:left w:val="single" w:sz="6" w:space="0" w:color="BFBFBF" w:themeColor="background1" w:themeShade="BF"/>
              <w:right w:val="single" w:sz="6" w:space="0" w:color="auto"/>
            </w:tcBorders>
            <w:vAlign w:val="center"/>
          </w:tcPr>
          <w:p w14:paraId="3EB8D360" w14:textId="77777777" w:rsidR="00BC1C3A" w:rsidRPr="00B65F7F" w:rsidRDefault="00BC1C3A" w:rsidP="00A12F34">
            <w:pPr>
              <w:pStyle w:val="TableText"/>
              <w:jc w:val="center"/>
            </w:pPr>
          </w:p>
        </w:tc>
      </w:tr>
      <w:tr w:rsidR="00380CE9" w:rsidRPr="00B65F7F" w14:paraId="28F0B273" w14:textId="77777777" w:rsidTr="00F820B9">
        <w:trPr>
          <w:gridAfter w:val="1"/>
          <w:wAfter w:w="9" w:type="pct"/>
          <w:trHeight w:val="20"/>
        </w:trPr>
        <w:tc>
          <w:tcPr>
            <w:tcW w:w="503" w:type="pct"/>
            <w:vMerge/>
            <w:tcBorders>
              <w:top w:val="single" w:sz="4" w:space="0" w:color="BFBFBF" w:themeColor="background1" w:themeShade="BF"/>
              <w:bottom w:val="single" w:sz="6" w:space="0" w:color="595959" w:themeColor="text1" w:themeTint="A6"/>
            </w:tcBorders>
            <w:hideMark/>
          </w:tcPr>
          <w:p w14:paraId="1FE22942" w14:textId="77777777" w:rsidR="00BC1C3A" w:rsidRPr="00B65F7F" w:rsidRDefault="00BC1C3A" w:rsidP="00A12F34">
            <w:pPr>
              <w:pStyle w:val="TableText"/>
            </w:pPr>
          </w:p>
        </w:tc>
        <w:tc>
          <w:tcPr>
            <w:tcW w:w="953" w:type="pct"/>
            <w:vMerge w:val="restart"/>
            <w:hideMark/>
          </w:tcPr>
          <w:p w14:paraId="42558080" w14:textId="77777777" w:rsidR="00BC1C3A" w:rsidRPr="00B65F7F" w:rsidRDefault="00BC1C3A" w:rsidP="00A12F34">
            <w:pPr>
              <w:pStyle w:val="TableText"/>
            </w:pPr>
            <w:r w:rsidRPr="00B65F7F">
              <w:t>Assessing and determining funds for each community, based on needs</w:t>
            </w:r>
          </w:p>
        </w:tc>
        <w:tc>
          <w:tcPr>
            <w:tcW w:w="336" w:type="pct"/>
            <w:tcBorders>
              <w:right w:val="single" w:sz="6" w:space="0" w:color="595959" w:themeColor="text1" w:themeTint="A6"/>
            </w:tcBorders>
            <w:shd w:val="clear" w:color="auto" w:fill="F2F2F2" w:themeFill="background1" w:themeFillShade="F2"/>
            <w:hideMark/>
          </w:tcPr>
          <w:p w14:paraId="652F78D4" w14:textId="77777777" w:rsidR="00BC1C3A" w:rsidRPr="00B65F7F" w:rsidRDefault="00BC1C3A" w:rsidP="00A12F34">
            <w:pPr>
              <w:pStyle w:val="TableText"/>
            </w:pPr>
            <w:r w:rsidRPr="00B65F7F">
              <w:t>Lead</w:t>
            </w:r>
          </w:p>
        </w:tc>
        <w:tc>
          <w:tcPr>
            <w:tcW w:w="217" w:type="pct"/>
            <w:tcBorders>
              <w:top w:val="single" w:sz="4" w:space="0" w:color="BFBFBF" w:themeColor="background1" w:themeShade="BF"/>
              <w:left w:val="single" w:sz="6" w:space="0" w:color="595959" w:themeColor="text1" w:themeTint="A6"/>
              <w:right w:val="single" w:sz="6" w:space="0" w:color="BFBFBF" w:themeColor="background1" w:themeShade="BF"/>
            </w:tcBorders>
            <w:shd w:val="clear" w:color="auto" w:fill="F2F2F2" w:themeFill="background1" w:themeFillShade="F2"/>
            <w:vAlign w:val="center"/>
            <w:hideMark/>
          </w:tcPr>
          <w:p w14:paraId="693B3E0C" w14:textId="77777777" w:rsidR="00BC1C3A" w:rsidRPr="00B65F7F" w:rsidRDefault="00BC1C3A" w:rsidP="00A12F34">
            <w:pPr>
              <w:pStyle w:val="TableText"/>
              <w:jc w:val="center"/>
            </w:pPr>
          </w:p>
        </w:tc>
        <w:tc>
          <w:tcPr>
            <w:tcW w:w="218"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20C834D1" w14:textId="77777777" w:rsidR="00BC1C3A" w:rsidRPr="00B65F7F" w:rsidRDefault="00BC1C3A" w:rsidP="00A12F34">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3B9F0354" w14:textId="77777777" w:rsidR="00BC1C3A" w:rsidRPr="00A12F34" w:rsidRDefault="00BC1C3A" w:rsidP="00A12F34">
            <w:pPr>
              <w:pStyle w:val="TableText"/>
              <w:jc w:val="center"/>
              <w:rPr>
                <w:b/>
                <w:bCs/>
              </w:rPr>
            </w:pPr>
            <w:r w:rsidRPr="00A12F34">
              <w:rPr>
                <w:rFonts w:ascii="Segoe UI Symbol" w:hAnsi="Segoe UI Symbol" w:cs="Segoe UI Symbol"/>
                <w:b/>
                <w:bCs/>
              </w:rPr>
              <w:t>✓</w:t>
            </w: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5E4F7957" w14:textId="77777777" w:rsidR="00BC1C3A" w:rsidRPr="00B65F7F" w:rsidRDefault="00BC1C3A" w:rsidP="00A12F34">
            <w:pPr>
              <w:pStyle w:val="TableText"/>
              <w:jc w:val="center"/>
            </w:pPr>
          </w:p>
        </w:tc>
        <w:tc>
          <w:tcPr>
            <w:tcW w:w="160" w:type="pct"/>
            <w:tcBorders>
              <w:left w:val="single" w:sz="6" w:space="0" w:color="BFBFBF" w:themeColor="background1" w:themeShade="BF"/>
              <w:right w:val="single" w:sz="6" w:space="0" w:color="595959" w:themeColor="text1" w:themeTint="A6"/>
            </w:tcBorders>
            <w:shd w:val="clear" w:color="auto" w:fill="F2F2F2" w:themeFill="background1" w:themeFillShade="F2"/>
            <w:vAlign w:val="center"/>
            <w:hideMark/>
          </w:tcPr>
          <w:p w14:paraId="29EEF7EB" w14:textId="77777777" w:rsidR="00BC1C3A" w:rsidRPr="00B65F7F" w:rsidRDefault="00BC1C3A" w:rsidP="00A12F34">
            <w:pPr>
              <w:pStyle w:val="TableText"/>
              <w:jc w:val="center"/>
            </w:pPr>
          </w:p>
        </w:tc>
        <w:tc>
          <w:tcPr>
            <w:tcW w:w="217" w:type="pct"/>
            <w:gridSpan w:val="2"/>
            <w:tcBorders>
              <w:top w:val="single" w:sz="4" w:space="0" w:color="BFBFBF" w:themeColor="background1" w:themeShade="BF"/>
              <w:left w:val="single" w:sz="6" w:space="0" w:color="595959" w:themeColor="text1" w:themeTint="A6"/>
              <w:right w:val="single" w:sz="6" w:space="0" w:color="BFBFBF" w:themeColor="background1" w:themeShade="BF"/>
            </w:tcBorders>
            <w:shd w:val="clear" w:color="auto" w:fill="F2F2F2" w:themeFill="background1" w:themeFillShade="F2"/>
            <w:vAlign w:val="center"/>
            <w:hideMark/>
          </w:tcPr>
          <w:p w14:paraId="4FA9A8C5" w14:textId="77777777" w:rsidR="00BC1C3A" w:rsidRPr="00A12F34" w:rsidRDefault="00BC1C3A" w:rsidP="00A12F34">
            <w:pPr>
              <w:pStyle w:val="TableText"/>
              <w:jc w:val="center"/>
              <w:rPr>
                <w:b/>
                <w:bCs/>
              </w:rPr>
            </w:pPr>
            <w:r w:rsidRPr="00A12F34">
              <w:rPr>
                <w:rFonts w:ascii="Segoe UI Symbol" w:hAnsi="Segoe UI Symbol" w:cs="Segoe UI Symbol"/>
                <w:b/>
                <w:bCs/>
              </w:rPr>
              <w:t>✓</w:t>
            </w: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3ABC6276" w14:textId="77777777" w:rsidR="00BC1C3A" w:rsidRPr="00B65F7F" w:rsidRDefault="00BC1C3A" w:rsidP="00A12F34">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681A1AFD" w14:textId="77777777" w:rsidR="00BC1C3A" w:rsidRPr="00B65F7F" w:rsidRDefault="00BC1C3A" w:rsidP="00A12F34">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4C8A38BF" w14:textId="77777777" w:rsidR="00BC1C3A" w:rsidRPr="00B65F7F" w:rsidRDefault="00BC1C3A" w:rsidP="00A12F34">
            <w:pPr>
              <w:pStyle w:val="TableText"/>
              <w:jc w:val="center"/>
            </w:pPr>
          </w:p>
        </w:tc>
        <w:tc>
          <w:tcPr>
            <w:tcW w:w="217" w:type="pct"/>
            <w:tcBorders>
              <w:left w:val="single" w:sz="6" w:space="0" w:color="BFBFBF" w:themeColor="background1" w:themeShade="BF"/>
              <w:right w:val="single" w:sz="6" w:space="0" w:color="595959" w:themeColor="text1" w:themeTint="A6"/>
            </w:tcBorders>
            <w:shd w:val="clear" w:color="auto" w:fill="F2F2F2" w:themeFill="background1" w:themeFillShade="F2"/>
            <w:vAlign w:val="center"/>
            <w:hideMark/>
          </w:tcPr>
          <w:p w14:paraId="6DAFD33F" w14:textId="77777777" w:rsidR="00BC1C3A" w:rsidRPr="00B65F7F" w:rsidRDefault="00BC1C3A" w:rsidP="00A12F34">
            <w:pPr>
              <w:pStyle w:val="TableText"/>
              <w:jc w:val="center"/>
            </w:pPr>
          </w:p>
        </w:tc>
        <w:tc>
          <w:tcPr>
            <w:tcW w:w="217" w:type="pct"/>
            <w:gridSpan w:val="2"/>
            <w:tcBorders>
              <w:left w:val="single" w:sz="6" w:space="0" w:color="595959" w:themeColor="text1" w:themeTint="A6"/>
            </w:tcBorders>
            <w:shd w:val="clear" w:color="auto" w:fill="F2F2F2" w:themeFill="background1" w:themeFillShade="F2"/>
            <w:vAlign w:val="center"/>
          </w:tcPr>
          <w:p w14:paraId="0D480C41" w14:textId="77777777" w:rsidR="00BC1C3A" w:rsidRPr="00A12F34" w:rsidRDefault="00BC1C3A" w:rsidP="00A12F34">
            <w:pPr>
              <w:pStyle w:val="TableText"/>
              <w:jc w:val="center"/>
              <w:rPr>
                <w:b/>
                <w:bCs/>
              </w:rPr>
            </w:pPr>
          </w:p>
        </w:tc>
        <w:tc>
          <w:tcPr>
            <w:tcW w:w="217" w:type="pct"/>
            <w:gridSpan w:val="2"/>
            <w:tcBorders>
              <w:left w:val="single" w:sz="6" w:space="0" w:color="BFBFBF" w:themeColor="background1" w:themeShade="BF"/>
            </w:tcBorders>
            <w:shd w:val="clear" w:color="auto" w:fill="F2F2F2" w:themeFill="background1" w:themeFillShade="F2"/>
            <w:vAlign w:val="center"/>
          </w:tcPr>
          <w:p w14:paraId="200AD08A" w14:textId="77777777" w:rsidR="00BC1C3A" w:rsidRPr="00A12F34" w:rsidRDefault="00BC1C3A" w:rsidP="00A12F34">
            <w:pPr>
              <w:pStyle w:val="TableText"/>
              <w:jc w:val="center"/>
              <w:rPr>
                <w:b/>
                <w:bCs/>
              </w:rPr>
            </w:pPr>
          </w:p>
        </w:tc>
        <w:tc>
          <w:tcPr>
            <w:tcW w:w="217" w:type="pct"/>
            <w:gridSpan w:val="2"/>
            <w:tcBorders>
              <w:left w:val="single" w:sz="6" w:space="0" w:color="BFBFBF" w:themeColor="background1" w:themeShade="BF"/>
            </w:tcBorders>
            <w:shd w:val="clear" w:color="auto" w:fill="F2F2F2" w:themeFill="background1" w:themeFillShade="F2"/>
            <w:vAlign w:val="center"/>
          </w:tcPr>
          <w:p w14:paraId="59EEF714" w14:textId="77777777" w:rsidR="00BC1C3A" w:rsidRPr="00A12F34" w:rsidRDefault="00BC1C3A" w:rsidP="00A12F34">
            <w:pPr>
              <w:pStyle w:val="TableText"/>
              <w:jc w:val="center"/>
              <w:rPr>
                <w:b/>
                <w:bCs/>
              </w:rPr>
            </w:pPr>
            <w:r w:rsidRPr="00A12F34">
              <w:rPr>
                <w:rFonts w:ascii="Segoe UI Symbol" w:hAnsi="Segoe UI Symbol" w:cs="Segoe UI Symbol"/>
                <w:b/>
                <w:bCs/>
              </w:rPr>
              <w:t>✓</w:t>
            </w:r>
          </w:p>
        </w:tc>
        <w:tc>
          <w:tcPr>
            <w:tcW w:w="217" w:type="pct"/>
            <w:gridSpan w:val="2"/>
            <w:tcBorders>
              <w:left w:val="single" w:sz="6" w:space="0" w:color="BFBFBF" w:themeColor="background1" w:themeShade="BF"/>
            </w:tcBorders>
            <w:shd w:val="clear" w:color="auto" w:fill="F2F2F2" w:themeFill="background1" w:themeFillShade="F2"/>
            <w:vAlign w:val="center"/>
          </w:tcPr>
          <w:p w14:paraId="3F8995E7" w14:textId="77777777" w:rsidR="00BC1C3A" w:rsidRPr="00B65F7F" w:rsidRDefault="00BC1C3A" w:rsidP="00A12F34">
            <w:pPr>
              <w:pStyle w:val="TableText"/>
              <w:jc w:val="center"/>
            </w:pPr>
          </w:p>
        </w:tc>
        <w:tc>
          <w:tcPr>
            <w:tcW w:w="217" w:type="pct"/>
            <w:tcBorders>
              <w:left w:val="single" w:sz="6" w:space="0" w:color="BFBFBF" w:themeColor="background1" w:themeShade="BF"/>
              <w:right w:val="single" w:sz="6" w:space="0" w:color="auto"/>
            </w:tcBorders>
            <w:shd w:val="clear" w:color="auto" w:fill="F2F2F2" w:themeFill="background1" w:themeFillShade="F2"/>
            <w:vAlign w:val="center"/>
          </w:tcPr>
          <w:p w14:paraId="1C489E61" w14:textId="77777777" w:rsidR="00BC1C3A" w:rsidRPr="00B65F7F" w:rsidRDefault="00BC1C3A" w:rsidP="00A12F34">
            <w:pPr>
              <w:pStyle w:val="TableText"/>
              <w:jc w:val="center"/>
            </w:pPr>
          </w:p>
        </w:tc>
      </w:tr>
      <w:tr w:rsidR="00380CE9" w:rsidRPr="00B65F7F" w14:paraId="51553959" w14:textId="77777777" w:rsidTr="00F820B9">
        <w:trPr>
          <w:gridAfter w:val="1"/>
          <w:wAfter w:w="9" w:type="pct"/>
          <w:trHeight w:val="20"/>
        </w:trPr>
        <w:tc>
          <w:tcPr>
            <w:tcW w:w="503" w:type="pct"/>
            <w:vMerge/>
            <w:tcBorders>
              <w:top w:val="single" w:sz="4" w:space="0" w:color="BFBFBF" w:themeColor="background1" w:themeShade="BF"/>
              <w:bottom w:val="single" w:sz="6" w:space="0" w:color="595959" w:themeColor="text1" w:themeTint="A6"/>
            </w:tcBorders>
            <w:hideMark/>
          </w:tcPr>
          <w:p w14:paraId="34FABCFF" w14:textId="77777777" w:rsidR="00BC1C3A" w:rsidRPr="00B65F7F" w:rsidRDefault="00BC1C3A" w:rsidP="00A12F34">
            <w:pPr>
              <w:pStyle w:val="TableText"/>
            </w:pPr>
          </w:p>
        </w:tc>
        <w:tc>
          <w:tcPr>
            <w:tcW w:w="953" w:type="pct"/>
            <w:vMerge/>
            <w:hideMark/>
          </w:tcPr>
          <w:p w14:paraId="1231469A" w14:textId="77777777" w:rsidR="00BC1C3A" w:rsidRPr="00B65F7F" w:rsidRDefault="00BC1C3A" w:rsidP="00A12F34">
            <w:pPr>
              <w:pStyle w:val="TableText"/>
            </w:pPr>
          </w:p>
        </w:tc>
        <w:tc>
          <w:tcPr>
            <w:tcW w:w="336" w:type="pct"/>
            <w:tcBorders>
              <w:right w:val="single" w:sz="6" w:space="0" w:color="595959" w:themeColor="text1" w:themeTint="A6"/>
            </w:tcBorders>
            <w:hideMark/>
          </w:tcPr>
          <w:p w14:paraId="076E2BC2" w14:textId="77777777" w:rsidR="00BC1C3A" w:rsidRPr="00B65F7F" w:rsidRDefault="00BC1C3A" w:rsidP="00A12F34">
            <w:pPr>
              <w:pStyle w:val="TableText"/>
            </w:pPr>
            <w:r w:rsidRPr="00B65F7F">
              <w:t>Support</w:t>
            </w:r>
          </w:p>
        </w:tc>
        <w:tc>
          <w:tcPr>
            <w:tcW w:w="217" w:type="pct"/>
            <w:tcBorders>
              <w:top w:val="single" w:sz="4" w:space="0" w:color="BFBFBF" w:themeColor="background1" w:themeShade="BF"/>
              <w:left w:val="single" w:sz="6" w:space="0" w:color="595959" w:themeColor="text1" w:themeTint="A6"/>
              <w:right w:val="single" w:sz="6" w:space="0" w:color="BFBFBF" w:themeColor="background1" w:themeShade="BF"/>
            </w:tcBorders>
            <w:vAlign w:val="center"/>
            <w:hideMark/>
          </w:tcPr>
          <w:p w14:paraId="28917297" w14:textId="77777777" w:rsidR="00BC1C3A" w:rsidRPr="00B65F7F" w:rsidRDefault="00BC1C3A" w:rsidP="00A12F34">
            <w:pPr>
              <w:pStyle w:val="TableText"/>
              <w:jc w:val="center"/>
            </w:pPr>
          </w:p>
        </w:tc>
        <w:tc>
          <w:tcPr>
            <w:tcW w:w="218" w:type="pct"/>
            <w:gridSpan w:val="2"/>
            <w:tcBorders>
              <w:left w:val="single" w:sz="6" w:space="0" w:color="BFBFBF" w:themeColor="background1" w:themeShade="BF"/>
              <w:right w:val="single" w:sz="6" w:space="0" w:color="BFBFBF" w:themeColor="background1" w:themeShade="BF"/>
            </w:tcBorders>
            <w:vAlign w:val="center"/>
            <w:hideMark/>
          </w:tcPr>
          <w:p w14:paraId="6EE5DEC6" w14:textId="77777777" w:rsidR="00BC1C3A" w:rsidRPr="00B65F7F" w:rsidRDefault="00BC1C3A" w:rsidP="00A12F34">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1ECCC9E4" w14:textId="77777777" w:rsidR="00BC1C3A" w:rsidRDefault="00BC1C3A" w:rsidP="00A12F34">
            <w:pPr>
              <w:pStyle w:val="TableText"/>
              <w:jc w:val="center"/>
              <w:rPr>
                <w:b/>
                <w:bCs/>
              </w:rPr>
            </w:pPr>
          </w:p>
          <w:p w14:paraId="03A03C8F" w14:textId="77777777" w:rsidR="00C86472" w:rsidRPr="00A12F34" w:rsidRDefault="00C86472" w:rsidP="00A12F34">
            <w:pPr>
              <w:pStyle w:val="TableText"/>
              <w:jc w:val="center"/>
              <w:rPr>
                <w:b/>
                <w:bCs/>
              </w:rP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353FD958" w14:textId="77777777" w:rsidR="00BC1C3A" w:rsidRPr="00B65F7F" w:rsidRDefault="00BC1C3A" w:rsidP="00A12F34">
            <w:pPr>
              <w:pStyle w:val="TableText"/>
              <w:jc w:val="center"/>
            </w:pPr>
          </w:p>
        </w:tc>
        <w:tc>
          <w:tcPr>
            <w:tcW w:w="160" w:type="pct"/>
            <w:tcBorders>
              <w:left w:val="single" w:sz="6" w:space="0" w:color="BFBFBF" w:themeColor="background1" w:themeShade="BF"/>
              <w:right w:val="single" w:sz="6" w:space="0" w:color="595959" w:themeColor="text1" w:themeTint="A6"/>
            </w:tcBorders>
            <w:vAlign w:val="center"/>
            <w:hideMark/>
          </w:tcPr>
          <w:p w14:paraId="6D81E2ED" w14:textId="77777777" w:rsidR="00BC1C3A" w:rsidRPr="00B65F7F" w:rsidRDefault="00BC1C3A" w:rsidP="00A12F34">
            <w:pPr>
              <w:pStyle w:val="TableText"/>
              <w:jc w:val="center"/>
            </w:pPr>
          </w:p>
        </w:tc>
        <w:tc>
          <w:tcPr>
            <w:tcW w:w="217" w:type="pct"/>
            <w:gridSpan w:val="2"/>
            <w:tcBorders>
              <w:top w:val="single" w:sz="4" w:space="0" w:color="BFBFBF" w:themeColor="background1" w:themeShade="BF"/>
              <w:left w:val="single" w:sz="6" w:space="0" w:color="595959" w:themeColor="text1" w:themeTint="A6"/>
              <w:right w:val="single" w:sz="6" w:space="0" w:color="BFBFBF" w:themeColor="background1" w:themeShade="BF"/>
            </w:tcBorders>
            <w:vAlign w:val="center"/>
            <w:hideMark/>
          </w:tcPr>
          <w:p w14:paraId="2AEB95C2" w14:textId="77777777" w:rsidR="00BC1C3A" w:rsidRPr="00A12F34" w:rsidRDefault="00BC1C3A" w:rsidP="00A12F34">
            <w:pPr>
              <w:pStyle w:val="TableText"/>
              <w:jc w:val="center"/>
              <w:rPr>
                <w:b/>
                <w:bCs/>
              </w:rP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2ADD1077" w14:textId="77777777" w:rsidR="00BC1C3A" w:rsidRPr="00B65F7F" w:rsidRDefault="00BC1C3A" w:rsidP="00A12F34">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7DCD68AA" w14:textId="77777777" w:rsidR="00BC1C3A" w:rsidRPr="00B65F7F" w:rsidRDefault="00BC1C3A" w:rsidP="00A12F34">
            <w:pPr>
              <w:pStyle w:val="TableText"/>
              <w:jc w:val="center"/>
            </w:pPr>
            <w:r w:rsidRPr="00B65F7F">
              <w:rPr>
                <w:rFonts w:ascii="Segoe UI Symbol" w:hAnsi="Segoe UI Symbol" w:cs="Segoe UI Symbol"/>
              </w:rPr>
              <w:t>✓</w:t>
            </w: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4C352DE1" w14:textId="77777777" w:rsidR="00BC1C3A" w:rsidRPr="00B65F7F" w:rsidRDefault="00BC1C3A" w:rsidP="00A12F34">
            <w:pPr>
              <w:pStyle w:val="TableText"/>
              <w:jc w:val="center"/>
            </w:pPr>
          </w:p>
        </w:tc>
        <w:tc>
          <w:tcPr>
            <w:tcW w:w="217" w:type="pct"/>
            <w:tcBorders>
              <w:left w:val="single" w:sz="6" w:space="0" w:color="BFBFBF" w:themeColor="background1" w:themeShade="BF"/>
              <w:right w:val="single" w:sz="6" w:space="0" w:color="595959" w:themeColor="text1" w:themeTint="A6"/>
            </w:tcBorders>
            <w:vAlign w:val="center"/>
            <w:hideMark/>
          </w:tcPr>
          <w:p w14:paraId="2F2DEEC6" w14:textId="77777777" w:rsidR="00BC1C3A" w:rsidRPr="00B65F7F" w:rsidRDefault="00BC1C3A" w:rsidP="00A12F34">
            <w:pPr>
              <w:pStyle w:val="TableText"/>
              <w:jc w:val="center"/>
            </w:pPr>
          </w:p>
        </w:tc>
        <w:tc>
          <w:tcPr>
            <w:tcW w:w="217" w:type="pct"/>
            <w:gridSpan w:val="2"/>
            <w:tcBorders>
              <w:left w:val="single" w:sz="6" w:space="0" w:color="595959" w:themeColor="text1" w:themeTint="A6"/>
            </w:tcBorders>
            <w:vAlign w:val="center"/>
          </w:tcPr>
          <w:p w14:paraId="102DFA33" w14:textId="77777777" w:rsidR="00BC1C3A" w:rsidRPr="00A12F34" w:rsidRDefault="00BC1C3A" w:rsidP="00A12F34">
            <w:pPr>
              <w:pStyle w:val="TableText"/>
              <w:jc w:val="center"/>
              <w:rPr>
                <w:b/>
                <w:bCs/>
              </w:rPr>
            </w:pPr>
          </w:p>
        </w:tc>
        <w:tc>
          <w:tcPr>
            <w:tcW w:w="217" w:type="pct"/>
            <w:gridSpan w:val="2"/>
            <w:tcBorders>
              <w:left w:val="single" w:sz="6" w:space="0" w:color="BFBFBF" w:themeColor="background1" w:themeShade="BF"/>
            </w:tcBorders>
            <w:vAlign w:val="center"/>
          </w:tcPr>
          <w:p w14:paraId="4EE428F4" w14:textId="77777777" w:rsidR="00BC1C3A" w:rsidRPr="00A12F34" w:rsidRDefault="00BC1C3A" w:rsidP="00A12F34">
            <w:pPr>
              <w:pStyle w:val="TableText"/>
              <w:jc w:val="center"/>
              <w:rPr>
                <w:b/>
                <w:bCs/>
              </w:rPr>
            </w:pPr>
          </w:p>
        </w:tc>
        <w:tc>
          <w:tcPr>
            <w:tcW w:w="217" w:type="pct"/>
            <w:gridSpan w:val="2"/>
            <w:tcBorders>
              <w:left w:val="single" w:sz="6" w:space="0" w:color="BFBFBF" w:themeColor="background1" w:themeShade="BF"/>
            </w:tcBorders>
            <w:vAlign w:val="center"/>
          </w:tcPr>
          <w:p w14:paraId="2203FBD9" w14:textId="77777777" w:rsidR="00BC1C3A" w:rsidRPr="00A12F34" w:rsidRDefault="00BC1C3A" w:rsidP="00A12F34">
            <w:pPr>
              <w:pStyle w:val="TableText"/>
              <w:jc w:val="center"/>
              <w:rPr>
                <w:b/>
                <w:bCs/>
              </w:rPr>
            </w:pPr>
          </w:p>
        </w:tc>
        <w:tc>
          <w:tcPr>
            <w:tcW w:w="217" w:type="pct"/>
            <w:gridSpan w:val="2"/>
            <w:tcBorders>
              <w:left w:val="single" w:sz="6" w:space="0" w:color="BFBFBF" w:themeColor="background1" w:themeShade="BF"/>
            </w:tcBorders>
            <w:vAlign w:val="center"/>
          </w:tcPr>
          <w:p w14:paraId="0DE17A31" w14:textId="77777777" w:rsidR="00BC1C3A" w:rsidRPr="00B65F7F" w:rsidRDefault="00BC1C3A" w:rsidP="00A12F34">
            <w:pPr>
              <w:pStyle w:val="TableText"/>
              <w:jc w:val="center"/>
            </w:pPr>
          </w:p>
        </w:tc>
        <w:tc>
          <w:tcPr>
            <w:tcW w:w="217" w:type="pct"/>
            <w:tcBorders>
              <w:left w:val="single" w:sz="6" w:space="0" w:color="BFBFBF" w:themeColor="background1" w:themeShade="BF"/>
              <w:right w:val="single" w:sz="6" w:space="0" w:color="auto"/>
            </w:tcBorders>
            <w:vAlign w:val="center"/>
          </w:tcPr>
          <w:p w14:paraId="1E1972C9" w14:textId="77777777" w:rsidR="00BC1C3A" w:rsidRPr="00B65F7F" w:rsidRDefault="00BC1C3A" w:rsidP="00A12F34">
            <w:pPr>
              <w:pStyle w:val="TableText"/>
              <w:jc w:val="center"/>
            </w:pPr>
          </w:p>
        </w:tc>
      </w:tr>
      <w:tr w:rsidR="00380CE9" w:rsidRPr="00B65F7F" w14:paraId="004F5736" w14:textId="77777777" w:rsidTr="00F820B9">
        <w:trPr>
          <w:gridAfter w:val="1"/>
          <w:wAfter w:w="9" w:type="pct"/>
          <w:trHeight w:val="20"/>
        </w:trPr>
        <w:tc>
          <w:tcPr>
            <w:tcW w:w="503" w:type="pct"/>
            <w:vMerge/>
            <w:tcBorders>
              <w:top w:val="single" w:sz="4" w:space="0" w:color="BFBFBF" w:themeColor="background1" w:themeShade="BF"/>
              <w:bottom w:val="single" w:sz="6" w:space="0" w:color="595959" w:themeColor="text1" w:themeTint="A6"/>
            </w:tcBorders>
            <w:hideMark/>
          </w:tcPr>
          <w:p w14:paraId="4D85EB3D" w14:textId="77777777" w:rsidR="00BC1C3A" w:rsidRPr="00B65F7F" w:rsidRDefault="00BC1C3A" w:rsidP="00A12F34">
            <w:pPr>
              <w:pStyle w:val="TableText"/>
            </w:pPr>
          </w:p>
        </w:tc>
        <w:tc>
          <w:tcPr>
            <w:tcW w:w="953" w:type="pct"/>
            <w:vMerge w:val="restart"/>
            <w:hideMark/>
          </w:tcPr>
          <w:p w14:paraId="259E702F" w14:textId="77777777" w:rsidR="00BC1C3A" w:rsidRPr="00B65F7F" w:rsidRDefault="00BC1C3A" w:rsidP="00A12F34">
            <w:pPr>
              <w:pStyle w:val="TableText"/>
            </w:pPr>
            <w:r w:rsidRPr="00B65F7F">
              <w:t>Determining requirements and scope of the broad program (not at individual provider level)</w:t>
            </w:r>
          </w:p>
        </w:tc>
        <w:tc>
          <w:tcPr>
            <w:tcW w:w="336" w:type="pct"/>
            <w:tcBorders>
              <w:right w:val="single" w:sz="6" w:space="0" w:color="595959" w:themeColor="text1" w:themeTint="A6"/>
            </w:tcBorders>
            <w:shd w:val="clear" w:color="auto" w:fill="F2F2F2" w:themeFill="background1" w:themeFillShade="F2"/>
            <w:hideMark/>
          </w:tcPr>
          <w:p w14:paraId="4A427990" w14:textId="77777777" w:rsidR="00BC1C3A" w:rsidRPr="00B65F7F" w:rsidRDefault="00BC1C3A" w:rsidP="00A12F34">
            <w:pPr>
              <w:pStyle w:val="TableText"/>
            </w:pPr>
            <w:r w:rsidRPr="00B65F7F">
              <w:t>Lead</w:t>
            </w:r>
          </w:p>
        </w:tc>
        <w:tc>
          <w:tcPr>
            <w:tcW w:w="217" w:type="pct"/>
            <w:tcBorders>
              <w:top w:val="single" w:sz="4" w:space="0" w:color="BFBFBF" w:themeColor="background1" w:themeShade="BF"/>
              <w:left w:val="single" w:sz="6" w:space="0" w:color="595959" w:themeColor="text1" w:themeTint="A6"/>
              <w:right w:val="single" w:sz="6" w:space="0" w:color="BFBFBF" w:themeColor="background1" w:themeShade="BF"/>
            </w:tcBorders>
            <w:shd w:val="clear" w:color="auto" w:fill="F2F2F2" w:themeFill="background1" w:themeFillShade="F2"/>
            <w:vAlign w:val="center"/>
            <w:hideMark/>
          </w:tcPr>
          <w:p w14:paraId="733E75E1" w14:textId="77777777" w:rsidR="00BC1C3A" w:rsidRPr="00B65F7F" w:rsidRDefault="00BC1C3A" w:rsidP="00A12F34">
            <w:pPr>
              <w:pStyle w:val="TableText"/>
              <w:jc w:val="center"/>
            </w:pPr>
          </w:p>
        </w:tc>
        <w:tc>
          <w:tcPr>
            <w:tcW w:w="218"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3E3D4082" w14:textId="77777777" w:rsidR="00BC1C3A" w:rsidRPr="00B65F7F" w:rsidRDefault="00BC1C3A" w:rsidP="00A12F34">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4EE09A29" w14:textId="77777777" w:rsidR="00BC1C3A" w:rsidRPr="00A12F34" w:rsidRDefault="00BC1C3A" w:rsidP="00A12F34">
            <w:pPr>
              <w:pStyle w:val="TableText"/>
              <w:jc w:val="center"/>
              <w:rPr>
                <w:b/>
                <w:bCs/>
              </w:rPr>
            </w:pPr>
            <w:r w:rsidRPr="00A12F34">
              <w:rPr>
                <w:rFonts w:ascii="Segoe UI Symbol" w:hAnsi="Segoe UI Symbol" w:cs="Segoe UI Symbol"/>
                <w:b/>
                <w:bCs/>
              </w:rPr>
              <w:t>✓</w:t>
            </w: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1986F60E" w14:textId="77777777" w:rsidR="00BC1C3A" w:rsidRPr="00B65F7F" w:rsidRDefault="00BC1C3A" w:rsidP="00A12F34">
            <w:pPr>
              <w:pStyle w:val="TableText"/>
              <w:jc w:val="center"/>
            </w:pPr>
          </w:p>
        </w:tc>
        <w:tc>
          <w:tcPr>
            <w:tcW w:w="160" w:type="pct"/>
            <w:tcBorders>
              <w:left w:val="single" w:sz="6" w:space="0" w:color="BFBFBF" w:themeColor="background1" w:themeShade="BF"/>
              <w:right w:val="single" w:sz="6" w:space="0" w:color="595959" w:themeColor="text1" w:themeTint="A6"/>
            </w:tcBorders>
            <w:shd w:val="clear" w:color="auto" w:fill="F2F2F2" w:themeFill="background1" w:themeFillShade="F2"/>
            <w:vAlign w:val="center"/>
            <w:hideMark/>
          </w:tcPr>
          <w:p w14:paraId="699A44C9" w14:textId="77777777" w:rsidR="00BC1C3A" w:rsidRPr="00B65F7F" w:rsidRDefault="00BC1C3A" w:rsidP="00A12F34">
            <w:pPr>
              <w:pStyle w:val="TableText"/>
              <w:jc w:val="center"/>
            </w:pPr>
          </w:p>
        </w:tc>
        <w:tc>
          <w:tcPr>
            <w:tcW w:w="217" w:type="pct"/>
            <w:gridSpan w:val="2"/>
            <w:tcBorders>
              <w:top w:val="single" w:sz="4" w:space="0" w:color="BFBFBF" w:themeColor="background1" w:themeShade="BF"/>
              <w:left w:val="single" w:sz="6" w:space="0" w:color="595959" w:themeColor="text1" w:themeTint="A6"/>
              <w:right w:val="single" w:sz="6" w:space="0" w:color="BFBFBF" w:themeColor="background1" w:themeShade="BF"/>
            </w:tcBorders>
            <w:shd w:val="clear" w:color="auto" w:fill="F2F2F2" w:themeFill="background1" w:themeFillShade="F2"/>
            <w:vAlign w:val="center"/>
            <w:hideMark/>
          </w:tcPr>
          <w:p w14:paraId="5E4DBAB8" w14:textId="77777777" w:rsidR="00BC1C3A" w:rsidRPr="00A12F34" w:rsidRDefault="00BC1C3A" w:rsidP="00A12F34">
            <w:pPr>
              <w:pStyle w:val="TableText"/>
              <w:jc w:val="center"/>
              <w:rPr>
                <w:b/>
                <w:bCs/>
              </w:rPr>
            </w:pPr>
            <w:r w:rsidRPr="00A12F34">
              <w:rPr>
                <w:rFonts w:ascii="Segoe UI Symbol" w:hAnsi="Segoe UI Symbol" w:cs="Segoe UI Symbol"/>
                <w:b/>
                <w:bCs/>
              </w:rPr>
              <w:t>✓</w:t>
            </w: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67010DAB" w14:textId="77777777" w:rsidR="00BC1C3A" w:rsidRPr="00B65F7F" w:rsidRDefault="00BC1C3A" w:rsidP="00A12F34">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2E763762" w14:textId="77777777" w:rsidR="00BC1C3A" w:rsidRPr="00B65F7F" w:rsidRDefault="00BC1C3A" w:rsidP="00A12F34">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0837716A" w14:textId="77777777" w:rsidR="00BC1C3A" w:rsidRPr="00B65F7F" w:rsidRDefault="00BC1C3A" w:rsidP="00A12F34">
            <w:pPr>
              <w:pStyle w:val="TableText"/>
              <w:jc w:val="center"/>
            </w:pPr>
          </w:p>
        </w:tc>
        <w:tc>
          <w:tcPr>
            <w:tcW w:w="217" w:type="pct"/>
            <w:tcBorders>
              <w:left w:val="single" w:sz="6" w:space="0" w:color="BFBFBF" w:themeColor="background1" w:themeShade="BF"/>
              <w:right w:val="single" w:sz="6" w:space="0" w:color="595959" w:themeColor="text1" w:themeTint="A6"/>
            </w:tcBorders>
            <w:shd w:val="clear" w:color="auto" w:fill="F2F2F2" w:themeFill="background1" w:themeFillShade="F2"/>
            <w:vAlign w:val="center"/>
            <w:hideMark/>
          </w:tcPr>
          <w:p w14:paraId="52069592" w14:textId="77777777" w:rsidR="00BC1C3A" w:rsidRPr="00B65F7F" w:rsidRDefault="00BC1C3A" w:rsidP="00A12F34">
            <w:pPr>
              <w:pStyle w:val="TableText"/>
              <w:jc w:val="center"/>
            </w:pPr>
          </w:p>
        </w:tc>
        <w:tc>
          <w:tcPr>
            <w:tcW w:w="217" w:type="pct"/>
            <w:gridSpan w:val="2"/>
            <w:tcBorders>
              <w:left w:val="single" w:sz="6" w:space="0" w:color="595959" w:themeColor="text1" w:themeTint="A6"/>
            </w:tcBorders>
            <w:shd w:val="clear" w:color="auto" w:fill="F2F2F2" w:themeFill="background1" w:themeFillShade="F2"/>
            <w:vAlign w:val="center"/>
          </w:tcPr>
          <w:p w14:paraId="61A4E65E" w14:textId="77777777" w:rsidR="00BC1C3A" w:rsidRPr="00A12F34" w:rsidRDefault="00BC1C3A" w:rsidP="00A12F34">
            <w:pPr>
              <w:pStyle w:val="TableText"/>
              <w:jc w:val="center"/>
              <w:rPr>
                <w:b/>
                <w:bCs/>
              </w:rPr>
            </w:pPr>
          </w:p>
        </w:tc>
        <w:tc>
          <w:tcPr>
            <w:tcW w:w="217" w:type="pct"/>
            <w:gridSpan w:val="2"/>
            <w:tcBorders>
              <w:left w:val="single" w:sz="6" w:space="0" w:color="BFBFBF" w:themeColor="background1" w:themeShade="BF"/>
            </w:tcBorders>
            <w:shd w:val="clear" w:color="auto" w:fill="F2F2F2" w:themeFill="background1" w:themeFillShade="F2"/>
            <w:vAlign w:val="center"/>
          </w:tcPr>
          <w:p w14:paraId="0E26864F" w14:textId="77777777" w:rsidR="00BC1C3A" w:rsidRPr="00A12F34" w:rsidRDefault="00BC1C3A" w:rsidP="00A12F34">
            <w:pPr>
              <w:pStyle w:val="TableText"/>
              <w:jc w:val="center"/>
              <w:rPr>
                <w:b/>
                <w:bCs/>
              </w:rPr>
            </w:pPr>
          </w:p>
        </w:tc>
        <w:tc>
          <w:tcPr>
            <w:tcW w:w="217" w:type="pct"/>
            <w:gridSpan w:val="2"/>
            <w:tcBorders>
              <w:left w:val="single" w:sz="6" w:space="0" w:color="BFBFBF" w:themeColor="background1" w:themeShade="BF"/>
            </w:tcBorders>
            <w:shd w:val="clear" w:color="auto" w:fill="F2F2F2" w:themeFill="background1" w:themeFillShade="F2"/>
            <w:vAlign w:val="center"/>
          </w:tcPr>
          <w:p w14:paraId="76FB3639" w14:textId="77777777" w:rsidR="00BC1C3A" w:rsidRPr="00A12F34" w:rsidRDefault="00BC1C3A" w:rsidP="00A12F34">
            <w:pPr>
              <w:pStyle w:val="TableText"/>
              <w:jc w:val="center"/>
              <w:rPr>
                <w:b/>
                <w:bCs/>
              </w:rPr>
            </w:pPr>
            <w:r w:rsidRPr="00A12F34">
              <w:rPr>
                <w:rFonts w:ascii="Segoe UI Symbol" w:hAnsi="Segoe UI Symbol" w:cs="Segoe UI Symbol"/>
                <w:b/>
                <w:bCs/>
              </w:rPr>
              <w:t>✓</w:t>
            </w:r>
          </w:p>
        </w:tc>
        <w:tc>
          <w:tcPr>
            <w:tcW w:w="217" w:type="pct"/>
            <w:gridSpan w:val="2"/>
            <w:tcBorders>
              <w:left w:val="single" w:sz="6" w:space="0" w:color="BFBFBF" w:themeColor="background1" w:themeShade="BF"/>
            </w:tcBorders>
            <w:shd w:val="clear" w:color="auto" w:fill="F2F2F2" w:themeFill="background1" w:themeFillShade="F2"/>
            <w:vAlign w:val="center"/>
          </w:tcPr>
          <w:p w14:paraId="1E5C2B62" w14:textId="77777777" w:rsidR="00BC1C3A" w:rsidRPr="00B65F7F" w:rsidRDefault="00BC1C3A" w:rsidP="00A12F34">
            <w:pPr>
              <w:pStyle w:val="TableText"/>
              <w:jc w:val="center"/>
            </w:pPr>
          </w:p>
        </w:tc>
        <w:tc>
          <w:tcPr>
            <w:tcW w:w="217" w:type="pct"/>
            <w:tcBorders>
              <w:left w:val="single" w:sz="6" w:space="0" w:color="BFBFBF" w:themeColor="background1" w:themeShade="BF"/>
              <w:right w:val="single" w:sz="6" w:space="0" w:color="auto"/>
            </w:tcBorders>
            <w:shd w:val="clear" w:color="auto" w:fill="F2F2F2" w:themeFill="background1" w:themeFillShade="F2"/>
            <w:vAlign w:val="center"/>
          </w:tcPr>
          <w:p w14:paraId="50F9200C" w14:textId="77777777" w:rsidR="00BC1C3A" w:rsidRPr="00B65F7F" w:rsidRDefault="00BC1C3A" w:rsidP="00A12F34">
            <w:pPr>
              <w:pStyle w:val="TableText"/>
              <w:jc w:val="center"/>
            </w:pPr>
          </w:p>
        </w:tc>
      </w:tr>
      <w:tr w:rsidR="00380CE9" w:rsidRPr="00B65F7F" w14:paraId="706A807C" w14:textId="77777777" w:rsidTr="00F820B9">
        <w:trPr>
          <w:gridAfter w:val="1"/>
          <w:wAfter w:w="9" w:type="pct"/>
          <w:trHeight w:val="20"/>
        </w:trPr>
        <w:tc>
          <w:tcPr>
            <w:tcW w:w="503" w:type="pct"/>
            <w:vMerge/>
            <w:tcBorders>
              <w:top w:val="single" w:sz="4" w:space="0" w:color="BFBFBF" w:themeColor="background1" w:themeShade="BF"/>
              <w:bottom w:val="single" w:sz="6" w:space="0" w:color="595959" w:themeColor="text1" w:themeTint="A6"/>
            </w:tcBorders>
            <w:hideMark/>
          </w:tcPr>
          <w:p w14:paraId="7ED166D7" w14:textId="77777777" w:rsidR="00BC1C3A" w:rsidRPr="00B65F7F" w:rsidRDefault="00BC1C3A" w:rsidP="00A12F34">
            <w:pPr>
              <w:pStyle w:val="TableText"/>
            </w:pPr>
          </w:p>
        </w:tc>
        <w:tc>
          <w:tcPr>
            <w:tcW w:w="953" w:type="pct"/>
            <w:vMerge/>
            <w:hideMark/>
          </w:tcPr>
          <w:p w14:paraId="42633719" w14:textId="77777777" w:rsidR="00BC1C3A" w:rsidRPr="00B65F7F" w:rsidRDefault="00BC1C3A" w:rsidP="00A12F34">
            <w:pPr>
              <w:pStyle w:val="TableText"/>
            </w:pPr>
          </w:p>
        </w:tc>
        <w:tc>
          <w:tcPr>
            <w:tcW w:w="336" w:type="pct"/>
            <w:tcBorders>
              <w:right w:val="single" w:sz="6" w:space="0" w:color="595959" w:themeColor="text1" w:themeTint="A6"/>
            </w:tcBorders>
            <w:hideMark/>
          </w:tcPr>
          <w:p w14:paraId="73459F02" w14:textId="77777777" w:rsidR="00BC1C3A" w:rsidRPr="00B65F7F" w:rsidRDefault="00BC1C3A" w:rsidP="00A12F34">
            <w:pPr>
              <w:pStyle w:val="TableText"/>
            </w:pPr>
            <w:r w:rsidRPr="00B65F7F">
              <w:t>Support</w:t>
            </w:r>
          </w:p>
        </w:tc>
        <w:tc>
          <w:tcPr>
            <w:tcW w:w="217" w:type="pct"/>
            <w:tcBorders>
              <w:top w:val="single" w:sz="4" w:space="0" w:color="BFBFBF" w:themeColor="background1" w:themeShade="BF"/>
              <w:left w:val="single" w:sz="6" w:space="0" w:color="595959" w:themeColor="text1" w:themeTint="A6"/>
              <w:right w:val="single" w:sz="6" w:space="0" w:color="BFBFBF" w:themeColor="background1" w:themeShade="BF"/>
            </w:tcBorders>
            <w:vAlign w:val="center"/>
            <w:hideMark/>
          </w:tcPr>
          <w:p w14:paraId="50F20344" w14:textId="77777777" w:rsidR="00BC1C3A" w:rsidRPr="00B65F7F" w:rsidRDefault="00BC1C3A" w:rsidP="00A12F34">
            <w:pPr>
              <w:pStyle w:val="TableText"/>
              <w:jc w:val="center"/>
            </w:pPr>
          </w:p>
        </w:tc>
        <w:tc>
          <w:tcPr>
            <w:tcW w:w="218" w:type="pct"/>
            <w:gridSpan w:val="2"/>
            <w:tcBorders>
              <w:left w:val="single" w:sz="6" w:space="0" w:color="BFBFBF" w:themeColor="background1" w:themeShade="BF"/>
              <w:right w:val="single" w:sz="6" w:space="0" w:color="BFBFBF" w:themeColor="background1" w:themeShade="BF"/>
            </w:tcBorders>
            <w:vAlign w:val="center"/>
            <w:hideMark/>
          </w:tcPr>
          <w:p w14:paraId="6F7424FC" w14:textId="77777777" w:rsidR="00BC1C3A" w:rsidRPr="00B65F7F" w:rsidRDefault="00BC1C3A" w:rsidP="00A12F34">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55BBDD38" w14:textId="77777777" w:rsidR="00BC1C3A" w:rsidRPr="00A12F34" w:rsidRDefault="00BC1C3A" w:rsidP="00A12F34">
            <w:pPr>
              <w:pStyle w:val="TableText"/>
              <w:jc w:val="center"/>
              <w:rPr>
                <w:b/>
                <w:bCs/>
              </w:rP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232288FC" w14:textId="77777777" w:rsidR="00BC1C3A" w:rsidRPr="00B65F7F" w:rsidRDefault="00BC1C3A" w:rsidP="00A12F34">
            <w:pPr>
              <w:pStyle w:val="TableText"/>
              <w:jc w:val="center"/>
            </w:pPr>
            <w:r w:rsidRPr="00B65F7F">
              <w:rPr>
                <w:rFonts w:ascii="Segoe UI Symbol" w:hAnsi="Segoe UI Symbol" w:cs="Segoe UI Symbol"/>
              </w:rPr>
              <w:t>✓</w:t>
            </w:r>
          </w:p>
        </w:tc>
        <w:tc>
          <w:tcPr>
            <w:tcW w:w="160" w:type="pct"/>
            <w:tcBorders>
              <w:left w:val="single" w:sz="6" w:space="0" w:color="BFBFBF" w:themeColor="background1" w:themeShade="BF"/>
              <w:right w:val="single" w:sz="6" w:space="0" w:color="595959" w:themeColor="text1" w:themeTint="A6"/>
            </w:tcBorders>
            <w:vAlign w:val="center"/>
            <w:hideMark/>
          </w:tcPr>
          <w:p w14:paraId="7EEDE4A4" w14:textId="77777777" w:rsidR="00BC1C3A" w:rsidRPr="00B65F7F" w:rsidRDefault="00BC1C3A" w:rsidP="00A12F34">
            <w:pPr>
              <w:pStyle w:val="TableText"/>
              <w:jc w:val="center"/>
            </w:pPr>
          </w:p>
        </w:tc>
        <w:tc>
          <w:tcPr>
            <w:tcW w:w="217" w:type="pct"/>
            <w:gridSpan w:val="2"/>
            <w:tcBorders>
              <w:top w:val="single" w:sz="4" w:space="0" w:color="BFBFBF" w:themeColor="background1" w:themeShade="BF"/>
              <w:left w:val="single" w:sz="6" w:space="0" w:color="595959" w:themeColor="text1" w:themeTint="A6"/>
              <w:right w:val="single" w:sz="6" w:space="0" w:color="BFBFBF" w:themeColor="background1" w:themeShade="BF"/>
            </w:tcBorders>
            <w:vAlign w:val="center"/>
            <w:hideMark/>
          </w:tcPr>
          <w:p w14:paraId="07695128" w14:textId="77777777" w:rsidR="00BC1C3A" w:rsidRPr="00A12F34" w:rsidRDefault="00BC1C3A" w:rsidP="00A12F34">
            <w:pPr>
              <w:pStyle w:val="TableText"/>
              <w:jc w:val="center"/>
              <w:rPr>
                <w:b/>
                <w:bCs/>
              </w:rP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6E5B1C75" w14:textId="77777777" w:rsidR="00BC1C3A" w:rsidRPr="00B65F7F" w:rsidRDefault="00BC1C3A" w:rsidP="00A12F34">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385FA5CC" w14:textId="77777777" w:rsidR="00BC1C3A" w:rsidRPr="00B65F7F" w:rsidRDefault="00BC1C3A" w:rsidP="00A12F34">
            <w:pPr>
              <w:pStyle w:val="TableText"/>
              <w:jc w:val="center"/>
            </w:pPr>
            <w:r w:rsidRPr="00B65F7F">
              <w:rPr>
                <w:rFonts w:ascii="Segoe UI Symbol" w:hAnsi="Segoe UI Symbol" w:cs="Segoe UI Symbol"/>
              </w:rPr>
              <w:t>✓</w:t>
            </w: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48684F29" w14:textId="77777777" w:rsidR="00BC1C3A" w:rsidRPr="00B65F7F" w:rsidRDefault="00BC1C3A" w:rsidP="00A12F34">
            <w:pPr>
              <w:pStyle w:val="TableText"/>
              <w:jc w:val="center"/>
            </w:pPr>
          </w:p>
        </w:tc>
        <w:tc>
          <w:tcPr>
            <w:tcW w:w="217" w:type="pct"/>
            <w:tcBorders>
              <w:left w:val="single" w:sz="6" w:space="0" w:color="BFBFBF" w:themeColor="background1" w:themeShade="BF"/>
              <w:right w:val="single" w:sz="6" w:space="0" w:color="595959" w:themeColor="text1" w:themeTint="A6"/>
            </w:tcBorders>
            <w:vAlign w:val="center"/>
            <w:hideMark/>
          </w:tcPr>
          <w:p w14:paraId="64B1BFBE" w14:textId="77777777" w:rsidR="00BC1C3A" w:rsidRPr="00B65F7F" w:rsidRDefault="00BC1C3A" w:rsidP="00A12F34">
            <w:pPr>
              <w:pStyle w:val="TableText"/>
              <w:jc w:val="center"/>
            </w:pPr>
          </w:p>
        </w:tc>
        <w:tc>
          <w:tcPr>
            <w:tcW w:w="217" w:type="pct"/>
            <w:gridSpan w:val="2"/>
            <w:tcBorders>
              <w:left w:val="single" w:sz="6" w:space="0" w:color="595959" w:themeColor="text1" w:themeTint="A6"/>
            </w:tcBorders>
            <w:vAlign w:val="center"/>
          </w:tcPr>
          <w:p w14:paraId="1215D2CA" w14:textId="77777777" w:rsidR="00BC1C3A" w:rsidRPr="00A12F34" w:rsidRDefault="00BC1C3A" w:rsidP="00A12F34">
            <w:pPr>
              <w:pStyle w:val="TableText"/>
              <w:jc w:val="center"/>
              <w:rPr>
                <w:b/>
                <w:bCs/>
              </w:rPr>
            </w:pPr>
          </w:p>
        </w:tc>
        <w:tc>
          <w:tcPr>
            <w:tcW w:w="217" w:type="pct"/>
            <w:gridSpan w:val="2"/>
            <w:tcBorders>
              <w:left w:val="single" w:sz="6" w:space="0" w:color="BFBFBF" w:themeColor="background1" w:themeShade="BF"/>
            </w:tcBorders>
            <w:vAlign w:val="center"/>
          </w:tcPr>
          <w:p w14:paraId="6A443F09" w14:textId="77777777" w:rsidR="00BC1C3A" w:rsidRPr="00A12F34" w:rsidRDefault="00BC1C3A" w:rsidP="00A12F34">
            <w:pPr>
              <w:pStyle w:val="TableText"/>
              <w:jc w:val="center"/>
              <w:rPr>
                <w:b/>
                <w:bCs/>
              </w:rPr>
            </w:pPr>
          </w:p>
        </w:tc>
        <w:tc>
          <w:tcPr>
            <w:tcW w:w="217" w:type="pct"/>
            <w:gridSpan w:val="2"/>
            <w:tcBorders>
              <w:left w:val="single" w:sz="6" w:space="0" w:color="BFBFBF" w:themeColor="background1" w:themeShade="BF"/>
            </w:tcBorders>
            <w:vAlign w:val="center"/>
          </w:tcPr>
          <w:p w14:paraId="57332A30" w14:textId="77777777" w:rsidR="00BC1C3A" w:rsidRPr="00A12F34" w:rsidRDefault="00BC1C3A" w:rsidP="00A12F34">
            <w:pPr>
              <w:pStyle w:val="TableText"/>
              <w:jc w:val="center"/>
              <w:rPr>
                <w:b/>
                <w:bCs/>
              </w:rPr>
            </w:pPr>
          </w:p>
        </w:tc>
        <w:tc>
          <w:tcPr>
            <w:tcW w:w="217" w:type="pct"/>
            <w:gridSpan w:val="2"/>
            <w:tcBorders>
              <w:left w:val="single" w:sz="6" w:space="0" w:color="BFBFBF" w:themeColor="background1" w:themeShade="BF"/>
            </w:tcBorders>
            <w:vAlign w:val="center"/>
          </w:tcPr>
          <w:p w14:paraId="60E65F2F" w14:textId="77777777" w:rsidR="00BC1C3A" w:rsidRPr="00B65F7F" w:rsidRDefault="00BC1C3A" w:rsidP="00A12F34">
            <w:pPr>
              <w:pStyle w:val="TableText"/>
              <w:jc w:val="center"/>
            </w:pPr>
            <w:r w:rsidRPr="00B65F7F">
              <w:rPr>
                <w:rFonts w:ascii="Segoe UI Symbol" w:hAnsi="Segoe UI Symbol" w:cs="Segoe UI Symbol"/>
              </w:rPr>
              <w:t>✓</w:t>
            </w:r>
          </w:p>
        </w:tc>
        <w:tc>
          <w:tcPr>
            <w:tcW w:w="217" w:type="pct"/>
            <w:tcBorders>
              <w:left w:val="single" w:sz="6" w:space="0" w:color="BFBFBF" w:themeColor="background1" w:themeShade="BF"/>
              <w:right w:val="single" w:sz="6" w:space="0" w:color="auto"/>
            </w:tcBorders>
            <w:vAlign w:val="center"/>
          </w:tcPr>
          <w:p w14:paraId="00DE6F8F" w14:textId="77777777" w:rsidR="00BC1C3A" w:rsidRPr="00B65F7F" w:rsidRDefault="00BC1C3A" w:rsidP="00A12F34">
            <w:pPr>
              <w:pStyle w:val="TableText"/>
              <w:jc w:val="center"/>
            </w:pPr>
          </w:p>
        </w:tc>
      </w:tr>
      <w:tr w:rsidR="00380CE9" w:rsidRPr="00B65F7F" w14:paraId="73224B0F" w14:textId="77777777" w:rsidTr="00F820B9">
        <w:trPr>
          <w:gridAfter w:val="1"/>
          <w:wAfter w:w="9" w:type="pct"/>
          <w:trHeight w:val="20"/>
        </w:trPr>
        <w:tc>
          <w:tcPr>
            <w:tcW w:w="503" w:type="pct"/>
            <w:vMerge/>
            <w:tcBorders>
              <w:top w:val="single" w:sz="4" w:space="0" w:color="BFBFBF" w:themeColor="background1" w:themeShade="BF"/>
              <w:bottom w:val="single" w:sz="6" w:space="0" w:color="595959" w:themeColor="text1" w:themeTint="A6"/>
            </w:tcBorders>
            <w:hideMark/>
          </w:tcPr>
          <w:p w14:paraId="40D01673" w14:textId="77777777" w:rsidR="00BC1C3A" w:rsidRPr="00B65F7F" w:rsidRDefault="00BC1C3A" w:rsidP="00BC1C3A">
            <w:pPr>
              <w:pStyle w:val="TableText"/>
            </w:pPr>
          </w:p>
        </w:tc>
        <w:tc>
          <w:tcPr>
            <w:tcW w:w="953" w:type="pct"/>
            <w:vMerge w:val="restart"/>
            <w:hideMark/>
          </w:tcPr>
          <w:p w14:paraId="09FA1352" w14:textId="77777777" w:rsidR="00BC1C3A" w:rsidRPr="00B65F7F" w:rsidRDefault="00BC1C3A" w:rsidP="00450852">
            <w:pPr>
              <w:pStyle w:val="TableText"/>
            </w:pPr>
            <w:r w:rsidRPr="00B65F7F">
              <w:t>Determine the procurement method/strategy</w:t>
            </w:r>
          </w:p>
        </w:tc>
        <w:tc>
          <w:tcPr>
            <w:tcW w:w="336" w:type="pct"/>
            <w:tcBorders>
              <w:right w:val="single" w:sz="6" w:space="0" w:color="595959" w:themeColor="text1" w:themeTint="A6"/>
            </w:tcBorders>
            <w:shd w:val="clear" w:color="auto" w:fill="F2F2F2" w:themeFill="background1" w:themeFillShade="F2"/>
            <w:hideMark/>
          </w:tcPr>
          <w:p w14:paraId="59C3E696" w14:textId="77777777" w:rsidR="00BC1C3A" w:rsidRPr="00B65F7F" w:rsidRDefault="00BC1C3A" w:rsidP="00450852">
            <w:pPr>
              <w:pStyle w:val="TableText"/>
            </w:pPr>
            <w:r w:rsidRPr="00B65F7F">
              <w:t>Lead</w:t>
            </w:r>
          </w:p>
        </w:tc>
        <w:tc>
          <w:tcPr>
            <w:tcW w:w="217" w:type="pct"/>
            <w:tcBorders>
              <w:top w:val="single" w:sz="4" w:space="0" w:color="BFBFBF" w:themeColor="background1" w:themeShade="BF"/>
              <w:left w:val="single" w:sz="6" w:space="0" w:color="595959" w:themeColor="text1" w:themeTint="A6"/>
              <w:right w:val="single" w:sz="6" w:space="0" w:color="BFBFBF" w:themeColor="background1" w:themeShade="BF"/>
            </w:tcBorders>
            <w:shd w:val="clear" w:color="auto" w:fill="F2F2F2" w:themeFill="background1" w:themeFillShade="F2"/>
            <w:vAlign w:val="center"/>
            <w:hideMark/>
          </w:tcPr>
          <w:p w14:paraId="4B71F25E" w14:textId="77777777" w:rsidR="00BC1C3A" w:rsidRPr="00B65F7F" w:rsidRDefault="00BC1C3A" w:rsidP="00450852">
            <w:pPr>
              <w:pStyle w:val="TableText"/>
              <w:jc w:val="center"/>
            </w:pPr>
          </w:p>
        </w:tc>
        <w:tc>
          <w:tcPr>
            <w:tcW w:w="218"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6D6BCCDF" w14:textId="77777777" w:rsidR="00BC1C3A" w:rsidRPr="00B65F7F" w:rsidRDefault="00BC1C3A" w:rsidP="00450852">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5B9F8736" w14:textId="77777777" w:rsidR="00BC1C3A" w:rsidRPr="00DC6C42" w:rsidRDefault="00BC1C3A" w:rsidP="00450852">
            <w:pPr>
              <w:pStyle w:val="TableText"/>
              <w:jc w:val="center"/>
              <w:rPr>
                <w:b/>
                <w:bCs/>
              </w:rPr>
            </w:pPr>
            <w:r w:rsidRPr="00DC6C42">
              <w:rPr>
                <w:rFonts w:ascii="Segoe UI Symbol" w:hAnsi="Segoe UI Symbol" w:cs="Segoe UI Symbol"/>
                <w:b/>
              </w:rPr>
              <w:t>✓</w:t>
            </w: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12131ABB" w14:textId="77777777" w:rsidR="00BC1C3A" w:rsidRPr="00B65F7F" w:rsidRDefault="00BC1C3A" w:rsidP="00450852">
            <w:pPr>
              <w:pStyle w:val="TableText"/>
              <w:jc w:val="center"/>
            </w:pPr>
          </w:p>
        </w:tc>
        <w:tc>
          <w:tcPr>
            <w:tcW w:w="160" w:type="pct"/>
            <w:tcBorders>
              <w:left w:val="single" w:sz="6" w:space="0" w:color="BFBFBF" w:themeColor="background1" w:themeShade="BF"/>
              <w:right w:val="single" w:sz="6" w:space="0" w:color="595959" w:themeColor="text1" w:themeTint="A6"/>
            </w:tcBorders>
            <w:shd w:val="clear" w:color="auto" w:fill="F2F2F2" w:themeFill="background1" w:themeFillShade="F2"/>
            <w:vAlign w:val="center"/>
            <w:hideMark/>
          </w:tcPr>
          <w:p w14:paraId="01F531EF" w14:textId="77777777" w:rsidR="00BC1C3A" w:rsidRPr="00B65F7F" w:rsidRDefault="00BC1C3A" w:rsidP="00450852">
            <w:pPr>
              <w:pStyle w:val="TableText"/>
              <w:jc w:val="center"/>
            </w:pPr>
          </w:p>
        </w:tc>
        <w:tc>
          <w:tcPr>
            <w:tcW w:w="217" w:type="pct"/>
            <w:gridSpan w:val="2"/>
            <w:tcBorders>
              <w:top w:val="single" w:sz="4" w:space="0" w:color="BFBFBF" w:themeColor="background1" w:themeShade="BF"/>
              <w:left w:val="single" w:sz="6" w:space="0" w:color="595959" w:themeColor="text1" w:themeTint="A6"/>
              <w:right w:val="single" w:sz="6" w:space="0" w:color="BFBFBF" w:themeColor="background1" w:themeShade="BF"/>
            </w:tcBorders>
            <w:shd w:val="clear" w:color="auto" w:fill="F2F2F2" w:themeFill="background1" w:themeFillShade="F2"/>
            <w:vAlign w:val="center"/>
            <w:hideMark/>
          </w:tcPr>
          <w:p w14:paraId="36894191" w14:textId="77777777" w:rsidR="00BC1C3A" w:rsidRPr="00450852" w:rsidRDefault="00BC1C3A" w:rsidP="00450852">
            <w:pPr>
              <w:pStyle w:val="TableText"/>
              <w:jc w:val="center"/>
              <w:rPr>
                <w:b/>
                <w:bCs/>
              </w:rPr>
            </w:pPr>
            <w:r w:rsidRPr="00450852">
              <w:rPr>
                <w:rFonts w:ascii="Segoe UI Symbol" w:hAnsi="Segoe UI Symbol" w:cs="Segoe UI Symbol"/>
                <w:b/>
                <w:bCs/>
              </w:rPr>
              <w:t>✓</w:t>
            </w: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4AA523CE" w14:textId="77777777" w:rsidR="00BC1C3A" w:rsidRPr="00450852" w:rsidRDefault="00BC1C3A" w:rsidP="00450852">
            <w:pPr>
              <w:pStyle w:val="TableText"/>
              <w:jc w:val="center"/>
              <w:rPr>
                <w:b/>
                <w:bCs/>
              </w:rPr>
            </w:pP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3C5B754C" w14:textId="77777777" w:rsidR="00BC1C3A" w:rsidRPr="00450852" w:rsidRDefault="00BC1C3A" w:rsidP="00450852">
            <w:pPr>
              <w:pStyle w:val="TableText"/>
              <w:jc w:val="center"/>
              <w:rPr>
                <w:b/>
                <w:bCs/>
              </w:rPr>
            </w:pP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1BAFA7D3" w14:textId="77777777" w:rsidR="00BC1C3A" w:rsidRPr="00450852" w:rsidRDefault="00BC1C3A" w:rsidP="00450852">
            <w:pPr>
              <w:pStyle w:val="TableText"/>
              <w:jc w:val="center"/>
              <w:rPr>
                <w:b/>
                <w:bCs/>
              </w:rPr>
            </w:pPr>
          </w:p>
        </w:tc>
        <w:tc>
          <w:tcPr>
            <w:tcW w:w="217" w:type="pct"/>
            <w:tcBorders>
              <w:left w:val="single" w:sz="6" w:space="0" w:color="BFBFBF" w:themeColor="background1" w:themeShade="BF"/>
              <w:bottom w:val="single" w:sz="4" w:space="0" w:color="BFBFBF" w:themeColor="background1" w:themeShade="BF"/>
              <w:right w:val="single" w:sz="6" w:space="0" w:color="595959" w:themeColor="text1" w:themeTint="A6"/>
            </w:tcBorders>
            <w:shd w:val="clear" w:color="auto" w:fill="F2F2F2" w:themeFill="background1" w:themeFillShade="F2"/>
            <w:vAlign w:val="center"/>
            <w:hideMark/>
          </w:tcPr>
          <w:p w14:paraId="3CC5FA82" w14:textId="77777777" w:rsidR="00BC1C3A" w:rsidRPr="00450852" w:rsidRDefault="00BC1C3A" w:rsidP="00450852">
            <w:pPr>
              <w:pStyle w:val="TableText"/>
              <w:jc w:val="center"/>
              <w:rPr>
                <w:b/>
                <w:bCs/>
              </w:rPr>
            </w:pPr>
          </w:p>
        </w:tc>
        <w:tc>
          <w:tcPr>
            <w:tcW w:w="217" w:type="pct"/>
            <w:gridSpan w:val="2"/>
            <w:tcBorders>
              <w:left w:val="single" w:sz="6" w:space="0" w:color="595959" w:themeColor="text1" w:themeTint="A6"/>
            </w:tcBorders>
            <w:shd w:val="clear" w:color="auto" w:fill="F2F2F2" w:themeFill="background1" w:themeFillShade="F2"/>
            <w:vAlign w:val="center"/>
          </w:tcPr>
          <w:p w14:paraId="12281131" w14:textId="77777777" w:rsidR="00BC1C3A" w:rsidRPr="00B65F7F" w:rsidRDefault="00BC1C3A" w:rsidP="00450852">
            <w:pPr>
              <w:pStyle w:val="TableText"/>
              <w:jc w:val="center"/>
            </w:pPr>
          </w:p>
        </w:tc>
        <w:tc>
          <w:tcPr>
            <w:tcW w:w="217" w:type="pct"/>
            <w:gridSpan w:val="2"/>
            <w:tcBorders>
              <w:left w:val="single" w:sz="6" w:space="0" w:color="BFBFBF" w:themeColor="background1" w:themeShade="BF"/>
            </w:tcBorders>
            <w:shd w:val="clear" w:color="auto" w:fill="F2F2F2" w:themeFill="background1" w:themeFillShade="F2"/>
            <w:vAlign w:val="center"/>
          </w:tcPr>
          <w:p w14:paraId="26282E9D" w14:textId="77777777" w:rsidR="00BC1C3A" w:rsidRPr="00B65F7F" w:rsidRDefault="00BC1C3A" w:rsidP="00450852">
            <w:pPr>
              <w:pStyle w:val="TableText"/>
              <w:jc w:val="center"/>
            </w:pPr>
          </w:p>
        </w:tc>
        <w:tc>
          <w:tcPr>
            <w:tcW w:w="217" w:type="pct"/>
            <w:gridSpan w:val="2"/>
            <w:tcBorders>
              <w:left w:val="single" w:sz="6" w:space="0" w:color="BFBFBF" w:themeColor="background1" w:themeShade="BF"/>
            </w:tcBorders>
            <w:shd w:val="clear" w:color="auto" w:fill="F2F2F2" w:themeFill="background1" w:themeFillShade="F2"/>
            <w:vAlign w:val="center"/>
          </w:tcPr>
          <w:p w14:paraId="6E90FE25" w14:textId="77777777" w:rsidR="00BC1C3A" w:rsidRPr="00B65F7F" w:rsidRDefault="00BC1C3A" w:rsidP="00450852">
            <w:pPr>
              <w:pStyle w:val="TableText"/>
              <w:jc w:val="center"/>
            </w:pPr>
            <w:r w:rsidRPr="00DC6C42">
              <w:rPr>
                <w:rFonts w:ascii="Segoe UI Symbol" w:hAnsi="Segoe UI Symbol" w:cs="Segoe UI Symbol"/>
                <w:b/>
              </w:rPr>
              <w:t>✓</w:t>
            </w:r>
          </w:p>
        </w:tc>
        <w:tc>
          <w:tcPr>
            <w:tcW w:w="217" w:type="pct"/>
            <w:gridSpan w:val="2"/>
            <w:tcBorders>
              <w:left w:val="single" w:sz="6" w:space="0" w:color="BFBFBF" w:themeColor="background1" w:themeShade="BF"/>
            </w:tcBorders>
            <w:shd w:val="clear" w:color="auto" w:fill="F2F2F2" w:themeFill="background1" w:themeFillShade="F2"/>
            <w:vAlign w:val="center"/>
          </w:tcPr>
          <w:p w14:paraId="4B72CBB9" w14:textId="77777777" w:rsidR="00BC1C3A" w:rsidRPr="00B65F7F" w:rsidRDefault="00BC1C3A" w:rsidP="00450852">
            <w:pPr>
              <w:pStyle w:val="TableText"/>
              <w:jc w:val="center"/>
            </w:pPr>
          </w:p>
        </w:tc>
        <w:tc>
          <w:tcPr>
            <w:tcW w:w="217" w:type="pct"/>
            <w:tcBorders>
              <w:left w:val="single" w:sz="6" w:space="0" w:color="BFBFBF" w:themeColor="background1" w:themeShade="BF"/>
              <w:right w:val="single" w:sz="6" w:space="0" w:color="auto"/>
            </w:tcBorders>
            <w:shd w:val="clear" w:color="auto" w:fill="F2F2F2" w:themeFill="background1" w:themeFillShade="F2"/>
            <w:vAlign w:val="center"/>
          </w:tcPr>
          <w:p w14:paraId="0DFE62D5" w14:textId="77777777" w:rsidR="00BC1C3A" w:rsidRPr="00B65F7F" w:rsidRDefault="00BC1C3A" w:rsidP="00450852">
            <w:pPr>
              <w:pStyle w:val="TableText"/>
              <w:jc w:val="center"/>
            </w:pPr>
          </w:p>
        </w:tc>
      </w:tr>
      <w:tr w:rsidR="00380CE9" w:rsidRPr="00B65F7F" w14:paraId="45445F14" w14:textId="77777777" w:rsidTr="00F820B9">
        <w:trPr>
          <w:gridAfter w:val="1"/>
          <w:wAfter w:w="9" w:type="pct"/>
          <w:trHeight w:val="20"/>
        </w:trPr>
        <w:tc>
          <w:tcPr>
            <w:tcW w:w="503" w:type="pct"/>
            <w:vMerge/>
            <w:tcBorders>
              <w:top w:val="single" w:sz="4" w:space="0" w:color="BFBFBF" w:themeColor="background1" w:themeShade="BF"/>
              <w:bottom w:val="single" w:sz="6" w:space="0" w:color="595959" w:themeColor="text1" w:themeTint="A6"/>
            </w:tcBorders>
            <w:hideMark/>
          </w:tcPr>
          <w:p w14:paraId="05A67BCF" w14:textId="77777777" w:rsidR="00BC1C3A" w:rsidRPr="00B65F7F" w:rsidRDefault="00BC1C3A" w:rsidP="00BC1C3A">
            <w:pPr>
              <w:pStyle w:val="TableText"/>
            </w:pPr>
          </w:p>
        </w:tc>
        <w:tc>
          <w:tcPr>
            <w:tcW w:w="953" w:type="pct"/>
            <w:vMerge/>
            <w:hideMark/>
          </w:tcPr>
          <w:p w14:paraId="5EE86354" w14:textId="77777777" w:rsidR="00BC1C3A" w:rsidRPr="00B65F7F" w:rsidRDefault="00BC1C3A" w:rsidP="00450852">
            <w:pPr>
              <w:pStyle w:val="TableText"/>
            </w:pPr>
          </w:p>
        </w:tc>
        <w:tc>
          <w:tcPr>
            <w:tcW w:w="336" w:type="pct"/>
            <w:tcBorders>
              <w:right w:val="single" w:sz="6" w:space="0" w:color="595959" w:themeColor="text1" w:themeTint="A6"/>
            </w:tcBorders>
            <w:hideMark/>
          </w:tcPr>
          <w:p w14:paraId="14377106" w14:textId="77777777" w:rsidR="00BC1C3A" w:rsidRPr="00B65F7F" w:rsidRDefault="00BC1C3A" w:rsidP="00450852">
            <w:pPr>
              <w:pStyle w:val="TableText"/>
            </w:pPr>
            <w:r w:rsidRPr="00B65F7F">
              <w:t>Support</w:t>
            </w:r>
          </w:p>
        </w:tc>
        <w:tc>
          <w:tcPr>
            <w:tcW w:w="217" w:type="pct"/>
            <w:tcBorders>
              <w:top w:val="single" w:sz="4" w:space="0" w:color="BFBFBF" w:themeColor="background1" w:themeShade="BF"/>
              <w:left w:val="single" w:sz="6" w:space="0" w:color="595959" w:themeColor="text1" w:themeTint="A6"/>
              <w:right w:val="single" w:sz="6" w:space="0" w:color="BFBFBF" w:themeColor="background1" w:themeShade="BF"/>
            </w:tcBorders>
            <w:vAlign w:val="center"/>
            <w:hideMark/>
          </w:tcPr>
          <w:p w14:paraId="2DF7AF0C" w14:textId="77777777" w:rsidR="00BC1C3A" w:rsidRPr="00B65F7F" w:rsidRDefault="00BC1C3A" w:rsidP="00450852">
            <w:pPr>
              <w:pStyle w:val="TableText"/>
              <w:jc w:val="center"/>
            </w:pPr>
          </w:p>
        </w:tc>
        <w:tc>
          <w:tcPr>
            <w:tcW w:w="218" w:type="pct"/>
            <w:gridSpan w:val="2"/>
            <w:tcBorders>
              <w:left w:val="single" w:sz="6" w:space="0" w:color="BFBFBF" w:themeColor="background1" w:themeShade="BF"/>
              <w:right w:val="single" w:sz="6" w:space="0" w:color="BFBFBF" w:themeColor="background1" w:themeShade="BF"/>
            </w:tcBorders>
            <w:vAlign w:val="center"/>
            <w:hideMark/>
          </w:tcPr>
          <w:p w14:paraId="12033E39" w14:textId="77777777" w:rsidR="00BC1C3A" w:rsidRPr="00B65F7F" w:rsidRDefault="00BC1C3A" w:rsidP="00450852">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2176C289" w14:textId="77777777" w:rsidR="00BC1C3A" w:rsidRPr="00B65F7F" w:rsidRDefault="00BC1C3A" w:rsidP="00450852">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6411D397" w14:textId="77777777" w:rsidR="00BC1C3A" w:rsidRPr="00B65F7F" w:rsidRDefault="00BC1C3A" w:rsidP="00450852">
            <w:pPr>
              <w:pStyle w:val="TableText"/>
              <w:jc w:val="center"/>
            </w:pPr>
          </w:p>
        </w:tc>
        <w:tc>
          <w:tcPr>
            <w:tcW w:w="160" w:type="pct"/>
            <w:tcBorders>
              <w:left w:val="single" w:sz="6" w:space="0" w:color="BFBFBF" w:themeColor="background1" w:themeShade="BF"/>
              <w:right w:val="single" w:sz="6" w:space="0" w:color="595959" w:themeColor="text1" w:themeTint="A6"/>
            </w:tcBorders>
            <w:vAlign w:val="center"/>
            <w:hideMark/>
          </w:tcPr>
          <w:p w14:paraId="1AEF2F2F" w14:textId="77777777" w:rsidR="00BC1C3A" w:rsidRPr="00B65F7F" w:rsidRDefault="00BC1C3A" w:rsidP="00450852">
            <w:pPr>
              <w:pStyle w:val="TableText"/>
              <w:jc w:val="center"/>
            </w:pPr>
          </w:p>
        </w:tc>
        <w:tc>
          <w:tcPr>
            <w:tcW w:w="217" w:type="pct"/>
            <w:gridSpan w:val="2"/>
            <w:tcBorders>
              <w:top w:val="single" w:sz="4" w:space="0" w:color="BFBFBF" w:themeColor="background1" w:themeShade="BF"/>
              <w:left w:val="single" w:sz="6" w:space="0" w:color="595959" w:themeColor="text1" w:themeTint="A6"/>
              <w:right w:val="single" w:sz="6" w:space="0" w:color="BFBFBF" w:themeColor="background1" w:themeShade="BF"/>
            </w:tcBorders>
            <w:vAlign w:val="center"/>
            <w:hideMark/>
          </w:tcPr>
          <w:p w14:paraId="64F1E40E" w14:textId="77777777" w:rsidR="00BC1C3A" w:rsidRPr="00450852" w:rsidRDefault="00BC1C3A" w:rsidP="00450852">
            <w:pPr>
              <w:pStyle w:val="TableText"/>
              <w:jc w:val="center"/>
              <w:rPr>
                <w:b/>
                <w:bCs/>
              </w:rP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2EC6DFF4" w14:textId="77777777" w:rsidR="00BC1C3A" w:rsidRPr="00450852" w:rsidRDefault="00BC1C3A" w:rsidP="00450852">
            <w:pPr>
              <w:pStyle w:val="TableText"/>
              <w:jc w:val="center"/>
              <w:rPr>
                <w:b/>
                <w:bCs/>
              </w:rP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1E8A5894" w14:textId="77777777" w:rsidR="00BC1C3A" w:rsidRPr="00450852" w:rsidRDefault="00BC1C3A" w:rsidP="00450852">
            <w:pPr>
              <w:pStyle w:val="TableText"/>
              <w:jc w:val="center"/>
            </w:pPr>
            <w:r w:rsidRPr="00450852">
              <w:rPr>
                <w:rFonts w:ascii="Segoe UI Symbol" w:hAnsi="Segoe UI Symbol" w:cs="Segoe UI Symbol"/>
              </w:rPr>
              <w:t>✓</w:t>
            </w: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3C74DD70" w14:textId="77777777" w:rsidR="00BC1C3A" w:rsidRPr="00450852" w:rsidRDefault="00BC1C3A" w:rsidP="00450852">
            <w:pPr>
              <w:pStyle w:val="TableText"/>
              <w:jc w:val="center"/>
              <w:rPr>
                <w:b/>
                <w:bCs/>
              </w:rPr>
            </w:pPr>
          </w:p>
        </w:tc>
        <w:tc>
          <w:tcPr>
            <w:tcW w:w="217" w:type="pct"/>
            <w:tcBorders>
              <w:top w:val="single" w:sz="4" w:space="0" w:color="BFBFBF" w:themeColor="background1" w:themeShade="BF"/>
              <w:left w:val="single" w:sz="6" w:space="0" w:color="BFBFBF" w:themeColor="background1" w:themeShade="BF"/>
              <w:right w:val="single" w:sz="4" w:space="0" w:color="595959" w:themeColor="text1" w:themeTint="A6"/>
            </w:tcBorders>
            <w:vAlign w:val="center"/>
            <w:hideMark/>
          </w:tcPr>
          <w:p w14:paraId="6A5FE9F3" w14:textId="77777777" w:rsidR="00BC1C3A" w:rsidRPr="00450852" w:rsidRDefault="00BC1C3A" w:rsidP="00450852">
            <w:pPr>
              <w:pStyle w:val="TableText"/>
              <w:jc w:val="center"/>
              <w:rPr>
                <w:b/>
                <w:bCs/>
              </w:rPr>
            </w:pPr>
          </w:p>
        </w:tc>
        <w:tc>
          <w:tcPr>
            <w:tcW w:w="217" w:type="pct"/>
            <w:gridSpan w:val="2"/>
            <w:tcBorders>
              <w:left w:val="single" w:sz="4" w:space="0" w:color="595959" w:themeColor="text1" w:themeTint="A6"/>
            </w:tcBorders>
            <w:vAlign w:val="center"/>
          </w:tcPr>
          <w:p w14:paraId="7C9F0E6D" w14:textId="77777777" w:rsidR="00BC1C3A" w:rsidRPr="00B65F7F" w:rsidRDefault="00BC1C3A" w:rsidP="00450852">
            <w:pPr>
              <w:pStyle w:val="TableText"/>
              <w:jc w:val="center"/>
            </w:pPr>
          </w:p>
        </w:tc>
        <w:tc>
          <w:tcPr>
            <w:tcW w:w="217" w:type="pct"/>
            <w:gridSpan w:val="2"/>
            <w:tcBorders>
              <w:left w:val="single" w:sz="6" w:space="0" w:color="BFBFBF" w:themeColor="background1" w:themeShade="BF"/>
            </w:tcBorders>
            <w:vAlign w:val="center"/>
          </w:tcPr>
          <w:p w14:paraId="7CF9752A" w14:textId="77777777" w:rsidR="00BC1C3A" w:rsidRPr="00B65F7F" w:rsidRDefault="00BC1C3A" w:rsidP="00450852">
            <w:pPr>
              <w:pStyle w:val="TableText"/>
              <w:jc w:val="center"/>
            </w:pPr>
          </w:p>
        </w:tc>
        <w:tc>
          <w:tcPr>
            <w:tcW w:w="217" w:type="pct"/>
            <w:gridSpan w:val="2"/>
            <w:tcBorders>
              <w:left w:val="single" w:sz="6" w:space="0" w:color="BFBFBF" w:themeColor="background1" w:themeShade="BF"/>
            </w:tcBorders>
            <w:vAlign w:val="center"/>
          </w:tcPr>
          <w:p w14:paraId="0910B8FC" w14:textId="77777777" w:rsidR="00BC1C3A" w:rsidRPr="00B65F7F" w:rsidRDefault="00BC1C3A" w:rsidP="00450852">
            <w:pPr>
              <w:pStyle w:val="TableText"/>
              <w:jc w:val="center"/>
            </w:pPr>
          </w:p>
        </w:tc>
        <w:tc>
          <w:tcPr>
            <w:tcW w:w="217" w:type="pct"/>
            <w:gridSpan w:val="2"/>
            <w:tcBorders>
              <w:left w:val="single" w:sz="6" w:space="0" w:color="BFBFBF" w:themeColor="background1" w:themeShade="BF"/>
            </w:tcBorders>
            <w:vAlign w:val="center"/>
          </w:tcPr>
          <w:p w14:paraId="61953E3D" w14:textId="77777777" w:rsidR="00BC1C3A" w:rsidRPr="00B65F7F" w:rsidRDefault="00BC1C3A" w:rsidP="00450852">
            <w:pPr>
              <w:pStyle w:val="TableText"/>
              <w:jc w:val="center"/>
            </w:pPr>
          </w:p>
        </w:tc>
        <w:tc>
          <w:tcPr>
            <w:tcW w:w="217" w:type="pct"/>
            <w:tcBorders>
              <w:left w:val="single" w:sz="6" w:space="0" w:color="BFBFBF" w:themeColor="background1" w:themeShade="BF"/>
              <w:right w:val="single" w:sz="6" w:space="0" w:color="auto"/>
            </w:tcBorders>
            <w:vAlign w:val="center"/>
          </w:tcPr>
          <w:p w14:paraId="358187D2" w14:textId="77777777" w:rsidR="00BC1C3A" w:rsidRPr="00B65F7F" w:rsidRDefault="00BC1C3A" w:rsidP="00450852">
            <w:pPr>
              <w:pStyle w:val="TableText"/>
              <w:jc w:val="center"/>
            </w:pPr>
          </w:p>
        </w:tc>
      </w:tr>
      <w:tr w:rsidR="00380CE9" w:rsidRPr="00B65F7F" w14:paraId="0B5F2CB3" w14:textId="77777777" w:rsidTr="00F820B9">
        <w:trPr>
          <w:gridAfter w:val="1"/>
          <w:wAfter w:w="9" w:type="pct"/>
          <w:trHeight w:val="20"/>
        </w:trPr>
        <w:tc>
          <w:tcPr>
            <w:tcW w:w="503" w:type="pct"/>
            <w:vMerge/>
            <w:tcBorders>
              <w:top w:val="single" w:sz="4" w:space="0" w:color="BFBFBF" w:themeColor="background1" w:themeShade="BF"/>
              <w:bottom w:val="single" w:sz="6" w:space="0" w:color="595959" w:themeColor="text1" w:themeTint="A6"/>
            </w:tcBorders>
            <w:hideMark/>
          </w:tcPr>
          <w:p w14:paraId="6B00494C" w14:textId="77777777" w:rsidR="00BC1C3A" w:rsidRPr="00B65F7F" w:rsidRDefault="00BC1C3A" w:rsidP="00BC1C3A">
            <w:pPr>
              <w:pStyle w:val="TableText"/>
            </w:pPr>
          </w:p>
        </w:tc>
        <w:tc>
          <w:tcPr>
            <w:tcW w:w="953" w:type="pct"/>
            <w:vMerge w:val="restart"/>
            <w:hideMark/>
          </w:tcPr>
          <w:p w14:paraId="0508C9F2" w14:textId="77777777" w:rsidR="00BC1C3A" w:rsidRPr="00B65F7F" w:rsidRDefault="00BC1C3A" w:rsidP="00450852">
            <w:pPr>
              <w:pStyle w:val="TableText"/>
            </w:pPr>
            <w:r w:rsidRPr="00B65F7F">
              <w:t>Prepare to approach the market, including determining contract characteristics</w:t>
            </w:r>
          </w:p>
        </w:tc>
        <w:tc>
          <w:tcPr>
            <w:tcW w:w="336" w:type="pct"/>
            <w:tcBorders>
              <w:right w:val="single" w:sz="6" w:space="0" w:color="595959" w:themeColor="text1" w:themeTint="A6"/>
            </w:tcBorders>
            <w:shd w:val="clear" w:color="auto" w:fill="F2F2F2" w:themeFill="background1" w:themeFillShade="F2"/>
            <w:hideMark/>
          </w:tcPr>
          <w:p w14:paraId="3D37FA98" w14:textId="77777777" w:rsidR="00BC1C3A" w:rsidRPr="00B65F7F" w:rsidRDefault="00BC1C3A" w:rsidP="00450852">
            <w:pPr>
              <w:pStyle w:val="TableText"/>
            </w:pPr>
            <w:r w:rsidRPr="00B65F7F">
              <w:t>Lead</w:t>
            </w:r>
          </w:p>
        </w:tc>
        <w:tc>
          <w:tcPr>
            <w:tcW w:w="217" w:type="pct"/>
            <w:tcBorders>
              <w:top w:val="single" w:sz="4" w:space="0" w:color="BFBFBF" w:themeColor="background1" w:themeShade="BF"/>
              <w:left w:val="single" w:sz="6" w:space="0" w:color="595959" w:themeColor="text1" w:themeTint="A6"/>
              <w:right w:val="single" w:sz="6" w:space="0" w:color="BFBFBF" w:themeColor="background1" w:themeShade="BF"/>
            </w:tcBorders>
            <w:shd w:val="clear" w:color="auto" w:fill="F2F2F2" w:themeFill="background1" w:themeFillShade="F2"/>
            <w:vAlign w:val="center"/>
            <w:hideMark/>
          </w:tcPr>
          <w:p w14:paraId="27955D1B" w14:textId="77777777" w:rsidR="00BC1C3A" w:rsidRPr="00B65F7F" w:rsidRDefault="00BC1C3A" w:rsidP="00450852">
            <w:pPr>
              <w:pStyle w:val="TableText"/>
              <w:jc w:val="center"/>
            </w:pPr>
          </w:p>
        </w:tc>
        <w:tc>
          <w:tcPr>
            <w:tcW w:w="218"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28219E04" w14:textId="77777777" w:rsidR="00BC1C3A" w:rsidRPr="00B65F7F" w:rsidRDefault="00BC1C3A" w:rsidP="00450852">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2CB7C4B0" w14:textId="77777777" w:rsidR="00BC1C3A" w:rsidRPr="00DC6C42" w:rsidRDefault="00BC1C3A" w:rsidP="00450852">
            <w:pPr>
              <w:pStyle w:val="TableText"/>
              <w:jc w:val="center"/>
              <w:rPr>
                <w:b/>
                <w:bCs/>
              </w:rPr>
            </w:pPr>
            <w:r w:rsidRPr="00DC6C42">
              <w:rPr>
                <w:rFonts w:ascii="Segoe UI Symbol" w:hAnsi="Segoe UI Symbol" w:cs="Segoe UI Symbol"/>
                <w:b/>
              </w:rPr>
              <w:t>✓</w:t>
            </w: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2101677C" w14:textId="77777777" w:rsidR="00BC1C3A" w:rsidRPr="00B65F7F" w:rsidRDefault="00BC1C3A" w:rsidP="00450852">
            <w:pPr>
              <w:pStyle w:val="TableText"/>
              <w:jc w:val="center"/>
            </w:pPr>
          </w:p>
        </w:tc>
        <w:tc>
          <w:tcPr>
            <w:tcW w:w="160" w:type="pct"/>
            <w:tcBorders>
              <w:left w:val="single" w:sz="6" w:space="0" w:color="BFBFBF" w:themeColor="background1" w:themeShade="BF"/>
              <w:right w:val="single" w:sz="6" w:space="0" w:color="595959" w:themeColor="text1" w:themeTint="A6"/>
            </w:tcBorders>
            <w:shd w:val="clear" w:color="auto" w:fill="F2F2F2" w:themeFill="background1" w:themeFillShade="F2"/>
            <w:vAlign w:val="center"/>
            <w:hideMark/>
          </w:tcPr>
          <w:p w14:paraId="4DEBC7D4" w14:textId="77777777" w:rsidR="00BC1C3A" w:rsidRPr="00B65F7F" w:rsidRDefault="00BC1C3A" w:rsidP="00450852">
            <w:pPr>
              <w:pStyle w:val="TableText"/>
              <w:jc w:val="center"/>
            </w:pPr>
          </w:p>
        </w:tc>
        <w:tc>
          <w:tcPr>
            <w:tcW w:w="217" w:type="pct"/>
            <w:gridSpan w:val="2"/>
            <w:tcBorders>
              <w:top w:val="single" w:sz="4" w:space="0" w:color="BFBFBF" w:themeColor="background1" w:themeShade="BF"/>
              <w:left w:val="single" w:sz="6" w:space="0" w:color="595959" w:themeColor="text1" w:themeTint="A6"/>
              <w:right w:val="single" w:sz="6" w:space="0" w:color="BFBFBF" w:themeColor="background1" w:themeShade="BF"/>
            </w:tcBorders>
            <w:shd w:val="clear" w:color="auto" w:fill="F2F2F2" w:themeFill="background1" w:themeFillShade="F2"/>
            <w:vAlign w:val="center"/>
            <w:hideMark/>
          </w:tcPr>
          <w:p w14:paraId="695DEA4D" w14:textId="77777777" w:rsidR="00BC1C3A" w:rsidRPr="00450852" w:rsidRDefault="00BC1C3A" w:rsidP="00450852">
            <w:pPr>
              <w:pStyle w:val="TableText"/>
              <w:jc w:val="center"/>
              <w:rPr>
                <w:b/>
                <w:bCs/>
              </w:rPr>
            </w:pPr>
            <w:r w:rsidRPr="00450852">
              <w:rPr>
                <w:rFonts w:ascii="Segoe UI Symbol" w:hAnsi="Segoe UI Symbol" w:cs="Segoe UI Symbol"/>
                <w:b/>
                <w:bCs/>
              </w:rPr>
              <w:t>✓</w:t>
            </w: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52F28774" w14:textId="77777777" w:rsidR="00BC1C3A" w:rsidRPr="00450852" w:rsidRDefault="00BC1C3A" w:rsidP="00450852">
            <w:pPr>
              <w:pStyle w:val="TableText"/>
              <w:jc w:val="center"/>
              <w:rPr>
                <w:b/>
                <w:bCs/>
              </w:rPr>
            </w:pP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3D43542B" w14:textId="77777777" w:rsidR="00BC1C3A" w:rsidRPr="00450852" w:rsidRDefault="00BC1C3A" w:rsidP="00450852">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5B00C618" w14:textId="77777777" w:rsidR="00BC1C3A" w:rsidRPr="00450852" w:rsidRDefault="00BC1C3A" w:rsidP="00450852">
            <w:pPr>
              <w:pStyle w:val="TableText"/>
              <w:jc w:val="center"/>
              <w:rPr>
                <w:b/>
                <w:bCs/>
              </w:rPr>
            </w:pPr>
          </w:p>
        </w:tc>
        <w:tc>
          <w:tcPr>
            <w:tcW w:w="217" w:type="pct"/>
            <w:tcBorders>
              <w:left w:val="single" w:sz="6" w:space="0" w:color="BFBFBF" w:themeColor="background1" w:themeShade="BF"/>
              <w:right w:val="single" w:sz="4" w:space="0" w:color="595959" w:themeColor="text1" w:themeTint="A6"/>
            </w:tcBorders>
            <w:shd w:val="clear" w:color="auto" w:fill="F2F2F2" w:themeFill="background1" w:themeFillShade="F2"/>
            <w:vAlign w:val="center"/>
            <w:hideMark/>
          </w:tcPr>
          <w:p w14:paraId="47BC63B4" w14:textId="77777777" w:rsidR="00BC1C3A" w:rsidRPr="00450852" w:rsidRDefault="00BC1C3A" w:rsidP="00450852">
            <w:pPr>
              <w:pStyle w:val="TableText"/>
              <w:jc w:val="center"/>
              <w:rPr>
                <w:b/>
                <w:bCs/>
              </w:rPr>
            </w:pPr>
          </w:p>
        </w:tc>
        <w:tc>
          <w:tcPr>
            <w:tcW w:w="217" w:type="pct"/>
            <w:gridSpan w:val="2"/>
            <w:tcBorders>
              <w:left w:val="single" w:sz="4" w:space="0" w:color="595959" w:themeColor="text1" w:themeTint="A6"/>
            </w:tcBorders>
            <w:shd w:val="clear" w:color="auto" w:fill="F2F2F2" w:themeFill="background1" w:themeFillShade="F2"/>
            <w:vAlign w:val="center"/>
          </w:tcPr>
          <w:p w14:paraId="2149DA31" w14:textId="77777777" w:rsidR="00BC1C3A" w:rsidRPr="00B65F7F" w:rsidRDefault="00BC1C3A" w:rsidP="00450852">
            <w:pPr>
              <w:pStyle w:val="TableText"/>
              <w:jc w:val="center"/>
            </w:pPr>
          </w:p>
        </w:tc>
        <w:tc>
          <w:tcPr>
            <w:tcW w:w="217" w:type="pct"/>
            <w:gridSpan w:val="2"/>
            <w:tcBorders>
              <w:left w:val="single" w:sz="6" w:space="0" w:color="BFBFBF" w:themeColor="background1" w:themeShade="BF"/>
            </w:tcBorders>
            <w:shd w:val="clear" w:color="auto" w:fill="F2F2F2" w:themeFill="background1" w:themeFillShade="F2"/>
            <w:vAlign w:val="center"/>
          </w:tcPr>
          <w:p w14:paraId="29444F90" w14:textId="77777777" w:rsidR="00BC1C3A" w:rsidRPr="00B65F7F" w:rsidRDefault="00BC1C3A" w:rsidP="00450852">
            <w:pPr>
              <w:pStyle w:val="TableText"/>
              <w:jc w:val="center"/>
            </w:pPr>
          </w:p>
        </w:tc>
        <w:tc>
          <w:tcPr>
            <w:tcW w:w="217" w:type="pct"/>
            <w:gridSpan w:val="2"/>
            <w:tcBorders>
              <w:left w:val="single" w:sz="6" w:space="0" w:color="BFBFBF" w:themeColor="background1" w:themeShade="BF"/>
            </w:tcBorders>
            <w:shd w:val="clear" w:color="auto" w:fill="F2F2F2" w:themeFill="background1" w:themeFillShade="F2"/>
            <w:vAlign w:val="center"/>
          </w:tcPr>
          <w:p w14:paraId="3CACFEE9" w14:textId="77777777" w:rsidR="00BC1C3A" w:rsidRPr="00B65F7F" w:rsidRDefault="00BC1C3A" w:rsidP="00450852">
            <w:pPr>
              <w:pStyle w:val="TableText"/>
              <w:jc w:val="center"/>
            </w:pPr>
            <w:r w:rsidRPr="00DC6C42">
              <w:rPr>
                <w:rFonts w:ascii="Segoe UI Symbol" w:hAnsi="Segoe UI Symbol" w:cs="Segoe UI Symbol"/>
                <w:b/>
              </w:rPr>
              <w:t>✓</w:t>
            </w:r>
          </w:p>
        </w:tc>
        <w:tc>
          <w:tcPr>
            <w:tcW w:w="217" w:type="pct"/>
            <w:gridSpan w:val="2"/>
            <w:tcBorders>
              <w:left w:val="single" w:sz="6" w:space="0" w:color="BFBFBF" w:themeColor="background1" w:themeShade="BF"/>
            </w:tcBorders>
            <w:shd w:val="clear" w:color="auto" w:fill="F2F2F2" w:themeFill="background1" w:themeFillShade="F2"/>
            <w:vAlign w:val="center"/>
          </w:tcPr>
          <w:p w14:paraId="53BC01F1" w14:textId="77777777" w:rsidR="00BC1C3A" w:rsidRPr="00B65F7F" w:rsidRDefault="00BC1C3A" w:rsidP="00450852">
            <w:pPr>
              <w:pStyle w:val="TableText"/>
              <w:jc w:val="center"/>
            </w:pPr>
          </w:p>
        </w:tc>
        <w:tc>
          <w:tcPr>
            <w:tcW w:w="217" w:type="pct"/>
            <w:tcBorders>
              <w:left w:val="single" w:sz="6" w:space="0" w:color="BFBFBF" w:themeColor="background1" w:themeShade="BF"/>
              <w:right w:val="single" w:sz="6" w:space="0" w:color="auto"/>
            </w:tcBorders>
            <w:shd w:val="clear" w:color="auto" w:fill="F2F2F2" w:themeFill="background1" w:themeFillShade="F2"/>
            <w:vAlign w:val="center"/>
          </w:tcPr>
          <w:p w14:paraId="6EA35776" w14:textId="77777777" w:rsidR="00BC1C3A" w:rsidRPr="00B65F7F" w:rsidRDefault="00BC1C3A" w:rsidP="00450852">
            <w:pPr>
              <w:pStyle w:val="TableText"/>
              <w:jc w:val="center"/>
            </w:pPr>
          </w:p>
        </w:tc>
      </w:tr>
      <w:tr w:rsidR="00380CE9" w:rsidRPr="00B65F7F" w14:paraId="7A335082" w14:textId="77777777" w:rsidTr="00F820B9">
        <w:trPr>
          <w:gridAfter w:val="1"/>
          <w:wAfter w:w="9" w:type="pct"/>
          <w:trHeight w:val="20"/>
        </w:trPr>
        <w:tc>
          <w:tcPr>
            <w:tcW w:w="503" w:type="pct"/>
            <w:vMerge/>
            <w:tcBorders>
              <w:top w:val="single" w:sz="4" w:space="0" w:color="BFBFBF" w:themeColor="background1" w:themeShade="BF"/>
              <w:bottom w:val="single" w:sz="6" w:space="0" w:color="595959" w:themeColor="text1" w:themeTint="A6"/>
            </w:tcBorders>
            <w:hideMark/>
          </w:tcPr>
          <w:p w14:paraId="5D4298FB" w14:textId="77777777" w:rsidR="00BC1C3A" w:rsidRPr="00B65F7F" w:rsidRDefault="00BC1C3A" w:rsidP="00BC1C3A">
            <w:pPr>
              <w:pStyle w:val="TableText"/>
            </w:pPr>
          </w:p>
        </w:tc>
        <w:tc>
          <w:tcPr>
            <w:tcW w:w="953" w:type="pct"/>
            <w:vMerge/>
            <w:hideMark/>
          </w:tcPr>
          <w:p w14:paraId="5EF3B9BC" w14:textId="77777777" w:rsidR="00BC1C3A" w:rsidRPr="00B65F7F" w:rsidRDefault="00BC1C3A" w:rsidP="00450852">
            <w:pPr>
              <w:pStyle w:val="TableText"/>
            </w:pPr>
          </w:p>
        </w:tc>
        <w:tc>
          <w:tcPr>
            <w:tcW w:w="336" w:type="pct"/>
            <w:tcBorders>
              <w:right w:val="single" w:sz="6" w:space="0" w:color="595959" w:themeColor="text1" w:themeTint="A6"/>
            </w:tcBorders>
            <w:hideMark/>
          </w:tcPr>
          <w:p w14:paraId="4729585C" w14:textId="77777777" w:rsidR="00BC1C3A" w:rsidRPr="00B65F7F" w:rsidRDefault="00BC1C3A" w:rsidP="00450852">
            <w:pPr>
              <w:pStyle w:val="TableText"/>
            </w:pPr>
            <w:r w:rsidRPr="00B65F7F">
              <w:t>Support</w:t>
            </w:r>
          </w:p>
        </w:tc>
        <w:tc>
          <w:tcPr>
            <w:tcW w:w="217" w:type="pct"/>
            <w:tcBorders>
              <w:top w:val="single" w:sz="4" w:space="0" w:color="BFBFBF" w:themeColor="background1" w:themeShade="BF"/>
              <w:left w:val="single" w:sz="6" w:space="0" w:color="595959" w:themeColor="text1" w:themeTint="A6"/>
              <w:right w:val="single" w:sz="6" w:space="0" w:color="BFBFBF" w:themeColor="background1" w:themeShade="BF"/>
            </w:tcBorders>
            <w:vAlign w:val="center"/>
            <w:hideMark/>
          </w:tcPr>
          <w:p w14:paraId="182F8CF4" w14:textId="77777777" w:rsidR="00BC1C3A" w:rsidRPr="00B65F7F" w:rsidRDefault="00BC1C3A" w:rsidP="00450852">
            <w:pPr>
              <w:pStyle w:val="TableText"/>
              <w:jc w:val="center"/>
            </w:pPr>
          </w:p>
        </w:tc>
        <w:tc>
          <w:tcPr>
            <w:tcW w:w="218" w:type="pct"/>
            <w:gridSpan w:val="2"/>
            <w:tcBorders>
              <w:left w:val="single" w:sz="6" w:space="0" w:color="BFBFBF" w:themeColor="background1" w:themeShade="BF"/>
              <w:right w:val="single" w:sz="6" w:space="0" w:color="BFBFBF" w:themeColor="background1" w:themeShade="BF"/>
            </w:tcBorders>
            <w:vAlign w:val="center"/>
            <w:hideMark/>
          </w:tcPr>
          <w:p w14:paraId="733F23B6" w14:textId="77777777" w:rsidR="00BC1C3A" w:rsidRPr="00B65F7F" w:rsidRDefault="00BC1C3A" w:rsidP="00450852">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5849EA5D" w14:textId="77777777" w:rsidR="00BC1C3A" w:rsidRPr="00B65F7F" w:rsidRDefault="00BC1C3A" w:rsidP="00450852">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26B0C52F" w14:textId="77777777" w:rsidR="00BC1C3A" w:rsidRPr="00B65F7F" w:rsidRDefault="00BC1C3A" w:rsidP="00450852">
            <w:pPr>
              <w:pStyle w:val="TableText"/>
              <w:jc w:val="center"/>
            </w:pPr>
          </w:p>
        </w:tc>
        <w:tc>
          <w:tcPr>
            <w:tcW w:w="160" w:type="pct"/>
            <w:tcBorders>
              <w:left w:val="single" w:sz="6" w:space="0" w:color="BFBFBF" w:themeColor="background1" w:themeShade="BF"/>
              <w:right w:val="single" w:sz="6" w:space="0" w:color="595959" w:themeColor="text1" w:themeTint="A6"/>
            </w:tcBorders>
            <w:vAlign w:val="center"/>
            <w:hideMark/>
          </w:tcPr>
          <w:p w14:paraId="668955EB" w14:textId="77777777" w:rsidR="00BC1C3A" w:rsidRPr="00B65F7F" w:rsidRDefault="00BC1C3A" w:rsidP="00450852">
            <w:pPr>
              <w:pStyle w:val="TableText"/>
              <w:jc w:val="center"/>
            </w:pPr>
          </w:p>
        </w:tc>
        <w:tc>
          <w:tcPr>
            <w:tcW w:w="217" w:type="pct"/>
            <w:gridSpan w:val="2"/>
            <w:tcBorders>
              <w:top w:val="single" w:sz="4" w:space="0" w:color="BFBFBF" w:themeColor="background1" w:themeShade="BF"/>
              <w:left w:val="single" w:sz="6" w:space="0" w:color="595959" w:themeColor="text1" w:themeTint="A6"/>
              <w:right w:val="single" w:sz="6" w:space="0" w:color="BFBFBF" w:themeColor="background1" w:themeShade="BF"/>
            </w:tcBorders>
            <w:vAlign w:val="center"/>
            <w:hideMark/>
          </w:tcPr>
          <w:p w14:paraId="3DB1FAE7" w14:textId="77777777" w:rsidR="00BC1C3A" w:rsidRPr="00450852" w:rsidRDefault="00BC1C3A" w:rsidP="00450852">
            <w:pPr>
              <w:pStyle w:val="TableText"/>
              <w:jc w:val="center"/>
              <w:rPr>
                <w:b/>
                <w:bCs/>
              </w:rP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6FF34449" w14:textId="77777777" w:rsidR="00BC1C3A" w:rsidRPr="00450852" w:rsidRDefault="00BC1C3A" w:rsidP="00450852">
            <w:pPr>
              <w:pStyle w:val="TableText"/>
              <w:jc w:val="center"/>
              <w:rPr>
                <w:b/>
                <w:bCs/>
              </w:rP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628F9296" w14:textId="77777777" w:rsidR="00BC1C3A" w:rsidRPr="00450852" w:rsidRDefault="00BC1C3A" w:rsidP="00450852">
            <w:pPr>
              <w:pStyle w:val="TableText"/>
              <w:jc w:val="center"/>
            </w:pPr>
            <w:r w:rsidRPr="00450852">
              <w:rPr>
                <w:rFonts w:ascii="Segoe UI Symbol" w:hAnsi="Segoe UI Symbol" w:cs="Segoe UI Symbol"/>
              </w:rPr>
              <w:t>✓</w:t>
            </w: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38F77E40" w14:textId="77777777" w:rsidR="00BC1C3A" w:rsidRPr="00450852" w:rsidRDefault="00BC1C3A" w:rsidP="00450852">
            <w:pPr>
              <w:pStyle w:val="TableText"/>
              <w:jc w:val="center"/>
              <w:rPr>
                <w:b/>
                <w:bCs/>
              </w:rPr>
            </w:pPr>
          </w:p>
        </w:tc>
        <w:tc>
          <w:tcPr>
            <w:tcW w:w="217" w:type="pct"/>
            <w:tcBorders>
              <w:left w:val="single" w:sz="6" w:space="0" w:color="BFBFBF" w:themeColor="background1" w:themeShade="BF"/>
              <w:right w:val="single" w:sz="4" w:space="0" w:color="595959" w:themeColor="text1" w:themeTint="A6"/>
            </w:tcBorders>
            <w:vAlign w:val="center"/>
            <w:hideMark/>
          </w:tcPr>
          <w:p w14:paraId="09B33D76" w14:textId="77777777" w:rsidR="00BC1C3A" w:rsidRPr="00450852" w:rsidRDefault="00BC1C3A" w:rsidP="00450852">
            <w:pPr>
              <w:pStyle w:val="TableText"/>
              <w:jc w:val="center"/>
              <w:rPr>
                <w:b/>
                <w:bCs/>
              </w:rPr>
            </w:pPr>
          </w:p>
        </w:tc>
        <w:tc>
          <w:tcPr>
            <w:tcW w:w="217" w:type="pct"/>
            <w:gridSpan w:val="2"/>
            <w:tcBorders>
              <w:left w:val="single" w:sz="4" w:space="0" w:color="595959" w:themeColor="text1" w:themeTint="A6"/>
            </w:tcBorders>
            <w:vAlign w:val="center"/>
          </w:tcPr>
          <w:p w14:paraId="3C499409" w14:textId="77777777" w:rsidR="00BC1C3A" w:rsidRPr="00B65F7F" w:rsidRDefault="00BC1C3A" w:rsidP="00450852">
            <w:pPr>
              <w:pStyle w:val="TableText"/>
              <w:jc w:val="center"/>
            </w:pPr>
          </w:p>
        </w:tc>
        <w:tc>
          <w:tcPr>
            <w:tcW w:w="217" w:type="pct"/>
            <w:gridSpan w:val="2"/>
            <w:tcBorders>
              <w:left w:val="single" w:sz="6" w:space="0" w:color="BFBFBF" w:themeColor="background1" w:themeShade="BF"/>
            </w:tcBorders>
            <w:vAlign w:val="center"/>
          </w:tcPr>
          <w:p w14:paraId="6DC0F1A3" w14:textId="77777777" w:rsidR="00BC1C3A" w:rsidRPr="00B65F7F" w:rsidRDefault="00BC1C3A" w:rsidP="00450852">
            <w:pPr>
              <w:pStyle w:val="TableText"/>
              <w:jc w:val="center"/>
            </w:pPr>
          </w:p>
        </w:tc>
        <w:tc>
          <w:tcPr>
            <w:tcW w:w="217" w:type="pct"/>
            <w:gridSpan w:val="2"/>
            <w:tcBorders>
              <w:left w:val="single" w:sz="6" w:space="0" w:color="BFBFBF" w:themeColor="background1" w:themeShade="BF"/>
            </w:tcBorders>
            <w:vAlign w:val="center"/>
          </w:tcPr>
          <w:p w14:paraId="1E02E849" w14:textId="77777777" w:rsidR="00BC1C3A" w:rsidRPr="00B65F7F" w:rsidRDefault="00BC1C3A" w:rsidP="00450852">
            <w:pPr>
              <w:pStyle w:val="TableText"/>
              <w:jc w:val="center"/>
            </w:pPr>
          </w:p>
        </w:tc>
        <w:tc>
          <w:tcPr>
            <w:tcW w:w="217" w:type="pct"/>
            <w:gridSpan w:val="2"/>
            <w:tcBorders>
              <w:left w:val="single" w:sz="6" w:space="0" w:color="BFBFBF" w:themeColor="background1" w:themeShade="BF"/>
            </w:tcBorders>
            <w:vAlign w:val="center"/>
          </w:tcPr>
          <w:p w14:paraId="70960BE9" w14:textId="77777777" w:rsidR="00BC1C3A" w:rsidRPr="00B65F7F" w:rsidRDefault="00BC1C3A" w:rsidP="00450852">
            <w:pPr>
              <w:pStyle w:val="TableText"/>
              <w:jc w:val="center"/>
            </w:pPr>
          </w:p>
        </w:tc>
        <w:tc>
          <w:tcPr>
            <w:tcW w:w="217" w:type="pct"/>
            <w:tcBorders>
              <w:left w:val="single" w:sz="6" w:space="0" w:color="BFBFBF" w:themeColor="background1" w:themeShade="BF"/>
              <w:right w:val="single" w:sz="6" w:space="0" w:color="auto"/>
            </w:tcBorders>
            <w:vAlign w:val="center"/>
          </w:tcPr>
          <w:p w14:paraId="4753F037" w14:textId="77777777" w:rsidR="00BC1C3A" w:rsidRPr="00B65F7F" w:rsidRDefault="00BC1C3A" w:rsidP="00450852">
            <w:pPr>
              <w:pStyle w:val="TableText"/>
              <w:jc w:val="center"/>
            </w:pPr>
          </w:p>
        </w:tc>
      </w:tr>
      <w:tr w:rsidR="00380CE9" w:rsidRPr="00B65F7F" w14:paraId="4ABE5D9A" w14:textId="77777777" w:rsidTr="00F820B9">
        <w:trPr>
          <w:gridAfter w:val="1"/>
          <w:wAfter w:w="9" w:type="pct"/>
          <w:trHeight w:val="20"/>
        </w:trPr>
        <w:tc>
          <w:tcPr>
            <w:tcW w:w="503" w:type="pct"/>
            <w:vMerge/>
            <w:tcBorders>
              <w:top w:val="single" w:sz="4" w:space="0" w:color="BFBFBF" w:themeColor="background1" w:themeShade="BF"/>
              <w:bottom w:val="single" w:sz="6" w:space="0" w:color="595959" w:themeColor="text1" w:themeTint="A6"/>
            </w:tcBorders>
            <w:hideMark/>
          </w:tcPr>
          <w:p w14:paraId="1DA485F6" w14:textId="77777777" w:rsidR="00BC1C3A" w:rsidRPr="00B65F7F" w:rsidRDefault="00BC1C3A" w:rsidP="00BC1C3A">
            <w:pPr>
              <w:pStyle w:val="TableText"/>
            </w:pPr>
          </w:p>
        </w:tc>
        <w:tc>
          <w:tcPr>
            <w:tcW w:w="953" w:type="pct"/>
            <w:vMerge w:val="restart"/>
            <w:hideMark/>
          </w:tcPr>
          <w:p w14:paraId="4BB3F613" w14:textId="77777777" w:rsidR="00BC1C3A" w:rsidRPr="00B65F7F" w:rsidRDefault="00BC1C3A" w:rsidP="00450852">
            <w:pPr>
              <w:pStyle w:val="TableText"/>
            </w:pPr>
            <w:r w:rsidRPr="00B65F7F">
              <w:t>Designing service response</w:t>
            </w:r>
          </w:p>
        </w:tc>
        <w:tc>
          <w:tcPr>
            <w:tcW w:w="336" w:type="pct"/>
            <w:tcBorders>
              <w:right w:val="single" w:sz="6" w:space="0" w:color="595959" w:themeColor="text1" w:themeTint="A6"/>
            </w:tcBorders>
            <w:shd w:val="clear" w:color="auto" w:fill="F2F2F2" w:themeFill="background1" w:themeFillShade="F2"/>
            <w:hideMark/>
          </w:tcPr>
          <w:p w14:paraId="51F40A39" w14:textId="77777777" w:rsidR="00BC1C3A" w:rsidRPr="00B65F7F" w:rsidRDefault="00BC1C3A" w:rsidP="00450852">
            <w:pPr>
              <w:pStyle w:val="TableText"/>
            </w:pPr>
            <w:r w:rsidRPr="00B65F7F">
              <w:t>Lead</w:t>
            </w:r>
          </w:p>
        </w:tc>
        <w:tc>
          <w:tcPr>
            <w:tcW w:w="217" w:type="pct"/>
            <w:tcBorders>
              <w:top w:val="single" w:sz="4" w:space="0" w:color="BFBFBF" w:themeColor="background1" w:themeShade="BF"/>
              <w:left w:val="single" w:sz="6" w:space="0" w:color="595959" w:themeColor="text1" w:themeTint="A6"/>
              <w:right w:val="single" w:sz="6" w:space="0" w:color="BFBFBF" w:themeColor="background1" w:themeShade="BF"/>
            </w:tcBorders>
            <w:shd w:val="clear" w:color="auto" w:fill="F2F2F2" w:themeFill="background1" w:themeFillShade="F2"/>
            <w:vAlign w:val="center"/>
            <w:hideMark/>
          </w:tcPr>
          <w:p w14:paraId="1A3905F3" w14:textId="77777777" w:rsidR="00BC1C3A" w:rsidRPr="00B65F7F" w:rsidRDefault="00BC1C3A" w:rsidP="00450852">
            <w:pPr>
              <w:pStyle w:val="TableText"/>
              <w:jc w:val="center"/>
            </w:pPr>
          </w:p>
        </w:tc>
        <w:tc>
          <w:tcPr>
            <w:tcW w:w="218"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18A5FB92" w14:textId="77777777" w:rsidR="00BC1C3A" w:rsidRPr="00B65F7F" w:rsidRDefault="00BC1C3A" w:rsidP="00450852">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32B0BDAC" w14:textId="77777777" w:rsidR="00BC1C3A" w:rsidRPr="00B65F7F" w:rsidRDefault="00BC1C3A" w:rsidP="00450852">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41693AB6" w14:textId="77777777" w:rsidR="00BC1C3A" w:rsidRPr="00DC6C42" w:rsidRDefault="00BC1C3A" w:rsidP="00450852">
            <w:pPr>
              <w:pStyle w:val="TableText"/>
              <w:jc w:val="center"/>
              <w:rPr>
                <w:b/>
                <w:bCs/>
              </w:rPr>
            </w:pPr>
            <w:r w:rsidRPr="00DC6C42">
              <w:rPr>
                <w:rFonts w:ascii="Segoe UI Symbol" w:hAnsi="Segoe UI Symbol" w:cs="Segoe UI Symbol"/>
                <w:b/>
              </w:rPr>
              <w:t>✓</w:t>
            </w:r>
          </w:p>
        </w:tc>
        <w:tc>
          <w:tcPr>
            <w:tcW w:w="160" w:type="pct"/>
            <w:tcBorders>
              <w:left w:val="single" w:sz="6" w:space="0" w:color="BFBFBF" w:themeColor="background1" w:themeShade="BF"/>
              <w:right w:val="single" w:sz="6" w:space="0" w:color="595959" w:themeColor="text1" w:themeTint="A6"/>
            </w:tcBorders>
            <w:shd w:val="clear" w:color="auto" w:fill="F2F2F2" w:themeFill="background1" w:themeFillShade="F2"/>
            <w:vAlign w:val="center"/>
            <w:hideMark/>
          </w:tcPr>
          <w:p w14:paraId="7CFE400A" w14:textId="77777777" w:rsidR="00BC1C3A" w:rsidRPr="00B65F7F" w:rsidRDefault="00BC1C3A" w:rsidP="00450852">
            <w:pPr>
              <w:pStyle w:val="TableText"/>
              <w:jc w:val="center"/>
            </w:pPr>
          </w:p>
        </w:tc>
        <w:tc>
          <w:tcPr>
            <w:tcW w:w="217" w:type="pct"/>
            <w:gridSpan w:val="2"/>
            <w:tcBorders>
              <w:top w:val="single" w:sz="4" w:space="0" w:color="BFBFBF" w:themeColor="background1" w:themeShade="BF"/>
              <w:left w:val="single" w:sz="6" w:space="0" w:color="595959" w:themeColor="text1" w:themeTint="A6"/>
              <w:right w:val="single" w:sz="6" w:space="0" w:color="BFBFBF" w:themeColor="background1" w:themeShade="BF"/>
            </w:tcBorders>
            <w:shd w:val="clear" w:color="auto" w:fill="F2F2F2" w:themeFill="background1" w:themeFillShade="F2"/>
            <w:vAlign w:val="center"/>
            <w:hideMark/>
          </w:tcPr>
          <w:p w14:paraId="40EBBD5D" w14:textId="77777777" w:rsidR="00BC1C3A" w:rsidRPr="00450852" w:rsidRDefault="00BC1C3A" w:rsidP="00450852">
            <w:pPr>
              <w:pStyle w:val="TableText"/>
              <w:jc w:val="center"/>
              <w:rPr>
                <w:b/>
                <w:bCs/>
              </w:rPr>
            </w:pP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2ECC6AAF" w14:textId="77777777" w:rsidR="00BC1C3A" w:rsidRPr="00450852" w:rsidRDefault="00BC1C3A" w:rsidP="00450852">
            <w:pPr>
              <w:pStyle w:val="TableText"/>
              <w:jc w:val="center"/>
              <w:rPr>
                <w:b/>
                <w:bCs/>
              </w:rPr>
            </w:pP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73258381" w14:textId="77777777" w:rsidR="00BC1C3A" w:rsidRPr="00450852" w:rsidRDefault="00BC1C3A" w:rsidP="00450852">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0132D418" w14:textId="77777777" w:rsidR="00BC1C3A" w:rsidRPr="00450852" w:rsidRDefault="00BC1C3A" w:rsidP="00450852">
            <w:pPr>
              <w:pStyle w:val="TableText"/>
              <w:jc w:val="center"/>
              <w:rPr>
                <w:b/>
                <w:bCs/>
              </w:rPr>
            </w:pPr>
            <w:r w:rsidRPr="00450852">
              <w:rPr>
                <w:rFonts w:ascii="Segoe UI Symbol" w:hAnsi="Segoe UI Symbol" w:cs="Segoe UI Symbol"/>
                <w:b/>
                <w:bCs/>
              </w:rPr>
              <w:t>✓</w:t>
            </w:r>
          </w:p>
        </w:tc>
        <w:tc>
          <w:tcPr>
            <w:tcW w:w="217" w:type="pct"/>
            <w:tcBorders>
              <w:left w:val="single" w:sz="6" w:space="0" w:color="BFBFBF" w:themeColor="background1" w:themeShade="BF"/>
              <w:right w:val="single" w:sz="4" w:space="0" w:color="595959" w:themeColor="text1" w:themeTint="A6"/>
            </w:tcBorders>
            <w:shd w:val="clear" w:color="auto" w:fill="F2F2F2" w:themeFill="background1" w:themeFillShade="F2"/>
            <w:vAlign w:val="center"/>
            <w:hideMark/>
          </w:tcPr>
          <w:p w14:paraId="15FF434F" w14:textId="77777777" w:rsidR="00BC1C3A" w:rsidRPr="00450852" w:rsidRDefault="00BC1C3A" w:rsidP="00450852">
            <w:pPr>
              <w:pStyle w:val="TableText"/>
              <w:jc w:val="center"/>
              <w:rPr>
                <w:b/>
                <w:bCs/>
              </w:rPr>
            </w:pPr>
          </w:p>
        </w:tc>
        <w:tc>
          <w:tcPr>
            <w:tcW w:w="217" w:type="pct"/>
            <w:gridSpan w:val="2"/>
            <w:tcBorders>
              <w:left w:val="single" w:sz="4" w:space="0" w:color="595959" w:themeColor="text1" w:themeTint="A6"/>
            </w:tcBorders>
            <w:shd w:val="clear" w:color="auto" w:fill="F2F2F2" w:themeFill="background1" w:themeFillShade="F2"/>
            <w:vAlign w:val="center"/>
          </w:tcPr>
          <w:p w14:paraId="7CC5F614" w14:textId="77777777" w:rsidR="00BC1C3A" w:rsidRPr="00B65F7F" w:rsidRDefault="00BC1C3A" w:rsidP="00450852">
            <w:pPr>
              <w:pStyle w:val="TableText"/>
              <w:jc w:val="center"/>
            </w:pPr>
          </w:p>
        </w:tc>
        <w:tc>
          <w:tcPr>
            <w:tcW w:w="217" w:type="pct"/>
            <w:gridSpan w:val="2"/>
            <w:tcBorders>
              <w:left w:val="single" w:sz="6" w:space="0" w:color="BFBFBF" w:themeColor="background1" w:themeShade="BF"/>
            </w:tcBorders>
            <w:shd w:val="clear" w:color="auto" w:fill="F2F2F2" w:themeFill="background1" w:themeFillShade="F2"/>
            <w:vAlign w:val="center"/>
          </w:tcPr>
          <w:p w14:paraId="517E5470" w14:textId="77777777" w:rsidR="00BC1C3A" w:rsidRPr="00B65F7F" w:rsidRDefault="00BC1C3A" w:rsidP="00450852">
            <w:pPr>
              <w:pStyle w:val="TableText"/>
              <w:jc w:val="center"/>
            </w:pPr>
          </w:p>
        </w:tc>
        <w:tc>
          <w:tcPr>
            <w:tcW w:w="217" w:type="pct"/>
            <w:gridSpan w:val="2"/>
            <w:tcBorders>
              <w:left w:val="single" w:sz="6" w:space="0" w:color="BFBFBF" w:themeColor="background1" w:themeShade="BF"/>
            </w:tcBorders>
            <w:shd w:val="clear" w:color="auto" w:fill="F2F2F2" w:themeFill="background1" w:themeFillShade="F2"/>
            <w:vAlign w:val="center"/>
          </w:tcPr>
          <w:p w14:paraId="767A35CF" w14:textId="77777777" w:rsidR="00BC1C3A" w:rsidRPr="00B65F7F" w:rsidRDefault="00BC1C3A" w:rsidP="00450852">
            <w:pPr>
              <w:pStyle w:val="TableText"/>
              <w:jc w:val="center"/>
            </w:pPr>
          </w:p>
        </w:tc>
        <w:tc>
          <w:tcPr>
            <w:tcW w:w="217" w:type="pct"/>
            <w:gridSpan w:val="2"/>
            <w:tcBorders>
              <w:left w:val="single" w:sz="6" w:space="0" w:color="BFBFBF" w:themeColor="background1" w:themeShade="BF"/>
            </w:tcBorders>
            <w:shd w:val="clear" w:color="auto" w:fill="F2F2F2" w:themeFill="background1" w:themeFillShade="F2"/>
            <w:vAlign w:val="center"/>
          </w:tcPr>
          <w:p w14:paraId="496F4055" w14:textId="77777777" w:rsidR="00BC1C3A" w:rsidRPr="00B65F7F" w:rsidRDefault="00BC1C3A" w:rsidP="00450852">
            <w:pPr>
              <w:pStyle w:val="TableText"/>
              <w:jc w:val="center"/>
            </w:pPr>
            <w:r w:rsidRPr="00DC6C42">
              <w:rPr>
                <w:rFonts w:ascii="Segoe UI Symbol" w:hAnsi="Segoe UI Symbol" w:cs="Segoe UI Symbol"/>
                <w:b/>
              </w:rPr>
              <w:t>✓</w:t>
            </w:r>
          </w:p>
        </w:tc>
        <w:tc>
          <w:tcPr>
            <w:tcW w:w="217" w:type="pct"/>
            <w:tcBorders>
              <w:left w:val="single" w:sz="6" w:space="0" w:color="BFBFBF" w:themeColor="background1" w:themeShade="BF"/>
              <w:right w:val="single" w:sz="6" w:space="0" w:color="auto"/>
            </w:tcBorders>
            <w:shd w:val="clear" w:color="auto" w:fill="F2F2F2" w:themeFill="background1" w:themeFillShade="F2"/>
            <w:vAlign w:val="center"/>
          </w:tcPr>
          <w:p w14:paraId="4C03D991" w14:textId="77777777" w:rsidR="00BC1C3A" w:rsidRPr="00B65F7F" w:rsidRDefault="00BC1C3A" w:rsidP="00450852">
            <w:pPr>
              <w:pStyle w:val="TableText"/>
              <w:jc w:val="center"/>
            </w:pPr>
          </w:p>
        </w:tc>
      </w:tr>
      <w:tr w:rsidR="00380CE9" w:rsidRPr="00B65F7F" w14:paraId="119ABD0C" w14:textId="77777777" w:rsidTr="00F820B9">
        <w:trPr>
          <w:gridAfter w:val="1"/>
          <w:wAfter w:w="9" w:type="pct"/>
          <w:trHeight w:val="20"/>
        </w:trPr>
        <w:tc>
          <w:tcPr>
            <w:tcW w:w="503" w:type="pct"/>
            <w:vMerge/>
            <w:tcBorders>
              <w:top w:val="single" w:sz="4" w:space="0" w:color="BFBFBF" w:themeColor="background1" w:themeShade="BF"/>
              <w:bottom w:val="single" w:sz="6" w:space="0" w:color="595959" w:themeColor="text1" w:themeTint="A6"/>
            </w:tcBorders>
            <w:hideMark/>
          </w:tcPr>
          <w:p w14:paraId="0419B331" w14:textId="77777777" w:rsidR="00BC1C3A" w:rsidRPr="00B65F7F" w:rsidRDefault="00BC1C3A" w:rsidP="00BC1C3A">
            <w:pPr>
              <w:pStyle w:val="TableText"/>
            </w:pPr>
          </w:p>
        </w:tc>
        <w:tc>
          <w:tcPr>
            <w:tcW w:w="953" w:type="pct"/>
            <w:vMerge/>
            <w:hideMark/>
          </w:tcPr>
          <w:p w14:paraId="68FC14E6" w14:textId="77777777" w:rsidR="00BC1C3A" w:rsidRPr="00B65F7F" w:rsidRDefault="00BC1C3A" w:rsidP="00450852">
            <w:pPr>
              <w:pStyle w:val="TableText"/>
            </w:pPr>
          </w:p>
        </w:tc>
        <w:tc>
          <w:tcPr>
            <w:tcW w:w="336" w:type="pct"/>
            <w:tcBorders>
              <w:right w:val="single" w:sz="6" w:space="0" w:color="595959" w:themeColor="text1" w:themeTint="A6"/>
            </w:tcBorders>
            <w:hideMark/>
          </w:tcPr>
          <w:p w14:paraId="29BA9AF1" w14:textId="77777777" w:rsidR="00BC1C3A" w:rsidRPr="00B65F7F" w:rsidRDefault="00BC1C3A" w:rsidP="00450852">
            <w:pPr>
              <w:pStyle w:val="TableText"/>
            </w:pPr>
            <w:r w:rsidRPr="00B65F7F">
              <w:t>Support</w:t>
            </w:r>
          </w:p>
        </w:tc>
        <w:tc>
          <w:tcPr>
            <w:tcW w:w="217" w:type="pct"/>
            <w:tcBorders>
              <w:top w:val="single" w:sz="4" w:space="0" w:color="BFBFBF" w:themeColor="background1" w:themeShade="BF"/>
              <w:left w:val="single" w:sz="6" w:space="0" w:color="595959" w:themeColor="text1" w:themeTint="A6"/>
              <w:right w:val="single" w:sz="6" w:space="0" w:color="BFBFBF" w:themeColor="background1" w:themeShade="BF"/>
            </w:tcBorders>
            <w:vAlign w:val="center"/>
            <w:hideMark/>
          </w:tcPr>
          <w:p w14:paraId="76D6CBCA" w14:textId="77777777" w:rsidR="00BC1C3A" w:rsidRPr="00B65F7F" w:rsidRDefault="00BC1C3A" w:rsidP="00450852">
            <w:pPr>
              <w:pStyle w:val="TableText"/>
              <w:jc w:val="center"/>
            </w:pPr>
          </w:p>
        </w:tc>
        <w:tc>
          <w:tcPr>
            <w:tcW w:w="218" w:type="pct"/>
            <w:gridSpan w:val="2"/>
            <w:tcBorders>
              <w:left w:val="single" w:sz="6" w:space="0" w:color="BFBFBF" w:themeColor="background1" w:themeShade="BF"/>
              <w:right w:val="single" w:sz="6" w:space="0" w:color="BFBFBF" w:themeColor="background1" w:themeShade="BF"/>
            </w:tcBorders>
            <w:vAlign w:val="center"/>
            <w:hideMark/>
          </w:tcPr>
          <w:p w14:paraId="29550616" w14:textId="77777777" w:rsidR="00BC1C3A" w:rsidRPr="00B65F7F" w:rsidRDefault="00BC1C3A" w:rsidP="00450852">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3DD73DA7" w14:textId="77777777" w:rsidR="00BC1C3A" w:rsidRPr="00B65F7F" w:rsidRDefault="00BC1C3A" w:rsidP="00450852">
            <w:pPr>
              <w:pStyle w:val="TableText"/>
              <w:jc w:val="center"/>
            </w:pPr>
            <w:r w:rsidRPr="00B65F7F">
              <w:rPr>
                <w:rFonts w:ascii="Segoe UI Symbol" w:hAnsi="Segoe UI Symbol" w:cs="Segoe UI Symbol"/>
              </w:rPr>
              <w:t>✓</w:t>
            </w: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05650A56" w14:textId="77777777" w:rsidR="00BC1C3A" w:rsidRPr="00B65F7F" w:rsidRDefault="00BC1C3A" w:rsidP="00450852">
            <w:pPr>
              <w:pStyle w:val="TableText"/>
              <w:jc w:val="center"/>
            </w:pPr>
          </w:p>
        </w:tc>
        <w:tc>
          <w:tcPr>
            <w:tcW w:w="160" w:type="pct"/>
            <w:tcBorders>
              <w:left w:val="single" w:sz="6" w:space="0" w:color="BFBFBF" w:themeColor="background1" w:themeShade="BF"/>
              <w:right w:val="single" w:sz="6" w:space="0" w:color="595959" w:themeColor="text1" w:themeTint="A6"/>
            </w:tcBorders>
            <w:vAlign w:val="center"/>
            <w:hideMark/>
          </w:tcPr>
          <w:p w14:paraId="104A307B" w14:textId="77777777" w:rsidR="00BC1C3A" w:rsidRPr="00B65F7F" w:rsidRDefault="00BC1C3A" w:rsidP="00450852">
            <w:pPr>
              <w:pStyle w:val="TableText"/>
              <w:jc w:val="center"/>
            </w:pPr>
          </w:p>
        </w:tc>
        <w:tc>
          <w:tcPr>
            <w:tcW w:w="217" w:type="pct"/>
            <w:gridSpan w:val="2"/>
            <w:tcBorders>
              <w:top w:val="single" w:sz="4" w:space="0" w:color="BFBFBF" w:themeColor="background1" w:themeShade="BF"/>
              <w:left w:val="single" w:sz="6" w:space="0" w:color="595959" w:themeColor="text1" w:themeTint="A6"/>
              <w:right w:val="single" w:sz="6" w:space="0" w:color="BFBFBF" w:themeColor="background1" w:themeShade="BF"/>
            </w:tcBorders>
            <w:vAlign w:val="center"/>
            <w:hideMark/>
          </w:tcPr>
          <w:p w14:paraId="09328ABF" w14:textId="77777777" w:rsidR="00BC1C3A" w:rsidRPr="00450852" w:rsidRDefault="00BC1C3A" w:rsidP="00450852">
            <w:pPr>
              <w:pStyle w:val="TableText"/>
              <w:jc w:val="center"/>
              <w:rPr>
                <w:b/>
                <w:bCs/>
              </w:rP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73016D5E" w14:textId="77777777" w:rsidR="00BC1C3A" w:rsidRPr="00450852" w:rsidRDefault="00BC1C3A" w:rsidP="00450852">
            <w:pPr>
              <w:pStyle w:val="TableText"/>
              <w:jc w:val="center"/>
              <w:rPr>
                <w:b/>
                <w:bCs/>
              </w:rP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18CDA0E4" w14:textId="77777777" w:rsidR="00BC1C3A" w:rsidRPr="00450852" w:rsidRDefault="00BC1C3A" w:rsidP="00450852">
            <w:pPr>
              <w:pStyle w:val="TableText"/>
              <w:jc w:val="center"/>
            </w:pPr>
            <w:r w:rsidRPr="00450852">
              <w:rPr>
                <w:rFonts w:ascii="Segoe UI Symbol" w:hAnsi="Segoe UI Symbol" w:cs="Segoe UI Symbol"/>
              </w:rPr>
              <w:t>✓</w:t>
            </w: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23A21A54" w14:textId="77777777" w:rsidR="00BC1C3A" w:rsidRPr="00450852" w:rsidRDefault="00BC1C3A" w:rsidP="00450852">
            <w:pPr>
              <w:pStyle w:val="TableText"/>
              <w:jc w:val="center"/>
              <w:rPr>
                <w:b/>
                <w:bCs/>
              </w:rPr>
            </w:pPr>
          </w:p>
        </w:tc>
        <w:tc>
          <w:tcPr>
            <w:tcW w:w="217" w:type="pct"/>
            <w:tcBorders>
              <w:left w:val="single" w:sz="6" w:space="0" w:color="BFBFBF" w:themeColor="background1" w:themeShade="BF"/>
              <w:right w:val="single" w:sz="4" w:space="0" w:color="595959" w:themeColor="text1" w:themeTint="A6"/>
            </w:tcBorders>
            <w:vAlign w:val="center"/>
            <w:hideMark/>
          </w:tcPr>
          <w:p w14:paraId="1CD8D7A4" w14:textId="77777777" w:rsidR="00BC1C3A" w:rsidRPr="00450852" w:rsidRDefault="00BC1C3A" w:rsidP="00450852">
            <w:pPr>
              <w:pStyle w:val="TableText"/>
              <w:jc w:val="center"/>
              <w:rPr>
                <w:b/>
                <w:bCs/>
              </w:rPr>
            </w:pPr>
          </w:p>
        </w:tc>
        <w:tc>
          <w:tcPr>
            <w:tcW w:w="217" w:type="pct"/>
            <w:gridSpan w:val="2"/>
            <w:tcBorders>
              <w:left w:val="single" w:sz="4" w:space="0" w:color="595959" w:themeColor="text1" w:themeTint="A6"/>
            </w:tcBorders>
            <w:vAlign w:val="center"/>
          </w:tcPr>
          <w:p w14:paraId="45D58139" w14:textId="77777777" w:rsidR="00BC1C3A" w:rsidRPr="00B65F7F" w:rsidRDefault="00BC1C3A" w:rsidP="00450852">
            <w:pPr>
              <w:pStyle w:val="TableText"/>
              <w:jc w:val="center"/>
            </w:pPr>
          </w:p>
        </w:tc>
        <w:tc>
          <w:tcPr>
            <w:tcW w:w="217" w:type="pct"/>
            <w:gridSpan w:val="2"/>
            <w:tcBorders>
              <w:left w:val="single" w:sz="6" w:space="0" w:color="BFBFBF" w:themeColor="background1" w:themeShade="BF"/>
            </w:tcBorders>
            <w:vAlign w:val="center"/>
          </w:tcPr>
          <w:p w14:paraId="2ACB4EF6" w14:textId="77777777" w:rsidR="00BC1C3A" w:rsidRPr="00B65F7F" w:rsidRDefault="00BC1C3A" w:rsidP="00450852">
            <w:pPr>
              <w:pStyle w:val="TableText"/>
              <w:jc w:val="center"/>
            </w:pPr>
          </w:p>
        </w:tc>
        <w:tc>
          <w:tcPr>
            <w:tcW w:w="217" w:type="pct"/>
            <w:gridSpan w:val="2"/>
            <w:tcBorders>
              <w:left w:val="single" w:sz="6" w:space="0" w:color="BFBFBF" w:themeColor="background1" w:themeShade="BF"/>
            </w:tcBorders>
            <w:vAlign w:val="center"/>
          </w:tcPr>
          <w:p w14:paraId="54A0F262" w14:textId="77777777" w:rsidR="00BC1C3A" w:rsidRPr="00B65F7F" w:rsidRDefault="00BC1C3A" w:rsidP="00450852">
            <w:pPr>
              <w:pStyle w:val="TableText"/>
              <w:jc w:val="center"/>
            </w:pPr>
            <w:r w:rsidRPr="00B65F7F">
              <w:rPr>
                <w:rFonts w:ascii="Segoe UI Symbol" w:hAnsi="Segoe UI Symbol" w:cs="Segoe UI Symbol"/>
              </w:rPr>
              <w:t>✓</w:t>
            </w:r>
          </w:p>
        </w:tc>
        <w:tc>
          <w:tcPr>
            <w:tcW w:w="217" w:type="pct"/>
            <w:gridSpan w:val="2"/>
            <w:tcBorders>
              <w:left w:val="single" w:sz="6" w:space="0" w:color="BFBFBF" w:themeColor="background1" w:themeShade="BF"/>
            </w:tcBorders>
            <w:vAlign w:val="center"/>
          </w:tcPr>
          <w:p w14:paraId="3D7F6A3A" w14:textId="77777777" w:rsidR="00BC1C3A" w:rsidRPr="00B65F7F" w:rsidRDefault="00BC1C3A" w:rsidP="00450852">
            <w:pPr>
              <w:pStyle w:val="TableText"/>
              <w:jc w:val="center"/>
            </w:pPr>
          </w:p>
        </w:tc>
        <w:tc>
          <w:tcPr>
            <w:tcW w:w="217" w:type="pct"/>
            <w:tcBorders>
              <w:left w:val="single" w:sz="6" w:space="0" w:color="BFBFBF" w:themeColor="background1" w:themeShade="BF"/>
              <w:right w:val="single" w:sz="6" w:space="0" w:color="auto"/>
            </w:tcBorders>
            <w:vAlign w:val="center"/>
          </w:tcPr>
          <w:p w14:paraId="5C1AF7A1" w14:textId="77777777" w:rsidR="00BC1C3A" w:rsidRPr="00B65F7F" w:rsidRDefault="00BC1C3A" w:rsidP="00450852">
            <w:pPr>
              <w:pStyle w:val="TableText"/>
              <w:jc w:val="center"/>
            </w:pPr>
          </w:p>
        </w:tc>
      </w:tr>
      <w:tr w:rsidR="00380CE9" w:rsidRPr="00B65F7F" w14:paraId="149F970B" w14:textId="77777777" w:rsidTr="00F820B9">
        <w:trPr>
          <w:gridAfter w:val="1"/>
          <w:wAfter w:w="9" w:type="pct"/>
          <w:trHeight w:val="20"/>
        </w:trPr>
        <w:tc>
          <w:tcPr>
            <w:tcW w:w="503" w:type="pct"/>
            <w:vMerge/>
            <w:tcBorders>
              <w:top w:val="single" w:sz="4" w:space="0" w:color="BFBFBF" w:themeColor="background1" w:themeShade="BF"/>
              <w:bottom w:val="single" w:sz="6" w:space="0" w:color="595959" w:themeColor="text1" w:themeTint="A6"/>
            </w:tcBorders>
            <w:hideMark/>
          </w:tcPr>
          <w:p w14:paraId="78533BDD" w14:textId="77777777" w:rsidR="00BC1C3A" w:rsidRPr="00B65F7F" w:rsidRDefault="00BC1C3A" w:rsidP="00BC1C3A">
            <w:pPr>
              <w:pStyle w:val="TableText"/>
            </w:pPr>
          </w:p>
        </w:tc>
        <w:tc>
          <w:tcPr>
            <w:tcW w:w="953" w:type="pct"/>
            <w:vMerge w:val="restart"/>
            <w:hideMark/>
          </w:tcPr>
          <w:p w14:paraId="2C2C8A91" w14:textId="77777777" w:rsidR="00BC1C3A" w:rsidRPr="00B65F7F" w:rsidRDefault="00BC1C3A" w:rsidP="00450852">
            <w:pPr>
              <w:pStyle w:val="TableText"/>
            </w:pPr>
            <w:r w:rsidRPr="00B65F7F">
              <w:t>Approach the market</w:t>
            </w:r>
          </w:p>
        </w:tc>
        <w:tc>
          <w:tcPr>
            <w:tcW w:w="336" w:type="pct"/>
            <w:tcBorders>
              <w:right w:val="single" w:sz="6" w:space="0" w:color="595959" w:themeColor="text1" w:themeTint="A6"/>
            </w:tcBorders>
            <w:shd w:val="clear" w:color="auto" w:fill="F2F2F2" w:themeFill="background1" w:themeFillShade="F2"/>
            <w:hideMark/>
          </w:tcPr>
          <w:p w14:paraId="43CCAB20" w14:textId="77777777" w:rsidR="00BC1C3A" w:rsidRPr="00B65F7F" w:rsidRDefault="00BC1C3A" w:rsidP="00450852">
            <w:pPr>
              <w:pStyle w:val="TableText"/>
            </w:pPr>
            <w:r w:rsidRPr="00B65F7F">
              <w:t>Lead</w:t>
            </w:r>
          </w:p>
        </w:tc>
        <w:tc>
          <w:tcPr>
            <w:tcW w:w="217" w:type="pct"/>
            <w:tcBorders>
              <w:top w:val="single" w:sz="4" w:space="0" w:color="BFBFBF" w:themeColor="background1" w:themeShade="BF"/>
              <w:left w:val="single" w:sz="6" w:space="0" w:color="595959" w:themeColor="text1" w:themeTint="A6"/>
              <w:right w:val="single" w:sz="6" w:space="0" w:color="BFBFBF" w:themeColor="background1" w:themeShade="BF"/>
            </w:tcBorders>
            <w:shd w:val="clear" w:color="auto" w:fill="F2F2F2" w:themeFill="background1" w:themeFillShade="F2"/>
            <w:vAlign w:val="center"/>
            <w:hideMark/>
          </w:tcPr>
          <w:p w14:paraId="1DCDCB49" w14:textId="77777777" w:rsidR="00BC1C3A" w:rsidRPr="00B65F7F" w:rsidRDefault="00BC1C3A" w:rsidP="00450852">
            <w:pPr>
              <w:pStyle w:val="TableText"/>
              <w:jc w:val="center"/>
            </w:pPr>
          </w:p>
        </w:tc>
        <w:tc>
          <w:tcPr>
            <w:tcW w:w="218"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7AFC6F21" w14:textId="77777777" w:rsidR="00BC1C3A" w:rsidRPr="00B65F7F" w:rsidRDefault="00BC1C3A" w:rsidP="00450852">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41404D5C" w14:textId="77777777" w:rsidR="00BC1C3A" w:rsidRPr="00DC6C42" w:rsidRDefault="00BC1C3A" w:rsidP="00450852">
            <w:pPr>
              <w:pStyle w:val="TableText"/>
              <w:jc w:val="center"/>
              <w:rPr>
                <w:b/>
                <w:bCs/>
              </w:rPr>
            </w:pPr>
            <w:r w:rsidRPr="00DC6C42">
              <w:rPr>
                <w:rFonts w:ascii="Segoe UI Symbol" w:hAnsi="Segoe UI Symbol" w:cs="Segoe UI Symbol"/>
                <w:b/>
              </w:rPr>
              <w:t>✓</w:t>
            </w: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5AE48C60" w14:textId="77777777" w:rsidR="00BC1C3A" w:rsidRPr="00B65F7F" w:rsidRDefault="00BC1C3A" w:rsidP="00450852">
            <w:pPr>
              <w:pStyle w:val="TableText"/>
              <w:jc w:val="center"/>
            </w:pPr>
          </w:p>
        </w:tc>
        <w:tc>
          <w:tcPr>
            <w:tcW w:w="160" w:type="pct"/>
            <w:tcBorders>
              <w:left w:val="single" w:sz="6" w:space="0" w:color="BFBFBF" w:themeColor="background1" w:themeShade="BF"/>
              <w:right w:val="single" w:sz="6" w:space="0" w:color="595959" w:themeColor="text1" w:themeTint="A6"/>
            </w:tcBorders>
            <w:shd w:val="clear" w:color="auto" w:fill="F2F2F2" w:themeFill="background1" w:themeFillShade="F2"/>
            <w:vAlign w:val="center"/>
            <w:hideMark/>
          </w:tcPr>
          <w:p w14:paraId="0CEA236F" w14:textId="77777777" w:rsidR="00BC1C3A" w:rsidRPr="00B65F7F" w:rsidRDefault="00BC1C3A" w:rsidP="00450852">
            <w:pPr>
              <w:pStyle w:val="TableText"/>
              <w:jc w:val="center"/>
            </w:pPr>
          </w:p>
        </w:tc>
        <w:tc>
          <w:tcPr>
            <w:tcW w:w="217" w:type="pct"/>
            <w:gridSpan w:val="2"/>
            <w:tcBorders>
              <w:top w:val="single" w:sz="4" w:space="0" w:color="BFBFBF" w:themeColor="background1" w:themeShade="BF"/>
              <w:left w:val="single" w:sz="6" w:space="0" w:color="595959" w:themeColor="text1" w:themeTint="A6"/>
              <w:right w:val="single" w:sz="6" w:space="0" w:color="BFBFBF" w:themeColor="background1" w:themeShade="BF"/>
            </w:tcBorders>
            <w:shd w:val="clear" w:color="auto" w:fill="F2F2F2" w:themeFill="background1" w:themeFillShade="F2"/>
            <w:vAlign w:val="center"/>
            <w:hideMark/>
          </w:tcPr>
          <w:p w14:paraId="0D5E03AA" w14:textId="77777777" w:rsidR="00BC1C3A" w:rsidRPr="00450852" w:rsidRDefault="00BC1C3A" w:rsidP="00450852">
            <w:pPr>
              <w:pStyle w:val="TableText"/>
              <w:jc w:val="center"/>
              <w:rPr>
                <w:b/>
                <w:bCs/>
              </w:rPr>
            </w:pPr>
            <w:r w:rsidRPr="00450852">
              <w:rPr>
                <w:rFonts w:ascii="Segoe UI Symbol" w:hAnsi="Segoe UI Symbol" w:cs="Segoe UI Symbol"/>
                <w:b/>
                <w:bCs/>
              </w:rPr>
              <w:t>✓</w:t>
            </w: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6ABF35EC" w14:textId="77777777" w:rsidR="00BC1C3A" w:rsidRPr="00450852" w:rsidRDefault="00BC1C3A" w:rsidP="00450852">
            <w:pPr>
              <w:pStyle w:val="TableText"/>
              <w:jc w:val="center"/>
              <w:rPr>
                <w:b/>
                <w:bCs/>
              </w:rPr>
            </w:pP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44847C2C" w14:textId="77777777" w:rsidR="00BC1C3A" w:rsidRPr="00450852" w:rsidRDefault="00BC1C3A" w:rsidP="00450852">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299C6ADE" w14:textId="77777777" w:rsidR="00BC1C3A" w:rsidRPr="00450852" w:rsidRDefault="00BC1C3A" w:rsidP="00450852">
            <w:pPr>
              <w:pStyle w:val="TableText"/>
              <w:jc w:val="center"/>
              <w:rPr>
                <w:b/>
                <w:bCs/>
              </w:rPr>
            </w:pPr>
          </w:p>
        </w:tc>
        <w:tc>
          <w:tcPr>
            <w:tcW w:w="217" w:type="pct"/>
            <w:tcBorders>
              <w:left w:val="single" w:sz="6" w:space="0" w:color="BFBFBF" w:themeColor="background1" w:themeShade="BF"/>
              <w:right w:val="single" w:sz="4" w:space="0" w:color="595959" w:themeColor="text1" w:themeTint="A6"/>
            </w:tcBorders>
            <w:shd w:val="clear" w:color="auto" w:fill="F2F2F2" w:themeFill="background1" w:themeFillShade="F2"/>
            <w:vAlign w:val="center"/>
            <w:hideMark/>
          </w:tcPr>
          <w:p w14:paraId="70BC9A0A" w14:textId="77777777" w:rsidR="00BC1C3A" w:rsidRPr="00450852" w:rsidRDefault="00BC1C3A" w:rsidP="00450852">
            <w:pPr>
              <w:pStyle w:val="TableText"/>
              <w:jc w:val="center"/>
              <w:rPr>
                <w:b/>
                <w:bCs/>
              </w:rPr>
            </w:pPr>
          </w:p>
        </w:tc>
        <w:tc>
          <w:tcPr>
            <w:tcW w:w="217" w:type="pct"/>
            <w:gridSpan w:val="2"/>
            <w:tcBorders>
              <w:left w:val="single" w:sz="4" w:space="0" w:color="595959" w:themeColor="text1" w:themeTint="A6"/>
            </w:tcBorders>
            <w:shd w:val="clear" w:color="auto" w:fill="F2F2F2" w:themeFill="background1" w:themeFillShade="F2"/>
            <w:vAlign w:val="center"/>
          </w:tcPr>
          <w:p w14:paraId="0E6E7835" w14:textId="77777777" w:rsidR="00BC1C3A" w:rsidRPr="00B65F7F" w:rsidRDefault="00BC1C3A" w:rsidP="00450852">
            <w:pPr>
              <w:pStyle w:val="TableText"/>
              <w:jc w:val="center"/>
            </w:pPr>
          </w:p>
        </w:tc>
        <w:tc>
          <w:tcPr>
            <w:tcW w:w="217" w:type="pct"/>
            <w:gridSpan w:val="2"/>
            <w:tcBorders>
              <w:left w:val="single" w:sz="6" w:space="0" w:color="BFBFBF" w:themeColor="background1" w:themeShade="BF"/>
            </w:tcBorders>
            <w:shd w:val="clear" w:color="auto" w:fill="F2F2F2" w:themeFill="background1" w:themeFillShade="F2"/>
            <w:vAlign w:val="center"/>
          </w:tcPr>
          <w:p w14:paraId="3F06456C" w14:textId="77777777" w:rsidR="00BC1C3A" w:rsidRPr="00B65F7F" w:rsidRDefault="00BC1C3A" w:rsidP="00450852">
            <w:pPr>
              <w:pStyle w:val="TableText"/>
              <w:jc w:val="center"/>
            </w:pPr>
          </w:p>
        </w:tc>
        <w:tc>
          <w:tcPr>
            <w:tcW w:w="217" w:type="pct"/>
            <w:gridSpan w:val="2"/>
            <w:tcBorders>
              <w:left w:val="single" w:sz="6" w:space="0" w:color="BFBFBF" w:themeColor="background1" w:themeShade="BF"/>
            </w:tcBorders>
            <w:shd w:val="clear" w:color="auto" w:fill="F2F2F2" w:themeFill="background1" w:themeFillShade="F2"/>
            <w:vAlign w:val="center"/>
          </w:tcPr>
          <w:p w14:paraId="6EA2149A" w14:textId="77777777" w:rsidR="00BC1C3A" w:rsidRPr="00B65F7F" w:rsidRDefault="00BC1C3A" w:rsidP="00450852">
            <w:pPr>
              <w:pStyle w:val="TableText"/>
              <w:jc w:val="center"/>
            </w:pPr>
            <w:r w:rsidRPr="00DC6C42">
              <w:rPr>
                <w:rFonts w:ascii="Segoe UI Symbol" w:hAnsi="Segoe UI Symbol" w:cs="Segoe UI Symbol"/>
                <w:b/>
              </w:rPr>
              <w:t>✓</w:t>
            </w:r>
          </w:p>
        </w:tc>
        <w:tc>
          <w:tcPr>
            <w:tcW w:w="217" w:type="pct"/>
            <w:gridSpan w:val="2"/>
            <w:tcBorders>
              <w:left w:val="single" w:sz="6" w:space="0" w:color="BFBFBF" w:themeColor="background1" w:themeShade="BF"/>
            </w:tcBorders>
            <w:shd w:val="clear" w:color="auto" w:fill="F2F2F2" w:themeFill="background1" w:themeFillShade="F2"/>
            <w:vAlign w:val="center"/>
          </w:tcPr>
          <w:p w14:paraId="5AFD4603" w14:textId="77777777" w:rsidR="00BC1C3A" w:rsidRPr="00B65F7F" w:rsidRDefault="00BC1C3A" w:rsidP="00450852">
            <w:pPr>
              <w:pStyle w:val="TableText"/>
              <w:jc w:val="center"/>
            </w:pPr>
          </w:p>
        </w:tc>
        <w:tc>
          <w:tcPr>
            <w:tcW w:w="217" w:type="pct"/>
            <w:tcBorders>
              <w:left w:val="single" w:sz="6" w:space="0" w:color="BFBFBF" w:themeColor="background1" w:themeShade="BF"/>
              <w:right w:val="single" w:sz="6" w:space="0" w:color="auto"/>
            </w:tcBorders>
            <w:shd w:val="clear" w:color="auto" w:fill="F2F2F2" w:themeFill="background1" w:themeFillShade="F2"/>
            <w:vAlign w:val="center"/>
          </w:tcPr>
          <w:p w14:paraId="4173DAD9" w14:textId="77777777" w:rsidR="00BC1C3A" w:rsidRPr="00B65F7F" w:rsidRDefault="00BC1C3A" w:rsidP="00450852">
            <w:pPr>
              <w:pStyle w:val="TableText"/>
              <w:jc w:val="center"/>
            </w:pPr>
          </w:p>
        </w:tc>
      </w:tr>
      <w:tr w:rsidR="00380CE9" w:rsidRPr="00B65F7F" w14:paraId="25D961B1" w14:textId="77777777" w:rsidTr="00F820B9">
        <w:trPr>
          <w:gridAfter w:val="1"/>
          <w:wAfter w:w="9" w:type="pct"/>
          <w:trHeight w:val="20"/>
        </w:trPr>
        <w:tc>
          <w:tcPr>
            <w:tcW w:w="503" w:type="pct"/>
            <w:vMerge/>
            <w:tcBorders>
              <w:top w:val="single" w:sz="4" w:space="0" w:color="BFBFBF" w:themeColor="background1" w:themeShade="BF"/>
              <w:bottom w:val="single" w:sz="6" w:space="0" w:color="595959" w:themeColor="text1" w:themeTint="A6"/>
            </w:tcBorders>
            <w:hideMark/>
          </w:tcPr>
          <w:p w14:paraId="49723D2A" w14:textId="77777777" w:rsidR="00BC1C3A" w:rsidRPr="00B65F7F" w:rsidRDefault="00BC1C3A" w:rsidP="00BC1C3A">
            <w:pPr>
              <w:pStyle w:val="TableText"/>
            </w:pPr>
          </w:p>
        </w:tc>
        <w:tc>
          <w:tcPr>
            <w:tcW w:w="953" w:type="pct"/>
            <w:vMerge/>
            <w:tcBorders>
              <w:bottom w:val="single" w:sz="4" w:space="0" w:color="BFBFBF" w:themeColor="background1" w:themeShade="BF"/>
            </w:tcBorders>
            <w:hideMark/>
          </w:tcPr>
          <w:p w14:paraId="3EA148A1" w14:textId="77777777" w:rsidR="00BC1C3A" w:rsidRPr="00B65F7F" w:rsidRDefault="00BC1C3A" w:rsidP="00450852">
            <w:pPr>
              <w:pStyle w:val="TableText"/>
            </w:pPr>
          </w:p>
        </w:tc>
        <w:tc>
          <w:tcPr>
            <w:tcW w:w="336" w:type="pct"/>
            <w:tcBorders>
              <w:right w:val="single" w:sz="6" w:space="0" w:color="595959" w:themeColor="text1" w:themeTint="A6"/>
            </w:tcBorders>
            <w:hideMark/>
          </w:tcPr>
          <w:p w14:paraId="4C6C1032" w14:textId="77777777" w:rsidR="00BC1C3A" w:rsidRPr="00B65F7F" w:rsidRDefault="00BC1C3A" w:rsidP="00450852">
            <w:pPr>
              <w:pStyle w:val="TableText"/>
            </w:pPr>
            <w:r w:rsidRPr="00B65F7F">
              <w:t>Support</w:t>
            </w:r>
          </w:p>
        </w:tc>
        <w:tc>
          <w:tcPr>
            <w:tcW w:w="217" w:type="pct"/>
            <w:tcBorders>
              <w:top w:val="single" w:sz="4" w:space="0" w:color="BFBFBF" w:themeColor="background1" w:themeShade="BF"/>
              <w:left w:val="single" w:sz="6" w:space="0" w:color="595959" w:themeColor="text1" w:themeTint="A6"/>
              <w:right w:val="single" w:sz="6" w:space="0" w:color="BFBFBF" w:themeColor="background1" w:themeShade="BF"/>
            </w:tcBorders>
            <w:vAlign w:val="center"/>
            <w:hideMark/>
          </w:tcPr>
          <w:p w14:paraId="68B6217B" w14:textId="77777777" w:rsidR="00BC1C3A" w:rsidRPr="00B65F7F" w:rsidRDefault="00BC1C3A" w:rsidP="00450852">
            <w:pPr>
              <w:pStyle w:val="TableText"/>
              <w:jc w:val="center"/>
            </w:pPr>
          </w:p>
        </w:tc>
        <w:tc>
          <w:tcPr>
            <w:tcW w:w="218" w:type="pct"/>
            <w:gridSpan w:val="2"/>
            <w:tcBorders>
              <w:left w:val="single" w:sz="6" w:space="0" w:color="BFBFBF" w:themeColor="background1" w:themeShade="BF"/>
              <w:right w:val="single" w:sz="6" w:space="0" w:color="BFBFBF" w:themeColor="background1" w:themeShade="BF"/>
            </w:tcBorders>
            <w:vAlign w:val="center"/>
            <w:hideMark/>
          </w:tcPr>
          <w:p w14:paraId="2E2F6B4A" w14:textId="77777777" w:rsidR="00BC1C3A" w:rsidRPr="00B65F7F" w:rsidRDefault="00BC1C3A" w:rsidP="00450852">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6C33B62B" w14:textId="77777777" w:rsidR="00BC1C3A" w:rsidRPr="00B65F7F" w:rsidRDefault="00BC1C3A" w:rsidP="00450852">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16E089FB" w14:textId="77777777" w:rsidR="00BC1C3A" w:rsidRPr="00B65F7F" w:rsidRDefault="00BC1C3A" w:rsidP="00450852">
            <w:pPr>
              <w:pStyle w:val="TableText"/>
              <w:jc w:val="center"/>
            </w:pPr>
          </w:p>
        </w:tc>
        <w:tc>
          <w:tcPr>
            <w:tcW w:w="160" w:type="pct"/>
            <w:tcBorders>
              <w:left w:val="single" w:sz="6" w:space="0" w:color="BFBFBF" w:themeColor="background1" w:themeShade="BF"/>
              <w:right w:val="single" w:sz="6" w:space="0" w:color="595959" w:themeColor="text1" w:themeTint="A6"/>
            </w:tcBorders>
            <w:vAlign w:val="center"/>
            <w:hideMark/>
          </w:tcPr>
          <w:p w14:paraId="3F1A2D7D" w14:textId="77777777" w:rsidR="00BC1C3A" w:rsidRPr="00B65F7F" w:rsidRDefault="00BC1C3A" w:rsidP="00450852">
            <w:pPr>
              <w:pStyle w:val="TableText"/>
              <w:jc w:val="center"/>
            </w:pPr>
          </w:p>
        </w:tc>
        <w:tc>
          <w:tcPr>
            <w:tcW w:w="217" w:type="pct"/>
            <w:gridSpan w:val="2"/>
            <w:tcBorders>
              <w:top w:val="single" w:sz="4" w:space="0" w:color="BFBFBF" w:themeColor="background1" w:themeShade="BF"/>
              <w:left w:val="single" w:sz="6" w:space="0" w:color="595959" w:themeColor="text1" w:themeTint="A6"/>
              <w:right w:val="single" w:sz="6" w:space="0" w:color="BFBFBF" w:themeColor="background1" w:themeShade="BF"/>
            </w:tcBorders>
            <w:vAlign w:val="center"/>
            <w:hideMark/>
          </w:tcPr>
          <w:p w14:paraId="6A4FDCF0" w14:textId="77777777" w:rsidR="00BC1C3A" w:rsidRPr="00450852" w:rsidRDefault="00BC1C3A" w:rsidP="00450852">
            <w:pPr>
              <w:pStyle w:val="TableText"/>
              <w:jc w:val="center"/>
              <w:rPr>
                <w:b/>
                <w:bCs/>
              </w:rP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14DBDCCD" w14:textId="77777777" w:rsidR="00BC1C3A" w:rsidRPr="00450852" w:rsidRDefault="00BC1C3A" w:rsidP="00450852">
            <w:pPr>
              <w:pStyle w:val="TableText"/>
              <w:jc w:val="center"/>
              <w:rPr>
                <w:b/>
                <w:bCs/>
              </w:rP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51B25061" w14:textId="77777777" w:rsidR="00BC1C3A" w:rsidRPr="00450852" w:rsidRDefault="00BC1C3A" w:rsidP="00450852">
            <w:pPr>
              <w:pStyle w:val="TableText"/>
              <w:jc w:val="center"/>
            </w:pPr>
            <w:r w:rsidRPr="00450852">
              <w:rPr>
                <w:rFonts w:ascii="Segoe UI Symbol" w:hAnsi="Segoe UI Symbol" w:cs="Segoe UI Symbol"/>
              </w:rPr>
              <w:t>✓</w:t>
            </w: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40C28403" w14:textId="77777777" w:rsidR="00BC1C3A" w:rsidRPr="00450852" w:rsidRDefault="00BC1C3A" w:rsidP="00450852">
            <w:pPr>
              <w:pStyle w:val="TableText"/>
              <w:jc w:val="center"/>
              <w:rPr>
                <w:b/>
                <w:bCs/>
              </w:rPr>
            </w:pPr>
          </w:p>
        </w:tc>
        <w:tc>
          <w:tcPr>
            <w:tcW w:w="217" w:type="pct"/>
            <w:tcBorders>
              <w:left w:val="single" w:sz="6" w:space="0" w:color="BFBFBF" w:themeColor="background1" w:themeShade="BF"/>
              <w:right w:val="single" w:sz="4" w:space="0" w:color="595959" w:themeColor="text1" w:themeTint="A6"/>
            </w:tcBorders>
            <w:vAlign w:val="center"/>
            <w:hideMark/>
          </w:tcPr>
          <w:p w14:paraId="014F3AB7" w14:textId="77777777" w:rsidR="00BC1C3A" w:rsidRPr="00450852" w:rsidRDefault="00BC1C3A" w:rsidP="00450852">
            <w:pPr>
              <w:pStyle w:val="TableText"/>
              <w:jc w:val="center"/>
              <w:rPr>
                <w:b/>
                <w:bCs/>
              </w:rPr>
            </w:pPr>
          </w:p>
        </w:tc>
        <w:tc>
          <w:tcPr>
            <w:tcW w:w="217" w:type="pct"/>
            <w:gridSpan w:val="2"/>
            <w:tcBorders>
              <w:left w:val="single" w:sz="4" w:space="0" w:color="595959" w:themeColor="text1" w:themeTint="A6"/>
            </w:tcBorders>
            <w:vAlign w:val="center"/>
          </w:tcPr>
          <w:p w14:paraId="578C26DE" w14:textId="77777777" w:rsidR="00BC1C3A" w:rsidRPr="00B65F7F" w:rsidRDefault="00BC1C3A" w:rsidP="00450852">
            <w:pPr>
              <w:pStyle w:val="TableText"/>
              <w:jc w:val="center"/>
            </w:pPr>
          </w:p>
        </w:tc>
        <w:tc>
          <w:tcPr>
            <w:tcW w:w="217" w:type="pct"/>
            <w:gridSpan w:val="2"/>
            <w:tcBorders>
              <w:left w:val="single" w:sz="6" w:space="0" w:color="BFBFBF" w:themeColor="background1" w:themeShade="BF"/>
            </w:tcBorders>
            <w:vAlign w:val="center"/>
          </w:tcPr>
          <w:p w14:paraId="36BBE8D1" w14:textId="77777777" w:rsidR="00BC1C3A" w:rsidRPr="00B65F7F" w:rsidRDefault="00BC1C3A" w:rsidP="00450852">
            <w:pPr>
              <w:pStyle w:val="TableText"/>
              <w:jc w:val="center"/>
            </w:pPr>
          </w:p>
        </w:tc>
        <w:tc>
          <w:tcPr>
            <w:tcW w:w="217" w:type="pct"/>
            <w:gridSpan w:val="2"/>
            <w:tcBorders>
              <w:left w:val="single" w:sz="6" w:space="0" w:color="BFBFBF" w:themeColor="background1" w:themeShade="BF"/>
            </w:tcBorders>
            <w:vAlign w:val="center"/>
          </w:tcPr>
          <w:p w14:paraId="61DF7AE2" w14:textId="77777777" w:rsidR="00BC1C3A" w:rsidRPr="00B65F7F" w:rsidRDefault="00BC1C3A" w:rsidP="00450852">
            <w:pPr>
              <w:pStyle w:val="TableText"/>
              <w:jc w:val="center"/>
            </w:pPr>
          </w:p>
        </w:tc>
        <w:tc>
          <w:tcPr>
            <w:tcW w:w="217" w:type="pct"/>
            <w:gridSpan w:val="2"/>
            <w:tcBorders>
              <w:left w:val="single" w:sz="6" w:space="0" w:color="BFBFBF" w:themeColor="background1" w:themeShade="BF"/>
            </w:tcBorders>
            <w:vAlign w:val="center"/>
          </w:tcPr>
          <w:p w14:paraId="557A0B97" w14:textId="77777777" w:rsidR="00BC1C3A" w:rsidRPr="00B65F7F" w:rsidRDefault="00BC1C3A" w:rsidP="00450852">
            <w:pPr>
              <w:pStyle w:val="TableText"/>
              <w:jc w:val="center"/>
            </w:pPr>
          </w:p>
        </w:tc>
        <w:tc>
          <w:tcPr>
            <w:tcW w:w="217" w:type="pct"/>
            <w:tcBorders>
              <w:left w:val="single" w:sz="6" w:space="0" w:color="BFBFBF" w:themeColor="background1" w:themeShade="BF"/>
              <w:right w:val="single" w:sz="6" w:space="0" w:color="auto"/>
            </w:tcBorders>
            <w:vAlign w:val="center"/>
          </w:tcPr>
          <w:p w14:paraId="461B7161" w14:textId="77777777" w:rsidR="00BC1C3A" w:rsidRPr="00B65F7F" w:rsidRDefault="00BC1C3A" w:rsidP="00450852">
            <w:pPr>
              <w:pStyle w:val="TableText"/>
              <w:jc w:val="center"/>
            </w:pPr>
          </w:p>
        </w:tc>
      </w:tr>
      <w:tr w:rsidR="00380CE9" w:rsidRPr="00B65F7F" w14:paraId="47EA074B" w14:textId="77777777" w:rsidTr="00F820B9">
        <w:trPr>
          <w:gridAfter w:val="1"/>
          <w:wAfter w:w="9" w:type="pct"/>
          <w:trHeight w:val="20"/>
        </w:trPr>
        <w:tc>
          <w:tcPr>
            <w:tcW w:w="503" w:type="pct"/>
            <w:vMerge/>
            <w:tcBorders>
              <w:top w:val="single" w:sz="4" w:space="0" w:color="BFBFBF" w:themeColor="background1" w:themeShade="BF"/>
              <w:bottom w:val="single" w:sz="6" w:space="0" w:color="595959" w:themeColor="text1" w:themeTint="A6"/>
            </w:tcBorders>
            <w:hideMark/>
          </w:tcPr>
          <w:p w14:paraId="1F8599C5" w14:textId="77777777" w:rsidR="00BC1C3A" w:rsidRPr="00B65F7F" w:rsidRDefault="00BC1C3A" w:rsidP="00BC1C3A">
            <w:pPr>
              <w:pStyle w:val="TableText"/>
            </w:pPr>
          </w:p>
        </w:tc>
        <w:tc>
          <w:tcPr>
            <w:tcW w:w="953" w:type="pct"/>
            <w:vMerge w:val="restart"/>
            <w:tcBorders>
              <w:top w:val="single" w:sz="4" w:space="0" w:color="BFBFBF" w:themeColor="background1" w:themeShade="BF"/>
              <w:bottom w:val="single" w:sz="6" w:space="0" w:color="595959" w:themeColor="text1" w:themeTint="A6"/>
            </w:tcBorders>
            <w:hideMark/>
          </w:tcPr>
          <w:p w14:paraId="6368E591" w14:textId="77777777" w:rsidR="00BC1C3A" w:rsidRPr="00B65F7F" w:rsidRDefault="00BC1C3A" w:rsidP="00450852">
            <w:pPr>
              <w:pStyle w:val="TableText"/>
            </w:pPr>
            <w:r w:rsidRPr="00B65F7F">
              <w:t>Evaluate submissions and select provider/s</w:t>
            </w:r>
          </w:p>
        </w:tc>
        <w:tc>
          <w:tcPr>
            <w:tcW w:w="336" w:type="pct"/>
            <w:tcBorders>
              <w:bottom w:val="single" w:sz="4" w:space="0" w:color="BFBFBF" w:themeColor="background1" w:themeShade="BF"/>
              <w:right w:val="single" w:sz="6" w:space="0" w:color="595959" w:themeColor="text1" w:themeTint="A6"/>
            </w:tcBorders>
            <w:shd w:val="clear" w:color="auto" w:fill="F2F2F2" w:themeFill="background1" w:themeFillShade="F2"/>
            <w:hideMark/>
          </w:tcPr>
          <w:p w14:paraId="4A3BE50F" w14:textId="77777777" w:rsidR="00BC1C3A" w:rsidRPr="00B65F7F" w:rsidRDefault="00BC1C3A" w:rsidP="00450852">
            <w:pPr>
              <w:pStyle w:val="TableText"/>
            </w:pPr>
            <w:r w:rsidRPr="00B65F7F">
              <w:t>Lead</w:t>
            </w:r>
          </w:p>
        </w:tc>
        <w:tc>
          <w:tcPr>
            <w:tcW w:w="217" w:type="pct"/>
            <w:tcBorders>
              <w:top w:val="single" w:sz="4" w:space="0" w:color="BFBFBF" w:themeColor="background1" w:themeShade="BF"/>
              <w:left w:val="single" w:sz="6" w:space="0" w:color="595959" w:themeColor="text1" w:themeTint="A6"/>
              <w:bottom w:val="single" w:sz="4" w:space="0" w:color="BFBFBF" w:themeColor="background1" w:themeShade="BF"/>
              <w:right w:val="single" w:sz="6" w:space="0" w:color="BFBFBF" w:themeColor="background1" w:themeShade="BF"/>
            </w:tcBorders>
            <w:shd w:val="clear" w:color="auto" w:fill="F2F2F2" w:themeFill="background1" w:themeFillShade="F2"/>
            <w:vAlign w:val="center"/>
            <w:hideMark/>
          </w:tcPr>
          <w:p w14:paraId="76CF542D" w14:textId="77777777" w:rsidR="00BC1C3A" w:rsidRPr="00B65F7F" w:rsidRDefault="00BC1C3A" w:rsidP="00450852">
            <w:pPr>
              <w:pStyle w:val="TableText"/>
              <w:jc w:val="center"/>
            </w:pPr>
          </w:p>
        </w:tc>
        <w:tc>
          <w:tcPr>
            <w:tcW w:w="218" w:type="pct"/>
            <w:gridSpan w:val="2"/>
            <w:tcBorders>
              <w:left w:val="single" w:sz="6" w:space="0" w:color="BFBFBF" w:themeColor="background1" w:themeShade="BF"/>
              <w:bottom w:val="single" w:sz="4" w:space="0" w:color="BFBFBF" w:themeColor="background1" w:themeShade="BF"/>
              <w:right w:val="single" w:sz="6" w:space="0" w:color="BFBFBF" w:themeColor="background1" w:themeShade="BF"/>
            </w:tcBorders>
            <w:shd w:val="clear" w:color="auto" w:fill="F2F2F2" w:themeFill="background1" w:themeFillShade="F2"/>
            <w:vAlign w:val="center"/>
            <w:hideMark/>
          </w:tcPr>
          <w:p w14:paraId="0ADD397D" w14:textId="77777777" w:rsidR="00BC1C3A" w:rsidRPr="00B65F7F" w:rsidRDefault="00BC1C3A" w:rsidP="00450852">
            <w:pPr>
              <w:pStyle w:val="TableText"/>
              <w:jc w:val="center"/>
            </w:pPr>
          </w:p>
        </w:tc>
        <w:tc>
          <w:tcPr>
            <w:tcW w:w="217" w:type="pct"/>
            <w:gridSpan w:val="2"/>
            <w:tcBorders>
              <w:left w:val="single" w:sz="6" w:space="0" w:color="BFBFBF" w:themeColor="background1" w:themeShade="BF"/>
              <w:bottom w:val="single" w:sz="4" w:space="0" w:color="BFBFBF" w:themeColor="background1" w:themeShade="BF"/>
              <w:right w:val="single" w:sz="6" w:space="0" w:color="BFBFBF" w:themeColor="background1" w:themeShade="BF"/>
            </w:tcBorders>
            <w:shd w:val="clear" w:color="auto" w:fill="F2F2F2" w:themeFill="background1" w:themeFillShade="F2"/>
            <w:vAlign w:val="center"/>
            <w:hideMark/>
          </w:tcPr>
          <w:p w14:paraId="63F31C8B" w14:textId="77777777" w:rsidR="00BC1C3A" w:rsidRPr="00DC6C42" w:rsidRDefault="00BC1C3A" w:rsidP="00450852">
            <w:pPr>
              <w:pStyle w:val="TableText"/>
              <w:jc w:val="center"/>
              <w:rPr>
                <w:b/>
                <w:bCs/>
              </w:rPr>
            </w:pPr>
            <w:r w:rsidRPr="00DC6C42">
              <w:rPr>
                <w:rFonts w:ascii="Segoe UI Symbol" w:hAnsi="Segoe UI Symbol" w:cs="Segoe UI Symbol"/>
                <w:b/>
              </w:rPr>
              <w:t>✓</w:t>
            </w:r>
          </w:p>
        </w:tc>
        <w:tc>
          <w:tcPr>
            <w:tcW w:w="217" w:type="pct"/>
            <w:gridSpan w:val="2"/>
            <w:tcBorders>
              <w:left w:val="single" w:sz="6" w:space="0" w:color="BFBFBF" w:themeColor="background1" w:themeShade="BF"/>
              <w:bottom w:val="single" w:sz="4" w:space="0" w:color="BFBFBF" w:themeColor="background1" w:themeShade="BF"/>
              <w:right w:val="single" w:sz="6" w:space="0" w:color="BFBFBF" w:themeColor="background1" w:themeShade="BF"/>
            </w:tcBorders>
            <w:shd w:val="clear" w:color="auto" w:fill="F2F2F2" w:themeFill="background1" w:themeFillShade="F2"/>
            <w:vAlign w:val="center"/>
            <w:hideMark/>
          </w:tcPr>
          <w:p w14:paraId="009AD9D1" w14:textId="77777777" w:rsidR="00BC1C3A" w:rsidRPr="00B65F7F" w:rsidRDefault="00BC1C3A" w:rsidP="00450852">
            <w:pPr>
              <w:pStyle w:val="TableText"/>
              <w:jc w:val="center"/>
            </w:pPr>
          </w:p>
        </w:tc>
        <w:tc>
          <w:tcPr>
            <w:tcW w:w="160" w:type="pct"/>
            <w:tcBorders>
              <w:left w:val="single" w:sz="6" w:space="0" w:color="BFBFBF" w:themeColor="background1" w:themeShade="BF"/>
              <w:bottom w:val="single" w:sz="4" w:space="0" w:color="BFBFBF" w:themeColor="background1" w:themeShade="BF"/>
              <w:right w:val="single" w:sz="6" w:space="0" w:color="595959" w:themeColor="text1" w:themeTint="A6"/>
            </w:tcBorders>
            <w:shd w:val="clear" w:color="auto" w:fill="F2F2F2" w:themeFill="background1" w:themeFillShade="F2"/>
            <w:vAlign w:val="center"/>
            <w:hideMark/>
          </w:tcPr>
          <w:p w14:paraId="4FA2C7D2" w14:textId="77777777" w:rsidR="00BC1C3A" w:rsidRPr="00B65F7F" w:rsidRDefault="00BC1C3A" w:rsidP="00450852">
            <w:pPr>
              <w:pStyle w:val="TableText"/>
              <w:jc w:val="center"/>
            </w:pPr>
          </w:p>
        </w:tc>
        <w:tc>
          <w:tcPr>
            <w:tcW w:w="217" w:type="pct"/>
            <w:gridSpan w:val="2"/>
            <w:tcBorders>
              <w:top w:val="single" w:sz="4" w:space="0" w:color="BFBFBF" w:themeColor="background1" w:themeShade="BF"/>
              <w:left w:val="single" w:sz="6" w:space="0" w:color="595959" w:themeColor="text1" w:themeTint="A6"/>
              <w:bottom w:val="single" w:sz="4" w:space="0" w:color="BFBFBF" w:themeColor="background1" w:themeShade="BF"/>
              <w:right w:val="single" w:sz="6" w:space="0" w:color="BFBFBF" w:themeColor="background1" w:themeShade="BF"/>
            </w:tcBorders>
            <w:shd w:val="clear" w:color="auto" w:fill="F2F2F2" w:themeFill="background1" w:themeFillShade="F2"/>
            <w:vAlign w:val="center"/>
            <w:hideMark/>
          </w:tcPr>
          <w:p w14:paraId="32D8932A" w14:textId="77777777" w:rsidR="00BC1C3A" w:rsidRPr="00450852" w:rsidRDefault="00BC1C3A" w:rsidP="00450852">
            <w:pPr>
              <w:pStyle w:val="TableText"/>
              <w:jc w:val="center"/>
              <w:rPr>
                <w:b/>
                <w:bCs/>
              </w:rPr>
            </w:pPr>
            <w:r w:rsidRPr="00450852">
              <w:rPr>
                <w:rFonts w:ascii="Segoe UI Symbol" w:hAnsi="Segoe UI Symbol" w:cs="Segoe UI Symbol"/>
                <w:b/>
                <w:bCs/>
              </w:rPr>
              <w:t>✓</w:t>
            </w:r>
          </w:p>
        </w:tc>
        <w:tc>
          <w:tcPr>
            <w:tcW w:w="217" w:type="pct"/>
            <w:gridSpan w:val="2"/>
            <w:tcBorders>
              <w:left w:val="single" w:sz="6" w:space="0" w:color="BFBFBF" w:themeColor="background1" w:themeShade="BF"/>
              <w:bottom w:val="single" w:sz="4" w:space="0" w:color="BFBFBF" w:themeColor="background1" w:themeShade="BF"/>
              <w:right w:val="single" w:sz="6" w:space="0" w:color="BFBFBF" w:themeColor="background1" w:themeShade="BF"/>
            </w:tcBorders>
            <w:shd w:val="clear" w:color="auto" w:fill="F2F2F2" w:themeFill="background1" w:themeFillShade="F2"/>
            <w:vAlign w:val="center"/>
            <w:hideMark/>
          </w:tcPr>
          <w:p w14:paraId="39928953" w14:textId="77777777" w:rsidR="00BC1C3A" w:rsidRPr="00450852" w:rsidRDefault="00BC1C3A" w:rsidP="00450852">
            <w:pPr>
              <w:pStyle w:val="TableText"/>
              <w:jc w:val="center"/>
              <w:rPr>
                <w:b/>
                <w:bCs/>
              </w:rPr>
            </w:pPr>
          </w:p>
        </w:tc>
        <w:tc>
          <w:tcPr>
            <w:tcW w:w="217" w:type="pct"/>
            <w:gridSpan w:val="2"/>
            <w:tcBorders>
              <w:left w:val="single" w:sz="6" w:space="0" w:color="BFBFBF" w:themeColor="background1" w:themeShade="BF"/>
              <w:bottom w:val="single" w:sz="4" w:space="0" w:color="BFBFBF" w:themeColor="background1" w:themeShade="BF"/>
              <w:right w:val="single" w:sz="6" w:space="0" w:color="BFBFBF" w:themeColor="background1" w:themeShade="BF"/>
            </w:tcBorders>
            <w:shd w:val="clear" w:color="auto" w:fill="F2F2F2" w:themeFill="background1" w:themeFillShade="F2"/>
            <w:vAlign w:val="center"/>
            <w:hideMark/>
          </w:tcPr>
          <w:p w14:paraId="45AB118A" w14:textId="77777777" w:rsidR="00BC1C3A" w:rsidRPr="00450852" w:rsidRDefault="00BC1C3A" w:rsidP="00450852">
            <w:pPr>
              <w:pStyle w:val="TableText"/>
              <w:jc w:val="center"/>
            </w:pPr>
          </w:p>
        </w:tc>
        <w:tc>
          <w:tcPr>
            <w:tcW w:w="217" w:type="pct"/>
            <w:gridSpan w:val="2"/>
            <w:tcBorders>
              <w:left w:val="single" w:sz="6" w:space="0" w:color="BFBFBF" w:themeColor="background1" w:themeShade="BF"/>
              <w:bottom w:val="single" w:sz="4" w:space="0" w:color="BFBFBF" w:themeColor="background1" w:themeShade="BF"/>
              <w:right w:val="single" w:sz="6" w:space="0" w:color="BFBFBF" w:themeColor="background1" w:themeShade="BF"/>
            </w:tcBorders>
            <w:shd w:val="clear" w:color="auto" w:fill="F2F2F2" w:themeFill="background1" w:themeFillShade="F2"/>
            <w:vAlign w:val="center"/>
            <w:hideMark/>
          </w:tcPr>
          <w:p w14:paraId="4ECCB38C" w14:textId="77777777" w:rsidR="00BC1C3A" w:rsidRPr="00450852" w:rsidRDefault="00BC1C3A" w:rsidP="00450852">
            <w:pPr>
              <w:pStyle w:val="TableText"/>
              <w:jc w:val="center"/>
              <w:rPr>
                <w:b/>
                <w:bCs/>
              </w:rPr>
            </w:pPr>
          </w:p>
        </w:tc>
        <w:tc>
          <w:tcPr>
            <w:tcW w:w="217" w:type="pct"/>
            <w:tcBorders>
              <w:left w:val="single" w:sz="6" w:space="0" w:color="BFBFBF" w:themeColor="background1" w:themeShade="BF"/>
              <w:bottom w:val="single" w:sz="4" w:space="0" w:color="BFBFBF" w:themeColor="background1" w:themeShade="BF"/>
              <w:right w:val="single" w:sz="4" w:space="0" w:color="595959" w:themeColor="text1" w:themeTint="A6"/>
            </w:tcBorders>
            <w:shd w:val="clear" w:color="auto" w:fill="F2F2F2" w:themeFill="background1" w:themeFillShade="F2"/>
            <w:vAlign w:val="center"/>
            <w:hideMark/>
          </w:tcPr>
          <w:p w14:paraId="1E10E897" w14:textId="77777777" w:rsidR="00BC1C3A" w:rsidRPr="00450852" w:rsidRDefault="00BC1C3A" w:rsidP="00450852">
            <w:pPr>
              <w:pStyle w:val="TableText"/>
              <w:jc w:val="center"/>
              <w:rPr>
                <w:b/>
                <w:bCs/>
              </w:rPr>
            </w:pPr>
          </w:p>
        </w:tc>
        <w:tc>
          <w:tcPr>
            <w:tcW w:w="217" w:type="pct"/>
            <w:gridSpan w:val="2"/>
            <w:tcBorders>
              <w:left w:val="single" w:sz="4" w:space="0" w:color="595959" w:themeColor="text1" w:themeTint="A6"/>
              <w:bottom w:val="single" w:sz="4" w:space="0" w:color="BFBFBF" w:themeColor="background1" w:themeShade="BF"/>
            </w:tcBorders>
            <w:shd w:val="clear" w:color="auto" w:fill="F2F2F2" w:themeFill="background1" w:themeFillShade="F2"/>
            <w:vAlign w:val="center"/>
          </w:tcPr>
          <w:p w14:paraId="09B79D75" w14:textId="77777777" w:rsidR="00BC1C3A" w:rsidRPr="00B65F7F" w:rsidRDefault="00BC1C3A" w:rsidP="00450852">
            <w:pPr>
              <w:pStyle w:val="TableText"/>
              <w:jc w:val="center"/>
            </w:pPr>
          </w:p>
        </w:tc>
        <w:tc>
          <w:tcPr>
            <w:tcW w:w="217" w:type="pct"/>
            <w:gridSpan w:val="2"/>
            <w:tcBorders>
              <w:left w:val="single" w:sz="6" w:space="0" w:color="BFBFBF" w:themeColor="background1" w:themeShade="BF"/>
              <w:bottom w:val="single" w:sz="4" w:space="0" w:color="BFBFBF" w:themeColor="background1" w:themeShade="BF"/>
            </w:tcBorders>
            <w:shd w:val="clear" w:color="auto" w:fill="F2F2F2" w:themeFill="background1" w:themeFillShade="F2"/>
            <w:vAlign w:val="center"/>
          </w:tcPr>
          <w:p w14:paraId="6420589C" w14:textId="77777777" w:rsidR="00BC1C3A" w:rsidRPr="00B65F7F" w:rsidRDefault="00BC1C3A" w:rsidP="00450852">
            <w:pPr>
              <w:pStyle w:val="TableText"/>
              <w:jc w:val="center"/>
            </w:pPr>
          </w:p>
        </w:tc>
        <w:tc>
          <w:tcPr>
            <w:tcW w:w="217" w:type="pct"/>
            <w:gridSpan w:val="2"/>
            <w:tcBorders>
              <w:left w:val="single" w:sz="6" w:space="0" w:color="BFBFBF" w:themeColor="background1" w:themeShade="BF"/>
              <w:bottom w:val="single" w:sz="4" w:space="0" w:color="BFBFBF" w:themeColor="background1" w:themeShade="BF"/>
            </w:tcBorders>
            <w:shd w:val="clear" w:color="auto" w:fill="F2F2F2" w:themeFill="background1" w:themeFillShade="F2"/>
            <w:vAlign w:val="center"/>
          </w:tcPr>
          <w:p w14:paraId="47F440F9" w14:textId="77777777" w:rsidR="00BC1C3A" w:rsidRPr="00B65F7F" w:rsidRDefault="00BC1C3A" w:rsidP="00450852">
            <w:pPr>
              <w:pStyle w:val="TableText"/>
              <w:jc w:val="center"/>
            </w:pPr>
            <w:r w:rsidRPr="00DC6C42">
              <w:rPr>
                <w:rFonts w:ascii="Segoe UI Symbol" w:hAnsi="Segoe UI Symbol" w:cs="Segoe UI Symbol"/>
                <w:b/>
              </w:rPr>
              <w:t>✓</w:t>
            </w:r>
          </w:p>
        </w:tc>
        <w:tc>
          <w:tcPr>
            <w:tcW w:w="217" w:type="pct"/>
            <w:gridSpan w:val="2"/>
            <w:tcBorders>
              <w:left w:val="single" w:sz="6" w:space="0" w:color="BFBFBF" w:themeColor="background1" w:themeShade="BF"/>
              <w:bottom w:val="single" w:sz="4" w:space="0" w:color="BFBFBF" w:themeColor="background1" w:themeShade="BF"/>
            </w:tcBorders>
            <w:shd w:val="clear" w:color="auto" w:fill="F2F2F2" w:themeFill="background1" w:themeFillShade="F2"/>
            <w:vAlign w:val="center"/>
          </w:tcPr>
          <w:p w14:paraId="006D644E" w14:textId="77777777" w:rsidR="00BC1C3A" w:rsidRPr="00B65F7F" w:rsidRDefault="00BC1C3A" w:rsidP="00450852">
            <w:pPr>
              <w:pStyle w:val="TableText"/>
              <w:jc w:val="center"/>
            </w:pPr>
          </w:p>
        </w:tc>
        <w:tc>
          <w:tcPr>
            <w:tcW w:w="217" w:type="pct"/>
            <w:tcBorders>
              <w:left w:val="single" w:sz="6" w:space="0" w:color="BFBFBF" w:themeColor="background1" w:themeShade="BF"/>
              <w:bottom w:val="single" w:sz="4" w:space="0" w:color="BFBFBF" w:themeColor="background1" w:themeShade="BF"/>
              <w:right w:val="single" w:sz="6" w:space="0" w:color="auto"/>
            </w:tcBorders>
            <w:shd w:val="clear" w:color="auto" w:fill="F2F2F2" w:themeFill="background1" w:themeFillShade="F2"/>
            <w:vAlign w:val="center"/>
          </w:tcPr>
          <w:p w14:paraId="7FADC1A0" w14:textId="77777777" w:rsidR="00BC1C3A" w:rsidRPr="00B65F7F" w:rsidRDefault="00BC1C3A" w:rsidP="00450852">
            <w:pPr>
              <w:pStyle w:val="TableText"/>
              <w:jc w:val="center"/>
            </w:pPr>
          </w:p>
        </w:tc>
      </w:tr>
      <w:tr w:rsidR="00380CE9" w:rsidRPr="00B65F7F" w14:paraId="491C6D7B" w14:textId="77777777" w:rsidTr="00F820B9">
        <w:trPr>
          <w:gridAfter w:val="1"/>
          <w:wAfter w:w="9" w:type="pct"/>
          <w:trHeight w:val="20"/>
        </w:trPr>
        <w:tc>
          <w:tcPr>
            <w:tcW w:w="503" w:type="pct"/>
            <w:vMerge/>
            <w:tcBorders>
              <w:top w:val="single" w:sz="4" w:space="0" w:color="BFBFBF" w:themeColor="background1" w:themeShade="BF"/>
              <w:bottom w:val="single" w:sz="6" w:space="0" w:color="595959" w:themeColor="text1" w:themeTint="A6"/>
            </w:tcBorders>
            <w:hideMark/>
          </w:tcPr>
          <w:p w14:paraId="7826AA53" w14:textId="77777777" w:rsidR="00BC1C3A" w:rsidRPr="00B65F7F" w:rsidRDefault="00BC1C3A" w:rsidP="00BC1C3A">
            <w:pPr>
              <w:pStyle w:val="TableText"/>
            </w:pPr>
          </w:p>
        </w:tc>
        <w:tc>
          <w:tcPr>
            <w:tcW w:w="953" w:type="pct"/>
            <w:vMerge/>
            <w:tcBorders>
              <w:top w:val="single" w:sz="4" w:space="0" w:color="BFBFBF" w:themeColor="background1" w:themeShade="BF"/>
              <w:bottom w:val="single" w:sz="6" w:space="0" w:color="595959" w:themeColor="text1" w:themeTint="A6"/>
            </w:tcBorders>
            <w:hideMark/>
          </w:tcPr>
          <w:p w14:paraId="7E61296F" w14:textId="77777777" w:rsidR="00BC1C3A" w:rsidRPr="00B65F7F" w:rsidRDefault="00BC1C3A" w:rsidP="00450852">
            <w:pPr>
              <w:pStyle w:val="TableText"/>
            </w:pPr>
          </w:p>
        </w:tc>
        <w:tc>
          <w:tcPr>
            <w:tcW w:w="336" w:type="pct"/>
            <w:tcBorders>
              <w:top w:val="single" w:sz="4" w:space="0" w:color="BFBFBF" w:themeColor="background1" w:themeShade="BF"/>
              <w:bottom w:val="single" w:sz="6" w:space="0" w:color="595959" w:themeColor="text1" w:themeTint="A6"/>
              <w:right w:val="single" w:sz="6" w:space="0" w:color="595959" w:themeColor="text1" w:themeTint="A6"/>
            </w:tcBorders>
            <w:hideMark/>
          </w:tcPr>
          <w:p w14:paraId="707F8E1E" w14:textId="77777777" w:rsidR="00BC1C3A" w:rsidRPr="00B65F7F" w:rsidRDefault="00BC1C3A" w:rsidP="00450852">
            <w:pPr>
              <w:pStyle w:val="TableText"/>
            </w:pPr>
            <w:r w:rsidRPr="00B65F7F">
              <w:t>Support</w:t>
            </w:r>
          </w:p>
        </w:tc>
        <w:tc>
          <w:tcPr>
            <w:tcW w:w="217" w:type="pct"/>
            <w:tcBorders>
              <w:top w:val="single" w:sz="4" w:space="0" w:color="BFBFBF" w:themeColor="background1" w:themeShade="BF"/>
              <w:left w:val="single" w:sz="6" w:space="0" w:color="595959" w:themeColor="text1" w:themeTint="A6"/>
              <w:bottom w:val="single" w:sz="6" w:space="0" w:color="595959" w:themeColor="text1" w:themeTint="A6"/>
              <w:right w:val="single" w:sz="6" w:space="0" w:color="BFBFBF" w:themeColor="background1" w:themeShade="BF"/>
            </w:tcBorders>
            <w:vAlign w:val="center"/>
            <w:hideMark/>
          </w:tcPr>
          <w:p w14:paraId="687C0C68" w14:textId="77777777" w:rsidR="00BC1C3A" w:rsidRPr="00B65F7F" w:rsidRDefault="00BC1C3A" w:rsidP="00450852">
            <w:pPr>
              <w:pStyle w:val="TableText"/>
              <w:jc w:val="center"/>
            </w:pPr>
          </w:p>
        </w:tc>
        <w:tc>
          <w:tcPr>
            <w:tcW w:w="218" w:type="pct"/>
            <w:gridSpan w:val="2"/>
            <w:tcBorders>
              <w:top w:val="single" w:sz="4" w:space="0" w:color="BFBFBF" w:themeColor="background1" w:themeShade="BF"/>
              <w:left w:val="single" w:sz="6" w:space="0" w:color="BFBFBF" w:themeColor="background1" w:themeShade="BF"/>
              <w:bottom w:val="single" w:sz="6" w:space="0" w:color="595959" w:themeColor="text1" w:themeTint="A6"/>
              <w:right w:val="single" w:sz="6" w:space="0" w:color="BFBFBF" w:themeColor="background1" w:themeShade="BF"/>
            </w:tcBorders>
            <w:vAlign w:val="center"/>
            <w:hideMark/>
          </w:tcPr>
          <w:p w14:paraId="79F4E731" w14:textId="77777777" w:rsidR="00BC1C3A" w:rsidRPr="00B65F7F" w:rsidRDefault="00BC1C3A" w:rsidP="00450852">
            <w:pPr>
              <w:pStyle w:val="TableText"/>
              <w:jc w:val="center"/>
            </w:pPr>
          </w:p>
        </w:tc>
        <w:tc>
          <w:tcPr>
            <w:tcW w:w="217" w:type="pct"/>
            <w:gridSpan w:val="2"/>
            <w:tcBorders>
              <w:top w:val="single" w:sz="4" w:space="0" w:color="BFBFBF" w:themeColor="background1" w:themeShade="BF"/>
              <w:left w:val="single" w:sz="6" w:space="0" w:color="BFBFBF" w:themeColor="background1" w:themeShade="BF"/>
              <w:bottom w:val="single" w:sz="6" w:space="0" w:color="595959" w:themeColor="text1" w:themeTint="A6"/>
              <w:right w:val="single" w:sz="6" w:space="0" w:color="BFBFBF" w:themeColor="background1" w:themeShade="BF"/>
            </w:tcBorders>
            <w:vAlign w:val="center"/>
            <w:hideMark/>
          </w:tcPr>
          <w:p w14:paraId="435634D7" w14:textId="77777777" w:rsidR="00BC1C3A" w:rsidRPr="00B65F7F" w:rsidRDefault="00BC1C3A" w:rsidP="00450852">
            <w:pPr>
              <w:pStyle w:val="TableText"/>
              <w:jc w:val="center"/>
            </w:pPr>
          </w:p>
        </w:tc>
        <w:tc>
          <w:tcPr>
            <w:tcW w:w="217" w:type="pct"/>
            <w:gridSpan w:val="2"/>
            <w:tcBorders>
              <w:top w:val="single" w:sz="4" w:space="0" w:color="BFBFBF" w:themeColor="background1" w:themeShade="BF"/>
              <w:left w:val="single" w:sz="6" w:space="0" w:color="BFBFBF" w:themeColor="background1" w:themeShade="BF"/>
              <w:bottom w:val="single" w:sz="6" w:space="0" w:color="595959" w:themeColor="text1" w:themeTint="A6"/>
              <w:right w:val="single" w:sz="6" w:space="0" w:color="BFBFBF" w:themeColor="background1" w:themeShade="BF"/>
            </w:tcBorders>
            <w:vAlign w:val="center"/>
            <w:hideMark/>
          </w:tcPr>
          <w:p w14:paraId="5D36077A" w14:textId="77777777" w:rsidR="00BC1C3A" w:rsidRPr="00B65F7F" w:rsidRDefault="00BC1C3A" w:rsidP="00450852">
            <w:pPr>
              <w:pStyle w:val="TableText"/>
              <w:jc w:val="center"/>
            </w:pPr>
          </w:p>
        </w:tc>
        <w:tc>
          <w:tcPr>
            <w:tcW w:w="160" w:type="pct"/>
            <w:tcBorders>
              <w:top w:val="single" w:sz="4" w:space="0" w:color="BFBFBF" w:themeColor="background1" w:themeShade="BF"/>
              <w:left w:val="single" w:sz="6" w:space="0" w:color="BFBFBF" w:themeColor="background1" w:themeShade="BF"/>
              <w:bottom w:val="single" w:sz="6" w:space="0" w:color="595959" w:themeColor="text1" w:themeTint="A6"/>
              <w:right w:val="single" w:sz="6" w:space="0" w:color="595959" w:themeColor="text1" w:themeTint="A6"/>
            </w:tcBorders>
            <w:vAlign w:val="center"/>
            <w:hideMark/>
          </w:tcPr>
          <w:p w14:paraId="7CC9B852" w14:textId="77777777" w:rsidR="00BC1C3A" w:rsidRPr="00B65F7F" w:rsidRDefault="00BC1C3A" w:rsidP="00450852">
            <w:pPr>
              <w:pStyle w:val="TableText"/>
              <w:jc w:val="center"/>
            </w:pPr>
          </w:p>
        </w:tc>
        <w:tc>
          <w:tcPr>
            <w:tcW w:w="217" w:type="pct"/>
            <w:gridSpan w:val="2"/>
            <w:tcBorders>
              <w:top w:val="single" w:sz="4" w:space="0" w:color="BFBFBF" w:themeColor="background1" w:themeShade="BF"/>
              <w:left w:val="single" w:sz="6" w:space="0" w:color="595959" w:themeColor="text1" w:themeTint="A6"/>
              <w:bottom w:val="single" w:sz="6" w:space="0" w:color="595959" w:themeColor="text1" w:themeTint="A6"/>
              <w:right w:val="single" w:sz="6" w:space="0" w:color="BFBFBF" w:themeColor="background1" w:themeShade="BF"/>
            </w:tcBorders>
            <w:vAlign w:val="center"/>
            <w:hideMark/>
          </w:tcPr>
          <w:p w14:paraId="61B11C4C" w14:textId="77777777" w:rsidR="00BC1C3A" w:rsidRPr="00450852" w:rsidRDefault="00BC1C3A" w:rsidP="00450852">
            <w:pPr>
              <w:pStyle w:val="TableText"/>
              <w:jc w:val="center"/>
              <w:rPr>
                <w:b/>
                <w:bCs/>
              </w:rPr>
            </w:pPr>
          </w:p>
        </w:tc>
        <w:tc>
          <w:tcPr>
            <w:tcW w:w="217" w:type="pct"/>
            <w:gridSpan w:val="2"/>
            <w:tcBorders>
              <w:top w:val="single" w:sz="4" w:space="0" w:color="BFBFBF" w:themeColor="background1" w:themeShade="BF"/>
              <w:left w:val="single" w:sz="6" w:space="0" w:color="BFBFBF" w:themeColor="background1" w:themeShade="BF"/>
              <w:bottom w:val="single" w:sz="6" w:space="0" w:color="595959" w:themeColor="text1" w:themeTint="A6"/>
              <w:right w:val="single" w:sz="6" w:space="0" w:color="BFBFBF" w:themeColor="background1" w:themeShade="BF"/>
            </w:tcBorders>
            <w:vAlign w:val="center"/>
            <w:hideMark/>
          </w:tcPr>
          <w:p w14:paraId="629768D9" w14:textId="77777777" w:rsidR="00BC1C3A" w:rsidRPr="00450852" w:rsidRDefault="00BC1C3A" w:rsidP="00450852">
            <w:pPr>
              <w:pStyle w:val="TableText"/>
              <w:jc w:val="center"/>
              <w:rPr>
                <w:b/>
                <w:bCs/>
              </w:rPr>
            </w:pPr>
          </w:p>
        </w:tc>
        <w:tc>
          <w:tcPr>
            <w:tcW w:w="217" w:type="pct"/>
            <w:gridSpan w:val="2"/>
            <w:tcBorders>
              <w:top w:val="single" w:sz="4" w:space="0" w:color="BFBFBF" w:themeColor="background1" w:themeShade="BF"/>
              <w:left w:val="single" w:sz="6" w:space="0" w:color="BFBFBF" w:themeColor="background1" w:themeShade="BF"/>
              <w:bottom w:val="single" w:sz="6" w:space="0" w:color="595959" w:themeColor="text1" w:themeTint="A6"/>
              <w:right w:val="single" w:sz="6" w:space="0" w:color="BFBFBF" w:themeColor="background1" w:themeShade="BF"/>
            </w:tcBorders>
            <w:vAlign w:val="center"/>
            <w:hideMark/>
          </w:tcPr>
          <w:p w14:paraId="659E337B" w14:textId="77777777" w:rsidR="00BC1C3A" w:rsidRPr="00450852" w:rsidRDefault="00BC1C3A" w:rsidP="00450852">
            <w:pPr>
              <w:pStyle w:val="TableText"/>
              <w:jc w:val="center"/>
            </w:pPr>
            <w:r w:rsidRPr="00450852">
              <w:rPr>
                <w:rFonts w:ascii="Segoe UI Symbol" w:hAnsi="Segoe UI Symbol" w:cs="Segoe UI Symbol"/>
              </w:rPr>
              <w:t>✓</w:t>
            </w:r>
          </w:p>
        </w:tc>
        <w:tc>
          <w:tcPr>
            <w:tcW w:w="217" w:type="pct"/>
            <w:gridSpan w:val="2"/>
            <w:tcBorders>
              <w:top w:val="single" w:sz="4" w:space="0" w:color="BFBFBF" w:themeColor="background1" w:themeShade="BF"/>
              <w:left w:val="single" w:sz="6" w:space="0" w:color="BFBFBF" w:themeColor="background1" w:themeShade="BF"/>
              <w:bottom w:val="single" w:sz="6" w:space="0" w:color="595959" w:themeColor="text1" w:themeTint="A6"/>
              <w:right w:val="single" w:sz="6" w:space="0" w:color="BFBFBF" w:themeColor="background1" w:themeShade="BF"/>
            </w:tcBorders>
            <w:vAlign w:val="center"/>
            <w:hideMark/>
          </w:tcPr>
          <w:p w14:paraId="0129F00C" w14:textId="77777777" w:rsidR="00BC1C3A" w:rsidRPr="00450852" w:rsidRDefault="00BC1C3A" w:rsidP="00450852">
            <w:pPr>
              <w:pStyle w:val="TableText"/>
              <w:jc w:val="center"/>
              <w:rPr>
                <w:b/>
                <w:bCs/>
              </w:rPr>
            </w:pPr>
          </w:p>
        </w:tc>
        <w:tc>
          <w:tcPr>
            <w:tcW w:w="217" w:type="pct"/>
            <w:tcBorders>
              <w:top w:val="single" w:sz="4" w:space="0" w:color="BFBFBF" w:themeColor="background1" w:themeShade="BF"/>
              <w:left w:val="single" w:sz="6" w:space="0" w:color="BFBFBF" w:themeColor="background1" w:themeShade="BF"/>
              <w:bottom w:val="single" w:sz="6" w:space="0" w:color="595959" w:themeColor="text1" w:themeTint="A6"/>
              <w:right w:val="single" w:sz="4" w:space="0" w:color="595959" w:themeColor="text1" w:themeTint="A6"/>
            </w:tcBorders>
            <w:vAlign w:val="center"/>
            <w:hideMark/>
          </w:tcPr>
          <w:p w14:paraId="40EAA139" w14:textId="77777777" w:rsidR="00BC1C3A" w:rsidRPr="00450852" w:rsidRDefault="00BC1C3A" w:rsidP="00450852">
            <w:pPr>
              <w:pStyle w:val="TableText"/>
              <w:jc w:val="center"/>
              <w:rPr>
                <w:b/>
                <w:bCs/>
              </w:rPr>
            </w:pPr>
          </w:p>
        </w:tc>
        <w:tc>
          <w:tcPr>
            <w:tcW w:w="217" w:type="pct"/>
            <w:gridSpan w:val="2"/>
            <w:tcBorders>
              <w:top w:val="single" w:sz="4" w:space="0" w:color="BFBFBF" w:themeColor="background1" w:themeShade="BF"/>
              <w:left w:val="single" w:sz="4" w:space="0" w:color="595959" w:themeColor="text1" w:themeTint="A6"/>
              <w:bottom w:val="single" w:sz="6" w:space="0" w:color="595959" w:themeColor="text1" w:themeTint="A6"/>
            </w:tcBorders>
            <w:vAlign w:val="center"/>
          </w:tcPr>
          <w:p w14:paraId="0437EFA3" w14:textId="77777777" w:rsidR="00BC1C3A" w:rsidRPr="00B65F7F" w:rsidRDefault="00BC1C3A" w:rsidP="00450852">
            <w:pPr>
              <w:pStyle w:val="TableText"/>
              <w:jc w:val="center"/>
            </w:pPr>
          </w:p>
        </w:tc>
        <w:tc>
          <w:tcPr>
            <w:tcW w:w="217" w:type="pct"/>
            <w:gridSpan w:val="2"/>
            <w:tcBorders>
              <w:top w:val="single" w:sz="4" w:space="0" w:color="BFBFBF" w:themeColor="background1" w:themeShade="BF"/>
              <w:left w:val="single" w:sz="6" w:space="0" w:color="BFBFBF" w:themeColor="background1" w:themeShade="BF"/>
              <w:bottom w:val="single" w:sz="6" w:space="0" w:color="595959" w:themeColor="text1" w:themeTint="A6"/>
            </w:tcBorders>
            <w:vAlign w:val="center"/>
          </w:tcPr>
          <w:p w14:paraId="70F0FCAE" w14:textId="77777777" w:rsidR="00BC1C3A" w:rsidRPr="00B65F7F" w:rsidRDefault="00BC1C3A" w:rsidP="00450852">
            <w:pPr>
              <w:pStyle w:val="TableText"/>
              <w:jc w:val="center"/>
            </w:pPr>
          </w:p>
        </w:tc>
        <w:tc>
          <w:tcPr>
            <w:tcW w:w="217" w:type="pct"/>
            <w:gridSpan w:val="2"/>
            <w:tcBorders>
              <w:top w:val="single" w:sz="4" w:space="0" w:color="BFBFBF" w:themeColor="background1" w:themeShade="BF"/>
              <w:left w:val="single" w:sz="6" w:space="0" w:color="BFBFBF" w:themeColor="background1" w:themeShade="BF"/>
              <w:bottom w:val="single" w:sz="6" w:space="0" w:color="595959" w:themeColor="text1" w:themeTint="A6"/>
            </w:tcBorders>
            <w:vAlign w:val="center"/>
          </w:tcPr>
          <w:p w14:paraId="681A8F74" w14:textId="77777777" w:rsidR="00BC1C3A" w:rsidRPr="00B65F7F" w:rsidRDefault="00BC1C3A" w:rsidP="00450852">
            <w:pPr>
              <w:pStyle w:val="TableText"/>
              <w:jc w:val="center"/>
            </w:pPr>
          </w:p>
        </w:tc>
        <w:tc>
          <w:tcPr>
            <w:tcW w:w="217" w:type="pct"/>
            <w:gridSpan w:val="2"/>
            <w:tcBorders>
              <w:top w:val="single" w:sz="4" w:space="0" w:color="BFBFBF" w:themeColor="background1" w:themeShade="BF"/>
              <w:left w:val="single" w:sz="6" w:space="0" w:color="BFBFBF" w:themeColor="background1" w:themeShade="BF"/>
              <w:bottom w:val="single" w:sz="6" w:space="0" w:color="595959" w:themeColor="text1" w:themeTint="A6"/>
            </w:tcBorders>
            <w:vAlign w:val="center"/>
          </w:tcPr>
          <w:p w14:paraId="5DFE32B9" w14:textId="77777777" w:rsidR="00BC1C3A" w:rsidRPr="00B65F7F" w:rsidRDefault="00BC1C3A" w:rsidP="00450852">
            <w:pPr>
              <w:pStyle w:val="TableText"/>
              <w:jc w:val="center"/>
            </w:pPr>
          </w:p>
        </w:tc>
        <w:tc>
          <w:tcPr>
            <w:tcW w:w="217" w:type="pct"/>
            <w:tcBorders>
              <w:top w:val="single" w:sz="4" w:space="0" w:color="BFBFBF" w:themeColor="background1" w:themeShade="BF"/>
              <w:left w:val="single" w:sz="6" w:space="0" w:color="BFBFBF" w:themeColor="background1" w:themeShade="BF"/>
              <w:bottom w:val="single" w:sz="6" w:space="0" w:color="595959" w:themeColor="text1" w:themeTint="A6"/>
              <w:right w:val="single" w:sz="6" w:space="0" w:color="auto"/>
            </w:tcBorders>
            <w:vAlign w:val="center"/>
          </w:tcPr>
          <w:p w14:paraId="7BECDE63" w14:textId="77777777" w:rsidR="00BC1C3A" w:rsidRPr="00B65F7F" w:rsidRDefault="00BC1C3A" w:rsidP="00450852">
            <w:pPr>
              <w:pStyle w:val="TableText"/>
              <w:jc w:val="center"/>
            </w:pPr>
          </w:p>
        </w:tc>
      </w:tr>
      <w:tr w:rsidR="00380CE9" w:rsidRPr="00B65F7F" w14:paraId="03F67D7A" w14:textId="77777777" w:rsidTr="00F820B9">
        <w:trPr>
          <w:gridAfter w:val="1"/>
          <w:wAfter w:w="9" w:type="pct"/>
          <w:trHeight w:val="20"/>
        </w:trPr>
        <w:tc>
          <w:tcPr>
            <w:tcW w:w="503" w:type="pct"/>
            <w:vMerge w:val="restart"/>
            <w:tcBorders>
              <w:top w:val="single" w:sz="6" w:space="0" w:color="595959" w:themeColor="text1" w:themeTint="A6"/>
              <w:bottom w:val="single" w:sz="6" w:space="0" w:color="595959" w:themeColor="text1" w:themeTint="A6"/>
            </w:tcBorders>
            <w:hideMark/>
          </w:tcPr>
          <w:p w14:paraId="62A0E8B7" w14:textId="77777777" w:rsidR="00BC1C3A" w:rsidRPr="00B65F7F" w:rsidRDefault="00BC1C3A" w:rsidP="00450852">
            <w:pPr>
              <w:pStyle w:val="TableText"/>
            </w:pPr>
            <w:r w:rsidRPr="00B65F7F">
              <w:t>Monitoring and evaluation</w:t>
            </w:r>
          </w:p>
        </w:tc>
        <w:tc>
          <w:tcPr>
            <w:tcW w:w="953" w:type="pct"/>
            <w:vMerge w:val="restart"/>
            <w:tcBorders>
              <w:top w:val="single" w:sz="6" w:space="0" w:color="595959" w:themeColor="text1" w:themeTint="A6"/>
            </w:tcBorders>
            <w:hideMark/>
          </w:tcPr>
          <w:p w14:paraId="520C96EF" w14:textId="77777777" w:rsidR="00BC1C3A" w:rsidRPr="00B65F7F" w:rsidRDefault="00BC1C3A" w:rsidP="00450852">
            <w:pPr>
              <w:pStyle w:val="TableText"/>
            </w:pPr>
            <w:r w:rsidRPr="00B65F7F">
              <w:t>Determining KPIs and other reporting requirements</w:t>
            </w:r>
          </w:p>
        </w:tc>
        <w:tc>
          <w:tcPr>
            <w:tcW w:w="336" w:type="pct"/>
            <w:tcBorders>
              <w:top w:val="single" w:sz="6" w:space="0" w:color="595959" w:themeColor="text1" w:themeTint="A6"/>
              <w:right w:val="single" w:sz="6" w:space="0" w:color="595959" w:themeColor="text1" w:themeTint="A6"/>
            </w:tcBorders>
            <w:shd w:val="clear" w:color="auto" w:fill="F2F2F2" w:themeFill="background1" w:themeFillShade="F2"/>
            <w:hideMark/>
          </w:tcPr>
          <w:p w14:paraId="48074297" w14:textId="77777777" w:rsidR="00BC1C3A" w:rsidRPr="00B65F7F" w:rsidRDefault="00BC1C3A" w:rsidP="00450852">
            <w:pPr>
              <w:pStyle w:val="TableText"/>
            </w:pPr>
            <w:r w:rsidRPr="00B65F7F">
              <w:t>Lead</w:t>
            </w:r>
          </w:p>
        </w:tc>
        <w:tc>
          <w:tcPr>
            <w:tcW w:w="217" w:type="pct"/>
            <w:tcBorders>
              <w:top w:val="single" w:sz="6" w:space="0" w:color="595959" w:themeColor="text1" w:themeTint="A6"/>
              <w:left w:val="single" w:sz="6" w:space="0" w:color="595959" w:themeColor="text1" w:themeTint="A6"/>
              <w:right w:val="single" w:sz="6" w:space="0" w:color="BFBFBF" w:themeColor="background1" w:themeShade="BF"/>
            </w:tcBorders>
            <w:shd w:val="clear" w:color="auto" w:fill="F2F2F2" w:themeFill="background1" w:themeFillShade="F2"/>
            <w:vAlign w:val="center"/>
            <w:hideMark/>
          </w:tcPr>
          <w:p w14:paraId="599266AF" w14:textId="77777777" w:rsidR="00BC1C3A" w:rsidRPr="00B65F7F" w:rsidRDefault="00BC1C3A" w:rsidP="00DA1EBE">
            <w:pPr>
              <w:pStyle w:val="TableText"/>
              <w:jc w:val="center"/>
            </w:pPr>
          </w:p>
        </w:tc>
        <w:tc>
          <w:tcPr>
            <w:tcW w:w="218" w:type="pct"/>
            <w:gridSpan w:val="2"/>
            <w:tcBorders>
              <w:top w:val="single" w:sz="6" w:space="0" w:color="595959" w:themeColor="text1" w:themeTint="A6"/>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607A1A85" w14:textId="77777777" w:rsidR="00BC1C3A" w:rsidRPr="00B65F7F" w:rsidRDefault="00BC1C3A" w:rsidP="00DA1EBE">
            <w:pPr>
              <w:pStyle w:val="TableText"/>
              <w:jc w:val="center"/>
            </w:pPr>
          </w:p>
        </w:tc>
        <w:tc>
          <w:tcPr>
            <w:tcW w:w="217" w:type="pct"/>
            <w:gridSpan w:val="2"/>
            <w:tcBorders>
              <w:top w:val="single" w:sz="6" w:space="0" w:color="595959" w:themeColor="text1" w:themeTint="A6"/>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47583D14" w14:textId="77777777" w:rsidR="00BC1C3A" w:rsidRPr="00DC6C42" w:rsidRDefault="00BC1C3A" w:rsidP="00DA1EBE">
            <w:pPr>
              <w:pStyle w:val="TableText"/>
              <w:jc w:val="center"/>
              <w:rPr>
                <w:b/>
                <w:bCs/>
              </w:rPr>
            </w:pPr>
            <w:r w:rsidRPr="00DC6C42">
              <w:rPr>
                <w:rFonts w:ascii="Segoe UI Symbol" w:hAnsi="Segoe UI Symbol" w:cs="Segoe UI Symbol"/>
                <w:b/>
              </w:rPr>
              <w:t>✓</w:t>
            </w:r>
          </w:p>
        </w:tc>
        <w:tc>
          <w:tcPr>
            <w:tcW w:w="217" w:type="pct"/>
            <w:gridSpan w:val="2"/>
            <w:tcBorders>
              <w:top w:val="single" w:sz="6" w:space="0" w:color="595959" w:themeColor="text1" w:themeTint="A6"/>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1F2BFD29" w14:textId="77777777" w:rsidR="00BC1C3A" w:rsidRPr="00B65F7F" w:rsidRDefault="00BC1C3A" w:rsidP="00DA1EBE">
            <w:pPr>
              <w:pStyle w:val="TableText"/>
              <w:jc w:val="center"/>
            </w:pPr>
          </w:p>
        </w:tc>
        <w:tc>
          <w:tcPr>
            <w:tcW w:w="160" w:type="pct"/>
            <w:tcBorders>
              <w:top w:val="single" w:sz="6" w:space="0" w:color="595959" w:themeColor="text1" w:themeTint="A6"/>
              <w:left w:val="single" w:sz="6" w:space="0" w:color="BFBFBF" w:themeColor="background1" w:themeShade="BF"/>
              <w:right w:val="single" w:sz="6" w:space="0" w:color="595959" w:themeColor="text1" w:themeTint="A6"/>
            </w:tcBorders>
            <w:shd w:val="clear" w:color="auto" w:fill="F2F2F2" w:themeFill="background1" w:themeFillShade="F2"/>
            <w:vAlign w:val="center"/>
            <w:hideMark/>
          </w:tcPr>
          <w:p w14:paraId="759BE003" w14:textId="77777777" w:rsidR="00BC1C3A" w:rsidRPr="00B65F7F" w:rsidRDefault="00BC1C3A" w:rsidP="00DA1EBE">
            <w:pPr>
              <w:pStyle w:val="TableText"/>
              <w:jc w:val="center"/>
            </w:pPr>
          </w:p>
        </w:tc>
        <w:tc>
          <w:tcPr>
            <w:tcW w:w="217" w:type="pct"/>
            <w:gridSpan w:val="2"/>
            <w:tcBorders>
              <w:top w:val="single" w:sz="6" w:space="0" w:color="595959" w:themeColor="text1" w:themeTint="A6"/>
              <w:left w:val="single" w:sz="6" w:space="0" w:color="595959" w:themeColor="text1" w:themeTint="A6"/>
              <w:right w:val="single" w:sz="6" w:space="0" w:color="BFBFBF" w:themeColor="background1" w:themeShade="BF"/>
            </w:tcBorders>
            <w:shd w:val="clear" w:color="auto" w:fill="F2F2F2" w:themeFill="background1" w:themeFillShade="F2"/>
            <w:vAlign w:val="center"/>
            <w:hideMark/>
          </w:tcPr>
          <w:p w14:paraId="77EDD649" w14:textId="77777777" w:rsidR="00BC1C3A" w:rsidRPr="00DA1EBE" w:rsidRDefault="00BC1C3A" w:rsidP="00DA1EBE">
            <w:pPr>
              <w:pStyle w:val="TableText"/>
              <w:jc w:val="center"/>
              <w:rPr>
                <w:b/>
                <w:bCs/>
              </w:rPr>
            </w:pPr>
            <w:r w:rsidRPr="00DA1EBE">
              <w:rPr>
                <w:rFonts w:ascii="Segoe UI Symbol" w:hAnsi="Segoe UI Symbol" w:cs="Segoe UI Symbol"/>
                <w:b/>
                <w:bCs/>
              </w:rPr>
              <w:t>✓</w:t>
            </w:r>
          </w:p>
        </w:tc>
        <w:tc>
          <w:tcPr>
            <w:tcW w:w="217" w:type="pct"/>
            <w:gridSpan w:val="2"/>
            <w:tcBorders>
              <w:top w:val="single" w:sz="6" w:space="0" w:color="595959" w:themeColor="text1" w:themeTint="A6"/>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7A42B0D1" w14:textId="77777777" w:rsidR="00BC1C3A" w:rsidRPr="00B65F7F" w:rsidRDefault="00BC1C3A" w:rsidP="00DA1EBE">
            <w:pPr>
              <w:pStyle w:val="TableText"/>
              <w:jc w:val="center"/>
            </w:pPr>
          </w:p>
        </w:tc>
        <w:tc>
          <w:tcPr>
            <w:tcW w:w="217" w:type="pct"/>
            <w:gridSpan w:val="2"/>
            <w:tcBorders>
              <w:top w:val="single" w:sz="6" w:space="0" w:color="595959" w:themeColor="text1" w:themeTint="A6"/>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6B863D55" w14:textId="77777777" w:rsidR="00BC1C3A" w:rsidRPr="00B65F7F" w:rsidRDefault="00BC1C3A" w:rsidP="00DA1EBE">
            <w:pPr>
              <w:pStyle w:val="TableText"/>
              <w:jc w:val="center"/>
            </w:pPr>
          </w:p>
        </w:tc>
        <w:tc>
          <w:tcPr>
            <w:tcW w:w="217" w:type="pct"/>
            <w:gridSpan w:val="2"/>
            <w:tcBorders>
              <w:top w:val="single" w:sz="6" w:space="0" w:color="595959" w:themeColor="text1" w:themeTint="A6"/>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17EBC604" w14:textId="77777777" w:rsidR="00BC1C3A" w:rsidRPr="00B65F7F" w:rsidRDefault="00BC1C3A" w:rsidP="00DA1EBE">
            <w:pPr>
              <w:pStyle w:val="TableText"/>
              <w:jc w:val="center"/>
            </w:pPr>
          </w:p>
        </w:tc>
        <w:tc>
          <w:tcPr>
            <w:tcW w:w="217" w:type="pct"/>
            <w:tcBorders>
              <w:top w:val="single" w:sz="6" w:space="0" w:color="595959" w:themeColor="text1" w:themeTint="A6"/>
              <w:left w:val="single" w:sz="6" w:space="0" w:color="BFBFBF" w:themeColor="background1" w:themeShade="BF"/>
              <w:right w:val="single" w:sz="4" w:space="0" w:color="595959" w:themeColor="text1" w:themeTint="A6"/>
            </w:tcBorders>
            <w:shd w:val="clear" w:color="auto" w:fill="F2F2F2" w:themeFill="background1" w:themeFillShade="F2"/>
            <w:vAlign w:val="center"/>
            <w:hideMark/>
          </w:tcPr>
          <w:p w14:paraId="4B183CBA" w14:textId="77777777" w:rsidR="00BC1C3A" w:rsidRPr="00B65F7F" w:rsidRDefault="00BC1C3A" w:rsidP="00DA1EBE">
            <w:pPr>
              <w:pStyle w:val="TableText"/>
              <w:jc w:val="center"/>
            </w:pPr>
          </w:p>
        </w:tc>
        <w:tc>
          <w:tcPr>
            <w:tcW w:w="217" w:type="pct"/>
            <w:gridSpan w:val="2"/>
            <w:tcBorders>
              <w:top w:val="single" w:sz="6" w:space="0" w:color="595959" w:themeColor="text1" w:themeTint="A6"/>
              <w:left w:val="single" w:sz="4" w:space="0" w:color="595959" w:themeColor="text1" w:themeTint="A6"/>
            </w:tcBorders>
            <w:shd w:val="clear" w:color="auto" w:fill="F2F2F2" w:themeFill="background1" w:themeFillShade="F2"/>
            <w:vAlign w:val="center"/>
          </w:tcPr>
          <w:p w14:paraId="7BDE8B07" w14:textId="77777777" w:rsidR="00BC1C3A" w:rsidRPr="00B65F7F" w:rsidRDefault="00BC1C3A" w:rsidP="00DA1EBE">
            <w:pPr>
              <w:pStyle w:val="TableText"/>
              <w:jc w:val="center"/>
            </w:pPr>
          </w:p>
        </w:tc>
        <w:tc>
          <w:tcPr>
            <w:tcW w:w="217" w:type="pct"/>
            <w:gridSpan w:val="2"/>
            <w:tcBorders>
              <w:top w:val="single" w:sz="6" w:space="0" w:color="595959" w:themeColor="text1" w:themeTint="A6"/>
              <w:left w:val="single" w:sz="6" w:space="0" w:color="BFBFBF" w:themeColor="background1" w:themeShade="BF"/>
            </w:tcBorders>
            <w:shd w:val="clear" w:color="auto" w:fill="F2F2F2" w:themeFill="background1" w:themeFillShade="F2"/>
            <w:vAlign w:val="center"/>
          </w:tcPr>
          <w:p w14:paraId="2388751E" w14:textId="77777777" w:rsidR="00BC1C3A" w:rsidRPr="00B65F7F" w:rsidRDefault="00BC1C3A" w:rsidP="00DA1EBE">
            <w:pPr>
              <w:pStyle w:val="TableText"/>
              <w:jc w:val="center"/>
            </w:pPr>
          </w:p>
        </w:tc>
        <w:tc>
          <w:tcPr>
            <w:tcW w:w="217" w:type="pct"/>
            <w:gridSpan w:val="2"/>
            <w:tcBorders>
              <w:top w:val="single" w:sz="6" w:space="0" w:color="595959" w:themeColor="text1" w:themeTint="A6"/>
              <w:left w:val="single" w:sz="6" w:space="0" w:color="BFBFBF" w:themeColor="background1" w:themeShade="BF"/>
            </w:tcBorders>
            <w:shd w:val="clear" w:color="auto" w:fill="F2F2F2" w:themeFill="background1" w:themeFillShade="F2"/>
            <w:vAlign w:val="center"/>
          </w:tcPr>
          <w:p w14:paraId="4501D731" w14:textId="77777777" w:rsidR="00BC1C3A" w:rsidRPr="00B65F7F" w:rsidRDefault="00BC1C3A" w:rsidP="00DA1EBE">
            <w:pPr>
              <w:pStyle w:val="TableText"/>
              <w:jc w:val="center"/>
            </w:pPr>
            <w:r w:rsidRPr="00DC6C42">
              <w:rPr>
                <w:rFonts w:ascii="Segoe UI Symbol" w:hAnsi="Segoe UI Symbol" w:cs="Segoe UI Symbol"/>
                <w:b/>
              </w:rPr>
              <w:t>✓</w:t>
            </w:r>
          </w:p>
        </w:tc>
        <w:tc>
          <w:tcPr>
            <w:tcW w:w="217" w:type="pct"/>
            <w:gridSpan w:val="2"/>
            <w:tcBorders>
              <w:top w:val="single" w:sz="6" w:space="0" w:color="595959" w:themeColor="text1" w:themeTint="A6"/>
              <w:left w:val="single" w:sz="6" w:space="0" w:color="BFBFBF" w:themeColor="background1" w:themeShade="BF"/>
            </w:tcBorders>
            <w:shd w:val="clear" w:color="auto" w:fill="F2F2F2" w:themeFill="background1" w:themeFillShade="F2"/>
            <w:vAlign w:val="center"/>
          </w:tcPr>
          <w:p w14:paraId="72A93DBA" w14:textId="77777777" w:rsidR="00BC1C3A" w:rsidRPr="00B65F7F" w:rsidRDefault="00BC1C3A" w:rsidP="00DA1EBE">
            <w:pPr>
              <w:pStyle w:val="TableText"/>
              <w:jc w:val="center"/>
            </w:pPr>
          </w:p>
        </w:tc>
        <w:tc>
          <w:tcPr>
            <w:tcW w:w="217" w:type="pct"/>
            <w:tcBorders>
              <w:top w:val="single" w:sz="6" w:space="0" w:color="595959" w:themeColor="text1" w:themeTint="A6"/>
              <w:left w:val="single" w:sz="6" w:space="0" w:color="BFBFBF" w:themeColor="background1" w:themeShade="BF"/>
              <w:right w:val="single" w:sz="6" w:space="0" w:color="auto"/>
            </w:tcBorders>
            <w:shd w:val="clear" w:color="auto" w:fill="F2F2F2" w:themeFill="background1" w:themeFillShade="F2"/>
            <w:vAlign w:val="center"/>
          </w:tcPr>
          <w:p w14:paraId="61B1FAFC" w14:textId="77777777" w:rsidR="00BC1C3A" w:rsidRPr="00B65F7F" w:rsidRDefault="00BC1C3A" w:rsidP="00DA1EBE">
            <w:pPr>
              <w:pStyle w:val="TableText"/>
              <w:jc w:val="center"/>
            </w:pPr>
          </w:p>
        </w:tc>
      </w:tr>
      <w:tr w:rsidR="00380CE9" w:rsidRPr="00B65F7F" w14:paraId="27104DCC" w14:textId="77777777" w:rsidTr="00F820B9">
        <w:trPr>
          <w:gridAfter w:val="1"/>
          <w:wAfter w:w="9" w:type="pct"/>
          <w:trHeight w:val="20"/>
        </w:trPr>
        <w:tc>
          <w:tcPr>
            <w:tcW w:w="503" w:type="pct"/>
            <w:vMerge/>
            <w:tcBorders>
              <w:top w:val="single" w:sz="4" w:space="0" w:color="BFBFBF" w:themeColor="background1" w:themeShade="BF"/>
              <w:bottom w:val="single" w:sz="6" w:space="0" w:color="595959" w:themeColor="text1" w:themeTint="A6"/>
            </w:tcBorders>
            <w:hideMark/>
          </w:tcPr>
          <w:p w14:paraId="22386253" w14:textId="77777777" w:rsidR="00BC1C3A" w:rsidRPr="00B65F7F" w:rsidRDefault="00BC1C3A" w:rsidP="00450852">
            <w:pPr>
              <w:pStyle w:val="TableText"/>
            </w:pPr>
          </w:p>
        </w:tc>
        <w:tc>
          <w:tcPr>
            <w:tcW w:w="953" w:type="pct"/>
            <w:vMerge/>
            <w:hideMark/>
          </w:tcPr>
          <w:p w14:paraId="6820DC0C" w14:textId="77777777" w:rsidR="00BC1C3A" w:rsidRPr="00B65F7F" w:rsidRDefault="00BC1C3A" w:rsidP="00450852">
            <w:pPr>
              <w:pStyle w:val="TableText"/>
            </w:pPr>
          </w:p>
        </w:tc>
        <w:tc>
          <w:tcPr>
            <w:tcW w:w="336" w:type="pct"/>
            <w:tcBorders>
              <w:right w:val="single" w:sz="6" w:space="0" w:color="595959" w:themeColor="text1" w:themeTint="A6"/>
            </w:tcBorders>
            <w:hideMark/>
          </w:tcPr>
          <w:p w14:paraId="4FA6A6A7" w14:textId="77777777" w:rsidR="00BC1C3A" w:rsidRPr="00B65F7F" w:rsidRDefault="00BC1C3A" w:rsidP="00450852">
            <w:pPr>
              <w:pStyle w:val="TableText"/>
            </w:pPr>
            <w:r w:rsidRPr="00B65F7F">
              <w:t>Support</w:t>
            </w:r>
          </w:p>
        </w:tc>
        <w:tc>
          <w:tcPr>
            <w:tcW w:w="217" w:type="pct"/>
            <w:tcBorders>
              <w:top w:val="single" w:sz="4" w:space="0" w:color="BFBFBF" w:themeColor="background1" w:themeShade="BF"/>
              <w:left w:val="single" w:sz="6" w:space="0" w:color="595959" w:themeColor="text1" w:themeTint="A6"/>
              <w:right w:val="single" w:sz="6" w:space="0" w:color="BFBFBF" w:themeColor="background1" w:themeShade="BF"/>
            </w:tcBorders>
            <w:vAlign w:val="center"/>
            <w:hideMark/>
          </w:tcPr>
          <w:p w14:paraId="47543CE5" w14:textId="77777777" w:rsidR="00BC1C3A" w:rsidRPr="00B65F7F" w:rsidRDefault="00BC1C3A" w:rsidP="00DA1EBE">
            <w:pPr>
              <w:pStyle w:val="TableText"/>
              <w:jc w:val="center"/>
            </w:pPr>
          </w:p>
        </w:tc>
        <w:tc>
          <w:tcPr>
            <w:tcW w:w="218" w:type="pct"/>
            <w:gridSpan w:val="2"/>
            <w:tcBorders>
              <w:left w:val="single" w:sz="6" w:space="0" w:color="BFBFBF" w:themeColor="background1" w:themeShade="BF"/>
              <w:right w:val="single" w:sz="6" w:space="0" w:color="BFBFBF" w:themeColor="background1" w:themeShade="BF"/>
            </w:tcBorders>
            <w:vAlign w:val="center"/>
            <w:hideMark/>
          </w:tcPr>
          <w:p w14:paraId="05B0EA12"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6F1075F3"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6589DB12" w14:textId="77777777" w:rsidR="00BC1C3A" w:rsidRPr="00B65F7F" w:rsidRDefault="00BC1C3A" w:rsidP="00DA1EBE">
            <w:pPr>
              <w:pStyle w:val="TableText"/>
              <w:jc w:val="center"/>
            </w:pPr>
            <w:r w:rsidRPr="00B65F7F">
              <w:rPr>
                <w:rFonts w:ascii="Segoe UI Symbol" w:hAnsi="Segoe UI Symbol" w:cs="Segoe UI Symbol"/>
              </w:rPr>
              <w:t>✓</w:t>
            </w:r>
          </w:p>
        </w:tc>
        <w:tc>
          <w:tcPr>
            <w:tcW w:w="160" w:type="pct"/>
            <w:tcBorders>
              <w:left w:val="single" w:sz="6" w:space="0" w:color="BFBFBF" w:themeColor="background1" w:themeShade="BF"/>
              <w:right w:val="single" w:sz="6" w:space="0" w:color="595959" w:themeColor="text1" w:themeTint="A6"/>
            </w:tcBorders>
            <w:vAlign w:val="center"/>
            <w:hideMark/>
          </w:tcPr>
          <w:p w14:paraId="74A61BAD" w14:textId="77777777" w:rsidR="00BC1C3A" w:rsidRPr="00B65F7F" w:rsidRDefault="00BC1C3A" w:rsidP="00DA1EBE">
            <w:pPr>
              <w:pStyle w:val="TableText"/>
              <w:jc w:val="center"/>
            </w:pPr>
          </w:p>
        </w:tc>
        <w:tc>
          <w:tcPr>
            <w:tcW w:w="217" w:type="pct"/>
            <w:gridSpan w:val="2"/>
            <w:tcBorders>
              <w:top w:val="single" w:sz="4" w:space="0" w:color="BFBFBF" w:themeColor="background1" w:themeShade="BF"/>
              <w:left w:val="single" w:sz="6" w:space="0" w:color="595959" w:themeColor="text1" w:themeTint="A6"/>
              <w:right w:val="single" w:sz="6" w:space="0" w:color="BFBFBF" w:themeColor="background1" w:themeShade="BF"/>
            </w:tcBorders>
            <w:vAlign w:val="center"/>
            <w:hideMark/>
          </w:tcPr>
          <w:p w14:paraId="2380A965"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19EF5099"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0CF3CD4F" w14:textId="77777777" w:rsidR="00BC1C3A" w:rsidRPr="00B65F7F" w:rsidRDefault="00BC1C3A" w:rsidP="00DA1EBE">
            <w:pPr>
              <w:pStyle w:val="TableText"/>
              <w:jc w:val="center"/>
            </w:pPr>
            <w:r w:rsidRPr="00B65F7F">
              <w:rPr>
                <w:rFonts w:ascii="Segoe UI Symbol" w:hAnsi="Segoe UI Symbol" w:cs="Segoe UI Symbol"/>
              </w:rPr>
              <w:t>✓</w:t>
            </w: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00180D5F" w14:textId="77777777" w:rsidR="00BC1C3A" w:rsidRPr="00B65F7F" w:rsidRDefault="00BC1C3A" w:rsidP="00DA1EBE">
            <w:pPr>
              <w:pStyle w:val="TableText"/>
              <w:jc w:val="center"/>
            </w:pPr>
            <w:r w:rsidRPr="00B65F7F">
              <w:rPr>
                <w:rFonts w:ascii="Segoe UI Symbol" w:hAnsi="Segoe UI Symbol" w:cs="Segoe UI Symbol"/>
              </w:rPr>
              <w:t>✓</w:t>
            </w:r>
          </w:p>
        </w:tc>
        <w:tc>
          <w:tcPr>
            <w:tcW w:w="217" w:type="pct"/>
            <w:tcBorders>
              <w:left w:val="single" w:sz="6" w:space="0" w:color="BFBFBF" w:themeColor="background1" w:themeShade="BF"/>
              <w:right w:val="single" w:sz="4" w:space="0" w:color="595959" w:themeColor="text1" w:themeTint="A6"/>
            </w:tcBorders>
            <w:vAlign w:val="center"/>
            <w:hideMark/>
          </w:tcPr>
          <w:p w14:paraId="35C5956F" w14:textId="77777777" w:rsidR="00BC1C3A" w:rsidRPr="00B65F7F" w:rsidRDefault="00BC1C3A" w:rsidP="00DA1EBE">
            <w:pPr>
              <w:pStyle w:val="TableText"/>
              <w:jc w:val="center"/>
            </w:pPr>
          </w:p>
        </w:tc>
        <w:tc>
          <w:tcPr>
            <w:tcW w:w="217" w:type="pct"/>
            <w:gridSpan w:val="2"/>
            <w:tcBorders>
              <w:left w:val="single" w:sz="4" w:space="0" w:color="595959" w:themeColor="text1" w:themeTint="A6"/>
            </w:tcBorders>
            <w:vAlign w:val="center"/>
          </w:tcPr>
          <w:p w14:paraId="78028556"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tcBorders>
            <w:vAlign w:val="center"/>
          </w:tcPr>
          <w:p w14:paraId="13C21CB2"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tcBorders>
            <w:vAlign w:val="center"/>
          </w:tcPr>
          <w:p w14:paraId="18D39416"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tcBorders>
            <w:vAlign w:val="center"/>
          </w:tcPr>
          <w:p w14:paraId="07E4C50C" w14:textId="77777777" w:rsidR="00BC1C3A" w:rsidRPr="00B65F7F" w:rsidRDefault="00BC1C3A" w:rsidP="00DA1EBE">
            <w:pPr>
              <w:pStyle w:val="TableText"/>
              <w:jc w:val="center"/>
            </w:pPr>
            <w:r w:rsidRPr="00B65F7F">
              <w:rPr>
                <w:rFonts w:ascii="Segoe UI Symbol" w:hAnsi="Segoe UI Symbol" w:cs="Segoe UI Symbol"/>
              </w:rPr>
              <w:t>✓</w:t>
            </w:r>
          </w:p>
        </w:tc>
        <w:tc>
          <w:tcPr>
            <w:tcW w:w="217" w:type="pct"/>
            <w:tcBorders>
              <w:left w:val="single" w:sz="6" w:space="0" w:color="BFBFBF" w:themeColor="background1" w:themeShade="BF"/>
              <w:right w:val="single" w:sz="6" w:space="0" w:color="auto"/>
            </w:tcBorders>
            <w:vAlign w:val="center"/>
          </w:tcPr>
          <w:p w14:paraId="6E68018C" w14:textId="77777777" w:rsidR="00BC1C3A" w:rsidRPr="00B65F7F" w:rsidRDefault="00BC1C3A" w:rsidP="00DA1EBE">
            <w:pPr>
              <w:pStyle w:val="TableText"/>
              <w:jc w:val="center"/>
            </w:pPr>
          </w:p>
        </w:tc>
      </w:tr>
      <w:tr w:rsidR="00380CE9" w:rsidRPr="00B65F7F" w14:paraId="33215240" w14:textId="77777777" w:rsidTr="00F820B9">
        <w:trPr>
          <w:gridAfter w:val="1"/>
          <w:wAfter w:w="9" w:type="pct"/>
          <w:trHeight w:val="20"/>
        </w:trPr>
        <w:tc>
          <w:tcPr>
            <w:tcW w:w="503" w:type="pct"/>
            <w:vMerge/>
            <w:tcBorders>
              <w:top w:val="single" w:sz="4" w:space="0" w:color="BFBFBF" w:themeColor="background1" w:themeShade="BF"/>
              <w:bottom w:val="single" w:sz="6" w:space="0" w:color="595959" w:themeColor="text1" w:themeTint="A6"/>
            </w:tcBorders>
            <w:hideMark/>
          </w:tcPr>
          <w:p w14:paraId="37856134" w14:textId="77777777" w:rsidR="00BC1C3A" w:rsidRPr="00B65F7F" w:rsidRDefault="00BC1C3A" w:rsidP="00450852">
            <w:pPr>
              <w:pStyle w:val="TableText"/>
            </w:pPr>
          </w:p>
        </w:tc>
        <w:tc>
          <w:tcPr>
            <w:tcW w:w="953" w:type="pct"/>
            <w:vMerge w:val="restart"/>
            <w:hideMark/>
          </w:tcPr>
          <w:p w14:paraId="12EED66B" w14:textId="77777777" w:rsidR="00BC1C3A" w:rsidRPr="00B65F7F" w:rsidRDefault="00BC1C3A" w:rsidP="00450852">
            <w:pPr>
              <w:pStyle w:val="TableText"/>
            </w:pPr>
            <w:r w:rsidRPr="00B65F7F">
              <w:t>Reporting of KPIs and other measures</w:t>
            </w:r>
          </w:p>
        </w:tc>
        <w:tc>
          <w:tcPr>
            <w:tcW w:w="336" w:type="pct"/>
            <w:tcBorders>
              <w:right w:val="single" w:sz="6" w:space="0" w:color="595959" w:themeColor="text1" w:themeTint="A6"/>
            </w:tcBorders>
            <w:shd w:val="clear" w:color="auto" w:fill="F2F2F2" w:themeFill="background1" w:themeFillShade="F2"/>
            <w:hideMark/>
          </w:tcPr>
          <w:p w14:paraId="6FA48822" w14:textId="77777777" w:rsidR="00BC1C3A" w:rsidRPr="00B65F7F" w:rsidRDefault="00BC1C3A" w:rsidP="00450852">
            <w:pPr>
              <w:pStyle w:val="TableText"/>
            </w:pPr>
            <w:r w:rsidRPr="00B65F7F">
              <w:t>Lead</w:t>
            </w:r>
          </w:p>
        </w:tc>
        <w:tc>
          <w:tcPr>
            <w:tcW w:w="217" w:type="pct"/>
            <w:tcBorders>
              <w:top w:val="single" w:sz="4" w:space="0" w:color="BFBFBF" w:themeColor="background1" w:themeShade="BF"/>
              <w:left w:val="single" w:sz="6" w:space="0" w:color="595959" w:themeColor="text1" w:themeTint="A6"/>
              <w:right w:val="single" w:sz="6" w:space="0" w:color="BFBFBF" w:themeColor="background1" w:themeShade="BF"/>
            </w:tcBorders>
            <w:shd w:val="clear" w:color="auto" w:fill="F2F2F2" w:themeFill="background1" w:themeFillShade="F2"/>
            <w:vAlign w:val="center"/>
            <w:hideMark/>
          </w:tcPr>
          <w:p w14:paraId="16076236" w14:textId="77777777" w:rsidR="00BC1C3A" w:rsidRPr="00B65F7F" w:rsidRDefault="00BC1C3A" w:rsidP="00DA1EBE">
            <w:pPr>
              <w:pStyle w:val="TableText"/>
              <w:jc w:val="center"/>
            </w:pPr>
          </w:p>
        </w:tc>
        <w:tc>
          <w:tcPr>
            <w:tcW w:w="218"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344F6DA3"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662DCCA5"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0610CC42" w14:textId="77777777" w:rsidR="00BC1C3A" w:rsidRPr="00DC6C42" w:rsidRDefault="00BC1C3A" w:rsidP="00DA1EBE">
            <w:pPr>
              <w:pStyle w:val="TableText"/>
              <w:jc w:val="center"/>
              <w:rPr>
                <w:b/>
                <w:bCs/>
              </w:rPr>
            </w:pPr>
            <w:r w:rsidRPr="00DC6C42">
              <w:rPr>
                <w:rFonts w:ascii="Segoe UI Symbol" w:hAnsi="Segoe UI Symbol" w:cs="Segoe UI Symbol"/>
                <w:b/>
              </w:rPr>
              <w:t>✓</w:t>
            </w:r>
          </w:p>
        </w:tc>
        <w:tc>
          <w:tcPr>
            <w:tcW w:w="160" w:type="pct"/>
            <w:tcBorders>
              <w:left w:val="single" w:sz="6" w:space="0" w:color="BFBFBF" w:themeColor="background1" w:themeShade="BF"/>
              <w:right w:val="single" w:sz="6" w:space="0" w:color="595959" w:themeColor="text1" w:themeTint="A6"/>
            </w:tcBorders>
            <w:shd w:val="clear" w:color="auto" w:fill="F2F2F2" w:themeFill="background1" w:themeFillShade="F2"/>
            <w:vAlign w:val="center"/>
            <w:hideMark/>
          </w:tcPr>
          <w:p w14:paraId="4D78AC2F" w14:textId="77777777" w:rsidR="00BC1C3A" w:rsidRPr="00B65F7F" w:rsidRDefault="00BC1C3A" w:rsidP="00DA1EBE">
            <w:pPr>
              <w:pStyle w:val="TableText"/>
              <w:jc w:val="center"/>
            </w:pPr>
          </w:p>
        </w:tc>
        <w:tc>
          <w:tcPr>
            <w:tcW w:w="217" w:type="pct"/>
            <w:gridSpan w:val="2"/>
            <w:tcBorders>
              <w:top w:val="single" w:sz="4" w:space="0" w:color="BFBFBF" w:themeColor="background1" w:themeShade="BF"/>
              <w:left w:val="single" w:sz="6" w:space="0" w:color="595959" w:themeColor="text1" w:themeTint="A6"/>
              <w:right w:val="single" w:sz="6" w:space="0" w:color="BFBFBF" w:themeColor="background1" w:themeShade="BF"/>
            </w:tcBorders>
            <w:shd w:val="clear" w:color="auto" w:fill="F2F2F2" w:themeFill="background1" w:themeFillShade="F2"/>
            <w:vAlign w:val="center"/>
            <w:hideMark/>
          </w:tcPr>
          <w:p w14:paraId="2972675C"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24F3F78F"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3E6CF933"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75A0E19B" w14:textId="77777777" w:rsidR="00BC1C3A" w:rsidRPr="00DA1EBE" w:rsidRDefault="00BC1C3A" w:rsidP="00DA1EBE">
            <w:pPr>
              <w:pStyle w:val="TableText"/>
              <w:jc w:val="center"/>
              <w:rPr>
                <w:b/>
                <w:bCs/>
              </w:rPr>
            </w:pPr>
            <w:r w:rsidRPr="00DA1EBE">
              <w:rPr>
                <w:rFonts w:ascii="Segoe UI Symbol" w:hAnsi="Segoe UI Symbol" w:cs="Segoe UI Symbol"/>
                <w:b/>
                <w:bCs/>
              </w:rPr>
              <w:t>✓</w:t>
            </w:r>
          </w:p>
        </w:tc>
        <w:tc>
          <w:tcPr>
            <w:tcW w:w="217" w:type="pct"/>
            <w:tcBorders>
              <w:left w:val="single" w:sz="6" w:space="0" w:color="BFBFBF" w:themeColor="background1" w:themeShade="BF"/>
              <w:right w:val="single" w:sz="4" w:space="0" w:color="595959" w:themeColor="text1" w:themeTint="A6"/>
            </w:tcBorders>
            <w:shd w:val="clear" w:color="auto" w:fill="F2F2F2" w:themeFill="background1" w:themeFillShade="F2"/>
            <w:vAlign w:val="center"/>
            <w:hideMark/>
          </w:tcPr>
          <w:p w14:paraId="37FBED79" w14:textId="77777777" w:rsidR="00BC1C3A" w:rsidRPr="00B65F7F" w:rsidRDefault="00BC1C3A" w:rsidP="00DA1EBE">
            <w:pPr>
              <w:pStyle w:val="TableText"/>
              <w:jc w:val="center"/>
            </w:pPr>
          </w:p>
        </w:tc>
        <w:tc>
          <w:tcPr>
            <w:tcW w:w="217" w:type="pct"/>
            <w:gridSpan w:val="2"/>
            <w:tcBorders>
              <w:left w:val="single" w:sz="4" w:space="0" w:color="595959" w:themeColor="text1" w:themeTint="A6"/>
            </w:tcBorders>
            <w:shd w:val="clear" w:color="auto" w:fill="F2F2F2" w:themeFill="background1" w:themeFillShade="F2"/>
            <w:vAlign w:val="center"/>
          </w:tcPr>
          <w:p w14:paraId="56D1FFAA"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tcBorders>
            <w:shd w:val="clear" w:color="auto" w:fill="F2F2F2" w:themeFill="background1" w:themeFillShade="F2"/>
            <w:vAlign w:val="center"/>
          </w:tcPr>
          <w:p w14:paraId="514A0C40"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tcBorders>
            <w:shd w:val="clear" w:color="auto" w:fill="F2F2F2" w:themeFill="background1" w:themeFillShade="F2"/>
            <w:vAlign w:val="center"/>
          </w:tcPr>
          <w:p w14:paraId="20C4D7E2"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tcBorders>
            <w:shd w:val="clear" w:color="auto" w:fill="F2F2F2" w:themeFill="background1" w:themeFillShade="F2"/>
            <w:vAlign w:val="center"/>
          </w:tcPr>
          <w:p w14:paraId="3A9AAA68" w14:textId="77777777" w:rsidR="00BC1C3A" w:rsidRPr="00B65F7F" w:rsidRDefault="00BC1C3A" w:rsidP="00DA1EBE">
            <w:pPr>
              <w:pStyle w:val="TableText"/>
              <w:jc w:val="center"/>
            </w:pPr>
            <w:r w:rsidRPr="00DC6C42">
              <w:rPr>
                <w:rFonts w:ascii="Segoe UI Symbol" w:hAnsi="Segoe UI Symbol" w:cs="Segoe UI Symbol"/>
                <w:b/>
              </w:rPr>
              <w:t>✓</w:t>
            </w:r>
          </w:p>
        </w:tc>
        <w:tc>
          <w:tcPr>
            <w:tcW w:w="217" w:type="pct"/>
            <w:tcBorders>
              <w:left w:val="single" w:sz="6" w:space="0" w:color="BFBFBF" w:themeColor="background1" w:themeShade="BF"/>
              <w:right w:val="single" w:sz="6" w:space="0" w:color="auto"/>
            </w:tcBorders>
            <w:shd w:val="clear" w:color="auto" w:fill="F2F2F2" w:themeFill="background1" w:themeFillShade="F2"/>
            <w:vAlign w:val="center"/>
          </w:tcPr>
          <w:p w14:paraId="5A881F30" w14:textId="77777777" w:rsidR="00BC1C3A" w:rsidRPr="00B65F7F" w:rsidRDefault="00BC1C3A" w:rsidP="00DA1EBE">
            <w:pPr>
              <w:pStyle w:val="TableText"/>
              <w:jc w:val="center"/>
            </w:pPr>
          </w:p>
        </w:tc>
      </w:tr>
      <w:tr w:rsidR="00380CE9" w:rsidRPr="00B65F7F" w14:paraId="35C3CB61" w14:textId="77777777" w:rsidTr="00F820B9">
        <w:trPr>
          <w:gridAfter w:val="1"/>
          <w:wAfter w:w="9" w:type="pct"/>
          <w:trHeight w:val="20"/>
        </w:trPr>
        <w:tc>
          <w:tcPr>
            <w:tcW w:w="503" w:type="pct"/>
            <w:vMerge/>
            <w:tcBorders>
              <w:top w:val="single" w:sz="4" w:space="0" w:color="BFBFBF" w:themeColor="background1" w:themeShade="BF"/>
              <w:bottom w:val="single" w:sz="6" w:space="0" w:color="595959" w:themeColor="text1" w:themeTint="A6"/>
            </w:tcBorders>
            <w:hideMark/>
          </w:tcPr>
          <w:p w14:paraId="205D249D" w14:textId="77777777" w:rsidR="00BC1C3A" w:rsidRPr="00B65F7F" w:rsidRDefault="00BC1C3A" w:rsidP="00450852">
            <w:pPr>
              <w:pStyle w:val="TableText"/>
            </w:pPr>
          </w:p>
        </w:tc>
        <w:tc>
          <w:tcPr>
            <w:tcW w:w="953" w:type="pct"/>
            <w:vMerge/>
            <w:hideMark/>
          </w:tcPr>
          <w:p w14:paraId="305259D4" w14:textId="77777777" w:rsidR="00BC1C3A" w:rsidRPr="00B65F7F" w:rsidRDefault="00BC1C3A" w:rsidP="00450852">
            <w:pPr>
              <w:pStyle w:val="TableText"/>
            </w:pPr>
          </w:p>
        </w:tc>
        <w:tc>
          <w:tcPr>
            <w:tcW w:w="336" w:type="pct"/>
            <w:tcBorders>
              <w:right w:val="single" w:sz="6" w:space="0" w:color="595959" w:themeColor="text1" w:themeTint="A6"/>
            </w:tcBorders>
            <w:hideMark/>
          </w:tcPr>
          <w:p w14:paraId="624CD5BB" w14:textId="77777777" w:rsidR="00BC1C3A" w:rsidRPr="00B65F7F" w:rsidRDefault="00BC1C3A" w:rsidP="00450852">
            <w:pPr>
              <w:pStyle w:val="TableText"/>
            </w:pPr>
            <w:r w:rsidRPr="00B65F7F">
              <w:t>Support</w:t>
            </w:r>
          </w:p>
        </w:tc>
        <w:tc>
          <w:tcPr>
            <w:tcW w:w="217" w:type="pct"/>
            <w:tcBorders>
              <w:top w:val="single" w:sz="4" w:space="0" w:color="BFBFBF" w:themeColor="background1" w:themeShade="BF"/>
              <w:left w:val="single" w:sz="6" w:space="0" w:color="595959" w:themeColor="text1" w:themeTint="A6"/>
              <w:right w:val="single" w:sz="6" w:space="0" w:color="BFBFBF" w:themeColor="background1" w:themeShade="BF"/>
            </w:tcBorders>
            <w:vAlign w:val="center"/>
            <w:hideMark/>
          </w:tcPr>
          <w:p w14:paraId="38B05E38" w14:textId="77777777" w:rsidR="00BC1C3A" w:rsidRPr="00B65F7F" w:rsidRDefault="00BC1C3A" w:rsidP="00DA1EBE">
            <w:pPr>
              <w:pStyle w:val="TableText"/>
              <w:jc w:val="center"/>
            </w:pPr>
          </w:p>
        </w:tc>
        <w:tc>
          <w:tcPr>
            <w:tcW w:w="218" w:type="pct"/>
            <w:gridSpan w:val="2"/>
            <w:tcBorders>
              <w:left w:val="single" w:sz="6" w:space="0" w:color="BFBFBF" w:themeColor="background1" w:themeShade="BF"/>
              <w:right w:val="single" w:sz="6" w:space="0" w:color="BFBFBF" w:themeColor="background1" w:themeShade="BF"/>
            </w:tcBorders>
            <w:vAlign w:val="center"/>
            <w:hideMark/>
          </w:tcPr>
          <w:p w14:paraId="611B6AC6"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73DC255D" w14:textId="77777777" w:rsidR="00BC1C3A" w:rsidRPr="00B65F7F" w:rsidRDefault="00BC1C3A" w:rsidP="00DA1EBE">
            <w:pPr>
              <w:pStyle w:val="TableText"/>
              <w:jc w:val="center"/>
            </w:pPr>
            <w:r w:rsidRPr="00B65F7F">
              <w:rPr>
                <w:rFonts w:ascii="Segoe UI Symbol" w:hAnsi="Segoe UI Symbol" w:cs="Segoe UI Symbol"/>
              </w:rPr>
              <w:t>✓</w:t>
            </w: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5F924F27" w14:textId="77777777" w:rsidR="00BC1C3A" w:rsidRPr="00B65F7F" w:rsidRDefault="00BC1C3A" w:rsidP="00DA1EBE">
            <w:pPr>
              <w:pStyle w:val="TableText"/>
              <w:jc w:val="center"/>
            </w:pPr>
          </w:p>
        </w:tc>
        <w:tc>
          <w:tcPr>
            <w:tcW w:w="160" w:type="pct"/>
            <w:tcBorders>
              <w:left w:val="single" w:sz="6" w:space="0" w:color="BFBFBF" w:themeColor="background1" w:themeShade="BF"/>
              <w:right w:val="single" w:sz="6" w:space="0" w:color="595959" w:themeColor="text1" w:themeTint="A6"/>
            </w:tcBorders>
            <w:vAlign w:val="center"/>
            <w:hideMark/>
          </w:tcPr>
          <w:p w14:paraId="0AF37A71" w14:textId="77777777" w:rsidR="00BC1C3A" w:rsidRPr="00B65F7F" w:rsidRDefault="00BC1C3A" w:rsidP="00DA1EBE">
            <w:pPr>
              <w:pStyle w:val="TableText"/>
              <w:jc w:val="center"/>
            </w:pPr>
          </w:p>
        </w:tc>
        <w:tc>
          <w:tcPr>
            <w:tcW w:w="217" w:type="pct"/>
            <w:gridSpan w:val="2"/>
            <w:tcBorders>
              <w:top w:val="single" w:sz="4" w:space="0" w:color="BFBFBF" w:themeColor="background1" w:themeShade="BF"/>
              <w:left w:val="single" w:sz="6" w:space="0" w:color="595959" w:themeColor="text1" w:themeTint="A6"/>
              <w:right w:val="single" w:sz="6" w:space="0" w:color="BFBFBF" w:themeColor="background1" w:themeShade="BF"/>
            </w:tcBorders>
            <w:vAlign w:val="center"/>
            <w:hideMark/>
          </w:tcPr>
          <w:p w14:paraId="39ACEA69"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39A9A22D"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3BBF5EA2" w14:textId="77777777" w:rsidR="00BC1C3A" w:rsidRPr="00B65F7F" w:rsidRDefault="00BC1C3A" w:rsidP="00DA1EBE">
            <w:pPr>
              <w:pStyle w:val="TableText"/>
              <w:jc w:val="center"/>
            </w:pPr>
            <w:r w:rsidRPr="00B65F7F">
              <w:rPr>
                <w:rFonts w:ascii="Segoe UI Symbol" w:hAnsi="Segoe UI Symbol" w:cs="Segoe UI Symbol"/>
              </w:rPr>
              <w:t>✓</w:t>
            </w: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379E2EDD" w14:textId="77777777" w:rsidR="00BC1C3A" w:rsidRPr="00B65F7F" w:rsidRDefault="00BC1C3A" w:rsidP="00DA1EBE">
            <w:pPr>
              <w:pStyle w:val="TableText"/>
              <w:jc w:val="center"/>
            </w:pPr>
          </w:p>
        </w:tc>
        <w:tc>
          <w:tcPr>
            <w:tcW w:w="217" w:type="pct"/>
            <w:tcBorders>
              <w:left w:val="single" w:sz="6" w:space="0" w:color="BFBFBF" w:themeColor="background1" w:themeShade="BF"/>
              <w:right w:val="single" w:sz="4" w:space="0" w:color="595959" w:themeColor="text1" w:themeTint="A6"/>
            </w:tcBorders>
            <w:vAlign w:val="center"/>
            <w:hideMark/>
          </w:tcPr>
          <w:p w14:paraId="4A78AF19" w14:textId="77777777" w:rsidR="00BC1C3A" w:rsidRPr="00B65F7F" w:rsidRDefault="00BC1C3A" w:rsidP="00DA1EBE">
            <w:pPr>
              <w:pStyle w:val="TableText"/>
              <w:jc w:val="center"/>
            </w:pPr>
          </w:p>
        </w:tc>
        <w:tc>
          <w:tcPr>
            <w:tcW w:w="217" w:type="pct"/>
            <w:gridSpan w:val="2"/>
            <w:tcBorders>
              <w:left w:val="single" w:sz="4" w:space="0" w:color="595959" w:themeColor="text1" w:themeTint="A6"/>
            </w:tcBorders>
            <w:vAlign w:val="center"/>
          </w:tcPr>
          <w:p w14:paraId="12E2319E"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tcBorders>
            <w:vAlign w:val="center"/>
          </w:tcPr>
          <w:p w14:paraId="0A964495"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tcBorders>
            <w:vAlign w:val="center"/>
          </w:tcPr>
          <w:p w14:paraId="41D1B4DC" w14:textId="77777777" w:rsidR="00BC1C3A" w:rsidRPr="00B65F7F" w:rsidRDefault="00BC1C3A" w:rsidP="00DA1EBE">
            <w:pPr>
              <w:pStyle w:val="TableText"/>
              <w:jc w:val="center"/>
            </w:pPr>
            <w:r w:rsidRPr="00B65F7F">
              <w:rPr>
                <w:rFonts w:ascii="Segoe UI Symbol" w:hAnsi="Segoe UI Symbol" w:cs="Segoe UI Symbol"/>
              </w:rPr>
              <w:t>✓</w:t>
            </w:r>
          </w:p>
        </w:tc>
        <w:tc>
          <w:tcPr>
            <w:tcW w:w="217" w:type="pct"/>
            <w:gridSpan w:val="2"/>
            <w:tcBorders>
              <w:left w:val="single" w:sz="6" w:space="0" w:color="BFBFBF" w:themeColor="background1" w:themeShade="BF"/>
            </w:tcBorders>
            <w:vAlign w:val="center"/>
          </w:tcPr>
          <w:p w14:paraId="2514469F" w14:textId="77777777" w:rsidR="00BC1C3A" w:rsidRPr="00B65F7F" w:rsidRDefault="00BC1C3A" w:rsidP="00DA1EBE">
            <w:pPr>
              <w:pStyle w:val="TableText"/>
              <w:jc w:val="center"/>
            </w:pPr>
          </w:p>
        </w:tc>
        <w:tc>
          <w:tcPr>
            <w:tcW w:w="217" w:type="pct"/>
            <w:tcBorders>
              <w:left w:val="single" w:sz="6" w:space="0" w:color="BFBFBF" w:themeColor="background1" w:themeShade="BF"/>
              <w:right w:val="single" w:sz="6" w:space="0" w:color="auto"/>
            </w:tcBorders>
            <w:vAlign w:val="center"/>
          </w:tcPr>
          <w:p w14:paraId="15E60E6B" w14:textId="77777777" w:rsidR="00BC1C3A" w:rsidRPr="00B65F7F" w:rsidRDefault="00BC1C3A" w:rsidP="00DA1EBE">
            <w:pPr>
              <w:pStyle w:val="TableText"/>
              <w:jc w:val="center"/>
            </w:pPr>
          </w:p>
        </w:tc>
      </w:tr>
      <w:tr w:rsidR="00380CE9" w:rsidRPr="00B65F7F" w14:paraId="75C4121B" w14:textId="77777777" w:rsidTr="00F820B9">
        <w:trPr>
          <w:gridAfter w:val="1"/>
          <w:wAfter w:w="9" w:type="pct"/>
          <w:trHeight w:val="20"/>
        </w:trPr>
        <w:tc>
          <w:tcPr>
            <w:tcW w:w="503" w:type="pct"/>
            <w:vMerge/>
            <w:tcBorders>
              <w:top w:val="single" w:sz="4" w:space="0" w:color="BFBFBF" w:themeColor="background1" w:themeShade="BF"/>
              <w:bottom w:val="single" w:sz="6" w:space="0" w:color="595959" w:themeColor="text1" w:themeTint="A6"/>
            </w:tcBorders>
            <w:hideMark/>
          </w:tcPr>
          <w:p w14:paraId="335E1E08" w14:textId="77777777" w:rsidR="00BC1C3A" w:rsidRPr="00B65F7F" w:rsidRDefault="00BC1C3A" w:rsidP="00450852">
            <w:pPr>
              <w:pStyle w:val="TableText"/>
            </w:pPr>
          </w:p>
        </w:tc>
        <w:tc>
          <w:tcPr>
            <w:tcW w:w="953" w:type="pct"/>
            <w:vMerge w:val="restart"/>
            <w:hideMark/>
          </w:tcPr>
          <w:p w14:paraId="3CB2F1EC" w14:textId="77777777" w:rsidR="00BC1C3A" w:rsidRPr="00B65F7F" w:rsidRDefault="00BC1C3A" w:rsidP="00450852">
            <w:pPr>
              <w:pStyle w:val="TableText"/>
            </w:pPr>
            <w:r w:rsidRPr="00B65F7F">
              <w:t>Manage contract deliverables</w:t>
            </w:r>
          </w:p>
        </w:tc>
        <w:tc>
          <w:tcPr>
            <w:tcW w:w="336" w:type="pct"/>
            <w:tcBorders>
              <w:right w:val="single" w:sz="6" w:space="0" w:color="595959" w:themeColor="text1" w:themeTint="A6"/>
            </w:tcBorders>
            <w:shd w:val="clear" w:color="auto" w:fill="F2F2F2" w:themeFill="background1" w:themeFillShade="F2"/>
            <w:hideMark/>
          </w:tcPr>
          <w:p w14:paraId="37F7BC7B" w14:textId="77777777" w:rsidR="00BC1C3A" w:rsidRPr="00B65F7F" w:rsidRDefault="00BC1C3A" w:rsidP="00450852">
            <w:pPr>
              <w:pStyle w:val="TableText"/>
            </w:pPr>
            <w:r w:rsidRPr="00B65F7F">
              <w:t>Lead</w:t>
            </w:r>
          </w:p>
        </w:tc>
        <w:tc>
          <w:tcPr>
            <w:tcW w:w="217" w:type="pct"/>
            <w:tcBorders>
              <w:top w:val="single" w:sz="4" w:space="0" w:color="BFBFBF" w:themeColor="background1" w:themeShade="BF"/>
              <w:left w:val="single" w:sz="6" w:space="0" w:color="595959" w:themeColor="text1" w:themeTint="A6"/>
              <w:right w:val="single" w:sz="6" w:space="0" w:color="BFBFBF" w:themeColor="background1" w:themeShade="BF"/>
            </w:tcBorders>
            <w:shd w:val="clear" w:color="auto" w:fill="F2F2F2" w:themeFill="background1" w:themeFillShade="F2"/>
            <w:vAlign w:val="center"/>
            <w:hideMark/>
          </w:tcPr>
          <w:p w14:paraId="36069B0B" w14:textId="77777777" w:rsidR="00BC1C3A" w:rsidRPr="00B65F7F" w:rsidRDefault="00BC1C3A" w:rsidP="00DA1EBE">
            <w:pPr>
              <w:pStyle w:val="TableText"/>
              <w:jc w:val="center"/>
            </w:pPr>
          </w:p>
        </w:tc>
        <w:tc>
          <w:tcPr>
            <w:tcW w:w="218"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3676BF1A"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048E1494" w14:textId="77777777" w:rsidR="00BC1C3A" w:rsidRPr="00DC6C42" w:rsidRDefault="00BC1C3A" w:rsidP="00DA1EBE">
            <w:pPr>
              <w:pStyle w:val="TableText"/>
              <w:jc w:val="center"/>
              <w:rPr>
                <w:b/>
                <w:bCs/>
              </w:rPr>
            </w:pPr>
            <w:r w:rsidRPr="00DC6C42">
              <w:rPr>
                <w:rFonts w:ascii="Segoe UI Symbol" w:hAnsi="Segoe UI Symbol" w:cs="Segoe UI Symbol"/>
                <w:b/>
              </w:rPr>
              <w:t>✓</w:t>
            </w: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59B813DB" w14:textId="77777777" w:rsidR="00BC1C3A" w:rsidRPr="00B65F7F" w:rsidRDefault="00BC1C3A" w:rsidP="00DA1EBE">
            <w:pPr>
              <w:pStyle w:val="TableText"/>
              <w:jc w:val="center"/>
            </w:pPr>
          </w:p>
        </w:tc>
        <w:tc>
          <w:tcPr>
            <w:tcW w:w="160" w:type="pct"/>
            <w:tcBorders>
              <w:left w:val="single" w:sz="6" w:space="0" w:color="BFBFBF" w:themeColor="background1" w:themeShade="BF"/>
              <w:right w:val="single" w:sz="6" w:space="0" w:color="595959" w:themeColor="text1" w:themeTint="A6"/>
            </w:tcBorders>
            <w:shd w:val="clear" w:color="auto" w:fill="F2F2F2" w:themeFill="background1" w:themeFillShade="F2"/>
            <w:vAlign w:val="center"/>
            <w:hideMark/>
          </w:tcPr>
          <w:p w14:paraId="05DEAB34" w14:textId="77777777" w:rsidR="00BC1C3A" w:rsidRPr="00B65F7F" w:rsidRDefault="00BC1C3A" w:rsidP="00DA1EBE">
            <w:pPr>
              <w:pStyle w:val="TableText"/>
              <w:jc w:val="center"/>
            </w:pPr>
          </w:p>
        </w:tc>
        <w:tc>
          <w:tcPr>
            <w:tcW w:w="217" w:type="pct"/>
            <w:gridSpan w:val="2"/>
            <w:tcBorders>
              <w:top w:val="single" w:sz="4" w:space="0" w:color="BFBFBF" w:themeColor="background1" w:themeShade="BF"/>
              <w:left w:val="single" w:sz="6" w:space="0" w:color="595959" w:themeColor="text1" w:themeTint="A6"/>
              <w:right w:val="single" w:sz="6" w:space="0" w:color="BFBFBF" w:themeColor="background1" w:themeShade="BF"/>
            </w:tcBorders>
            <w:shd w:val="clear" w:color="auto" w:fill="F2F2F2" w:themeFill="background1" w:themeFillShade="F2"/>
            <w:vAlign w:val="center"/>
            <w:hideMark/>
          </w:tcPr>
          <w:p w14:paraId="4A5A99EB" w14:textId="77777777" w:rsidR="00BC1C3A" w:rsidRPr="00DA1EBE" w:rsidRDefault="00BC1C3A" w:rsidP="00DA1EBE">
            <w:pPr>
              <w:pStyle w:val="TableText"/>
              <w:jc w:val="center"/>
              <w:rPr>
                <w:b/>
                <w:bCs/>
              </w:rPr>
            </w:pPr>
            <w:r w:rsidRPr="00DA1EBE">
              <w:rPr>
                <w:rFonts w:ascii="Segoe UI Symbol" w:hAnsi="Segoe UI Symbol" w:cs="Segoe UI Symbol"/>
                <w:b/>
                <w:bCs/>
              </w:rPr>
              <w:t>✓</w:t>
            </w: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10CFB6C6"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0BA37AB6"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19A7551D" w14:textId="77777777" w:rsidR="00BC1C3A" w:rsidRPr="00B65F7F" w:rsidRDefault="00BC1C3A" w:rsidP="00DA1EBE">
            <w:pPr>
              <w:pStyle w:val="TableText"/>
              <w:jc w:val="center"/>
            </w:pPr>
          </w:p>
        </w:tc>
        <w:tc>
          <w:tcPr>
            <w:tcW w:w="217" w:type="pct"/>
            <w:tcBorders>
              <w:left w:val="single" w:sz="6" w:space="0" w:color="BFBFBF" w:themeColor="background1" w:themeShade="BF"/>
              <w:right w:val="single" w:sz="4" w:space="0" w:color="595959" w:themeColor="text1" w:themeTint="A6"/>
            </w:tcBorders>
            <w:shd w:val="clear" w:color="auto" w:fill="F2F2F2" w:themeFill="background1" w:themeFillShade="F2"/>
            <w:vAlign w:val="center"/>
            <w:hideMark/>
          </w:tcPr>
          <w:p w14:paraId="4378E777" w14:textId="77777777" w:rsidR="00BC1C3A" w:rsidRPr="00B65F7F" w:rsidRDefault="00BC1C3A" w:rsidP="00DA1EBE">
            <w:pPr>
              <w:pStyle w:val="TableText"/>
              <w:jc w:val="center"/>
            </w:pPr>
          </w:p>
        </w:tc>
        <w:tc>
          <w:tcPr>
            <w:tcW w:w="217" w:type="pct"/>
            <w:gridSpan w:val="2"/>
            <w:tcBorders>
              <w:left w:val="single" w:sz="4" w:space="0" w:color="595959" w:themeColor="text1" w:themeTint="A6"/>
            </w:tcBorders>
            <w:shd w:val="clear" w:color="auto" w:fill="F2F2F2" w:themeFill="background1" w:themeFillShade="F2"/>
            <w:vAlign w:val="center"/>
          </w:tcPr>
          <w:p w14:paraId="1054A756"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tcBorders>
            <w:shd w:val="clear" w:color="auto" w:fill="F2F2F2" w:themeFill="background1" w:themeFillShade="F2"/>
            <w:vAlign w:val="center"/>
          </w:tcPr>
          <w:p w14:paraId="1AA43F53"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tcBorders>
            <w:shd w:val="clear" w:color="auto" w:fill="F2F2F2" w:themeFill="background1" w:themeFillShade="F2"/>
            <w:vAlign w:val="center"/>
          </w:tcPr>
          <w:p w14:paraId="2A1E05A8" w14:textId="77777777" w:rsidR="00BC1C3A" w:rsidRPr="00B65F7F" w:rsidRDefault="00BC1C3A" w:rsidP="00DA1EBE">
            <w:pPr>
              <w:pStyle w:val="TableText"/>
              <w:jc w:val="center"/>
            </w:pPr>
            <w:r w:rsidRPr="00DC6C42">
              <w:rPr>
                <w:rFonts w:ascii="Segoe UI Symbol" w:hAnsi="Segoe UI Symbol" w:cs="Segoe UI Symbol"/>
                <w:b/>
              </w:rPr>
              <w:t>✓</w:t>
            </w:r>
          </w:p>
        </w:tc>
        <w:tc>
          <w:tcPr>
            <w:tcW w:w="217" w:type="pct"/>
            <w:gridSpan w:val="2"/>
            <w:tcBorders>
              <w:left w:val="single" w:sz="6" w:space="0" w:color="BFBFBF" w:themeColor="background1" w:themeShade="BF"/>
            </w:tcBorders>
            <w:shd w:val="clear" w:color="auto" w:fill="F2F2F2" w:themeFill="background1" w:themeFillShade="F2"/>
            <w:vAlign w:val="center"/>
          </w:tcPr>
          <w:p w14:paraId="5CCBC1D7" w14:textId="77777777" w:rsidR="00BC1C3A" w:rsidRPr="00B65F7F" w:rsidRDefault="00BC1C3A" w:rsidP="00DA1EBE">
            <w:pPr>
              <w:pStyle w:val="TableText"/>
              <w:jc w:val="center"/>
            </w:pPr>
          </w:p>
        </w:tc>
        <w:tc>
          <w:tcPr>
            <w:tcW w:w="217" w:type="pct"/>
            <w:tcBorders>
              <w:left w:val="single" w:sz="6" w:space="0" w:color="BFBFBF" w:themeColor="background1" w:themeShade="BF"/>
              <w:right w:val="single" w:sz="6" w:space="0" w:color="auto"/>
            </w:tcBorders>
            <w:shd w:val="clear" w:color="auto" w:fill="F2F2F2" w:themeFill="background1" w:themeFillShade="F2"/>
            <w:vAlign w:val="center"/>
          </w:tcPr>
          <w:p w14:paraId="0FD83DB5" w14:textId="77777777" w:rsidR="00BC1C3A" w:rsidRPr="00B65F7F" w:rsidRDefault="00BC1C3A" w:rsidP="00DA1EBE">
            <w:pPr>
              <w:pStyle w:val="TableText"/>
              <w:jc w:val="center"/>
            </w:pPr>
          </w:p>
        </w:tc>
      </w:tr>
      <w:tr w:rsidR="00380CE9" w:rsidRPr="00B65F7F" w14:paraId="4ED948AA" w14:textId="77777777" w:rsidTr="00F820B9">
        <w:trPr>
          <w:gridAfter w:val="1"/>
          <w:wAfter w:w="9" w:type="pct"/>
          <w:trHeight w:val="20"/>
        </w:trPr>
        <w:tc>
          <w:tcPr>
            <w:tcW w:w="503" w:type="pct"/>
            <w:vMerge/>
            <w:tcBorders>
              <w:top w:val="single" w:sz="4" w:space="0" w:color="BFBFBF" w:themeColor="background1" w:themeShade="BF"/>
              <w:bottom w:val="single" w:sz="6" w:space="0" w:color="595959" w:themeColor="text1" w:themeTint="A6"/>
            </w:tcBorders>
            <w:hideMark/>
          </w:tcPr>
          <w:p w14:paraId="7DF78F57" w14:textId="77777777" w:rsidR="00BC1C3A" w:rsidRPr="00B65F7F" w:rsidRDefault="00BC1C3A" w:rsidP="00450852">
            <w:pPr>
              <w:pStyle w:val="TableText"/>
            </w:pPr>
          </w:p>
        </w:tc>
        <w:tc>
          <w:tcPr>
            <w:tcW w:w="953" w:type="pct"/>
            <w:vMerge/>
            <w:tcBorders>
              <w:bottom w:val="single" w:sz="4" w:space="0" w:color="BFBFBF" w:themeColor="background1" w:themeShade="BF"/>
            </w:tcBorders>
            <w:hideMark/>
          </w:tcPr>
          <w:p w14:paraId="1D42EE46" w14:textId="77777777" w:rsidR="00BC1C3A" w:rsidRPr="00B65F7F" w:rsidRDefault="00BC1C3A" w:rsidP="00450852">
            <w:pPr>
              <w:pStyle w:val="TableText"/>
            </w:pPr>
          </w:p>
        </w:tc>
        <w:tc>
          <w:tcPr>
            <w:tcW w:w="336" w:type="pct"/>
            <w:tcBorders>
              <w:right w:val="single" w:sz="6" w:space="0" w:color="595959" w:themeColor="text1" w:themeTint="A6"/>
            </w:tcBorders>
            <w:hideMark/>
          </w:tcPr>
          <w:p w14:paraId="2BBBBC09" w14:textId="77777777" w:rsidR="00BC1C3A" w:rsidRPr="00B65F7F" w:rsidRDefault="00BC1C3A" w:rsidP="00450852">
            <w:pPr>
              <w:pStyle w:val="TableText"/>
            </w:pPr>
            <w:r w:rsidRPr="00B65F7F">
              <w:t>Support</w:t>
            </w:r>
          </w:p>
        </w:tc>
        <w:tc>
          <w:tcPr>
            <w:tcW w:w="217" w:type="pct"/>
            <w:tcBorders>
              <w:top w:val="single" w:sz="4" w:space="0" w:color="BFBFBF" w:themeColor="background1" w:themeShade="BF"/>
              <w:left w:val="single" w:sz="6" w:space="0" w:color="595959" w:themeColor="text1" w:themeTint="A6"/>
              <w:right w:val="single" w:sz="6" w:space="0" w:color="BFBFBF" w:themeColor="background1" w:themeShade="BF"/>
            </w:tcBorders>
            <w:vAlign w:val="center"/>
            <w:hideMark/>
          </w:tcPr>
          <w:p w14:paraId="5C297F7B" w14:textId="77777777" w:rsidR="00BC1C3A" w:rsidRPr="00B65F7F" w:rsidRDefault="00BC1C3A" w:rsidP="00DA1EBE">
            <w:pPr>
              <w:pStyle w:val="TableText"/>
              <w:jc w:val="center"/>
            </w:pPr>
          </w:p>
        </w:tc>
        <w:tc>
          <w:tcPr>
            <w:tcW w:w="218" w:type="pct"/>
            <w:gridSpan w:val="2"/>
            <w:tcBorders>
              <w:left w:val="single" w:sz="6" w:space="0" w:color="BFBFBF" w:themeColor="background1" w:themeShade="BF"/>
              <w:right w:val="single" w:sz="6" w:space="0" w:color="BFBFBF" w:themeColor="background1" w:themeShade="BF"/>
            </w:tcBorders>
            <w:vAlign w:val="center"/>
            <w:hideMark/>
          </w:tcPr>
          <w:p w14:paraId="3F0C8633"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5E85174F"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32DC2829" w14:textId="77777777" w:rsidR="00BC1C3A" w:rsidRPr="00B65F7F" w:rsidRDefault="00BC1C3A" w:rsidP="00DA1EBE">
            <w:pPr>
              <w:pStyle w:val="TableText"/>
              <w:jc w:val="center"/>
            </w:pPr>
          </w:p>
        </w:tc>
        <w:tc>
          <w:tcPr>
            <w:tcW w:w="160" w:type="pct"/>
            <w:tcBorders>
              <w:left w:val="single" w:sz="6" w:space="0" w:color="BFBFBF" w:themeColor="background1" w:themeShade="BF"/>
              <w:right w:val="single" w:sz="6" w:space="0" w:color="595959" w:themeColor="text1" w:themeTint="A6"/>
            </w:tcBorders>
            <w:vAlign w:val="center"/>
            <w:hideMark/>
          </w:tcPr>
          <w:p w14:paraId="42FD8D67" w14:textId="77777777" w:rsidR="00BC1C3A" w:rsidRPr="00B65F7F" w:rsidRDefault="00BC1C3A" w:rsidP="00DA1EBE">
            <w:pPr>
              <w:pStyle w:val="TableText"/>
              <w:jc w:val="center"/>
            </w:pPr>
          </w:p>
        </w:tc>
        <w:tc>
          <w:tcPr>
            <w:tcW w:w="217" w:type="pct"/>
            <w:gridSpan w:val="2"/>
            <w:tcBorders>
              <w:top w:val="single" w:sz="4" w:space="0" w:color="BFBFBF" w:themeColor="background1" w:themeShade="BF"/>
              <w:left w:val="single" w:sz="6" w:space="0" w:color="595959" w:themeColor="text1" w:themeTint="A6"/>
              <w:right w:val="single" w:sz="6" w:space="0" w:color="BFBFBF" w:themeColor="background1" w:themeShade="BF"/>
            </w:tcBorders>
            <w:vAlign w:val="center"/>
            <w:hideMark/>
          </w:tcPr>
          <w:p w14:paraId="14268076"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241AF2C1"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38DF9F52"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75EFD205" w14:textId="77777777" w:rsidR="00BC1C3A" w:rsidRPr="00B65F7F" w:rsidRDefault="00BC1C3A" w:rsidP="00DA1EBE">
            <w:pPr>
              <w:pStyle w:val="TableText"/>
              <w:jc w:val="center"/>
            </w:pPr>
          </w:p>
        </w:tc>
        <w:tc>
          <w:tcPr>
            <w:tcW w:w="217" w:type="pct"/>
            <w:tcBorders>
              <w:left w:val="single" w:sz="6" w:space="0" w:color="BFBFBF" w:themeColor="background1" w:themeShade="BF"/>
              <w:right w:val="single" w:sz="4" w:space="0" w:color="595959" w:themeColor="text1" w:themeTint="A6"/>
            </w:tcBorders>
            <w:vAlign w:val="center"/>
            <w:hideMark/>
          </w:tcPr>
          <w:p w14:paraId="0C5903BA" w14:textId="77777777" w:rsidR="00BC1C3A" w:rsidRPr="00B65F7F" w:rsidRDefault="00BC1C3A" w:rsidP="00DA1EBE">
            <w:pPr>
              <w:pStyle w:val="TableText"/>
              <w:jc w:val="center"/>
            </w:pPr>
          </w:p>
        </w:tc>
        <w:tc>
          <w:tcPr>
            <w:tcW w:w="217" w:type="pct"/>
            <w:gridSpan w:val="2"/>
            <w:tcBorders>
              <w:left w:val="single" w:sz="4" w:space="0" w:color="595959" w:themeColor="text1" w:themeTint="A6"/>
            </w:tcBorders>
            <w:vAlign w:val="center"/>
          </w:tcPr>
          <w:p w14:paraId="4DF0BE6D"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tcBorders>
            <w:vAlign w:val="center"/>
          </w:tcPr>
          <w:p w14:paraId="27C63CDB"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tcBorders>
            <w:vAlign w:val="center"/>
          </w:tcPr>
          <w:p w14:paraId="7B196E8E"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tcBorders>
            <w:vAlign w:val="center"/>
          </w:tcPr>
          <w:p w14:paraId="19B324FD" w14:textId="77777777" w:rsidR="00BC1C3A" w:rsidRPr="00B65F7F" w:rsidRDefault="00BC1C3A" w:rsidP="00DA1EBE">
            <w:pPr>
              <w:pStyle w:val="TableText"/>
              <w:jc w:val="center"/>
            </w:pPr>
          </w:p>
        </w:tc>
        <w:tc>
          <w:tcPr>
            <w:tcW w:w="217" w:type="pct"/>
            <w:tcBorders>
              <w:left w:val="single" w:sz="6" w:space="0" w:color="BFBFBF" w:themeColor="background1" w:themeShade="BF"/>
              <w:right w:val="single" w:sz="6" w:space="0" w:color="auto"/>
            </w:tcBorders>
            <w:vAlign w:val="center"/>
          </w:tcPr>
          <w:p w14:paraId="089ECADD" w14:textId="77777777" w:rsidR="00BC1C3A" w:rsidRPr="00B65F7F" w:rsidRDefault="00BC1C3A" w:rsidP="00DA1EBE">
            <w:pPr>
              <w:pStyle w:val="TableText"/>
              <w:jc w:val="center"/>
            </w:pPr>
          </w:p>
        </w:tc>
      </w:tr>
      <w:tr w:rsidR="00380CE9" w:rsidRPr="00B65F7F" w14:paraId="6AB5B636" w14:textId="77777777" w:rsidTr="00F820B9">
        <w:trPr>
          <w:gridAfter w:val="1"/>
          <w:wAfter w:w="9" w:type="pct"/>
          <w:trHeight w:val="20"/>
        </w:trPr>
        <w:tc>
          <w:tcPr>
            <w:tcW w:w="503" w:type="pct"/>
            <w:vMerge/>
            <w:tcBorders>
              <w:top w:val="single" w:sz="4" w:space="0" w:color="BFBFBF" w:themeColor="background1" w:themeShade="BF"/>
              <w:bottom w:val="single" w:sz="6" w:space="0" w:color="595959" w:themeColor="text1" w:themeTint="A6"/>
            </w:tcBorders>
            <w:hideMark/>
          </w:tcPr>
          <w:p w14:paraId="00C58D6F" w14:textId="77777777" w:rsidR="00BC1C3A" w:rsidRPr="00B65F7F" w:rsidRDefault="00BC1C3A" w:rsidP="00450852">
            <w:pPr>
              <w:pStyle w:val="TableText"/>
            </w:pPr>
          </w:p>
        </w:tc>
        <w:tc>
          <w:tcPr>
            <w:tcW w:w="953" w:type="pct"/>
            <w:vMerge w:val="restart"/>
            <w:tcBorders>
              <w:top w:val="single" w:sz="4" w:space="0" w:color="BFBFBF" w:themeColor="background1" w:themeShade="BF"/>
              <w:bottom w:val="single" w:sz="6" w:space="0" w:color="595959" w:themeColor="text1" w:themeTint="A6"/>
            </w:tcBorders>
            <w:hideMark/>
          </w:tcPr>
          <w:p w14:paraId="35CF8F7A" w14:textId="77777777" w:rsidR="00BC1C3A" w:rsidRPr="00B65F7F" w:rsidRDefault="00BC1C3A" w:rsidP="00450852">
            <w:pPr>
              <w:pStyle w:val="TableText"/>
            </w:pPr>
            <w:r w:rsidRPr="00B65F7F">
              <w:t>Evaluating efficacy of program</w:t>
            </w:r>
          </w:p>
        </w:tc>
        <w:tc>
          <w:tcPr>
            <w:tcW w:w="336" w:type="pct"/>
            <w:tcBorders>
              <w:bottom w:val="single" w:sz="4" w:space="0" w:color="BFBFBF" w:themeColor="background1" w:themeShade="BF"/>
              <w:right w:val="single" w:sz="6" w:space="0" w:color="595959" w:themeColor="text1" w:themeTint="A6"/>
            </w:tcBorders>
            <w:shd w:val="clear" w:color="auto" w:fill="F2F2F2" w:themeFill="background1" w:themeFillShade="F2"/>
            <w:hideMark/>
          </w:tcPr>
          <w:p w14:paraId="76BFFEFB" w14:textId="77777777" w:rsidR="00BC1C3A" w:rsidRPr="00B65F7F" w:rsidRDefault="00BC1C3A" w:rsidP="00450852">
            <w:pPr>
              <w:pStyle w:val="TableText"/>
            </w:pPr>
            <w:r w:rsidRPr="00B65F7F">
              <w:t>Lead</w:t>
            </w:r>
          </w:p>
        </w:tc>
        <w:tc>
          <w:tcPr>
            <w:tcW w:w="217" w:type="pct"/>
            <w:tcBorders>
              <w:top w:val="single" w:sz="4" w:space="0" w:color="BFBFBF" w:themeColor="background1" w:themeShade="BF"/>
              <w:left w:val="single" w:sz="6" w:space="0" w:color="595959" w:themeColor="text1" w:themeTint="A6"/>
              <w:bottom w:val="single" w:sz="4" w:space="0" w:color="BFBFBF" w:themeColor="background1" w:themeShade="BF"/>
              <w:right w:val="single" w:sz="6" w:space="0" w:color="BFBFBF" w:themeColor="background1" w:themeShade="BF"/>
            </w:tcBorders>
            <w:shd w:val="clear" w:color="auto" w:fill="F2F2F2" w:themeFill="background1" w:themeFillShade="F2"/>
            <w:vAlign w:val="center"/>
            <w:hideMark/>
          </w:tcPr>
          <w:p w14:paraId="3EA5C950" w14:textId="77777777" w:rsidR="00BC1C3A" w:rsidRPr="00B65F7F" w:rsidRDefault="00BC1C3A" w:rsidP="00DA1EBE">
            <w:pPr>
              <w:pStyle w:val="TableText"/>
              <w:jc w:val="center"/>
            </w:pPr>
          </w:p>
        </w:tc>
        <w:tc>
          <w:tcPr>
            <w:tcW w:w="218" w:type="pct"/>
            <w:gridSpan w:val="2"/>
            <w:tcBorders>
              <w:left w:val="single" w:sz="6" w:space="0" w:color="BFBFBF" w:themeColor="background1" w:themeShade="BF"/>
              <w:bottom w:val="single" w:sz="4" w:space="0" w:color="BFBFBF" w:themeColor="background1" w:themeShade="BF"/>
              <w:right w:val="single" w:sz="6" w:space="0" w:color="BFBFBF" w:themeColor="background1" w:themeShade="BF"/>
            </w:tcBorders>
            <w:shd w:val="clear" w:color="auto" w:fill="F2F2F2" w:themeFill="background1" w:themeFillShade="F2"/>
            <w:vAlign w:val="center"/>
            <w:hideMark/>
          </w:tcPr>
          <w:p w14:paraId="7928CBB7"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bottom w:val="single" w:sz="4" w:space="0" w:color="BFBFBF" w:themeColor="background1" w:themeShade="BF"/>
              <w:right w:val="single" w:sz="6" w:space="0" w:color="BFBFBF" w:themeColor="background1" w:themeShade="BF"/>
            </w:tcBorders>
            <w:shd w:val="clear" w:color="auto" w:fill="F2F2F2" w:themeFill="background1" w:themeFillShade="F2"/>
            <w:vAlign w:val="center"/>
            <w:hideMark/>
          </w:tcPr>
          <w:p w14:paraId="2D1C1A87" w14:textId="77777777" w:rsidR="00BC1C3A" w:rsidRPr="00DC6C42" w:rsidRDefault="00BC1C3A" w:rsidP="00DA1EBE">
            <w:pPr>
              <w:pStyle w:val="TableText"/>
              <w:jc w:val="center"/>
              <w:rPr>
                <w:b/>
                <w:bCs/>
              </w:rPr>
            </w:pPr>
            <w:r w:rsidRPr="00DC6C42">
              <w:rPr>
                <w:rFonts w:ascii="Segoe UI Symbol" w:hAnsi="Segoe UI Symbol" w:cs="Segoe UI Symbol"/>
                <w:b/>
              </w:rPr>
              <w:t>✓</w:t>
            </w:r>
          </w:p>
        </w:tc>
        <w:tc>
          <w:tcPr>
            <w:tcW w:w="217" w:type="pct"/>
            <w:gridSpan w:val="2"/>
            <w:tcBorders>
              <w:left w:val="single" w:sz="6" w:space="0" w:color="BFBFBF" w:themeColor="background1" w:themeShade="BF"/>
              <w:bottom w:val="single" w:sz="4" w:space="0" w:color="BFBFBF" w:themeColor="background1" w:themeShade="BF"/>
              <w:right w:val="single" w:sz="6" w:space="0" w:color="BFBFBF" w:themeColor="background1" w:themeShade="BF"/>
            </w:tcBorders>
            <w:shd w:val="clear" w:color="auto" w:fill="F2F2F2" w:themeFill="background1" w:themeFillShade="F2"/>
            <w:vAlign w:val="center"/>
            <w:hideMark/>
          </w:tcPr>
          <w:p w14:paraId="2A3267DD" w14:textId="77777777" w:rsidR="00BC1C3A" w:rsidRPr="00B65F7F" w:rsidRDefault="00BC1C3A" w:rsidP="00DA1EBE">
            <w:pPr>
              <w:pStyle w:val="TableText"/>
              <w:jc w:val="center"/>
            </w:pPr>
          </w:p>
        </w:tc>
        <w:tc>
          <w:tcPr>
            <w:tcW w:w="160" w:type="pct"/>
            <w:tcBorders>
              <w:left w:val="single" w:sz="6" w:space="0" w:color="BFBFBF" w:themeColor="background1" w:themeShade="BF"/>
              <w:bottom w:val="single" w:sz="4" w:space="0" w:color="BFBFBF" w:themeColor="background1" w:themeShade="BF"/>
              <w:right w:val="single" w:sz="6" w:space="0" w:color="595959" w:themeColor="text1" w:themeTint="A6"/>
            </w:tcBorders>
            <w:shd w:val="clear" w:color="auto" w:fill="F2F2F2" w:themeFill="background1" w:themeFillShade="F2"/>
            <w:vAlign w:val="center"/>
            <w:hideMark/>
          </w:tcPr>
          <w:p w14:paraId="6AC75350" w14:textId="77777777" w:rsidR="00BC1C3A" w:rsidRPr="00B65F7F" w:rsidRDefault="00BC1C3A" w:rsidP="00DA1EBE">
            <w:pPr>
              <w:pStyle w:val="TableText"/>
              <w:jc w:val="center"/>
            </w:pPr>
          </w:p>
        </w:tc>
        <w:tc>
          <w:tcPr>
            <w:tcW w:w="217" w:type="pct"/>
            <w:gridSpan w:val="2"/>
            <w:tcBorders>
              <w:top w:val="single" w:sz="4" w:space="0" w:color="BFBFBF" w:themeColor="background1" w:themeShade="BF"/>
              <w:left w:val="single" w:sz="6" w:space="0" w:color="595959" w:themeColor="text1" w:themeTint="A6"/>
              <w:bottom w:val="single" w:sz="4" w:space="0" w:color="BFBFBF" w:themeColor="background1" w:themeShade="BF"/>
              <w:right w:val="single" w:sz="6" w:space="0" w:color="BFBFBF" w:themeColor="background1" w:themeShade="BF"/>
            </w:tcBorders>
            <w:shd w:val="clear" w:color="auto" w:fill="F2F2F2" w:themeFill="background1" w:themeFillShade="F2"/>
            <w:vAlign w:val="center"/>
            <w:hideMark/>
          </w:tcPr>
          <w:p w14:paraId="7BD40F95"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bottom w:val="single" w:sz="4" w:space="0" w:color="BFBFBF" w:themeColor="background1" w:themeShade="BF"/>
              <w:right w:val="single" w:sz="6" w:space="0" w:color="BFBFBF" w:themeColor="background1" w:themeShade="BF"/>
            </w:tcBorders>
            <w:shd w:val="clear" w:color="auto" w:fill="F2F2F2" w:themeFill="background1" w:themeFillShade="F2"/>
            <w:vAlign w:val="center"/>
            <w:hideMark/>
          </w:tcPr>
          <w:p w14:paraId="1166BA26"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bottom w:val="single" w:sz="4" w:space="0" w:color="BFBFBF" w:themeColor="background1" w:themeShade="BF"/>
              <w:right w:val="single" w:sz="6" w:space="0" w:color="BFBFBF" w:themeColor="background1" w:themeShade="BF"/>
            </w:tcBorders>
            <w:shd w:val="clear" w:color="auto" w:fill="F2F2F2" w:themeFill="background1" w:themeFillShade="F2"/>
            <w:vAlign w:val="center"/>
            <w:hideMark/>
          </w:tcPr>
          <w:p w14:paraId="2CFFF063"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bottom w:val="single" w:sz="4" w:space="0" w:color="BFBFBF" w:themeColor="background1" w:themeShade="BF"/>
              <w:right w:val="single" w:sz="6" w:space="0" w:color="BFBFBF" w:themeColor="background1" w:themeShade="BF"/>
            </w:tcBorders>
            <w:shd w:val="clear" w:color="auto" w:fill="F2F2F2" w:themeFill="background1" w:themeFillShade="F2"/>
            <w:vAlign w:val="center"/>
            <w:hideMark/>
          </w:tcPr>
          <w:p w14:paraId="71B5E2B9" w14:textId="77777777" w:rsidR="00BC1C3A" w:rsidRPr="00DA1EBE" w:rsidRDefault="00BC1C3A" w:rsidP="00DA1EBE">
            <w:pPr>
              <w:pStyle w:val="TableText"/>
              <w:jc w:val="center"/>
              <w:rPr>
                <w:b/>
                <w:bCs/>
              </w:rPr>
            </w:pPr>
            <w:r w:rsidRPr="00DA1EBE">
              <w:rPr>
                <w:rFonts w:ascii="Segoe UI Symbol" w:hAnsi="Segoe UI Symbol" w:cs="Segoe UI Symbol"/>
                <w:b/>
                <w:bCs/>
              </w:rPr>
              <w:t>✓</w:t>
            </w:r>
          </w:p>
        </w:tc>
        <w:tc>
          <w:tcPr>
            <w:tcW w:w="217" w:type="pct"/>
            <w:tcBorders>
              <w:left w:val="single" w:sz="6" w:space="0" w:color="BFBFBF" w:themeColor="background1" w:themeShade="BF"/>
              <w:bottom w:val="single" w:sz="4" w:space="0" w:color="BFBFBF" w:themeColor="background1" w:themeShade="BF"/>
              <w:right w:val="single" w:sz="4" w:space="0" w:color="595959" w:themeColor="text1" w:themeTint="A6"/>
            </w:tcBorders>
            <w:shd w:val="clear" w:color="auto" w:fill="F2F2F2" w:themeFill="background1" w:themeFillShade="F2"/>
            <w:vAlign w:val="center"/>
            <w:hideMark/>
          </w:tcPr>
          <w:p w14:paraId="69C7CE76" w14:textId="77777777" w:rsidR="00BC1C3A" w:rsidRPr="00B65F7F" w:rsidRDefault="00BC1C3A" w:rsidP="00DA1EBE">
            <w:pPr>
              <w:pStyle w:val="TableText"/>
              <w:jc w:val="center"/>
            </w:pPr>
          </w:p>
        </w:tc>
        <w:tc>
          <w:tcPr>
            <w:tcW w:w="217" w:type="pct"/>
            <w:gridSpan w:val="2"/>
            <w:tcBorders>
              <w:left w:val="single" w:sz="4" w:space="0" w:color="595959" w:themeColor="text1" w:themeTint="A6"/>
              <w:bottom w:val="single" w:sz="4" w:space="0" w:color="BFBFBF" w:themeColor="background1" w:themeShade="BF"/>
            </w:tcBorders>
            <w:shd w:val="clear" w:color="auto" w:fill="F2F2F2" w:themeFill="background1" w:themeFillShade="F2"/>
            <w:vAlign w:val="center"/>
          </w:tcPr>
          <w:p w14:paraId="31487D6E"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bottom w:val="single" w:sz="4" w:space="0" w:color="BFBFBF" w:themeColor="background1" w:themeShade="BF"/>
            </w:tcBorders>
            <w:shd w:val="clear" w:color="auto" w:fill="F2F2F2" w:themeFill="background1" w:themeFillShade="F2"/>
            <w:vAlign w:val="center"/>
          </w:tcPr>
          <w:p w14:paraId="4500A267"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bottom w:val="single" w:sz="4" w:space="0" w:color="BFBFBF" w:themeColor="background1" w:themeShade="BF"/>
            </w:tcBorders>
            <w:shd w:val="clear" w:color="auto" w:fill="F2F2F2" w:themeFill="background1" w:themeFillShade="F2"/>
            <w:vAlign w:val="center"/>
          </w:tcPr>
          <w:p w14:paraId="44632129" w14:textId="77777777" w:rsidR="00BC1C3A" w:rsidRPr="00B65F7F" w:rsidRDefault="00BC1C3A" w:rsidP="00DA1EBE">
            <w:pPr>
              <w:pStyle w:val="TableText"/>
              <w:jc w:val="center"/>
            </w:pPr>
            <w:r w:rsidRPr="00DC6C42">
              <w:rPr>
                <w:rFonts w:ascii="Segoe UI Symbol" w:hAnsi="Segoe UI Symbol" w:cs="Segoe UI Symbol"/>
                <w:b/>
              </w:rPr>
              <w:t>✓</w:t>
            </w:r>
          </w:p>
        </w:tc>
        <w:tc>
          <w:tcPr>
            <w:tcW w:w="217" w:type="pct"/>
            <w:gridSpan w:val="2"/>
            <w:tcBorders>
              <w:left w:val="single" w:sz="6" w:space="0" w:color="BFBFBF" w:themeColor="background1" w:themeShade="BF"/>
              <w:bottom w:val="single" w:sz="4" w:space="0" w:color="BFBFBF" w:themeColor="background1" w:themeShade="BF"/>
            </w:tcBorders>
            <w:shd w:val="clear" w:color="auto" w:fill="F2F2F2" w:themeFill="background1" w:themeFillShade="F2"/>
            <w:vAlign w:val="center"/>
          </w:tcPr>
          <w:p w14:paraId="29FBF045" w14:textId="77777777" w:rsidR="00BC1C3A" w:rsidRPr="00B65F7F" w:rsidRDefault="00BC1C3A" w:rsidP="00DA1EBE">
            <w:pPr>
              <w:pStyle w:val="TableText"/>
              <w:jc w:val="center"/>
            </w:pPr>
          </w:p>
        </w:tc>
        <w:tc>
          <w:tcPr>
            <w:tcW w:w="217" w:type="pct"/>
            <w:tcBorders>
              <w:left w:val="single" w:sz="6" w:space="0" w:color="BFBFBF" w:themeColor="background1" w:themeShade="BF"/>
              <w:bottom w:val="single" w:sz="4" w:space="0" w:color="BFBFBF" w:themeColor="background1" w:themeShade="BF"/>
              <w:right w:val="single" w:sz="6" w:space="0" w:color="auto"/>
            </w:tcBorders>
            <w:shd w:val="clear" w:color="auto" w:fill="F2F2F2" w:themeFill="background1" w:themeFillShade="F2"/>
            <w:vAlign w:val="center"/>
          </w:tcPr>
          <w:p w14:paraId="413D60C1" w14:textId="77777777" w:rsidR="00BC1C3A" w:rsidRPr="00B65F7F" w:rsidRDefault="00BC1C3A" w:rsidP="00DA1EBE">
            <w:pPr>
              <w:pStyle w:val="TableText"/>
              <w:jc w:val="center"/>
            </w:pPr>
          </w:p>
        </w:tc>
      </w:tr>
      <w:tr w:rsidR="00380CE9" w:rsidRPr="00B65F7F" w14:paraId="2AE80F09" w14:textId="77777777" w:rsidTr="00F820B9">
        <w:trPr>
          <w:gridAfter w:val="1"/>
          <w:wAfter w:w="9" w:type="pct"/>
          <w:trHeight w:val="20"/>
        </w:trPr>
        <w:tc>
          <w:tcPr>
            <w:tcW w:w="503" w:type="pct"/>
            <w:vMerge/>
            <w:tcBorders>
              <w:top w:val="single" w:sz="4" w:space="0" w:color="BFBFBF" w:themeColor="background1" w:themeShade="BF"/>
              <w:bottom w:val="single" w:sz="6" w:space="0" w:color="595959" w:themeColor="text1" w:themeTint="A6"/>
            </w:tcBorders>
            <w:hideMark/>
          </w:tcPr>
          <w:p w14:paraId="581C173F" w14:textId="77777777" w:rsidR="00BC1C3A" w:rsidRPr="00B65F7F" w:rsidRDefault="00BC1C3A" w:rsidP="00450852">
            <w:pPr>
              <w:pStyle w:val="TableText"/>
            </w:pPr>
          </w:p>
        </w:tc>
        <w:tc>
          <w:tcPr>
            <w:tcW w:w="953" w:type="pct"/>
            <w:vMerge/>
            <w:tcBorders>
              <w:top w:val="single" w:sz="4" w:space="0" w:color="BFBFBF" w:themeColor="background1" w:themeShade="BF"/>
              <w:bottom w:val="single" w:sz="6" w:space="0" w:color="595959" w:themeColor="text1" w:themeTint="A6"/>
            </w:tcBorders>
            <w:hideMark/>
          </w:tcPr>
          <w:p w14:paraId="48B4BFBA" w14:textId="77777777" w:rsidR="00BC1C3A" w:rsidRPr="00B65F7F" w:rsidRDefault="00BC1C3A" w:rsidP="00450852">
            <w:pPr>
              <w:pStyle w:val="TableText"/>
            </w:pPr>
          </w:p>
        </w:tc>
        <w:tc>
          <w:tcPr>
            <w:tcW w:w="336" w:type="pct"/>
            <w:tcBorders>
              <w:top w:val="single" w:sz="4" w:space="0" w:color="BFBFBF" w:themeColor="background1" w:themeShade="BF"/>
              <w:bottom w:val="single" w:sz="6" w:space="0" w:color="595959" w:themeColor="text1" w:themeTint="A6"/>
              <w:right w:val="single" w:sz="6" w:space="0" w:color="595959" w:themeColor="text1" w:themeTint="A6"/>
            </w:tcBorders>
            <w:hideMark/>
          </w:tcPr>
          <w:p w14:paraId="592C155D" w14:textId="77777777" w:rsidR="00BC1C3A" w:rsidRPr="00B65F7F" w:rsidRDefault="00BC1C3A" w:rsidP="00450852">
            <w:pPr>
              <w:pStyle w:val="TableText"/>
            </w:pPr>
            <w:r w:rsidRPr="00B65F7F">
              <w:t>Support</w:t>
            </w:r>
          </w:p>
        </w:tc>
        <w:tc>
          <w:tcPr>
            <w:tcW w:w="217" w:type="pct"/>
            <w:tcBorders>
              <w:top w:val="single" w:sz="4" w:space="0" w:color="BFBFBF" w:themeColor="background1" w:themeShade="BF"/>
              <w:left w:val="single" w:sz="6" w:space="0" w:color="595959" w:themeColor="text1" w:themeTint="A6"/>
              <w:bottom w:val="single" w:sz="6" w:space="0" w:color="595959" w:themeColor="text1" w:themeTint="A6"/>
              <w:right w:val="single" w:sz="6" w:space="0" w:color="BFBFBF" w:themeColor="background1" w:themeShade="BF"/>
            </w:tcBorders>
            <w:vAlign w:val="center"/>
            <w:hideMark/>
          </w:tcPr>
          <w:p w14:paraId="0B3C85FA" w14:textId="77777777" w:rsidR="00BC1C3A" w:rsidRPr="00B65F7F" w:rsidRDefault="00BC1C3A" w:rsidP="00DA1EBE">
            <w:pPr>
              <w:pStyle w:val="TableText"/>
              <w:jc w:val="center"/>
            </w:pPr>
          </w:p>
        </w:tc>
        <w:tc>
          <w:tcPr>
            <w:tcW w:w="218" w:type="pct"/>
            <w:gridSpan w:val="2"/>
            <w:tcBorders>
              <w:top w:val="single" w:sz="4" w:space="0" w:color="BFBFBF" w:themeColor="background1" w:themeShade="BF"/>
              <w:left w:val="single" w:sz="6" w:space="0" w:color="BFBFBF" w:themeColor="background1" w:themeShade="BF"/>
              <w:bottom w:val="single" w:sz="6" w:space="0" w:color="595959" w:themeColor="text1" w:themeTint="A6"/>
              <w:right w:val="single" w:sz="6" w:space="0" w:color="BFBFBF" w:themeColor="background1" w:themeShade="BF"/>
            </w:tcBorders>
            <w:vAlign w:val="center"/>
            <w:hideMark/>
          </w:tcPr>
          <w:p w14:paraId="2BEC7E98" w14:textId="77777777" w:rsidR="00BC1C3A" w:rsidRPr="00B65F7F" w:rsidRDefault="00BC1C3A" w:rsidP="00DA1EBE">
            <w:pPr>
              <w:pStyle w:val="TableText"/>
              <w:jc w:val="center"/>
            </w:pPr>
          </w:p>
        </w:tc>
        <w:tc>
          <w:tcPr>
            <w:tcW w:w="217" w:type="pct"/>
            <w:gridSpan w:val="2"/>
            <w:tcBorders>
              <w:top w:val="single" w:sz="4" w:space="0" w:color="BFBFBF" w:themeColor="background1" w:themeShade="BF"/>
              <w:left w:val="single" w:sz="6" w:space="0" w:color="BFBFBF" w:themeColor="background1" w:themeShade="BF"/>
              <w:bottom w:val="single" w:sz="6" w:space="0" w:color="595959" w:themeColor="text1" w:themeTint="A6"/>
              <w:right w:val="single" w:sz="6" w:space="0" w:color="BFBFBF" w:themeColor="background1" w:themeShade="BF"/>
            </w:tcBorders>
            <w:vAlign w:val="center"/>
            <w:hideMark/>
          </w:tcPr>
          <w:p w14:paraId="2AC15E98" w14:textId="77777777" w:rsidR="00BC1C3A" w:rsidRPr="00B65F7F" w:rsidRDefault="00BC1C3A" w:rsidP="00DA1EBE">
            <w:pPr>
              <w:pStyle w:val="TableText"/>
              <w:jc w:val="center"/>
            </w:pPr>
          </w:p>
        </w:tc>
        <w:tc>
          <w:tcPr>
            <w:tcW w:w="217" w:type="pct"/>
            <w:gridSpan w:val="2"/>
            <w:tcBorders>
              <w:top w:val="single" w:sz="4" w:space="0" w:color="BFBFBF" w:themeColor="background1" w:themeShade="BF"/>
              <w:left w:val="single" w:sz="6" w:space="0" w:color="BFBFBF" w:themeColor="background1" w:themeShade="BF"/>
              <w:bottom w:val="single" w:sz="6" w:space="0" w:color="595959" w:themeColor="text1" w:themeTint="A6"/>
              <w:right w:val="single" w:sz="6" w:space="0" w:color="BFBFBF" w:themeColor="background1" w:themeShade="BF"/>
            </w:tcBorders>
            <w:vAlign w:val="center"/>
            <w:hideMark/>
          </w:tcPr>
          <w:p w14:paraId="5756AABC" w14:textId="77777777" w:rsidR="00BC1C3A" w:rsidRPr="00B65F7F" w:rsidRDefault="00BC1C3A" w:rsidP="00DA1EBE">
            <w:pPr>
              <w:pStyle w:val="TableText"/>
              <w:jc w:val="center"/>
            </w:pPr>
            <w:r w:rsidRPr="00B65F7F">
              <w:rPr>
                <w:rFonts w:ascii="Segoe UI Symbol" w:hAnsi="Segoe UI Symbol" w:cs="Segoe UI Symbol"/>
              </w:rPr>
              <w:t>✓</w:t>
            </w:r>
          </w:p>
        </w:tc>
        <w:tc>
          <w:tcPr>
            <w:tcW w:w="160" w:type="pct"/>
            <w:tcBorders>
              <w:top w:val="single" w:sz="4" w:space="0" w:color="BFBFBF" w:themeColor="background1" w:themeShade="BF"/>
              <w:left w:val="single" w:sz="6" w:space="0" w:color="BFBFBF" w:themeColor="background1" w:themeShade="BF"/>
              <w:bottom w:val="single" w:sz="6" w:space="0" w:color="595959" w:themeColor="text1" w:themeTint="A6"/>
              <w:right w:val="single" w:sz="6" w:space="0" w:color="595959" w:themeColor="text1" w:themeTint="A6"/>
            </w:tcBorders>
            <w:vAlign w:val="center"/>
            <w:hideMark/>
          </w:tcPr>
          <w:p w14:paraId="32E0CD02" w14:textId="77777777" w:rsidR="00BC1C3A" w:rsidRPr="00B65F7F" w:rsidRDefault="00BC1C3A" w:rsidP="00DA1EBE">
            <w:pPr>
              <w:pStyle w:val="TableText"/>
              <w:jc w:val="center"/>
            </w:pPr>
            <w:r w:rsidRPr="00B65F7F">
              <w:rPr>
                <w:rFonts w:ascii="Segoe UI Symbol" w:hAnsi="Segoe UI Symbol" w:cs="Segoe UI Symbol"/>
              </w:rPr>
              <w:t>✓</w:t>
            </w:r>
          </w:p>
        </w:tc>
        <w:tc>
          <w:tcPr>
            <w:tcW w:w="217" w:type="pct"/>
            <w:gridSpan w:val="2"/>
            <w:tcBorders>
              <w:top w:val="single" w:sz="4" w:space="0" w:color="BFBFBF" w:themeColor="background1" w:themeShade="BF"/>
              <w:left w:val="single" w:sz="6" w:space="0" w:color="595959" w:themeColor="text1" w:themeTint="A6"/>
              <w:bottom w:val="single" w:sz="6" w:space="0" w:color="595959" w:themeColor="text1" w:themeTint="A6"/>
              <w:right w:val="single" w:sz="6" w:space="0" w:color="BFBFBF" w:themeColor="background1" w:themeShade="BF"/>
            </w:tcBorders>
            <w:vAlign w:val="center"/>
            <w:hideMark/>
          </w:tcPr>
          <w:p w14:paraId="75258FFA" w14:textId="77777777" w:rsidR="00BC1C3A" w:rsidRPr="00B65F7F" w:rsidRDefault="00BC1C3A" w:rsidP="00DA1EBE">
            <w:pPr>
              <w:pStyle w:val="TableText"/>
              <w:jc w:val="center"/>
            </w:pPr>
            <w:r w:rsidRPr="00B65F7F">
              <w:rPr>
                <w:rFonts w:ascii="Segoe UI Symbol" w:hAnsi="Segoe UI Symbol" w:cs="Segoe UI Symbol"/>
              </w:rPr>
              <w:t>✓</w:t>
            </w:r>
          </w:p>
        </w:tc>
        <w:tc>
          <w:tcPr>
            <w:tcW w:w="217" w:type="pct"/>
            <w:gridSpan w:val="2"/>
            <w:tcBorders>
              <w:top w:val="single" w:sz="4" w:space="0" w:color="BFBFBF" w:themeColor="background1" w:themeShade="BF"/>
              <w:left w:val="single" w:sz="6" w:space="0" w:color="BFBFBF" w:themeColor="background1" w:themeShade="BF"/>
              <w:bottom w:val="single" w:sz="6" w:space="0" w:color="595959" w:themeColor="text1" w:themeTint="A6"/>
              <w:right w:val="single" w:sz="6" w:space="0" w:color="BFBFBF" w:themeColor="background1" w:themeShade="BF"/>
            </w:tcBorders>
            <w:vAlign w:val="center"/>
            <w:hideMark/>
          </w:tcPr>
          <w:p w14:paraId="3D116A3F" w14:textId="77777777" w:rsidR="00BC1C3A" w:rsidRPr="00B65F7F" w:rsidRDefault="00BC1C3A" w:rsidP="00DA1EBE">
            <w:pPr>
              <w:pStyle w:val="TableText"/>
              <w:jc w:val="center"/>
            </w:pPr>
            <w:r w:rsidRPr="00B65F7F">
              <w:rPr>
                <w:rFonts w:ascii="Segoe UI Symbol" w:hAnsi="Segoe UI Symbol" w:cs="Segoe UI Symbol"/>
              </w:rPr>
              <w:t>✓</w:t>
            </w:r>
          </w:p>
        </w:tc>
        <w:tc>
          <w:tcPr>
            <w:tcW w:w="217" w:type="pct"/>
            <w:gridSpan w:val="2"/>
            <w:tcBorders>
              <w:top w:val="single" w:sz="4" w:space="0" w:color="BFBFBF" w:themeColor="background1" w:themeShade="BF"/>
              <w:left w:val="single" w:sz="6" w:space="0" w:color="BFBFBF" w:themeColor="background1" w:themeShade="BF"/>
              <w:bottom w:val="single" w:sz="6" w:space="0" w:color="595959" w:themeColor="text1" w:themeTint="A6"/>
              <w:right w:val="single" w:sz="6" w:space="0" w:color="BFBFBF" w:themeColor="background1" w:themeShade="BF"/>
            </w:tcBorders>
            <w:vAlign w:val="center"/>
            <w:hideMark/>
          </w:tcPr>
          <w:p w14:paraId="6025D976" w14:textId="77777777" w:rsidR="00BC1C3A" w:rsidRPr="00B65F7F" w:rsidRDefault="00BC1C3A" w:rsidP="00DA1EBE">
            <w:pPr>
              <w:pStyle w:val="TableText"/>
              <w:jc w:val="center"/>
            </w:pPr>
            <w:r w:rsidRPr="00B65F7F">
              <w:rPr>
                <w:rFonts w:ascii="Segoe UI Symbol" w:hAnsi="Segoe UI Symbol" w:cs="Segoe UI Symbol"/>
              </w:rPr>
              <w:t>✓</w:t>
            </w:r>
          </w:p>
        </w:tc>
        <w:tc>
          <w:tcPr>
            <w:tcW w:w="217" w:type="pct"/>
            <w:gridSpan w:val="2"/>
            <w:tcBorders>
              <w:top w:val="single" w:sz="4" w:space="0" w:color="BFBFBF" w:themeColor="background1" w:themeShade="BF"/>
              <w:left w:val="single" w:sz="6" w:space="0" w:color="BFBFBF" w:themeColor="background1" w:themeShade="BF"/>
              <w:bottom w:val="single" w:sz="6" w:space="0" w:color="595959" w:themeColor="text1" w:themeTint="A6"/>
              <w:right w:val="single" w:sz="6" w:space="0" w:color="BFBFBF" w:themeColor="background1" w:themeShade="BF"/>
            </w:tcBorders>
            <w:vAlign w:val="center"/>
            <w:hideMark/>
          </w:tcPr>
          <w:p w14:paraId="27147742" w14:textId="77777777" w:rsidR="00BC1C3A" w:rsidRPr="00B65F7F" w:rsidRDefault="00BC1C3A" w:rsidP="00DA1EBE">
            <w:pPr>
              <w:pStyle w:val="TableText"/>
              <w:jc w:val="center"/>
            </w:pPr>
          </w:p>
        </w:tc>
        <w:tc>
          <w:tcPr>
            <w:tcW w:w="217" w:type="pct"/>
            <w:tcBorders>
              <w:top w:val="single" w:sz="4" w:space="0" w:color="BFBFBF" w:themeColor="background1" w:themeShade="BF"/>
              <w:left w:val="single" w:sz="6" w:space="0" w:color="BFBFBF" w:themeColor="background1" w:themeShade="BF"/>
              <w:bottom w:val="single" w:sz="6" w:space="0" w:color="595959" w:themeColor="text1" w:themeTint="A6"/>
              <w:right w:val="single" w:sz="4" w:space="0" w:color="595959" w:themeColor="text1" w:themeTint="A6"/>
            </w:tcBorders>
            <w:vAlign w:val="center"/>
            <w:hideMark/>
          </w:tcPr>
          <w:p w14:paraId="572FEE53" w14:textId="77777777" w:rsidR="00BC1C3A" w:rsidRPr="00B65F7F" w:rsidRDefault="00BC1C3A" w:rsidP="00DA1EBE">
            <w:pPr>
              <w:pStyle w:val="TableText"/>
              <w:jc w:val="center"/>
            </w:pPr>
            <w:r w:rsidRPr="00B65F7F">
              <w:rPr>
                <w:rFonts w:ascii="Segoe UI Symbol" w:hAnsi="Segoe UI Symbol" w:cs="Segoe UI Symbol"/>
              </w:rPr>
              <w:t>✓</w:t>
            </w:r>
          </w:p>
        </w:tc>
        <w:tc>
          <w:tcPr>
            <w:tcW w:w="217" w:type="pct"/>
            <w:gridSpan w:val="2"/>
            <w:tcBorders>
              <w:top w:val="single" w:sz="4" w:space="0" w:color="BFBFBF" w:themeColor="background1" w:themeShade="BF"/>
              <w:left w:val="single" w:sz="4" w:space="0" w:color="595959" w:themeColor="text1" w:themeTint="A6"/>
              <w:bottom w:val="single" w:sz="6" w:space="0" w:color="595959" w:themeColor="text1" w:themeTint="A6"/>
            </w:tcBorders>
            <w:vAlign w:val="center"/>
          </w:tcPr>
          <w:p w14:paraId="64D6CDB4" w14:textId="77777777" w:rsidR="00BC1C3A" w:rsidRPr="00B65F7F" w:rsidRDefault="00BC1C3A" w:rsidP="00DA1EBE">
            <w:pPr>
              <w:pStyle w:val="TableText"/>
              <w:jc w:val="center"/>
              <w:rPr>
                <w:rFonts w:ascii="Segoe UI Symbol" w:hAnsi="Segoe UI Symbol" w:cs="Segoe UI Symbol"/>
              </w:rPr>
            </w:pPr>
          </w:p>
        </w:tc>
        <w:tc>
          <w:tcPr>
            <w:tcW w:w="217" w:type="pct"/>
            <w:gridSpan w:val="2"/>
            <w:tcBorders>
              <w:top w:val="single" w:sz="4" w:space="0" w:color="BFBFBF" w:themeColor="background1" w:themeShade="BF"/>
              <w:left w:val="single" w:sz="6" w:space="0" w:color="BFBFBF" w:themeColor="background1" w:themeShade="BF"/>
              <w:bottom w:val="single" w:sz="6" w:space="0" w:color="595959" w:themeColor="text1" w:themeTint="A6"/>
            </w:tcBorders>
            <w:vAlign w:val="center"/>
          </w:tcPr>
          <w:p w14:paraId="1F9E4D48" w14:textId="77777777" w:rsidR="00BC1C3A" w:rsidRPr="00B65F7F" w:rsidRDefault="00BC1C3A" w:rsidP="00DA1EBE">
            <w:pPr>
              <w:pStyle w:val="TableText"/>
              <w:jc w:val="center"/>
              <w:rPr>
                <w:rFonts w:ascii="Segoe UI Symbol" w:hAnsi="Segoe UI Symbol" w:cs="Segoe UI Symbol"/>
              </w:rPr>
            </w:pPr>
          </w:p>
        </w:tc>
        <w:tc>
          <w:tcPr>
            <w:tcW w:w="217" w:type="pct"/>
            <w:gridSpan w:val="2"/>
            <w:tcBorders>
              <w:top w:val="single" w:sz="4" w:space="0" w:color="BFBFBF" w:themeColor="background1" w:themeShade="BF"/>
              <w:left w:val="single" w:sz="6" w:space="0" w:color="BFBFBF" w:themeColor="background1" w:themeShade="BF"/>
              <w:bottom w:val="single" w:sz="6" w:space="0" w:color="595959" w:themeColor="text1" w:themeTint="A6"/>
            </w:tcBorders>
            <w:vAlign w:val="center"/>
          </w:tcPr>
          <w:p w14:paraId="1707834C" w14:textId="77777777" w:rsidR="00BC1C3A" w:rsidRPr="00B65F7F" w:rsidRDefault="00BC1C3A" w:rsidP="00DA1EBE">
            <w:pPr>
              <w:pStyle w:val="TableText"/>
              <w:jc w:val="center"/>
              <w:rPr>
                <w:rFonts w:ascii="Segoe UI Symbol" w:hAnsi="Segoe UI Symbol" w:cs="Segoe UI Symbol"/>
              </w:rPr>
            </w:pPr>
          </w:p>
        </w:tc>
        <w:tc>
          <w:tcPr>
            <w:tcW w:w="217" w:type="pct"/>
            <w:gridSpan w:val="2"/>
            <w:tcBorders>
              <w:top w:val="single" w:sz="4" w:space="0" w:color="BFBFBF" w:themeColor="background1" w:themeShade="BF"/>
              <w:left w:val="single" w:sz="6" w:space="0" w:color="BFBFBF" w:themeColor="background1" w:themeShade="BF"/>
              <w:bottom w:val="single" w:sz="6" w:space="0" w:color="595959" w:themeColor="text1" w:themeTint="A6"/>
            </w:tcBorders>
            <w:vAlign w:val="center"/>
          </w:tcPr>
          <w:p w14:paraId="1644C0AC" w14:textId="77777777" w:rsidR="00BC1C3A" w:rsidRPr="00B65F7F" w:rsidRDefault="00BC1C3A" w:rsidP="00DA1EBE">
            <w:pPr>
              <w:pStyle w:val="TableText"/>
              <w:jc w:val="center"/>
              <w:rPr>
                <w:rFonts w:ascii="Segoe UI Symbol" w:hAnsi="Segoe UI Symbol" w:cs="Segoe UI Symbol"/>
              </w:rPr>
            </w:pPr>
            <w:r w:rsidRPr="00B65F7F">
              <w:rPr>
                <w:rFonts w:ascii="Segoe UI Symbol" w:hAnsi="Segoe UI Symbol" w:cs="Segoe UI Symbol"/>
              </w:rPr>
              <w:t>✓</w:t>
            </w:r>
          </w:p>
        </w:tc>
        <w:tc>
          <w:tcPr>
            <w:tcW w:w="217" w:type="pct"/>
            <w:tcBorders>
              <w:top w:val="single" w:sz="4" w:space="0" w:color="BFBFBF" w:themeColor="background1" w:themeShade="BF"/>
              <w:left w:val="single" w:sz="6" w:space="0" w:color="BFBFBF" w:themeColor="background1" w:themeShade="BF"/>
              <w:bottom w:val="single" w:sz="6" w:space="0" w:color="595959" w:themeColor="text1" w:themeTint="A6"/>
              <w:right w:val="single" w:sz="6" w:space="0" w:color="auto"/>
            </w:tcBorders>
            <w:vAlign w:val="center"/>
          </w:tcPr>
          <w:p w14:paraId="66A03397" w14:textId="77777777" w:rsidR="00BC1C3A" w:rsidRPr="00B65F7F" w:rsidRDefault="00BC1C3A" w:rsidP="00DA1EBE">
            <w:pPr>
              <w:pStyle w:val="TableText"/>
              <w:jc w:val="center"/>
              <w:rPr>
                <w:rFonts w:ascii="Segoe UI Symbol" w:hAnsi="Segoe UI Symbol" w:cs="Segoe UI Symbol"/>
              </w:rPr>
            </w:pPr>
            <w:r w:rsidRPr="00B65F7F">
              <w:rPr>
                <w:rFonts w:ascii="Segoe UI Symbol" w:hAnsi="Segoe UI Symbol" w:cs="Segoe UI Symbol"/>
              </w:rPr>
              <w:t>✓</w:t>
            </w:r>
          </w:p>
        </w:tc>
      </w:tr>
      <w:tr w:rsidR="00380CE9" w:rsidRPr="00B65F7F" w14:paraId="1BD6F490" w14:textId="77777777" w:rsidTr="00F820B9">
        <w:trPr>
          <w:gridAfter w:val="1"/>
          <w:wAfter w:w="9" w:type="pct"/>
          <w:trHeight w:val="20"/>
        </w:trPr>
        <w:tc>
          <w:tcPr>
            <w:tcW w:w="503" w:type="pct"/>
            <w:vMerge w:val="restart"/>
            <w:tcBorders>
              <w:top w:val="single" w:sz="6" w:space="0" w:color="595959" w:themeColor="text1" w:themeTint="A6"/>
              <w:bottom w:val="single" w:sz="6" w:space="0" w:color="595959" w:themeColor="text1" w:themeTint="A6"/>
            </w:tcBorders>
            <w:hideMark/>
          </w:tcPr>
          <w:p w14:paraId="23958451" w14:textId="77777777" w:rsidR="00BC1C3A" w:rsidRPr="00B65F7F" w:rsidRDefault="00BC1C3A" w:rsidP="00450852">
            <w:pPr>
              <w:pStyle w:val="TableText"/>
            </w:pPr>
            <w:r w:rsidRPr="00B65F7F">
              <w:t>Service sector strengthening</w:t>
            </w:r>
          </w:p>
        </w:tc>
        <w:tc>
          <w:tcPr>
            <w:tcW w:w="953" w:type="pct"/>
            <w:vMerge w:val="restart"/>
            <w:tcBorders>
              <w:top w:val="single" w:sz="6" w:space="0" w:color="595959" w:themeColor="text1" w:themeTint="A6"/>
            </w:tcBorders>
            <w:hideMark/>
          </w:tcPr>
          <w:p w14:paraId="3A01EC2C" w14:textId="77777777" w:rsidR="00BC1C3A" w:rsidRPr="00B65F7F" w:rsidRDefault="00BC1C3A" w:rsidP="00450852">
            <w:pPr>
              <w:pStyle w:val="TableText"/>
            </w:pPr>
            <w:r w:rsidRPr="00B65F7F">
              <w:t>Building service workforce capacity and capability</w:t>
            </w:r>
          </w:p>
        </w:tc>
        <w:tc>
          <w:tcPr>
            <w:tcW w:w="336" w:type="pct"/>
            <w:tcBorders>
              <w:top w:val="single" w:sz="6" w:space="0" w:color="595959" w:themeColor="text1" w:themeTint="A6"/>
              <w:right w:val="single" w:sz="6" w:space="0" w:color="595959" w:themeColor="text1" w:themeTint="A6"/>
            </w:tcBorders>
            <w:shd w:val="clear" w:color="auto" w:fill="F2F2F2" w:themeFill="background1" w:themeFillShade="F2"/>
            <w:hideMark/>
          </w:tcPr>
          <w:p w14:paraId="76CE182B" w14:textId="77777777" w:rsidR="00BC1C3A" w:rsidRPr="00B65F7F" w:rsidRDefault="00BC1C3A" w:rsidP="00450852">
            <w:pPr>
              <w:pStyle w:val="TableText"/>
            </w:pPr>
            <w:r w:rsidRPr="00B65F7F">
              <w:t>Lead</w:t>
            </w:r>
          </w:p>
        </w:tc>
        <w:tc>
          <w:tcPr>
            <w:tcW w:w="217" w:type="pct"/>
            <w:tcBorders>
              <w:top w:val="single" w:sz="6" w:space="0" w:color="595959" w:themeColor="text1" w:themeTint="A6"/>
              <w:left w:val="single" w:sz="6" w:space="0" w:color="595959" w:themeColor="text1" w:themeTint="A6"/>
              <w:right w:val="single" w:sz="6" w:space="0" w:color="BFBFBF" w:themeColor="background1" w:themeShade="BF"/>
            </w:tcBorders>
            <w:shd w:val="clear" w:color="auto" w:fill="F2F2F2" w:themeFill="background1" w:themeFillShade="F2"/>
            <w:vAlign w:val="center"/>
            <w:hideMark/>
          </w:tcPr>
          <w:p w14:paraId="5B820EB3" w14:textId="77777777" w:rsidR="00BC1C3A" w:rsidRPr="00B65F7F" w:rsidRDefault="00BC1C3A" w:rsidP="00DA1EBE">
            <w:pPr>
              <w:pStyle w:val="TableText"/>
              <w:jc w:val="center"/>
            </w:pPr>
          </w:p>
        </w:tc>
        <w:tc>
          <w:tcPr>
            <w:tcW w:w="218" w:type="pct"/>
            <w:gridSpan w:val="2"/>
            <w:tcBorders>
              <w:top w:val="single" w:sz="6" w:space="0" w:color="595959" w:themeColor="text1" w:themeTint="A6"/>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277AC438" w14:textId="77777777" w:rsidR="00BC1C3A" w:rsidRPr="00B65F7F" w:rsidRDefault="00BC1C3A" w:rsidP="00DA1EBE">
            <w:pPr>
              <w:pStyle w:val="TableText"/>
              <w:jc w:val="center"/>
            </w:pPr>
          </w:p>
        </w:tc>
        <w:tc>
          <w:tcPr>
            <w:tcW w:w="217" w:type="pct"/>
            <w:gridSpan w:val="2"/>
            <w:tcBorders>
              <w:top w:val="single" w:sz="6" w:space="0" w:color="595959" w:themeColor="text1" w:themeTint="A6"/>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2BC64DFE" w14:textId="77777777" w:rsidR="00BC1C3A" w:rsidRPr="00DC6C42" w:rsidRDefault="00BC1C3A" w:rsidP="00DA1EBE">
            <w:pPr>
              <w:pStyle w:val="TableText"/>
              <w:jc w:val="center"/>
              <w:rPr>
                <w:b/>
                <w:bCs/>
              </w:rPr>
            </w:pPr>
            <w:r w:rsidRPr="00DC6C42">
              <w:rPr>
                <w:rFonts w:ascii="Segoe UI Symbol" w:hAnsi="Segoe UI Symbol" w:cs="Segoe UI Symbol"/>
                <w:b/>
              </w:rPr>
              <w:t>✓</w:t>
            </w:r>
          </w:p>
        </w:tc>
        <w:tc>
          <w:tcPr>
            <w:tcW w:w="217" w:type="pct"/>
            <w:gridSpan w:val="2"/>
            <w:tcBorders>
              <w:top w:val="single" w:sz="6" w:space="0" w:color="595959" w:themeColor="text1" w:themeTint="A6"/>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71AAE535" w14:textId="77777777" w:rsidR="00BC1C3A" w:rsidRPr="00B65F7F" w:rsidRDefault="00BC1C3A" w:rsidP="00DA1EBE">
            <w:pPr>
              <w:pStyle w:val="TableText"/>
              <w:jc w:val="center"/>
            </w:pPr>
          </w:p>
        </w:tc>
        <w:tc>
          <w:tcPr>
            <w:tcW w:w="160" w:type="pct"/>
            <w:tcBorders>
              <w:top w:val="single" w:sz="6" w:space="0" w:color="595959" w:themeColor="text1" w:themeTint="A6"/>
              <w:left w:val="single" w:sz="6" w:space="0" w:color="BFBFBF" w:themeColor="background1" w:themeShade="BF"/>
              <w:right w:val="single" w:sz="6" w:space="0" w:color="595959" w:themeColor="text1" w:themeTint="A6"/>
            </w:tcBorders>
            <w:shd w:val="clear" w:color="auto" w:fill="F2F2F2" w:themeFill="background1" w:themeFillShade="F2"/>
            <w:vAlign w:val="center"/>
            <w:hideMark/>
          </w:tcPr>
          <w:p w14:paraId="44281D96" w14:textId="77777777" w:rsidR="00BC1C3A" w:rsidRPr="00B65F7F" w:rsidRDefault="00BC1C3A" w:rsidP="00DA1EBE">
            <w:pPr>
              <w:pStyle w:val="TableText"/>
              <w:jc w:val="center"/>
            </w:pPr>
          </w:p>
        </w:tc>
        <w:tc>
          <w:tcPr>
            <w:tcW w:w="217" w:type="pct"/>
            <w:gridSpan w:val="2"/>
            <w:tcBorders>
              <w:top w:val="single" w:sz="6" w:space="0" w:color="595959" w:themeColor="text1" w:themeTint="A6"/>
              <w:left w:val="single" w:sz="6" w:space="0" w:color="595959" w:themeColor="text1" w:themeTint="A6"/>
              <w:right w:val="single" w:sz="6" w:space="0" w:color="BFBFBF" w:themeColor="background1" w:themeShade="BF"/>
            </w:tcBorders>
            <w:shd w:val="clear" w:color="auto" w:fill="F2F2F2" w:themeFill="background1" w:themeFillShade="F2"/>
            <w:vAlign w:val="center"/>
            <w:hideMark/>
          </w:tcPr>
          <w:p w14:paraId="5203DC95" w14:textId="77777777" w:rsidR="00BC1C3A" w:rsidRPr="00B65F7F" w:rsidRDefault="00BC1C3A" w:rsidP="00DA1EBE">
            <w:pPr>
              <w:pStyle w:val="TableText"/>
              <w:jc w:val="center"/>
            </w:pPr>
          </w:p>
        </w:tc>
        <w:tc>
          <w:tcPr>
            <w:tcW w:w="217" w:type="pct"/>
            <w:gridSpan w:val="2"/>
            <w:tcBorders>
              <w:top w:val="single" w:sz="6" w:space="0" w:color="595959" w:themeColor="text1" w:themeTint="A6"/>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793218D7" w14:textId="77777777" w:rsidR="00BC1C3A" w:rsidRPr="00B65F7F" w:rsidRDefault="00BC1C3A" w:rsidP="00DA1EBE">
            <w:pPr>
              <w:pStyle w:val="TableText"/>
              <w:jc w:val="center"/>
            </w:pPr>
          </w:p>
        </w:tc>
        <w:tc>
          <w:tcPr>
            <w:tcW w:w="217" w:type="pct"/>
            <w:gridSpan w:val="2"/>
            <w:tcBorders>
              <w:top w:val="single" w:sz="6" w:space="0" w:color="595959" w:themeColor="text1" w:themeTint="A6"/>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11EFF2B5" w14:textId="77777777" w:rsidR="00BC1C3A" w:rsidRPr="00DC6C42" w:rsidRDefault="00BC1C3A" w:rsidP="00DA1EBE">
            <w:pPr>
              <w:pStyle w:val="TableText"/>
              <w:jc w:val="center"/>
              <w:rPr>
                <w:b/>
                <w:bCs/>
              </w:rPr>
            </w:pPr>
            <w:r w:rsidRPr="00DC6C42">
              <w:rPr>
                <w:rFonts w:ascii="Segoe UI Symbol" w:hAnsi="Segoe UI Symbol" w:cs="Segoe UI Symbol"/>
                <w:b/>
              </w:rPr>
              <w:t>✓</w:t>
            </w:r>
          </w:p>
        </w:tc>
        <w:tc>
          <w:tcPr>
            <w:tcW w:w="217" w:type="pct"/>
            <w:gridSpan w:val="2"/>
            <w:tcBorders>
              <w:top w:val="single" w:sz="6" w:space="0" w:color="595959" w:themeColor="text1" w:themeTint="A6"/>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3D3ED44F" w14:textId="77777777" w:rsidR="00BC1C3A" w:rsidRPr="00B65F7F" w:rsidRDefault="00BC1C3A" w:rsidP="00DA1EBE">
            <w:pPr>
              <w:pStyle w:val="TableText"/>
              <w:jc w:val="center"/>
            </w:pPr>
          </w:p>
        </w:tc>
        <w:tc>
          <w:tcPr>
            <w:tcW w:w="217" w:type="pct"/>
            <w:tcBorders>
              <w:top w:val="single" w:sz="6" w:space="0" w:color="595959" w:themeColor="text1" w:themeTint="A6"/>
              <w:left w:val="single" w:sz="6" w:space="0" w:color="BFBFBF" w:themeColor="background1" w:themeShade="BF"/>
              <w:right w:val="single" w:sz="4" w:space="0" w:color="595959" w:themeColor="text1" w:themeTint="A6"/>
            </w:tcBorders>
            <w:shd w:val="clear" w:color="auto" w:fill="F2F2F2" w:themeFill="background1" w:themeFillShade="F2"/>
            <w:vAlign w:val="center"/>
            <w:hideMark/>
          </w:tcPr>
          <w:p w14:paraId="2E63AA46" w14:textId="77777777" w:rsidR="00BC1C3A" w:rsidRPr="00B65F7F" w:rsidRDefault="00BC1C3A" w:rsidP="00DA1EBE">
            <w:pPr>
              <w:pStyle w:val="TableText"/>
              <w:jc w:val="center"/>
            </w:pPr>
          </w:p>
        </w:tc>
        <w:tc>
          <w:tcPr>
            <w:tcW w:w="217" w:type="pct"/>
            <w:gridSpan w:val="2"/>
            <w:tcBorders>
              <w:top w:val="single" w:sz="6" w:space="0" w:color="595959" w:themeColor="text1" w:themeTint="A6"/>
              <w:left w:val="single" w:sz="4" w:space="0" w:color="595959" w:themeColor="text1" w:themeTint="A6"/>
            </w:tcBorders>
            <w:shd w:val="clear" w:color="auto" w:fill="F2F2F2" w:themeFill="background1" w:themeFillShade="F2"/>
            <w:vAlign w:val="center"/>
          </w:tcPr>
          <w:p w14:paraId="40881586" w14:textId="77777777" w:rsidR="00BC1C3A" w:rsidRPr="00B65F7F" w:rsidRDefault="00BC1C3A" w:rsidP="00DA1EBE">
            <w:pPr>
              <w:pStyle w:val="TableText"/>
              <w:jc w:val="center"/>
            </w:pPr>
          </w:p>
        </w:tc>
        <w:tc>
          <w:tcPr>
            <w:tcW w:w="217" w:type="pct"/>
            <w:gridSpan w:val="2"/>
            <w:tcBorders>
              <w:top w:val="single" w:sz="6" w:space="0" w:color="595959" w:themeColor="text1" w:themeTint="A6"/>
              <w:left w:val="single" w:sz="6" w:space="0" w:color="BFBFBF" w:themeColor="background1" w:themeShade="BF"/>
            </w:tcBorders>
            <w:shd w:val="clear" w:color="auto" w:fill="F2F2F2" w:themeFill="background1" w:themeFillShade="F2"/>
            <w:vAlign w:val="center"/>
          </w:tcPr>
          <w:p w14:paraId="3FAE8434" w14:textId="77777777" w:rsidR="00BC1C3A" w:rsidRPr="00B65F7F" w:rsidRDefault="00BC1C3A" w:rsidP="00DA1EBE">
            <w:pPr>
              <w:pStyle w:val="TableText"/>
              <w:jc w:val="center"/>
            </w:pPr>
          </w:p>
        </w:tc>
        <w:tc>
          <w:tcPr>
            <w:tcW w:w="217" w:type="pct"/>
            <w:gridSpan w:val="2"/>
            <w:tcBorders>
              <w:top w:val="single" w:sz="6" w:space="0" w:color="595959" w:themeColor="text1" w:themeTint="A6"/>
              <w:left w:val="single" w:sz="6" w:space="0" w:color="BFBFBF" w:themeColor="background1" w:themeShade="BF"/>
            </w:tcBorders>
            <w:shd w:val="clear" w:color="auto" w:fill="F2F2F2" w:themeFill="background1" w:themeFillShade="F2"/>
            <w:vAlign w:val="center"/>
          </w:tcPr>
          <w:p w14:paraId="2512A685" w14:textId="77777777" w:rsidR="00BC1C3A" w:rsidRPr="00B65F7F" w:rsidRDefault="00BC1C3A" w:rsidP="00DA1EBE">
            <w:pPr>
              <w:pStyle w:val="TableText"/>
              <w:jc w:val="center"/>
            </w:pPr>
            <w:r w:rsidRPr="00DC6C42">
              <w:rPr>
                <w:rFonts w:ascii="Segoe UI Symbol" w:hAnsi="Segoe UI Symbol" w:cs="Segoe UI Symbol"/>
                <w:b/>
              </w:rPr>
              <w:t>✓</w:t>
            </w:r>
          </w:p>
        </w:tc>
        <w:tc>
          <w:tcPr>
            <w:tcW w:w="217" w:type="pct"/>
            <w:gridSpan w:val="2"/>
            <w:tcBorders>
              <w:top w:val="single" w:sz="6" w:space="0" w:color="595959" w:themeColor="text1" w:themeTint="A6"/>
              <w:left w:val="single" w:sz="6" w:space="0" w:color="BFBFBF" w:themeColor="background1" w:themeShade="BF"/>
            </w:tcBorders>
            <w:shd w:val="clear" w:color="auto" w:fill="F2F2F2" w:themeFill="background1" w:themeFillShade="F2"/>
            <w:vAlign w:val="center"/>
          </w:tcPr>
          <w:p w14:paraId="578AF7CF" w14:textId="77777777" w:rsidR="00BC1C3A" w:rsidRPr="00B65F7F" w:rsidRDefault="00BC1C3A" w:rsidP="00DA1EBE">
            <w:pPr>
              <w:pStyle w:val="TableText"/>
              <w:jc w:val="center"/>
            </w:pPr>
          </w:p>
        </w:tc>
        <w:tc>
          <w:tcPr>
            <w:tcW w:w="217" w:type="pct"/>
            <w:tcBorders>
              <w:top w:val="single" w:sz="6" w:space="0" w:color="595959" w:themeColor="text1" w:themeTint="A6"/>
              <w:left w:val="single" w:sz="6" w:space="0" w:color="BFBFBF" w:themeColor="background1" w:themeShade="BF"/>
              <w:right w:val="single" w:sz="6" w:space="0" w:color="auto"/>
            </w:tcBorders>
            <w:shd w:val="clear" w:color="auto" w:fill="F2F2F2" w:themeFill="background1" w:themeFillShade="F2"/>
            <w:vAlign w:val="center"/>
          </w:tcPr>
          <w:p w14:paraId="0951A295" w14:textId="77777777" w:rsidR="00BC1C3A" w:rsidRPr="00B65F7F" w:rsidRDefault="00BC1C3A" w:rsidP="00DA1EBE">
            <w:pPr>
              <w:pStyle w:val="TableText"/>
              <w:jc w:val="center"/>
            </w:pPr>
          </w:p>
        </w:tc>
      </w:tr>
      <w:tr w:rsidR="00380CE9" w:rsidRPr="00B65F7F" w14:paraId="7B120A1D" w14:textId="77777777" w:rsidTr="00F820B9">
        <w:trPr>
          <w:gridAfter w:val="1"/>
          <w:wAfter w:w="9" w:type="pct"/>
          <w:trHeight w:val="20"/>
        </w:trPr>
        <w:tc>
          <w:tcPr>
            <w:tcW w:w="503" w:type="pct"/>
            <w:vMerge/>
            <w:tcBorders>
              <w:top w:val="single" w:sz="4" w:space="0" w:color="BFBFBF" w:themeColor="background1" w:themeShade="BF"/>
              <w:bottom w:val="single" w:sz="6" w:space="0" w:color="595959" w:themeColor="text1" w:themeTint="A6"/>
            </w:tcBorders>
            <w:hideMark/>
          </w:tcPr>
          <w:p w14:paraId="20710843" w14:textId="77777777" w:rsidR="00BC1C3A" w:rsidRPr="00B65F7F" w:rsidRDefault="00BC1C3A" w:rsidP="00BC1C3A">
            <w:pPr>
              <w:pStyle w:val="TableText"/>
            </w:pPr>
          </w:p>
        </w:tc>
        <w:tc>
          <w:tcPr>
            <w:tcW w:w="953" w:type="pct"/>
            <w:vMerge/>
            <w:hideMark/>
          </w:tcPr>
          <w:p w14:paraId="2B56C4EA" w14:textId="77777777" w:rsidR="00BC1C3A" w:rsidRPr="00B65F7F" w:rsidRDefault="00BC1C3A" w:rsidP="00450852">
            <w:pPr>
              <w:pStyle w:val="TableText"/>
            </w:pPr>
          </w:p>
        </w:tc>
        <w:tc>
          <w:tcPr>
            <w:tcW w:w="336" w:type="pct"/>
            <w:tcBorders>
              <w:right w:val="single" w:sz="6" w:space="0" w:color="595959" w:themeColor="text1" w:themeTint="A6"/>
            </w:tcBorders>
            <w:hideMark/>
          </w:tcPr>
          <w:p w14:paraId="3ACCFEEE" w14:textId="77777777" w:rsidR="00BC1C3A" w:rsidRPr="00B65F7F" w:rsidRDefault="00BC1C3A" w:rsidP="00450852">
            <w:pPr>
              <w:pStyle w:val="TableText"/>
            </w:pPr>
            <w:r w:rsidRPr="00B65F7F">
              <w:t>Support</w:t>
            </w:r>
          </w:p>
        </w:tc>
        <w:tc>
          <w:tcPr>
            <w:tcW w:w="217" w:type="pct"/>
            <w:tcBorders>
              <w:top w:val="single" w:sz="4" w:space="0" w:color="BFBFBF" w:themeColor="background1" w:themeShade="BF"/>
              <w:left w:val="single" w:sz="6" w:space="0" w:color="595959" w:themeColor="text1" w:themeTint="A6"/>
              <w:right w:val="single" w:sz="6" w:space="0" w:color="BFBFBF" w:themeColor="background1" w:themeShade="BF"/>
            </w:tcBorders>
            <w:vAlign w:val="center"/>
            <w:hideMark/>
          </w:tcPr>
          <w:p w14:paraId="655CB398" w14:textId="77777777" w:rsidR="00BC1C3A" w:rsidRPr="00B65F7F" w:rsidRDefault="00BC1C3A" w:rsidP="00DA1EBE">
            <w:pPr>
              <w:pStyle w:val="TableText"/>
              <w:jc w:val="center"/>
            </w:pPr>
            <w:r w:rsidRPr="00B65F7F">
              <w:rPr>
                <w:rFonts w:ascii="Segoe UI Symbol" w:hAnsi="Segoe UI Symbol" w:cs="Segoe UI Symbol"/>
              </w:rPr>
              <w:t>✓</w:t>
            </w:r>
          </w:p>
        </w:tc>
        <w:tc>
          <w:tcPr>
            <w:tcW w:w="218" w:type="pct"/>
            <w:gridSpan w:val="2"/>
            <w:tcBorders>
              <w:left w:val="single" w:sz="6" w:space="0" w:color="BFBFBF" w:themeColor="background1" w:themeShade="BF"/>
              <w:right w:val="single" w:sz="6" w:space="0" w:color="BFBFBF" w:themeColor="background1" w:themeShade="BF"/>
            </w:tcBorders>
            <w:vAlign w:val="center"/>
            <w:hideMark/>
          </w:tcPr>
          <w:p w14:paraId="3062C4D5" w14:textId="77777777" w:rsidR="00BC1C3A" w:rsidRPr="00B65F7F" w:rsidRDefault="00BC1C3A" w:rsidP="00DA1EBE">
            <w:pPr>
              <w:pStyle w:val="TableText"/>
              <w:jc w:val="center"/>
            </w:pPr>
            <w:r w:rsidRPr="00B65F7F">
              <w:rPr>
                <w:rFonts w:ascii="Segoe UI Symbol" w:hAnsi="Segoe UI Symbol" w:cs="Segoe UI Symbol"/>
              </w:rPr>
              <w:t>✓</w:t>
            </w: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5825E775"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412D69AB" w14:textId="77777777" w:rsidR="00BC1C3A" w:rsidRPr="00B65F7F" w:rsidRDefault="00BC1C3A" w:rsidP="00DA1EBE">
            <w:pPr>
              <w:pStyle w:val="TableText"/>
              <w:jc w:val="center"/>
            </w:pPr>
            <w:r w:rsidRPr="00B65F7F">
              <w:rPr>
                <w:rFonts w:ascii="Segoe UI Symbol" w:hAnsi="Segoe UI Symbol" w:cs="Segoe UI Symbol"/>
              </w:rPr>
              <w:t>✓</w:t>
            </w:r>
          </w:p>
        </w:tc>
        <w:tc>
          <w:tcPr>
            <w:tcW w:w="160" w:type="pct"/>
            <w:tcBorders>
              <w:left w:val="single" w:sz="6" w:space="0" w:color="BFBFBF" w:themeColor="background1" w:themeShade="BF"/>
              <w:right w:val="single" w:sz="6" w:space="0" w:color="595959" w:themeColor="text1" w:themeTint="A6"/>
            </w:tcBorders>
            <w:vAlign w:val="center"/>
            <w:hideMark/>
          </w:tcPr>
          <w:p w14:paraId="063B89C2" w14:textId="77777777" w:rsidR="00BC1C3A" w:rsidRPr="00B65F7F" w:rsidRDefault="00BC1C3A" w:rsidP="00DA1EBE">
            <w:pPr>
              <w:pStyle w:val="TableText"/>
              <w:jc w:val="center"/>
            </w:pPr>
          </w:p>
        </w:tc>
        <w:tc>
          <w:tcPr>
            <w:tcW w:w="217" w:type="pct"/>
            <w:gridSpan w:val="2"/>
            <w:tcBorders>
              <w:top w:val="single" w:sz="4" w:space="0" w:color="BFBFBF" w:themeColor="background1" w:themeShade="BF"/>
              <w:left w:val="single" w:sz="6" w:space="0" w:color="595959" w:themeColor="text1" w:themeTint="A6"/>
              <w:right w:val="single" w:sz="6" w:space="0" w:color="BFBFBF" w:themeColor="background1" w:themeShade="BF"/>
            </w:tcBorders>
            <w:vAlign w:val="center"/>
            <w:hideMark/>
          </w:tcPr>
          <w:p w14:paraId="352099A4" w14:textId="77777777" w:rsidR="00BC1C3A" w:rsidRPr="00B65F7F" w:rsidRDefault="00BC1C3A" w:rsidP="00DA1EBE">
            <w:pPr>
              <w:pStyle w:val="TableText"/>
              <w:jc w:val="center"/>
            </w:pPr>
            <w:r w:rsidRPr="00B65F7F">
              <w:rPr>
                <w:rFonts w:ascii="Segoe UI Symbol" w:hAnsi="Segoe UI Symbol" w:cs="Segoe UI Symbol"/>
              </w:rPr>
              <w:t>✓</w:t>
            </w: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3EB2EAF7" w14:textId="77777777" w:rsidR="00BC1C3A" w:rsidRPr="00B65F7F" w:rsidRDefault="00BC1C3A" w:rsidP="00DA1EBE">
            <w:pPr>
              <w:pStyle w:val="TableText"/>
              <w:jc w:val="center"/>
            </w:pPr>
            <w:r w:rsidRPr="00B65F7F">
              <w:rPr>
                <w:rFonts w:ascii="Segoe UI Symbol" w:hAnsi="Segoe UI Symbol" w:cs="Segoe UI Symbol"/>
              </w:rPr>
              <w:t>✓</w:t>
            </w: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70ECDD05"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49E7FA1C" w14:textId="77777777" w:rsidR="00BC1C3A" w:rsidRPr="00B65F7F" w:rsidRDefault="00BC1C3A" w:rsidP="00DA1EBE">
            <w:pPr>
              <w:pStyle w:val="TableText"/>
              <w:jc w:val="center"/>
            </w:pPr>
            <w:r w:rsidRPr="00B65F7F">
              <w:rPr>
                <w:rFonts w:ascii="Segoe UI Symbol" w:hAnsi="Segoe UI Symbol" w:cs="Segoe UI Symbol"/>
              </w:rPr>
              <w:t>✓</w:t>
            </w:r>
          </w:p>
        </w:tc>
        <w:tc>
          <w:tcPr>
            <w:tcW w:w="217" w:type="pct"/>
            <w:tcBorders>
              <w:left w:val="single" w:sz="6" w:space="0" w:color="BFBFBF" w:themeColor="background1" w:themeShade="BF"/>
              <w:bottom w:val="single" w:sz="4" w:space="0" w:color="BFBFBF" w:themeColor="background1" w:themeShade="BF"/>
              <w:right w:val="single" w:sz="4" w:space="0" w:color="595959" w:themeColor="text1" w:themeTint="A6"/>
            </w:tcBorders>
            <w:vAlign w:val="center"/>
            <w:hideMark/>
          </w:tcPr>
          <w:p w14:paraId="6372D039" w14:textId="77777777" w:rsidR="00BC1C3A" w:rsidRPr="00B65F7F" w:rsidRDefault="00BC1C3A" w:rsidP="00DA1EBE">
            <w:pPr>
              <w:pStyle w:val="TableText"/>
              <w:jc w:val="center"/>
            </w:pPr>
          </w:p>
        </w:tc>
        <w:tc>
          <w:tcPr>
            <w:tcW w:w="217" w:type="pct"/>
            <w:gridSpan w:val="2"/>
            <w:tcBorders>
              <w:left w:val="single" w:sz="4" w:space="0" w:color="595959" w:themeColor="text1" w:themeTint="A6"/>
            </w:tcBorders>
            <w:vAlign w:val="center"/>
          </w:tcPr>
          <w:p w14:paraId="46AB028F" w14:textId="77777777" w:rsidR="00BC1C3A" w:rsidRPr="00B65F7F" w:rsidRDefault="00BC1C3A" w:rsidP="00DA1EBE">
            <w:pPr>
              <w:pStyle w:val="TableText"/>
              <w:jc w:val="center"/>
            </w:pPr>
            <w:r w:rsidRPr="00B65F7F">
              <w:rPr>
                <w:rFonts w:ascii="Segoe UI Symbol" w:hAnsi="Segoe UI Symbol" w:cs="Segoe UI Symbol"/>
              </w:rPr>
              <w:t>✓</w:t>
            </w:r>
          </w:p>
        </w:tc>
        <w:tc>
          <w:tcPr>
            <w:tcW w:w="217" w:type="pct"/>
            <w:gridSpan w:val="2"/>
            <w:tcBorders>
              <w:left w:val="single" w:sz="6" w:space="0" w:color="BFBFBF" w:themeColor="background1" w:themeShade="BF"/>
            </w:tcBorders>
            <w:vAlign w:val="center"/>
          </w:tcPr>
          <w:p w14:paraId="298DF859" w14:textId="77777777" w:rsidR="00BC1C3A" w:rsidRPr="00B65F7F" w:rsidRDefault="00BC1C3A" w:rsidP="00DA1EBE">
            <w:pPr>
              <w:pStyle w:val="TableText"/>
              <w:jc w:val="center"/>
            </w:pPr>
            <w:r w:rsidRPr="00B65F7F">
              <w:rPr>
                <w:rFonts w:ascii="Segoe UI Symbol" w:hAnsi="Segoe UI Symbol" w:cs="Segoe UI Symbol"/>
              </w:rPr>
              <w:t>✓</w:t>
            </w:r>
          </w:p>
        </w:tc>
        <w:tc>
          <w:tcPr>
            <w:tcW w:w="217" w:type="pct"/>
            <w:gridSpan w:val="2"/>
            <w:tcBorders>
              <w:left w:val="single" w:sz="6" w:space="0" w:color="BFBFBF" w:themeColor="background1" w:themeShade="BF"/>
            </w:tcBorders>
            <w:vAlign w:val="center"/>
          </w:tcPr>
          <w:p w14:paraId="467D445A"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tcBorders>
            <w:vAlign w:val="center"/>
          </w:tcPr>
          <w:p w14:paraId="4EB3F840" w14:textId="77777777" w:rsidR="00BC1C3A" w:rsidRPr="00B65F7F" w:rsidRDefault="00BC1C3A" w:rsidP="00DA1EBE">
            <w:pPr>
              <w:pStyle w:val="TableText"/>
              <w:jc w:val="center"/>
            </w:pPr>
            <w:r w:rsidRPr="00B65F7F">
              <w:rPr>
                <w:rFonts w:ascii="Segoe UI Symbol" w:hAnsi="Segoe UI Symbol" w:cs="Segoe UI Symbol"/>
              </w:rPr>
              <w:t>✓</w:t>
            </w:r>
          </w:p>
        </w:tc>
        <w:tc>
          <w:tcPr>
            <w:tcW w:w="217" w:type="pct"/>
            <w:tcBorders>
              <w:left w:val="single" w:sz="6" w:space="0" w:color="BFBFBF" w:themeColor="background1" w:themeShade="BF"/>
              <w:right w:val="single" w:sz="6" w:space="0" w:color="auto"/>
            </w:tcBorders>
            <w:vAlign w:val="center"/>
          </w:tcPr>
          <w:p w14:paraId="69479AFF" w14:textId="77777777" w:rsidR="00BC1C3A" w:rsidRPr="00B65F7F" w:rsidRDefault="00BC1C3A" w:rsidP="00DA1EBE">
            <w:pPr>
              <w:pStyle w:val="TableText"/>
              <w:jc w:val="center"/>
            </w:pPr>
          </w:p>
        </w:tc>
      </w:tr>
      <w:tr w:rsidR="00380CE9" w:rsidRPr="00B65F7F" w14:paraId="133B6CC8" w14:textId="77777777" w:rsidTr="00F820B9">
        <w:trPr>
          <w:gridAfter w:val="1"/>
          <w:wAfter w:w="9" w:type="pct"/>
          <w:trHeight w:val="20"/>
        </w:trPr>
        <w:tc>
          <w:tcPr>
            <w:tcW w:w="503" w:type="pct"/>
            <w:vMerge/>
            <w:tcBorders>
              <w:top w:val="single" w:sz="4" w:space="0" w:color="BFBFBF" w:themeColor="background1" w:themeShade="BF"/>
              <w:bottom w:val="single" w:sz="6" w:space="0" w:color="595959" w:themeColor="text1" w:themeTint="A6"/>
            </w:tcBorders>
            <w:hideMark/>
          </w:tcPr>
          <w:p w14:paraId="7E1B06CC" w14:textId="77777777" w:rsidR="00BC1C3A" w:rsidRPr="00B65F7F" w:rsidRDefault="00BC1C3A" w:rsidP="00BC1C3A">
            <w:pPr>
              <w:pStyle w:val="TableText"/>
            </w:pPr>
          </w:p>
        </w:tc>
        <w:tc>
          <w:tcPr>
            <w:tcW w:w="953" w:type="pct"/>
            <w:vMerge w:val="restart"/>
            <w:hideMark/>
          </w:tcPr>
          <w:p w14:paraId="6DE0C182" w14:textId="77777777" w:rsidR="00BC1C3A" w:rsidRPr="00B65F7F" w:rsidRDefault="00BC1C3A" w:rsidP="00DA1EBE">
            <w:pPr>
              <w:pStyle w:val="TableText"/>
            </w:pPr>
            <w:r w:rsidRPr="00B65F7F">
              <w:t>Building funder capacity and capability</w:t>
            </w:r>
          </w:p>
        </w:tc>
        <w:tc>
          <w:tcPr>
            <w:tcW w:w="336" w:type="pct"/>
            <w:tcBorders>
              <w:right w:val="single" w:sz="6" w:space="0" w:color="595959" w:themeColor="text1" w:themeTint="A6"/>
            </w:tcBorders>
            <w:shd w:val="clear" w:color="auto" w:fill="F2F2F2" w:themeFill="background1" w:themeFillShade="F2"/>
            <w:hideMark/>
          </w:tcPr>
          <w:p w14:paraId="626C8CBD" w14:textId="77777777" w:rsidR="00BC1C3A" w:rsidRPr="00B65F7F" w:rsidRDefault="00BC1C3A" w:rsidP="00DA1EBE">
            <w:pPr>
              <w:pStyle w:val="TableText"/>
            </w:pPr>
            <w:r w:rsidRPr="00B65F7F">
              <w:t>Lead</w:t>
            </w:r>
          </w:p>
        </w:tc>
        <w:tc>
          <w:tcPr>
            <w:tcW w:w="217" w:type="pct"/>
            <w:tcBorders>
              <w:top w:val="single" w:sz="4" w:space="0" w:color="BFBFBF" w:themeColor="background1" w:themeShade="BF"/>
              <w:left w:val="single" w:sz="6" w:space="0" w:color="595959" w:themeColor="text1" w:themeTint="A6"/>
              <w:right w:val="single" w:sz="6" w:space="0" w:color="BFBFBF" w:themeColor="background1" w:themeShade="BF"/>
            </w:tcBorders>
            <w:shd w:val="clear" w:color="auto" w:fill="F2F2F2" w:themeFill="background1" w:themeFillShade="F2"/>
            <w:vAlign w:val="center"/>
            <w:hideMark/>
          </w:tcPr>
          <w:p w14:paraId="796019E1" w14:textId="77777777" w:rsidR="00BC1C3A" w:rsidRPr="00DA1EBE" w:rsidRDefault="00BC1C3A" w:rsidP="00DA1EBE">
            <w:pPr>
              <w:pStyle w:val="TableText"/>
              <w:jc w:val="center"/>
              <w:rPr>
                <w:b/>
                <w:bCs/>
              </w:rPr>
            </w:pPr>
            <w:r w:rsidRPr="00DA1EBE">
              <w:rPr>
                <w:rFonts w:ascii="Segoe UI Symbol" w:hAnsi="Segoe UI Symbol" w:cs="Segoe UI Symbol"/>
                <w:b/>
                <w:bCs/>
              </w:rPr>
              <w:t>✓</w:t>
            </w:r>
          </w:p>
        </w:tc>
        <w:tc>
          <w:tcPr>
            <w:tcW w:w="218"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76CDCA2A" w14:textId="77777777" w:rsidR="00BC1C3A" w:rsidRPr="00DA1EBE" w:rsidRDefault="00BC1C3A" w:rsidP="00DA1EBE">
            <w:pPr>
              <w:pStyle w:val="TableText"/>
              <w:jc w:val="center"/>
              <w:rPr>
                <w:b/>
                <w:bCs/>
              </w:rPr>
            </w:pP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4FD1B002" w14:textId="77777777" w:rsidR="00BC1C3A" w:rsidRPr="00DA1EBE" w:rsidRDefault="00BC1C3A" w:rsidP="00DA1EBE">
            <w:pPr>
              <w:pStyle w:val="TableText"/>
              <w:jc w:val="center"/>
              <w:rPr>
                <w:b/>
                <w:bCs/>
              </w:rPr>
            </w:pP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3A5A1538" w14:textId="77777777" w:rsidR="00BC1C3A" w:rsidRPr="00DA1EBE" w:rsidRDefault="00BC1C3A" w:rsidP="00DA1EBE">
            <w:pPr>
              <w:pStyle w:val="TableText"/>
              <w:jc w:val="center"/>
              <w:rPr>
                <w:b/>
                <w:bCs/>
              </w:rPr>
            </w:pPr>
          </w:p>
        </w:tc>
        <w:tc>
          <w:tcPr>
            <w:tcW w:w="160" w:type="pct"/>
            <w:tcBorders>
              <w:left w:val="single" w:sz="6" w:space="0" w:color="BFBFBF" w:themeColor="background1" w:themeShade="BF"/>
              <w:right w:val="single" w:sz="6" w:space="0" w:color="595959" w:themeColor="text1" w:themeTint="A6"/>
            </w:tcBorders>
            <w:shd w:val="clear" w:color="auto" w:fill="F2F2F2" w:themeFill="background1" w:themeFillShade="F2"/>
            <w:vAlign w:val="center"/>
            <w:hideMark/>
          </w:tcPr>
          <w:p w14:paraId="2CECCCAD" w14:textId="77777777" w:rsidR="00BC1C3A" w:rsidRPr="00DA1EBE" w:rsidRDefault="00BC1C3A" w:rsidP="00DA1EBE">
            <w:pPr>
              <w:pStyle w:val="TableText"/>
              <w:jc w:val="center"/>
              <w:rPr>
                <w:b/>
                <w:bCs/>
              </w:rPr>
            </w:pPr>
          </w:p>
        </w:tc>
        <w:tc>
          <w:tcPr>
            <w:tcW w:w="217" w:type="pct"/>
            <w:gridSpan w:val="2"/>
            <w:tcBorders>
              <w:top w:val="single" w:sz="4" w:space="0" w:color="BFBFBF" w:themeColor="background1" w:themeShade="BF"/>
              <w:left w:val="single" w:sz="6" w:space="0" w:color="595959" w:themeColor="text1" w:themeTint="A6"/>
              <w:right w:val="single" w:sz="6" w:space="0" w:color="BFBFBF" w:themeColor="background1" w:themeShade="BF"/>
            </w:tcBorders>
            <w:shd w:val="clear" w:color="auto" w:fill="F2F2F2" w:themeFill="background1" w:themeFillShade="F2"/>
            <w:vAlign w:val="center"/>
            <w:hideMark/>
          </w:tcPr>
          <w:p w14:paraId="1374DFB1" w14:textId="77777777" w:rsidR="00BC1C3A" w:rsidRPr="00DA1EBE" w:rsidRDefault="00BC1C3A" w:rsidP="00DA1EBE">
            <w:pPr>
              <w:pStyle w:val="TableText"/>
              <w:jc w:val="center"/>
              <w:rPr>
                <w:b/>
                <w:bCs/>
              </w:rPr>
            </w:pP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05B650C9" w14:textId="77777777" w:rsidR="00BC1C3A" w:rsidRPr="00DA1EBE" w:rsidRDefault="00BC1C3A" w:rsidP="00DA1EBE">
            <w:pPr>
              <w:pStyle w:val="TableText"/>
              <w:jc w:val="center"/>
              <w:rPr>
                <w:b/>
                <w:bCs/>
              </w:rPr>
            </w:pP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3E45ED6F" w14:textId="77777777" w:rsidR="00BC1C3A" w:rsidRPr="00DA1EBE" w:rsidRDefault="00BC1C3A" w:rsidP="00DA1EBE">
            <w:pPr>
              <w:pStyle w:val="TableText"/>
              <w:jc w:val="center"/>
              <w:rPr>
                <w:b/>
                <w:bCs/>
              </w:rPr>
            </w:pP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1BB2A0EE" w14:textId="77777777" w:rsidR="00BC1C3A" w:rsidRPr="00DA1EBE" w:rsidRDefault="00BC1C3A" w:rsidP="00DA1EBE">
            <w:pPr>
              <w:pStyle w:val="TableText"/>
              <w:jc w:val="center"/>
              <w:rPr>
                <w:b/>
                <w:bCs/>
              </w:rPr>
            </w:pPr>
          </w:p>
        </w:tc>
        <w:tc>
          <w:tcPr>
            <w:tcW w:w="217" w:type="pct"/>
            <w:tcBorders>
              <w:top w:val="single" w:sz="4" w:space="0" w:color="BFBFBF" w:themeColor="background1" w:themeShade="BF"/>
              <w:left w:val="single" w:sz="6" w:space="0" w:color="BFBFBF" w:themeColor="background1" w:themeShade="BF"/>
              <w:right w:val="single" w:sz="4" w:space="0" w:color="404040" w:themeColor="text1" w:themeTint="BF"/>
            </w:tcBorders>
            <w:shd w:val="clear" w:color="auto" w:fill="F2F2F2" w:themeFill="background1" w:themeFillShade="F2"/>
            <w:vAlign w:val="center"/>
            <w:hideMark/>
          </w:tcPr>
          <w:p w14:paraId="2ED489A0" w14:textId="77777777" w:rsidR="00BC1C3A" w:rsidRPr="00DA1EBE" w:rsidRDefault="00BC1C3A" w:rsidP="00DA1EBE">
            <w:pPr>
              <w:pStyle w:val="TableText"/>
              <w:jc w:val="center"/>
              <w:rPr>
                <w:b/>
                <w:bCs/>
              </w:rPr>
            </w:pPr>
          </w:p>
        </w:tc>
        <w:tc>
          <w:tcPr>
            <w:tcW w:w="217" w:type="pct"/>
            <w:gridSpan w:val="2"/>
            <w:tcBorders>
              <w:left w:val="single" w:sz="4" w:space="0" w:color="404040" w:themeColor="text1" w:themeTint="BF"/>
            </w:tcBorders>
            <w:shd w:val="clear" w:color="auto" w:fill="F2F2F2" w:themeFill="background1" w:themeFillShade="F2"/>
            <w:vAlign w:val="center"/>
          </w:tcPr>
          <w:p w14:paraId="2AB09DB0" w14:textId="77777777" w:rsidR="00BC1C3A" w:rsidRPr="00DA1EBE" w:rsidRDefault="00BC1C3A" w:rsidP="00DA1EBE">
            <w:pPr>
              <w:pStyle w:val="TableText"/>
              <w:jc w:val="center"/>
              <w:rPr>
                <w:b/>
                <w:bCs/>
              </w:rPr>
            </w:pPr>
            <w:r w:rsidRPr="00DA1EBE">
              <w:rPr>
                <w:rFonts w:ascii="Segoe UI Symbol" w:hAnsi="Segoe UI Symbol" w:cs="Segoe UI Symbol"/>
                <w:b/>
                <w:bCs/>
              </w:rPr>
              <w:t>✓</w:t>
            </w:r>
          </w:p>
        </w:tc>
        <w:tc>
          <w:tcPr>
            <w:tcW w:w="217" w:type="pct"/>
            <w:gridSpan w:val="2"/>
            <w:tcBorders>
              <w:left w:val="single" w:sz="6" w:space="0" w:color="BFBFBF" w:themeColor="background1" w:themeShade="BF"/>
            </w:tcBorders>
            <w:shd w:val="clear" w:color="auto" w:fill="F2F2F2" w:themeFill="background1" w:themeFillShade="F2"/>
            <w:vAlign w:val="center"/>
          </w:tcPr>
          <w:p w14:paraId="549E2541" w14:textId="77777777" w:rsidR="00BC1C3A" w:rsidRPr="00DA1EBE" w:rsidRDefault="00BC1C3A" w:rsidP="00DA1EBE">
            <w:pPr>
              <w:pStyle w:val="TableText"/>
              <w:jc w:val="center"/>
              <w:rPr>
                <w:b/>
                <w:bCs/>
              </w:rPr>
            </w:pPr>
          </w:p>
        </w:tc>
        <w:tc>
          <w:tcPr>
            <w:tcW w:w="217" w:type="pct"/>
            <w:gridSpan w:val="2"/>
            <w:tcBorders>
              <w:left w:val="single" w:sz="6" w:space="0" w:color="BFBFBF" w:themeColor="background1" w:themeShade="BF"/>
            </w:tcBorders>
            <w:shd w:val="clear" w:color="auto" w:fill="F2F2F2" w:themeFill="background1" w:themeFillShade="F2"/>
            <w:vAlign w:val="center"/>
          </w:tcPr>
          <w:p w14:paraId="520810EB" w14:textId="77777777" w:rsidR="00BC1C3A" w:rsidRPr="00DA1EBE" w:rsidRDefault="00BC1C3A" w:rsidP="00DA1EBE">
            <w:pPr>
              <w:pStyle w:val="TableText"/>
              <w:jc w:val="center"/>
              <w:rPr>
                <w:b/>
                <w:bCs/>
              </w:rPr>
            </w:pPr>
          </w:p>
        </w:tc>
        <w:tc>
          <w:tcPr>
            <w:tcW w:w="217" w:type="pct"/>
            <w:gridSpan w:val="2"/>
            <w:tcBorders>
              <w:left w:val="single" w:sz="6" w:space="0" w:color="BFBFBF" w:themeColor="background1" w:themeShade="BF"/>
            </w:tcBorders>
            <w:shd w:val="clear" w:color="auto" w:fill="F2F2F2" w:themeFill="background1" w:themeFillShade="F2"/>
            <w:vAlign w:val="center"/>
          </w:tcPr>
          <w:p w14:paraId="1A7DED34" w14:textId="77777777" w:rsidR="00BC1C3A" w:rsidRPr="00DA1EBE" w:rsidRDefault="00BC1C3A" w:rsidP="00DA1EBE">
            <w:pPr>
              <w:pStyle w:val="TableText"/>
              <w:jc w:val="center"/>
              <w:rPr>
                <w:b/>
                <w:bCs/>
              </w:rPr>
            </w:pPr>
          </w:p>
        </w:tc>
        <w:tc>
          <w:tcPr>
            <w:tcW w:w="217" w:type="pct"/>
            <w:tcBorders>
              <w:left w:val="single" w:sz="6" w:space="0" w:color="BFBFBF" w:themeColor="background1" w:themeShade="BF"/>
              <w:right w:val="single" w:sz="6" w:space="0" w:color="auto"/>
            </w:tcBorders>
            <w:shd w:val="clear" w:color="auto" w:fill="F2F2F2" w:themeFill="background1" w:themeFillShade="F2"/>
            <w:vAlign w:val="center"/>
          </w:tcPr>
          <w:p w14:paraId="6C019198" w14:textId="77777777" w:rsidR="00BC1C3A" w:rsidRPr="00DA1EBE" w:rsidRDefault="00BC1C3A" w:rsidP="00DA1EBE">
            <w:pPr>
              <w:pStyle w:val="TableText"/>
              <w:jc w:val="center"/>
              <w:rPr>
                <w:b/>
                <w:bCs/>
              </w:rPr>
            </w:pPr>
          </w:p>
        </w:tc>
      </w:tr>
      <w:tr w:rsidR="00380CE9" w:rsidRPr="00B65F7F" w14:paraId="54EFBB1C" w14:textId="77777777" w:rsidTr="00F820B9">
        <w:trPr>
          <w:gridAfter w:val="1"/>
          <w:wAfter w:w="9" w:type="pct"/>
          <w:trHeight w:val="20"/>
        </w:trPr>
        <w:tc>
          <w:tcPr>
            <w:tcW w:w="503" w:type="pct"/>
            <w:vMerge/>
            <w:tcBorders>
              <w:top w:val="single" w:sz="4" w:space="0" w:color="BFBFBF" w:themeColor="background1" w:themeShade="BF"/>
              <w:bottom w:val="single" w:sz="6" w:space="0" w:color="595959" w:themeColor="text1" w:themeTint="A6"/>
            </w:tcBorders>
            <w:hideMark/>
          </w:tcPr>
          <w:p w14:paraId="69C8F22C" w14:textId="77777777" w:rsidR="00BC1C3A" w:rsidRPr="00B65F7F" w:rsidRDefault="00BC1C3A" w:rsidP="00BC1C3A">
            <w:pPr>
              <w:pStyle w:val="TableText"/>
            </w:pPr>
          </w:p>
        </w:tc>
        <w:tc>
          <w:tcPr>
            <w:tcW w:w="953" w:type="pct"/>
            <w:vMerge/>
            <w:hideMark/>
          </w:tcPr>
          <w:p w14:paraId="5CFF60B1" w14:textId="77777777" w:rsidR="00BC1C3A" w:rsidRPr="00B65F7F" w:rsidRDefault="00BC1C3A" w:rsidP="00DA1EBE">
            <w:pPr>
              <w:pStyle w:val="TableText"/>
            </w:pPr>
          </w:p>
        </w:tc>
        <w:tc>
          <w:tcPr>
            <w:tcW w:w="336" w:type="pct"/>
            <w:tcBorders>
              <w:right w:val="single" w:sz="6" w:space="0" w:color="595959" w:themeColor="text1" w:themeTint="A6"/>
            </w:tcBorders>
            <w:hideMark/>
          </w:tcPr>
          <w:p w14:paraId="4C2D56EB" w14:textId="77777777" w:rsidR="00BC1C3A" w:rsidRPr="00B65F7F" w:rsidRDefault="00BC1C3A" w:rsidP="00DA1EBE">
            <w:pPr>
              <w:pStyle w:val="TableText"/>
            </w:pPr>
            <w:r w:rsidRPr="00B65F7F">
              <w:t>Support</w:t>
            </w:r>
          </w:p>
        </w:tc>
        <w:tc>
          <w:tcPr>
            <w:tcW w:w="217" w:type="pct"/>
            <w:tcBorders>
              <w:top w:val="single" w:sz="4" w:space="0" w:color="BFBFBF" w:themeColor="background1" w:themeShade="BF"/>
              <w:left w:val="single" w:sz="6" w:space="0" w:color="595959" w:themeColor="text1" w:themeTint="A6"/>
              <w:right w:val="single" w:sz="6" w:space="0" w:color="BFBFBF" w:themeColor="background1" w:themeShade="BF"/>
            </w:tcBorders>
            <w:vAlign w:val="center"/>
            <w:hideMark/>
          </w:tcPr>
          <w:p w14:paraId="026C4F70" w14:textId="77777777" w:rsidR="00BC1C3A" w:rsidRPr="00B65F7F" w:rsidRDefault="00BC1C3A" w:rsidP="00DA1EBE">
            <w:pPr>
              <w:pStyle w:val="TableText"/>
              <w:jc w:val="center"/>
            </w:pPr>
          </w:p>
        </w:tc>
        <w:tc>
          <w:tcPr>
            <w:tcW w:w="218" w:type="pct"/>
            <w:gridSpan w:val="2"/>
            <w:tcBorders>
              <w:left w:val="single" w:sz="6" w:space="0" w:color="BFBFBF" w:themeColor="background1" w:themeShade="BF"/>
              <w:right w:val="single" w:sz="6" w:space="0" w:color="BFBFBF" w:themeColor="background1" w:themeShade="BF"/>
            </w:tcBorders>
            <w:vAlign w:val="center"/>
            <w:hideMark/>
          </w:tcPr>
          <w:p w14:paraId="10303BE7" w14:textId="77777777" w:rsidR="00BC1C3A" w:rsidRPr="00B65F7F" w:rsidRDefault="00BC1C3A" w:rsidP="00DA1EBE">
            <w:pPr>
              <w:pStyle w:val="TableText"/>
              <w:jc w:val="center"/>
            </w:pPr>
            <w:r w:rsidRPr="00B65F7F">
              <w:rPr>
                <w:rFonts w:ascii="Segoe UI Symbol" w:hAnsi="Segoe UI Symbol" w:cs="Segoe UI Symbol"/>
              </w:rPr>
              <w:t>✓</w:t>
            </w: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2576D9F3"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5B93FF44" w14:textId="77777777" w:rsidR="00BC1C3A" w:rsidRPr="00B65F7F" w:rsidRDefault="00BC1C3A" w:rsidP="00DA1EBE">
            <w:pPr>
              <w:pStyle w:val="TableText"/>
              <w:jc w:val="center"/>
            </w:pPr>
          </w:p>
        </w:tc>
        <w:tc>
          <w:tcPr>
            <w:tcW w:w="160" w:type="pct"/>
            <w:tcBorders>
              <w:left w:val="single" w:sz="6" w:space="0" w:color="BFBFBF" w:themeColor="background1" w:themeShade="BF"/>
              <w:right w:val="single" w:sz="6" w:space="0" w:color="595959" w:themeColor="text1" w:themeTint="A6"/>
            </w:tcBorders>
            <w:vAlign w:val="center"/>
            <w:hideMark/>
          </w:tcPr>
          <w:p w14:paraId="57B4B230" w14:textId="77777777" w:rsidR="00BC1C3A" w:rsidRPr="00B65F7F" w:rsidRDefault="00BC1C3A" w:rsidP="00DA1EBE">
            <w:pPr>
              <w:pStyle w:val="TableText"/>
              <w:jc w:val="center"/>
            </w:pPr>
          </w:p>
        </w:tc>
        <w:tc>
          <w:tcPr>
            <w:tcW w:w="217" w:type="pct"/>
            <w:gridSpan w:val="2"/>
            <w:tcBorders>
              <w:top w:val="single" w:sz="4" w:space="0" w:color="BFBFBF" w:themeColor="background1" w:themeShade="BF"/>
              <w:left w:val="single" w:sz="6" w:space="0" w:color="595959" w:themeColor="text1" w:themeTint="A6"/>
              <w:right w:val="single" w:sz="6" w:space="0" w:color="BFBFBF" w:themeColor="background1" w:themeShade="BF"/>
            </w:tcBorders>
            <w:vAlign w:val="center"/>
            <w:hideMark/>
          </w:tcPr>
          <w:p w14:paraId="4A24B726"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7D93133A"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0E55A3E4"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067D130F" w14:textId="77777777" w:rsidR="00BC1C3A" w:rsidRPr="00B65F7F" w:rsidRDefault="00BC1C3A" w:rsidP="00DA1EBE">
            <w:pPr>
              <w:pStyle w:val="TableText"/>
              <w:jc w:val="center"/>
            </w:pPr>
          </w:p>
        </w:tc>
        <w:tc>
          <w:tcPr>
            <w:tcW w:w="217" w:type="pct"/>
            <w:tcBorders>
              <w:top w:val="single" w:sz="4" w:space="0" w:color="BFBFBF" w:themeColor="background1" w:themeShade="BF"/>
              <w:left w:val="single" w:sz="6" w:space="0" w:color="BFBFBF" w:themeColor="background1" w:themeShade="BF"/>
              <w:right w:val="single" w:sz="4" w:space="0" w:color="404040" w:themeColor="text1" w:themeTint="BF"/>
            </w:tcBorders>
            <w:vAlign w:val="center"/>
            <w:hideMark/>
          </w:tcPr>
          <w:p w14:paraId="0750E6E4" w14:textId="77777777" w:rsidR="00BC1C3A" w:rsidRPr="00B65F7F" w:rsidRDefault="00BC1C3A" w:rsidP="00DA1EBE">
            <w:pPr>
              <w:pStyle w:val="TableText"/>
              <w:jc w:val="center"/>
            </w:pPr>
          </w:p>
        </w:tc>
        <w:tc>
          <w:tcPr>
            <w:tcW w:w="217" w:type="pct"/>
            <w:gridSpan w:val="2"/>
            <w:tcBorders>
              <w:left w:val="single" w:sz="4" w:space="0" w:color="404040" w:themeColor="text1" w:themeTint="BF"/>
            </w:tcBorders>
            <w:vAlign w:val="center"/>
          </w:tcPr>
          <w:p w14:paraId="45B67465"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tcBorders>
            <w:vAlign w:val="center"/>
          </w:tcPr>
          <w:p w14:paraId="039C300B" w14:textId="77777777" w:rsidR="00BC1C3A" w:rsidRPr="00B65F7F" w:rsidRDefault="00BC1C3A" w:rsidP="00DA1EBE">
            <w:pPr>
              <w:pStyle w:val="TableText"/>
              <w:jc w:val="center"/>
            </w:pPr>
            <w:r w:rsidRPr="00B65F7F">
              <w:rPr>
                <w:rFonts w:ascii="Segoe UI Symbol" w:hAnsi="Segoe UI Symbol" w:cs="Segoe UI Symbol"/>
              </w:rPr>
              <w:t>✓</w:t>
            </w:r>
          </w:p>
        </w:tc>
        <w:tc>
          <w:tcPr>
            <w:tcW w:w="217" w:type="pct"/>
            <w:gridSpan w:val="2"/>
            <w:tcBorders>
              <w:left w:val="single" w:sz="6" w:space="0" w:color="BFBFBF" w:themeColor="background1" w:themeShade="BF"/>
            </w:tcBorders>
            <w:vAlign w:val="center"/>
          </w:tcPr>
          <w:p w14:paraId="19EBD84F"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tcBorders>
            <w:vAlign w:val="center"/>
          </w:tcPr>
          <w:p w14:paraId="07D61F07" w14:textId="77777777" w:rsidR="00BC1C3A" w:rsidRPr="00B65F7F" w:rsidRDefault="00BC1C3A" w:rsidP="00DA1EBE">
            <w:pPr>
              <w:pStyle w:val="TableText"/>
              <w:jc w:val="center"/>
            </w:pPr>
          </w:p>
        </w:tc>
        <w:tc>
          <w:tcPr>
            <w:tcW w:w="217" w:type="pct"/>
            <w:tcBorders>
              <w:left w:val="single" w:sz="6" w:space="0" w:color="BFBFBF" w:themeColor="background1" w:themeShade="BF"/>
              <w:right w:val="single" w:sz="6" w:space="0" w:color="auto"/>
            </w:tcBorders>
            <w:vAlign w:val="center"/>
          </w:tcPr>
          <w:p w14:paraId="3C70F83B" w14:textId="77777777" w:rsidR="00BC1C3A" w:rsidRPr="00B65F7F" w:rsidRDefault="00BC1C3A" w:rsidP="00DA1EBE">
            <w:pPr>
              <w:pStyle w:val="TableText"/>
              <w:jc w:val="center"/>
            </w:pPr>
          </w:p>
        </w:tc>
      </w:tr>
      <w:tr w:rsidR="00380CE9" w:rsidRPr="00B65F7F" w14:paraId="6D8CB1A8" w14:textId="77777777" w:rsidTr="00F820B9">
        <w:trPr>
          <w:gridAfter w:val="1"/>
          <w:wAfter w:w="9" w:type="pct"/>
          <w:trHeight w:val="20"/>
        </w:trPr>
        <w:tc>
          <w:tcPr>
            <w:tcW w:w="503" w:type="pct"/>
            <w:vMerge/>
            <w:tcBorders>
              <w:top w:val="single" w:sz="4" w:space="0" w:color="BFBFBF" w:themeColor="background1" w:themeShade="BF"/>
              <w:bottom w:val="single" w:sz="6" w:space="0" w:color="595959" w:themeColor="text1" w:themeTint="A6"/>
            </w:tcBorders>
            <w:hideMark/>
          </w:tcPr>
          <w:p w14:paraId="0BEA0C8C" w14:textId="77777777" w:rsidR="00BC1C3A" w:rsidRPr="00B65F7F" w:rsidRDefault="00BC1C3A" w:rsidP="00BC1C3A">
            <w:pPr>
              <w:pStyle w:val="TableText"/>
            </w:pPr>
          </w:p>
        </w:tc>
        <w:tc>
          <w:tcPr>
            <w:tcW w:w="953" w:type="pct"/>
            <w:vMerge w:val="restart"/>
            <w:hideMark/>
          </w:tcPr>
          <w:p w14:paraId="2CF01580" w14:textId="77777777" w:rsidR="00BC1C3A" w:rsidRPr="00B65F7F" w:rsidRDefault="00BC1C3A" w:rsidP="00DA1EBE">
            <w:pPr>
              <w:pStyle w:val="TableText"/>
            </w:pPr>
            <w:r w:rsidRPr="00B65F7F">
              <w:t>Building and strengthening governance mechanisms</w:t>
            </w:r>
          </w:p>
        </w:tc>
        <w:tc>
          <w:tcPr>
            <w:tcW w:w="336" w:type="pct"/>
            <w:tcBorders>
              <w:right w:val="single" w:sz="6" w:space="0" w:color="595959" w:themeColor="text1" w:themeTint="A6"/>
            </w:tcBorders>
            <w:shd w:val="clear" w:color="auto" w:fill="F2F2F2" w:themeFill="background1" w:themeFillShade="F2"/>
            <w:hideMark/>
          </w:tcPr>
          <w:p w14:paraId="1175A3A6" w14:textId="77777777" w:rsidR="00BC1C3A" w:rsidRPr="00B65F7F" w:rsidRDefault="00BC1C3A" w:rsidP="00DA1EBE">
            <w:pPr>
              <w:pStyle w:val="TableText"/>
            </w:pPr>
            <w:r w:rsidRPr="00B65F7F">
              <w:t>Lead</w:t>
            </w:r>
          </w:p>
        </w:tc>
        <w:tc>
          <w:tcPr>
            <w:tcW w:w="217" w:type="pct"/>
            <w:tcBorders>
              <w:top w:val="single" w:sz="4" w:space="0" w:color="BFBFBF" w:themeColor="background1" w:themeShade="BF"/>
              <w:left w:val="single" w:sz="6" w:space="0" w:color="595959" w:themeColor="text1" w:themeTint="A6"/>
              <w:right w:val="single" w:sz="6" w:space="0" w:color="BFBFBF" w:themeColor="background1" w:themeShade="BF"/>
            </w:tcBorders>
            <w:shd w:val="clear" w:color="auto" w:fill="F2F2F2" w:themeFill="background1" w:themeFillShade="F2"/>
            <w:vAlign w:val="center"/>
            <w:hideMark/>
          </w:tcPr>
          <w:p w14:paraId="6913CA1B" w14:textId="77777777" w:rsidR="00BC1C3A" w:rsidRPr="00DA1EBE" w:rsidRDefault="00BC1C3A" w:rsidP="00DA1EBE">
            <w:pPr>
              <w:pStyle w:val="TableText"/>
              <w:jc w:val="center"/>
              <w:rPr>
                <w:b/>
                <w:bCs/>
              </w:rPr>
            </w:pPr>
            <w:r w:rsidRPr="00DA1EBE">
              <w:rPr>
                <w:rFonts w:ascii="Segoe UI Symbol" w:hAnsi="Segoe UI Symbol" w:cs="Segoe UI Symbol"/>
                <w:b/>
                <w:bCs/>
              </w:rPr>
              <w:t>✓</w:t>
            </w:r>
          </w:p>
        </w:tc>
        <w:tc>
          <w:tcPr>
            <w:tcW w:w="218"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373D4D7E" w14:textId="77777777" w:rsidR="00BC1C3A" w:rsidRPr="00DA1EBE" w:rsidRDefault="00BC1C3A" w:rsidP="00DA1EBE">
            <w:pPr>
              <w:pStyle w:val="TableText"/>
              <w:jc w:val="center"/>
              <w:rPr>
                <w:b/>
                <w:bCs/>
              </w:rPr>
            </w:pP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45D2B2E4" w14:textId="77777777" w:rsidR="00BC1C3A" w:rsidRPr="00DA1EBE" w:rsidRDefault="00BC1C3A" w:rsidP="00DA1EBE">
            <w:pPr>
              <w:pStyle w:val="TableText"/>
              <w:jc w:val="center"/>
              <w:rPr>
                <w:b/>
                <w:bCs/>
              </w:rPr>
            </w:pP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3F259FAF" w14:textId="77777777" w:rsidR="00BC1C3A" w:rsidRPr="00DA1EBE" w:rsidRDefault="00BC1C3A" w:rsidP="00DA1EBE">
            <w:pPr>
              <w:pStyle w:val="TableText"/>
              <w:jc w:val="center"/>
              <w:rPr>
                <w:b/>
                <w:bCs/>
              </w:rPr>
            </w:pPr>
          </w:p>
        </w:tc>
        <w:tc>
          <w:tcPr>
            <w:tcW w:w="160" w:type="pct"/>
            <w:tcBorders>
              <w:left w:val="single" w:sz="6" w:space="0" w:color="BFBFBF" w:themeColor="background1" w:themeShade="BF"/>
              <w:right w:val="single" w:sz="6" w:space="0" w:color="595959" w:themeColor="text1" w:themeTint="A6"/>
            </w:tcBorders>
            <w:shd w:val="clear" w:color="auto" w:fill="F2F2F2" w:themeFill="background1" w:themeFillShade="F2"/>
            <w:vAlign w:val="center"/>
            <w:hideMark/>
          </w:tcPr>
          <w:p w14:paraId="216BC1A9" w14:textId="77777777" w:rsidR="00BC1C3A" w:rsidRPr="00DA1EBE" w:rsidRDefault="00BC1C3A" w:rsidP="00DA1EBE">
            <w:pPr>
              <w:pStyle w:val="TableText"/>
              <w:jc w:val="center"/>
              <w:rPr>
                <w:b/>
                <w:bCs/>
              </w:rPr>
            </w:pPr>
          </w:p>
        </w:tc>
        <w:tc>
          <w:tcPr>
            <w:tcW w:w="217" w:type="pct"/>
            <w:gridSpan w:val="2"/>
            <w:tcBorders>
              <w:top w:val="single" w:sz="4" w:space="0" w:color="BFBFBF" w:themeColor="background1" w:themeShade="BF"/>
              <w:left w:val="single" w:sz="6" w:space="0" w:color="595959" w:themeColor="text1" w:themeTint="A6"/>
              <w:right w:val="single" w:sz="6" w:space="0" w:color="BFBFBF" w:themeColor="background1" w:themeShade="BF"/>
            </w:tcBorders>
            <w:shd w:val="clear" w:color="auto" w:fill="F2F2F2" w:themeFill="background1" w:themeFillShade="F2"/>
            <w:vAlign w:val="center"/>
            <w:hideMark/>
          </w:tcPr>
          <w:p w14:paraId="3DF13601" w14:textId="77777777" w:rsidR="00BC1C3A" w:rsidRPr="00DA1EBE" w:rsidRDefault="00BC1C3A" w:rsidP="00DA1EBE">
            <w:pPr>
              <w:pStyle w:val="TableText"/>
              <w:jc w:val="center"/>
              <w:rPr>
                <w:b/>
                <w:bCs/>
              </w:rPr>
            </w:pP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69B19462" w14:textId="77777777" w:rsidR="00BC1C3A" w:rsidRPr="00DA1EBE" w:rsidRDefault="00BC1C3A" w:rsidP="00DA1EBE">
            <w:pPr>
              <w:pStyle w:val="TableText"/>
              <w:jc w:val="center"/>
              <w:rPr>
                <w:b/>
                <w:bCs/>
              </w:rPr>
            </w:pP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5C967381" w14:textId="77777777" w:rsidR="00BC1C3A" w:rsidRPr="00DA1EBE" w:rsidRDefault="00BC1C3A" w:rsidP="00DA1EBE">
            <w:pPr>
              <w:pStyle w:val="TableText"/>
              <w:jc w:val="center"/>
              <w:rPr>
                <w:b/>
                <w:bCs/>
              </w:rPr>
            </w:pPr>
            <w:r w:rsidRPr="00DA1EBE">
              <w:rPr>
                <w:rFonts w:ascii="Segoe UI Symbol" w:hAnsi="Segoe UI Symbol" w:cs="Segoe UI Symbol"/>
                <w:b/>
                <w:bCs/>
              </w:rPr>
              <w:t>✓</w:t>
            </w:r>
          </w:p>
        </w:tc>
        <w:tc>
          <w:tcPr>
            <w:tcW w:w="217" w:type="pct"/>
            <w:gridSpan w:val="2"/>
            <w:tcBorders>
              <w:left w:val="single" w:sz="6" w:space="0" w:color="BFBFBF" w:themeColor="background1" w:themeShade="BF"/>
              <w:right w:val="single" w:sz="6" w:space="0" w:color="BFBFBF" w:themeColor="background1" w:themeShade="BF"/>
            </w:tcBorders>
            <w:shd w:val="clear" w:color="auto" w:fill="F2F2F2" w:themeFill="background1" w:themeFillShade="F2"/>
            <w:vAlign w:val="center"/>
            <w:hideMark/>
          </w:tcPr>
          <w:p w14:paraId="12D9F807" w14:textId="77777777" w:rsidR="00BC1C3A" w:rsidRPr="00DA1EBE" w:rsidRDefault="00BC1C3A" w:rsidP="00DA1EBE">
            <w:pPr>
              <w:pStyle w:val="TableText"/>
              <w:jc w:val="center"/>
              <w:rPr>
                <w:b/>
                <w:bCs/>
              </w:rPr>
            </w:pPr>
          </w:p>
        </w:tc>
        <w:tc>
          <w:tcPr>
            <w:tcW w:w="217" w:type="pct"/>
            <w:tcBorders>
              <w:top w:val="single" w:sz="4" w:space="0" w:color="BFBFBF" w:themeColor="background1" w:themeShade="BF"/>
              <w:left w:val="single" w:sz="6" w:space="0" w:color="BFBFBF" w:themeColor="background1" w:themeShade="BF"/>
              <w:right w:val="single" w:sz="4" w:space="0" w:color="404040" w:themeColor="text1" w:themeTint="BF"/>
            </w:tcBorders>
            <w:shd w:val="clear" w:color="auto" w:fill="F2F2F2" w:themeFill="background1" w:themeFillShade="F2"/>
            <w:vAlign w:val="center"/>
            <w:hideMark/>
          </w:tcPr>
          <w:p w14:paraId="4F0CE80E" w14:textId="77777777" w:rsidR="00BC1C3A" w:rsidRPr="00DA1EBE" w:rsidRDefault="00BC1C3A" w:rsidP="00DA1EBE">
            <w:pPr>
              <w:pStyle w:val="TableText"/>
              <w:jc w:val="center"/>
              <w:rPr>
                <w:b/>
                <w:bCs/>
              </w:rPr>
            </w:pPr>
          </w:p>
        </w:tc>
        <w:tc>
          <w:tcPr>
            <w:tcW w:w="217" w:type="pct"/>
            <w:gridSpan w:val="2"/>
            <w:tcBorders>
              <w:left w:val="single" w:sz="4" w:space="0" w:color="404040" w:themeColor="text1" w:themeTint="BF"/>
            </w:tcBorders>
            <w:shd w:val="clear" w:color="auto" w:fill="F2F2F2" w:themeFill="background1" w:themeFillShade="F2"/>
            <w:vAlign w:val="center"/>
          </w:tcPr>
          <w:p w14:paraId="3D2F2DD0" w14:textId="77777777" w:rsidR="00BC1C3A" w:rsidRPr="00DA1EBE" w:rsidRDefault="00BC1C3A" w:rsidP="00DA1EBE">
            <w:pPr>
              <w:pStyle w:val="TableText"/>
              <w:jc w:val="center"/>
              <w:rPr>
                <w:b/>
                <w:bCs/>
              </w:rPr>
            </w:pPr>
            <w:r w:rsidRPr="00DA1EBE">
              <w:rPr>
                <w:rFonts w:ascii="Segoe UI Symbol" w:hAnsi="Segoe UI Symbol" w:cs="Segoe UI Symbol"/>
                <w:b/>
                <w:bCs/>
              </w:rPr>
              <w:t>✓</w:t>
            </w:r>
          </w:p>
        </w:tc>
        <w:tc>
          <w:tcPr>
            <w:tcW w:w="217" w:type="pct"/>
            <w:gridSpan w:val="2"/>
            <w:tcBorders>
              <w:left w:val="single" w:sz="6" w:space="0" w:color="BFBFBF" w:themeColor="background1" w:themeShade="BF"/>
            </w:tcBorders>
            <w:shd w:val="clear" w:color="auto" w:fill="F2F2F2" w:themeFill="background1" w:themeFillShade="F2"/>
            <w:vAlign w:val="center"/>
          </w:tcPr>
          <w:p w14:paraId="55FD5E67" w14:textId="77777777" w:rsidR="00BC1C3A" w:rsidRPr="00DA1EBE" w:rsidRDefault="00BC1C3A" w:rsidP="00DA1EBE">
            <w:pPr>
              <w:pStyle w:val="TableText"/>
              <w:jc w:val="center"/>
              <w:rPr>
                <w:b/>
                <w:bCs/>
              </w:rPr>
            </w:pPr>
          </w:p>
        </w:tc>
        <w:tc>
          <w:tcPr>
            <w:tcW w:w="217" w:type="pct"/>
            <w:gridSpan w:val="2"/>
            <w:tcBorders>
              <w:left w:val="single" w:sz="6" w:space="0" w:color="BFBFBF" w:themeColor="background1" w:themeShade="BF"/>
            </w:tcBorders>
            <w:shd w:val="clear" w:color="auto" w:fill="F2F2F2" w:themeFill="background1" w:themeFillShade="F2"/>
            <w:vAlign w:val="center"/>
          </w:tcPr>
          <w:p w14:paraId="741B6716" w14:textId="77777777" w:rsidR="00BC1C3A" w:rsidRPr="00DA1EBE" w:rsidRDefault="00BC1C3A" w:rsidP="00DA1EBE">
            <w:pPr>
              <w:pStyle w:val="TableText"/>
              <w:jc w:val="center"/>
              <w:rPr>
                <w:b/>
                <w:bCs/>
              </w:rPr>
            </w:pPr>
          </w:p>
        </w:tc>
        <w:tc>
          <w:tcPr>
            <w:tcW w:w="217" w:type="pct"/>
            <w:gridSpan w:val="2"/>
            <w:tcBorders>
              <w:left w:val="single" w:sz="6" w:space="0" w:color="BFBFBF" w:themeColor="background1" w:themeShade="BF"/>
            </w:tcBorders>
            <w:shd w:val="clear" w:color="auto" w:fill="F2F2F2" w:themeFill="background1" w:themeFillShade="F2"/>
            <w:vAlign w:val="center"/>
          </w:tcPr>
          <w:p w14:paraId="5A4EB6BE" w14:textId="77777777" w:rsidR="00BC1C3A" w:rsidRPr="00DA1EBE" w:rsidRDefault="00BC1C3A" w:rsidP="00DA1EBE">
            <w:pPr>
              <w:pStyle w:val="TableText"/>
              <w:jc w:val="center"/>
              <w:rPr>
                <w:b/>
                <w:bCs/>
              </w:rPr>
            </w:pPr>
          </w:p>
        </w:tc>
        <w:tc>
          <w:tcPr>
            <w:tcW w:w="217" w:type="pct"/>
            <w:tcBorders>
              <w:left w:val="single" w:sz="6" w:space="0" w:color="BFBFBF" w:themeColor="background1" w:themeShade="BF"/>
              <w:right w:val="single" w:sz="6" w:space="0" w:color="auto"/>
            </w:tcBorders>
            <w:shd w:val="clear" w:color="auto" w:fill="F2F2F2" w:themeFill="background1" w:themeFillShade="F2"/>
            <w:vAlign w:val="center"/>
          </w:tcPr>
          <w:p w14:paraId="18C58BB1" w14:textId="77777777" w:rsidR="00BC1C3A" w:rsidRPr="00DA1EBE" w:rsidRDefault="00BC1C3A" w:rsidP="00DA1EBE">
            <w:pPr>
              <w:pStyle w:val="TableText"/>
              <w:jc w:val="center"/>
              <w:rPr>
                <w:b/>
                <w:bCs/>
              </w:rPr>
            </w:pPr>
          </w:p>
        </w:tc>
      </w:tr>
      <w:tr w:rsidR="00380CE9" w:rsidRPr="00B65F7F" w14:paraId="788A6B98" w14:textId="77777777" w:rsidTr="00F820B9">
        <w:trPr>
          <w:gridAfter w:val="1"/>
          <w:wAfter w:w="9" w:type="pct"/>
          <w:trHeight w:val="20"/>
        </w:trPr>
        <w:tc>
          <w:tcPr>
            <w:tcW w:w="503" w:type="pct"/>
            <w:vMerge/>
            <w:tcBorders>
              <w:top w:val="single" w:sz="4" w:space="0" w:color="BFBFBF" w:themeColor="background1" w:themeShade="BF"/>
              <w:bottom w:val="single" w:sz="6" w:space="0" w:color="595959" w:themeColor="text1" w:themeTint="A6"/>
            </w:tcBorders>
            <w:hideMark/>
          </w:tcPr>
          <w:p w14:paraId="49886840" w14:textId="77777777" w:rsidR="00BC1C3A" w:rsidRPr="00B65F7F" w:rsidRDefault="00BC1C3A" w:rsidP="00BC1C3A">
            <w:pPr>
              <w:pStyle w:val="TableText"/>
            </w:pPr>
          </w:p>
        </w:tc>
        <w:tc>
          <w:tcPr>
            <w:tcW w:w="953" w:type="pct"/>
            <w:vMerge/>
            <w:tcBorders>
              <w:bottom w:val="single" w:sz="4" w:space="0" w:color="BFBFBF" w:themeColor="background1" w:themeShade="BF"/>
            </w:tcBorders>
            <w:hideMark/>
          </w:tcPr>
          <w:p w14:paraId="11144096" w14:textId="77777777" w:rsidR="00BC1C3A" w:rsidRPr="00B65F7F" w:rsidRDefault="00BC1C3A" w:rsidP="00DA1EBE">
            <w:pPr>
              <w:pStyle w:val="TableText"/>
            </w:pPr>
          </w:p>
        </w:tc>
        <w:tc>
          <w:tcPr>
            <w:tcW w:w="336" w:type="pct"/>
            <w:tcBorders>
              <w:right w:val="single" w:sz="6" w:space="0" w:color="595959" w:themeColor="text1" w:themeTint="A6"/>
            </w:tcBorders>
            <w:hideMark/>
          </w:tcPr>
          <w:p w14:paraId="50FE6C18" w14:textId="77777777" w:rsidR="00BC1C3A" w:rsidRPr="00B65F7F" w:rsidRDefault="00BC1C3A" w:rsidP="00DA1EBE">
            <w:pPr>
              <w:pStyle w:val="TableText"/>
            </w:pPr>
            <w:r w:rsidRPr="00B65F7F">
              <w:t>Support</w:t>
            </w:r>
          </w:p>
        </w:tc>
        <w:tc>
          <w:tcPr>
            <w:tcW w:w="217" w:type="pct"/>
            <w:tcBorders>
              <w:top w:val="single" w:sz="4" w:space="0" w:color="BFBFBF" w:themeColor="background1" w:themeShade="BF"/>
              <w:left w:val="single" w:sz="6" w:space="0" w:color="595959" w:themeColor="text1" w:themeTint="A6"/>
              <w:right w:val="single" w:sz="6" w:space="0" w:color="BFBFBF" w:themeColor="background1" w:themeShade="BF"/>
            </w:tcBorders>
            <w:vAlign w:val="center"/>
            <w:hideMark/>
          </w:tcPr>
          <w:p w14:paraId="4B85B800" w14:textId="77777777" w:rsidR="00BC1C3A" w:rsidRPr="00B65F7F" w:rsidRDefault="00BC1C3A" w:rsidP="00DA1EBE">
            <w:pPr>
              <w:pStyle w:val="TableText"/>
              <w:jc w:val="center"/>
            </w:pPr>
            <w:r w:rsidRPr="00B65F7F">
              <w:rPr>
                <w:rFonts w:ascii="Segoe UI Symbol" w:hAnsi="Segoe UI Symbol" w:cs="Segoe UI Symbol"/>
              </w:rPr>
              <w:t>✓</w:t>
            </w:r>
          </w:p>
        </w:tc>
        <w:tc>
          <w:tcPr>
            <w:tcW w:w="218" w:type="pct"/>
            <w:gridSpan w:val="2"/>
            <w:tcBorders>
              <w:left w:val="single" w:sz="6" w:space="0" w:color="BFBFBF" w:themeColor="background1" w:themeShade="BF"/>
              <w:right w:val="single" w:sz="6" w:space="0" w:color="BFBFBF" w:themeColor="background1" w:themeShade="BF"/>
            </w:tcBorders>
            <w:vAlign w:val="center"/>
            <w:hideMark/>
          </w:tcPr>
          <w:p w14:paraId="63F0A553" w14:textId="77777777" w:rsidR="00BC1C3A" w:rsidRPr="00B65F7F" w:rsidRDefault="00BC1C3A" w:rsidP="00DA1EBE">
            <w:pPr>
              <w:pStyle w:val="TableText"/>
              <w:jc w:val="center"/>
            </w:pPr>
            <w:r w:rsidRPr="00B65F7F">
              <w:rPr>
                <w:rFonts w:ascii="Segoe UI Symbol" w:hAnsi="Segoe UI Symbol" w:cs="Segoe UI Symbol"/>
              </w:rPr>
              <w:t>✓</w:t>
            </w: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22034C60"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7395D5F0" w14:textId="77777777" w:rsidR="00BC1C3A" w:rsidRPr="00B65F7F" w:rsidRDefault="00BC1C3A" w:rsidP="00DA1EBE">
            <w:pPr>
              <w:pStyle w:val="TableText"/>
              <w:jc w:val="center"/>
            </w:pPr>
          </w:p>
        </w:tc>
        <w:tc>
          <w:tcPr>
            <w:tcW w:w="160" w:type="pct"/>
            <w:tcBorders>
              <w:left w:val="single" w:sz="6" w:space="0" w:color="BFBFBF" w:themeColor="background1" w:themeShade="BF"/>
              <w:right w:val="single" w:sz="6" w:space="0" w:color="595959" w:themeColor="text1" w:themeTint="A6"/>
            </w:tcBorders>
            <w:vAlign w:val="center"/>
            <w:hideMark/>
          </w:tcPr>
          <w:p w14:paraId="563D5AF0" w14:textId="77777777" w:rsidR="00BC1C3A" w:rsidRPr="00B65F7F" w:rsidRDefault="00BC1C3A" w:rsidP="00DA1EBE">
            <w:pPr>
              <w:pStyle w:val="TableText"/>
              <w:jc w:val="center"/>
            </w:pPr>
          </w:p>
        </w:tc>
        <w:tc>
          <w:tcPr>
            <w:tcW w:w="217" w:type="pct"/>
            <w:gridSpan w:val="2"/>
            <w:tcBorders>
              <w:top w:val="single" w:sz="4" w:space="0" w:color="BFBFBF" w:themeColor="background1" w:themeShade="BF"/>
              <w:left w:val="single" w:sz="6" w:space="0" w:color="595959" w:themeColor="text1" w:themeTint="A6"/>
              <w:right w:val="single" w:sz="6" w:space="0" w:color="BFBFBF" w:themeColor="background1" w:themeShade="BF"/>
            </w:tcBorders>
            <w:vAlign w:val="center"/>
            <w:hideMark/>
          </w:tcPr>
          <w:p w14:paraId="0AD681AE" w14:textId="77777777" w:rsidR="00BC1C3A" w:rsidRPr="00B65F7F" w:rsidRDefault="00BC1C3A" w:rsidP="00DA1EBE">
            <w:pPr>
              <w:pStyle w:val="TableText"/>
              <w:jc w:val="center"/>
            </w:pPr>
            <w:r w:rsidRPr="00B65F7F">
              <w:rPr>
                <w:rFonts w:ascii="Segoe UI Symbol" w:hAnsi="Segoe UI Symbol" w:cs="Segoe UI Symbol"/>
              </w:rPr>
              <w:t>✓</w:t>
            </w: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6239B78A" w14:textId="77777777" w:rsidR="00BC1C3A" w:rsidRPr="00B65F7F" w:rsidRDefault="00BC1C3A" w:rsidP="00DA1EBE">
            <w:pPr>
              <w:pStyle w:val="TableText"/>
              <w:jc w:val="center"/>
            </w:pPr>
            <w:r w:rsidRPr="00B65F7F">
              <w:rPr>
                <w:rFonts w:ascii="Segoe UI Symbol" w:hAnsi="Segoe UI Symbol" w:cs="Segoe UI Symbol"/>
              </w:rPr>
              <w:t>✓</w:t>
            </w: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5B432656" w14:textId="77777777" w:rsidR="00BC1C3A" w:rsidRPr="00B65F7F" w:rsidRDefault="00BC1C3A" w:rsidP="00DA1EBE">
            <w:pPr>
              <w:pStyle w:val="TableText"/>
              <w:jc w:val="center"/>
            </w:pPr>
            <w:r w:rsidRPr="00B65F7F">
              <w:rPr>
                <w:rFonts w:ascii="Segoe UI Symbol" w:hAnsi="Segoe UI Symbol" w:cs="Segoe UI Symbol"/>
              </w:rPr>
              <w:t>✓</w:t>
            </w:r>
          </w:p>
        </w:tc>
        <w:tc>
          <w:tcPr>
            <w:tcW w:w="217" w:type="pct"/>
            <w:gridSpan w:val="2"/>
            <w:tcBorders>
              <w:left w:val="single" w:sz="6" w:space="0" w:color="BFBFBF" w:themeColor="background1" w:themeShade="BF"/>
              <w:right w:val="single" w:sz="6" w:space="0" w:color="BFBFBF" w:themeColor="background1" w:themeShade="BF"/>
            </w:tcBorders>
            <w:vAlign w:val="center"/>
            <w:hideMark/>
          </w:tcPr>
          <w:p w14:paraId="3A229F16" w14:textId="77777777" w:rsidR="00BC1C3A" w:rsidRPr="00B65F7F" w:rsidRDefault="00BC1C3A" w:rsidP="00DA1EBE">
            <w:pPr>
              <w:pStyle w:val="TableText"/>
              <w:jc w:val="center"/>
            </w:pPr>
          </w:p>
        </w:tc>
        <w:tc>
          <w:tcPr>
            <w:tcW w:w="217" w:type="pct"/>
            <w:tcBorders>
              <w:top w:val="single" w:sz="4" w:space="0" w:color="BFBFBF" w:themeColor="background1" w:themeShade="BF"/>
              <w:left w:val="single" w:sz="6" w:space="0" w:color="BFBFBF" w:themeColor="background1" w:themeShade="BF"/>
              <w:right w:val="single" w:sz="4" w:space="0" w:color="404040" w:themeColor="text1" w:themeTint="BF"/>
            </w:tcBorders>
            <w:vAlign w:val="center"/>
            <w:hideMark/>
          </w:tcPr>
          <w:p w14:paraId="5D3DF3C5" w14:textId="77777777" w:rsidR="00BC1C3A" w:rsidRPr="00B65F7F" w:rsidRDefault="00BC1C3A" w:rsidP="00DA1EBE">
            <w:pPr>
              <w:pStyle w:val="TableText"/>
              <w:jc w:val="center"/>
            </w:pPr>
          </w:p>
        </w:tc>
        <w:tc>
          <w:tcPr>
            <w:tcW w:w="217" w:type="pct"/>
            <w:gridSpan w:val="2"/>
            <w:tcBorders>
              <w:left w:val="single" w:sz="4" w:space="0" w:color="404040" w:themeColor="text1" w:themeTint="BF"/>
            </w:tcBorders>
            <w:vAlign w:val="center"/>
          </w:tcPr>
          <w:p w14:paraId="2CBDB22C" w14:textId="77777777" w:rsidR="00BC1C3A" w:rsidRPr="00B65F7F" w:rsidRDefault="00BC1C3A" w:rsidP="00DA1EBE">
            <w:pPr>
              <w:pStyle w:val="TableText"/>
              <w:jc w:val="center"/>
            </w:pPr>
            <w:r w:rsidRPr="00B65F7F">
              <w:rPr>
                <w:rFonts w:ascii="Segoe UI Symbol" w:hAnsi="Segoe UI Symbol" w:cs="Segoe UI Symbol"/>
              </w:rPr>
              <w:t>✓</w:t>
            </w:r>
          </w:p>
        </w:tc>
        <w:tc>
          <w:tcPr>
            <w:tcW w:w="217" w:type="pct"/>
            <w:gridSpan w:val="2"/>
            <w:tcBorders>
              <w:left w:val="single" w:sz="6" w:space="0" w:color="BFBFBF" w:themeColor="background1" w:themeShade="BF"/>
            </w:tcBorders>
            <w:vAlign w:val="center"/>
          </w:tcPr>
          <w:p w14:paraId="04690127" w14:textId="77777777" w:rsidR="00BC1C3A" w:rsidRPr="00B65F7F" w:rsidRDefault="00BC1C3A" w:rsidP="00DA1EBE">
            <w:pPr>
              <w:pStyle w:val="TableText"/>
              <w:jc w:val="center"/>
            </w:pPr>
            <w:r w:rsidRPr="00B65F7F">
              <w:rPr>
                <w:rFonts w:ascii="Segoe UI Symbol" w:hAnsi="Segoe UI Symbol" w:cs="Segoe UI Symbol"/>
              </w:rPr>
              <w:t>✓</w:t>
            </w:r>
          </w:p>
        </w:tc>
        <w:tc>
          <w:tcPr>
            <w:tcW w:w="217" w:type="pct"/>
            <w:gridSpan w:val="2"/>
            <w:tcBorders>
              <w:left w:val="single" w:sz="6" w:space="0" w:color="BFBFBF" w:themeColor="background1" w:themeShade="BF"/>
            </w:tcBorders>
            <w:vAlign w:val="center"/>
          </w:tcPr>
          <w:p w14:paraId="4B5DED5D"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tcBorders>
            <w:vAlign w:val="center"/>
          </w:tcPr>
          <w:p w14:paraId="6D67EB77" w14:textId="77777777" w:rsidR="00BC1C3A" w:rsidRPr="00B65F7F" w:rsidRDefault="00BC1C3A" w:rsidP="00DA1EBE">
            <w:pPr>
              <w:pStyle w:val="TableText"/>
              <w:jc w:val="center"/>
            </w:pPr>
          </w:p>
        </w:tc>
        <w:tc>
          <w:tcPr>
            <w:tcW w:w="217" w:type="pct"/>
            <w:tcBorders>
              <w:left w:val="single" w:sz="6" w:space="0" w:color="BFBFBF" w:themeColor="background1" w:themeShade="BF"/>
              <w:right w:val="single" w:sz="6" w:space="0" w:color="auto"/>
            </w:tcBorders>
            <w:vAlign w:val="center"/>
          </w:tcPr>
          <w:p w14:paraId="46C11689" w14:textId="77777777" w:rsidR="00BC1C3A" w:rsidRPr="00B65F7F" w:rsidRDefault="00BC1C3A" w:rsidP="00DA1EBE">
            <w:pPr>
              <w:pStyle w:val="TableText"/>
              <w:jc w:val="center"/>
            </w:pPr>
          </w:p>
        </w:tc>
      </w:tr>
      <w:tr w:rsidR="00380CE9" w:rsidRPr="00B65F7F" w14:paraId="1A8D89D3" w14:textId="77777777" w:rsidTr="00F820B9">
        <w:trPr>
          <w:gridAfter w:val="1"/>
          <w:wAfter w:w="9" w:type="pct"/>
          <w:trHeight w:val="20"/>
        </w:trPr>
        <w:tc>
          <w:tcPr>
            <w:tcW w:w="503" w:type="pct"/>
            <w:vMerge/>
            <w:tcBorders>
              <w:top w:val="single" w:sz="4" w:space="0" w:color="BFBFBF" w:themeColor="background1" w:themeShade="BF"/>
              <w:bottom w:val="single" w:sz="6" w:space="0" w:color="595959" w:themeColor="text1" w:themeTint="A6"/>
            </w:tcBorders>
            <w:hideMark/>
          </w:tcPr>
          <w:p w14:paraId="714EA0A6" w14:textId="77777777" w:rsidR="00BC1C3A" w:rsidRPr="00B65F7F" w:rsidRDefault="00BC1C3A" w:rsidP="00BC1C3A">
            <w:pPr>
              <w:pStyle w:val="TableText"/>
            </w:pPr>
          </w:p>
        </w:tc>
        <w:tc>
          <w:tcPr>
            <w:tcW w:w="953" w:type="pct"/>
            <w:vMerge w:val="restart"/>
            <w:tcBorders>
              <w:top w:val="single" w:sz="4" w:space="0" w:color="BFBFBF" w:themeColor="background1" w:themeShade="BF"/>
              <w:bottom w:val="single" w:sz="6" w:space="0" w:color="595959" w:themeColor="text1" w:themeTint="A6"/>
            </w:tcBorders>
            <w:hideMark/>
          </w:tcPr>
          <w:p w14:paraId="7075F8DD" w14:textId="77777777" w:rsidR="00BC1C3A" w:rsidRPr="00B65F7F" w:rsidRDefault="00BC1C3A" w:rsidP="00DA1EBE">
            <w:pPr>
              <w:pStyle w:val="TableText"/>
            </w:pPr>
            <w:r w:rsidRPr="00B65F7F">
              <w:t>Enhancing the cultural safety of non-Indigenous service providers</w:t>
            </w:r>
          </w:p>
        </w:tc>
        <w:tc>
          <w:tcPr>
            <w:tcW w:w="336" w:type="pct"/>
            <w:tcBorders>
              <w:bottom w:val="single" w:sz="4" w:space="0" w:color="BFBFBF" w:themeColor="background1" w:themeShade="BF"/>
              <w:right w:val="single" w:sz="6" w:space="0" w:color="595959" w:themeColor="text1" w:themeTint="A6"/>
            </w:tcBorders>
            <w:shd w:val="clear" w:color="auto" w:fill="F2F2F2" w:themeFill="background1" w:themeFillShade="F2"/>
            <w:hideMark/>
          </w:tcPr>
          <w:p w14:paraId="78D91A29" w14:textId="77777777" w:rsidR="00BC1C3A" w:rsidRPr="00B65F7F" w:rsidRDefault="00BC1C3A" w:rsidP="00DA1EBE">
            <w:pPr>
              <w:pStyle w:val="TableText"/>
            </w:pPr>
            <w:r w:rsidRPr="00B65F7F">
              <w:t>Lead</w:t>
            </w:r>
          </w:p>
        </w:tc>
        <w:tc>
          <w:tcPr>
            <w:tcW w:w="217" w:type="pct"/>
            <w:tcBorders>
              <w:top w:val="single" w:sz="4" w:space="0" w:color="BFBFBF" w:themeColor="background1" w:themeShade="BF"/>
              <w:left w:val="single" w:sz="6" w:space="0" w:color="595959" w:themeColor="text1" w:themeTint="A6"/>
              <w:bottom w:val="single" w:sz="4" w:space="0" w:color="BFBFBF" w:themeColor="background1" w:themeShade="BF"/>
              <w:right w:val="single" w:sz="6" w:space="0" w:color="BFBFBF" w:themeColor="background1" w:themeShade="BF"/>
            </w:tcBorders>
            <w:shd w:val="clear" w:color="auto" w:fill="F2F2F2" w:themeFill="background1" w:themeFillShade="F2"/>
            <w:vAlign w:val="center"/>
            <w:hideMark/>
          </w:tcPr>
          <w:p w14:paraId="3BCD9C0B" w14:textId="77777777" w:rsidR="00BC1C3A" w:rsidRPr="00B65F7F" w:rsidRDefault="00BC1C3A" w:rsidP="00DA1EBE">
            <w:pPr>
              <w:pStyle w:val="TableText"/>
              <w:jc w:val="center"/>
            </w:pPr>
          </w:p>
        </w:tc>
        <w:tc>
          <w:tcPr>
            <w:tcW w:w="218" w:type="pct"/>
            <w:gridSpan w:val="2"/>
            <w:tcBorders>
              <w:left w:val="single" w:sz="6" w:space="0" w:color="BFBFBF" w:themeColor="background1" w:themeShade="BF"/>
              <w:bottom w:val="single" w:sz="4" w:space="0" w:color="BFBFBF" w:themeColor="background1" w:themeShade="BF"/>
              <w:right w:val="single" w:sz="6" w:space="0" w:color="BFBFBF" w:themeColor="background1" w:themeShade="BF"/>
            </w:tcBorders>
            <w:shd w:val="clear" w:color="auto" w:fill="F2F2F2" w:themeFill="background1" w:themeFillShade="F2"/>
            <w:vAlign w:val="center"/>
            <w:hideMark/>
          </w:tcPr>
          <w:p w14:paraId="59E8234B"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bottom w:val="single" w:sz="4" w:space="0" w:color="BFBFBF" w:themeColor="background1" w:themeShade="BF"/>
              <w:right w:val="single" w:sz="6" w:space="0" w:color="BFBFBF" w:themeColor="background1" w:themeShade="BF"/>
            </w:tcBorders>
            <w:shd w:val="clear" w:color="auto" w:fill="F2F2F2" w:themeFill="background1" w:themeFillShade="F2"/>
            <w:vAlign w:val="center"/>
            <w:hideMark/>
          </w:tcPr>
          <w:p w14:paraId="399ED128" w14:textId="77777777" w:rsidR="00BC1C3A" w:rsidRPr="00DC6C42" w:rsidRDefault="00BC1C3A" w:rsidP="00DA1EBE">
            <w:pPr>
              <w:pStyle w:val="TableText"/>
              <w:jc w:val="center"/>
              <w:rPr>
                <w:b/>
                <w:bCs/>
              </w:rPr>
            </w:pPr>
            <w:r w:rsidRPr="00DC6C42">
              <w:rPr>
                <w:rFonts w:ascii="Segoe UI Symbol" w:hAnsi="Segoe UI Symbol" w:cs="Segoe UI Symbol"/>
                <w:b/>
              </w:rPr>
              <w:t>✓</w:t>
            </w:r>
          </w:p>
        </w:tc>
        <w:tc>
          <w:tcPr>
            <w:tcW w:w="217" w:type="pct"/>
            <w:gridSpan w:val="2"/>
            <w:tcBorders>
              <w:left w:val="single" w:sz="6" w:space="0" w:color="BFBFBF" w:themeColor="background1" w:themeShade="BF"/>
              <w:bottom w:val="single" w:sz="4" w:space="0" w:color="BFBFBF" w:themeColor="background1" w:themeShade="BF"/>
              <w:right w:val="single" w:sz="6" w:space="0" w:color="BFBFBF" w:themeColor="background1" w:themeShade="BF"/>
            </w:tcBorders>
            <w:shd w:val="clear" w:color="auto" w:fill="F2F2F2" w:themeFill="background1" w:themeFillShade="F2"/>
            <w:vAlign w:val="center"/>
            <w:hideMark/>
          </w:tcPr>
          <w:p w14:paraId="1CCACE5D" w14:textId="77777777" w:rsidR="00BC1C3A" w:rsidRPr="00B65F7F" w:rsidRDefault="00BC1C3A" w:rsidP="00DA1EBE">
            <w:pPr>
              <w:pStyle w:val="TableText"/>
              <w:jc w:val="center"/>
            </w:pPr>
          </w:p>
        </w:tc>
        <w:tc>
          <w:tcPr>
            <w:tcW w:w="160" w:type="pct"/>
            <w:tcBorders>
              <w:left w:val="single" w:sz="6" w:space="0" w:color="BFBFBF" w:themeColor="background1" w:themeShade="BF"/>
              <w:bottom w:val="single" w:sz="4" w:space="0" w:color="BFBFBF" w:themeColor="background1" w:themeShade="BF"/>
              <w:right w:val="single" w:sz="6" w:space="0" w:color="595959" w:themeColor="text1" w:themeTint="A6"/>
            </w:tcBorders>
            <w:shd w:val="clear" w:color="auto" w:fill="F2F2F2" w:themeFill="background1" w:themeFillShade="F2"/>
            <w:vAlign w:val="center"/>
            <w:hideMark/>
          </w:tcPr>
          <w:p w14:paraId="2B5B8FAB" w14:textId="77777777" w:rsidR="00BC1C3A" w:rsidRPr="00B65F7F" w:rsidRDefault="00BC1C3A" w:rsidP="00DA1EBE">
            <w:pPr>
              <w:pStyle w:val="TableText"/>
              <w:jc w:val="center"/>
            </w:pPr>
          </w:p>
        </w:tc>
        <w:tc>
          <w:tcPr>
            <w:tcW w:w="217" w:type="pct"/>
            <w:gridSpan w:val="2"/>
            <w:tcBorders>
              <w:top w:val="single" w:sz="4" w:space="0" w:color="BFBFBF" w:themeColor="background1" w:themeShade="BF"/>
              <w:left w:val="single" w:sz="6" w:space="0" w:color="595959" w:themeColor="text1" w:themeTint="A6"/>
              <w:bottom w:val="single" w:sz="4" w:space="0" w:color="BFBFBF" w:themeColor="background1" w:themeShade="BF"/>
              <w:right w:val="single" w:sz="6" w:space="0" w:color="BFBFBF" w:themeColor="background1" w:themeShade="BF"/>
            </w:tcBorders>
            <w:shd w:val="clear" w:color="auto" w:fill="F2F2F2" w:themeFill="background1" w:themeFillShade="F2"/>
            <w:vAlign w:val="center"/>
            <w:hideMark/>
          </w:tcPr>
          <w:p w14:paraId="72A34A57"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bottom w:val="single" w:sz="4" w:space="0" w:color="BFBFBF" w:themeColor="background1" w:themeShade="BF"/>
              <w:right w:val="single" w:sz="6" w:space="0" w:color="BFBFBF" w:themeColor="background1" w:themeShade="BF"/>
            </w:tcBorders>
            <w:shd w:val="clear" w:color="auto" w:fill="F2F2F2" w:themeFill="background1" w:themeFillShade="F2"/>
            <w:vAlign w:val="center"/>
            <w:hideMark/>
          </w:tcPr>
          <w:p w14:paraId="7D67E6C9"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bottom w:val="single" w:sz="4" w:space="0" w:color="BFBFBF" w:themeColor="background1" w:themeShade="BF"/>
              <w:right w:val="single" w:sz="6" w:space="0" w:color="BFBFBF" w:themeColor="background1" w:themeShade="BF"/>
            </w:tcBorders>
            <w:shd w:val="clear" w:color="auto" w:fill="F2F2F2" w:themeFill="background1" w:themeFillShade="F2"/>
            <w:vAlign w:val="center"/>
            <w:hideMark/>
          </w:tcPr>
          <w:p w14:paraId="160D9E8A" w14:textId="77777777" w:rsidR="00BC1C3A" w:rsidRPr="00DC6C42" w:rsidRDefault="00BC1C3A" w:rsidP="00DA1EBE">
            <w:pPr>
              <w:pStyle w:val="TableText"/>
              <w:jc w:val="center"/>
              <w:rPr>
                <w:b/>
                <w:bCs/>
              </w:rPr>
            </w:pPr>
            <w:r w:rsidRPr="00DC6C42">
              <w:rPr>
                <w:rFonts w:ascii="Segoe UI Symbol" w:hAnsi="Segoe UI Symbol" w:cs="Segoe UI Symbol"/>
                <w:b/>
              </w:rPr>
              <w:t>✓</w:t>
            </w:r>
          </w:p>
        </w:tc>
        <w:tc>
          <w:tcPr>
            <w:tcW w:w="217" w:type="pct"/>
            <w:gridSpan w:val="2"/>
            <w:tcBorders>
              <w:left w:val="single" w:sz="6" w:space="0" w:color="BFBFBF" w:themeColor="background1" w:themeShade="BF"/>
              <w:bottom w:val="single" w:sz="4" w:space="0" w:color="BFBFBF" w:themeColor="background1" w:themeShade="BF"/>
              <w:right w:val="single" w:sz="6" w:space="0" w:color="BFBFBF" w:themeColor="background1" w:themeShade="BF"/>
            </w:tcBorders>
            <w:shd w:val="clear" w:color="auto" w:fill="F2F2F2" w:themeFill="background1" w:themeFillShade="F2"/>
            <w:vAlign w:val="center"/>
            <w:hideMark/>
          </w:tcPr>
          <w:p w14:paraId="2387CECE" w14:textId="77777777" w:rsidR="00BC1C3A" w:rsidRPr="00B65F7F" w:rsidRDefault="00BC1C3A" w:rsidP="00DA1EBE">
            <w:pPr>
              <w:pStyle w:val="TableText"/>
              <w:jc w:val="center"/>
            </w:pPr>
          </w:p>
        </w:tc>
        <w:tc>
          <w:tcPr>
            <w:tcW w:w="217" w:type="pct"/>
            <w:tcBorders>
              <w:top w:val="single" w:sz="4" w:space="0" w:color="BFBFBF" w:themeColor="background1" w:themeShade="BF"/>
              <w:left w:val="single" w:sz="6" w:space="0" w:color="BFBFBF" w:themeColor="background1" w:themeShade="BF"/>
              <w:bottom w:val="single" w:sz="4" w:space="0" w:color="BFBFBF" w:themeColor="background1" w:themeShade="BF"/>
              <w:right w:val="single" w:sz="4" w:space="0" w:color="404040" w:themeColor="text1" w:themeTint="BF"/>
            </w:tcBorders>
            <w:shd w:val="clear" w:color="auto" w:fill="F2F2F2" w:themeFill="background1" w:themeFillShade="F2"/>
            <w:vAlign w:val="center"/>
            <w:hideMark/>
          </w:tcPr>
          <w:p w14:paraId="2C1570EE" w14:textId="77777777" w:rsidR="00BC1C3A" w:rsidRPr="00B65F7F" w:rsidRDefault="00BC1C3A" w:rsidP="00DA1EBE">
            <w:pPr>
              <w:pStyle w:val="TableText"/>
              <w:jc w:val="center"/>
            </w:pPr>
          </w:p>
        </w:tc>
        <w:tc>
          <w:tcPr>
            <w:tcW w:w="217" w:type="pct"/>
            <w:gridSpan w:val="2"/>
            <w:tcBorders>
              <w:left w:val="single" w:sz="4" w:space="0" w:color="404040" w:themeColor="text1" w:themeTint="BF"/>
              <w:bottom w:val="single" w:sz="4" w:space="0" w:color="BFBFBF" w:themeColor="background1" w:themeShade="BF"/>
            </w:tcBorders>
            <w:shd w:val="clear" w:color="auto" w:fill="F2F2F2" w:themeFill="background1" w:themeFillShade="F2"/>
            <w:vAlign w:val="center"/>
          </w:tcPr>
          <w:p w14:paraId="4D9A27DD"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bottom w:val="single" w:sz="4" w:space="0" w:color="BFBFBF" w:themeColor="background1" w:themeShade="BF"/>
            </w:tcBorders>
            <w:shd w:val="clear" w:color="auto" w:fill="F2F2F2" w:themeFill="background1" w:themeFillShade="F2"/>
            <w:vAlign w:val="center"/>
          </w:tcPr>
          <w:p w14:paraId="2DF8151D" w14:textId="77777777" w:rsidR="00BC1C3A" w:rsidRPr="00B65F7F" w:rsidRDefault="00BC1C3A" w:rsidP="00DA1EBE">
            <w:pPr>
              <w:pStyle w:val="TableText"/>
              <w:jc w:val="center"/>
            </w:pPr>
          </w:p>
        </w:tc>
        <w:tc>
          <w:tcPr>
            <w:tcW w:w="217" w:type="pct"/>
            <w:gridSpan w:val="2"/>
            <w:tcBorders>
              <w:left w:val="single" w:sz="6" w:space="0" w:color="BFBFBF" w:themeColor="background1" w:themeShade="BF"/>
              <w:bottom w:val="single" w:sz="4" w:space="0" w:color="BFBFBF" w:themeColor="background1" w:themeShade="BF"/>
            </w:tcBorders>
            <w:shd w:val="clear" w:color="auto" w:fill="F2F2F2" w:themeFill="background1" w:themeFillShade="F2"/>
            <w:vAlign w:val="center"/>
          </w:tcPr>
          <w:p w14:paraId="214ECC7C" w14:textId="77777777" w:rsidR="00BC1C3A" w:rsidRPr="00B65F7F" w:rsidRDefault="00BC1C3A" w:rsidP="00DA1EBE">
            <w:pPr>
              <w:pStyle w:val="TableText"/>
              <w:jc w:val="center"/>
            </w:pPr>
            <w:r w:rsidRPr="00DC6C42">
              <w:rPr>
                <w:rFonts w:ascii="Segoe UI Symbol" w:hAnsi="Segoe UI Symbol" w:cs="Segoe UI Symbol"/>
                <w:b/>
              </w:rPr>
              <w:t>✓</w:t>
            </w:r>
          </w:p>
        </w:tc>
        <w:tc>
          <w:tcPr>
            <w:tcW w:w="217" w:type="pct"/>
            <w:gridSpan w:val="2"/>
            <w:tcBorders>
              <w:left w:val="single" w:sz="6" w:space="0" w:color="BFBFBF" w:themeColor="background1" w:themeShade="BF"/>
              <w:bottom w:val="single" w:sz="4" w:space="0" w:color="BFBFBF" w:themeColor="background1" w:themeShade="BF"/>
            </w:tcBorders>
            <w:shd w:val="clear" w:color="auto" w:fill="F2F2F2" w:themeFill="background1" w:themeFillShade="F2"/>
            <w:vAlign w:val="center"/>
          </w:tcPr>
          <w:p w14:paraId="67076771" w14:textId="77777777" w:rsidR="00BC1C3A" w:rsidRPr="00B65F7F" w:rsidRDefault="00BC1C3A" w:rsidP="00DA1EBE">
            <w:pPr>
              <w:pStyle w:val="TableText"/>
              <w:jc w:val="center"/>
            </w:pPr>
          </w:p>
        </w:tc>
        <w:tc>
          <w:tcPr>
            <w:tcW w:w="217" w:type="pct"/>
            <w:tcBorders>
              <w:left w:val="single" w:sz="6" w:space="0" w:color="BFBFBF" w:themeColor="background1" w:themeShade="BF"/>
              <w:bottom w:val="single" w:sz="4" w:space="0" w:color="BFBFBF" w:themeColor="background1" w:themeShade="BF"/>
              <w:right w:val="single" w:sz="6" w:space="0" w:color="auto"/>
            </w:tcBorders>
            <w:shd w:val="clear" w:color="auto" w:fill="F2F2F2" w:themeFill="background1" w:themeFillShade="F2"/>
            <w:vAlign w:val="center"/>
          </w:tcPr>
          <w:p w14:paraId="2218554F" w14:textId="77777777" w:rsidR="00BC1C3A" w:rsidRPr="00B65F7F" w:rsidRDefault="00BC1C3A" w:rsidP="00DA1EBE">
            <w:pPr>
              <w:pStyle w:val="TableText"/>
              <w:jc w:val="center"/>
            </w:pPr>
          </w:p>
        </w:tc>
      </w:tr>
      <w:tr w:rsidR="00380CE9" w:rsidRPr="00B65F7F" w14:paraId="42C03D64" w14:textId="77777777" w:rsidTr="00F820B9">
        <w:trPr>
          <w:gridAfter w:val="1"/>
          <w:wAfter w:w="9" w:type="pct"/>
          <w:trHeight w:val="20"/>
        </w:trPr>
        <w:tc>
          <w:tcPr>
            <w:tcW w:w="503" w:type="pct"/>
            <w:vMerge/>
            <w:tcBorders>
              <w:top w:val="single" w:sz="4" w:space="0" w:color="BFBFBF" w:themeColor="background1" w:themeShade="BF"/>
              <w:bottom w:val="single" w:sz="6" w:space="0" w:color="595959" w:themeColor="text1" w:themeTint="A6"/>
            </w:tcBorders>
            <w:hideMark/>
          </w:tcPr>
          <w:p w14:paraId="42ED1A20" w14:textId="77777777" w:rsidR="00BC1C3A" w:rsidRPr="00B65F7F" w:rsidRDefault="00BC1C3A" w:rsidP="00BC1C3A">
            <w:pPr>
              <w:pStyle w:val="TableText"/>
            </w:pPr>
          </w:p>
        </w:tc>
        <w:tc>
          <w:tcPr>
            <w:tcW w:w="953" w:type="pct"/>
            <w:vMerge/>
            <w:tcBorders>
              <w:top w:val="single" w:sz="4" w:space="0" w:color="BFBFBF" w:themeColor="background1" w:themeShade="BF"/>
              <w:bottom w:val="single" w:sz="6" w:space="0" w:color="595959" w:themeColor="text1" w:themeTint="A6"/>
            </w:tcBorders>
            <w:hideMark/>
          </w:tcPr>
          <w:p w14:paraId="1D10197D" w14:textId="77777777" w:rsidR="00BC1C3A" w:rsidRPr="00B65F7F" w:rsidRDefault="00BC1C3A" w:rsidP="00DA1EBE">
            <w:pPr>
              <w:pStyle w:val="TableText"/>
            </w:pPr>
          </w:p>
        </w:tc>
        <w:tc>
          <w:tcPr>
            <w:tcW w:w="336" w:type="pct"/>
            <w:tcBorders>
              <w:top w:val="single" w:sz="4" w:space="0" w:color="BFBFBF" w:themeColor="background1" w:themeShade="BF"/>
              <w:bottom w:val="single" w:sz="6" w:space="0" w:color="595959" w:themeColor="text1" w:themeTint="A6"/>
              <w:right w:val="single" w:sz="6" w:space="0" w:color="595959" w:themeColor="text1" w:themeTint="A6"/>
            </w:tcBorders>
            <w:hideMark/>
          </w:tcPr>
          <w:p w14:paraId="0DAE9E6A" w14:textId="77777777" w:rsidR="00BC1C3A" w:rsidRPr="00B65F7F" w:rsidRDefault="00BC1C3A" w:rsidP="00DA1EBE">
            <w:pPr>
              <w:pStyle w:val="TableText"/>
            </w:pPr>
            <w:r w:rsidRPr="00B65F7F">
              <w:t>Support</w:t>
            </w:r>
          </w:p>
        </w:tc>
        <w:tc>
          <w:tcPr>
            <w:tcW w:w="217" w:type="pct"/>
            <w:tcBorders>
              <w:top w:val="single" w:sz="4" w:space="0" w:color="BFBFBF" w:themeColor="background1" w:themeShade="BF"/>
              <w:left w:val="single" w:sz="6" w:space="0" w:color="595959" w:themeColor="text1" w:themeTint="A6"/>
              <w:bottom w:val="single" w:sz="6" w:space="0" w:color="595959" w:themeColor="text1" w:themeTint="A6"/>
              <w:right w:val="single" w:sz="6" w:space="0" w:color="BFBFBF" w:themeColor="background1" w:themeShade="BF"/>
            </w:tcBorders>
            <w:vAlign w:val="center"/>
            <w:hideMark/>
          </w:tcPr>
          <w:p w14:paraId="7EFFFF5A" w14:textId="77777777" w:rsidR="00BC1C3A" w:rsidRPr="00B65F7F" w:rsidRDefault="00BC1C3A" w:rsidP="00DA1EBE">
            <w:pPr>
              <w:pStyle w:val="TableText"/>
              <w:jc w:val="center"/>
            </w:pPr>
          </w:p>
        </w:tc>
        <w:tc>
          <w:tcPr>
            <w:tcW w:w="218" w:type="pct"/>
            <w:gridSpan w:val="2"/>
            <w:tcBorders>
              <w:top w:val="single" w:sz="4" w:space="0" w:color="BFBFBF" w:themeColor="background1" w:themeShade="BF"/>
              <w:left w:val="single" w:sz="6" w:space="0" w:color="BFBFBF" w:themeColor="background1" w:themeShade="BF"/>
              <w:bottom w:val="single" w:sz="6" w:space="0" w:color="595959" w:themeColor="text1" w:themeTint="A6"/>
              <w:right w:val="single" w:sz="6" w:space="0" w:color="BFBFBF" w:themeColor="background1" w:themeShade="BF"/>
            </w:tcBorders>
            <w:vAlign w:val="center"/>
            <w:hideMark/>
          </w:tcPr>
          <w:p w14:paraId="3DF41E66" w14:textId="77777777" w:rsidR="00BC1C3A" w:rsidRPr="00B65F7F" w:rsidRDefault="00BC1C3A" w:rsidP="00DA1EBE">
            <w:pPr>
              <w:pStyle w:val="TableText"/>
              <w:jc w:val="center"/>
            </w:pPr>
            <w:r w:rsidRPr="00B65F7F">
              <w:rPr>
                <w:rFonts w:ascii="Segoe UI Symbol" w:hAnsi="Segoe UI Symbol" w:cs="Segoe UI Symbol"/>
              </w:rPr>
              <w:t>✓</w:t>
            </w:r>
          </w:p>
        </w:tc>
        <w:tc>
          <w:tcPr>
            <w:tcW w:w="217" w:type="pct"/>
            <w:gridSpan w:val="2"/>
            <w:tcBorders>
              <w:top w:val="single" w:sz="4" w:space="0" w:color="BFBFBF" w:themeColor="background1" w:themeShade="BF"/>
              <w:left w:val="single" w:sz="6" w:space="0" w:color="BFBFBF" w:themeColor="background1" w:themeShade="BF"/>
              <w:bottom w:val="single" w:sz="6" w:space="0" w:color="595959" w:themeColor="text1" w:themeTint="A6"/>
              <w:right w:val="single" w:sz="6" w:space="0" w:color="BFBFBF" w:themeColor="background1" w:themeShade="BF"/>
            </w:tcBorders>
            <w:vAlign w:val="center"/>
            <w:hideMark/>
          </w:tcPr>
          <w:p w14:paraId="593F0EE3" w14:textId="77777777" w:rsidR="00BC1C3A" w:rsidRPr="00B65F7F" w:rsidRDefault="00BC1C3A" w:rsidP="00DA1EBE">
            <w:pPr>
              <w:pStyle w:val="TableText"/>
              <w:jc w:val="center"/>
            </w:pPr>
          </w:p>
        </w:tc>
        <w:tc>
          <w:tcPr>
            <w:tcW w:w="217" w:type="pct"/>
            <w:gridSpan w:val="2"/>
            <w:tcBorders>
              <w:top w:val="single" w:sz="4" w:space="0" w:color="BFBFBF" w:themeColor="background1" w:themeShade="BF"/>
              <w:left w:val="single" w:sz="6" w:space="0" w:color="BFBFBF" w:themeColor="background1" w:themeShade="BF"/>
              <w:bottom w:val="single" w:sz="6" w:space="0" w:color="595959" w:themeColor="text1" w:themeTint="A6"/>
              <w:right w:val="single" w:sz="6" w:space="0" w:color="BFBFBF" w:themeColor="background1" w:themeShade="BF"/>
            </w:tcBorders>
            <w:vAlign w:val="center"/>
            <w:hideMark/>
          </w:tcPr>
          <w:p w14:paraId="632B0084" w14:textId="77777777" w:rsidR="00BC1C3A" w:rsidRPr="00B65F7F" w:rsidRDefault="00BC1C3A" w:rsidP="00DA1EBE">
            <w:pPr>
              <w:pStyle w:val="TableText"/>
              <w:jc w:val="center"/>
            </w:pPr>
          </w:p>
        </w:tc>
        <w:tc>
          <w:tcPr>
            <w:tcW w:w="160" w:type="pct"/>
            <w:tcBorders>
              <w:top w:val="single" w:sz="4" w:space="0" w:color="BFBFBF" w:themeColor="background1" w:themeShade="BF"/>
              <w:left w:val="single" w:sz="6" w:space="0" w:color="BFBFBF" w:themeColor="background1" w:themeShade="BF"/>
              <w:bottom w:val="single" w:sz="6" w:space="0" w:color="595959" w:themeColor="text1" w:themeTint="A6"/>
              <w:right w:val="single" w:sz="6" w:space="0" w:color="595959" w:themeColor="text1" w:themeTint="A6"/>
            </w:tcBorders>
            <w:vAlign w:val="center"/>
            <w:hideMark/>
          </w:tcPr>
          <w:p w14:paraId="03BFB0EF" w14:textId="77777777" w:rsidR="00BC1C3A" w:rsidRPr="00B65F7F" w:rsidRDefault="00BC1C3A" w:rsidP="00DA1EBE">
            <w:pPr>
              <w:pStyle w:val="TableText"/>
              <w:jc w:val="center"/>
            </w:pPr>
          </w:p>
        </w:tc>
        <w:tc>
          <w:tcPr>
            <w:tcW w:w="217" w:type="pct"/>
            <w:gridSpan w:val="2"/>
            <w:tcBorders>
              <w:top w:val="single" w:sz="4" w:space="0" w:color="BFBFBF" w:themeColor="background1" w:themeShade="BF"/>
              <w:left w:val="single" w:sz="6" w:space="0" w:color="595959" w:themeColor="text1" w:themeTint="A6"/>
              <w:bottom w:val="single" w:sz="6" w:space="0" w:color="595959" w:themeColor="text1" w:themeTint="A6"/>
              <w:right w:val="single" w:sz="6" w:space="0" w:color="BFBFBF" w:themeColor="background1" w:themeShade="BF"/>
            </w:tcBorders>
            <w:vAlign w:val="center"/>
            <w:hideMark/>
          </w:tcPr>
          <w:p w14:paraId="6BF3604B" w14:textId="77777777" w:rsidR="00BC1C3A" w:rsidRPr="00B65F7F" w:rsidRDefault="00BC1C3A" w:rsidP="00DA1EBE">
            <w:pPr>
              <w:pStyle w:val="TableText"/>
              <w:jc w:val="center"/>
            </w:pPr>
          </w:p>
        </w:tc>
        <w:tc>
          <w:tcPr>
            <w:tcW w:w="217" w:type="pct"/>
            <w:gridSpan w:val="2"/>
            <w:tcBorders>
              <w:top w:val="single" w:sz="4" w:space="0" w:color="BFBFBF" w:themeColor="background1" w:themeShade="BF"/>
              <w:left w:val="single" w:sz="6" w:space="0" w:color="BFBFBF" w:themeColor="background1" w:themeShade="BF"/>
              <w:bottom w:val="single" w:sz="6" w:space="0" w:color="595959" w:themeColor="text1" w:themeTint="A6"/>
              <w:right w:val="single" w:sz="6" w:space="0" w:color="BFBFBF" w:themeColor="background1" w:themeShade="BF"/>
            </w:tcBorders>
            <w:vAlign w:val="center"/>
            <w:hideMark/>
          </w:tcPr>
          <w:p w14:paraId="72C2022C" w14:textId="77777777" w:rsidR="00BC1C3A" w:rsidRPr="00B65F7F" w:rsidRDefault="00BC1C3A" w:rsidP="00DA1EBE">
            <w:pPr>
              <w:pStyle w:val="TableText"/>
              <w:jc w:val="center"/>
            </w:pPr>
            <w:r w:rsidRPr="00B65F7F">
              <w:rPr>
                <w:rFonts w:ascii="Segoe UI Symbol" w:hAnsi="Segoe UI Symbol" w:cs="Segoe UI Symbol"/>
              </w:rPr>
              <w:t>✓</w:t>
            </w:r>
          </w:p>
        </w:tc>
        <w:tc>
          <w:tcPr>
            <w:tcW w:w="217" w:type="pct"/>
            <w:gridSpan w:val="2"/>
            <w:tcBorders>
              <w:top w:val="single" w:sz="4" w:space="0" w:color="BFBFBF" w:themeColor="background1" w:themeShade="BF"/>
              <w:left w:val="single" w:sz="6" w:space="0" w:color="BFBFBF" w:themeColor="background1" w:themeShade="BF"/>
              <w:bottom w:val="single" w:sz="6" w:space="0" w:color="595959" w:themeColor="text1" w:themeTint="A6"/>
              <w:right w:val="single" w:sz="6" w:space="0" w:color="BFBFBF" w:themeColor="background1" w:themeShade="BF"/>
            </w:tcBorders>
            <w:vAlign w:val="center"/>
            <w:hideMark/>
          </w:tcPr>
          <w:p w14:paraId="17DA459A" w14:textId="77777777" w:rsidR="00BC1C3A" w:rsidRPr="00B65F7F" w:rsidRDefault="00BC1C3A" w:rsidP="00DA1EBE">
            <w:pPr>
              <w:pStyle w:val="TableText"/>
              <w:jc w:val="center"/>
            </w:pPr>
          </w:p>
        </w:tc>
        <w:tc>
          <w:tcPr>
            <w:tcW w:w="217" w:type="pct"/>
            <w:gridSpan w:val="2"/>
            <w:tcBorders>
              <w:top w:val="single" w:sz="4" w:space="0" w:color="BFBFBF" w:themeColor="background1" w:themeShade="BF"/>
              <w:left w:val="single" w:sz="6" w:space="0" w:color="BFBFBF" w:themeColor="background1" w:themeShade="BF"/>
              <w:bottom w:val="single" w:sz="6" w:space="0" w:color="595959" w:themeColor="text1" w:themeTint="A6"/>
              <w:right w:val="single" w:sz="6" w:space="0" w:color="BFBFBF" w:themeColor="background1" w:themeShade="BF"/>
            </w:tcBorders>
            <w:vAlign w:val="center"/>
            <w:hideMark/>
          </w:tcPr>
          <w:p w14:paraId="2BACE2EA" w14:textId="77777777" w:rsidR="00BC1C3A" w:rsidRPr="00B65F7F" w:rsidRDefault="00BC1C3A" w:rsidP="00DA1EBE">
            <w:pPr>
              <w:pStyle w:val="TableText"/>
              <w:jc w:val="center"/>
            </w:pPr>
          </w:p>
        </w:tc>
        <w:tc>
          <w:tcPr>
            <w:tcW w:w="217" w:type="pct"/>
            <w:tcBorders>
              <w:top w:val="single" w:sz="4" w:space="0" w:color="BFBFBF" w:themeColor="background1" w:themeShade="BF"/>
              <w:left w:val="single" w:sz="6" w:space="0" w:color="BFBFBF" w:themeColor="background1" w:themeShade="BF"/>
              <w:bottom w:val="single" w:sz="6" w:space="0" w:color="595959" w:themeColor="text1" w:themeTint="A6"/>
              <w:right w:val="single" w:sz="4" w:space="0" w:color="404040" w:themeColor="text1" w:themeTint="BF"/>
            </w:tcBorders>
            <w:vAlign w:val="center"/>
            <w:hideMark/>
          </w:tcPr>
          <w:p w14:paraId="2289E6CD" w14:textId="77777777" w:rsidR="00BC1C3A" w:rsidRPr="00B65F7F" w:rsidRDefault="00BC1C3A" w:rsidP="00DA1EBE">
            <w:pPr>
              <w:pStyle w:val="TableText"/>
              <w:jc w:val="center"/>
            </w:pPr>
          </w:p>
        </w:tc>
        <w:tc>
          <w:tcPr>
            <w:tcW w:w="217" w:type="pct"/>
            <w:gridSpan w:val="2"/>
            <w:tcBorders>
              <w:top w:val="single" w:sz="4" w:space="0" w:color="BFBFBF" w:themeColor="background1" w:themeShade="BF"/>
              <w:left w:val="single" w:sz="4" w:space="0" w:color="404040" w:themeColor="text1" w:themeTint="BF"/>
              <w:bottom w:val="single" w:sz="6" w:space="0" w:color="595959" w:themeColor="text1" w:themeTint="A6"/>
            </w:tcBorders>
            <w:vAlign w:val="center"/>
          </w:tcPr>
          <w:p w14:paraId="1F681E5E" w14:textId="77777777" w:rsidR="00BC1C3A" w:rsidRPr="00B65F7F" w:rsidRDefault="00BC1C3A" w:rsidP="00DA1EBE">
            <w:pPr>
              <w:pStyle w:val="TableText"/>
              <w:jc w:val="center"/>
            </w:pPr>
          </w:p>
        </w:tc>
        <w:tc>
          <w:tcPr>
            <w:tcW w:w="217" w:type="pct"/>
            <w:gridSpan w:val="2"/>
            <w:tcBorders>
              <w:top w:val="single" w:sz="4" w:space="0" w:color="BFBFBF" w:themeColor="background1" w:themeShade="BF"/>
              <w:left w:val="single" w:sz="6" w:space="0" w:color="BFBFBF" w:themeColor="background1" w:themeShade="BF"/>
              <w:bottom w:val="single" w:sz="6" w:space="0" w:color="595959" w:themeColor="text1" w:themeTint="A6"/>
            </w:tcBorders>
            <w:vAlign w:val="center"/>
          </w:tcPr>
          <w:p w14:paraId="7861B218" w14:textId="77777777" w:rsidR="00BC1C3A" w:rsidRPr="00B65F7F" w:rsidRDefault="00BC1C3A" w:rsidP="00DA1EBE">
            <w:pPr>
              <w:pStyle w:val="TableText"/>
              <w:jc w:val="center"/>
            </w:pPr>
            <w:r w:rsidRPr="00B65F7F">
              <w:rPr>
                <w:rFonts w:ascii="Segoe UI Symbol" w:hAnsi="Segoe UI Symbol" w:cs="Segoe UI Symbol"/>
              </w:rPr>
              <w:t>✓</w:t>
            </w:r>
          </w:p>
        </w:tc>
        <w:tc>
          <w:tcPr>
            <w:tcW w:w="217" w:type="pct"/>
            <w:gridSpan w:val="2"/>
            <w:tcBorders>
              <w:top w:val="single" w:sz="4" w:space="0" w:color="BFBFBF" w:themeColor="background1" w:themeShade="BF"/>
              <w:left w:val="single" w:sz="6" w:space="0" w:color="BFBFBF" w:themeColor="background1" w:themeShade="BF"/>
              <w:bottom w:val="single" w:sz="6" w:space="0" w:color="595959" w:themeColor="text1" w:themeTint="A6"/>
            </w:tcBorders>
            <w:vAlign w:val="center"/>
          </w:tcPr>
          <w:p w14:paraId="56FA3A87" w14:textId="77777777" w:rsidR="00BC1C3A" w:rsidRPr="00B65F7F" w:rsidRDefault="00BC1C3A" w:rsidP="00DA1EBE">
            <w:pPr>
              <w:pStyle w:val="TableText"/>
              <w:jc w:val="center"/>
            </w:pPr>
          </w:p>
        </w:tc>
        <w:tc>
          <w:tcPr>
            <w:tcW w:w="217" w:type="pct"/>
            <w:gridSpan w:val="2"/>
            <w:tcBorders>
              <w:top w:val="single" w:sz="4" w:space="0" w:color="BFBFBF" w:themeColor="background1" w:themeShade="BF"/>
              <w:left w:val="single" w:sz="6" w:space="0" w:color="BFBFBF" w:themeColor="background1" w:themeShade="BF"/>
              <w:bottom w:val="single" w:sz="6" w:space="0" w:color="595959" w:themeColor="text1" w:themeTint="A6"/>
            </w:tcBorders>
            <w:vAlign w:val="center"/>
          </w:tcPr>
          <w:p w14:paraId="58A437F7" w14:textId="77777777" w:rsidR="00BC1C3A" w:rsidRPr="00B65F7F" w:rsidRDefault="00BC1C3A" w:rsidP="00DA1EBE">
            <w:pPr>
              <w:pStyle w:val="TableText"/>
              <w:jc w:val="center"/>
            </w:pPr>
          </w:p>
        </w:tc>
        <w:tc>
          <w:tcPr>
            <w:tcW w:w="217" w:type="pct"/>
            <w:tcBorders>
              <w:top w:val="single" w:sz="4" w:space="0" w:color="BFBFBF" w:themeColor="background1" w:themeShade="BF"/>
              <w:left w:val="single" w:sz="6" w:space="0" w:color="BFBFBF" w:themeColor="background1" w:themeShade="BF"/>
              <w:bottom w:val="single" w:sz="6" w:space="0" w:color="595959" w:themeColor="text1" w:themeTint="A6"/>
              <w:right w:val="single" w:sz="6" w:space="0" w:color="auto"/>
            </w:tcBorders>
            <w:vAlign w:val="center"/>
          </w:tcPr>
          <w:p w14:paraId="2F03E04A" w14:textId="77777777" w:rsidR="00BC1C3A" w:rsidRPr="00B65F7F" w:rsidRDefault="00BC1C3A" w:rsidP="00DA1EBE">
            <w:pPr>
              <w:pStyle w:val="TableText"/>
              <w:jc w:val="center"/>
            </w:pPr>
          </w:p>
        </w:tc>
      </w:tr>
    </w:tbl>
    <w:p w14:paraId="63FFFC3E" w14:textId="77777777" w:rsidR="000372FE" w:rsidRDefault="000372FE" w:rsidP="00292E56">
      <w:pPr>
        <w:pStyle w:val="BodyText"/>
      </w:pPr>
      <w:r>
        <w:br w:type="page"/>
      </w:r>
    </w:p>
    <w:p w14:paraId="6E7CCB56" w14:textId="77777777" w:rsidR="000372FE" w:rsidRDefault="000372FE" w:rsidP="00292E56">
      <w:pPr>
        <w:pStyle w:val="BodyText"/>
        <w:sectPr w:rsidR="000372FE" w:rsidSect="002B05C0">
          <w:headerReference w:type="default" r:id="rId110"/>
          <w:footerReference w:type="default" r:id="rId111"/>
          <w:pgSz w:w="16840" w:h="11907" w:orient="landscape" w:code="9"/>
          <w:pgMar w:top="1134" w:right="1440" w:bottom="1440" w:left="1440" w:header="720" w:footer="720" w:gutter="0"/>
          <w:cols w:space="720"/>
        </w:sectPr>
      </w:pPr>
    </w:p>
    <w:p w14:paraId="449182E6" w14:textId="6FECB160" w:rsidR="008E532D" w:rsidRPr="00B65F7F" w:rsidRDefault="008E532D" w:rsidP="001611E1">
      <w:pPr>
        <w:pStyle w:val="Heading1App"/>
      </w:pPr>
      <w:bookmarkStart w:id="339" w:name="App8_notitle"/>
      <w:bookmarkStart w:id="340" w:name="_Toc156932019"/>
      <w:r w:rsidRPr="00B65F7F">
        <w:t xml:space="preserve">Appendix </w:t>
      </w:r>
      <w:r w:rsidR="000372FE">
        <w:t>8</w:t>
      </w:r>
      <w:bookmarkEnd w:id="339"/>
      <w:r w:rsidR="006C172C">
        <w:t xml:space="preserve"> –</w:t>
      </w:r>
      <w:r w:rsidRPr="00B65F7F">
        <w:t xml:space="preserve"> </w:t>
      </w:r>
      <w:r>
        <w:t>Enablers to support future state funding arrangements</w:t>
      </w:r>
      <w:bookmarkEnd w:id="340"/>
    </w:p>
    <w:p w14:paraId="1D579789" w14:textId="6F47A50D" w:rsidR="004D3C52" w:rsidRPr="00B65F7F" w:rsidRDefault="00064AFA" w:rsidP="00014FE5">
      <w:pPr>
        <w:pStyle w:val="BodyText"/>
      </w:pPr>
      <w:r w:rsidRPr="00064AFA">
        <w:fldChar w:fldCharType="begin"/>
      </w:r>
      <w:r>
        <w:instrText xml:space="preserve"> REF _Ref151911927 \h  \* MERGEFORMAT </w:instrText>
      </w:r>
      <w:r w:rsidRPr="00064AFA">
        <w:fldChar w:fldCharType="separate"/>
      </w:r>
      <w:r w:rsidR="00934D5E">
        <w:t>Table A8.1</w:t>
      </w:r>
      <w:r w:rsidRPr="00064AFA">
        <w:fldChar w:fldCharType="end"/>
      </w:r>
      <w:r w:rsidR="004D3C52" w:rsidRPr="00B65F7F">
        <w:t xml:space="preserve"> displays the enablers that are essential to ensure that the key principles noted above can be achieved in practice. </w:t>
      </w:r>
    </w:p>
    <w:p w14:paraId="445D1E6A" w14:textId="176DB862" w:rsidR="004D3C52" w:rsidRPr="00B65F7F" w:rsidRDefault="00064AFA" w:rsidP="00064AFA">
      <w:pPr>
        <w:pStyle w:val="CaptionTable"/>
      </w:pPr>
      <w:bookmarkStart w:id="341" w:name="_Ref151911927"/>
      <w:bookmarkStart w:id="342" w:name="_Toc156932093"/>
      <w:bookmarkStart w:id="343" w:name="_Toc145604940"/>
      <w:bookmarkStart w:id="344" w:name="_Toc145617812"/>
      <w:r>
        <w:t>Table A8.</w:t>
      </w:r>
      <w:r>
        <w:fldChar w:fldCharType="begin"/>
      </w:r>
      <w:r>
        <w:instrText xml:space="preserve"> SEQ Table_A8 \* ARABIC </w:instrText>
      </w:r>
      <w:r>
        <w:fldChar w:fldCharType="separate"/>
      </w:r>
      <w:r w:rsidR="00934D5E">
        <w:rPr>
          <w:noProof/>
        </w:rPr>
        <w:t>1</w:t>
      </w:r>
      <w:r>
        <w:fldChar w:fldCharType="end"/>
      </w:r>
      <w:bookmarkEnd w:id="341"/>
      <w:r w:rsidR="004D3C52" w:rsidRPr="007D042B">
        <w:t>: Ena</w:t>
      </w:r>
      <w:r w:rsidR="004D3C52" w:rsidRPr="00B65F7F">
        <w:t>blers that ensure that the key principles can be achieved in practice</w:t>
      </w:r>
      <w:bookmarkEnd w:id="342"/>
      <w:r w:rsidR="004D3C52" w:rsidRPr="00B65F7F">
        <w:t xml:space="preserve"> </w:t>
      </w:r>
      <w:bookmarkEnd w:id="343"/>
      <w:bookmarkEnd w:id="344"/>
    </w:p>
    <w:tbl>
      <w:tblPr>
        <w:tblStyle w:val="Newtableforresport"/>
        <w:tblW w:w="5000" w:type="pct"/>
        <w:tblInd w:w="0" w:type="dxa"/>
        <w:tblLook w:val="0020" w:firstRow="1" w:lastRow="0" w:firstColumn="0" w:lastColumn="0" w:noHBand="0" w:noVBand="0"/>
        <w:tblCaption w:val="Table A8.1: Enablers that ensure that the key principles can be achieved in practice"/>
        <w:tblDescription w:val="The table describes enablers that will ensure the key principles of transition can be achieved in practice. These key principles include Aboriginal and/or Torres Strait Islander leadership and community empowerment, a First Nation’s holistic model, a culturally safe and accessible system and a strengths-based approach. The first column in the table lists different enablers for these key principles. The second column provides a definition of the enablers. The third column lists the insights from Appendix 4 that are relevant to the enabler. The fourth column lists the relevant Priority Reforms from the National Agreement on Closing the Gap. &#10;"/>
      </w:tblPr>
      <w:tblGrid>
        <w:gridCol w:w="2346"/>
        <w:gridCol w:w="8345"/>
        <w:gridCol w:w="2007"/>
        <w:gridCol w:w="1195"/>
        <w:gridCol w:w="67"/>
      </w:tblGrid>
      <w:tr w:rsidR="004D3C52" w:rsidRPr="00DC40D8" w14:paraId="753C4E21" w14:textId="77777777" w:rsidTr="00EE6C80">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840" w:type="pct"/>
            <w:vAlign w:val="center"/>
          </w:tcPr>
          <w:p w14:paraId="43649276" w14:textId="77777777" w:rsidR="004D3C52" w:rsidRPr="00DC40D8" w:rsidRDefault="004D3C52" w:rsidP="00024E8D">
            <w:pPr>
              <w:pStyle w:val="TableHeading"/>
              <w:rPr>
                <w:b w:val="0"/>
              </w:rPr>
            </w:pPr>
            <w:bookmarkStart w:id="345" w:name="_Hlk145224540"/>
            <w:r w:rsidRPr="00DC40D8">
              <w:t>Enabler</w:t>
            </w:r>
          </w:p>
        </w:tc>
        <w:tc>
          <w:tcPr>
            <w:tcW w:w="2989" w:type="pct"/>
            <w:vAlign w:val="center"/>
          </w:tcPr>
          <w:p w14:paraId="04539D6D" w14:textId="77777777" w:rsidR="004D3C52" w:rsidRPr="00DC40D8" w:rsidRDefault="004D3C52" w:rsidP="00024E8D">
            <w:pPr>
              <w:pStyle w:val="TableHeading"/>
              <w:cnfStyle w:val="100000000000" w:firstRow="1" w:lastRow="0" w:firstColumn="0" w:lastColumn="0" w:oddVBand="0" w:evenVBand="0" w:oddHBand="0" w:evenHBand="0" w:firstRowFirstColumn="0" w:firstRowLastColumn="0" w:lastRowFirstColumn="0" w:lastRowLastColumn="0"/>
              <w:rPr>
                <w:b w:val="0"/>
              </w:rPr>
            </w:pPr>
            <w:r w:rsidRPr="00DC40D8">
              <w:t>Definition</w:t>
            </w:r>
          </w:p>
        </w:tc>
        <w:tc>
          <w:tcPr>
            <w:cnfStyle w:val="000010000000" w:firstRow="0" w:lastRow="0" w:firstColumn="0" w:lastColumn="0" w:oddVBand="1" w:evenVBand="0" w:oddHBand="0" w:evenHBand="0" w:firstRowFirstColumn="0" w:firstRowLastColumn="0" w:lastRowFirstColumn="0" w:lastRowLastColumn="0"/>
            <w:tcW w:w="719" w:type="pct"/>
            <w:vAlign w:val="center"/>
          </w:tcPr>
          <w:p w14:paraId="16CB08EF" w14:textId="43ADDF9A" w:rsidR="004D3C52" w:rsidRPr="00DC40D8" w:rsidRDefault="004D3C52" w:rsidP="00024E8D">
            <w:pPr>
              <w:pStyle w:val="TableHeading"/>
              <w:rPr>
                <w:b w:val="0"/>
              </w:rPr>
            </w:pPr>
            <w:r w:rsidRPr="00DC40D8">
              <w:t xml:space="preserve">Addressing </w:t>
            </w:r>
            <w:r w:rsidR="00064AFA">
              <w:t>i</w:t>
            </w:r>
            <w:r w:rsidRPr="00DC40D8">
              <w:t>nsight</w:t>
            </w:r>
            <w:r>
              <w:br/>
            </w:r>
            <w:r w:rsidRPr="00DC40D8">
              <w:t>(</w:t>
            </w:r>
            <w:r w:rsidR="00064AFA">
              <w:rPr>
                <w:highlight w:val="yellow"/>
              </w:rPr>
              <w:fldChar w:fldCharType="begin"/>
            </w:r>
            <w:r w:rsidR="00064AFA">
              <w:instrText xml:space="preserve"> REF App4_notitle \h </w:instrText>
            </w:r>
            <w:r w:rsidR="00064AFA">
              <w:rPr>
                <w:highlight w:val="yellow"/>
              </w:rPr>
            </w:r>
            <w:r w:rsidR="00064AFA">
              <w:rPr>
                <w:highlight w:val="yellow"/>
              </w:rPr>
              <w:fldChar w:fldCharType="separate"/>
            </w:r>
            <w:r w:rsidR="00934D5E" w:rsidRPr="00B65F7F">
              <w:t xml:space="preserve">Appendix </w:t>
            </w:r>
            <w:r w:rsidR="00934D5E">
              <w:t>4</w:t>
            </w:r>
            <w:r w:rsidR="00064AFA">
              <w:rPr>
                <w:highlight w:val="yellow"/>
              </w:rPr>
              <w:fldChar w:fldCharType="end"/>
            </w:r>
            <w:r w:rsidRPr="00DC40D8">
              <w:t>)</w:t>
            </w:r>
          </w:p>
        </w:tc>
        <w:tc>
          <w:tcPr>
            <w:tcW w:w="452" w:type="pct"/>
            <w:gridSpan w:val="2"/>
            <w:vAlign w:val="center"/>
          </w:tcPr>
          <w:p w14:paraId="0622845B" w14:textId="77777777" w:rsidR="004D3C52" w:rsidRPr="00DC40D8" w:rsidRDefault="004D3C52" w:rsidP="00024E8D">
            <w:pPr>
              <w:pStyle w:val="TableHeading"/>
              <w:cnfStyle w:val="100000000000" w:firstRow="1" w:lastRow="0" w:firstColumn="0" w:lastColumn="0" w:oddVBand="0" w:evenVBand="0" w:oddHBand="0" w:evenHBand="0" w:firstRowFirstColumn="0" w:firstRowLastColumn="0" w:lastRowFirstColumn="0" w:lastRowLastColumn="0"/>
              <w:rPr>
                <w:b w:val="0"/>
              </w:rPr>
            </w:pPr>
            <w:r w:rsidRPr="00DC40D8">
              <w:t>Aligned with</w:t>
            </w:r>
          </w:p>
        </w:tc>
      </w:tr>
      <w:tr w:rsidR="00EE6C80" w:rsidRPr="00B65F7F" w14:paraId="08FD382B" w14:textId="77777777" w:rsidTr="000F7F38">
        <w:trPr>
          <w:gridAfter w:val="1"/>
          <w:cnfStyle w:val="000000100000" w:firstRow="0" w:lastRow="0" w:firstColumn="0" w:lastColumn="0" w:oddVBand="0" w:evenVBand="0" w:oddHBand="1" w:evenHBand="0" w:firstRowFirstColumn="0" w:firstRowLastColumn="0" w:lastRowFirstColumn="0" w:lastRowLastColumn="0"/>
          <w:wAfter w:w="24" w:type="pct"/>
          <w:cantSplit/>
        </w:trPr>
        <w:tc>
          <w:tcPr>
            <w:cnfStyle w:val="000010000000" w:firstRow="0" w:lastRow="0" w:firstColumn="0" w:lastColumn="0" w:oddVBand="1" w:evenVBand="0" w:oddHBand="0" w:evenHBand="0" w:firstRowFirstColumn="0" w:firstRowLastColumn="0" w:lastRowFirstColumn="0" w:lastRowLastColumn="0"/>
            <w:tcW w:w="840" w:type="pct"/>
          </w:tcPr>
          <w:p w14:paraId="258E353C" w14:textId="77777777" w:rsidR="00EE6C80" w:rsidRPr="00CA58C2" w:rsidRDefault="00EE6C80" w:rsidP="00014FE5">
            <w:pPr>
              <w:pStyle w:val="TableText"/>
            </w:pPr>
            <w:r w:rsidRPr="00CA58C2">
              <w:t>1 – Aboriginal and/or Torres Strait Islander communities lead the process</w:t>
            </w:r>
          </w:p>
        </w:tc>
        <w:tc>
          <w:tcPr>
            <w:tcW w:w="2989" w:type="pct"/>
          </w:tcPr>
          <w:p w14:paraId="5B9D1231" w14:textId="77777777" w:rsidR="00EE6C80" w:rsidRPr="00CA58C2" w:rsidRDefault="00EE6C80" w:rsidP="00014FE5">
            <w:pPr>
              <w:pStyle w:val="TableText"/>
              <w:cnfStyle w:val="000000100000" w:firstRow="0" w:lastRow="0" w:firstColumn="0" w:lastColumn="0" w:oddVBand="0" w:evenVBand="0" w:oddHBand="1" w:evenHBand="0" w:firstRowFirstColumn="0" w:firstRowLastColumn="0" w:lastRowFirstColumn="0" w:lastRowLastColumn="0"/>
            </w:pPr>
            <w:r w:rsidRPr="00CA58C2">
              <w:rPr>
                <w:rFonts w:eastAsia="Calibri"/>
                <w:color w:val="000000"/>
              </w:rPr>
              <w:t xml:space="preserve">Active participation and leadership of Aboriginal and/or Torres Strait Islander communities in all stages of decision-making is empowered. </w:t>
            </w:r>
          </w:p>
        </w:tc>
        <w:tc>
          <w:tcPr>
            <w:cnfStyle w:val="000010000000" w:firstRow="0" w:lastRow="0" w:firstColumn="0" w:lastColumn="0" w:oddVBand="1" w:evenVBand="0" w:oddHBand="0" w:evenHBand="0" w:firstRowFirstColumn="0" w:firstRowLastColumn="0" w:lastRowFirstColumn="0" w:lastRowLastColumn="0"/>
            <w:tcW w:w="719" w:type="pct"/>
          </w:tcPr>
          <w:p w14:paraId="33CFC203" w14:textId="77777777" w:rsidR="00EE6C80" w:rsidRPr="00CA58C2" w:rsidRDefault="00EE6C80" w:rsidP="00014FE5">
            <w:pPr>
              <w:pStyle w:val="TableText"/>
              <w:rPr>
                <w:rFonts w:eastAsia="Calibri"/>
                <w:color w:val="000000"/>
              </w:rPr>
            </w:pPr>
            <w:r w:rsidRPr="00CA58C2">
              <w:rPr>
                <w:rFonts w:eastAsia="Calibri"/>
                <w:color w:val="000000"/>
              </w:rPr>
              <w:t>Insight 1</w:t>
            </w:r>
          </w:p>
          <w:p w14:paraId="4452A942" w14:textId="77777777" w:rsidR="00EE6C80" w:rsidRPr="00CA58C2" w:rsidRDefault="00EE6C80" w:rsidP="00014FE5">
            <w:pPr>
              <w:pStyle w:val="TableText"/>
              <w:rPr>
                <w:rFonts w:eastAsia="Calibri"/>
                <w:color w:val="000000"/>
              </w:rPr>
            </w:pPr>
            <w:r w:rsidRPr="00CA58C2">
              <w:rPr>
                <w:rFonts w:eastAsia="Calibri"/>
                <w:color w:val="000000"/>
              </w:rPr>
              <w:t>Insight 3</w:t>
            </w:r>
          </w:p>
          <w:p w14:paraId="32341D59" w14:textId="77777777" w:rsidR="00EE6C80" w:rsidRPr="00CA58C2" w:rsidRDefault="00EE6C80" w:rsidP="00014FE5">
            <w:pPr>
              <w:pStyle w:val="TableText"/>
              <w:rPr>
                <w:rFonts w:eastAsia="Calibri"/>
                <w:color w:val="000000"/>
              </w:rPr>
            </w:pPr>
            <w:r w:rsidRPr="00CA58C2">
              <w:rPr>
                <w:rFonts w:eastAsia="Calibri"/>
                <w:color w:val="000000"/>
              </w:rPr>
              <w:t>Insight 4</w:t>
            </w:r>
          </w:p>
          <w:p w14:paraId="1456A70B" w14:textId="77777777" w:rsidR="00EE6C80" w:rsidRPr="00CA58C2" w:rsidRDefault="00EE6C80" w:rsidP="00014FE5">
            <w:pPr>
              <w:pStyle w:val="TableText"/>
              <w:rPr>
                <w:rFonts w:eastAsia="Calibri"/>
                <w:color w:val="000000"/>
              </w:rPr>
            </w:pPr>
            <w:r w:rsidRPr="00CA58C2">
              <w:rPr>
                <w:rFonts w:eastAsia="Calibri"/>
                <w:color w:val="000000"/>
              </w:rPr>
              <w:t>Insight 7</w:t>
            </w:r>
          </w:p>
          <w:p w14:paraId="5B52FDF4" w14:textId="77777777" w:rsidR="00EE6C80" w:rsidRPr="00CA58C2" w:rsidRDefault="00EE6C80" w:rsidP="00014FE5">
            <w:pPr>
              <w:pStyle w:val="TableText"/>
              <w:rPr>
                <w:rFonts w:eastAsia="Calibri"/>
                <w:color w:val="000000"/>
              </w:rPr>
            </w:pPr>
            <w:r w:rsidRPr="00CA58C2">
              <w:rPr>
                <w:rFonts w:eastAsia="Calibri"/>
                <w:color w:val="000000"/>
              </w:rPr>
              <w:t>Insight 8</w:t>
            </w:r>
          </w:p>
          <w:p w14:paraId="19E552E2" w14:textId="77777777" w:rsidR="00EE6C80" w:rsidRPr="00CA58C2" w:rsidRDefault="00EE6C80" w:rsidP="00014FE5">
            <w:pPr>
              <w:pStyle w:val="TableText"/>
              <w:rPr>
                <w:rFonts w:eastAsia="Calibri"/>
                <w:color w:val="000000"/>
              </w:rPr>
            </w:pPr>
            <w:r w:rsidRPr="00CA58C2">
              <w:rPr>
                <w:rFonts w:eastAsia="Calibri"/>
                <w:color w:val="000000"/>
              </w:rPr>
              <w:t>Insight 9</w:t>
            </w:r>
          </w:p>
          <w:p w14:paraId="0DA96865" w14:textId="77777777" w:rsidR="00EE6C80" w:rsidRPr="00CA58C2" w:rsidRDefault="00EE6C80" w:rsidP="00014FE5">
            <w:pPr>
              <w:pStyle w:val="TableText"/>
              <w:rPr>
                <w:rFonts w:eastAsia="Calibri"/>
                <w:color w:val="000000"/>
              </w:rPr>
            </w:pPr>
            <w:r w:rsidRPr="00CA58C2">
              <w:rPr>
                <w:rFonts w:eastAsia="Calibri"/>
                <w:color w:val="000000"/>
              </w:rPr>
              <w:t>Insight 10</w:t>
            </w:r>
          </w:p>
          <w:p w14:paraId="37169853" w14:textId="77777777" w:rsidR="00EE6C80" w:rsidRPr="00CA58C2" w:rsidRDefault="00EE6C80" w:rsidP="00014FE5">
            <w:pPr>
              <w:pStyle w:val="TableText"/>
              <w:rPr>
                <w:rFonts w:eastAsia="Calibri"/>
                <w:color w:val="000000"/>
              </w:rPr>
            </w:pPr>
            <w:r w:rsidRPr="00CA58C2">
              <w:rPr>
                <w:rFonts w:eastAsia="Calibri"/>
                <w:color w:val="000000"/>
              </w:rPr>
              <w:t>Insight 11</w:t>
            </w:r>
          </w:p>
        </w:tc>
        <w:tc>
          <w:tcPr>
            <w:tcW w:w="428" w:type="pct"/>
          </w:tcPr>
          <w:p w14:paraId="78DE7361" w14:textId="77777777" w:rsidR="00EE6C80" w:rsidRPr="00CA58C2" w:rsidRDefault="00EE6C80" w:rsidP="00014FE5">
            <w:pPr>
              <w:pStyle w:val="TableText"/>
              <w:cnfStyle w:val="000000100000" w:firstRow="0" w:lastRow="0" w:firstColumn="0" w:lastColumn="0" w:oddVBand="0" w:evenVBand="0" w:oddHBand="1" w:evenHBand="0" w:firstRowFirstColumn="0" w:firstRowLastColumn="0" w:lastRowFirstColumn="0" w:lastRowLastColumn="0"/>
              <w:rPr>
                <w:rFonts w:eastAsia="Calibri"/>
                <w:color w:val="000000"/>
              </w:rPr>
            </w:pPr>
            <w:r w:rsidRPr="00CA58C2">
              <w:rPr>
                <w:rFonts w:eastAsia="Calibri"/>
                <w:color w:val="000000"/>
              </w:rPr>
              <w:t>Priority Reform 1</w:t>
            </w:r>
          </w:p>
        </w:tc>
      </w:tr>
      <w:tr w:rsidR="00EE6C80" w:rsidRPr="00B65F7F" w14:paraId="6CFF89EA" w14:textId="77777777" w:rsidTr="000F7F38">
        <w:trPr>
          <w:gridAfter w:val="1"/>
          <w:cnfStyle w:val="000000010000" w:firstRow="0" w:lastRow="0" w:firstColumn="0" w:lastColumn="0" w:oddVBand="0" w:evenVBand="0" w:oddHBand="0" w:evenHBand="1" w:firstRowFirstColumn="0" w:firstRowLastColumn="0" w:lastRowFirstColumn="0" w:lastRowLastColumn="0"/>
          <w:wAfter w:w="24" w:type="pct"/>
          <w:cantSplit/>
        </w:trPr>
        <w:tc>
          <w:tcPr>
            <w:cnfStyle w:val="000010000000" w:firstRow="0" w:lastRow="0" w:firstColumn="0" w:lastColumn="0" w:oddVBand="1" w:evenVBand="0" w:oddHBand="0" w:evenHBand="0" w:firstRowFirstColumn="0" w:firstRowLastColumn="0" w:lastRowFirstColumn="0" w:lastRowLastColumn="0"/>
            <w:tcW w:w="840" w:type="pct"/>
          </w:tcPr>
          <w:p w14:paraId="75607AB2" w14:textId="77777777" w:rsidR="00EE6C80" w:rsidRPr="00F318B2" w:rsidRDefault="00EE6C80" w:rsidP="00014FE5">
            <w:pPr>
              <w:pStyle w:val="TableText"/>
            </w:pPr>
            <w:r w:rsidRPr="00F318B2">
              <w:t xml:space="preserve">2 – Place-based and </w:t>
            </w:r>
            <w:r>
              <w:t>Aboriginal and/or Torres Strait Islander</w:t>
            </w:r>
            <w:r w:rsidRPr="00F318B2">
              <w:t>–led governance arrangements</w:t>
            </w:r>
          </w:p>
        </w:tc>
        <w:tc>
          <w:tcPr>
            <w:tcW w:w="2989" w:type="pct"/>
          </w:tcPr>
          <w:p w14:paraId="114FFDE5" w14:textId="77777777" w:rsidR="00EE6C80" w:rsidRPr="00B65F7F" w:rsidRDefault="00EE6C80" w:rsidP="00014FE5">
            <w:pPr>
              <w:pStyle w:val="TableText"/>
              <w:cnfStyle w:val="000000010000" w:firstRow="0" w:lastRow="0" w:firstColumn="0" w:lastColumn="0" w:oddVBand="0" w:evenVBand="0" w:oddHBand="0" w:evenHBand="1" w:firstRowFirstColumn="0" w:firstRowLastColumn="0" w:lastRowFirstColumn="0" w:lastRowLastColumn="0"/>
            </w:pPr>
            <w:r w:rsidRPr="00B65F7F">
              <w:rPr>
                <w:rFonts w:eastAsia="Calibri"/>
                <w:color w:val="000000"/>
              </w:rPr>
              <w:t>Leadership and decision-making authority are place-based, to ensure decisions are tailored to the unique needs of the specific community.</w:t>
            </w:r>
          </w:p>
        </w:tc>
        <w:tc>
          <w:tcPr>
            <w:cnfStyle w:val="000010000000" w:firstRow="0" w:lastRow="0" w:firstColumn="0" w:lastColumn="0" w:oddVBand="1" w:evenVBand="0" w:oddHBand="0" w:evenHBand="0" w:firstRowFirstColumn="0" w:firstRowLastColumn="0" w:lastRowFirstColumn="0" w:lastRowLastColumn="0"/>
            <w:tcW w:w="719" w:type="pct"/>
          </w:tcPr>
          <w:p w14:paraId="44CBFE00" w14:textId="77777777" w:rsidR="00EE6C80" w:rsidRDefault="00EE6C80" w:rsidP="00014FE5">
            <w:pPr>
              <w:pStyle w:val="TableText"/>
              <w:rPr>
                <w:rFonts w:eastAsia="Calibri"/>
                <w:color w:val="000000"/>
              </w:rPr>
            </w:pPr>
            <w:r>
              <w:rPr>
                <w:rFonts w:eastAsia="Calibri"/>
                <w:color w:val="000000"/>
              </w:rPr>
              <w:t>Insight 1</w:t>
            </w:r>
          </w:p>
          <w:p w14:paraId="60DC2E99" w14:textId="77777777" w:rsidR="00EE6C80" w:rsidRDefault="00EE6C80" w:rsidP="00014FE5">
            <w:pPr>
              <w:pStyle w:val="TableText"/>
              <w:rPr>
                <w:rFonts w:eastAsia="Calibri"/>
                <w:color w:val="000000"/>
              </w:rPr>
            </w:pPr>
            <w:r>
              <w:rPr>
                <w:rFonts w:eastAsia="Calibri"/>
                <w:color w:val="000000"/>
              </w:rPr>
              <w:t>Insight 2</w:t>
            </w:r>
          </w:p>
          <w:p w14:paraId="79F4934C" w14:textId="77777777" w:rsidR="00EE6C80" w:rsidRDefault="00EE6C80" w:rsidP="00014FE5">
            <w:pPr>
              <w:pStyle w:val="TableText"/>
              <w:rPr>
                <w:rFonts w:eastAsia="Calibri"/>
                <w:color w:val="000000"/>
              </w:rPr>
            </w:pPr>
            <w:r>
              <w:rPr>
                <w:rFonts w:eastAsia="Calibri"/>
                <w:color w:val="000000"/>
              </w:rPr>
              <w:t>Insight 3</w:t>
            </w:r>
          </w:p>
          <w:p w14:paraId="36C3C425" w14:textId="77777777" w:rsidR="00EE6C80" w:rsidRPr="00B65F7F" w:rsidRDefault="00EE6C80" w:rsidP="00014FE5">
            <w:pPr>
              <w:pStyle w:val="TableText"/>
              <w:rPr>
                <w:rFonts w:eastAsia="Calibri"/>
                <w:color w:val="000000"/>
              </w:rPr>
            </w:pPr>
            <w:r>
              <w:rPr>
                <w:rFonts w:eastAsia="Calibri"/>
                <w:color w:val="000000"/>
              </w:rPr>
              <w:t>Insight 9</w:t>
            </w:r>
          </w:p>
        </w:tc>
        <w:tc>
          <w:tcPr>
            <w:tcW w:w="428" w:type="pct"/>
          </w:tcPr>
          <w:p w14:paraId="0F488ABF" w14:textId="77777777" w:rsidR="00EE6C80" w:rsidRPr="00B65F7F" w:rsidRDefault="00EE6C80" w:rsidP="00014FE5">
            <w:pPr>
              <w:pStyle w:val="TableText"/>
              <w:cnfStyle w:val="000000010000" w:firstRow="0" w:lastRow="0" w:firstColumn="0" w:lastColumn="0" w:oddVBand="0" w:evenVBand="0" w:oddHBand="0" w:evenHBand="1" w:firstRowFirstColumn="0" w:firstRowLastColumn="0" w:lastRowFirstColumn="0" w:lastRowLastColumn="0"/>
              <w:rPr>
                <w:rFonts w:eastAsia="Calibri"/>
                <w:color w:val="000000"/>
              </w:rPr>
            </w:pPr>
            <w:r w:rsidRPr="00B65F7F">
              <w:rPr>
                <w:rFonts w:eastAsia="Calibri"/>
                <w:color w:val="000000"/>
              </w:rPr>
              <w:t>Priority Reform 1</w:t>
            </w:r>
          </w:p>
        </w:tc>
      </w:tr>
      <w:tr w:rsidR="00EE6C80" w:rsidRPr="00B65F7F" w14:paraId="52F1C499" w14:textId="77777777" w:rsidTr="000F7F38">
        <w:trPr>
          <w:gridAfter w:val="1"/>
          <w:cnfStyle w:val="000000100000" w:firstRow="0" w:lastRow="0" w:firstColumn="0" w:lastColumn="0" w:oddVBand="0" w:evenVBand="0" w:oddHBand="1" w:evenHBand="0" w:firstRowFirstColumn="0" w:firstRowLastColumn="0" w:lastRowFirstColumn="0" w:lastRowLastColumn="0"/>
          <w:wAfter w:w="24" w:type="pct"/>
          <w:cantSplit/>
        </w:trPr>
        <w:tc>
          <w:tcPr>
            <w:cnfStyle w:val="000010000000" w:firstRow="0" w:lastRow="0" w:firstColumn="0" w:lastColumn="0" w:oddVBand="1" w:evenVBand="0" w:oddHBand="0" w:evenHBand="0" w:firstRowFirstColumn="0" w:firstRowLastColumn="0" w:lastRowFirstColumn="0" w:lastRowLastColumn="0"/>
            <w:tcW w:w="840" w:type="pct"/>
          </w:tcPr>
          <w:p w14:paraId="225ACF9E" w14:textId="77777777" w:rsidR="00EE6C80" w:rsidRPr="00F318B2" w:rsidRDefault="00EE6C80" w:rsidP="00014FE5">
            <w:pPr>
              <w:pStyle w:val="TableText"/>
            </w:pPr>
            <w:r>
              <w:t xml:space="preserve">3 </w:t>
            </w:r>
            <w:r w:rsidRPr="00F318B2">
              <w:t>– Ongoing and accessible feedback mechanisms</w:t>
            </w:r>
          </w:p>
        </w:tc>
        <w:tc>
          <w:tcPr>
            <w:tcW w:w="2989" w:type="pct"/>
          </w:tcPr>
          <w:p w14:paraId="10DBB2BF" w14:textId="77777777" w:rsidR="00EE6C80" w:rsidRPr="00B65F7F" w:rsidRDefault="00EE6C80" w:rsidP="00014FE5">
            <w:pPr>
              <w:pStyle w:val="TableText"/>
              <w:cnfStyle w:val="000000100000" w:firstRow="0" w:lastRow="0" w:firstColumn="0" w:lastColumn="0" w:oddVBand="0" w:evenVBand="0" w:oddHBand="1" w:evenHBand="0" w:firstRowFirstColumn="0" w:firstRowLastColumn="0" w:lastRowFirstColumn="0" w:lastRowLastColumn="0"/>
            </w:pPr>
            <w:r>
              <w:rPr>
                <w:rFonts w:eastAsia="Calibri"/>
                <w:color w:val="000000"/>
              </w:rPr>
              <w:t>Aboriginal and/or Torres Strait Islander</w:t>
            </w:r>
            <w:r w:rsidRPr="00B65F7F">
              <w:rPr>
                <w:rFonts w:eastAsia="Calibri"/>
                <w:color w:val="000000"/>
              </w:rPr>
              <w:t xml:space="preserve"> communities </w:t>
            </w:r>
            <w:r>
              <w:rPr>
                <w:rFonts w:eastAsia="Calibri"/>
                <w:color w:val="000000"/>
              </w:rPr>
              <w:t xml:space="preserve">are empowered </w:t>
            </w:r>
            <w:r w:rsidRPr="00B65F7F">
              <w:rPr>
                <w:rFonts w:eastAsia="Calibri"/>
                <w:color w:val="000000"/>
              </w:rPr>
              <w:t xml:space="preserve">to provide feedback at all stages, including service delivery, to build the evidence base and enable continuous improvement. </w:t>
            </w:r>
          </w:p>
        </w:tc>
        <w:tc>
          <w:tcPr>
            <w:cnfStyle w:val="000010000000" w:firstRow="0" w:lastRow="0" w:firstColumn="0" w:lastColumn="0" w:oddVBand="1" w:evenVBand="0" w:oddHBand="0" w:evenHBand="0" w:firstRowFirstColumn="0" w:firstRowLastColumn="0" w:lastRowFirstColumn="0" w:lastRowLastColumn="0"/>
            <w:tcW w:w="719" w:type="pct"/>
          </w:tcPr>
          <w:p w14:paraId="576514C3" w14:textId="77777777" w:rsidR="00EE6C80" w:rsidRDefault="00EE6C80" w:rsidP="00014FE5">
            <w:pPr>
              <w:pStyle w:val="TableText"/>
              <w:rPr>
                <w:rFonts w:eastAsia="Calibri"/>
                <w:color w:val="000000"/>
              </w:rPr>
            </w:pPr>
            <w:r>
              <w:rPr>
                <w:rFonts w:eastAsia="Calibri"/>
                <w:color w:val="000000"/>
              </w:rPr>
              <w:t>Insight 4</w:t>
            </w:r>
          </w:p>
          <w:p w14:paraId="5BDA72B3" w14:textId="77777777" w:rsidR="00EE6C80" w:rsidRPr="00B65F7F" w:rsidRDefault="00EE6C80" w:rsidP="00014FE5">
            <w:pPr>
              <w:pStyle w:val="TableText"/>
              <w:rPr>
                <w:rFonts w:eastAsia="Calibri"/>
                <w:color w:val="000000"/>
              </w:rPr>
            </w:pPr>
            <w:r>
              <w:rPr>
                <w:rFonts w:eastAsia="Calibri"/>
                <w:color w:val="000000"/>
              </w:rPr>
              <w:t>Insight 8</w:t>
            </w:r>
          </w:p>
        </w:tc>
        <w:tc>
          <w:tcPr>
            <w:tcW w:w="428" w:type="pct"/>
          </w:tcPr>
          <w:p w14:paraId="666F3283" w14:textId="77777777" w:rsidR="00EE6C80" w:rsidRPr="00B65F7F" w:rsidRDefault="00EE6C80" w:rsidP="00014FE5">
            <w:pPr>
              <w:pStyle w:val="TableText"/>
              <w:cnfStyle w:val="000000100000" w:firstRow="0" w:lastRow="0" w:firstColumn="0" w:lastColumn="0" w:oddVBand="0" w:evenVBand="0" w:oddHBand="1" w:evenHBand="0" w:firstRowFirstColumn="0" w:firstRowLastColumn="0" w:lastRowFirstColumn="0" w:lastRowLastColumn="0"/>
              <w:rPr>
                <w:rFonts w:eastAsia="Calibri"/>
                <w:color w:val="000000"/>
              </w:rPr>
            </w:pPr>
            <w:r w:rsidRPr="00B65F7F">
              <w:rPr>
                <w:rFonts w:eastAsia="Calibri"/>
                <w:color w:val="000000"/>
              </w:rPr>
              <w:t xml:space="preserve">Priority Reform 4 </w:t>
            </w:r>
          </w:p>
        </w:tc>
      </w:tr>
      <w:tr w:rsidR="00CA58C2" w:rsidRPr="00B65F7F" w14:paraId="37B3D03E" w14:textId="77777777" w:rsidTr="00EE6C80">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840" w:type="pct"/>
          </w:tcPr>
          <w:p w14:paraId="201008D6" w14:textId="77777777" w:rsidR="00CA58C2" w:rsidRPr="00F318B2" w:rsidRDefault="00AC262F" w:rsidP="00014FE5">
            <w:pPr>
              <w:pStyle w:val="TableText"/>
            </w:pPr>
            <w:r>
              <w:t>4</w:t>
            </w:r>
            <w:r w:rsidR="00CA58C2" w:rsidRPr="00F318B2">
              <w:t xml:space="preserve"> – Data sovereignty</w:t>
            </w:r>
          </w:p>
        </w:tc>
        <w:tc>
          <w:tcPr>
            <w:tcW w:w="2989" w:type="pct"/>
          </w:tcPr>
          <w:p w14:paraId="222FB8C2" w14:textId="77777777" w:rsidR="00CA58C2" w:rsidRPr="00B65F7F" w:rsidRDefault="00CA58C2" w:rsidP="00014FE5">
            <w:pPr>
              <w:pStyle w:val="TableText"/>
              <w:cnfStyle w:val="000000010000" w:firstRow="0" w:lastRow="0" w:firstColumn="0" w:lastColumn="0" w:oddVBand="0" w:evenVBand="0" w:oddHBand="0" w:evenHBand="1" w:firstRowFirstColumn="0" w:firstRowLastColumn="0" w:lastRowFirstColumn="0" w:lastRowLastColumn="0"/>
            </w:pPr>
            <w:r w:rsidRPr="00B65F7F">
              <w:rPr>
                <w:rFonts w:eastAsia="Calibri"/>
                <w:color w:val="000000"/>
              </w:rPr>
              <w:t>Governance frameworks and protocols, consistent with giv</w:t>
            </w:r>
            <w:r>
              <w:rPr>
                <w:rFonts w:eastAsia="Calibri"/>
                <w:color w:val="000000"/>
              </w:rPr>
              <w:t>ing</w:t>
            </w:r>
            <w:r w:rsidRPr="00B65F7F">
              <w:rPr>
                <w:rFonts w:eastAsia="Calibri"/>
                <w:color w:val="000000"/>
              </w:rPr>
              <w:t xml:space="preserve"> </w:t>
            </w:r>
            <w:r>
              <w:rPr>
                <w:rFonts w:eastAsia="Calibri"/>
                <w:color w:val="000000"/>
              </w:rPr>
              <w:t>Aboriginal and/or Torres Strait Islander</w:t>
            </w:r>
            <w:r w:rsidRPr="00B65F7F">
              <w:rPr>
                <w:rFonts w:eastAsia="Calibri"/>
                <w:color w:val="000000"/>
              </w:rPr>
              <w:t xml:space="preserve"> people access to and the capability to use locally relevant data and information</w:t>
            </w:r>
            <w:r>
              <w:rPr>
                <w:rFonts w:eastAsia="Calibri"/>
                <w:color w:val="000000"/>
              </w:rPr>
              <w:t>,</w:t>
            </w:r>
            <w:r w:rsidRPr="00B65F7F">
              <w:rPr>
                <w:rFonts w:eastAsia="Calibri"/>
                <w:color w:val="000000"/>
              </w:rPr>
              <w:t xml:space="preserve"> ensur</w:t>
            </w:r>
            <w:r>
              <w:rPr>
                <w:rFonts w:eastAsia="Calibri"/>
                <w:color w:val="000000"/>
              </w:rPr>
              <w:t>e</w:t>
            </w:r>
            <w:r w:rsidRPr="00B65F7F">
              <w:rPr>
                <w:rFonts w:eastAsia="Calibri"/>
                <w:color w:val="000000"/>
              </w:rPr>
              <w:t xml:space="preserve"> that data collection, storage, analysis and sharing align with values, needs and aspirations.</w:t>
            </w:r>
          </w:p>
        </w:tc>
        <w:tc>
          <w:tcPr>
            <w:cnfStyle w:val="000010000000" w:firstRow="0" w:lastRow="0" w:firstColumn="0" w:lastColumn="0" w:oddVBand="1" w:evenVBand="0" w:oddHBand="0" w:evenHBand="0" w:firstRowFirstColumn="0" w:firstRowLastColumn="0" w:lastRowFirstColumn="0" w:lastRowLastColumn="0"/>
            <w:tcW w:w="719" w:type="pct"/>
          </w:tcPr>
          <w:p w14:paraId="1BCFBB1A" w14:textId="77777777" w:rsidR="000F7F38" w:rsidRDefault="00CA58C2" w:rsidP="00014FE5">
            <w:pPr>
              <w:pStyle w:val="TableText"/>
              <w:rPr>
                <w:rFonts w:eastAsia="Calibri"/>
                <w:color w:val="000000"/>
              </w:rPr>
            </w:pPr>
            <w:r>
              <w:rPr>
                <w:rFonts w:eastAsia="Calibri"/>
                <w:color w:val="000000"/>
              </w:rPr>
              <w:t>Insight 4</w:t>
            </w:r>
          </w:p>
          <w:p w14:paraId="0B499902" w14:textId="77777777" w:rsidR="00CA58C2" w:rsidRPr="00B65F7F" w:rsidRDefault="00CA58C2" w:rsidP="00014FE5">
            <w:pPr>
              <w:pStyle w:val="TableText"/>
              <w:rPr>
                <w:rFonts w:eastAsia="Calibri"/>
                <w:color w:val="000000"/>
              </w:rPr>
            </w:pPr>
            <w:r>
              <w:rPr>
                <w:rFonts w:eastAsia="Calibri"/>
                <w:color w:val="000000"/>
              </w:rPr>
              <w:t>Insight 8</w:t>
            </w:r>
          </w:p>
        </w:tc>
        <w:tc>
          <w:tcPr>
            <w:tcW w:w="452" w:type="pct"/>
            <w:gridSpan w:val="2"/>
          </w:tcPr>
          <w:p w14:paraId="217F9CEC" w14:textId="77777777" w:rsidR="00CA58C2" w:rsidRPr="00B65F7F" w:rsidRDefault="00CA58C2" w:rsidP="00014FE5">
            <w:pPr>
              <w:pStyle w:val="TableText"/>
              <w:cnfStyle w:val="000000010000" w:firstRow="0" w:lastRow="0" w:firstColumn="0" w:lastColumn="0" w:oddVBand="0" w:evenVBand="0" w:oddHBand="0" w:evenHBand="1" w:firstRowFirstColumn="0" w:firstRowLastColumn="0" w:lastRowFirstColumn="0" w:lastRowLastColumn="0"/>
              <w:rPr>
                <w:rFonts w:eastAsia="Calibri"/>
                <w:color w:val="000000"/>
              </w:rPr>
            </w:pPr>
            <w:r w:rsidRPr="00B65F7F">
              <w:rPr>
                <w:rFonts w:eastAsia="Calibri"/>
                <w:color w:val="000000"/>
              </w:rPr>
              <w:t xml:space="preserve">Priority Reform 4 </w:t>
            </w:r>
          </w:p>
        </w:tc>
      </w:tr>
      <w:tr w:rsidR="00CA58C2" w:rsidRPr="00B65F7F" w14:paraId="5F0EFCBD" w14:textId="77777777" w:rsidTr="00EE6C80">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840" w:type="pct"/>
          </w:tcPr>
          <w:p w14:paraId="0848B172" w14:textId="77777777" w:rsidR="00CA58C2" w:rsidRPr="00F318B2" w:rsidRDefault="00AC262F" w:rsidP="00014FE5">
            <w:pPr>
              <w:pStyle w:val="TableText"/>
            </w:pPr>
            <w:r>
              <w:t>5</w:t>
            </w:r>
            <w:r w:rsidR="00CA58C2" w:rsidRPr="00F318B2">
              <w:t xml:space="preserve"> – A true understanding and use of partnerships/co-design</w:t>
            </w:r>
          </w:p>
        </w:tc>
        <w:tc>
          <w:tcPr>
            <w:tcW w:w="2989" w:type="pct"/>
          </w:tcPr>
          <w:p w14:paraId="67CC0A80" w14:textId="77777777" w:rsidR="00CA58C2" w:rsidRPr="00B65F7F" w:rsidRDefault="00CA58C2" w:rsidP="00014FE5">
            <w:pPr>
              <w:pStyle w:val="TableText"/>
              <w:cnfStyle w:val="000000100000" w:firstRow="0" w:lastRow="0" w:firstColumn="0" w:lastColumn="0" w:oddVBand="0" w:evenVBand="0" w:oddHBand="1" w:evenHBand="0" w:firstRowFirstColumn="0" w:firstRowLastColumn="0" w:lastRowFirstColumn="0" w:lastRowLastColumn="0"/>
            </w:pPr>
            <w:r>
              <w:rPr>
                <w:rFonts w:eastAsia="Calibri"/>
                <w:color w:val="000000"/>
              </w:rPr>
              <w:t>A</w:t>
            </w:r>
            <w:r w:rsidRPr="00B65F7F">
              <w:rPr>
                <w:rFonts w:eastAsia="Calibri"/>
                <w:color w:val="000000"/>
              </w:rPr>
              <w:t xml:space="preserve"> partnership and/or co-design </w:t>
            </w:r>
            <w:r>
              <w:rPr>
                <w:rFonts w:eastAsia="Calibri"/>
                <w:color w:val="000000"/>
              </w:rPr>
              <w:t xml:space="preserve">approach is used </w:t>
            </w:r>
            <w:r w:rsidRPr="00B65F7F">
              <w:rPr>
                <w:rFonts w:eastAsia="Calibri"/>
                <w:color w:val="000000"/>
              </w:rPr>
              <w:t xml:space="preserve">that fosters a genuine understanding of </w:t>
            </w:r>
            <w:r>
              <w:rPr>
                <w:rFonts w:eastAsia="Calibri"/>
                <w:color w:val="000000"/>
              </w:rPr>
              <w:t>Aboriginal and/or Torres Strait Islander</w:t>
            </w:r>
            <w:r w:rsidRPr="00B65F7F">
              <w:rPr>
                <w:rFonts w:eastAsia="Calibri"/>
                <w:color w:val="000000"/>
              </w:rPr>
              <w:t xml:space="preserve"> perspectives, knowledge and experiences by actively involving community members as equal partners.</w:t>
            </w:r>
          </w:p>
        </w:tc>
        <w:tc>
          <w:tcPr>
            <w:cnfStyle w:val="000010000000" w:firstRow="0" w:lastRow="0" w:firstColumn="0" w:lastColumn="0" w:oddVBand="1" w:evenVBand="0" w:oddHBand="0" w:evenHBand="0" w:firstRowFirstColumn="0" w:firstRowLastColumn="0" w:lastRowFirstColumn="0" w:lastRowLastColumn="0"/>
            <w:tcW w:w="719" w:type="pct"/>
          </w:tcPr>
          <w:p w14:paraId="19BBB129" w14:textId="77777777" w:rsidR="00CA58C2" w:rsidRDefault="00CA58C2" w:rsidP="00014FE5">
            <w:pPr>
              <w:pStyle w:val="TableText"/>
              <w:rPr>
                <w:rFonts w:eastAsia="Calibri"/>
                <w:color w:val="000000"/>
              </w:rPr>
            </w:pPr>
            <w:r>
              <w:rPr>
                <w:rFonts w:eastAsia="Calibri"/>
                <w:color w:val="000000"/>
              </w:rPr>
              <w:t>Insight 1</w:t>
            </w:r>
          </w:p>
          <w:p w14:paraId="50883182" w14:textId="77777777" w:rsidR="00CA58C2" w:rsidRDefault="00CA58C2" w:rsidP="00014FE5">
            <w:pPr>
              <w:pStyle w:val="TableText"/>
              <w:rPr>
                <w:rFonts w:eastAsia="Calibri"/>
                <w:color w:val="000000"/>
              </w:rPr>
            </w:pPr>
            <w:r>
              <w:rPr>
                <w:rFonts w:eastAsia="Calibri"/>
                <w:color w:val="000000"/>
              </w:rPr>
              <w:t>Insight 3</w:t>
            </w:r>
          </w:p>
          <w:p w14:paraId="13E02A3C" w14:textId="77777777" w:rsidR="00CA58C2" w:rsidRDefault="00CA58C2" w:rsidP="00014FE5">
            <w:pPr>
              <w:pStyle w:val="TableText"/>
              <w:rPr>
                <w:rFonts w:eastAsia="Calibri"/>
                <w:color w:val="000000"/>
              </w:rPr>
            </w:pPr>
            <w:r>
              <w:rPr>
                <w:rFonts w:eastAsia="Calibri"/>
                <w:color w:val="000000"/>
              </w:rPr>
              <w:t>Insight 4</w:t>
            </w:r>
          </w:p>
          <w:p w14:paraId="19C109C1" w14:textId="77777777" w:rsidR="00CA58C2" w:rsidRDefault="00CA58C2" w:rsidP="00014FE5">
            <w:pPr>
              <w:pStyle w:val="TableText"/>
              <w:rPr>
                <w:rFonts w:eastAsia="Calibri"/>
                <w:color w:val="000000"/>
              </w:rPr>
            </w:pPr>
            <w:r>
              <w:rPr>
                <w:rFonts w:eastAsia="Calibri"/>
                <w:color w:val="000000"/>
              </w:rPr>
              <w:t>Insight 7</w:t>
            </w:r>
          </w:p>
          <w:p w14:paraId="1D9FEF4E" w14:textId="77777777" w:rsidR="00CA58C2" w:rsidRDefault="00CA58C2" w:rsidP="00014FE5">
            <w:pPr>
              <w:pStyle w:val="TableText"/>
              <w:rPr>
                <w:rFonts w:eastAsia="Calibri"/>
                <w:color w:val="000000"/>
              </w:rPr>
            </w:pPr>
            <w:r>
              <w:rPr>
                <w:rFonts w:eastAsia="Calibri"/>
                <w:color w:val="000000"/>
              </w:rPr>
              <w:t>Insight 8</w:t>
            </w:r>
          </w:p>
          <w:p w14:paraId="1BAC5409" w14:textId="77777777" w:rsidR="00CA58C2" w:rsidRDefault="00CA58C2" w:rsidP="00014FE5">
            <w:pPr>
              <w:pStyle w:val="TableText"/>
              <w:rPr>
                <w:rFonts w:eastAsia="Calibri"/>
                <w:color w:val="000000"/>
              </w:rPr>
            </w:pPr>
            <w:r>
              <w:rPr>
                <w:rFonts w:eastAsia="Calibri"/>
                <w:color w:val="000000"/>
              </w:rPr>
              <w:t>Insight 10</w:t>
            </w:r>
          </w:p>
          <w:p w14:paraId="3D20A8CC" w14:textId="77777777" w:rsidR="00CA58C2" w:rsidRPr="00B65F7F" w:rsidRDefault="00CA58C2" w:rsidP="00014FE5">
            <w:pPr>
              <w:pStyle w:val="TableText"/>
              <w:rPr>
                <w:rFonts w:eastAsia="Calibri"/>
                <w:color w:val="000000"/>
              </w:rPr>
            </w:pPr>
            <w:r>
              <w:rPr>
                <w:rFonts w:eastAsia="Calibri"/>
                <w:color w:val="000000"/>
              </w:rPr>
              <w:t>Insight 11</w:t>
            </w:r>
          </w:p>
        </w:tc>
        <w:tc>
          <w:tcPr>
            <w:tcW w:w="452" w:type="pct"/>
            <w:gridSpan w:val="2"/>
          </w:tcPr>
          <w:p w14:paraId="28F8778C" w14:textId="77777777" w:rsidR="00CA58C2" w:rsidRPr="00B65F7F" w:rsidRDefault="00CA58C2" w:rsidP="00014FE5">
            <w:pPr>
              <w:pStyle w:val="TableText"/>
              <w:cnfStyle w:val="000000100000" w:firstRow="0" w:lastRow="0" w:firstColumn="0" w:lastColumn="0" w:oddVBand="0" w:evenVBand="0" w:oddHBand="1" w:evenHBand="0" w:firstRowFirstColumn="0" w:firstRowLastColumn="0" w:lastRowFirstColumn="0" w:lastRowLastColumn="0"/>
              <w:rPr>
                <w:rFonts w:eastAsia="Calibri"/>
                <w:color w:val="000000"/>
              </w:rPr>
            </w:pPr>
            <w:r w:rsidRPr="00B65F7F">
              <w:rPr>
                <w:rFonts w:eastAsia="Calibri"/>
                <w:color w:val="000000"/>
              </w:rPr>
              <w:t>Priority Reform 1</w:t>
            </w:r>
          </w:p>
        </w:tc>
      </w:tr>
      <w:tr w:rsidR="00CA58C2" w:rsidRPr="00B65F7F" w14:paraId="2206CE8C" w14:textId="77777777" w:rsidTr="00EE6C80">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840" w:type="pct"/>
          </w:tcPr>
          <w:p w14:paraId="5D02D86B" w14:textId="77777777" w:rsidR="00CA58C2" w:rsidRPr="00F318B2" w:rsidRDefault="00AC262F" w:rsidP="00014FE5">
            <w:pPr>
              <w:pStyle w:val="TableText"/>
            </w:pPr>
            <w:r>
              <w:t>6</w:t>
            </w:r>
            <w:r w:rsidR="00CA58C2" w:rsidRPr="00F318B2">
              <w:t xml:space="preserve"> – Longer funding cycles </w:t>
            </w:r>
          </w:p>
        </w:tc>
        <w:tc>
          <w:tcPr>
            <w:tcW w:w="2989" w:type="pct"/>
          </w:tcPr>
          <w:p w14:paraId="51356114" w14:textId="77777777" w:rsidR="00CA58C2" w:rsidRPr="00B65F7F" w:rsidRDefault="00CA58C2" w:rsidP="00014FE5">
            <w:pPr>
              <w:pStyle w:val="TableText"/>
              <w:cnfStyle w:val="000000010000" w:firstRow="0" w:lastRow="0" w:firstColumn="0" w:lastColumn="0" w:oddVBand="0" w:evenVBand="0" w:oddHBand="0" w:evenHBand="1" w:firstRowFirstColumn="0" w:firstRowLastColumn="0" w:lastRowFirstColumn="0" w:lastRowLastColumn="0"/>
            </w:pPr>
            <w:r>
              <w:rPr>
                <w:rFonts w:eastAsia="Calibri"/>
                <w:color w:val="000000"/>
              </w:rPr>
              <w:t>There is a t</w:t>
            </w:r>
            <w:r w:rsidRPr="00B65F7F">
              <w:rPr>
                <w:rFonts w:eastAsia="Calibri"/>
                <w:color w:val="000000"/>
              </w:rPr>
              <w:t>ransition to long-term funding using a more flexible, relational approach to contracting.</w:t>
            </w:r>
          </w:p>
        </w:tc>
        <w:tc>
          <w:tcPr>
            <w:cnfStyle w:val="000010000000" w:firstRow="0" w:lastRow="0" w:firstColumn="0" w:lastColumn="0" w:oddVBand="1" w:evenVBand="0" w:oddHBand="0" w:evenHBand="0" w:firstRowFirstColumn="0" w:firstRowLastColumn="0" w:lastRowFirstColumn="0" w:lastRowLastColumn="0"/>
            <w:tcW w:w="719" w:type="pct"/>
          </w:tcPr>
          <w:p w14:paraId="07DA1ECD" w14:textId="77777777" w:rsidR="00CA58C2" w:rsidRDefault="00CA58C2" w:rsidP="00014FE5">
            <w:pPr>
              <w:pStyle w:val="TableText"/>
              <w:rPr>
                <w:rFonts w:eastAsia="Calibri"/>
                <w:color w:val="000000"/>
              </w:rPr>
            </w:pPr>
            <w:r>
              <w:rPr>
                <w:rFonts w:eastAsia="Calibri"/>
                <w:color w:val="000000"/>
              </w:rPr>
              <w:t>Insight 2</w:t>
            </w:r>
          </w:p>
          <w:p w14:paraId="55DC4C7A" w14:textId="77777777" w:rsidR="00CA58C2" w:rsidRDefault="00CA58C2" w:rsidP="00014FE5">
            <w:pPr>
              <w:pStyle w:val="TableText"/>
              <w:rPr>
                <w:rFonts w:eastAsia="Calibri"/>
                <w:color w:val="000000"/>
              </w:rPr>
            </w:pPr>
            <w:r>
              <w:rPr>
                <w:rFonts w:eastAsia="Calibri"/>
                <w:color w:val="000000"/>
              </w:rPr>
              <w:t>Insight 5</w:t>
            </w:r>
          </w:p>
          <w:p w14:paraId="7F6ED263" w14:textId="77777777" w:rsidR="00CA58C2" w:rsidRPr="00B65F7F" w:rsidRDefault="00CA58C2" w:rsidP="00014FE5">
            <w:pPr>
              <w:pStyle w:val="TableText"/>
              <w:rPr>
                <w:rFonts w:eastAsia="Calibri"/>
                <w:color w:val="000000"/>
              </w:rPr>
            </w:pPr>
            <w:r>
              <w:rPr>
                <w:rFonts w:eastAsia="Calibri"/>
                <w:color w:val="000000"/>
              </w:rPr>
              <w:t>Insight 6</w:t>
            </w:r>
          </w:p>
        </w:tc>
        <w:tc>
          <w:tcPr>
            <w:tcW w:w="452" w:type="pct"/>
            <w:gridSpan w:val="2"/>
          </w:tcPr>
          <w:p w14:paraId="598A19A6" w14:textId="77777777" w:rsidR="00CA58C2" w:rsidRPr="00B65F7F" w:rsidRDefault="00CA58C2" w:rsidP="00014FE5">
            <w:pPr>
              <w:pStyle w:val="TableText"/>
              <w:cnfStyle w:val="000000010000" w:firstRow="0" w:lastRow="0" w:firstColumn="0" w:lastColumn="0" w:oddVBand="0" w:evenVBand="0" w:oddHBand="0" w:evenHBand="1" w:firstRowFirstColumn="0" w:firstRowLastColumn="0" w:lastRowFirstColumn="0" w:lastRowLastColumn="0"/>
              <w:rPr>
                <w:rFonts w:eastAsia="Calibri"/>
                <w:color w:val="000000"/>
              </w:rPr>
            </w:pPr>
            <w:r w:rsidRPr="00B65F7F">
              <w:rPr>
                <w:rFonts w:eastAsia="Calibri"/>
                <w:color w:val="000000"/>
              </w:rPr>
              <w:t>Priority Reform 2</w:t>
            </w:r>
          </w:p>
        </w:tc>
      </w:tr>
      <w:tr w:rsidR="00CA58C2" w:rsidRPr="00B65F7F" w14:paraId="17765738" w14:textId="77777777" w:rsidTr="00EE6C80">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840" w:type="pct"/>
          </w:tcPr>
          <w:p w14:paraId="7A2E9125" w14:textId="77777777" w:rsidR="00CA58C2" w:rsidRPr="00F318B2" w:rsidRDefault="00AC262F" w:rsidP="00014FE5">
            <w:pPr>
              <w:pStyle w:val="TableText"/>
            </w:pPr>
            <w:r>
              <w:t>7</w:t>
            </w:r>
            <w:r w:rsidR="00CA58C2" w:rsidRPr="00F318B2">
              <w:t xml:space="preserve"> – Universal coverage with no geographical gaps</w:t>
            </w:r>
          </w:p>
        </w:tc>
        <w:tc>
          <w:tcPr>
            <w:tcW w:w="2989" w:type="pct"/>
          </w:tcPr>
          <w:p w14:paraId="678332CC" w14:textId="77777777" w:rsidR="00CA58C2" w:rsidRPr="00B65F7F" w:rsidRDefault="00CA58C2" w:rsidP="00014FE5">
            <w:pPr>
              <w:pStyle w:val="TableText"/>
              <w:cnfStyle w:val="000000100000" w:firstRow="0" w:lastRow="0" w:firstColumn="0" w:lastColumn="0" w:oddVBand="0" w:evenVBand="0" w:oddHBand="1" w:evenHBand="0" w:firstRowFirstColumn="0" w:firstRowLastColumn="0" w:lastRowFirstColumn="0" w:lastRowLastColumn="0"/>
            </w:pPr>
            <w:r>
              <w:rPr>
                <w:rFonts w:eastAsia="Calibri"/>
                <w:color w:val="000000"/>
              </w:rPr>
              <w:t>A</w:t>
            </w:r>
            <w:r w:rsidRPr="00B65F7F">
              <w:rPr>
                <w:rFonts w:eastAsia="Calibri"/>
                <w:color w:val="000000"/>
              </w:rPr>
              <w:t xml:space="preserve">rrangements </w:t>
            </w:r>
            <w:r>
              <w:rPr>
                <w:rFonts w:eastAsia="Calibri"/>
                <w:color w:val="000000"/>
              </w:rPr>
              <w:t xml:space="preserve">are </w:t>
            </w:r>
            <w:r w:rsidRPr="00B65F7F">
              <w:rPr>
                <w:rFonts w:eastAsia="Calibri"/>
                <w:color w:val="000000"/>
              </w:rPr>
              <w:t>in place to bridge and support geographical gaps, ensuring universal access.</w:t>
            </w:r>
          </w:p>
        </w:tc>
        <w:tc>
          <w:tcPr>
            <w:cnfStyle w:val="000010000000" w:firstRow="0" w:lastRow="0" w:firstColumn="0" w:lastColumn="0" w:oddVBand="1" w:evenVBand="0" w:oddHBand="0" w:evenHBand="0" w:firstRowFirstColumn="0" w:firstRowLastColumn="0" w:lastRowFirstColumn="0" w:lastRowLastColumn="0"/>
            <w:tcW w:w="719" w:type="pct"/>
          </w:tcPr>
          <w:p w14:paraId="2F40ADC7" w14:textId="77777777" w:rsidR="00CA58C2" w:rsidRDefault="00CA58C2" w:rsidP="00014FE5">
            <w:pPr>
              <w:pStyle w:val="TableText"/>
              <w:rPr>
                <w:rFonts w:eastAsia="Calibri"/>
                <w:color w:val="000000"/>
              </w:rPr>
            </w:pPr>
            <w:r>
              <w:rPr>
                <w:rFonts w:eastAsia="Calibri"/>
                <w:color w:val="000000"/>
              </w:rPr>
              <w:t>Insight 3</w:t>
            </w:r>
          </w:p>
          <w:p w14:paraId="5F5773D2" w14:textId="77777777" w:rsidR="00CA58C2" w:rsidRDefault="00CA58C2" w:rsidP="00014FE5">
            <w:pPr>
              <w:pStyle w:val="TableText"/>
              <w:rPr>
                <w:rFonts w:eastAsia="Calibri"/>
                <w:color w:val="000000"/>
              </w:rPr>
            </w:pPr>
            <w:r>
              <w:rPr>
                <w:rFonts w:eastAsia="Calibri"/>
                <w:color w:val="000000"/>
              </w:rPr>
              <w:t>Insight 4</w:t>
            </w:r>
          </w:p>
          <w:p w14:paraId="390338E6" w14:textId="77777777" w:rsidR="00CA58C2" w:rsidRDefault="00CA58C2" w:rsidP="00014FE5">
            <w:pPr>
              <w:pStyle w:val="TableText"/>
              <w:rPr>
                <w:rFonts w:eastAsia="Calibri"/>
                <w:color w:val="000000"/>
              </w:rPr>
            </w:pPr>
            <w:r>
              <w:rPr>
                <w:rFonts w:eastAsia="Calibri"/>
                <w:color w:val="000000"/>
              </w:rPr>
              <w:t>Insight 5</w:t>
            </w:r>
          </w:p>
          <w:p w14:paraId="4BAAA1D3" w14:textId="77777777" w:rsidR="00CA58C2" w:rsidRPr="00B65F7F" w:rsidRDefault="00CA58C2" w:rsidP="00014FE5">
            <w:pPr>
              <w:pStyle w:val="TableText"/>
              <w:rPr>
                <w:rFonts w:eastAsia="Calibri"/>
                <w:color w:val="000000"/>
              </w:rPr>
            </w:pPr>
            <w:r>
              <w:rPr>
                <w:rFonts w:eastAsia="Calibri"/>
                <w:color w:val="000000"/>
              </w:rPr>
              <w:t>Insight 7</w:t>
            </w:r>
          </w:p>
        </w:tc>
        <w:tc>
          <w:tcPr>
            <w:tcW w:w="452" w:type="pct"/>
            <w:gridSpan w:val="2"/>
          </w:tcPr>
          <w:p w14:paraId="6C0F066C" w14:textId="77777777" w:rsidR="00CA58C2" w:rsidRPr="00B65F7F" w:rsidRDefault="00CA58C2" w:rsidP="00014FE5">
            <w:pPr>
              <w:pStyle w:val="TableText"/>
              <w:cnfStyle w:val="000000100000" w:firstRow="0" w:lastRow="0" w:firstColumn="0" w:lastColumn="0" w:oddVBand="0" w:evenVBand="0" w:oddHBand="1" w:evenHBand="0" w:firstRowFirstColumn="0" w:firstRowLastColumn="0" w:lastRowFirstColumn="0" w:lastRowLastColumn="0"/>
              <w:rPr>
                <w:rFonts w:eastAsia="Calibri"/>
                <w:color w:val="000000"/>
              </w:rPr>
            </w:pPr>
            <w:r w:rsidRPr="00B65F7F">
              <w:rPr>
                <w:rFonts w:eastAsia="Calibri"/>
                <w:color w:val="000000"/>
              </w:rPr>
              <w:t>Priority Reform</w:t>
            </w:r>
            <w:r>
              <w:rPr>
                <w:rFonts w:eastAsia="Calibri"/>
                <w:color w:val="000000"/>
              </w:rPr>
              <w:t>s</w:t>
            </w:r>
            <w:r w:rsidRPr="00B65F7F">
              <w:rPr>
                <w:rFonts w:eastAsia="Calibri"/>
                <w:color w:val="000000"/>
              </w:rPr>
              <w:t xml:space="preserve"> </w:t>
            </w:r>
            <w:r>
              <w:rPr>
                <w:rFonts w:eastAsia="Calibri"/>
                <w:color w:val="000000"/>
              </w:rPr>
              <w:br/>
            </w:r>
            <w:r w:rsidRPr="00B65F7F">
              <w:rPr>
                <w:rFonts w:eastAsia="Calibri"/>
                <w:color w:val="000000"/>
              </w:rPr>
              <w:t>1 and 2</w:t>
            </w:r>
          </w:p>
        </w:tc>
      </w:tr>
      <w:tr w:rsidR="00CA58C2" w:rsidRPr="00B65F7F" w14:paraId="1F6656FA" w14:textId="77777777" w:rsidTr="00EE6C80">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840" w:type="pct"/>
          </w:tcPr>
          <w:p w14:paraId="31FCCE18" w14:textId="77777777" w:rsidR="00CA58C2" w:rsidRPr="00F318B2" w:rsidRDefault="00AC262F" w:rsidP="00014FE5">
            <w:pPr>
              <w:pStyle w:val="TableText"/>
            </w:pPr>
            <w:r>
              <w:t>8</w:t>
            </w:r>
            <w:r w:rsidR="00CA58C2" w:rsidRPr="00F318B2">
              <w:t xml:space="preserve"> – Consolidated and pooled funding </w:t>
            </w:r>
          </w:p>
        </w:tc>
        <w:tc>
          <w:tcPr>
            <w:tcW w:w="2989" w:type="pct"/>
          </w:tcPr>
          <w:p w14:paraId="4A7B44E3" w14:textId="77777777" w:rsidR="00CA58C2" w:rsidRPr="00B65F7F" w:rsidRDefault="00CA58C2" w:rsidP="00014FE5">
            <w:pPr>
              <w:pStyle w:val="TableText"/>
              <w:cnfStyle w:val="000000010000" w:firstRow="0" w:lastRow="0" w:firstColumn="0" w:lastColumn="0" w:oddVBand="0" w:evenVBand="0" w:oddHBand="0" w:evenHBand="1" w:firstRowFirstColumn="0" w:firstRowLastColumn="0" w:lastRowFirstColumn="0" w:lastRowLastColumn="0"/>
            </w:pPr>
            <w:r>
              <w:rPr>
                <w:rFonts w:eastAsia="Calibri"/>
                <w:color w:val="000000"/>
              </w:rPr>
              <w:t>A</w:t>
            </w:r>
            <w:r w:rsidRPr="00B65F7F">
              <w:rPr>
                <w:rFonts w:eastAsia="Calibri"/>
                <w:color w:val="000000"/>
              </w:rPr>
              <w:t xml:space="preserve">vailable and relevant funding for communities </w:t>
            </w:r>
            <w:r>
              <w:rPr>
                <w:rFonts w:eastAsia="Calibri"/>
                <w:color w:val="000000"/>
              </w:rPr>
              <w:t xml:space="preserve">can be combined </w:t>
            </w:r>
            <w:r w:rsidRPr="00B65F7F">
              <w:rPr>
                <w:rFonts w:eastAsia="Calibri"/>
                <w:color w:val="000000"/>
              </w:rPr>
              <w:t xml:space="preserve">to maximise reach and impact and reduce siloes and fragmentation. </w:t>
            </w:r>
          </w:p>
        </w:tc>
        <w:tc>
          <w:tcPr>
            <w:cnfStyle w:val="000010000000" w:firstRow="0" w:lastRow="0" w:firstColumn="0" w:lastColumn="0" w:oddVBand="1" w:evenVBand="0" w:oddHBand="0" w:evenHBand="0" w:firstRowFirstColumn="0" w:firstRowLastColumn="0" w:lastRowFirstColumn="0" w:lastRowLastColumn="0"/>
            <w:tcW w:w="719" w:type="pct"/>
          </w:tcPr>
          <w:p w14:paraId="760E8DF4" w14:textId="77777777" w:rsidR="00CA58C2" w:rsidRDefault="00CA58C2" w:rsidP="00014FE5">
            <w:pPr>
              <w:pStyle w:val="TableText"/>
              <w:rPr>
                <w:rFonts w:eastAsia="Calibri"/>
                <w:color w:val="000000"/>
              </w:rPr>
            </w:pPr>
            <w:r>
              <w:rPr>
                <w:rFonts w:eastAsia="Calibri"/>
                <w:color w:val="000000"/>
              </w:rPr>
              <w:t>Insight 2</w:t>
            </w:r>
          </w:p>
          <w:p w14:paraId="2768D383" w14:textId="77777777" w:rsidR="00CA58C2" w:rsidRDefault="00CA58C2" w:rsidP="00014FE5">
            <w:pPr>
              <w:pStyle w:val="TableText"/>
              <w:rPr>
                <w:rFonts w:eastAsia="Calibri"/>
                <w:color w:val="000000"/>
              </w:rPr>
            </w:pPr>
            <w:r>
              <w:rPr>
                <w:rFonts w:eastAsia="Calibri"/>
                <w:color w:val="000000"/>
              </w:rPr>
              <w:t>Insight 4</w:t>
            </w:r>
          </w:p>
          <w:p w14:paraId="7B870474" w14:textId="77777777" w:rsidR="00CA58C2" w:rsidRPr="00B65F7F" w:rsidRDefault="00CA58C2" w:rsidP="00014FE5">
            <w:pPr>
              <w:pStyle w:val="TableText"/>
              <w:rPr>
                <w:rFonts w:eastAsia="Calibri"/>
                <w:color w:val="000000"/>
              </w:rPr>
            </w:pPr>
            <w:r>
              <w:rPr>
                <w:rFonts w:eastAsia="Calibri"/>
                <w:color w:val="000000"/>
              </w:rPr>
              <w:t>Insight 5</w:t>
            </w:r>
          </w:p>
        </w:tc>
        <w:tc>
          <w:tcPr>
            <w:tcW w:w="452" w:type="pct"/>
            <w:gridSpan w:val="2"/>
          </w:tcPr>
          <w:p w14:paraId="05C2DB5E" w14:textId="77777777" w:rsidR="00CA58C2" w:rsidRPr="00B65F7F" w:rsidRDefault="00CA58C2" w:rsidP="00014FE5">
            <w:pPr>
              <w:pStyle w:val="TableText"/>
              <w:cnfStyle w:val="000000010000" w:firstRow="0" w:lastRow="0" w:firstColumn="0" w:lastColumn="0" w:oddVBand="0" w:evenVBand="0" w:oddHBand="0" w:evenHBand="1" w:firstRowFirstColumn="0" w:firstRowLastColumn="0" w:lastRowFirstColumn="0" w:lastRowLastColumn="0"/>
              <w:rPr>
                <w:rFonts w:eastAsia="Calibri"/>
                <w:color w:val="000000"/>
              </w:rPr>
            </w:pPr>
            <w:r w:rsidRPr="00B65F7F">
              <w:rPr>
                <w:rFonts w:eastAsia="Calibri"/>
                <w:color w:val="000000"/>
              </w:rPr>
              <w:t>Priority Reform</w:t>
            </w:r>
            <w:r>
              <w:rPr>
                <w:rFonts w:eastAsia="Calibri"/>
                <w:color w:val="000000"/>
              </w:rPr>
              <w:t>s</w:t>
            </w:r>
            <w:r w:rsidRPr="00B65F7F">
              <w:rPr>
                <w:rFonts w:eastAsia="Calibri"/>
                <w:color w:val="000000"/>
              </w:rPr>
              <w:t xml:space="preserve"> </w:t>
            </w:r>
            <w:r>
              <w:rPr>
                <w:rFonts w:eastAsia="Calibri"/>
                <w:color w:val="000000"/>
              </w:rPr>
              <w:br/>
            </w:r>
            <w:r w:rsidRPr="00B65F7F">
              <w:rPr>
                <w:rFonts w:eastAsia="Calibri"/>
                <w:color w:val="000000"/>
              </w:rPr>
              <w:t>1 and 3</w:t>
            </w:r>
          </w:p>
        </w:tc>
      </w:tr>
      <w:tr w:rsidR="00CA58C2" w:rsidRPr="00B65F7F" w14:paraId="2D7D0008" w14:textId="77777777" w:rsidTr="00EE6C80">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840" w:type="pct"/>
          </w:tcPr>
          <w:p w14:paraId="342386A5" w14:textId="77777777" w:rsidR="00CA58C2" w:rsidRPr="00F318B2" w:rsidRDefault="00AC262F" w:rsidP="00014FE5">
            <w:pPr>
              <w:pStyle w:val="TableText"/>
            </w:pPr>
            <w:r>
              <w:t>9</w:t>
            </w:r>
            <w:r w:rsidR="00CA58C2" w:rsidRPr="00F318B2">
              <w:t xml:space="preserve"> – Using </w:t>
            </w:r>
            <w:r w:rsidR="00CA58C2">
              <w:t>Aboriginal and/or Torres Strait Islander</w:t>
            </w:r>
            <w:r w:rsidR="00CA58C2" w:rsidRPr="00F318B2">
              <w:t xml:space="preserve"> approach to health</w:t>
            </w:r>
          </w:p>
        </w:tc>
        <w:tc>
          <w:tcPr>
            <w:tcW w:w="2989" w:type="pct"/>
          </w:tcPr>
          <w:p w14:paraId="51F128E7" w14:textId="77777777" w:rsidR="00CA58C2" w:rsidRPr="00B65F7F" w:rsidRDefault="00CA58C2" w:rsidP="00014FE5">
            <w:pPr>
              <w:pStyle w:val="TableText"/>
              <w:cnfStyle w:val="000000100000" w:firstRow="0" w:lastRow="0" w:firstColumn="0" w:lastColumn="0" w:oddVBand="0" w:evenVBand="0" w:oddHBand="1" w:evenHBand="0" w:firstRowFirstColumn="0" w:firstRowLastColumn="0" w:lastRowFirstColumn="0" w:lastRowLastColumn="0"/>
            </w:pPr>
            <w:r>
              <w:rPr>
                <w:rFonts w:eastAsia="Calibri"/>
                <w:color w:val="000000"/>
              </w:rPr>
              <w:t>Aboriginal and/or Torres Strait Islander</w:t>
            </w:r>
            <w:r w:rsidRPr="00B65F7F">
              <w:rPr>
                <w:rFonts w:eastAsia="Calibri"/>
                <w:color w:val="000000"/>
              </w:rPr>
              <w:t xml:space="preserve"> health practice</w:t>
            </w:r>
            <w:r>
              <w:rPr>
                <w:rFonts w:eastAsia="Calibri"/>
                <w:color w:val="000000"/>
              </w:rPr>
              <w:t>s</w:t>
            </w:r>
            <w:r w:rsidRPr="00B65F7F">
              <w:rPr>
                <w:rFonts w:eastAsia="Calibri"/>
                <w:color w:val="000000"/>
              </w:rPr>
              <w:t xml:space="preserve"> </w:t>
            </w:r>
            <w:r>
              <w:rPr>
                <w:rFonts w:eastAsia="Calibri"/>
                <w:color w:val="000000"/>
              </w:rPr>
              <w:t xml:space="preserve">are prioritised </w:t>
            </w:r>
            <w:r w:rsidRPr="00B65F7F">
              <w:rPr>
                <w:rFonts w:eastAsia="Calibri"/>
                <w:color w:val="000000"/>
              </w:rPr>
              <w:t xml:space="preserve">in the design and delivery of programs and services for </w:t>
            </w:r>
            <w:r>
              <w:rPr>
                <w:rFonts w:eastAsia="Calibri"/>
                <w:color w:val="000000"/>
              </w:rPr>
              <w:t>Aboriginal and/or Torres Strait Islander</w:t>
            </w:r>
            <w:r w:rsidRPr="00B65F7F">
              <w:rPr>
                <w:rFonts w:eastAsia="Calibri"/>
                <w:color w:val="000000"/>
              </w:rPr>
              <w:t xml:space="preserve"> communities.</w:t>
            </w:r>
          </w:p>
        </w:tc>
        <w:tc>
          <w:tcPr>
            <w:cnfStyle w:val="000010000000" w:firstRow="0" w:lastRow="0" w:firstColumn="0" w:lastColumn="0" w:oddVBand="1" w:evenVBand="0" w:oddHBand="0" w:evenHBand="0" w:firstRowFirstColumn="0" w:firstRowLastColumn="0" w:lastRowFirstColumn="0" w:lastRowLastColumn="0"/>
            <w:tcW w:w="719" w:type="pct"/>
          </w:tcPr>
          <w:p w14:paraId="2BBB1244" w14:textId="77777777" w:rsidR="00CA58C2" w:rsidRDefault="00CA58C2" w:rsidP="00014FE5">
            <w:pPr>
              <w:pStyle w:val="TableText"/>
              <w:rPr>
                <w:rFonts w:eastAsia="Calibri"/>
                <w:color w:val="000000"/>
              </w:rPr>
            </w:pPr>
            <w:r>
              <w:rPr>
                <w:rFonts w:eastAsia="Calibri"/>
                <w:color w:val="000000"/>
              </w:rPr>
              <w:t>Insight 1</w:t>
            </w:r>
          </w:p>
          <w:p w14:paraId="42B88734" w14:textId="77777777" w:rsidR="00CA58C2" w:rsidRDefault="00CA58C2" w:rsidP="00014FE5">
            <w:pPr>
              <w:pStyle w:val="TableText"/>
              <w:rPr>
                <w:rFonts w:eastAsia="Calibri"/>
                <w:color w:val="000000"/>
              </w:rPr>
            </w:pPr>
            <w:r>
              <w:rPr>
                <w:rFonts w:eastAsia="Calibri"/>
                <w:color w:val="000000"/>
              </w:rPr>
              <w:t>Insight 2</w:t>
            </w:r>
          </w:p>
          <w:p w14:paraId="3C27C130" w14:textId="77777777" w:rsidR="00CA58C2" w:rsidRDefault="00CA58C2" w:rsidP="00014FE5">
            <w:pPr>
              <w:pStyle w:val="TableText"/>
              <w:rPr>
                <w:rFonts w:eastAsia="Calibri"/>
                <w:color w:val="000000"/>
              </w:rPr>
            </w:pPr>
            <w:r>
              <w:rPr>
                <w:rFonts w:eastAsia="Calibri"/>
                <w:color w:val="000000"/>
              </w:rPr>
              <w:t>Insight 3</w:t>
            </w:r>
          </w:p>
          <w:p w14:paraId="5C2B2C79" w14:textId="77777777" w:rsidR="00CA58C2" w:rsidRDefault="00CA58C2" w:rsidP="00014FE5">
            <w:pPr>
              <w:pStyle w:val="TableText"/>
              <w:rPr>
                <w:rFonts w:eastAsia="Calibri"/>
                <w:color w:val="000000"/>
              </w:rPr>
            </w:pPr>
            <w:r>
              <w:rPr>
                <w:rFonts w:eastAsia="Calibri"/>
                <w:color w:val="000000"/>
              </w:rPr>
              <w:t>Insight 4</w:t>
            </w:r>
          </w:p>
          <w:p w14:paraId="7F55F638" w14:textId="77777777" w:rsidR="00CA58C2" w:rsidRDefault="00CA58C2" w:rsidP="00014FE5">
            <w:pPr>
              <w:pStyle w:val="TableText"/>
              <w:rPr>
                <w:rFonts w:eastAsia="Calibri"/>
                <w:color w:val="000000"/>
              </w:rPr>
            </w:pPr>
            <w:r>
              <w:rPr>
                <w:rFonts w:eastAsia="Calibri"/>
                <w:color w:val="000000"/>
              </w:rPr>
              <w:t>Insight 7</w:t>
            </w:r>
          </w:p>
          <w:p w14:paraId="1FD3C180" w14:textId="77777777" w:rsidR="00CA58C2" w:rsidRDefault="00CA58C2" w:rsidP="00014FE5">
            <w:pPr>
              <w:pStyle w:val="TableText"/>
              <w:rPr>
                <w:rFonts w:eastAsia="Calibri"/>
                <w:color w:val="000000"/>
              </w:rPr>
            </w:pPr>
            <w:r>
              <w:rPr>
                <w:rFonts w:eastAsia="Calibri"/>
                <w:color w:val="000000"/>
              </w:rPr>
              <w:t>Insight 8</w:t>
            </w:r>
          </w:p>
          <w:p w14:paraId="19B3086B" w14:textId="77777777" w:rsidR="00CA58C2" w:rsidRDefault="00CA58C2" w:rsidP="00014FE5">
            <w:pPr>
              <w:pStyle w:val="TableText"/>
              <w:rPr>
                <w:rFonts w:eastAsia="Calibri"/>
                <w:color w:val="000000"/>
              </w:rPr>
            </w:pPr>
            <w:r>
              <w:rPr>
                <w:rFonts w:eastAsia="Calibri"/>
                <w:color w:val="000000"/>
              </w:rPr>
              <w:t>Insight 10</w:t>
            </w:r>
          </w:p>
          <w:p w14:paraId="0456BE33" w14:textId="77777777" w:rsidR="00CA58C2" w:rsidRPr="00B65F7F" w:rsidRDefault="00CA58C2" w:rsidP="00014FE5">
            <w:pPr>
              <w:pStyle w:val="TableText"/>
              <w:rPr>
                <w:rFonts w:eastAsia="Calibri"/>
                <w:color w:val="000000"/>
              </w:rPr>
            </w:pPr>
            <w:r>
              <w:rPr>
                <w:rFonts w:eastAsia="Calibri"/>
                <w:color w:val="000000"/>
              </w:rPr>
              <w:t>Insight 11</w:t>
            </w:r>
          </w:p>
        </w:tc>
        <w:tc>
          <w:tcPr>
            <w:tcW w:w="452" w:type="pct"/>
            <w:gridSpan w:val="2"/>
          </w:tcPr>
          <w:p w14:paraId="0ECB6F64" w14:textId="77777777" w:rsidR="00CA58C2" w:rsidRPr="00B65F7F" w:rsidRDefault="00CA58C2" w:rsidP="00014FE5">
            <w:pPr>
              <w:pStyle w:val="TableText"/>
              <w:cnfStyle w:val="000000100000" w:firstRow="0" w:lastRow="0" w:firstColumn="0" w:lastColumn="0" w:oddVBand="0" w:evenVBand="0" w:oddHBand="1" w:evenHBand="0" w:firstRowFirstColumn="0" w:firstRowLastColumn="0" w:lastRowFirstColumn="0" w:lastRowLastColumn="0"/>
              <w:rPr>
                <w:rFonts w:eastAsia="Calibri"/>
                <w:color w:val="000000"/>
              </w:rPr>
            </w:pPr>
            <w:r w:rsidRPr="00B65F7F">
              <w:rPr>
                <w:rFonts w:eastAsia="Calibri"/>
                <w:color w:val="000000"/>
              </w:rPr>
              <w:t>Priority Reform 2</w:t>
            </w:r>
          </w:p>
        </w:tc>
      </w:tr>
      <w:tr w:rsidR="00CA58C2" w:rsidRPr="00B65F7F" w14:paraId="34CAFC27" w14:textId="77777777" w:rsidTr="00EE6C80">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840" w:type="pct"/>
          </w:tcPr>
          <w:p w14:paraId="2F770F4B" w14:textId="77777777" w:rsidR="00CA58C2" w:rsidRPr="00F318B2" w:rsidRDefault="00AC262F" w:rsidP="00014FE5">
            <w:pPr>
              <w:pStyle w:val="TableText"/>
            </w:pPr>
            <w:r>
              <w:t>10</w:t>
            </w:r>
            <w:r w:rsidR="00CA58C2" w:rsidRPr="00F318B2">
              <w:t xml:space="preserve"> – Needs-based funding and distribution</w:t>
            </w:r>
          </w:p>
        </w:tc>
        <w:tc>
          <w:tcPr>
            <w:tcW w:w="2989" w:type="pct"/>
          </w:tcPr>
          <w:p w14:paraId="059288AA" w14:textId="77777777" w:rsidR="00CA58C2" w:rsidRPr="00B65F7F" w:rsidRDefault="00CA58C2" w:rsidP="00014FE5">
            <w:pPr>
              <w:pStyle w:val="TableText"/>
              <w:cnfStyle w:val="000000010000" w:firstRow="0" w:lastRow="0" w:firstColumn="0" w:lastColumn="0" w:oddVBand="0" w:evenVBand="0" w:oddHBand="0" w:evenHBand="1" w:firstRowFirstColumn="0" w:firstRowLastColumn="0" w:lastRowFirstColumn="0" w:lastRowLastColumn="0"/>
            </w:pPr>
            <w:r w:rsidRPr="00B65F7F">
              <w:rPr>
                <w:rFonts w:eastAsia="Calibri"/>
                <w:color w:val="000000"/>
              </w:rPr>
              <w:t xml:space="preserve">Needs-based funding </w:t>
            </w:r>
            <w:r>
              <w:rPr>
                <w:rFonts w:eastAsia="Calibri"/>
                <w:color w:val="000000"/>
              </w:rPr>
              <w:t xml:space="preserve">is </w:t>
            </w:r>
            <w:r w:rsidRPr="00B65F7F">
              <w:rPr>
                <w:rFonts w:eastAsia="Calibri"/>
                <w:color w:val="000000"/>
              </w:rPr>
              <w:t>based on evidence agreed to by communities and reflect</w:t>
            </w:r>
            <w:r>
              <w:rPr>
                <w:rFonts w:eastAsia="Calibri"/>
                <w:color w:val="000000"/>
              </w:rPr>
              <w:t>s</w:t>
            </w:r>
            <w:r w:rsidRPr="00B65F7F">
              <w:rPr>
                <w:rFonts w:eastAsia="Calibri"/>
                <w:color w:val="000000"/>
              </w:rPr>
              <w:t xml:space="preserve"> any expected or real growth in needs and numbers. </w:t>
            </w:r>
          </w:p>
        </w:tc>
        <w:tc>
          <w:tcPr>
            <w:cnfStyle w:val="000010000000" w:firstRow="0" w:lastRow="0" w:firstColumn="0" w:lastColumn="0" w:oddVBand="1" w:evenVBand="0" w:oddHBand="0" w:evenHBand="0" w:firstRowFirstColumn="0" w:firstRowLastColumn="0" w:lastRowFirstColumn="0" w:lastRowLastColumn="0"/>
            <w:tcW w:w="719" w:type="pct"/>
          </w:tcPr>
          <w:p w14:paraId="6191A21F" w14:textId="77777777" w:rsidR="00CA58C2" w:rsidRDefault="00CA58C2" w:rsidP="00014FE5">
            <w:pPr>
              <w:pStyle w:val="TableText"/>
              <w:rPr>
                <w:rFonts w:eastAsia="Calibri"/>
                <w:color w:val="000000"/>
              </w:rPr>
            </w:pPr>
            <w:r>
              <w:rPr>
                <w:rFonts w:eastAsia="Calibri"/>
                <w:color w:val="000000"/>
              </w:rPr>
              <w:t>Insight 4</w:t>
            </w:r>
          </w:p>
          <w:p w14:paraId="2B055A3A" w14:textId="77777777" w:rsidR="00CA58C2" w:rsidRDefault="00CA58C2" w:rsidP="00014FE5">
            <w:pPr>
              <w:pStyle w:val="TableText"/>
              <w:rPr>
                <w:rFonts w:eastAsia="Calibri"/>
                <w:color w:val="000000"/>
              </w:rPr>
            </w:pPr>
            <w:r>
              <w:rPr>
                <w:rFonts w:eastAsia="Calibri"/>
                <w:color w:val="000000"/>
              </w:rPr>
              <w:t>Insight 5</w:t>
            </w:r>
          </w:p>
          <w:p w14:paraId="07632A2E" w14:textId="77777777" w:rsidR="00CA58C2" w:rsidRPr="00B65F7F" w:rsidRDefault="00CA58C2" w:rsidP="00014FE5">
            <w:pPr>
              <w:pStyle w:val="TableText"/>
              <w:rPr>
                <w:rFonts w:eastAsia="Calibri"/>
                <w:color w:val="000000"/>
              </w:rPr>
            </w:pPr>
            <w:r>
              <w:rPr>
                <w:rFonts w:eastAsia="Calibri"/>
                <w:color w:val="000000"/>
              </w:rPr>
              <w:t>Insight 7</w:t>
            </w:r>
          </w:p>
        </w:tc>
        <w:tc>
          <w:tcPr>
            <w:tcW w:w="452" w:type="pct"/>
            <w:gridSpan w:val="2"/>
          </w:tcPr>
          <w:p w14:paraId="0255E8A7" w14:textId="77777777" w:rsidR="00CA58C2" w:rsidRPr="00B65F7F" w:rsidRDefault="00CA58C2" w:rsidP="00014FE5">
            <w:pPr>
              <w:pStyle w:val="TableText"/>
              <w:cnfStyle w:val="000000010000" w:firstRow="0" w:lastRow="0" w:firstColumn="0" w:lastColumn="0" w:oddVBand="0" w:evenVBand="0" w:oddHBand="0" w:evenHBand="1" w:firstRowFirstColumn="0" w:firstRowLastColumn="0" w:lastRowFirstColumn="0" w:lastRowLastColumn="0"/>
              <w:rPr>
                <w:rFonts w:eastAsia="Calibri"/>
                <w:color w:val="000000"/>
              </w:rPr>
            </w:pPr>
            <w:r w:rsidRPr="00B65F7F">
              <w:rPr>
                <w:rFonts w:eastAsia="Calibri"/>
                <w:color w:val="000000"/>
              </w:rPr>
              <w:t xml:space="preserve">Priority Reform 1 </w:t>
            </w:r>
          </w:p>
        </w:tc>
      </w:tr>
      <w:tr w:rsidR="00CA58C2" w:rsidRPr="00B65F7F" w14:paraId="5B0387C8" w14:textId="77777777" w:rsidTr="00EE6C80">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840" w:type="pct"/>
          </w:tcPr>
          <w:p w14:paraId="6A382176" w14:textId="77777777" w:rsidR="00CA58C2" w:rsidRPr="00F318B2" w:rsidRDefault="00AC262F" w:rsidP="00014FE5">
            <w:pPr>
              <w:pStyle w:val="TableText"/>
            </w:pPr>
            <w:r>
              <w:t>11</w:t>
            </w:r>
            <w:r w:rsidR="00CA58C2" w:rsidRPr="00F318B2">
              <w:t xml:space="preserve"> – Fair and transparent funding decisions</w:t>
            </w:r>
          </w:p>
        </w:tc>
        <w:tc>
          <w:tcPr>
            <w:tcW w:w="2989" w:type="pct"/>
          </w:tcPr>
          <w:p w14:paraId="06688CAE" w14:textId="77777777" w:rsidR="00CA58C2" w:rsidRPr="00B65F7F" w:rsidRDefault="00CA58C2" w:rsidP="00014FE5">
            <w:pPr>
              <w:pStyle w:val="TableText"/>
              <w:cnfStyle w:val="000000100000" w:firstRow="0" w:lastRow="0" w:firstColumn="0" w:lastColumn="0" w:oddVBand="0" w:evenVBand="0" w:oddHBand="1" w:evenHBand="0" w:firstRowFirstColumn="0" w:firstRowLastColumn="0" w:lastRowFirstColumn="0" w:lastRowLastColumn="0"/>
            </w:pPr>
            <w:r w:rsidRPr="00B65F7F">
              <w:rPr>
                <w:rFonts w:eastAsia="Calibri"/>
                <w:color w:val="000000"/>
              </w:rPr>
              <w:t xml:space="preserve">Funding decisions are based on fair and equitable criteria with final decisions being transparent and open. </w:t>
            </w:r>
          </w:p>
        </w:tc>
        <w:tc>
          <w:tcPr>
            <w:cnfStyle w:val="000010000000" w:firstRow="0" w:lastRow="0" w:firstColumn="0" w:lastColumn="0" w:oddVBand="1" w:evenVBand="0" w:oddHBand="0" w:evenHBand="0" w:firstRowFirstColumn="0" w:firstRowLastColumn="0" w:lastRowFirstColumn="0" w:lastRowLastColumn="0"/>
            <w:tcW w:w="719" w:type="pct"/>
          </w:tcPr>
          <w:p w14:paraId="73E99665" w14:textId="77777777" w:rsidR="00CA58C2" w:rsidRDefault="00CA58C2" w:rsidP="00014FE5">
            <w:pPr>
              <w:pStyle w:val="TableText"/>
              <w:rPr>
                <w:rFonts w:eastAsia="Calibri"/>
                <w:color w:val="000000"/>
              </w:rPr>
            </w:pPr>
            <w:r>
              <w:rPr>
                <w:rFonts w:eastAsia="Calibri"/>
                <w:color w:val="000000"/>
              </w:rPr>
              <w:t>Insight 6</w:t>
            </w:r>
          </w:p>
          <w:p w14:paraId="633BA0D1" w14:textId="77777777" w:rsidR="00CA58C2" w:rsidRPr="00B65F7F" w:rsidRDefault="00CA58C2" w:rsidP="00014FE5">
            <w:pPr>
              <w:pStyle w:val="TableText"/>
              <w:rPr>
                <w:rFonts w:eastAsia="Calibri"/>
                <w:color w:val="000000"/>
              </w:rPr>
            </w:pPr>
            <w:r>
              <w:rPr>
                <w:rFonts w:eastAsia="Calibri"/>
                <w:color w:val="000000"/>
              </w:rPr>
              <w:t>Insight 10</w:t>
            </w:r>
          </w:p>
        </w:tc>
        <w:tc>
          <w:tcPr>
            <w:tcW w:w="452" w:type="pct"/>
            <w:gridSpan w:val="2"/>
          </w:tcPr>
          <w:p w14:paraId="019562FF" w14:textId="77777777" w:rsidR="00CA58C2" w:rsidRPr="00B65F7F" w:rsidRDefault="00CA58C2" w:rsidP="00014FE5">
            <w:pPr>
              <w:pStyle w:val="TableText"/>
              <w:cnfStyle w:val="000000100000" w:firstRow="0" w:lastRow="0" w:firstColumn="0" w:lastColumn="0" w:oddVBand="0" w:evenVBand="0" w:oddHBand="1" w:evenHBand="0" w:firstRowFirstColumn="0" w:firstRowLastColumn="0" w:lastRowFirstColumn="0" w:lastRowLastColumn="0"/>
              <w:rPr>
                <w:rFonts w:eastAsia="Calibri"/>
                <w:color w:val="000000"/>
              </w:rPr>
            </w:pPr>
            <w:r w:rsidRPr="00B65F7F">
              <w:rPr>
                <w:rFonts w:eastAsia="Calibri"/>
                <w:color w:val="000000"/>
              </w:rPr>
              <w:t>Priority Reform</w:t>
            </w:r>
            <w:r w:rsidR="00315A82">
              <w:rPr>
                <w:rFonts w:eastAsia="Calibri"/>
                <w:color w:val="000000"/>
              </w:rPr>
              <w:t>s</w:t>
            </w:r>
            <w:r w:rsidRPr="00B65F7F">
              <w:rPr>
                <w:rFonts w:eastAsia="Calibri"/>
                <w:color w:val="000000"/>
              </w:rPr>
              <w:t xml:space="preserve"> </w:t>
            </w:r>
            <w:r w:rsidR="00315A82">
              <w:rPr>
                <w:rFonts w:eastAsia="Calibri"/>
                <w:color w:val="000000"/>
              </w:rPr>
              <w:br/>
            </w:r>
            <w:r w:rsidRPr="00B65F7F">
              <w:rPr>
                <w:rFonts w:eastAsia="Calibri"/>
                <w:color w:val="000000"/>
              </w:rPr>
              <w:t>1</w:t>
            </w:r>
            <w:r w:rsidR="00315A82">
              <w:rPr>
                <w:rFonts w:eastAsia="Calibri"/>
                <w:color w:val="000000"/>
              </w:rPr>
              <w:t xml:space="preserve"> and 3</w:t>
            </w:r>
          </w:p>
        </w:tc>
      </w:tr>
      <w:tr w:rsidR="00CA58C2" w:rsidRPr="00B65F7F" w14:paraId="2EACFE1B" w14:textId="77777777" w:rsidTr="00EE6C80">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840" w:type="pct"/>
          </w:tcPr>
          <w:p w14:paraId="317CF7DF" w14:textId="77777777" w:rsidR="00CA58C2" w:rsidRPr="00F318B2" w:rsidRDefault="00AC262F" w:rsidP="00014FE5">
            <w:pPr>
              <w:pStyle w:val="TableText"/>
            </w:pPr>
            <w:r>
              <w:t>12</w:t>
            </w:r>
            <w:r w:rsidR="00CA58C2" w:rsidRPr="00F318B2">
              <w:t xml:space="preserve"> – Inclusive funding processes</w:t>
            </w:r>
          </w:p>
        </w:tc>
        <w:tc>
          <w:tcPr>
            <w:tcW w:w="2989" w:type="pct"/>
          </w:tcPr>
          <w:p w14:paraId="223E00C1" w14:textId="77777777" w:rsidR="00CA58C2" w:rsidRPr="00B65F7F" w:rsidRDefault="00CA58C2" w:rsidP="00014FE5">
            <w:pPr>
              <w:pStyle w:val="TableText"/>
              <w:cnfStyle w:val="000000010000" w:firstRow="0" w:lastRow="0" w:firstColumn="0" w:lastColumn="0" w:oddVBand="0" w:evenVBand="0" w:oddHBand="0" w:evenHBand="1" w:firstRowFirstColumn="0" w:firstRowLastColumn="0" w:lastRowFirstColumn="0" w:lastRowLastColumn="0"/>
            </w:pPr>
            <w:r w:rsidRPr="00B65F7F">
              <w:t>Funding arrangements and processes are designed to be inclusive</w:t>
            </w:r>
            <w:r>
              <w:t xml:space="preserve"> and</w:t>
            </w:r>
            <w:r w:rsidRPr="00B65F7F">
              <w:t xml:space="preserve"> equitable for all providers, no matter their size or resources.</w:t>
            </w:r>
          </w:p>
        </w:tc>
        <w:tc>
          <w:tcPr>
            <w:cnfStyle w:val="000010000000" w:firstRow="0" w:lastRow="0" w:firstColumn="0" w:lastColumn="0" w:oddVBand="1" w:evenVBand="0" w:oddHBand="0" w:evenHBand="0" w:firstRowFirstColumn="0" w:firstRowLastColumn="0" w:lastRowFirstColumn="0" w:lastRowLastColumn="0"/>
            <w:tcW w:w="719" w:type="pct"/>
          </w:tcPr>
          <w:p w14:paraId="3FAF9E51" w14:textId="77777777" w:rsidR="00CA58C2" w:rsidRDefault="00CA58C2" w:rsidP="00014FE5">
            <w:pPr>
              <w:pStyle w:val="TableText"/>
              <w:rPr>
                <w:rFonts w:eastAsia="Calibri"/>
                <w:color w:val="000000"/>
              </w:rPr>
            </w:pPr>
            <w:r>
              <w:rPr>
                <w:rFonts w:eastAsia="Calibri"/>
                <w:color w:val="000000"/>
              </w:rPr>
              <w:t>Insight 6</w:t>
            </w:r>
          </w:p>
          <w:p w14:paraId="4F5957BA" w14:textId="77777777" w:rsidR="00CA58C2" w:rsidRPr="00B65F7F" w:rsidRDefault="00CA58C2" w:rsidP="00014FE5">
            <w:pPr>
              <w:pStyle w:val="TableText"/>
              <w:rPr>
                <w:rFonts w:eastAsia="Calibri"/>
                <w:color w:val="000000"/>
              </w:rPr>
            </w:pPr>
            <w:r>
              <w:rPr>
                <w:rFonts w:eastAsia="Calibri"/>
                <w:color w:val="000000"/>
              </w:rPr>
              <w:t>Insight 10</w:t>
            </w:r>
          </w:p>
        </w:tc>
        <w:tc>
          <w:tcPr>
            <w:tcW w:w="452" w:type="pct"/>
            <w:gridSpan w:val="2"/>
          </w:tcPr>
          <w:p w14:paraId="31874D4B" w14:textId="77777777" w:rsidR="00CA58C2" w:rsidRPr="00B65F7F" w:rsidRDefault="00CA58C2" w:rsidP="00014FE5">
            <w:pPr>
              <w:pStyle w:val="TableText"/>
              <w:cnfStyle w:val="000000010000" w:firstRow="0" w:lastRow="0" w:firstColumn="0" w:lastColumn="0" w:oddVBand="0" w:evenVBand="0" w:oddHBand="0" w:evenHBand="1" w:firstRowFirstColumn="0" w:firstRowLastColumn="0" w:lastRowFirstColumn="0" w:lastRowLastColumn="0"/>
              <w:rPr>
                <w:rFonts w:eastAsia="Calibri"/>
                <w:color w:val="000000"/>
              </w:rPr>
            </w:pPr>
            <w:r w:rsidRPr="00B65F7F">
              <w:rPr>
                <w:rFonts w:eastAsia="Calibri"/>
                <w:color w:val="000000"/>
              </w:rPr>
              <w:t>Priority Reform</w:t>
            </w:r>
            <w:r w:rsidR="00315A82">
              <w:rPr>
                <w:rFonts w:eastAsia="Calibri"/>
                <w:color w:val="000000"/>
              </w:rPr>
              <w:t>s</w:t>
            </w:r>
            <w:r w:rsidRPr="00B65F7F">
              <w:rPr>
                <w:rFonts w:eastAsia="Calibri"/>
                <w:color w:val="000000"/>
              </w:rPr>
              <w:t xml:space="preserve"> </w:t>
            </w:r>
            <w:r w:rsidR="00315A82">
              <w:rPr>
                <w:rFonts w:eastAsia="Calibri"/>
                <w:color w:val="000000"/>
              </w:rPr>
              <w:br/>
            </w:r>
            <w:r w:rsidRPr="00B65F7F">
              <w:rPr>
                <w:rFonts w:eastAsia="Calibri"/>
                <w:color w:val="000000"/>
              </w:rPr>
              <w:t>1</w:t>
            </w:r>
            <w:r w:rsidR="00315A82">
              <w:rPr>
                <w:rFonts w:eastAsia="Calibri"/>
                <w:color w:val="000000"/>
              </w:rPr>
              <w:t>, 2 and 3</w:t>
            </w:r>
          </w:p>
        </w:tc>
      </w:tr>
      <w:tr w:rsidR="00CA58C2" w:rsidRPr="00B65F7F" w14:paraId="22855C71" w14:textId="77777777" w:rsidTr="00EE6C80">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840" w:type="pct"/>
          </w:tcPr>
          <w:p w14:paraId="3D9D0CB4" w14:textId="77777777" w:rsidR="00CA58C2" w:rsidRPr="00F318B2" w:rsidRDefault="00AC262F" w:rsidP="00014FE5">
            <w:pPr>
              <w:pStyle w:val="TableText"/>
            </w:pPr>
            <w:r>
              <w:t>13</w:t>
            </w:r>
            <w:r w:rsidR="00CA58C2" w:rsidRPr="00F318B2">
              <w:t xml:space="preserve"> – Flexibility to meet local and unique needs</w:t>
            </w:r>
          </w:p>
        </w:tc>
        <w:tc>
          <w:tcPr>
            <w:tcW w:w="2989" w:type="pct"/>
          </w:tcPr>
          <w:p w14:paraId="4CFD2663" w14:textId="77777777" w:rsidR="00CA58C2" w:rsidRPr="00B65F7F" w:rsidRDefault="00CA58C2" w:rsidP="00014FE5">
            <w:pPr>
              <w:pStyle w:val="TableText"/>
              <w:cnfStyle w:val="000000100000" w:firstRow="0" w:lastRow="0" w:firstColumn="0" w:lastColumn="0" w:oddVBand="0" w:evenVBand="0" w:oddHBand="1" w:evenHBand="0" w:firstRowFirstColumn="0" w:firstRowLastColumn="0" w:lastRowFirstColumn="0" w:lastRowLastColumn="0"/>
            </w:pPr>
            <w:r w:rsidRPr="00B65F7F">
              <w:rPr>
                <w:rFonts w:eastAsia="Calibri"/>
                <w:color w:val="000000"/>
              </w:rPr>
              <w:t>Funding guidelines and parameters are sufficiently flexible to enable providers to co-design services with targeted responses based on identified need.</w:t>
            </w:r>
          </w:p>
        </w:tc>
        <w:tc>
          <w:tcPr>
            <w:cnfStyle w:val="000010000000" w:firstRow="0" w:lastRow="0" w:firstColumn="0" w:lastColumn="0" w:oddVBand="1" w:evenVBand="0" w:oddHBand="0" w:evenHBand="0" w:firstRowFirstColumn="0" w:firstRowLastColumn="0" w:lastRowFirstColumn="0" w:lastRowLastColumn="0"/>
            <w:tcW w:w="719" w:type="pct"/>
          </w:tcPr>
          <w:p w14:paraId="26B68B5E" w14:textId="77777777" w:rsidR="00CA58C2" w:rsidRDefault="00CA58C2" w:rsidP="00014FE5">
            <w:pPr>
              <w:pStyle w:val="TableText"/>
              <w:rPr>
                <w:rFonts w:eastAsia="Calibri"/>
                <w:color w:val="000000"/>
              </w:rPr>
            </w:pPr>
            <w:r>
              <w:rPr>
                <w:rFonts w:eastAsia="Calibri"/>
                <w:color w:val="000000"/>
              </w:rPr>
              <w:t>Insight 1</w:t>
            </w:r>
          </w:p>
          <w:p w14:paraId="440D621A" w14:textId="77777777" w:rsidR="00CA58C2" w:rsidRDefault="00CA58C2" w:rsidP="00014FE5">
            <w:pPr>
              <w:pStyle w:val="TableText"/>
              <w:rPr>
                <w:rFonts w:eastAsia="Calibri"/>
                <w:color w:val="000000"/>
              </w:rPr>
            </w:pPr>
            <w:r>
              <w:rPr>
                <w:rFonts w:eastAsia="Calibri"/>
                <w:color w:val="000000"/>
              </w:rPr>
              <w:t>Insight 2</w:t>
            </w:r>
          </w:p>
          <w:p w14:paraId="507947D3" w14:textId="77777777" w:rsidR="00CA58C2" w:rsidRDefault="00CA58C2" w:rsidP="00014FE5">
            <w:pPr>
              <w:pStyle w:val="TableText"/>
              <w:rPr>
                <w:rFonts w:eastAsia="Calibri"/>
                <w:color w:val="000000"/>
              </w:rPr>
            </w:pPr>
            <w:r>
              <w:rPr>
                <w:rFonts w:eastAsia="Calibri"/>
                <w:color w:val="000000"/>
              </w:rPr>
              <w:t>Insight 3</w:t>
            </w:r>
          </w:p>
          <w:p w14:paraId="57C55553" w14:textId="77777777" w:rsidR="00CA58C2" w:rsidRDefault="00CA58C2" w:rsidP="00014FE5">
            <w:pPr>
              <w:pStyle w:val="TableText"/>
              <w:rPr>
                <w:rFonts w:eastAsia="Calibri"/>
                <w:color w:val="000000"/>
              </w:rPr>
            </w:pPr>
            <w:r>
              <w:rPr>
                <w:rFonts w:eastAsia="Calibri"/>
                <w:color w:val="000000"/>
              </w:rPr>
              <w:t>Insight 4</w:t>
            </w:r>
          </w:p>
          <w:p w14:paraId="48672BAA" w14:textId="77777777" w:rsidR="00CA58C2" w:rsidRDefault="00CA58C2" w:rsidP="00014FE5">
            <w:pPr>
              <w:pStyle w:val="TableText"/>
              <w:rPr>
                <w:rFonts w:eastAsia="Calibri"/>
                <w:color w:val="000000"/>
              </w:rPr>
            </w:pPr>
            <w:r>
              <w:rPr>
                <w:rFonts w:eastAsia="Calibri"/>
                <w:color w:val="000000"/>
              </w:rPr>
              <w:t>Insight 6</w:t>
            </w:r>
          </w:p>
          <w:p w14:paraId="390302C8" w14:textId="77777777" w:rsidR="00CA58C2" w:rsidRDefault="00CA58C2" w:rsidP="00014FE5">
            <w:pPr>
              <w:pStyle w:val="TableText"/>
              <w:rPr>
                <w:rFonts w:eastAsia="Calibri"/>
                <w:color w:val="000000"/>
              </w:rPr>
            </w:pPr>
            <w:r>
              <w:rPr>
                <w:rFonts w:eastAsia="Calibri"/>
                <w:color w:val="000000"/>
              </w:rPr>
              <w:t>Insight 7</w:t>
            </w:r>
          </w:p>
          <w:p w14:paraId="438E8D52" w14:textId="77777777" w:rsidR="00CA58C2" w:rsidRDefault="00CA58C2" w:rsidP="00014FE5">
            <w:pPr>
              <w:pStyle w:val="TableText"/>
              <w:rPr>
                <w:rFonts w:eastAsia="Calibri"/>
                <w:color w:val="000000"/>
              </w:rPr>
            </w:pPr>
            <w:r>
              <w:rPr>
                <w:rFonts w:eastAsia="Calibri"/>
                <w:color w:val="000000"/>
              </w:rPr>
              <w:t>Insight 8</w:t>
            </w:r>
          </w:p>
          <w:p w14:paraId="4ED05463" w14:textId="77777777" w:rsidR="00CA58C2" w:rsidRDefault="00CA58C2" w:rsidP="00014FE5">
            <w:pPr>
              <w:pStyle w:val="TableText"/>
              <w:rPr>
                <w:rFonts w:eastAsia="Calibri"/>
                <w:color w:val="000000"/>
              </w:rPr>
            </w:pPr>
            <w:r>
              <w:rPr>
                <w:rFonts w:eastAsia="Calibri"/>
                <w:color w:val="000000"/>
              </w:rPr>
              <w:t>Insight 10</w:t>
            </w:r>
          </w:p>
          <w:p w14:paraId="29422C63" w14:textId="77777777" w:rsidR="00CA58C2" w:rsidRPr="00B65F7F" w:rsidRDefault="00CA58C2" w:rsidP="00014FE5">
            <w:pPr>
              <w:pStyle w:val="TableText"/>
              <w:rPr>
                <w:rFonts w:eastAsia="Calibri"/>
                <w:color w:val="000000"/>
              </w:rPr>
            </w:pPr>
            <w:r>
              <w:rPr>
                <w:rFonts w:eastAsia="Calibri"/>
                <w:color w:val="000000"/>
              </w:rPr>
              <w:t>Insight 11</w:t>
            </w:r>
          </w:p>
        </w:tc>
        <w:tc>
          <w:tcPr>
            <w:tcW w:w="452" w:type="pct"/>
            <w:gridSpan w:val="2"/>
          </w:tcPr>
          <w:p w14:paraId="6AADA44F" w14:textId="77777777" w:rsidR="00CA58C2" w:rsidRPr="00B65F7F" w:rsidRDefault="00CA58C2" w:rsidP="00014FE5">
            <w:pPr>
              <w:pStyle w:val="TableText"/>
              <w:cnfStyle w:val="000000100000" w:firstRow="0" w:lastRow="0" w:firstColumn="0" w:lastColumn="0" w:oddVBand="0" w:evenVBand="0" w:oddHBand="1" w:evenHBand="0" w:firstRowFirstColumn="0" w:firstRowLastColumn="0" w:lastRowFirstColumn="0" w:lastRowLastColumn="0"/>
              <w:rPr>
                <w:rFonts w:eastAsia="Calibri"/>
                <w:color w:val="000000"/>
              </w:rPr>
            </w:pPr>
            <w:r w:rsidRPr="00B65F7F">
              <w:rPr>
                <w:rFonts w:eastAsia="Calibri"/>
                <w:color w:val="000000"/>
              </w:rPr>
              <w:t>Priority Reform</w:t>
            </w:r>
            <w:r w:rsidR="00315A82">
              <w:rPr>
                <w:rFonts w:eastAsia="Calibri"/>
                <w:color w:val="000000"/>
              </w:rPr>
              <w:t>s</w:t>
            </w:r>
            <w:r w:rsidRPr="00B65F7F">
              <w:rPr>
                <w:rFonts w:eastAsia="Calibri"/>
                <w:color w:val="000000"/>
              </w:rPr>
              <w:t xml:space="preserve"> </w:t>
            </w:r>
            <w:r w:rsidR="00315A82">
              <w:rPr>
                <w:rFonts w:eastAsia="Calibri"/>
                <w:color w:val="000000"/>
              </w:rPr>
              <w:br/>
            </w:r>
            <w:r w:rsidRPr="00B65F7F">
              <w:rPr>
                <w:rFonts w:eastAsia="Calibri"/>
                <w:color w:val="000000"/>
              </w:rPr>
              <w:t>2</w:t>
            </w:r>
            <w:r w:rsidR="00315A82">
              <w:rPr>
                <w:rFonts w:eastAsia="Calibri"/>
                <w:color w:val="000000"/>
              </w:rPr>
              <w:t xml:space="preserve"> and 3</w:t>
            </w:r>
          </w:p>
        </w:tc>
      </w:tr>
      <w:tr w:rsidR="00CA58C2" w:rsidRPr="00B65F7F" w14:paraId="45144B12" w14:textId="77777777" w:rsidTr="00EE6C80">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840" w:type="pct"/>
          </w:tcPr>
          <w:p w14:paraId="71382A8C" w14:textId="77777777" w:rsidR="00CA58C2" w:rsidRPr="00F318B2" w:rsidRDefault="00CA58C2" w:rsidP="00014FE5">
            <w:pPr>
              <w:pStyle w:val="TableText"/>
            </w:pPr>
            <w:r w:rsidRPr="00F318B2">
              <w:t>1</w:t>
            </w:r>
            <w:r w:rsidR="00AC262F">
              <w:t>4</w:t>
            </w:r>
            <w:r w:rsidRPr="00F318B2">
              <w:t xml:space="preserve"> – Outcome-based reporting and KPIs</w:t>
            </w:r>
          </w:p>
        </w:tc>
        <w:tc>
          <w:tcPr>
            <w:tcW w:w="2989" w:type="pct"/>
          </w:tcPr>
          <w:p w14:paraId="12C5325A" w14:textId="77777777" w:rsidR="00CA58C2" w:rsidRPr="00B65F7F" w:rsidRDefault="00CA58C2" w:rsidP="00014FE5">
            <w:pPr>
              <w:pStyle w:val="TableText"/>
              <w:cnfStyle w:val="000000010000" w:firstRow="0" w:lastRow="0" w:firstColumn="0" w:lastColumn="0" w:oddVBand="0" w:evenVBand="0" w:oddHBand="0" w:evenHBand="1" w:firstRowFirstColumn="0" w:firstRowLastColumn="0" w:lastRowFirstColumn="0" w:lastRowLastColumn="0"/>
            </w:pPr>
            <w:r w:rsidRPr="00B65F7F">
              <w:rPr>
                <w:rFonts w:eastAsia="Calibri"/>
                <w:color w:val="000000"/>
              </w:rPr>
              <w:t>Appropriate outcome measures that are culturally informed for reporting reflect communities’ goals, including the holistic nature of health and wellness, reflecting community priorities and aspirations. Reporting is based on outcomes and measure</w:t>
            </w:r>
            <w:r w:rsidR="00315A82">
              <w:rPr>
                <w:rFonts w:eastAsia="Calibri"/>
                <w:color w:val="000000"/>
              </w:rPr>
              <w:t>s</w:t>
            </w:r>
            <w:r w:rsidRPr="00B65F7F">
              <w:rPr>
                <w:rFonts w:eastAsia="Calibri"/>
                <w:color w:val="000000"/>
              </w:rPr>
              <w:t xml:space="preserve"> efficacy</w:t>
            </w:r>
            <w:r w:rsidR="00315A82">
              <w:rPr>
                <w:rFonts w:eastAsia="Calibri"/>
                <w:color w:val="000000"/>
              </w:rPr>
              <w:t>;</w:t>
            </w:r>
            <w:r w:rsidRPr="00B65F7F">
              <w:rPr>
                <w:rFonts w:eastAsia="Calibri"/>
                <w:color w:val="000000"/>
              </w:rPr>
              <w:t xml:space="preserve"> </w:t>
            </w:r>
            <w:r w:rsidR="00315A82">
              <w:rPr>
                <w:rFonts w:eastAsia="Calibri"/>
                <w:color w:val="000000"/>
              </w:rPr>
              <w:t xml:space="preserve">it is </w:t>
            </w:r>
            <w:r w:rsidRPr="00B65F7F">
              <w:rPr>
                <w:rFonts w:eastAsia="Calibri"/>
                <w:color w:val="000000"/>
              </w:rPr>
              <w:t xml:space="preserve">not based on numbers. </w:t>
            </w:r>
          </w:p>
        </w:tc>
        <w:tc>
          <w:tcPr>
            <w:cnfStyle w:val="000010000000" w:firstRow="0" w:lastRow="0" w:firstColumn="0" w:lastColumn="0" w:oddVBand="1" w:evenVBand="0" w:oddHBand="0" w:evenHBand="0" w:firstRowFirstColumn="0" w:firstRowLastColumn="0" w:lastRowFirstColumn="0" w:lastRowLastColumn="0"/>
            <w:tcW w:w="719" w:type="pct"/>
          </w:tcPr>
          <w:p w14:paraId="322952FB" w14:textId="77777777" w:rsidR="00CA58C2" w:rsidRDefault="00CA58C2" w:rsidP="00014FE5">
            <w:pPr>
              <w:pStyle w:val="TableText"/>
              <w:rPr>
                <w:rFonts w:eastAsia="Calibri"/>
                <w:color w:val="000000"/>
              </w:rPr>
            </w:pPr>
            <w:r>
              <w:rPr>
                <w:rFonts w:eastAsia="Calibri"/>
                <w:color w:val="000000"/>
              </w:rPr>
              <w:t>Insight 4</w:t>
            </w:r>
          </w:p>
          <w:p w14:paraId="76612812" w14:textId="77777777" w:rsidR="00CA58C2" w:rsidRPr="00B65F7F" w:rsidRDefault="00CA58C2" w:rsidP="00014FE5">
            <w:pPr>
              <w:pStyle w:val="TableText"/>
              <w:rPr>
                <w:rFonts w:eastAsia="Calibri"/>
                <w:color w:val="000000"/>
              </w:rPr>
            </w:pPr>
            <w:r>
              <w:rPr>
                <w:rFonts w:eastAsia="Calibri"/>
                <w:color w:val="000000"/>
              </w:rPr>
              <w:t>Insight 8</w:t>
            </w:r>
          </w:p>
        </w:tc>
        <w:tc>
          <w:tcPr>
            <w:tcW w:w="452" w:type="pct"/>
            <w:gridSpan w:val="2"/>
          </w:tcPr>
          <w:p w14:paraId="084B1FEC" w14:textId="77777777" w:rsidR="00CA58C2" w:rsidRPr="00B65F7F" w:rsidRDefault="00CA58C2" w:rsidP="00014FE5">
            <w:pPr>
              <w:pStyle w:val="TableText"/>
              <w:cnfStyle w:val="000000010000" w:firstRow="0" w:lastRow="0" w:firstColumn="0" w:lastColumn="0" w:oddVBand="0" w:evenVBand="0" w:oddHBand="0" w:evenHBand="1" w:firstRowFirstColumn="0" w:firstRowLastColumn="0" w:lastRowFirstColumn="0" w:lastRowLastColumn="0"/>
              <w:rPr>
                <w:rFonts w:eastAsia="Calibri"/>
                <w:color w:val="000000"/>
              </w:rPr>
            </w:pPr>
            <w:r w:rsidRPr="00B65F7F">
              <w:rPr>
                <w:rFonts w:eastAsia="Calibri"/>
                <w:color w:val="000000"/>
              </w:rPr>
              <w:t>Priority Reform 4</w:t>
            </w:r>
          </w:p>
        </w:tc>
      </w:tr>
      <w:tr w:rsidR="00CA58C2" w:rsidRPr="00B65F7F" w14:paraId="0F686E8D" w14:textId="77777777" w:rsidTr="00EE6C80">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840" w:type="pct"/>
          </w:tcPr>
          <w:p w14:paraId="3690BD11" w14:textId="77777777" w:rsidR="00CA58C2" w:rsidRPr="00F318B2" w:rsidRDefault="00CA58C2" w:rsidP="00014FE5">
            <w:pPr>
              <w:pStyle w:val="TableText"/>
            </w:pPr>
            <w:r w:rsidRPr="00F318B2">
              <w:t>1</w:t>
            </w:r>
            <w:r w:rsidR="00AC262F">
              <w:t>5</w:t>
            </w:r>
            <w:r w:rsidRPr="00F318B2">
              <w:t xml:space="preserve"> – Consolidated, streamlined reporting</w:t>
            </w:r>
          </w:p>
        </w:tc>
        <w:tc>
          <w:tcPr>
            <w:tcW w:w="2989" w:type="pct"/>
          </w:tcPr>
          <w:p w14:paraId="69B2129C" w14:textId="77777777" w:rsidR="00CA58C2" w:rsidRPr="00B65F7F" w:rsidRDefault="00CA58C2" w:rsidP="00014FE5">
            <w:pPr>
              <w:pStyle w:val="TableText"/>
              <w:cnfStyle w:val="000000100000" w:firstRow="0" w:lastRow="0" w:firstColumn="0" w:lastColumn="0" w:oddVBand="0" w:evenVBand="0" w:oddHBand="1" w:evenHBand="0" w:firstRowFirstColumn="0" w:firstRowLastColumn="0" w:lastRowFirstColumn="0" w:lastRowLastColumn="0"/>
            </w:pPr>
            <w:r w:rsidRPr="00B65F7F">
              <w:rPr>
                <w:rFonts w:eastAsia="Calibri"/>
                <w:color w:val="000000"/>
              </w:rPr>
              <w:t>Quality-focused reporting reduces the administrative burden and improves the efficiency of reporting.</w:t>
            </w:r>
          </w:p>
        </w:tc>
        <w:tc>
          <w:tcPr>
            <w:cnfStyle w:val="000010000000" w:firstRow="0" w:lastRow="0" w:firstColumn="0" w:lastColumn="0" w:oddVBand="1" w:evenVBand="0" w:oddHBand="0" w:evenHBand="0" w:firstRowFirstColumn="0" w:firstRowLastColumn="0" w:lastRowFirstColumn="0" w:lastRowLastColumn="0"/>
            <w:tcW w:w="719" w:type="pct"/>
          </w:tcPr>
          <w:p w14:paraId="6F80D7EA" w14:textId="77777777" w:rsidR="00CA58C2" w:rsidRDefault="00CA58C2" w:rsidP="00014FE5">
            <w:pPr>
              <w:pStyle w:val="TableText"/>
              <w:rPr>
                <w:rFonts w:eastAsia="Calibri"/>
                <w:color w:val="000000"/>
              </w:rPr>
            </w:pPr>
            <w:r>
              <w:rPr>
                <w:rFonts w:eastAsia="Calibri"/>
                <w:color w:val="000000"/>
              </w:rPr>
              <w:t>Insight 4</w:t>
            </w:r>
          </w:p>
          <w:p w14:paraId="3CE825C4" w14:textId="77777777" w:rsidR="00CA58C2" w:rsidRPr="00B65F7F" w:rsidRDefault="00CA58C2" w:rsidP="00014FE5">
            <w:pPr>
              <w:pStyle w:val="TableText"/>
              <w:rPr>
                <w:rFonts w:eastAsia="Calibri"/>
                <w:color w:val="000000"/>
              </w:rPr>
            </w:pPr>
            <w:r>
              <w:rPr>
                <w:rFonts w:eastAsia="Calibri"/>
                <w:color w:val="000000"/>
              </w:rPr>
              <w:t>Insight 8</w:t>
            </w:r>
          </w:p>
        </w:tc>
        <w:tc>
          <w:tcPr>
            <w:tcW w:w="452" w:type="pct"/>
            <w:gridSpan w:val="2"/>
          </w:tcPr>
          <w:p w14:paraId="30FDB07D" w14:textId="77777777" w:rsidR="00CA58C2" w:rsidRPr="00B65F7F" w:rsidRDefault="00CA58C2" w:rsidP="00014FE5">
            <w:pPr>
              <w:pStyle w:val="TableText"/>
              <w:cnfStyle w:val="000000100000" w:firstRow="0" w:lastRow="0" w:firstColumn="0" w:lastColumn="0" w:oddVBand="0" w:evenVBand="0" w:oddHBand="1" w:evenHBand="0" w:firstRowFirstColumn="0" w:firstRowLastColumn="0" w:lastRowFirstColumn="0" w:lastRowLastColumn="0"/>
              <w:rPr>
                <w:rFonts w:eastAsia="Calibri"/>
                <w:color w:val="000000"/>
              </w:rPr>
            </w:pPr>
            <w:r w:rsidRPr="00B65F7F">
              <w:rPr>
                <w:rFonts w:eastAsia="Calibri"/>
                <w:color w:val="000000"/>
              </w:rPr>
              <w:t>Priority Reform 4</w:t>
            </w:r>
          </w:p>
        </w:tc>
      </w:tr>
      <w:tr w:rsidR="00CA58C2" w:rsidRPr="00B65F7F" w14:paraId="25FC9CB2" w14:textId="77777777" w:rsidTr="00EE6C80">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840" w:type="pct"/>
          </w:tcPr>
          <w:p w14:paraId="3465C11C" w14:textId="77777777" w:rsidR="00CA58C2" w:rsidRPr="00F318B2" w:rsidRDefault="00CA58C2" w:rsidP="00014FE5">
            <w:pPr>
              <w:pStyle w:val="TableText"/>
            </w:pPr>
            <w:r w:rsidRPr="00F318B2">
              <w:t>1</w:t>
            </w:r>
            <w:r w:rsidR="00AC262F">
              <w:t>6</w:t>
            </w:r>
            <w:r w:rsidRPr="00287110">
              <w:t xml:space="preserve"> –</w:t>
            </w:r>
            <w:r w:rsidRPr="00F318B2">
              <w:t xml:space="preserve"> Transparent reporting</w:t>
            </w:r>
          </w:p>
        </w:tc>
        <w:tc>
          <w:tcPr>
            <w:tcW w:w="2989" w:type="pct"/>
          </w:tcPr>
          <w:p w14:paraId="3EAE1741" w14:textId="77777777" w:rsidR="00CA58C2" w:rsidRPr="00B65F7F" w:rsidRDefault="00CA58C2" w:rsidP="00014FE5">
            <w:pPr>
              <w:pStyle w:val="TableText"/>
              <w:cnfStyle w:val="000000010000" w:firstRow="0" w:lastRow="0" w:firstColumn="0" w:lastColumn="0" w:oddVBand="0" w:evenVBand="0" w:oddHBand="0" w:evenHBand="1" w:firstRowFirstColumn="0" w:firstRowLastColumn="0" w:lastRowFirstColumn="0" w:lastRowLastColumn="0"/>
            </w:pPr>
            <w:r>
              <w:rPr>
                <w:rFonts w:eastAsia="Calibri"/>
                <w:color w:val="000000"/>
              </w:rPr>
              <w:t>O</w:t>
            </w:r>
            <w:r w:rsidRPr="00B65F7F">
              <w:rPr>
                <w:rFonts w:eastAsia="Calibri"/>
                <w:color w:val="000000"/>
              </w:rPr>
              <w:t xml:space="preserve">utcome data that is captured </w:t>
            </w:r>
            <w:r>
              <w:rPr>
                <w:rFonts w:eastAsia="Calibri"/>
                <w:color w:val="000000"/>
              </w:rPr>
              <w:t xml:space="preserve">is shared with community members and interested stakeholders </w:t>
            </w:r>
            <w:r w:rsidRPr="00B65F7F">
              <w:rPr>
                <w:rFonts w:eastAsia="Calibri"/>
                <w:color w:val="000000"/>
              </w:rPr>
              <w:t xml:space="preserve">to support transparent understanding of service outcomes and improvements. </w:t>
            </w:r>
          </w:p>
        </w:tc>
        <w:tc>
          <w:tcPr>
            <w:cnfStyle w:val="000010000000" w:firstRow="0" w:lastRow="0" w:firstColumn="0" w:lastColumn="0" w:oddVBand="1" w:evenVBand="0" w:oddHBand="0" w:evenHBand="0" w:firstRowFirstColumn="0" w:firstRowLastColumn="0" w:lastRowFirstColumn="0" w:lastRowLastColumn="0"/>
            <w:tcW w:w="719" w:type="pct"/>
          </w:tcPr>
          <w:p w14:paraId="37BEE86A" w14:textId="77777777" w:rsidR="00CA58C2" w:rsidRDefault="00CA58C2" w:rsidP="00014FE5">
            <w:pPr>
              <w:pStyle w:val="TableText"/>
              <w:rPr>
                <w:rFonts w:eastAsia="Calibri"/>
                <w:color w:val="000000"/>
              </w:rPr>
            </w:pPr>
            <w:r>
              <w:rPr>
                <w:rFonts w:eastAsia="Calibri"/>
                <w:color w:val="000000"/>
              </w:rPr>
              <w:t>Insight 4</w:t>
            </w:r>
          </w:p>
          <w:p w14:paraId="31E6EF25" w14:textId="77777777" w:rsidR="00CA58C2" w:rsidRPr="00B65F7F" w:rsidRDefault="00CA58C2" w:rsidP="00014FE5">
            <w:pPr>
              <w:pStyle w:val="TableText"/>
              <w:rPr>
                <w:rFonts w:eastAsia="Calibri"/>
                <w:color w:val="000000"/>
              </w:rPr>
            </w:pPr>
            <w:r>
              <w:rPr>
                <w:rFonts w:eastAsia="Calibri"/>
                <w:color w:val="000000"/>
              </w:rPr>
              <w:t>Insight 8</w:t>
            </w:r>
          </w:p>
        </w:tc>
        <w:tc>
          <w:tcPr>
            <w:tcW w:w="452" w:type="pct"/>
            <w:gridSpan w:val="2"/>
          </w:tcPr>
          <w:p w14:paraId="0371209B" w14:textId="77777777" w:rsidR="00CA58C2" w:rsidRPr="00B65F7F" w:rsidRDefault="00CA58C2" w:rsidP="00014FE5">
            <w:pPr>
              <w:pStyle w:val="TableText"/>
              <w:cnfStyle w:val="000000010000" w:firstRow="0" w:lastRow="0" w:firstColumn="0" w:lastColumn="0" w:oddVBand="0" w:evenVBand="0" w:oddHBand="0" w:evenHBand="1" w:firstRowFirstColumn="0" w:firstRowLastColumn="0" w:lastRowFirstColumn="0" w:lastRowLastColumn="0"/>
              <w:rPr>
                <w:rFonts w:eastAsia="Calibri"/>
                <w:color w:val="000000"/>
              </w:rPr>
            </w:pPr>
            <w:r w:rsidRPr="00B65F7F">
              <w:rPr>
                <w:rFonts w:eastAsia="Calibri"/>
                <w:color w:val="000000"/>
              </w:rPr>
              <w:t>Priority Reform 4</w:t>
            </w:r>
          </w:p>
        </w:tc>
      </w:tr>
      <w:tr w:rsidR="00CA58C2" w:rsidRPr="00B65F7F" w14:paraId="3DDDDA6D" w14:textId="77777777" w:rsidTr="00EE6C80">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840" w:type="pct"/>
          </w:tcPr>
          <w:p w14:paraId="67142FF4" w14:textId="77777777" w:rsidR="00CA58C2" w:rsidRPr="00F318B2" w:rsidRDefault="00CA58C2" w:rsidP="00014FE5">
            <w:pPr>
              <w:pStyle w:val="TableText"/>
            </w:pPr>
            <w:r w:rsidRPr="00287110">
              <w:t>1</w:t>
            </w:r>
            <w:r w:rsidR="00AC262F">
              <w:t>7</w:t>
            </w:r>
            <w:r w:rsidRPr="00F318B2">
              <w:t xml:space="preserve"> – Support for the broader </w:t>
            </w:r>
            <w:r>
              <w:t>Aboriginal and/or Torres Strait Islander</w:t>
            </w:r>
            <w:r w:rsidRPr="00F318B2">
              <w:t xml:space="preserve"> workforce</w:t>
            </w:r>
          </w:p>
        </w:tc>
        <w:tc>
          <w:tcPr>
            <w:tcW w:w="2989" w:type="pct"/>
          </w:tcPr>
          <w:p w14:paraId="0C8094F0" w14:textId="77777777" w:rsidR="00CA58C2" w:rsidRPr="00B65F7F" w:rsidRDefault="00CA58C2" w:rsidP="00014FE5">
            <w:pPr>
              <w:pStyle w:val="TableText"/>
              <w:cnfStyle w:val="000000100000" w:firstRow="0" w:lastRow="0" w:firstColumn="0" w:lastColumn="0" w:oddVBand="0" w:evenVBand="0" w:oddHBand="1" w:evenHBand="0" w:firstRowFirstColumn="0" w:firstRowLastColumn="0" w:lastRowFirstColumn="0" w:lastRowLastColumn="0"/>
            </w:pPr>
            <w:r>
              <w:rPr>
                <w:rFonts w:eastAsia="Calibri"/>
                <w:color w:val="000000"/>
              </w:rPr>
              <w:t>T</w:t>
            </w:r>
            <w:r w:rsidRPr="00B65F7F">
              <w:rPr>
                <w:rFonts w:eastAsia="Calibri"/>
                <w:color w:val="000000"/>
              </w:rPr>
              <w:t xml:space="preserve">he development, recruitment and retention of a robust </w:t>
            </w:r>
            <w:r>
              <w:rPr>
                <w:rFonts w:eastAsia="Calibri"/>
                <w:color w:val="000000"/>
              </w:rPr>
              <w:t>Aboriginal and/or Torres Strait Islander</w:t>
            </w:r>
            <w:r w:rsidRPr="00B65F7F">
              <w:rPr>
                <w:rFonts w:eastAsia="Calibri"/>
                <w:color w:val="000000"/>
              </w:rPr>
              <w:t xml:space="preserve"> workforce </w:t>
            </w:r>
            <w:r>
              <w:rPr>
                <w:rFonts w:eastAsia="Calibri"/>
                <w:color w:val="000000"/>
              </w:rPr>
              <w:t xml:space="preserve">is supported and </w:t>
            </w:r>
            <w:r w:rsidRPr="00B65F7F">
              <w:rPr>
                <w:rFonts w:eastAsia="Calibri"/>
                <w:color w:val="000000"/>
              </w:rPr>
              <w:t xml:space="preserve">enabled by a culture of safety. </w:t>
            </w:r>
          </w:p>
        </w:tc>
        <w:tc>
          <w:tcPr>
            <w:cnfStyle w:val="000010000000" w:firstRow="0" w:lastRow="0" w:firstColumn="0" w:lastColumn="0" w:oddVBand="1" w:evenVBand="0" w:oddHBand="0" w:evenHBand="0" w:firstRowFirstColumn="0" w:firstRowLastColumn="0" w:lastRowFirstColumn="0" w:lastRowLastColumn="0"/>
            <w:tcW w:w="719" w:type="pct"/>
          </w:tcPr>
          <w:p w14:paraId="3BDE60E1" w14:textId="77777777" w:rsidR="00CA58C2" w:rsidRDefault="00CA58C2" w:rsidP="00014FE5">
            <w:pPr>
              <w:pStyle w:val="TableText"/>
              <w:rPr>
                <w:rFonts w:eastAsia="Calibri"/>
                <w:color w:val="000000"/>
              </w:rPr>
            </w:pPr>
            <w:r>
              <w:rPr>
                <w:rFonts w:eastAsia="Calibri"/>
                <w:color w:val="000000"/>
              </w:rPr>
              <w:t>Insight 3</w:t>
            </w:r>
          </w:p>
          <w:p w14:paraId="5D375939" w14:textId="77777777" w:rsidR="00CA58C2" w:rsidRDefault="00CA58C2" w:rsidP="00014FE5">
            <w:pPr>
              <w:pStyle w:val="TableText"/>
              <w:rPr>
                <w:rFonts w:eastAsia="Calibri"/>
                <w:color w:val="000000"/>
              </w:rPr>
            </w:pPr>
            <w:r>
              <w:rPr>
                <w:rFonts w:eastAsia="Calibri"/>
                <w:color w:val="000000"/>
              </w:rPr>
              <w:t>Insight 4</w:t>
            </w:r>
          </w:p>
          <w:p w14:paraId="2F66D678" w14:textId="77777777" w:rsidR="00CA58C2" w:rsidRDefault="00CA58C2" w:rsidP="00014FE5">
            <w:pPr>
              <w:pStyle w:val="TableText"/>
              <w:rPr>
                <w:rFonts w:eastAsia="Calibri"/>
                <w:color w:val="000000"/>
              </w:rPr>
            </w:pPr>
            <w:r>
              <w:rPr>
                <w:rFonts w:eastAsia="Calibri"/>
                <w:color w:val="000000"/>
              </w:rPr>
              <w:t>Insight 9</w:t>
            </w:r>
          </w:p>
          <w:p w14:paraId="173E8F9D" w14:textId="77777777" w:rsidR="00CA58C2" w:rsidRDefault="00CA58C2" w:rsidP="00014FE5">
            <w:pPr>
              <w:pStyle w:val="TableText"/>
              <w:rPr>
                <w:rFonts w:eastAsia="Calibri"/>
                <w:color w:val="000000"/>
              </w:rPr>
            </w:pPr>
            <w:r>
              <w:rPr>
                <w:rFonts w:eastAsia="Calibri"/>
                <w:color w:val="000000"/>
              </w:rPr>
              <w:t>Insight 10</w:t>
            </w:r>
          </w:p>
          <w:p w14:paraId="56184197" w14:textId="77777777" w:rsidR="00CA58C2" w:rsidRPr="00B65F7F" w:rsidRDefault="00CA58C2" w:rsidP="00014FE5">
            <w:pPr>
              <w:pStyle w:val="TableText"/>
              <w:rPr>
                <w:rFonts w:eastAsia="Calibri"/>
                <w:color w:val="000000"/>
              </w:rPr>
            </w:pPr>
            <w:r>
              <w:rPr>
                <w:rFonts w:eastAsia="Calibri"/>
                <w:color w:val="000000"/>
              </w:rPr>
              <w:t>Insight 11</w:t>
            </w:r>
          </w:p>
        </w:tc>
        <w:tc>
          <w:tcPr>
            <w:tcW w:w="452" w:type="pct"/>
            <w:gridSpan w:val="2"/>
          </w:tcPr>
          <w:p w14:paraId="7B992999" w14:textId="77777777" w:rsidR="00CA58C2" w:rsidRPr="00B65F7F" w:rsidRDefault="00CA58C2" w:rsidP="00014FE5">
            <w:pPr>
              <w:pStyle w:val="TableText"/>
              <w:cnfStyle w:val="000000100000" w:firstRow="0" w:lastRow="0" w:firstColumn="0" w:lastColumn="0" w:oddVBand="0" w:evenVBand="0" w:oddHBand="1" w:evenHBand="0" w:firstRowFirstColumn="0" w:firstRowLastColumn="0" w:lastRowFirstColumn="0" w:lastRowLastColumn="0"/>
              <w:rPr>
                <w:rFonts w:eastAsia="Calibri"/>
                <w:color w:val="000000"/>
              </w:rPr>
            </w:pPr>
            <w:r w:rsidRPr="00B65F7F">
              <w:rPr>
                <w:rFonts w:eastAsia="Calibri"/>
                <w:color w:val="000000"/>
              </w:rPr>
              <w:t>Priority Reform 2</w:t>
            </w:r>
          </w:p>
        </w:tc>
      </w:tr>
      <w:tr w:rsidR="00CA58C2" w:rsidRPr="00B65F7F" w14:paraId="123C6F6C" w14:textId="77777777" w:rsidTr="00EE6C80">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840" w:type="pct"/>
          </w:tcPr>
          <w:p w14:paraId="03116D94" w14:textId="77777777" w:rsidR="00CA58C2" w:rsidRPr="00F318B2" w:rsidRDefault="00CA58C2" w:rsidP="00014FE5">
            <w:pPr>
              <w:pStyle w:val="TableText"/>
            </w:pPr>
            <w:r w:rsidRPr="00287110">
              <w:t>1</w:t>
            </w:r>
            <w:r w:rsidR="00AC262F">
              <w:t>8</w:t>
            </w:r>
            <w:r w:rsidRPr="00F318B2">
              <w:t xml:space="preserve"> – Interagency and jurisdictional collaboration</w:t>
            </w:r>
          </w:p>
        </w:tc>
        <w:tc>
          <w:tcPr>
            <w:tcW w:w="2989" w:type="pct"/>
          </w:tcPr>
          <w:p w14:paraId="4EA58268" w14:textId="77777777" w:rsidR="00CA58C2" w:rsidRPr="00B65F7F" w:rsidRDefault="00CA58C2" w:rsidP="00014FE5">
            <w:pPr>
              <w:pStyle w:val="TableText"/>
              <w:cnfStyle w:val="000000010000" w:firstRow="0" w:lastRow="0" w:firstColumn="0" w:lastColumn="0" w:oddVBand="0" w:evenVBand="0" w:oddHBand="0" w:evenHBand="1" w:firstRowFirstColumn="0" w:firstRowLastColumn="0" w:lastRowFirstColumn="0" w:lastRowLastColumn="0"/>
            </w:pPr>
            <w:r w:rsidRPr="00B65F7F">
              <w:rPr>
                <w:rFonts w:eastAsia="Calibri"/>
                <w:color w:val="000000"/>
              </w:rPr>
              <w:t xml:space="preserve">Agencies work together to share information, coordinate and pool funding, ensuring interoperability for service providers </w:t>
            </w:r>
          </w:p>
        </w:tc>
        <w:tc>
          <w:tcPr>
            <w:cnfStyle w:val="000010000000" w:firstRow="0" w:lastRow="0" w:firstColumn="0" w:lastColumn="0" w:oddVBand="1" w:evenVBand="0" w:oddHBand="0" w:evenHBand="0" w:firstRowFirstColumn="0" w:firstRowLastColumn="0" w:lastRowFirstColumn="0" w:lastRowLastColumn="0"/>
            <w:tcW w:w="719" w:type="pct"/>
          </w:tcPr>
          <w:p w14:paraId="3E88C01A" w14:textId="77777777" w:rsidR="00CA58C2" w:rsidRDefault="00CA58C2" w:rsidP="00014FE5">
            <w:pPr>
              <w:pStyle w:val="TableText"/>
              <w:rPr>
                <w:rFonts w:eastAsia="Calibri"/>
                <w:color w:val="000000"/>
              </w:rPr>
            </w:pPr>
            <w:r>
              <w:rPr>
                <w:rFonts w:eastAsia="Calibri"/>
                <w:color w:val="000000"/>
              </w:rPr>
              <w:t>Insight 1</w:t>
            </w:r>
          </w:p>
          <w:p w14:paraId="1F3E7AA4" w14:textId="77777777" w:rsidR="00CA58C2" w:rsidRDefault="00CA58C2" w:rsidP="00014FE5">
            <w:pPr>
              <w:pStyle w:val="TableText"/>
              <w:rPr>
                <w:rFonts w:eastAsia="Calibri"/>
                <w:color w:val="000000"/>
              </w:rPr>
            </w:pPr>
            <w:r>
              <w:rPr>
                <w:rFonts w:eastAsia="Calibri"/>
                <w:color w:val="000000"/>
              </w:rPr>
              <w:t>Insight 2</w:t>
            </w:r>
          </w:p>
          <w:p w14:paraId="3AF3AD36" w14:textId="77777777" w:rsidR="00CA58C2" w:rsidRDefault="00CA58C2" w:rsidP="00014FE5">
            <w:pPr>
              <w:pStyle w:val="TableText"/>
              <w:rPr>
                <w:rFonts w:eastAsia="Calibri"/>
                <w:color w:val="000000"/>
              </w:rPr>
            </w:pPr>
            <w:r>
              <w:rPr>
                <w:rFonts w:eastAsia="Calibri"/>
                <w:color w:val="000000"/>
              </w:rPr>
              <w:t>Insight 10</w:t>
            </w:r>
          </w:p>
          <w:p w14:paraId="3148BCF8" w14:textId="77777777" w:rsidR="00CA58C2" w:rsidRPr="00B65F7F" w:rsidRDefault="00CA58C2" w:rsidP="00014FE5">
            <w:pPr>
              <w:pStyle w:val="TableText"/>
              <w:rPr>
                <w:rFonts w:eastAsia="Calibri"/>
                <w:color w:val="000000"/>
              </w:rPr>
            </w:pPr>
            <w:r>
              <w:rPr>
                <w:rFonts w:eastAsia="Calibri"/>
                <w:color w:val="000000"/>
              </w:rPr>
              <w:t>Insight 11</w:t>
            </w:r>
          </w:p>
        </w:tc>
        <w:tc>
          <w:tcPr>
            <w:tcW w:w="452" w:type="pct"/>
            <w:gridSpan w:val="2"/>
          </w:tcPr>
          <w:p w14:paraId="4E865374" w14:textId="77777777" w:rsidR="00CA58C2" w:rsidRPr="00B65F7F" w:rsidRDefault="00CA58C2" w:rsidP="00014FE5">
            <w:pPr>
              <w:pStyle w:val="TableText"/>
              <w:cnfStyle w:val="000000010000" w:firstRow="0" w:lastRow="0" w:firstColumn="0" w:lastColumn="0" w:oddVBand="0" w:evenVBand="0" w:oddHBand="0" w:evenHBand="1" w:firstRowFirstColumn="0" w:firstRowLastColumn="0" w:lastRowFirstColumn="0" w:lastRowLastColumn="0"/>
              <w:rPr>
                <w:rFonts w:eastAsia="Calibri"/>
                <w:color w:val="000000"/>
              </w:rPr>
            </w:pPr>
            <w:r w:rsidRPr="00B65F7F">
              <w:rPr>
                <w:rFonts w:eastAsia="Calibri"/>
                <w:color w:val="000000"/>
              </w:rPr>
              <w:t>Priority Reform 3</w:t>
            </w:r>
          </w:p>
        </w:tc>
      </w:tr>
      <w:tr w:rsidR="00CA58C2" w:rsidRPr="00B65F7F" w14:paraId="75C20AE7" w14:textId="77777777" w:rsidTr="00EE6C80">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840" w:type="pct"/>
          </w:tcPr>
          <w:p w14:paraId="338B3363" w14:textId="77777777" w:rsidR="00CA58C2" w:rsidRPr="00F318B2" w:rsidRDefault="00CA58C2" w:rsidP="00014FE5">
            <w:pPr>
              <w:pStyle w:val="TableText"/>
            </w:pPr>
            <w:r w:rsidRPr="00287110">
              <w:t>1</w:t>
            </w:r>
            <w:r w:rsidR="00AC262F">
              <w:t>9</w:t>
            </w:r>
            <w:r w:rsidRPr="00F318B2">
              <w:t xml:space="preserve"> – Enhance the non-Indigenous service sector with cultural safety</w:t>
            </w:r>
          </w:p>
        </w:tc>
        <w:tc>
          <w:tcPr>
            <w:tcW w:w="2989" w:type="pct"/>
          </w:tcPr>
          <w:p w14:paraId="7E3F3CCB" w14:textId="77777777" w:rsidR="00CA58C2" w:rsidRPr="00B65F7F" w:rsidRDefault="00CA58C2" w:rsidP="00014FE5">
            <w:pPr>
              <w:pStyle w:val="TableText"/>
              <w:cnfStyle w:val="000000100000" w:firstRow="0" w:lastRow="0" w:firstColumn="0" w:lastColumn="0" w:oddVBand="0" w:evenVBand="0" w:oddHBand="1" w:evenHBand="0" w:firstRowFirstColumn="0" w:firstRowLastColumn="0" w:lastRowFirstColumn="0" w:lastRowLastColumn="0"/>
            </w:pPr>
            <w:r>
              <w:rPr>
                <w:rFonts w:eastAsia="Calibri"/>
                <w:color w:val="000000"/>
              </w:rPr>
              <w:t>T</w:t>
            </w:r>
            <w:r w:rsidRPr="00B65F7F">
              <w:rPr>
                <w:rFonts w:eastAsia="Calibri"/>
                <w:color w:val="000000"/>
              </w:rPr>
              <w:t xml:space="preserve">he non-Indigenous service sector </w:t>
            </w:r>
            <w:r>
              <w:rPr>
                <w:rFonts w:eastAsia="Calibri"/>
                <w:color w:val="000000"/>
              </w:rPr>
              <w:t xml:space="preserve">is upskilled </w:t>
            </w:r>
            <w:r w:rsidRPr="00B65F7F">
              <w:rPr>
                <w:rFonts w:eastAsia="Calibri"/>
                <w:color w:val="000000"/>
              </w:rPr>
              <w:t xml:space="preserve">to ensure that </w:t>
            </w:r>
            <w:r>
              <w:rPr>
                <w:rFonts w:eastAsia="Calibri"/>
                <w:color w:val="000000"/>
              </w:rPr>
              <w:t>Aboriginal and/or Torres Strait Islander</w:t>
            </w:r>
            <w:r w:rsidRPr="00B65F7F">
              <w:rPr>
                <w:rFonts w:eastAsia="Calibri"/>
                <w:color w:val="000000"/>
              </w:rPr>
              <w:t xml:space="preserve"> peoples can access different services based on their preferences, knowing that they are culturally safe, and their holistic needs</w:t>
            </w:r>
            <w:r>
              <w:rPr>
                <w:rFonts w:eastAsia="Calibri"/>
                <w:color w:val="000000"/>
              </w:rPr>
              <w:t xml:space="preserve"> can be met</w:t>
            </w:r>
            <w:r w:rsidRPr="00B65F7F">
              <w:rPr>
                <w:rFonts w:eastAsia="Calibri"/>
                <w:color w:val="000000"/>
              </w:rPr>
              <w:t>.</w:t>
            </w:r>
          </w:p>
        </w:tc>
        <w:tc>
          <w:tcPr>
            <w:cnfStyle w:val="000010000000" w:firstRow="0" w:lastRow="0" w:firstColumn="0" w:lastColumn="0" w:oddVBand="1" w:evenVBand="0" w:oddHBand="0" w:evenHBand="0" w:firstRowFirstColumn="0" w:firstRowLastColumn="0" w:lastRowFirstColumn="0" w:lastRowLastColumn="0"/>
            <w:tcW w:w="719" w:type="pct"/>
          </w:tcPr>
          <w:p w14:paraId="5B0C4429" w14:textId="77777777" w:rsidR="00CA58C2" w:rsidRDefault="00CA58C2" w:rsidP="00014FE5">
            <w:pPr>
              <w:pStyle w:val="TableText"/>
              <w:rPr>
                <w:rFonts w:eastAsia="Calibri"/>
                <w:color w:val="000000"/>
              </w:rPr>
            </w:pPr>
            <w:r>
              <w:rPr>
                <w:rFonts w:eastAsia="Calibri"/>
                <w:color w:val="000000"/>
              </w:rPr>
              <w:t>Insight 9</w:t>
            </w:r>
          </w:p>
          <w:p w14:paraId="009FC1E0" w14:textId="77777777" w:rsidR="00CA58C2" w:rsidRDefault="00CA58C2" w:rsidP="00014FE5">
            <w:pPr>
              <w:pStyle w:val="TableText"/>
              <w:rPr>
                <w:rFonts w:eastAsia="Calibri"/>
                <w:color w:val="000000"/>
              </w:rPr>
            </w:pPr>
            <w:r>
              <w:rPr>
                <w:rFonts w:eastAsia="Calibri"/>
                <w:color w:val="000000"/>
              </w:rPr>
              <w:t>Insight 7</w:t>
            </w:r>
          </w:p>
          <w:p w14:paraId="0BDD4DD9" w14:textId="77777777" w:rsidR="00CA58C2" w:rsidRDefault="00CA58C2" w:rsidP="00014FE5">
            <w:pPr>
              <w:pStyle w:val="TableText"/>
              <w:rPr>
                <w:rFonts w:eastAsia="Calibri"/>
                <w:color w:val="000000"/>
              </w:rPr>
            </w:pPr>
            <w:r>
              <w:rPr>
                <w:rFonts w:eastAsia="Calibri"/>
                <w:color w:val="000000"/>
              </w:rPr>
              <w:t>Insight 10</w:t>
            </w:r>
          </w:p>
          <w:p w14:paraId="44003C66" w14:textId="77777777" w:rsidR="00CA58C2" w:rsidRPr="00B65F7F" w:rsidRDefault="00CA58C2" w:rsidP="00014FE5">
            <w:pPr>
              <w:pStyle w:val="TableText"/>
              <w:rPr>
                <w:rFonts w:eastAsia="Calibri"/>
                <w:color w:val="000000"/>
              </w:rPr>
            </w:pPr>
            <w:r>
              <w:rPr>
                <w:rFonts w:eastAsia="Calibri"/>
                <w:color w:val="000000"/>
              </w:rPr>
              <w:t>Insight 11</w:t>
            </w:r>
          </w:p>
        </w:tc>
        <w:tc>
          <w:tcPr>
            <w:tcW w:w="452" w:type="pct"/>
            <w:gridSpan w:val="2"/>
          </w:tcPr>
          <w:p w14:paraId="5819EDBB" w14:textId="77777777" w:rsidR="00CA58C2" w:rsidRPr="00B65F7F" w:rsidRDefault="00CA58C2" w:rsidP="00014FE5">
            <w:pPr>
              <w:pStyle w:val="TableText"/>
              <w:cnfStyle w:val="000000100000" w:firstRow="0" w:lastRow="0" w:firstColumn="0" w:lastColumn="0" w:oddVBand="0" w:evenVBand="0" w:oddHBand="1" w:evenHBand="0" w:firstRowFirstColumn="0" w:firstRowLastColumn="0" w:lastRowFirstColumn="0" w:lastRowLastColumn="0"/>
              <w:rPr>
                <w:rFonts w:eastAsia="Calibri"/>
                <w:color w:val="000000"/>
              </w:rPr>
            </w:pPr>
            <w:r w:rsidRPr="00B65F7F">
              <w:rPr>
                <w:rFonts w:eastAsia="Calibri"/>
                <w:color w:val="000000"/>
              </w:rPr>
              <w:t>Priority Reform 3</w:t>
            </w:r>
          </w:p>
        </w:tc>
      </w:tr>
      <w:tr w:rsidR="00CA58C2" w:rsidRPr="00B65F7F" w14:paraId="25968406" w14:textId="77777777" w:rsidTr="00EE6C80">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840" w:type="pct"/>
          </w:tcPr>
          <w:p w14:paraId="3029364E" w14:textId="77777777" w:rsidR="00CA58C2" w:rsidRPr="00F318B2" w:rsidRDefault="00AC262F" w:rsidP="00014FE5">
            <w:pPr>
              <w:pStyle w:val="TableText"/>
            </w:pPr>
            <w:r>
              <w:t>20</w:t>
            </w:r>
            <w:r w:rsidR="00CA58C2" w:rsidRPr="00F318B2">
              <w:t xml:space="preserve"> – Service coordination </w:t>
            </w:r>
          </w:p>
        </w:tc>
        <w:tc>
          <w:tcPr>
            <w:tcW w:w="2989" w:type="pct"/>
          </w:tcPr>
          <w:p w14:paraId="381527E0" w14:textId="77777777" w:rsidR="00CA58C2" w:rsidRPr="00B65F7F" w:rsidRDefault="00CA58C2" w:rsidP="00014FE5">
            <w:pPr>
              <w:pStyle w:val="TableText"/>
              <w:cnfStyle w:val="000000010000" w:firstRow="0" w:lastRow="0" w:firstColumn="0" w:lastColumn="0" w:oddVBand="0" w:evenVBand="0" w:oddHBand="0" w:evenHBand="1" w:firstRowFirstColumn="0" w:firstRowLastColumn="0" w:lastRowFirstColumn="0" w:lastRowLastColumn="0"/>
            </w:pPr>
            <w:r>
              <w:rPr>
                <w:rFonts w:eastAsia="Calibri"/>
                <w:color w:val="000000"/>
              </w:rPr>
              <w:t>T</w:t>
            </w:r>
            <w:r w:rsidRPr="00B65F7F">
              <w:rPr>
                <w:rFonts w:eastAsia="Calibri"/>
                <w:color w:val="000000"/>
              </w:rPr>
              <w:t xml:space="preserve">he ease with </w:t>
            </w:r>
            <w:r w:rsidR="00315A82">
              <w:rPr>
                <w:rFonts w:eastAsia="Calibri"/>
                <w:color w:val="000000"/>
              </w:rPr>
              <w:t xml:space="preserve">which </w:t>
            </w:r>
            <w:r w:rsidRPr="00B65F7F">
              <w:rPr>
                <w:rFonts w:eastAsia="Calibri"/>
                <w:color w:val="000000"/>
              </w:rPr>
              <w:t xml:space="preserve">each service can safely cross-refer and/or coordinate the delivery of services to meet the holistic needs of </w:t>
            </w:r>
            <w:r>
              <w:rPr>
                <w:rFonts w:eastAsia="Calibri"/>
                <w:color w:val="000000"/>
              </w:rPr>
              <w:t>Aboriginal and/or Torres Strait Islander</w:t>
            </w:r>
            <w:r w:rsidRPr="00B65F7F">
              <w:rPr>
                <w:rFonts w:eastAsia="Calibri"/>
                <w:color w:val="000000"/>
              </w:rPr>
              <w:t xml:space="preserve"> peoples</w:t>
            </w:r>
            <w:r>
              <w:rPr>
                <w:rFonts w:eastAsia="Calibri"/>
                <w:color w:val="000000"/>
              </w:rPr>
              <w:t xml:space="preserve"> is enhanced</w:t>
            </w:r>
            <w:r w:rsidRPr="00B65F7F">
              <w:rPr>
                <w:rFonts w:eastAsia="Calibri"/>
                <w:color w:val="000000"/>
              </w:rPr>
              <w:t>.</w:t>
            </w:r>
          </w:p>
        </w:tc>
        <w:tc>
          <w:tcPr>
            <w:cnfStyle w:val="000010000000" w:firstRow="0" w:lastRow="0" w:firstColumn="0" w:lastColumn="0" w:oddVBand="1" w:evenVBand="0" w:oddHBand="0" w:evenHBand="0" w:firstRowFirstColumn="0" w:firstRowLastColumn="0" w:lastRowFirstColumn="0" w:lastRowLastColumn="0"/>
            <w:tcW w:w="719" w:type="pct"/>
          </w:tcPr>
          <w:p w14:paraId="1EA7988A" w14:textId="77777777" w:rsidR="00CA58C2" w:rsidRDefault="00CA58C2" w:rsidP="00014FE5">
            <w:pPr>
              <w:pStyle w:val="TableText"/>
              <w:rPr>
                <w:rFonts w:eastAsia="Calibri"/>
                <w:color w:val="000000"/>
              </w:rPr>
            </w:pPr>
            <w:r>
              <w:rPr>
                <w:rFonts w:eastAsia="Calibri"/>
                <w:color w:val="000000"/>
              </w:rPr>
              <w:t>Insight 2</w:t>
            </w:r>
          </w:p>
          <w:p w14:paraId="1E93A9A5" w14:textId="77777777" w:rsidR="00CA58C2" w:rsidRDefault="00CA58C2" w:rsidP="00014FE5">
            <w:pPr>
              <w:pStyle w:val="TableText"/>
              <w:rPr>
                <w:rFonts w:eastAsia="Calibri"/>
                <w:color w:val="000000"/>
              </w:rPr>
            </w:pPr>
            <w:r>
              <w:rPr>
                <w:rFonts w:eastAsia="Calibri"/>
                <w:color w:val="000000"/>
              </w:rPr>
              <w:t>Insight 3</w:t>
            </w:r>
          </w:p>
          <w:p w14:paraId="21DFEBAC" w14:textId="77777777" w:rsidR="00CA58C2" w:rsidRDefault="00CA58C2" w:rsidP="00014FE5">
            <w:pPr>
              <w:pStyle w:val="TableText"/>
              <w:rPr>
                <w:rFonts w:eastAsia="Calibri"/>
                <w:color w:val="000000"/>
              </w:rPr>
            </w:pPr>
            <w:r>
              <w:rPr>
                <w:rFonts w:eastAsia="Calibri"/>
                <w:color w:val="000000"/>
              </w:rPr>
              <w:t>Insight 4</w:t>
            </w:r>
          </w:p>
          <w:p w14:paraId="2660D8F6" w14:textId="77777777" w:rsidR="00CA58C2" w:rsidRPr="00B65F7F" w:rsidRDefault="00CA58C2" w:rsidP="00014FE5">
            <w:pPr>
              <w:pStyle w:val="TableText"/>
              <w:rPr>
                <w:rFonts w:eastAsia="Calibri"/>
                <w:color w:val="000000"/>
              </w:rPr>
            </w:pPr>
            <w:r>
              <w:rPr>
                <w:rFonts w:eastAsia="Calibri"/>
                <w:color w:val="000000"/>
              </w:rPr>
              <w:t>Insight 7</w:t>
            </w:r>
          </w:p>
        </w:tc>
        <w:tc>
          <w:tcPr>
            <w:tcW w:w="452" w:type="pct"/>
            <w:gridSpan w:val="2"/>
          </w:tcPr>
          <w:p w14:paraId="6C702709" w14:textId="77777777" w:rsidR="00CA58C2" w:rsidRPr="00B65F7F" w:rsidRDefault="00CA58C2" w:rsidP="00014FE5">
            <w:pPr>
              <w:pStyle w:val="TableText"/>
              <w:cnfStyle w:val="000000010000" w:firstRow="0" w:lastRow="0" w:firstColumn="0" w:lastColumn="0" w:oddVBand="0" w:evenVBand="0" w:oddHBand="0" w:evenHBand="1" w:firstRowFirstColumn="0" w:firstRowLastColumn="0" w:lastRowFirstColumn="0" w:lastRowLastColumn="0"/>
              <w:rPr>
                <w:rFonts w:eastAsia="Calibri"/>
                <w:color w:val="000000"/>
              </w:rPr>
            </w:pPr>
            <w:r w:rsidRPr="00B65F7F">
              <w:rPr>
                <w:rFonts w:eastAsia="Calibri"/>
                <w:color w:val="000000"/>
              </w:rPr>
              <w:t>Priority Reform 1</w:t>
            </w:r>
          </w:p>
        </w:tc>
      </w:tr>
      <w:tr w:rsidR="00CA58C2" w:rsidRPr="00B65F7F" w14:paraId="7F6D76A8" w14:textId="77777777" w:rsidTr="00EE6C80">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840" w:type="pct"/>
          </w:tcPr>
          <w:p w14:paraId="1A53A87B" w14:textId="77777777" w:rsidR="00CA58C2" w:rsidRPr="00F318B2" w:rsidRDefault="00AC262F" w:rsidP="00014FE5">
            <w:pPr>
              <w:pStyle w:val="TableText"/>
            </w:pPr>
            <w:r>
              <w:t>21</w:t>
            </w:r>
            <w:r w:rsidR="00CA58C2" w:rsidRPr="00F318B2">
              <w:t xml:space="preserve"> – No wrong</w:t>
            </w:r>
            <w:r w:rsidR="00315A82">
              <w:t>-</w:t>
            </w:r>
            <w:r w:rsidR="00CA58C2" w:rsidRPr="00F318B2">
              <w:t>door policy</w:t>
            </w:r>
          </w:p>
        </w:tc>
        <w:tc>
          <w:tcPr>
            <w:tcW w:w="2989" w:type="pct"/>
          </w:tcPr>
          <w:p w14:paraId="16734968" w14:textId="77777777" w:rsidR="00CA58C2" w:rsidRPr="00B65F7F" w:rsidRDefault="00CA58C2" w:rsidP="00014FE5">
            <w:pPr>
              <w:pStyle w:val="TableText"/>
              <w:cnfStyle w:val="000000100000" w:firstRow="0" w:lastRow="0" w:firstColumn="0" w:lastColumn="0" w:oddVBand="0" w:evenVBand="0" w:oddHBand="1" w:evenHBand="0" w:firstRowFirstColumn="0" w:firstRowLastColumn="0" w:lastRowFirstColumn="0" w:lastRowLastColumn="0"/>
            </w:pPr>
            <w:r>
              <w:t>Aboriginal and/or Torres Strait Islander people have a</w:t>
            </w:r>
            <w:r w:rsidRPr="00B65F7F">
              <w:t>ccess to relevant services without being turned away</w:t>
            </w:r>
            <w:r>
              <w:t xml:space="preserve"> or</w:t>
            </w:r>
            <w:r w:rsidRPr="00B65F7F">
              <w:t xml:space="preserve"> redirected or the service provider </w:t>
            </w:r>
            <w:r>
              <w:t>being</w:t>
            </w:r>
            <w:r w:rsidRPr="00B65F7F">
              <w:t xml:space="preserve"> negatively impacted – regardless of where care is initially sought. </w:t>
            </w:r>
          </w:p>
        </w:tc>
        <w:tc>
          <w:tcPr>
            <w:cnfStyle w:val="000010000000" w:firstRow="0" w:lastRow="0" w:firstColumn="0" w:lastColumn="0" w:oddVBand="1" w:evenVBand="0" w:oddHBand="0" w:evenHBand="0" w:firstRowFirstColumn="0" w:firstRowLastColumn="0" w:lastRowFirstColumn="0" w:lastRowLastColumn="0"/>
            <w:tcW w:w="719" w:type="pct"/>
          </w:tcPr>
          <w:p w14:paraId="5FD3E2A3" w14:textId="77777777" w:rsidR="00CA58C2" w:rsidRDefault="00CA58C2" w:rsidP="00014FE5">
            <w:pPr>
              <w:pStyle w:val="TableText"/>
            </w:pPr>
            <w:r>
              <w:t>Insight 1</w:t>
            </w:r>
          </w:p>
          <w:p w14:paraId="5EAA6878" w14:textId="77777777" w:rsidR="00CA58C2" w:rsidRDefault="00CA58C2" w:rsidP="00014FE5">
            <w:pPr>
              <w:pStyle w:val="TableText"/>
            </w:pPr>
            <w:r>
              <w:t>Insight 2</w:t>
            </w:r>
          </w:p>
          <w:p w14:paraId="4A76BAF4" w14:textId="77777777" w:rsidR="00CA58C2" w:rsidRDefault="00CA58C2" w:rsidP="00014FE5">
            <w:pPr>
              <w:pStyle w:val="TableText"/>
            </w:pPr>
            <w:r>
              <w:t>Insight 3</w:t>
            </w:r>
          </w:p>
          <w:p w14:paraId="47EF0A0B" w14:textId="77777777" w:rsidR="00CA58C2" w:rsidRPr="00B65F7F" w:rsidRDefault="00CA58C2" w:rsidP="00014FE5">
            <w:pPr>
              <w:pStyle w:val="TableText"/>
            </w:pPr>
            <w:r>
              <w:t>Insight 7</w:t>
            </w:r>
          </w:p>
        </w:tc>
        <w:tc>
          <w:tcPr>
            <w:tcW w:w="452" w:type="pct"/>
            <w:gridSpan w:val="2"/>
          </w:tcPr>
          <w:p w14:paraId="386114F3" w14:textId="77777777" w:rsidR="00CA58C2" w:rsidRPr="00B65F7F" w:rsidRDefault="00CA58C2" w:rsidP="00014FE5">
            <w:pPr>
              <w:pStyle w:val="TableText"/>
              <w:cnfStyle w:val="000000100000" w:firstRow="0" w:lastRow="0" w:firstColumn="0" w:lastColumn="0" w:oddVBand="0" w:evenVBand="0" w:oddHBand="1" w:evenHBand="0" w:firstRowFirstColumn="0" w:firstRowLastColumn="0" w:lastRowFirstColumn="0" w:lastRowLastColumn="0"/>
            </w:pPr>
            <w:r w:rsidRPr="00B65F7F">
              <w:t>Priority Reform 2</w:t>
            </w:r>
          </w:p>
        </w:tc>
      </w:tr>
      <w:bookmarkEnd w:id="345"/>
    </w:tbl>
    <w:p w14:paraId="256DF6B5" w14:textId="77777777" w:rsidR="004D3C52" w:rsidRDefault="004D3C52" w:rsidP="00292E56">
      <w:pPr>
        <w:pStyle w:val="BodyText"/>
        <w:sectPr w:rsidR="004D3C52" w:rsidSect="002B05C0">
          <w:headerReference w:type="default" r:id="rId112"/>
          <w:footerReference w:type="default" r:id="rId113"/>
          <w:pgSz w:w="16840" w:h="11907" w:orient="landscape" w:code="9"/>
          <w:pgMar w:top="1134" w:right="1440" w:bottom="1440" w:left="1440" w:header="720" w:footer="720" w:gutter="0"/>
          <w:cols w:space="720"/>
        </w:sectPr>
      </w:pPr>
    </w:p>
    <w:p w14:paraId="069E31FC" w14:textId="0FD01362" w:rsidR="00597B5E" w:rsidRPr="00B65F7F" w:rsidRDefault="00597B5E" w:rsidP="001611E1">
      <w:pPr>
        <w:pStyle w:val="Heading1App"/>
      </w:pPr>
      <w:bookmarkStart w:id="346" w:name="Appendix9"/>
      <w:bookmarkStart w:id="347" w:name="_Toc156932020"/>
      <w:r w:rsidRPr="00B65F7F">
        <w:t xml:space="preserve">Appendix </w:t>
      </w:r>
      <w:r w:rsidR="002B46E5">
        <w:t>9</w:t>
      </w:r>
      <w:r w:rsidR="006C172C">
        <w:t xml:space="preserve"> –</w:t>
      </w:r>
      <w:r w:rsidRPr="00B65F7F">
        <w:t xml:space="preserve"> Literature review</w:t>
      </w:r>
      <w:bookmarkEnd w:id="317"/>
      <w:bookmarkEnd w:id="318"/>
      <w:bookmarkEnd w:id="346"/>
      <w:bookmarkEnd w:id="347"/>
      <w:r w:rsidRPr="00B65F7F">
        <w:t xml:space="preserve"> </w:t>
      </w:r>
    </w:p>
    <w:p w14:paraId="7DF034CF" w14:textId="77777777" w:rsidR="00597B5E" w:rsidRPr="00B65F7F" w:rsidRDefault="004C1AF3" w:rsidP="006734AE">
      <w:pPr>
        <w:pStyle w:val="HeadingLevel2NoNumber"/>
      </w:pPr>
      <w:r>
        <w:t xml:space="preserve">A9.1 </w:t>
      </w:r>
      <w:r w:rsidR="00597B5E" w:rsidRPr="00B65F7F">
        <w:t>Introduction</w:t>
      </w:r>
    </w:p>
    <w:p w14:paraId="0326E61C" w14:textId="77777777" w:rsidR="00597B5E" w:rsidRPr="00474CB3" w:rsidRDefault="00597B5E" w:rsidP="00014FE5">
      <w:pPr>
        <w:pStyle w:val="BodyText"/>
      </w:pPr>
      <w:r>
        <w:t>Aboriginal and/or Torres Strait Islander</w:t>
      </w:r>
      <w:r w:rsidRPr="00B65F7F">
        <w:rPr>
          <w:b/>
        </w:rPr>
        <w:t xml:space="preserve"> </w:t>
      </w:r>
      <w:r w:rsidRPr="00B65F7F">
        <w:t>peoples (hereafter referred to as Indigenous peoples) and communities continue to confront the profo</w:t>
      </w:r>
      <w:r w:rsidRPr="00474CB3">
        <w:t xml:space="preserve">und, interpersonal and systemic effects of colonialism, racism, social exclusion and loss of culture on their individual and collective health and wellbeing (National </w:t>
      </w:r>
      <w:r>
        <w:t>Aboriginal and/or Torres Strait Islander</w:t>
      </w:r>
      <w:r w:rsidRPr="00474CB3">
        <w:t xml:space="preserve"> Leadership in Mental Health, 2015, p. 2). Around the world, Indigenous peoples experience higher incidences of chronic disease, poor physical health outcomes, mental ill health and suicide-related deaths than their non-Indigenous peers (AIHW, 2022a; Sones et al., 2010, p. 54). This is exacerbated by financial, cultural and language barriers; interpersonal and systemic racism; service coverage challenges; extensive wait times; and a pervasive misalignment of Indigenous understandings of health and wellbeing in mainstream healthcare settings (Reifels et al., 2018, p. 2; Eni et al., 2021, p. 3). </w:t>
      </w:r>
    </w:p>
    <w:p w14:paraId="06566BDC" w14:textId="77777777" w:rsidR="00597B5E" w:rsidRPr="00B65F7F" w:rsidRDefault="00597B5E" w:rsidP="00014FE5">
      <w:pPr>
        <w:pStyle w:val="BodyText"/>
      </w:pPr>
      <w:r w:rsidRPr="00474CB3">
        <w:t>Several promising health, wellbeing and suicide prevention (hereafter, referred to as health and wellbeing) commissioning and funding models, approaches and frameworks for Indigenous peoples are supported and guided by several guiding principles. These have been identified in the literature review as self-determination, Indigenous governance and leadership, community partnerships, co-design and ownership, Indigenous-specific holistic understandings of health and wellbeing, culturally and socially safe care, and a systems-based approach. Central to these models, approaches and frameworks is the recognition of ‘the resilience of [Indigenous] peoples, rooted in culture and community’ (Sones et al., 2010, p</w:t>
      </w:r>
      <w:r>
        <w:t>. </w:t>
      </w:r>
      <w:r w:rsidRPr="00B65F7F">
        <w:t>54). </w:t>
      </w:r>
    </w:p>
    <w:p w14:paraId="3C74866E" w14:textId="77777777" w:rsidR="00597B5E" w:rsidRPr="00B65F7F" w:rsidRDefault="00597B5E" w:rsidP="009912B7">
      <w:pPr>
        <w:pStyle w:val="HeadingLevel3NoNumber"/>
      </w:pPr>
      <w:r w:rsidRPr="00B65F7F">
        <w:t>Purpose of the literature review</w:t>
      </w:r>
    </w:p>
    <w:p w14:paraId="5D55FA94" w14:textId="77777777" w:rsidR="00597B5E" w:rsidRPr="00B65F7F" w:rsidRDefault="00597B5E" w:rsidP="00014FE5">
      <w:pPr>
        <w:pStyle w:val="BodyText"/>
      </w:pPr>
      <w:r w:rsidRPr="00B65F7F">
        <w:t>The following literature is one component of the</w:t>
      </w:r>
      <w:r w:rsidRPr="00F33944">
        <w:t xml:space="preserve"> </w:t>
      </w:r>
      <w:r>
        <w:t xml:space="preserve">Final </w:t>
      </w:r>
      <w:r w:rsidDel="00F33944">
        <w:t>Report</w:t>
      </w:r>
      <w:r w:rsidRPr="00B65F7F">
        <w:t xml:space="preserve"> for the Review of Sector Funding Arrangements and Service Provider Capability for </w:t>
      </w:r>
      <w:r>
        <w:t>Aboriginal and/or Torres Strait Islander</w:t>
      </w:r>
      <w:r w:rsidRPr="00B65F7F">
        <w:t xml:space="preserve"> Mental Health and Suicide Prevention Services and the Integrated Team Care Program. The purpose of this literature review is to identify a range of national and international funding and delivery models, frameworks and approaches to Indigenous health and wellbeing and analyse their applicability and effectiveness in an Australian context. </w:t>
      </w:r>
    </w:p>
    <w:p w14:paraId="467AE30C" w14:textId="77777777" w:rsidR="00597B5E" w:rsidRPr="00B65F7F" w:rsidRDefault="00597B5E" w:rsidP="00014FE5">
      <w:pPr>
        <w:pStyle w:val="BodyText"/>
      </w:pPr>
      <w:r w:rsidRPr="00B65F7F">
        <w:t>This literature review was guided by the following questions:</w:t>
      </w:r>
    </w:p>
    <w:p w14:paraId="736510AF" w14:textId="77777777" w:rsidR="00597B5E" w:rsidRPr="0043288D" w:rsidRDefault="00597B5E" w:rsidP="003B07D3">
      <w:pPr>
        <w:pStyle w:val="List1"/>
        <w:numPr>
          <w:ilvl w:val="0"/>
          <w:numId w:val="17"/>
        </w:numPr>
      </w:pPr>
      <w:r w:rsidRPr="0043288D">
        <w:t>What are the key features of funding and delivery models, frameworks and approaches designed to support Indigenous health and wellbeing?</w:t>
      </w:r>
    </w:p>
    <w:p w14:paraId="073DF4CD" w14:textId="77777777" w:rsidR="00597B5E" w:rsidRDefault="00597B5E" w:rsidP="00B909F6">
      <w:pPr>
        <w:pStyle w:val="List1"/>
      </w:pPr>
      <w:r w:rsidRPr="0043288D">
        <w:t>What is the best practice approach to the implementation of funding and delivery models, frameworks and approaches that are designed to support Indigenous health and wellbeing?</w:t>
      </w:r>
    </w:p>
    <w:p w14:paraId="6EE50D40" w14:textId="118C323F" w:rsidR="00597B5E" w:rsidRPr="009A1FE4" w:rsidRDefault="00597B5E" w:rsidP="009A1FE4">
      <w:pPr>
        <w:pStyle w:val="List2"/>
      </w:pPr>
      <w:r w:rsidRPr="009A1FE4">
        <w:t>Who should be the commissioning body?</w:t>
      </w:r>
    </w:p>
    <w:p w14:paraId="643A339A" w14:textId="77777777" w:rsidR="00597B5E" w:rsidRPr="009A1FE4" w:rsidRDefault="00597B5E" w:rsidP="009A1FE4">
      <w:pPr>
        <w:pStyle w:val="List2"/>
      </w:pPr>
      <w:r w:rsidRPr="009A1FE4">
        <w:t>What is the role of the commissioned service providers?</w:t>
      </w:r>
    </w:p>
    <w:p w14:paraId="27DA959B" w14:textId="77777777" w:rsidR="00597B5E" w:rsidRPr="009A1FE4" w:rsidRDefault="00597B5E" w:rsidP="009A1FE4">
      <w:pPr>
        <w:pStyle w:val="List2"/>
      </w:pPr>
      <w:r w:rsidRPr="009A1FE4">
        <w:t>Are there critical enabling factors that are necessary to ensure the success and sustainability of best practice models?</w:t>
      </w:r>
    </w:p>
    <w:p w14:paraId="07AA1C0D" w14:textId="77777777" w:rsidR="00597B5E" w:rsidRPr="009A1FE4" w:rsidRDefault="00597B5E" w:rsidP="009A1FE4">
      <w:pPr>
        <w:pStyle w:val="List2"/>
      </w:pPr>
      <w:r w:rsidRPr="009A1FE4">
        <w:t>What should be the role of service users in the ongoing operations?</w:t>
      </w:r>
    </w:p>
    <w:p w14:paraId="2402CFCD" w14:textId="77777777" w:rsidR="00597B5E" w:rsidRPr="009A1FE4" w:rsidRDefault="00597B5E" w:rsidP="009A1FE4">
      <w:pPr>
        <w:pStyle w:val="List2"/>
      </w:pPr>
      <w:r w:rsidRPr="009A1FE4">
        <w:t>What are the ideal governance structures?</w:t>
      </w:r>
    </w:p>
    <w:p w14:paraId="1AEAC457" w14:textId="77777777" w:rsidR="00597B5E" w:rsidRPr="009A1FE4" w:rsidRDefault="00597B5E" w:rsidP="009A1FE4">
      <w:pPr>
        <w:pStyle w:val="List2"/>
      </w:pPr>
      <w:r w:rsidRPr="009A1FE4">
        <w:t>Are there common barriers to successful uptake?</w:t>
      </w:r>
    </w:p>
    <w:p w14:paraId="3B7B016B" w14:textId="77777777" w:rsidR="00597B5E" w:rsidRPr="009A1FE4" w:rsidRDefault="00597B5E" w:rsidP="009A1FE4">
      <w:pPr>
        <w:pStyle w:val="List2"/>
      </w:pPr>
      <w:r w:rsidRPr="009A1FE4">
        <w:t>Are there optimal approaches to evaluate effectiveness and impact?</w:t>
      </w:r>
    </w:p>
    <w:p w14:paraId="78F2281B" w14:textId="77777777" w:rsidR="00597B5E" w:rsidRPr="00B65F7F" w:rsidRDefault="00597B5E" w:rsidP="00B44E34">
      <w:pPr>
        <w:pStyle w:val="BodyText1stparaafterlist"/>
      </w:pPr>
      <w:r w:rsidRPr="00B65F7F">
        <w:t>In responding to these questions, this review provides an overview of literature that defines the key principles for effective commissioning and funding of Indigenous health and wellbeing services. This analysis is complemented by an overview of several case studies from various jurisdictions, which provide practical examples of the different ways in (and differing extents to) which the key principles have been implemented in practice.</w:t>
      </w:r>
    </w:p>
    <w:p w14:paraId="7CF98386" w14:textId="77777777" w:rsidR="00597B5E" w:rsidRPr="00B65F7F" w:rsidRDefault="00597B5E" w:rsidP="009912B7">
      <w:pPr>
        <w:pStyle w:val="HeadingLevel3NoNumber"/>
      </w:pPr>
      <w:r w:rsidRPr="00B65F7F">
        <w:t>Methods</w:t>
      </w:r>
    </w:p>
    <w:p w14:paraId="0B37A54B" w14:textId="77777777" w:rsidR="00597B5E" w:rsidRPr="00B65F7F" w:rsidRDefault="00597B5E" w:rsidP="00B44E34">
      <w:pPr>
        <w:pStyle w:val="BodyText"/>
      </w:pPr>
      <w:r w:rsidRPr="00B65F7F">
        <w:t xml:space="preserve">This literature review is a synthesis of publicly available literature on commissioning, funding and delivery models, frameworks and approaches to Indigenous health and wellbeing services and strategies. A scoping literature review was undertaken to identify appropriate sources with a focus on peer-reviewed research and grey literature related to funding and delivery models in Australia, Canada, New </w:t>
      </w:r>
      <w:r w:rsidR="00C44EB9" w:rsidRPr="00B65F7F">
        <w:t>Zealand,</w:t>
      </w:r>
      <w:r w:rsidRPr="00B65F7F">
        <w:t xml:space="preserve"> and the United States of America. </w:t>
      </w:r>
    </w:p>
    <w:p w14:paraId="70CCDA3A" w14:textId="77777777" w:rsidR="00597B5E" w:rsidRPr="00B65F7F" w:rsidRDefault="00597B5E" w:rsidP="00B44E34">
      <w:pPr>
        <w:pStyle w:val="BodyText"/>
      </w:pPr>
      <w:r w:rsidRPr="00B65F7F">
        <w:t xml:space="preserve">This literature review attempts to engage with </w:t>
      </w:r>
      <w:r>
        <w:t>Aboriginal and/or Torres Strait Islander</w:t>
      </w:r>
      <w:r w:rsidRPr="00B65F7F">
        <w:t>, First Nations, Inuit, Métis, Native American, Alaska Native and Māori nations, communities and individuals and their dynamic forms of wisdom and culture</w:t>
      </w:r>
      <w:r>
        <w:t xml:space="preserve"> and</w:t>
      </w:r>
      <w:r w:rsidRPr="00B65F7F">
        <w:t xml:space="preserve"> their experiences and knowledge systems in a respectful manner. It should be noted that this literature review does not seek to speak on behalf of Indigenous peoples, but rather to uplift Indigenous values, principles and processes present in existing funding models, approaches and frameworks (</w:t>
      </w:r>
      <w:r w:rsidRPr="00474CB3">
        <w:t>Roa</w:t>
      </w:r>
      <w:r w:rsidRPr="00B65F7F">
        <w:t xml:space="preserve"> </w:t>
      </w:r>
      <w:r>
        <w:t>et al</w:t>
      </w:r>
      <w:r w:rsidRPr="00B65F7F">
        <w:t xml:space="preserve">., 2010, </w:t>
      </w:r>
      <w:r>
        <w:t>p. </w:t>
      </w:r>
      <w:r w:rsidRPr="00B65F7F">
        <w:t>233).</w:t>
      </w:r>
    </w:p>
    <w:p w14:paraId="7DDCD4CF" w14:textId="77777777" w:rsidR="00597B5E" w:rsidRPr="00B65F7F" w:rsidRDefault="00597B5E" w:rsidP="009912B7">
      <w:pPr>
        <w:pStyle w:val="HeadingLevel3NoNumber"/>
      </w:pPr>
      <w:r w:rsidRPr="00B65F7F">
        <w:t>Limitations</w:t>
      </w:r>
    </w:p>
    <w:p w14:paraId="1BDCFF10" w14:textId="77777777" w:rsidR="00597B5E" w:rsidRPr="00B65F7F" w:rsidRDefault="00597B5E" w:rsidP="00B44E34">
      <w:pPr>
        <w:pStyle w:val="BodyText"/>
      </w:pPr>
      <w:r w:rsidRPr="00B65F7F">
        <w:t>Several limitations impact this literature review. These include:</w:t>
      </w:r>
    </w:p>
    <w:p w14:paraId="0831D804" w14:textId="77777777" w:rsidR="00597B5E" w:rsidRPr="00B65F7F" w:rsidRDefault="00597B5E" w:rsidP="00B44E34">
      <w:pPr>
        <w:pStyle w:val="ListBullet2"/>
      </w:pPr>
      <w:r w:rsidRPr="00B65F7F">
        <w:rPr>
          <w:rFonts w:eastAsia="Calibri"/>
          <w:b/>
        </w:rPr>
        <w:t>a lack of available peer-reviewed literature and grey literature</w:t>
      </w:r>
      <w:r w:rsidRPr="00B65F7F">
        <w:rPr>
          <w:rFonts w:eastAsia="Calibri"/>
        </w:rPr>
        <w:t xml:space="preserve"> on commissioning, funding and delivery models for health, </w:t>
      </w:r>
      <w:r w:rsidR="00C44EB9" w:rsidRPr="00B65F7F">
        <w:rPr>
          <w:rFonts w:eastAsia="Calibri"/>
        </w:rPr>
        <w:t>wellbeing,</w:t>
      </w:r>
      <w:r w:rsidRPr="00B65F7F">
        <w:rPr>
          <w:rFonts w:eastAsia="Calibri"/>
        </w:rPr>
        <w:t xml:space="preserve"> and suicide prevention services. Available literature predominantly considers the outcomes of services rather than the models, approaches and frameworks that contributed to their funding, design, development, </w:t>
      </w:r>
      <w:r w:rsidR="00C44EB9" w:rsidRPr="00B65F7F">
        <w:rPr>
          <w:rFonts w:eastAsia="Calibri"/>
        </w:rPr>
        <w:t>implementation,</w:t>
      </w:r>
      <w:r w:rsidRPr="00B65F7F">
        <w:rPr>
          <w:rFonts w:eastAsia="Calibri"/>
        </w:rPr>
        <w:t xml:space="preserve"> and evaluation. Additionally, some evaluations and literature on current services are yet to be published. Further research into this topic is needed.</w:t>
      </w:r>
    </w:p>
    <w:p w14:paraId="7B38C4B3" w14:textId="412BE1EB" w:rsidR="00597B5E" w:rsidRPr="00B65F7F" w:rsidRDefault="00597B5E" w:rsidP="00B44E34">
      <w:pPr>
        <w:pStyle w:val="ListBullet2"/>
      </w:pPr>
      <w:r w:rsidRPr="00B65F7F">
        <w:rPr>
          <w:rFonts w:eastAsia="Calibri"/>
        </w:rPr>
        <w:t xml:space="preserve">a focus on </w:t>
      </w:r>
      <w:r w:rsidRPr="00B65F7F">
        <w:rPr>
          <w:rFonts w:eastAsia="Calibri"/>
          <w:b/>
        </w:rPr>
        <w:t>funding and delivery models in Western settler-colonies</w:t>
      </w:r>
      <w:r w:rsidRPr="00B65F7F">
        <w:rPr>
          <w:rFonts w:eastAsia="Calibri"/>
        </w:rPr>
        <w:t xml:space="preserve"> </w:t>
      </w:r>
      <w:r>
        <w:rPr>
          <w:rFonts w:eastAsia="Calibri"/>
        </w:rPr>
        <w:t xml:space="preserve">which </w:t>
      </w:r>
      <w:r w:rsidRPr="00B65F7F">
        <w:rPr>
          <w:rFonts w:eastAsia="Calibri"/>
        </w:rPr>
        <w:t>therefore does not account for funding and delivery models, approaches and frameworks adopted by Indigenous peoples in non-settler colonial settings.</w:t>
      </w:r>
    </w:p>
    <w:p w14:paraId="4BDF1085" w14:textId="77777777" w:rsidR="00597B5E" w:rsidRPr="00B65F7F" w:rsidRDefault="00597B5E" w:rsidP="009912B7">
      <w:pPr>
        <w:pStyle w:val="HeadingLevel3NoNumber"/>
      </w:pPr>
      <w:r w:rsidRPr="00B65F7F">
        <w:t>A note on language</w:t>
      </w:r>
    </w:p>
    <w:p w14:paraId="4789A425" w14:textId="77777777" w:rsidR="00597B5E" w:rsidRPr="00B65F7F" w:rsidRDefault="00597B5E" w:rsidP="00B44E34">
      <w:pPr>
        <w:pStyle w:val="BodyText"/>
      </w:pPr>
      <w:r w:rsidRPr="00B65F7F">
        <w:t xml:space="preserve">Please note that the term ‘Indigenous’ is used throughout the guiding principles to respectfully refer to Indigenous peoples across Australia, Canada, New </w:t>
      </w:r>
      <w:r w:rsidR="00C44EB9" w:rsidRPr="00B65F7F">
        <w:t>Zealand,</w:t>
      </w:r>
      <w:r w:rsidRPr="00B65F7F">
        <w:t xml:space="preserve"> and the United States of America. Where appropriate, specific geographical/ethnic groups have been identified throughout the literature review.</w:t>
      </w:r>
    </w:p>
    <w:p w14:paraId="066AF384" w14:textId="77777777" w:rsidR="00597B5E" w:rsidRPr="00B65F7F" w:rsidRDefault="004C1AF3" w:rsidP="006734AE">
      <w:pPr>
        <w:pStyle w:val="HeadingLevel2NoNumber"/>
      </w:pPr>
      <w:r>
        <w:t xml:space="preserve">A9.2 </w:t>
      </w:r>
      <w:r w:rsidR="00597B5E" w:rsidRPr="00B65F7F">
        <w:t>Approaches to funding and funding models</w:t>
      </w:r>
    </w:p>
    <w:p w14:paraId="500CBAC9" w14:textId="77777777" w:rsidR="00597B5E" w:rsidRPr="00B65F7F" w:rsidRDefault="00597B5E" w:rsidP="009912B7">
      <w:pPr>
        <w:pStyle w:val="HeadingLevel3NoNumber"/>
      </w:pPr>
      <w:r w:rsidRPr="00B65F7F">
        <w:t>Procurement</w:t>
      </w:r>
    </w:p>
    <w:p w14:paraId="136694D4" w14:textId="77777777" w:rsidR="00597B5E" w:rsidRPr="00B65F7F" w:rsidRDefault="00597B5E" w:rsidP="00B44E34">
      <w:pPr>
        <w:pStyle w:val="BodyText"/>
      </w:pPr>
      <w:r w:rsidRPr="00B65F7F">
        <w:t xml:space="preserve">Procurement is a staged approach to purchasing health services from external health service providers in response to current or emerging needs for a given population, often facilitated through a competitive tendering process overseen by a procurement agency. Approaches to procurement are dependent on </w:t>
      </w:r>
      <w:r w:rsidR="00C44EB9" w:rsidRPr="00B65F7F">
        <w:t>several</w:t>
      </w:r>
      <w:r w:rsidRPr="00B65F7F">
        <w:t xml:space="preserve"> factors, including sector, </w:t>
      </w:r>
      <w:r w:rsidR="00C44EB9" w:rsidRPr="00B65F7F">
        <w:t>location,</w:t>
      </w:r>
      <w:r w:rsidRPr="00B65F7F">
        <w:t xml:space="preserve"> and resource availability</w:t>
      </w:r>
      <w:r>
        <w:t>.</w:t>
      </w:r>
      <w:r w:rsidRPr="00B65F7F">
        <w:t xml:space="preserve"> Ultimately the procurement process requires procurement agencies to:</w:t>
      </w:r>
    </w:p>
    <w:p w14:paraId="61683A64" w14:textId="77777777" w:rsidR="00597B5E" w:rsidRPr="00B65F7F" w:rsidRDefault="00597B5E" w:rsidP="00B44E34">
      <w:pPr>
        <w:pStyle w:val="ListBullet2"/>
      </w:pPr>
      <w:r>
        <w:t>f</w:t>
      </w:r>
      <w:r w:rsidRPr="00B65F7F">
        <w:t>ind solutions that provide good value for money (</w:t>
      </w:r>
      <w:r w:rsidRPr="00474CB3">
        <w:t>Australian</w:t>
      </w:r>
      <w:r w:rsidRPr="00B65F7F">
        <w:t xml:space="preserve"> National Audit Office, 2010, </w:t>
      </w:r>
      <w:r>
        <w:t>p. </w:t>
      </w:r>
      <w:r w:rsidRPr="00B65F7F">
        <w:t xml:space="preserve">47; </w:t>
      </w:r>
      <w:r w:rsidRPr="00474CB3">
        <w:t>Department</w:t>
      </w:r>
      <w:r w:rsidRPr="00B65F7F">
        <w:t xml:space="preserve"> of Finance, 2021; </w:t>
      </w:r>
      <w:r w:rsidRPr="00474CB3">
        <w:t>World</w:t>
      </w:r>
      <w:r w:rsidRPr="00B65F7F">
        <w:t xml:space="preserve"> Health Organization, n.</w:t>
      </w:r>
      <w:r w:rsidRPr="00474CB3">
        <w:t xml:space="preserve">d.; Department of Health, 2018, p. 1; New Zealand Government, n.d.; Department of Health, </w:t>
      </w:r>
      <w:r w:rsidRPr="00B65F7F">
        <w:t>2019)</w:t>
      </w:r>
    </w:p>
    <w:p w14:paraId="76950310" w14:textId="77777777" w:rsidR="00597B5E" w:rsidRPr="00B65F7F" w:rsidRDefault="00597B5E" w:rsidP="00B44E34">
      <w:pPr>
        <w:pStyle w:val="ListBullet2"/>
      </w:pPr>
      <w:r>
        <w:t>e</w:t>
      </w:r>
      <w:r w:rsidRPr="00B65F7F">
        <w:t>ncourage non-discriminatory competition to encourage innovation (</w:t>
      </w:r>
      <w:r w:rsidRPr="00474CB3">
        <w:t>Australian</w:t>
      </w:r>
      <w:r w:rsidRPr="00B65F7F">
        <w:t xml:space="preserve"> National Audit Office, 2010, </w:t>
      </w:r>
      <w:r>
        <w:t>p. </w:t>
      </w:r>
      <w:r w:rsidRPr="00B65F7F">
        <w:t xml:space="preserve">47; </w:t>
      </w:r>
      <w:r w:rsidRPr="00474CB3">
        <w:t>World</w:t>
      </w:r>
      <w:r w:rsidRPr="00B65F7F">
        <w:t xml:space="preserve"> Health Organization, n.d.; </w:t>
      </w:r>
      <w:r w:rsidRPr="00474CB3">
        <w:t>Department</w:t>
      </w:r>
      <w:r w:rsidRPr="00B65F7F">
        <w:t xml:space="preserve"> of Health, 2018, </w:t>
      </w:r>
      <w:r>
        <w:t>p. </w:t>
      </w:r>
      <w:r w:rsidRPr="00B65F7F">
        <w:t>1</w:t>
      </w:r>
      <w:r>
        <w:t>;</w:t>
      </w:r>
      <w:r w:rsidRPr="00B65F7F">
        <w:t xml:space="preserve"> </w:t>
      </w:r>
      <w:r w:rsidRPr="00474CB3">
        <w:t>New</w:t>
      </w:r>
      <w:r w:rsidRPr="00B65F7F">
        <w:t xml:space="preserve"> Zealand Government, 2013; </w:t>
      </w:r>
      <w:r w:rsidRPr="00474CB3">
        <w:t>Department</w:t>
      </w:r>
      <w:r w:rsidRPr="00B65F7F">
        <w:t xml:space="preserve"> of Health, 2019)</w:t>
      </w:r>
    </w:p>
    <w:p w14:paraId="4DA37CDD" w14:textId="77777777" w:rsidR="00597B5E" w:rsidRPr="00B65F7F" w:rsidRDefault="00597B5E" w:rsidP="00B44E34">
      <w:pPr>
        <w:pStyle w:val="ListBullet2"/>
      </w:pPr>
      <w:r>
        <w:t>e</w:t>
      </w:r>
      <w:r w:rsidRPr="00B65F7F">
        <w:t xml:space="preserve">nsure the ‘efficient, </w:t>
      </w:r>
      <w:r w:rsidR="00C44EB9" w:rsidRPr="00B65F7F">
        <w:t>effective,</w:t>
      </w:r>
      <w:r w:rsidRPr="00B65F7F">
        <w:t xml:space="preserve"> and ethical use of resources’ to ensure the best solutions and services (</w:t>
      </w:r>
      <w:r w:rsidRPr="00474CB3">
        <w:t>New</w:t>
      </w:r>
      <w:r w:rsidRPr="00B65F7F">
        <w:t xml:space="preserve"> Zealand Government, 2013, </w:t>
      </w:r>
      <w:r>
        <w:t>p. </w:t>
      </w:r>
      <w:r w:rsidRPr="00B65F7F">
        <w:t xml:space="preserve">4; </w:t>
      </w:r>
      <w:r w:rsidRPr="00474CB3">
        <w:t>Department</w:t>
      </w:r>
      <w:r w:rsidRPr="00B65F7F">
        <w:t xml:space="preserve"> of Health, 2019)</w:t>
      </w:r>
    </w:p>
    <w:p w14:paraId="13FA1476" w14:textId="77777777" w:rsidR="00597B5E" w:rsidRPr="00B65F7F" w:rsidRDefault="00597B5E" w:rsidP="00B44E34">
      <w:pPr>
        <w:pStyle w:val="ListBullet2"/>
      </w:pPr>
      <w:r>
        <w:t>f</w:t>
      </w:r>
      <w:r w:rsidRPr="00B65F7F">
        <w:t>acilitate ‘accountability and transparency in decision-making’ (</w:t>
      </w:r>
      <w:r w:rsidRPr="00474CB3">
        <w:t>Australian</w:t>
      </w:r>
      <w:r w:rsidRPr="00B65F7F">
        <w:t xml:space="preserve"> National Audit Office, 2010, </w:t>
      </w:r>
      <w:r>
        <w:t>p. </w:t>
      </w:r>
      <w:r w:rsidRPr="00B65F7F">
        <w:t xml:space="preserve">47; </w:t>
      </w:r>
      <w:r w:rsidRPr="00474CB3">
        <w:t>World</w:t>
      </w:r>
      <w:r w:rsidRPr="00B65F7F">
        <w:t xml:space="preserve"> Health Organization, n.d.; </w:t>
      </w:r>
      <w:r w:rsidRPr="00474CB3">
        <w:t>Department</w:t>
      </w:r>
      <w:r w:rsidRPr="00B65F7F">
        <w:t xml:space="preserve"> of Health, 2018, </w:t>
      </w:r>
      <w:r>
        <w:t>p. </w:t>
      </w:r>
      <w:r w:rsidRPr="00B65F7F">
        <w:t xml:space="preserve">1; </w:t>
      </w:r>
      <w:r w:rsidRPr="00474CB3">
        <w:t>OECD</w:t>
      </w:r>
      <w:r w:rsidRPr="00B65F7F">
        <w:t xml:space="preserve">, 2009, </w:t>
      </w:r>
      <w:r>
        <w:t>p. </w:t>
      </w:r>
      <w:r w:rsidRPr="00B65F7F">
        <w:t xml:space="preserve">18; </w:t>
      </w:r>
      <w:r w:rsidRPr="00474CB3">
        <w:t>New</w:t>
      </w:r>
      <w:r w:rsidRPr="00B65F7F">
        <w:t xml:space="preserve"> Zealand Government, n.d.; </w:t>
      </w:r>
      <w:r w:rsidRPr="00474CB3">
        <w:t>Department</w:t>
      </w:r>
      <w:r w:rsidRPr="00B65F7F">
        <w:t xml:space="preserve"> of Health, 2019)</w:t>
      </w:r>
      <w:r>
        <w:t>.</w:t>
      </w:r>
    </w:p>
    <w:p w14:paraId="7BEFB51A" w14:textId="336FD4EB" w:rsidR="00597B5E" w:rsidRPr="00B65F7F" w:rsidRDefault="00597B5E" w:rsidP="00B44E34">
      <w:pPr>
        <w:pStyle w:val="BodyText"/>
      </w:pPr>
      <w:r w:rsidRPr="00B65F7F">
        <w:t xml:space="preserve">Procurement is an iterative process that can be segmented into several key steps with distinct purposes, with the ultimate goal of engaging a service provider to deliver a service or program that addresses the health needs of a given population, as identified by the procurement agency. Key activities associated with the procurement process are identified in </w:t>
      </w:r>
      <w:r w:rsidR="006D513D">
        <w:fldChar w:fldCharType="begin"/>
      </w:r>
      <w:r w:rsidR="006D513D">
        <w:instrText xml:space="preserve"> REF _Ref152083036 \h </w:instrText>
      </w:r>
      <w:r w:rsidR="006D513D">
        <w:fldChar w:fldCharType="separate"/>
      </w:r>
      <w:r w:rsidR="00934D5E">
        <w:t>Table A9.</w:t>
      </w:r>
      <w:r w:rsidR="00934D5E">
        <w:rPr>
          <w:noProof/>
        </w:rPr>
        <w:t>1</w:t>
      </w:r>
      <w:r w:rsidR="006D513D">
        <w:fldChar w:fldCharType="end"/>
      </w:r>
      <w:r w:rsidRPr="00B65F7F">
        <w:t xml:space="preserve"> below (adapted from </w:t>
      </w:r>
      <w:r w:rsidRPr="00474CB3">
        <w:t>Australian</w:t>
      </w:r>
      <w:r w:rsidRPr="00B65F7F">
        <w:t xml:space="preserve"> National Audit Office, 2010, </w:t>
      </w:r>
      <w:r>
        <w:t>p. </w:t>
      </w:r>
      <w:r w:rsidRPr="00B65F7F">
        <w:t xml:space="preserve">10; </w:t>
      </w:r>
      <w:r w:rsidRPr="00474CB3">
        <w:t>Department</w:t>
      </w:r>
      <w:r w:rsidRPr="00B65F7F">
        <w:t xml:space="preserve"> of Finance, 2021; </w:t>
      </w:r>
      <w:r w:rsidRPr="00474CB3">
        <w:t>Department</w:t>
      </w:r>
      <w:r w:rsidRPr="00B65F7F">
        <w:t xml:space="preserve"> of Health, 2018, </w:t>
      </w:r>
      <w:r>
        <w:t>p. </w:t>
      </w:r>
      <w:r w:rsidRPr="00B65F7F">
        <w:t xml:space="preserve">1; </w:t>
      </w:r>
      <w:r w:rsidRPr="002225AE">
        <w:t>Health</w:t>
      </w:r>
      <w:r w:rsidRPr="00B65F7F">
        <w:t xml:space="preserve"> Purchasing</w:t>
      </w:r>
      <w:r>
        <w:t xml:space="preserve"> Victoria</w:t>
      </w:r>
      <w:r w:rsidRPr="00B65F7F">
        <w:t xml:space="preserve">, 2017, </w:t>
      </w:r>
      <w:r>
        <w:t>p. </w:t>
      </w:r>
      <w:r w:rsidRPr="00B65F7F">
        <w:t xml:space="preserve">3; </w:t>
      </w:r>
      <w:r w:rsidRPr="002225AE">
        <w:t>Health</w:t>
      </w:r>
      <w:r w:rsidRPr="00B65F7F">
        <w:t xml:space="preserve"> Purchasing Victoria, 2015, p</w:t>
      </w:r>
      <w:r>
        <w:t>p. </w:t>
      </w:r>
      <w:r w:rsidRPr="00B65F7F">
        <w:t>4</w:t>
      </w:r>
      <w:r>
        <w:t>–</w:t>
      </w:r>
      <w:r w:rsidRPr="00B65F7F">
        <w:t>5)</w:t>
      </w:r>
      <w:r>
        <w:t>.</w:t>
      </w:r>
    </w:p>
    <w:p w14:paraId="3603962A" w14:textId="29B5D5B9" w:rsidR="00597B5E" w:rsidRDefault="00DD0673" w:rsidP="00DD0673">
      <w:pPr>
        <w:pStyle w:val="CaptionTable"/>
        <w:rPr>
          <w:szCs w:val="20"/>
        </w:rPr>
      </w:pPr>
      <w:bookmarkStart w:id="348" w:name="_Ref152083036"/>
      <w:bookmarkStart w:id="349" w:name="_Toc145604950"/>
      <w:bookmarkStart w:id="350" w:name="_Toc145617822"/>
      <w:bookmarkStart w:id="351" w:name="_Toc156932094"/>
      <w:r>
        <w:t>Table A9.</w:t>
      </w:r>
      <w:r>
        <w:fldChar w:fldCharType="begin"/>
      </w:r>
      <w:r>
        <w:instrText xml:space="preserve"> SEQ Table_A9 \* ARABIC </w:instrText>
      </w:r>
      <w:r>
        <w:fldChar w:fldCharType="separate"/>
      </w:r>
      <w:r w:rsidR="00934D5E">
        <w:rPr>
          <w:noProof/>
        </w:rPr>
        <w:t>1</w:t>
      </w:r>
      <w:r>
        <w:fldChar w:fldCharType="end"/>
      </w:r>
      <w:bookmarkEnd w:id="348"/>
      <w:r w:rsidR="00597B5E">
        <w:t>:</w:t>
      </w:r>
      <w:r w:rsidR="00597B5E" w:rsidRPr="00D57C55">
        <w:rPr>
          <w:szCs w:val="20"/>
        </w:rPr>
        <w:t xml:space="preserve"> </w:t>
      </w:r>
      <w:r w:rsidR="00597B5E" w:rsidRPr="00B65F7F">
        <w:rPr>
          <w:szCs w:val="20"/>
        </w:rPr>
        <w:t>Key steps of the procurement process</w:t>
      </w:r>
      <w:bookmarkEnd w:id="349"/>
      <w:bookmarkEnd w:id="350"/>
      <w:bookmarkEnd w:id="351"/>
    </w:p>
    <w:tbl>
      <w:tblPr>
        <w:tblStyle w:val="Newtableforresport"/>
        <w:tblW w:w="9629" w:type="dxa"/>
        <w:tblInd w:w="10" w:type="dxa"/>
        <w:tblLayout w:type="fixed"/>
        <w:tblLook w:val="0620" w:firstRow="1" w:lastRow="0" w:firstColumn="0" w:lastColumn="0" w:noHBand="1" w:noVBand="1"/>
        <w:tblCaption w:val="Table A9.1: Key steps of the prourement process"/>
        <w:tblDescription w:val="The table describes key steps of the procurement process for the Review. The first column lists steps in the procurement process. The second column provides further detail on this step. "/>
      </w:tblPr>
      <w:tblGrid>
        <w:gridCol w:w="2790"/>
        <w:gridCol w:w="6839"/>
      </w:tblGrid>
      <w:tr w:rsidR="00597B5E" w:rsidRPr="0043288D" w14:paraId="79F4AA1F" w14:textId="77777777" w:rsidTr="006F6DD1">
        <w:trPr>
          <w:cnfStyle w:val="100000000000" w:firstRow="1" w:lastRow="0" w:firstColumn="0" w:lastColumn="0" w:oddVBand="0" w:evenVBand="0" w:oddHBand="0" w:evenHBand="0" w:firstRowFirstColumn="0" w:firstRowLastColumn="0" w:lastRowFirstColumn="0" w:lastRowLastColumn="0"/>
          <w:tblHeader/>
        </w:trPr>
        <w:tc>
          <w:tcPr>
            <w:tcW w:w="2790" w:type="dxa"/>
          </w:tcPr>
          <w:p w14:paraId="42A49C81" w14:textId="77777777" w:rsidR="00597B5E" w:rsidRPr="0043288D" w:rsidRDefault="00597B5E" w:rsidP="00024E8D">
            <w:pPr>
              <w:pStyle w:val="TableHeading"/>
              <w:rPr>
                <w:b w:val="0"/>
              </w:rPr>
            </w:pPr>
            <w:r w:rsidRPr="0043288D">
              <w:t>Step</w:t>
            </w:r>
          </w:p>
        </w:tc>
        <w:tc>
          <w:tcPr>
            <w:tcW w:w="6839" w:type="dxa"/>
          </w:tcPr>
          <w:p w14:paraId="4014D323" w14:textId="77777777" w:rsidR="00597B5E" w:rsidRPr="0043288D" w:rsidRDefault="00597B5E" w:rsidP="00024E8D">
            <w:pPr>
              <w:pStyle w:val="TableHeading"/>
              <w:rPr>
                <w:b w:val="0"/>
              </w:rPr>
            </w:pPr>
            <w:r w:rsidRPr="0043288D">
              <w:t>Key steps</w:t>
            </w:r>
          </w:p>
        </w:tc>
      </w:tr>
      <w:tr w:rsidR="00597B5E" w:rsidRPr="00B65F7F" w14:paraId="4B463818" w14:textId="77777777" w:rsidTr="006F6DD1">
        <w:tc>
          <w:tcPr>
            <w:tcW w:w="2790" w:type="dxa"/>
          </w:tcPr>
          <w:p w14:paraId="3A2F613F" w14:textId="77777777" w:rsidR="00597B5E" w:rsidRPr="00B44E34" w:rsidRDefault="00597B5E" w:rsidP="00B44E34">
            <w:pPr>
              <w:pStyle w:val="TableText"/>
              <w:rPr>
                <w:b/>
                <w:bCs/>
              </w:rPr>
            </w:pPr>
            <w:r w:rsidRPr="00B44E34">
              <w:rPr>
                <w:b/>
                <w:bCs/>
              </w:rPr>
              <w:t>Step 1: Plan the procurement based on an identified need</w:t>
            </w:r>
          </w:p>
        </w:tc>
        <w:tc>
          <w:tcPr>
            <w:tcW w:w="6839" w:type="dxa"/>
          </w:tcPr>
          <w:p w14:paraId="46B27CA3" w14:textId="77777777" w:rsidR="00597B5E" w:rsidRPr="00B65F7F" w:rsidRDefault="00597B5E" w:rsidP="006F6DD1">
            <w:pPr>
              <w:pStyle w:val="TableTextbullets"/>
              <w:ind w:left="367"/>
            </w:pPr>
            <w:r w:rsidRPr="00B65F7F">
              <w:t>Identify the need/opportunity</w:t>
            </w:r>
          </w:p>
          <w:p w14:paraId="48644F62" w14:textId="77777777" w:rsidR="00597B5E" w:rsidRPr="00B65F7F" w:rsidRDefault="00597B5E" w:rsidP="006F6DD1">
            <w:pPr>
              <w:pStyle w:val="TableTextbullets"/>
              <w:ind w:left="367"/>
            </w:pPr>
            <w:r w:rsidRPr="00B65F7F">
              <w:t>Undertake preliminary research to understand capabilities and restraints</w:t>
            </w:r>
          </w:p>
        </w:tc>
      </w:tr>
      <w:tr w:rsidR="00597B5E" w:rsidRPr="00B65F7F" w14:paraId="0B9D860D" w14:textId="77777777" w:rsidTr="006F6DD1">
        <w:tc>
          <w:tcPr>
            <w:tcW w:w="2790" w:type="dxa"/>
          </w:tcPr>
          <w:p w14:paraId="5FE2D439" w14:textId="77777777" w:rsidR="00597B5E" w:rsidRPr="00B44E34" w:rsidRDefault="00597B5E" w:rsidP="00B44E34">
            <w:pPr>
              <w:pStyle w:val="TableText"/>
              <w:rPr>
                <w:b/>
                <w:bCs/>
              </w:rPr>
            </w:pPr>
            <w:r w:rsidRPr="00B44E34">
              <w:rPr>
                <w:b/>
                <w:bCs/>
              </w:rPr>
              <w:t>Step 2: Determine procurement requirements and scope</w:t>
            </w:r>
          </w:p>
        </w:tc>
        <w:tc>
          <w:tcPr>
            <w:tcW w:w="6839" w:type="dxa"/>
          </w:tcPr>
          <w:p w14:paraId="1BF470F1" w14:textId="77777777" w:rsidR="00597B5E" w:rsidRPr="00B65F7F" w:rsidRDefault="00597B5E" w:rsidP="006F6DD1">
            <w:pPr>
              <w:pStyle w:val="TableTextbullets"/>
              <w:ind w:left="367"/>
            </w:pPr>
            <w:r w:rsidRPr="00B65F7F">
              <w:t>Develop a preliminary business case</w:t>
            </w:r>
          </w:p>
        </w:tc>
      </w:tr>
      <w:tr w:rsidR="00597B5E" w:rsidRPr="00B65F7F" w14:paraId="35731D9B" w14:textId="77777777" w:rsidTr="006F6DD1">
        <w:tc>
          <w:tcPr>
            <w:tcW w:w="2790" w:type="dxa"/>
          </w:tcPr>
          <w:p w14:paraId="352C528D" w14:textId="77777777" w:rsidR="00597B5E" w:rsidRPr="00B44E34" w:rsidRDefault="00597B5E" w:rsidP="00B44E34">
            <w:pPr>
              <w:pStyle w:val="TableText"/>
              <w:rPr>
                <w:b/>
                <w:bCs/>
              </w:rPr>
            </w:pPr>
            <w:r w:rsidRPr="00B44E34">
              <w:rPr>
                <w:b/>
                <w:bCs/>
              </w:rPr>
              <w:t>Step 3: Determine the procurement method/strategy</w:t>
            </w:r>
          </w:p>
        </w:tc>
        <w:tc>
          <w:tcPr>
            <w:tcW w:w="6839" w:type="dxa"/>
          </w:tcPr>
          <w:p w14:paraId="0067BD0C" w14:textId="77777777" w:rsidR="00597B5E" w:rsidRPr="00B65F7F" w:rsidRDefault="00597B5E" w:rsidP="006F6DD1">
            <w:pPr>
              <w:pStyle w:val="TableTextbullets"/>
              <w:ind w:left="367"/>
            </w:pPr>
            <w:r w:rsidRPr="00B65F7F">
              <w:t xml:space="preserve">Open Tender: the procuring agency publishes a request for tender (RFT) to invite suppliers who satisfy the conditions to submit tenders </w:t>
            </w:r>
          </w:p>
          <w:p w14:paraId="26CC3653" w14:textId="77777777" w:rsidR="00597B5E" w:rsidRPr="00B65F7F" w:rsidRDefault="00597B5E" w:rsidP="006F6DD1">
            <w:pPr>
              <w:pStyle w:val="TableTextbullets"/>
              <w:ind w:left="367"/>
            </w:pPr>
            <w:r w:rsidRPr="00B65F7F">
              <w:t>Select Tender: the procuring agency invites a select number of potential suppliers to submit tenders</w:t>
            </w:r>
          </w:p>
          <w:p w14:paraId="034CD424" w14:textId="77777777" w:rsidR="00597B5E" w:rsidRPr="00B65F7F" w:rsidRDefault="00597B5E" w:rsidP="006F6DD1">
            <w:pPr>
              <w:pStyle w:val="TableTextbullets"/>
              <w:ind w:left="367"/>
            </w:pPr>
            <w:r w:rsidRPr="00B65F7F">
              <w:t>Direct Sourcing: the procuring agency invites potential suppliers of choice to make tender submissions</w:t>
            </w:r>
            <w:r>
              <w:t>;</w:t>
            </w:r>
            <w:r w:rsidRPr="00B65F7F">
              <w:t xml:space="preserve"> these suppliers may have existing relationships and/or have subject matter expertise or specialist knowledge</w:t>
            </w:r>
          </w:p>
        </w:tc>
      </w:tr>
      <w:tr w:rsidR="00597B5E" w:rsidRPr="00B65F7F" w14:paraId="42858368" w14:textId="77777777" w:rsidTr="006F6DD1">
        <w:tc>
          <w:tcPr>
            <w:tcW w:w="2790" w:type="dxa"/>
          </w:tcPr>
          <w:p w14:paraId="1C438374" w14:textId="77777777" w:rsidR="00597B5E" w:rsidRPr="00B44E34" w:rsidRDefault="00597B5E" w:rsidP="00B44E34">
            <w:pPr>
              <w:pStyle w:val="TableText"/>
              <w:rPr>
                <w:b/>
                <w:bCs/>
              </w:rPr>
            </w:pPr>
            <w:r w:rsidRPr="00B44E34">
              <w:rPr>
                <w:b/>
                <w:bCs/>
              </w:rPr>
              <w:t>Step 4: Prepare to approach the market including determining contract characteristics</w:t>
            </w:r>
          </w:p>
        </w:tc>
        <w:tc>
          <w:tcPr>
            <w:tcW w:w="6839" w:type="dxa"/>
          </w:tcPr>
          <w:p w14:paraId="6516AFD6" w14:textId="77777777" w:rsidR="00597B5E" w:rsidRPr="00B65F7F" w:rsidRDefault="00597B5E" w:rsidP="006F6DD1">
            <w:pPr>
              <w:pStyle w:val="TableTextbullets"/>
              <w:ind w:left="367"/>
            </w:pPr>
            <w:r w:rsidRPr="00B65F7F">
              <w:t>Establish appropriate governance arrangements</w:t>
            </w:r>
          </w:p>
          <w:p w14:paraId="32649583" w14:textId="77777777" w:rsidR="00597B5E" w:rsidRPr="00B65F7F" w:rsidRDefault="00597B5E" w:rsidP="006F6DD1">
            <w:pPr>
              <w:pStyle w:val="TableTextbullets"/>
              <w:ind w:left="367"/>
            </w:pPr>
            <w:r w:rsidRPr="00B65F7F">
              <w:t>Identify contract characteristics and requirements, including funding approach</w:t>
            </w:r>
          </w:p>
          <w:p w14:paraId="57C8843A" w14:textId="77777777" w:rsidR="00597B5E" w:rsidRPr="00B65F7F" w:rsidRDefault="00597B5E" w:rsidP="006F6DD1">
            <w:pPr>
              <w:pStyle w:val="TableTextbullets"/>
              <w:ind w:left="367"/>
            </w:pPr>
            <w:r w:rsidRPr="00B65F7F">
              <w:t>Establish procurement evaluation plan and team</w:t>
            </w:r>
          </w:p>
        </w:tc>
      </w:tr>
      <w:tr w:rsidR="00597B5E" w:rsidRPr="00B65F7F" w14:paraId="5CB3240F" w14:textId="77777777" w:rsidTr="006F6DD1">
        <w:tc>
          <w:tcPr>
            <w:tcW w:w="2790" w:type="dxa"/>
          </w:tcPr>
          <w:p w14:paraId="170EFA8F" w14:textId="77777777" w:rsidR="00597B5E" w:rsidRPr="00B44E34" w:rsidRDefault="00597B5E" w:rsidP="00B44E34">
            <w:pPr>
              <w:pStyle w:val="TableText"/>
              <w:rPr>
                <w:b/>
                <w:bCs/>
              </w:rPr>
            </w:pPr>
            <w:r w:rsidRPr="00B44E34">
              <w:rPr>
                <w:b/>
                <w:bCs/>
              </w:rPr>
              <w:t xml:space="preserve">Step 5: Approach the market </w:t>
            </w:r>
          </w:p>
        </w:tc>
        <w:tc>
          <w:tcPr>
            <w:tcW w:w="6839" w:type="dxa"/>
          </w:tcPr>
          <w:p w14:paraId="34AF0842" w14:textId="77777777" w:rsidR="00597B5E" w:rsidRPr="00B65F7F" w:rsidRDefault="00597B5E" w:rsidP="006F6DD1">
            <w:pPr>
              <w:pStyle w:val="TableTextbullets"/>
              <w:ind w:left="367"/>
            </w:pPr>
            <w:r w:rsidRPr="00B65F7F">
              <w:t>Notify markets, where applicable</w:t>
            </w:r>
          </w:p>
          <w:p w14:paraId="39DC8A51" w14:textId="77777777" w:rsidR="00597B5E" w:rsidRPr="00B65F7F" w:rsidRDefault="00597B5E" w:rsidP="006F6DD1">
            <w:pPr>
              <w:pStyle w:val="TableTextbullets"/>
              <w:ind w:left="367"/>
            </w:pPr>
            <w:r w:rsidRPr="00B65F7F">
              <w:t>Include essential information in request documentation to ensure suppliers are able to ‘develop and lodge competitive and compliant submissions’ (</w:t>
            </w:r>
            <w:r w:rsidRPr="002225AE">
              <w:t>Department</w:t>
            </w:r>
            <w:r w:rsidRPr="00B65F7F">
              <w:t xml:space="preserve"> of Finance, 2021)</w:t>
            </w:r>
          </w:p>
        </w:tc>
      </w:tr>
      <w:tr w:rsidR="00597B5E" w:rsidRPr="00B65F7F" w14:paraId="57EE90F8" w14:textId="77777777" w:rsidTr="006F6DD1">
        <w:tc>
          <w:tcPr>
            <w:tcW w:w="2790" w:type="dxa"/>
          </w:tcPr>
          <w:p w14:paraId="5F7B3D19" w14:textId="77777777" w:rsidR="00597B5E" w:rsidRPr="00B44E34" w:rsidRDefault="00597B5E" w:rsidP="00B44E34">
            <w:pPr>
              <w:pStyle w:val="TableText"/>
              <w:rPr>
                <w:b/>
                <w:bCs/>
              </w:rPr>
            </w:pPr>
            <w:r w:rsidRPr="00B44E34">
              <w:rPr>
                <w:b/>
                <w:bCs/>
              </w:rPr>
              <w:t>Step 6: Evaluate submissions and select the preferred provider</w:t>
            </w:r>
          </w:p>
        </w:tc>
        <w:tc>
          <w:tcPr>
            <w:tcW w:w="6839" w:type="dxa"/>
          </w:tcPr>
          <w:p w14:paraId="15E3C645" w14:textId="77777777" w:rsidR="00597B5E" w:rsidRPr="00B65F7F" w:rsidRDefault="00597B5E" w:rsidP="006F6DD1">
            <w:pPr>
              <w:pStyle w:val="TableTextbullets"/>
              <w:ind w:left="367"/>
            </w:pPr>
            <w:r w:rsidRPr="00B65F7F">
              <w:t>Ensure the procurement process was fair and equitable</w:t>
            </w:r>
          </w:p>
          <w:p w14:paraId="5E3A04E7" w14:textId="77777777" w:rsidR="00597B5E" w:rsidRPr="00B65F7F" w:rsidRDefault="00597B5E" w:rsidP="006F6DD1">
            <w:pPr>
              <w:pStyle w:val="TableTextbullets"/>
              <w:ind w:left="367"/>
            </w:pPr>
            <w:r w:rsidRPr="00B65F7F">
              <w:t>Advise unsuccessful tenderers and provide a debrief where requested</w:t>
            </w:r>
          </w:p>
          <w:p w14:paraId="72DB08D4" w14:textId="77777777" w:rsidR="00597B5E" w:rsidRPr="00B65F7F" w:rsidRDefault="00597B5E" w:rsidP="006F6DD1">
            <w:pPr>
              <w:pStyle w:val="TableTextbullets"/>
              <w:ind w:left="367"/>
            </w:pPr>
            <w:r w:rsidRPr="00B65F7F">
              <w:t xml:space="preserve">Ensure the preferred provider meets the requirements, can achieve value for money and provide the best support </w:t>
            </w:r>
          </w:p>
        </w:tc>
      </w:tr>
      <w:tr w:rsidR="00597B5E" w:rsidRPr="00B65F7F" w14:paraId="61FEEA1E" w14:textId="77777777" w:rsidTr="006F6DD1">
        <w:tc>
          <w:tcPr>
            <w:tcW w:w="2790" w:type="dxa"/>
          </w:tcPr>
          <w:p w14:paraId="763C5FC5" w14:textId="77777777" w:rsidR="00597B5E" w:rsidRPr="00B44E34" w:rsidRDefault="00597B5E" w:rsidP="00B44E34">
            <w:pPr>
              <w:pStyle w:val="TableText"/>
              <w:rPr>
                <w:b/>
                <w:bCs/>
              </w:rPr>
            </w:pPr>
            <w:r w:rsidRPr="00B44E34">
              <w:rPr>
                <w:b/>
                <w:bCs/>
              </w:rPr>
              <w:t>Step 7: Contract negotiation, transition and award</w:t>
            </w:r>
          </w:p>
        </w:tc>
        <w:tc>
          <w:tcPr>
            <w:tcW w:w="6839" w:type="dxa"/>
          </w:tcPr>
          <w:p w14:paraId="0532F511" w14:textId="77777777" w:rsidR="00597B5E" w:rsidRPr="00B65F7F" w:rsidRDefault="00597B5E" w:rsidP="006F6DD1">
            <w:pPr>
              <w:pStyle w:val="TableTextbullets"/>
              <w:ind w:left="367"/>
            </w:pPr>
            <w:r w:rsidRPr="00B65F7F">
              <w:t>Negotiate contract terms with prefer</w:t>
            </w:r>
            <w:r>
              <w:t>red supplier</w:t>
            </w:r>
          </w:p>
          <w:p w14:paraId="0EF04141" w14:textId="77777777" w:rsidR="00597B5E" w:rsidRPr="00B65F7F" w:rsidRDefault="00597B5E" w:rsidP="006F6DD1">
            <w:pPr>
              <w:pStyle w:val="TableTextbullets"/>
              <w:ind w:left="367"/>
            </w:pPr>
            <w:r w:rsidRPr="00B65F7F">
              <w:t>‘Develop a contract management plan to assist the entity to understand and implement obligations under the contract’ (</w:t>
            </w:r>
            <w:r w:rsidRPr="002225AE">
              <w:t>Department</w:t>
            </w:r>
            <w:r w:rsidRPr="00B65F7F">
              <w:t xml:space="preserve"> of Finance, 2021)</w:t>
            </w:r>
          </w:p>
          <w:p w14:paraId="3204174E" w14:textId="77777777" w:rsidR="00597B5E" w:rsidRPr="00B65F7F" w:rsidRDefault="00597B5E" w:rsidP="006F6DD1">
            <w:pPr>
              <w:pStyle w:val="TableTextbullets"/>
              <w:ind w:left="367"/>
            </w:pPr>
            <w:r w:rsidRPr="00B65F7F">
              <w:t xml:space="preserve">Prepare and execute the contract </w:t>
            </w:r>
          </w:p>
        </w:tc>
      </w:tr>
      <w:tr w:rsidR="00597B5E" w:rsidRPr="00B65F7F" w14:paraId="3CF68ADD" w14:textId="77777777" w:rsidTr="006F6DD1">
        <w:tc>
          <w:tcPr>
            <w:tcW w:w="2790" w:type="dxa"/>
          </w:tcPr>
          <w:p w14:paraId="0B68787D" w14:textId="77777777" w:rsidR="00597B5E" w:rsidRPr="00B44E34" w:rsidRDefault="00597B5E" w:rsidP="00B44E34">
            <w:pPr>
              <w:pStyle w:val="TableText"/>
              <w:rPr>
                <w:b/>
                <w:bCs/>
              </w:rPr>
            </w:pPr>
            <w:r w:rsidRPr="00B44E34">
              <w:rPr>
                <w:b/>
                <w:bCs/>
              </w:rPr>
              <w:t>Step 8: Ongoing contract management and evaluation/consideration</w:t>
            </w:r>
          </w:p>
        </w:tc>
        <w:tc>
          <w:tcPr>
            <w:tcW w:w="6839" w:type="dxa"/>
          </w:tcPr>
          <w:p w14:paraId="41E302FD" w14:textId="77777777" w:rsidR="00597B5E" w:rsidRPr="00B65F7F" w:rsidRDefault="00597B5E" w:rsidP="006F6DD1">
            <w:pPr>
              <w:pStyle w:val="TableTextbullets"/>
              <w:ind w:left="367"/>
            </w:pPr>
            <w:r w:rsidRPr="00B65F7F">
              <w:t>Manage contract deliverables, variations and novations</w:t>
            </w:r>
          </w:p>
        </w:tc>
      </w:tr>
    </w:tbl>
    <w:p w14:paraId="593A09CA" w14:textId="77777777" w:rsidR="00597B5E" w:rsidRPr="00D57C55" w:rsidRDefault="00597B5E" w:rsidP="00B44E34">
      <w:pPr>
        <w:pStyle w:val="Notes"/>
      </w:pPr>
      <w:r w:rsidRPr="00D57C55">
        <w:t xml:space="preserve">Sources: </w:t>
      </w:r>
      <w:r w:rsidRPr="002225AE">
        <w:t>Australian</w:t>
      </w:r>
      <w:r w:rsidRPr="00D57C55">
        <w:t xml:space="preserve"> National Audit Of</w:t>
      </w:r>
      <w:r w:rsidRPr="002225AE">
        <w:t>fice, 2010, p. 10; Department of Finance, 2021; Department of Health, 2018, p. 1; Health Purchasing Victoria, 2017, p. 3; Health Purchasing Victoria, 2015, pp. 4–5</w:t>
      </w:r>
    </w:p>
    <w:p w14:paraId="22966B7E" w14:textId="77777777" w:rsidR="00597B5E" w:rsidRDefault="00597B5E" w:rsidP="00292E56">
      <w:pPr>
        <w:pStyle w:val="BodyText"/>
      </w:pPr>
    </w:p>
    <w:p w14:paraId="7FA683D5" w14:textId="77777777" w:rsidR="00597B5E" w:rsidRPr="00B65F7F" w:rsidRDefault="00C44EB9" w:rsidP="00B44E34">
      <w:pPr>
        <w:pStyle w:val="BodyText"/>
        <w:keepNext/>
      </w:pPr>
      <w:r>
        <w:t>Several</w:t>
      </w:r>
      <w:r w:rsidR="00597B5E" w:rsidRPr="00B65F7F">
        <w:t xml:space="preserve"> approaches can underpin procurement processes</w:t>
      </w:r>
      <w:r w:rsidR="00597B5E">
        <w:t>;</w:t>
      </w:r>
      <w:r w:rsidR="00597B5E" w:rsidRPr="00B65F7F">
        <w:t xml:space="preserve"> some of these are detailed below:</w:t>
      </w:r>
    </w:p>
    <w:p w14:paraId="321C7206" w14:textId="77777777" w:rsidR="00597B5E" w:rsidRPr="00B65F7F" w:rsidRDefault="00597B5E" w:rsidP="009912B7">
      <w:pPr>
        <w:pStyle w:val="HeadingLevel4NoNumber"/>
      </w:pPr>
      <w:bookmarkStart w:id="352" w:name="_heading=h.3zq41d99edsu" w:colFirst="0" w:colLast="0"/>
      <w:bookmarkEnd w:id="352"/>
      <w:r w:rsidRPr="00B65F7F">
        <w:t>Value-based procurement</w:t>
      </w:r>
    </w:p>
    <w:p w14:paraId="084F1C63" w14:textId="77777777" w:rsidR="00597B5E" w:rsidRPr="00B65F7F" w:rsidRDefault="00597B5E" w:rsidP="00B44E34">
      <w:pPr>
        <w:pStyle w:val="BodyText"/>
      </w:pPr>
      <w:r w:rsidRPr="00B65F7F">
        <w:t>Value-based procurement is an outcomes-based model that incorporates co-design throughout the needs assessment and service design stages of the procurement process to centre ‘clinical, patient, health system and societal outcomes’ as determined by communities (</w:t>
      </w:r>
      <w:r w:rsidRPr="002225AE">
        <w:t>Pennestri</w:t>
      </w:r>
      <w:r w:rsidRPr="00B65F7F">
        <w:t xml:space="preserve"> </w:t>
      </w:r>
      <w:r>
        <w:t>et al</w:t>
      </w:r>
      <w:r w:rsidRPr="00B65F7F">
        <w:t>., 2019, p</w:t>
      </w:r>
      <w:r>
        <w:t>p. </w:t>
      </w:r>
      <w:r w:rsidRPr="00B65F7F">
        <w:t>2</w:t>
      </w:r>
      <w:r>
        <w:t>–</w:t>
      </w:r>
      <w:r w:rsidRPr="00B65F7F">
        <w:t xml:space="preserve">3). </w:t>
      </w:r>
    </w:p>
    <w:p w14:paraId="5E00AB06" w14:textId="77777777" w:rsidR="00597B5E" w:rsidRPr="00B65F7F" w:rsidRDefault="00597B5E" w:rsidP="009912B7">
      <w:pPr>
        <w:pStyle w:val="HeadingLevel4NoNumber"/>
      </w:pPr>
      <w:bookmarkStart w:id="353" w:name="_heading=h.evdm19ls75j6" w:colFirst="0" w:colLast="0"/>
      <w:bookmarkEnd w:id="353"/>
      <w:r w:rsidRPr="00B65F7F">
        <w:t>Competitive dialogue procurement</w:t>
      </w:r>
    </w:p>
    <w:p w14:paraId="5AADF3B3" w14:textId="2D8D72A0" w:rsidR="00597B5E" w:rsidRPr="00B65F7F" w:rsidRDefault="00597B5E" w:rsidP="00B44E34">
      <w:pPr>
        <w:pStyle w:val="BodyText"/>
      </w:pPr>
      <w:r w:rsidRPr="00B65F7F">
        <w:t>Competitive dialogue procurement enables procurement agencies to discuss aspects of procurement with potential providers before specifying contract requirements and inviting providers to submit their finalised tenders (</w:t>
      </w:r>
      <w:r w:rsidRPr="002225AE">
        <w:t>New</w:t>
      </w:r>
      <w:r w:rsidRPr="00B65F7F">
        <w:t xml:space="preserve"> Zealand Government, 2013, </w:t>
      </w:r>
      <w:r>
        <w:t>p. </w:t>
      </w:r>
      <w:r w:rsidRPr="00B65F7F">
        <w:t>4). Competitive dialogue allows alternative proposals to be pitched in response to a procurement agency’s requirements and provides an opportunity for prospective providers to co-develop solutions with the procurem</w:t>
      </w:r>
      <w:r w:rsidRPr="002225AE">
        <w:t>ent agency (Department of Health, 2018, p. 2; Department of Health, 2019). This approach is often used for complex procurements, where innovation would provide more valuable, and enables procurement agencies to produce a multitude of solutions to meet their requirements (Department of Health, 2018,</w:t>
      </w:r>
      <w:r w:rsidRPr="00B65F7F">
        <w:t xml:space="preserve"> </w:t>
      </w:r>
      <w:r>
        <w:t>p. </w:t>
      </w:r>
      <w:r w:rsidRPr="00B65F7F">
        <w:t xml:space="preserve">2; </w:t>
      </w:r>
      <w:r w:rsidRPr="002225AE">
        <w:t>New</w:t>
      </w:r>
      <w:r w:rsidRPr="00B65F7F">
        <w:t xml:space="preserve"> Zealand Government, 2013, </w:t>
      </w:r>
      <w:r>
        <w:t>p. </w:t>
      </w:r>
      <w:r w:rsidRPr="00B65F7F">
        <w:t xml:space="preserve">4). </w:t>
      </w:r>
    </w:p>
    <w:p w14:paraId="5E6AF0CB" w14:textId="77777777" w:rsidR="00597B5E" w:rsidRPr="00B65F7F" w:rsidRDefault="00597B5E" w:rsidP="009912B7">
      <w:pPr>
        <w:pStyle w:val="HeadingLevel4NoNumber"/>
      </w:pPr>
      <w:bookmarkStart w:id="354" w:name="_heading=h.nck9oy8lsg2f" w:colFirst="0" w:colLast="0"/>
      <w:bookmarkEnd w:id="354"/>
      <w:r w:rsidRPr="00B65F7F">
        <w:t>Service-specification-based procurement</w:t>
      </w:r>
    </w:p>
    <w:p w14:paraId="47A4829F" w14:textId="1A24DBE0" w:rsidR="00597B5E" w:rsidRPr="00B65F7F" w:rsidRDefault="00597B5E" w:rsidP="00B44E34">
      <w:pPr>
        <w:pStyle w:val="BodyText"/>
      </w:pPr>
      <w:r w:rsidRPr="00B65F7F">
        <w:t xml:space="preserve">Service-specification-based procurement processes begin with the procurement agency identifying the desired service specifications as opposed to the outcomes and usually involve ‘a competitive process between </w:t>
      </w:r>
      <w:r w:rsidR="000F44FE">
        <w:t>2</w:t>
      </w:r>
      <w:r w:rsidRPr="00B65F7F">
        <w:t xml:space="preserve"> or more potential provider</w:t>
      </w:r>
      <w:r w:rsidRPr="002225AE">
        <w:t>s’ (Department of Health, 2018, p. 2; Department of Health, 2019; Healthy North Coast PHN, 2017, p. 3). This approach is often used to recommission well-defined existing services or where there is minimal potential for innovation to add value (Department of Health, 2018, p. 2; Department of Health, 2019; Healthy No</w:t>
      </w:r>
      <w:r w:rsidRPr="00B65F7F">
        <w:t xml:space="preserve">rth Coast PHN, 2017, </w:t>
      </w:r>
      <w:r>
        <w:t>p. </w:t>
      </w:r>
      <w:r w:rsidRPr="00B65F7F">
        <w:t>3).</w:t>
      </w:r>
    </w:p>
    <w:p w14:paraId="0D33F6AA" w14:textId="77777777" w:rsidR="00597B5E" w:rsidRPr="00B65F7F" w:rsidRDefault="00597B5E" w:rsidP="009912B7">
      <w:pPr>
        <w:pStyle w:val="HeadingLevel4NoNumber"/>
      </w:pPr>
      <w:bookmarkStart w:id="355" w:name="_heading=h.vpea9ai8yljy" w:colFirst="0" w:colLast="0"/>
      <w:bookmarkEnd w:id="355"/>
      <w:r w:rsidRPr="00B65F7F">
        <w:t>Place-based procurement</w:t>
      </w:r>
    </w:p>
    <w:p w14:paraId="1D8A96A0" w14:textId="77777777" w:rsidR="00597B5E" w:rsidRPr="00B65F7F" w:rsidRDefault="00597B5E" w:rsidP="00B44E34">
      <w:pPr>
        <w:pStyle w:val="BodyText"/>
      </w:pPr>
      <w:r w:rsidRPr="00B65F7F">
        <w:t>Place-based procurement requires procurement agencies to address place-based challenges and improve the health of a given population using a coordinated funding and service approach for a specific place (</w:t>
      </w:r>
      <w:r w:rsidRPr="002225AE">
        <w:t>Healthy</w:t>
      </w:r>
      <w:r w:rsidRPr="00B65F7F">
        <w:t xml:space="preserve"> North Coast PHN, 2017, </w:t>
      </w:r>
      <w:r>
        <w:t>p. </w:t>
      </w:r>
      <w:r w:rsidRPr="00B65F7F">
        <w:t>2).</w:t>
      </w:r>
    </w:p>
    <w:p w14:paraId="68C13ACF" w14:textId="77777777" w:rsidR="00597B5E" w:rsidRPr="00B65F7F" w:rsidRDefault="00597B5E" w:rsidP="009912B7">
      <w:pPr>
        <w:pStyle w:val="HeadingLevel4NoNumber"/>
      </w:pPr>
      <w:bookmarkStart w:id="356" w:name="_heading=h.ql8bfzr0nwzh" w:colFirst="0" w:colLast="0"/>
      <w:bookmarkEnd w:id="356"/>
      <w:r w:rsidRPr="00B65F7F">
        <w:t>Most capable provider/preferred provider procurement</w:t>
      </w:r>
    </w:p>
    <w:p w14:paraId="57FA0A5D" w14:textId="77777777" w:rsidR="00597B5E" w:rsidRPr="00B65F7F" w:rsidRDefault="00597B5E" w:rsidP="00B44E34">
      <w:pPr>
        <w:pStyle w:val="BodyText"/>
      </w:pPr>
      <w:r w:rsidRPr="00B65F7F">
        <w:t>Most capable provider/preferred provider procurement is a collaborative procurement approach that begins with the procurement agency identifying and pre-selecting a single provider/consortium of providers to deliver a service, where a market may be limited, to guarantee value for money (</w:t>
      </w:r>
      <w:r w:rsidRPr="002225AE">
        <w:t>Department</w:t>
      </w:r>
      <w:r w:rsidRPr="00B65F7F">
        <w:t xml:space="preserve"> of Health, 2019, p</w:t>
      </w:r>
      <w:r>
        <w:t>p. </w:t>
      </w:r>
      <w:r w:rsidRPr="00B65F7F">
        <w:t>2</w:t>
      </w:r>
      <w:r>
        <w:t>–</w:t>
      </w:r>
      <w:r w:rsidRPr="00B65F7F">
        <w:t xml:space="preserve">3; </w:t>
      </w:r>
      <w:r w:rsidRPr="002225AE">
        <w:t>Healthy</w:t>
      </w:r>
      <w:r w:rsidRPr="00B65F7F">
        <w:t xml:space="preserve"> North Coast PHN, 2017, </w:t>
      </w:r>
      <w:r>
        <w:t>p. </w:t>
      </w:r>
      <w:r w:rsidRPr="00B65F7F">
        <w:t>3).</w:t>
      </w:r>
    </w:p>
    <w:p w14:paraId="2E6C7298" w14:textId="77777777" w:rsidR="00597B5E" w:rsidRPr="00B65F7F" w:rsidRDefault="00597B5E" w:rsidP="009912B7">
      <w:pPr>
        <w:pStyle w:val="HeadingLevel3NoNumber"/>
      </w:pPr>
      <w:bookmarkStart w:id="357" w:name="_heading=h.f7jslhhwxuo5" w:colFirst="0" w:colLast="0"/>
      <w:bookmarkEnd w:id="357"/>
      <w:r w:rsidRPr="00B65F7F">
        <w:t>Commissioning</w:t>
      </w:r>
    </w:p>
    <w:p w14:paraId="1174FEC6" w14:textId="77777777" w:rsidR="00597B5E" w:rsidRPr="00B65F7F" w:rsidRDefault="00597B5E" w:rsidP="00B44E34">
      <w:pPr>
        <w:pStyle w:val="BodyText"/>
      </w:pPr>
      <w:r w:rsidRPr="00B65F7F">
        <w:t>Commissioning is an evidence-based and iterative strategic process that seeks to identify the health and wellbeing needs and strengths of health service users and communities in an existing service and support system and then design, invest in and manage and/or implement a system or service to meet the community’s desired health outcomes with available resources (</w:t>
      </w:r>
      <w:r w:rsidRPr="002225AE">
        <w:t>Ministry</w:t>
      </w:r>
      <w:r w:rsidRPr="00B65F7F">
        <w:t xml:space="preserve"> of Health, 2023, </w:t>
      </w:r>
      <w:r>
        <w:t>p. </w:t>
      </w:r>
      <w:r w:rsidRPr="00B65F7F">
        <w:t xml:space="preserve">1; </w:t>
      </w:r>
      <w:r w:rsidRPr="002225AE">
        <w:t>SA</w:t>
      </w:r>
      <w:r w:rsidRPr="00B65F7F">
        <w:t xml:space="preserve"> Health, 2020, </w:t>
      </w:r>
      <w:r>
        <w:t>p. </w:t>
      </w:r>
      <w:r w:rsidRPr="00B65F7F">
        <w:t xml:space="preserve">5). Approaches to commissioning can vary depending on sector, </w:t>
      </w:r>
      <w:r w:rsidR="00C44EB9" w:rsidRPr="00B65F7F">
        <w:t>location,</w:t>
      </w:r>
      <w:r w:rsidRPr="00B65F7F">
        <w:t xml:space="preserve"> and resource availability. </w:t>
      </w:r>
    </w:p>
    <w:p w14:paraId="505EA554" w14:textId="77777777" w:rsidR="00597B5E" w:rsidRPr="00B65F7F" w:rsidRDefault="00597B5E" w:rsidP="00B44E34">
      <w:pPr>
        <w:pStyle w:val="BodyText"/>
      </w:pPr>
      <w:r w:rsidRPr="00B65F7F">
        <w:t>Commissioning requires commissioning bodies (the original funding body or identified intermediary bodies) to move beyond funding and/or purchasing services to:</w:t>
      </w:r>
    </w:p>
    <w:p w14:paraId="59F97895" w14:textId="77777777" w:rsidR="00597B5E" w:rsidRPr="00B65F7F" w:rsidRDefault="00597B5E" w:rsidP="00B44E34">
      <w:pPr>
        <w:pStyle w:val="ListBullet2"/>
      </w:pPr>
      <w:r>
        <w:t>c</w:t>
      </w:r>
      <w:r w:rsidRPr="00B65F7F">
        <w:t>ommission place-based service responses that ‘directly address consumer and community needs’ (</w:t>
      </w:r>
      <w:r w:rsidRPr="002225AE">
        <w:t>SA</w:t>
      </w:r>
      <w:r w:rsidRPr="00B65F7F">
        <w:t xml:space="preserve"> Health, 2020, </w:t>
      </w:r>
      <w:r>
        <w:t>p. </w:t>
      </w:r>
      <w:r w:rsidRPr="00B65F7F">
        <w:t xml:space="preserve">5; </w:t>
      </w:r>
      <w:r w:rsidRPr="002225AE">
        <w:t>Gardner</w:t>
      </w:r>
      <w:r w:rsidRPr="00B65F7F">
        <w:t xml:space="preserve"> </w:t>
      </w:r>
      <w:r>
        <w:t>et al</w:t>
      </w:r>
      <w:r w:rsidRPr="00B65F7F">
        <w:t xml:space="preserve">. 2016, </w:t>
      </w:r>
      <w:r>
        <w:t>p. </w:t>
      </w:r>
      <w:r w:rsidRPr="00B65F7F">
        <w:t>47)</w:t>
      </w:r>
    </w:p>
    <w:p w14:paraId="5293C9A3" w14:textId="77777777" w:rsidR="00597B5E" w:rsidRPr="00B65F7F" w:rsidRDefault="00597B5E" w:rsidP="00B44E34">
      <w:pPr>
        <w:pStyle w:val="ListBullet2"/>
      </w:pPr>
      <w:r>
        <w:t>s</w:t>
      </w:r>
      <w:r w:rsidRPr="00B65F7F">
        <w:t xml:space="preserve">eize opportunities for service design to contribute to a growing evidence-base and align with emerging leading practice (SA Health, 2020, </w:t>
      </w:r>
      <w:r>
        <w:t>p. </w:t>
      </w:r>
      <w:r w:rsidRPr="00B65F7F">
        <w:t>5)</w:t>
      </w:r>
    </w:p>
    <w:p w14:paraId="0AAB666F" w14:textId="77777777" w:rsidR="00597B5E" w:rsidRPr="00B65F7F" w:rsidRDefault="00597B5E" w:rsidP="00B44E34">
      <w:pPr>
        <w:pStyle w:val="ListBullet2"/>
      </w:pPr>
      <w:r>
        <w:t>w</w:t>
      </w:r>
      <w:r w:rsidRPr="00B65F7F">
        <w:t xml:space="preserve">ork with clinicians, service providers, service users and communities </w:t>
      </w:r>
      <w:r>
        <w:t xml:space="preserve">to </w:t>
      </w:r>
      <w:r w:rsidRPr="00B65F7F">
        <w:t>co-design appropriate service responses to identified needs (</w:t>
      </w:r>
      <w:r w:rsidRPr="002225AE">
        <w:t>SA</w:t>
      </w:r>
      <w:r w:rsidRPr="00B65F7F">
        <w:t xml:space="preserve"> Health, 2020, </w:t>
      </w:r>
      <w:r>
        <w:t>p. </w:t>
      </w:r>
      <w:r w:rsidRPr="00B65F7F">
        <w:t xml:space="preserve">5; </w:t>
      </w:r>
      <w:r w:rsidRPr="002225AE">
        <w:t>Gardner</w:t>
      </w:r>
      <w:r w:rsidRPr="00B65F7F">
        <w:t xml:space="preserve"> </w:t>
      </w:r>
      <w:r>
        <w:t>et al</w:t>
      </w:r>
      <w:r w:rsidRPr="00B65F7F">
        <w:t xml:space="preserve">., 2016, </w:t>
      </w:r>
      <w:r>
        <w:t>p. </w:t>
      </w:r>
      <w:r w:rsidRPr="00B65F7F">
        <w:t>47)</w:t>
      </w:r>
    </w:p>
    <w:p w14:paraId="6C85593C" w14:textId="77777777" w:rsidR="00597B5E" w:rsidRPr="00B65F7F" w:rsidRDefault="00597B5E" w:rsidP="00B44E34">
      <w:pPr>
        <w:pStyle w:val="ListBullet2"/>
      </w:pPr>
      <w:r>
        <w:t>m</w:t>
      </w:r>
      <w:r w:rsidRPr="00B65F7F">
        <w:t>onitor outcome delivery progress and quality assurance implementation and leverage learnings from service implementation (</w:t>
      </w:r>
      <w:r w:rsidRPr="002225AE">
        <w:t>SA</w:t>
      </w:r>
      <w:r w:rsidRPr="00B65F7F">
        <w:t xml:space="preserve"> Health, 2020, </w:t>
      </w:r>
      <w:r>
        <w:t>p. </w:t>
      </w:r>
      <w:r w:rsidRPr="00B65F7F">
        <w:t>5)</w:t>
      </w:r>
    </w:p>
    <w:p w14:paraId="52BD3361" w14:textId="4BF55919" w:rsidR="00597B5E" w:rsidRDefault="00597B5E" w:rsidP="00B44E34">
      <w:pPr>
        <w:pStyle w:val="BodyText1stparaafterlist"/>
      </w:pPr>
      <w:r w:rsidRPr="00B65F7F">
        <w:t xml:space="preserve">The commissioning process can be segmented into </w:t>
      </w:r>
      <w:r>
        <w:t>4</w:t>
      </w:r>
      <w:r w:rsidRPr="00B65F7F">
        <w:t xml:space="preserve"> key stages and is guided by the need to ensure the commissioned service responds to the needs and outcomes identified and informed by key stakeholders through co-design and consultation processes (</w:t>
      </w:r>
      <w:r w:rsidRPr="002225AE">
        <w:t>SA</w:t>
      </w:r>
      <w:r w:rsidRPr="00B65F7F">
        <w:t xml:space="preserve"> Health, 2020, </w:t>
      </w:r>
      <w:r>
        <w:t>p. </w:t>
      </w:r>
      <w:r w:rsidRPr="00B65F7F">
        <w:t xml:space="preserve">7; </w:t>
      </w:r>
      <w:r w:rsidRPr="002225AE">
        <w:t>Gardner</w:t>
      </w:r>
      <w:r w:rsidRPr="00B65F7F">
        <w:t xml:space="preserve"> </w:t>
      </w:r>
      <w:r>
        <w:t>et al</w:t>
      </w:r>
      <w:r w:rsidRPr="00B65F7F">
        <w:t>., 2016, p</w:t>
      </w:r>
      <w:r>
        <w:t>p. </w:t>
      </w:r>
      <w:r w:rsidRPr="00B65F7F">
        <w:t>46</w:t>
      </w:r>
      <w:r>
        <w:t>–</w:t>
      </w:r>
      <w:r w:rsidRPr="00B65F7F">
        <w:t xml:space="preserve">47). Key activities associated with each stage of the commissioning approach have been identified in </w:t>
      </w:r>
      <w:r w:rsidR="005D260C">
        <w:fldChar w:fldCharType="begin"/>
      </w:r>
      <w:r w:rsidR="005D260C">
        <w:instrText xml:space="preserve"> REF _Ref151921853 \h  \* MERGEFORMAT </w:instrText>
      </w:r>
      <w:r w:rsidR="005D260C">
        <w:fldChar w:fldCharType="separate"/>
      </w:r>
      <w:r w:rsidR="00934D5E">
        <w:t>Figure A9.1</w:t>
      </w:r>
      <w:r w:rsidR="005D260C">
        <w:fldChar w:fldCharType="end"/>
      </w:r>
      <w:r w:rsidRPr="00B65F7F">
        <w:t xml:space="preserve"> below</w:t>
      </w:r>
      <w:r w:rsidRPr="00E322EF">
        <w:t>.</w:t>
      </w:r>
      <w:r w:rsidRPr="00B65F7F">
        <w:t xml:space="preserve"> </w:t>
      </w:r>
    </w:p>
    <w:p w14:paraId="3F68EF53" w14:textId="2284F13A" w:rsidR="005D260C" w:rsidRDefault="005D260C" w:rsidP="005D260C">
      <w:pPr>
        <w:pStyle w:val="CaptionFigure"/>
        <w:rPr>
          <w:szCs w:val="20"/>
        </w:rPr>
      </w:pPr>
      <w:bookmarkStart w:id="358" w:name="_Ref151921853"/>
      <w:bookmarkStart w:id="359" w:name="_Toc145617778"/>
      <w:bookmarkStart w:id="360" w:name="_Toc156932043"/>
      <w:r>
        <w:t>Figure A9.</w:t>
      </w:r>
      <w:r>
        <w:fldChar w:fldCharType="begin"/>
      </w:r>
      <w:r>
        <w:instrText>SEQ Figure_A9 \* ARABIC</w:instrText>
      </w:r>
      <w:r>
        <w:fldChar w:fldCharType="separate"/>
      </w:r>
      <w:r w:rsidR="00934D5E">
        <w:rPr>
          <w:noProof/>
        </w:rPr>
        <w:t>1</w:t>
      </w:r>
      <w:r>
        <w:fldChar w:fldCharType="end"/>
      </w:r>
      <w:bookmarkEnd w:id="358"/>
      <w:r>
        <w:t xml:space="preserve">: </w:t>
      </w:r>
      <w:r w:rsidRPr="00B65F7F">
        <w:rPr>
          <w:szCs w:val="20"/>
        </w:rPr>
        <w:t>Overview of commissioning approaches</w:t>
      </w:r>
      <w:bookmarkEnd w:id="359"/>
      <w:bookmarkEnd w:id="360"/>
    </w:p>
    <w:p w14:paraId="37B209E3" w14:textId="77777777" w:rsidR="00597B5E" w:rsidRPr="00B65F7F" w:rsidRDefault="00597B5E" w:rsidP="00B44E34">
      <w:pPr>
        <w:pStyle w:val="BodyText"/>
        <w:jc w:val="center"/>
      </w:pPr>
      <w:r w:rsidRPr="00B65F7F">
        <w:rPr>
          <w:noProof/>
        </w:rPr>
        <w:drawing>
          <wp:inline distT="114300" distB="114300" distL="114300" distR="114300" wp14:anchorId="6257F3D2" wp14:editId="40AAA5FD">
            <wp:extent cx="4968815" cy="4912732"/>
            <wp:effectExtent l="0" t="0" r="0" b="2540"/>
            <wp:docPr id="149191967" name="Picture 149191967" descr="The 4 key stages of the commissioning process are represented by 4 adjacent sections of a blue circle. The stages are Needs Assessment, Service Design and Strategic Planning, Service Procurement and Implementation, and Monitoring and Evaluation.&#10;"/>
            <wp:cNvGraphicFramePr/>
            <a:graphic xmlns:a="http://schemas.openxmlformats.org/drawingml/2006/main">
              <a:graphicData uri="http://schemas.openxmlformats.org/drawingml/2006/picture">
                <pic:pic xmlns:pic="http://schemas.openxmlformats.org/drawingml/2006/picture">
                  <pic:nvPicPr>
                    <pic:cNvPr id="149191967" name="Picture 149191967" descr="The 4 key stages of the commissioning process are represented by 4 adjacent sections of a blue circle. The stages are Needs Assessment, Service Design and Strategic Planning, Service Procurement and Implementation, and Monitoring and Evaluation.&#10;"/>
                    <pic:cNvPicPr preferRelativeResize="0"/>
                  </pic:nvPicPr>
                  <pic:blipFill>
                    <a:blip r:embed="rId114" cstate="print">
                      <a:extLst>
                        <a:ext uri="{28A0092B-C50C-407E-A947-70E740481C1C}">
                          <a14:useLocalDpi xmlns:a14="http://schemas.microsoft.com/office/drawing/2010/main"/>
                        </a:ext>
                      </a:extLst>
                    </a:blip>
                    <a:stretch>
                      <a:fillRect/>
                    </a:stretch>
                  </pic:blipFill>
                  <pic:spPr bwMode="auto">
                    <a:xfrm>
                      <a:off x="0" y="0"/>
                      <a:ext cx="4986406" cy="4930124"/>
                    </a:xfrm>
                    <a:prstGeom prst="rect">
                      <a:avLst/>
                    </a:prstGeom>
                    <a:ln>
                      <a:noFill/>
                    </a:ln>
                    <a:extLst>
                      <a:ext uri="{53640926-AAD7-44D8-BBD7-CCE9431645EC}">
                        <a14:shadowObscured xmlns:a14="http://schemas.microsoft.com/office/drawing/2010/main"/>
                      </a:ext>
                    </a:extLst>
                  </pic:spPr>
                </pic:pic>
              </a:graphicData>
            </a:graphic>
          </wp:inline>
        </w:drawing>
      </w:r>
    </w:p>
    <w:p w14:paraId="44320EEC" w14:textId="77777777" w:rsidR="00597B5E" w:rsidRPr="00B65F7F" w:rsidRDefault="00597B5E" w:rsidP="00597B5E">
      <w:pPr>
        <w:pStyle w:val="Notes"/>
        <w:jc w:val="center"/>
      </w:pPr>
      <w:r>
        <w:t>Sources: A</w:t>
      </w:r>
      <w:r w:rsidRPr="00B65F7F">
        <w:t xml:space="preserve">dapted from </w:t>
      </w:r>
      <w:r w:rsidRPr="002225AE">
        <w:t>SA</w:t>
      </w:r>
      <w:r w:rsidRPr="00B65F7F">
        <w:t xml:space="preserve"> Health, 2020, </w:t>
      </w:r>
      <w:r>
        <w:t>p. </w:t>
      </w:r>
      <w:r w:rsidRPr="00B65F7F">
        <w:t xml:space="preserve">11; </w:t>
      </w:r>
      <w:r w:rsidRPr="00757152">
        <w:t>Department</w:t>
      </w:r>
      <w:r w:rsidRPr="00B65F7F">
        <w:t xml:space="preserve"> of Health, 2019, </w:t>
      </w:r>
      <w:r>
        <w:t>p. </w:t>
      </w:r>
      <w:r w:rsidRPr="00B65F7F">
        <w:t>1;</w:t>
      </w:r>
      <w:r>
        <w:br/>
      </w:r>
      <w:r w:rsidRPr="00757152">
        <w:t>Healthy</w:t>
      </w:r>
      <w:r w:rsidRPr="00B65F7F">
        <w:t xml:space="preserve"> North Coast PHN, 2022; </w:t>
      </w:r>
      <w:r w:rsidRPr="00757152">
        <w:t>Gippsland</w:t>
      </w:r>
      <w:r w:rsidRPr="00B65F7F">
        <w:t xml:space="preserve"> PHN, n.d.; </w:t>
      </w:r>
      <w:r w:rsidRPr="00757152">
        <w:t>Gardner</w:t>
      </w:r>
      <w:r w:rsidRPr="00B65F7F">
        <w:t xml:space="preserve"> </w:t>
      </w:r>
      <w:r>
        <w:t>et al</w:t>
      </w:r>
      <w:r w:rsidRPr="00B65F7F">
        <w:t xml:space="preserve">., 2016, </w:t>
      </w:r>
      <w:r>
        <w:t>p. </w:t>
      </w:r>
      <w:r w:rsidRPr="00B65F7F">
        <w:t>41</w:t>
      </w:r>
      <w:r>
        <w:t>.</w:t>
      </w:r>
    </w:p>
    <w:p w14:paraId="4F735C2F" w14:textId="77777777" w:rsidR="00597B5E" w:rsidRDefault="00597B5E" w:rsidP="00292E56">
      <w:pPr>
        <w:pStyle w:val="BodyText"/>
      </w:pPr>
    </w:p>
    <w:p w14:paraId="17A458DC" w14:textId="77777777" w:rsidR="00597B5E" w:rsidRPr="00B65F7F" w:rsidRDefault="00597B5E" w:rsidP="00B44E34">
      <w:pPr>
        <w:pStyle w:val="BodyText"/>
      </w:pPr>
      <w:r w:rsidRPr="00B65F7F">
        <w:t>In theory, the iterative approach to commissioning is responsive to changing service user and community needs and evidence-based learning (</w:t>
      </w:r>
      <w:r w:rsidRPr="002225AE">
        <w:t>SA</w:t>
      </w:r>
      <w:r w:rsidRPr="00B65F7F">
        <w:t xml:space="preserve"> Health, 2020, </w:t>
      </w:r>
      <w:r>
        <w:t>p</w:t>
      </w:r>
      <w:r w:rsidRPr="00757152">
        <w:t>. 7; Department of Health and Aged Care, 2022, p. 31; Harfield et al., 2018; Productivity Commission, 2020, p. 83). Additionally, ongoing monitoring and evaluation facilitates opportunities for commissioned service providers to improve their offerings, thereby ensuring the best outcomes for service users and communities (SA Health, 2020, p. 7; Department of Health and Aged Care, 2022, p. 31; Harfield et al., 2018; Productivity Commission, 2020, p. 83). Succ</w:t>
      </w:r>
      <w:r w:rsidRPr="00B65F7F">
        <w:t xml:space="preserve">essful commissioning approaches for Indigenous health and wellbeing services and programs are underpinned by the guiding principles outlined in </w:t>
      </w:r>
      <w:r>
        <w:t>s</w:t>
      </w:r>
      <w:r w:rsidRPr="00B65F7F">
        <w:t>ection 2.</w:t>
      </w:r>
    </w:p>
    <w:p w14:paraId="16F1A4F9" w14:textId="77777777" w:rsidR="00597B5E" w:rsidRPr="00B65F7F" w:rsidRDefault="00597B5E" w:rsidP="009912B7">
      <w:pPr>
        <w:pStyle w:val="HeadingLevel3NoNumber"/>
      </w:pPr>
      <w:bookmarkStart w:id="361" w:name="_heading=h.8lakn7aztrt9" w:colFirst="0" w:colLast="0"/>
      <w:bookmarkEnd w:id="361"/>
      <w:r w:rsidRPr="00B65F7F">
        <w:t>Funding models</w:t>
      </w:r>
    </w:p>
    <w:p w14:paraId="4F52AF03" w14:textId="77777777" w:rsidR="00597B5E" w:rsidRPr="00B65F7F" w:rsidRDefault="00597B5E" w:rsidP="00B44E34">
      <w:pPr>
        <w:pStyle w:val="BodyText"/>
      </w:pPr>
      <w:r w:rsidRPr="00B65F7F">
        <w:t xml:space="preserve">A key component of health service procurement and commissioning is determining the funding approach underpinning service delivery. </w:t>
      </w:r>
      <w:r w:rsidR="00C44EB9" w:rsidRPr="00B65F7F">
        <w:t>Most</w:t>
      </w:r>
      <w:r w:rsidRPr="00B65F7F">
        <w:t xml:space="preserve"> primary healthcare funding models can be grouped under </w:t>
      </w:r>
      <w:r>
        <w:t>2</w:t>
      </w:r>
      <w:r w:rsidRPr="00847A5B">
        <w:t xml:space="preserve"> primary funding a</w:t>
      </w:r>
      <w:r w:rsidRPr="00B65F7F">
        <w:t>pproaches:</w:t>
      </w:r>
    </w:p>
    <w:p w14:paraId="3210D5AA" w14:textId="77777777" w:rsidR="00597B5E" w:rsidRPr="00B65F7F" w:rsidRDefault="00597B5E" w:rsidP="00B44E34">
      <w:pPr>
        <w:pStyle w:val="ListBullet2"/>
      </w:pPr>
      <w:r w:rsidRPr="00B65F7F">
        <w:rPr>
          <w:b/>
        </w:rPr>
        <w:t>Population-based funding approaches</w:t>
      </w:r>
      <w:r w:rsidRPr="00B65F7F">
        <w:t xml:space="preserve"> involve funding bodies allocating lump sum amounts to service providers </w:t>
      </w:r>
      <w:r>
        <w:t xml:space="preserve">periodically, </w:t>
      </w:r>
      <w:r w:rsidRPr="00B65F7F">
        <w:t>based on the population they serve and the perceived health needs of that population (</w:t>
      </w:r>
      <w:r w:rsidRPr="00962017">
        <w:t>Reddy</w:t>
      </w:r>
      <w:r w:rsidRPr="00B65F7F">
        <w:t xml:space="preserve"> 2017, </w:t>
      </w:r>
      <w:r>
        <w:t>p. </w:t>
      </w:r>
      <w:r w:rsidRPr="00B65F7F">
        <w:t xml:space="preserve">209; </w:t>
      </w:r>
      <w:r w:rsidRPr="00962017">
        <w:t>Oliver</w:t>
      </w:r>
      <w:r w:rsidRPr="00B65F7F">
        <w:t xml:space="preserve">-Baxton &amp; Brown 2013, </w:t>
      </w:r>
      <w:r>
        <w:t>p. </w:t>
      </w:r>
      <w:r w:rsidRPr="00B65F7F">
        <w:t>1). These approaches often provide funding recipients ‘with maximal latitude in the application of surplus funding’, thereby enabling greater flexibility to address sudden and/or emerging health needs related to their initial contract agreements (</w:t>
      </w:r>
      <w:r w:rsidRPr="00962017">
        <w:t>Institute</w:t>
      </w:r>
      <w:r w:rsidRPr="00B65F7F">
        <w:t xml:space="preserve"> of Fiscal Studies and Democracy, 2022, </w:t>
      </w:r>
      <w:r>
        <w:t>p. </w:t>
      </w:r>
      <w:r w:rsidRPr="00B65F7F">
        <w:t>15).</w:t>
      </w:r>
    </w:p>
    <w:p w14:paraId="4AE1B0DA" w14:textId="77777777" w:rsidR="00597B5E" w:rsidRPr="00B65F7F" w:rsidRDefault="00597B5E" w:rsidP="00B44E34">
      <w:pPr>
        <w:pStyle w:val="ListBullet2"/>
      </w:pPr>
      <w:r w:rsidRPr="00B65F7F">
        <w:rPr>
          <w:b/>
        </w:rPr>
        <w:t>Patient-focused funding approaches</w:t>
      </w:r>
      <w:r w:rsidRPr="00B65F7F">
        <w:t xml:space="preserve"> utilise ‘incentives and support mechanisms to improve the quality and efficiency’ of service delivery through service incentive payments, chronic disease management items and practice payments (</w:t>
      </w:r>
      <w:r w:rsidRPr="00962017">
        <w:t>Reddy</w:t>
      </w:r>
      <w:r w:rsidRPr="00B65F7F">
        <w:t xml:space="preserve">, 2017, </w:t>
      </w:r>
      <w:r>
        <w:t>p. </w:t>
      </w:r>
      <w:r w:rsidRPr="00B65F7F">
        <w:t xml:space="preserve">209; </w:t>
      </w:r>
      <w:r w:rsidRPr="00962017">
        <w:t>Oliver</w:t>
      </w:r>
      <w:r w:rsidRPr="00B65F7F">
        <w:t xml:space="preserve">-Baxton &amp; Brown, 2013, </w:t>
      </w:r>
      <w:r>
        <w:t>p. </w:t>
      </w:r>
      <w:r w:rsidRPr="00B65F7F">
        <w:t>1). This approach is most often used in hospital settings to reward services for enabling specified patient outcomes.</w:t>
      </w:r>
    </w:p>
    <w:p w14:paraId="4F4A69B8" w14:textId="24DBBA73" w:rsidR="00597B5E" w:rsidRDefault="00597B5E" w:rsidP="00B44E34">
      <w:pPr>
        <w:pStyle w:val="BodyText1stparaafterlist"/>
        <w:sectPr w:rsidR="00597B5E" w:rsidSect="002B05C0">
          <w:headerReference w:type="default" r:id="rId115"/>
          <w:footerReference w:type="default" r:id="rId116"/>
          <w:pgSz w:w="11906" w:h="16838" w:code="9"/>
          <w:pgMar w:top="1134" w:right="1134" w:bottom="1276" w:left="1134" w:header="720" w:footer="720" w:gutter="0"/>
          <w:cols w:space="720"/>
        </w:sectPr>
      </w:pPr>
      <w:r w:rsidRPr="00B65F7F">
        <w:t>The matrix below (</w:t>
      </w:r>
      <w:r w:rsidR="00EC21E1">
        <w:rPr>
          <w:highlight w:val="yellow"/>
        </w:rPr>
        <w:fldChar w:fldCharType="begin"/>
      </w:r>
      <w:r w:rsidR="00EC21E1">
        <w:instrText xml:space="preserve"> REF _Ref151921953 \h </w:instrText>
      </w:r>
      <w:r w:rsidR="00EC21E1">
        <w:rPr>
          <w:highlight w:val="yellow"/>
        </w:rPr>
      </w:r>
      <w:r w:rsidR="00EC21E1">
        <w:rPr>
          <w:highlight w:val="yellow"/>
        </w:rPr>
        <w:fldChar w:fldCharType="separate"/>
      </w:r>
      <w:r w:rsidR="00934D5E">
        <w:t>Table A9.</w:t>
      </w:r>
      <w:r w:rsidR="00934D5E">
        <w:rPr>
          <w:noProof/>
        </w:rPr>
        <w:t>2</w:t>
      </w:r>
      <w:r w:rsidR="00EC21E1">
        <w:rPr>
          <w:highlight w:val="yellow"/>
        </w:rPr>
        <w:fldChar w:fldCharType="end"/>
      </w:r>
      <w:r w:rsidRPr="00B65F7F">
        <w:t>) outlines common primary healthcare funding models, including key benefits and challenges associated with each one.</w:t>
      </w:r>
    </w:p>
    <w:p w14:paraId="74C69F77" w14:textId="6E824591" w:rsidR="00597B5E" w:rsidRPr="00B65F7F" w:rsidRDefault="00EC21E1" w:rsidP="00EC21E1">
      <w:pPr>
        <w:pStyle w:val="CaptionTable"/>
      </w:pPr>
      <w:bookmarkStart w:id="362" w:name="_Ref151921953"/>
      <w:bookmarkStart w:id="363" w:name="_Toc145604951"/>
      <w:bookmarkStart w:id="364" w:name="_Toc145617823"/>
      <w:bookmarkStart w:id="365" w:name="_Toc156932095"/>
      <w:r>
        <w:t>Table A9.</w:t>
      </w:r>
      <w:r>
        <w:fldChar w:fldCharType="begin"/>
      </w:r>
      <w:r>
        <w:instrText xml:space="preserve"> SEQ Table_A9 \* ARABIC </w:instrText>
      </w:r>
      <w:r>
        <w:fldChar w:fldCharType="separate"/>
      </w:r>
      <w:r w:rsidR="00934D5E">
        <w:rPr>
          <w:noProof/>
        </w:rPr>
        <w:t>2</w:t>
      </w:r>
      <w:r>
        <w:fldChar w:fldCharType="end"/>
      </w:r>
      <w:bookmarkEnd w:id="362"/>
      <w:r w:rsidR="00597B5E" w:rsidRPr="00B65F7F">
        <w:t>: Common primary healthcare funding models</w:t>
      </w:r>
      <w:bookmarkEnd w:id="363"/>
      <w:bookmarkEnd w:id="364"/>
      <w:bookmarkEnd w:id="365"/>
    </w:p>
    <w:tbl>
      <w:tblPr>
        <w:tblStyle w:val="Newtableforresport"/>
        <w:tblW w:w="14591" w:type="dxa"/>
        <w:tblInd w:w="10" w:type="dxa"/>
        <w:tblLayout w:type="fixed"/>
        <w:tblLook w:val="0620" w:firstRow="1" w:lastRow="0" w:firstColumn="0" w:lastColumn="0" w:noHBand="1" w:noVBand="1"/>
        <w:tblCaption w:val="Table A9.2: Common primary healthcare funding models"/>
        <w:tblDescription w:val="The table describes different healthcare funding models that commonly underpin service delivery. The first column lists different funding models. The second column describes different types of this funding model. For example, there are two types of the population-based funding model, including block funding and capitated funding. The third column provides a description of the funding model types. The fourth column describes benefits of the funding model types. The fifth column describes challenges of the funding model types. The sixth column provides an Australian example of the funding model types. The seventh column provides a case study of the funding model types. "/>
      </w:tblPr>
      <w:tblGrid>
        <w:gridCol w:w="1266"/>
        <w:gridCol w:w="1276"/>
        <w:gridCol w:w="2232"/>
        <w:gridCol w:w="2233"/>
        <w:gridCol w:w="2232"/>
        <w:gridCol w:w="2233"/>
        <w:gridCol w:w="3119"/>
      </w:tblGrid>
      <w:tr w:rsidR="00597B5E" w:rsidRPr="0043288D" w14:paraId="2FB5A533" w14:textId="77777777" w:rsidTr="006F6DD1">
        <w:trPr>
          <w:cnfStyle w:val="100000000000" w:firstRow="1" w:lastRow="0" w:firstColumn="0" w:lastColumn="0" w:oddVBand="0" w:evenVBand="0" w:oddHBand="0" w:evenHBand="0" w:firstRowFirstColumn="0" w:firstRowLastColumn="0" w:lastRowFirstColumn="0" w:lastRowLastColumn="0"/>
          <w:cantSplit/>
          <w:tblHeader/>
        </w:trPr>
        <w:tc>
          <w:tcPr>
            <w:tcW w:w="1266" w:type="dxa"/>
            <w:vAlign w:val="center"/>
          </w:tcPr>
          <w:p w14:paraId="02E0A074" w14:textId="2063A2AA" w:rsidR="00597B5E" w:rsidRPr="00184F73" w:rsidRDefault="00184F73" w:rsidP="006F6DD1">
            <w:pPr>
              <w:pStyle w:val="TableHeading"/>
            </w:pPr>
            <w:r w:rsidRPr="00184F73">
              <w:t>Funding model</w:t>
            </w:r>
          </w:p>
        </w:tc>
        <w:tc>
          <w:tcPr>
            <w:tcW w:w="1276" w:type="dxa"/>
            <w:vAlign w:val="center"/>
          </w:tcPr>
          <w:p w14:paraId="7E783E28" w14:textId="77777777" w:rsidR="00597B5E" w:rsidRPr="0043288D" w:rsidRDefault="00597B5E" w:rsidP="00024E8D">
            <w:pPr>
              <w:pStyle w:val="TableHeading"/>
              <w:rPr>
                <w:b w:val="0"/>
              </w:rPr>
            </w:pPr>
            <w:r w:rsidRPr="0043288D">
              <w:t>Type</w:t>
            </w:r>
          </w:p>
        </w:tc>
        <w:tc>
          <w:tcPr>
            <w:tcW w:w="2232" w:type="dxa"/>
            <w:vAlign w:val="center"/>
          </w:tcPr>
          <w:p w14:paraId="65F57154" w14:textId="77777777" w:rsidR="00597B5E" w:rsidRPr="0043288D" w:rsidRDefault="00597B5E" w:rsidP="00024E8D">
            <w:pPr>
              <w:pStyle w:val="TableHeading"/>
              <w:rPr>
                <w:b w:val="0"/>
              </w:rPr>
            </w:pPr>
            <w:r w:rsidRPr="0043288D">
              <w:t>Description</w:t>
            </w:r>
          </w:p>
        </w:tc>
        <w:tc>
          <w:tcPr>
            <w:tcW w:w="2233" w:type="dxa"/>
            <w:vAlign w:val="center"/>
          </w:tcPr>
          <w:p w14:paraId="14098A65" w14:textId="77777777" w:rsidR="00597B5E" w:rsidRPr="0043288D" w:rsidRDefault="00597B5E" w:rsidP="00024E8D">
            <w:pPr>
              <w:pStyle w:val="TableHeading"/>
              <w:rPr>
                <w:b w:val="0"/>
              </w:rPr>
            </w:pPr>
            <w:r w:rsidRPr="0043288D">
              <w:t>Benefits</w:t>
            </w:r>
          </w:p>
        </w:tc>
        <w:tc>
          <w:tcPr>
            <w:tcW w:w="2232" w:type="dxa"/>
            <w:vAlign w:val="center"/>
          </w:tcPr>
          <w:p w14:paraId="4D0F073A" w14:textId="77777777" w:rsidR="00597B5E" w:rsidRPr="0043288D" w:rsidRDefault="00597B5E" w:rsidP="00024E8D">
            <w:pPr>
              <w:pStyle w:val="TableHeading"/>
              <w:rPr>
                <w:b w:val="0"/>
              </w:rPr>
            </w:pPr>
            <w:r w:rsidRPr="0043288D">
              <w:t>Challenges</w:t>
            </w:r>
          </w:p>
        </w:tc>
        <w:tc>
          <w:tcPr>
            <w:tcW w:w="2233" w:type="dxa"/>
            <w:vAlign w:val="center"/>
          </w:tcPr>
          <w:p w14:paraId="5495214C" w14:textId="77777777" w:rsidR="00597B5E" w:rsidRPr="0043288D" w:rsidRDefault="00597B5E" w:rsidP="00024E8D">
            <w:pPr>
              <w:pStyle w:val="TableHeading"/>
              <w:rPr>
                <w:b w:val="0"/>
              </w:rPr>
            </w:pPr>
            <w:r w:rsidRPr="0043288D">
              <w:t>Australian example</w:t>
            </w:r>
          </w:p>
        </w:tc>
        <w:tc>
          <w:tcPr>
            <w:tcW w:w="3119" w:type="dxa"/>
            <w:vAlign w:val="center"/>
          </w:tcPr>
          <w:p w14:paraId="782B49A8" w14:textId="77777777" w:rsidR="00597B5E" w:rsidRPr="0043288D" w:rsidRDefault="00597B5E" w:rsidP="00024E8D">
            <w:pPr>
              <w:pStyle w:val="TableHeading"/>
              <w:rPr>
                <w:b w:val="0"/>
              </w:rPr>
            </w:pPr>
            <w:r w:rsidRPr="0043288D">
              <w:t>Case study</w:t>
            </w:r>
          </w:p>
        </w:tc>
      </w:tr>
      <w:tr w:rsidR="00597B5E" w:rsidRPr="00847A5B" w14:paraId="67732E06" w14:textId="77777777" w:rsidTr="006F6DD1">
        <w:trPr>
          <w:cantSplit/>
        </w:trPr>
        <w:tc>
          <w:tcPr>
            <w:tcW w:w="1266" w:type="dxa"/>
            <w:vMerge w:val="restart"/>
          </w:tcPr>
          <w:p w14:paraId="668F500B" w14:textId="77777777" w:rsidR="00597B5E" w:rsidRPr="00847A5B" w:rsidRDefault="00597B5E" w:rsidP="00B44E34">
            <w:pPr>
              <w:pStyle w:val="TableText"/>
            </w:pPr>
            <w:r w:rsidRPr="00847A5B">
              <w:t>Population-based funding</w:t>
            </w:r>
          </w:p>
        </w:tc>
        <w:tc>
          <w:tcPr>
            <w:tcW w:w="1276" w:type="dxa"/>
            <w:vMerge w:val="restart"/>
          </w:tcPr>
          <w:p w14:paraId="22FEB0E1" w14:textId="77777777" w:rsidR="00597B5E" w:rsidRPr="00847A5B" w:rsidRDefault="00597B5E" w:rsidP="00B44E34">
            <w:pPr>
              <w:pStyle w:val="TableText"/>
            </w:pPr>
            <w:r w:rsidRPr="00847A5B">
              <w:t>Block funding</w:t>
            </w:r>
          </w:p>
        </w:tc>
        <w:tc>
          <w:tcPr>
            <w:tcW w:w="2232" w:type="dxa"/>
            <w:vMerge w:val="restart"/>
          </w:tcPr>
          <w:p w14:paraId="1FD47D62" w14:textId="77777777" w:rsidR="00597B5E" w:rsidRPr="00847A5B" w:rsidRDefault="00597B5E" w:rsidP="00B44E34">
            <w:pPr>
              <w:pStyle w:val="TableText"/>
            </w:pPr>
            <w:r w:rsidRPr="00847A5B">
              <w:t>Funding/grants are provided to service providers based on the population served and the perceived health needs of the community on a periodic basis</w:t>
            </w:r>
            <w:r>
              <w:t>.</w:t>
            </w:r>
          </w:p>
          <w:p w14:paraId="35DAE3AE" w14:textId="77777777" w:rsidR="00597B5E" w:rsidRPr="00847A5B" w:rsidRDefault="00597B5E" w:rsidP="00B44E34">
            <w:pPr>
              <w:pStyle w:val="TableText"/>
            </w:pPr>
            <w:r w:rsidRPr="00847A5B">
              <w:t>(</w:t>
            </w:r>
            <w:r w:rsidRPr="00962017">
              <w:t>Reddy</w:t>
            </w:r>
            <w:r w:rsidRPr="00847A5B">
              <w:t xml:space="preserve"> 2017, </w:t>
            </w:r>
            <w:r>
              <w:t>p. </w:t>
            </w:r>
            <w:r w:rsidRPr="00847A5B">
              <w:t>209)</w:t>
            </w:r>
          </w:p>
        </w:tc>
        <w:tc>
          <w:tcPr>
            <w:tcW w:w="2233" w:type="dxa"/>
            <w:vMerge w:val="restart"/>
          </w:tcPr>
          <w:p w14:paraId="295D6434" w14:textId="77777777" w:rsidR="00597B5E" w:rsidRPr="00847A5B" w:rsidRDefault="00597B5E" w:rsidP="00B44E34">
            <w:pPr>
              <w:pStyle w:val="TableText"/>
            </w:pPr>
            <w:r w:rsidRPr="00847A5B">
              <w:t>Funding bodies control the level of expenditure</w:t>
            </w:r>
            <w:r>
              <w:t>.</w:t>
            </w:r>
            <w:r w:rsidRPr="00847A5B">
              <w:t xml:space="preserve"> </w:t>
            </w:r>
          </w:p>
          <w:p w14:paraId="7ED9D822" w14:textId="77777777" w:rsidR="00597B5E" w:rsidRPr="00847A5B" w:rsidRDefault="00597B5E" w:rsidP="00B44E34">
            <w:pPr>
              <w:pStyle w:val="TableText"/>
            </w:pPr>
            <w:r w:rsidRPr="00847A5B">
              <w:t>(</w:t>
            </w:r>
            <w:r w:rsidRPr="00962017">
              <w:t>Oliver</w:t>
            </w:r>
            <w:r w:rsidRPr="00847A5B">
              <w:t xml:space="preserve">-Baxter &amp; Brown, 2013, </w:t>
            </w:r>
            <w:r>
              <w:t>p. </w:t>
            </w:r>
            <w:r w:rsidRPr="00847A5B">
              <w:t>2)</w:t>
            </w:r>
          </w:p>
        </w:tc>
        <w:tc>
          <w:tcPr>
            <w:tcW w:w="2232" w:type="dxa"/>
            <w:vMerge w:val="restart"/>
          </w:tcPr>
          <w:p w14:paraId="064587DE" w14:textId="77777777" w:rsidR="00597B5E" w:rsidRPr="00847A5B" w:rsidRDefault="00597B5E" w:rsidP="00B44E34">
            <w:pPr>
              <w:pStyle w:val="TableText"/>
            </w:pPr>
            <w:r w:rsidRPr="00847A5B">
              <w:t>The focus remains on the cost</w:t>
            </w:r>
            <w:r>
              <w:t xml:space="preserve"> </w:t>
            </w:r>
            <w:r w:rsidRPr="00847A5B">
              <w:t>effectiveness of health activities as opposed to improved patient outcomes</w:t>
            </w:r>
            <w:r>
              <w:t>.</w:t>
            </w:r>
            <w:r w:rsidRPr="00847A5B">
              <w:t xml:space="preserve"> </w:t>
            </w:r>
          </w:p>
          <w:p w14:paraId="3479F856" w14:textId="77777777" w:rsidR="00597B5E" w:rsidRPr="00847A5B" w:rsidRDefault="00597B5E" w:rsidP="00B44E34">
            <w:pPr>
              <w:pStyle w:val="TableText"/>
            </w:pPr>
            <w:r w:rsidRPr="00847A5B">
              <w:t>(</w:t>
            </w:r>
            <w:r w:rsidRPr="00962017">
              <w:t>NSW</w:t>
            </w:r>
            <w:r w:rsidRPr="00847A5B">
              <w:t xml:space="preserve"> Government, 2016, </w:t>
            </w:r>
            <w:r>
              <w:t>p. </w:t>
            </w:r>
            <w:r w:rsidRPr="00847A5B">
              <w:t>33)</w:t>
            </w:r>
          </w:p>
        </w:tc>
        <w:tc>
          <w:tcPr>
            <w:tcW w:w="2233" w:type="dxa"/>
            <w:vMerge w:val="restart"/>
          </w:tcPr>
          <w:p w14:paraId="4638C6EB" w14:textId="77777777" w:rsidR="00597B5E" w:rsidRPr="00847A5B" w:rsidRDefault="00597B5E" w:rsidP="00B44E34">
            <w:pPr>
              <w:pStyle w:val="TableText"/>
            </w:pPr>
            <w:r w:rsidRPr="00847A5B">
              <w:t>Tackling Indigenous Smoking Program</w:t>
            </w:r>
          </w:p>
        </w:tc>
        <w:tc>
          <w:tcPr>
            <w:tcW w:w="3119" w:type="dxa"/>
          </w:tcPr>
          <w:p w14:paraId="0B3410BF" w14:textId="77777777" w:rsidR="00597B5E" w:rsidRPr="00847A5B" w:rsidRDefault="00597B5E" w:rsidP="00B44E34">
            <w:pPr>
              <w:pStyle w:val="TableText"/>
            </w:pPr>
            <w:r w:rsidRPr="00847A5B">
              <w:t>National Empowerment Program (Australia)</w:t>
            </w:r>
          </w:p>
        </w:tc>
      </w:tr>
      <w:tr w:rsidR="00597B5E" w:rsidRPr="00847A5B" w14:paraId="32C4E94A" w14:textId="77777777" w:rsidTr="006F6DD1">
        <w:trPr>
          <w:cantSplit/>
        </w:trPr>
        <w:tc>
          <w:tcPr>
            <w:tcW w:w="1266" w:type="dxa"/>
            <w:vMerge/>
          </w:tcPr>
          <w:p w14:paraId="48B996B0" w14:textId="77777777" w:rsidR="00597B5E" w:rsidRPr="00847A5B" w:rsidRDefault="00597B5E" w:rsidP="00B44E34">
            <w:pPr>
              <w:pStyle w:val="TableText"/>
            </w:pPr>
          </w:p>
        </w:tc>
        <w:tc>
          <w:tcPr>
            <w:tcW w:w="1276" w:type="dxa"/>
            <w:vMerge/>
          </w:tcPr>
          <w:p w14:paraId="12D6B71B" w14:textId="77777777" w:rsidR="00597B5E" w:rsidRPr="00847A5B" w:rsidRDefault="00597B5E" w:rsidP="00B44E34">
            <w:pPr>
              <w:pStyle w:val="TableText"/>
            </w:pPr>
          </w:p>
        </w:tc>
        <w:tc>
          <w:tcPr>
            <w:tcW w:w="2232" w:type="dxa"/>
            <w:vMerge/>
          </w:tcPr>
          <w:p w14:paraId="523B4021" w14:textId="77777777" w:rsidR="00597B5E" w:rsidRPr="00847A5B" w:rsidRDefault="00597B5E" w:rsidP="00B44E34">
            <w:pPr>
              <w:pStyle w:val="TableText"/>
            </w:pPr>
          </w:p>
        </w:tc>
        <w:tc>
          <w:tcPr>
            <w:tcW w:w="2233" w:type="dxa"/>
            <w:vMerge/>
          </w:tcPr>
          <w:p w14:paraId="46180A1B" w14:textId="77777777" w:rsidR="00597B5E" w:rsidRPr="00847A5B" w:rsidRDefault="00597B5E" w:rsidP="00B44E34">
            <w:pPr>
              <w:pStyle w:val="TableText"/>
            </w:pPr>
          </w:p>
        </w:tc>
        <w:tc>
          <w:tcPr>
            <w:tcW w:w="2232" w:type="dxa"/>
            <w:vMerge/>
          </w:tcPr>
          <w:p w14:paraId="234878AA" w14:textId="77777777" w:rsidR="00597B5E" w:rsidRPr="00847A5B" w:rsidRDefault="00597B5E" w:rsidP="00B44E34">
            <w:pPr>
              <w:pStyle w:val="TableText"/>
            </w:pPr>
          </w:p>
        </w:tc>
        <w:tc>
          <w:tcPr>
            <w:tcW w:w="2233" w:type="dxa"/>
            <w:vMerge/>
          </w:tcPr>
          <w:p w14:paraId="2E49D6D8" w14:textId="77777777" w:rsidR="00597B5E" w:rsidRPr="00847A5B" w:rsidRDefault="00597B5E" w:rsidP="00B44E34">
            <w:pPr>
              <w:pStyle w:val="TableText"/>
            </w:pPr>
          </w:p>
        </w:tc>
        <w:tc>
          <w:tcPr>
            <w:tcW w:w="3119" w:type="dxa"/>
          </w:tcPr>
          <w:p w14:paraId="61C3E213" w14:textId="77777777" w:rsidR="00597B5E" w:rsidRPr="00847A5B" w:rsidRDefault="00597B5E" w:rsidP="00B44E34">
            <w:pPr>
              <w:pStyle w:val="TableText"/>
            </w:pPr>
            <w:r w:rsidRPr="00847A5B">
              <w:t>Kimberley Aboriginal Suicide Prevention Trial (Australia)</w:t>
            </w:r>
          </w:p>
        </w:tc>
      </w:tr>
      <w:tr w:rsidR="00597B5E" w:rsidRPr="00847A5B" w14:paraId="5ADFD8F6" w14:textId="77777777" w:rsidTr="006F6DD1">
        <w:trPr>
          <w:cantSplit/>
        </w:trPr>
        <w:tc>
          <w:tcPr>
            <w:tcW w:w="1266" w:type="dxa"/>
            <w:vMerge/>
          </w:tcPr>
          <w:p w14:paraId="4736956C" w14:textId="77777777" w:rsidR="00597B5E" w:rsidRPr="00847A5B" w:rsidRDefault="00597B5E" w:rsidP="00B44E34">
            <w:pPr>
              <w:pStyle w:val="TableText"/>
            </w:pPr>
          </w:p>
        </w:tc>
        <w:tc>
          <w:tcPr>
            <w:tcW w:w="1276" w:type="dxa"/>
            <w:vMerge/>
          </w:tcPr>
          <w:p w14:paraId="140F2C66" w14:textId="77777777" w:rsidR="00597B5E" w:rsidRPr="00847A5B" w:rsidRDefault="00597B5E" w:rsidP="00B44E34">
            <w:pPr>
              <w:pStyle w:val="TableText"/>
            </w:pPr>
          </w:p>
        </w:tc>
        <w:tc>
          <w:tcPr>
            <w:tcW w:w="2232" w:type="dxa"/>
            <w:vMerge/>
          </w:tcPr>
          <w:p w14:paraId="25270891" w14:textId="77777777" w:rsidR="00597B5E" w:rsidRPr="00847A5B" w:rsidRDefault="00597B5E" w:rsidP="00B44E34">
            <w:pPr>
              <w:pStyle w:val="TableText"/>
            </w:pPr>
          </w:p>
        </w:tc>
        <w:tc>
          <w:tcPr>
            <w:tcW w:w="2233" w:type="dxa"/>
            <w:vMerge/>
          </w:tcPr>
          <w:p w14:paraId="65806F66" w14:textId="77777777" w:rsidR="00597B5E" w:rsidRPr="00847A5B" w:rsidRDefault="00597B5E" w:rsidP="00B44E34">
            <w:pPr>
              <w:pStyle w:val="TableText"/>
            </w:pPr>
          </w:p>
        </w:tc>
        <w:tc>
          <w:tcPr>
            <w:tcW w:w="2232" w:type="dxa"/>
            <w:vMerge/>
          </w:tcPr>
          <w:p w14:paraId="0B3E9C43" w14:textId="77777777" w:rsidR="00597B5E" w:rsidRPr="00847A5B" w:rsidRDefault="00597B5E" w:rsidP="00B44E34">
            <w:pPr>
              <w:pStyle w:val="TableText"/>
            </w:pPr>
          </w:p>
        </w:tc>
        <w:tc>
          <w:tcPr>
            <w:tcW w:w="2233" w:type="dxa"/>
            <w:vMerge/>
          </w:tcPr>
          <w:p w14:paraId="7BFD61A5" w14:textId="77777777" w:rsidR="00597B5E" w:rsidRPr="00847A5B" w:rsidRDefault="00597B5E" w:rsidP="00B44E34">
            <w:pPr>
              <w:pStyle w:val="TableText"/>
            </w:pPr>
          </w:p>
        </w:tc>
        <w:tc>
          <w:tcPr>
            <w:tcW w:w="3119" w:type="dxa"/>
          </w:tcPr>
          <w:p w14:paraId="4297F6B2" w14:textId="77777777" w:rsidR="00597B5E" w:rsidRPr="00847A5B" w:rsidRDefault="00597B5E" w:rsidP="00B44E34">
            <w:pPr>
              <w:pStyle w:val="TableText"/>
            </w:pPr>
            <w:r w:rsidRPr="00847A5B">
              <w:t>Tackling Indigenous Smoking program (Australia)</w:t>
            </w:r>
          </w:p>
        </w:tc>
      </w:tr>
      <w:tr w:rsidR="00597B5E" w:rsidRPr="00847A5B" w14:paraId="68E964F7" w14:textId="77777777" w:rsidTr="006F6DD1">
        <w:trPr>
          <w:cantSplit/>
        </w:trPr>
        <w:tc>
          <w:tcPr>
            <w:tcW w:w="1266" w:type="dxa"/>
            <w:vMerge/>
          </w:tcPr>
          <w:p w14:paraId="58934E73" w14:textId="77777777" w:rsidR="00597B5E" w:rsidRPr="00847A5B" w:rsidRDefault="00597B5E" w:rsidP="00B44E34">
            <w:pPr>
              <w:pStyle w:val="TableText"/>
            </w:pPr>
          </w:p>
        </w:tc>
        <w:tc>
          <w:tcPr>
            <w:tcW w:w="1276" w:type="dxa"/>
            <w:vMerge/>
          </w:tcPr>
          <w:p w14:paraId="26358000" w14:textId="77777777" w:rsidR="00597B5E" w:rsidRPr="00847A5B" w:rsidRDefault="00597B5E" w:rsidP="00B44E34">
            <w:pPr>
              <w:pStyle w:val="TableText"/>
            </w:pPr>
          </w:p>
        </w:tc>
        <w:tc>
          <w:tcPr>
            <w:tcW w:w="2232" w:type="dxa"/>
            <w:vMerge/>
          </w:tcPr>
          <w:p w14:paraId="6D7C3AE4" w14:textId="77777777" w:rsidR="00597B5E" w:rsidRPr="00847A5B" w:rsidRDefault="00597B5E" w:rsidP="00B44E34">
            <w:pPr>
              <w:pStyle w:val="TableText"/>
            </w:pPr>
          </w:p>
        </w:tc>
        <w:tc>
          <w:tcPr>
            <w:tcW w:w="2233" w:type="dxa"/>
            <w:vMerge/>
          </w:tcPr>
          <w:p w14:paraId="51EC3430" w14:textId="77777777" w:rsidR="00597B5E" w:rsidRPr="00847A5B" w:rsidRDefault="00597B5E" w:rsidP="00B44E34">
            <w:pPr>
              <w:pStyle w:val="TableText"/>
            </w:pPr>
          </w:p>
        </w:tc>
        <w:tc>
          <w:tcPr>
            <w:tcW w:w="2232" w:type="dxa"/>
            <w:vMerge/>
          </w:tcPr>
          <w:p w14:paraId="6D9AFCE9" w14:textId="77777777" w:rsidR="00597B5E" w:rsidRPr="00847A5B" w:rsidRDefault="00597B5E" w:rsidP="00B44E34">
            <w:pPr>
              <w:pStyle w:val="TableText"/>
            </w:pPr>
          </w:p>
        </w:tc>
        <w:tc>
          <w:tcPr>
            <w:tcW w:w="2233" w:type="dxa"/>
            <w:vMerge/>
          </w:tcPr>
          <w:p w14:paraId="6DE570ED" w14:textId="77777777" w:rsidR="00597B5E" w:rsidRPr="00847A5B" w:rsidRDefault="00597B5E" w:rsidP="00B44E34">
            <w:pPr>
              <w:pStyle w:val="TableText"/>
            </w:pPr>
          </w:p>
        </w:tc>
        <w:tc>
          <w:tcPr>
            <w:tcW w:w="3119" w:type="dxa"/>
          </w:tcPr>
          <w:p w14:paraId="162A1EB9" w14:textId="77777777" w:rsidR="00597B5E" w:rsidRPr="00847A5B" w:rsidRDefault="00597B5E" w:rsidP="00B44E34">
            <w:pPr>
              <w:pStyle w:val="TableText"/>
            </w:pPr>
            <w:r w:rsidRPr="00847A5B">
              <w:t>Social and Emotional Wellbeing Model of Service pilot program (Australia)</w:t>
            </w:r>
          </w:p>
        </w:tc>
      </w:tr>
      <w:tr w:rsidR="00597B5E" w:rsidRPr="00847A5B" w14:paraId="6EF05305" w14:textId="77777777" w:rsidTr="006F6DD1">
        <w:trPr>
          <w:cantSplit/>
        </w:trPr>
        <w:tc>
          <w:tcPr>
            <w:tcW w:w="1266" w:type="dxa"/>
            <w:vMerge/>
          </w:tcPr>
          <w:p w14:paraId="5CD335B0" w14:textId="77777777" w:rsidR="00597B5E" w:rsidRPr="00847A5B" w:rsidRDefault="00597B5E" w:rsidP="00B44E34">
            <w:pPr>
              <w:pStyle w:val="TableText"/>
            </w:pPr>
          </w:p>
        </w:tc>
        <w:tc>
          <w:tcPr>
            <w:tcW w:w="1276" w:type="dxa"/>
            <w:vMerge/>
          </w:tcPr>
          <w:p w14:paraId="2DBF9899" w14:textId="77777777" w:rsidR="00597B5E" w:rsidRPr="00847A5B" w:rsidRDefault="00597B5E" w:rsidP="00B44E34">
            <w:pPr>
              <w:pStyle w:val="TableText"/>
            </w:pPr>
          </w:p>
        </w:tc>
        <w:tc>
          <w:tcPr>
            <w:tcW w:w="2232" w:type="dxa"/>
            <w:vMerge/>
          </w:tcPr>
          <w:p w14:paraId="2A4E027F" w14:textId="77777777" w:rsidR="00597B5E" w:rsidRPr="00847A5B" w:rsidRDefault="00597B5E" w:rsidP="00B44E34">
            <w:pPr>
              <w:pStyle w:val="TableText"/>
            </w:pPr>
          </w:p>
        </w:tc>
        <w:tc>
          <w:tcPr>
            <w:tcW w:w="2233" w:type="dxa"/>
            <w:vMerge/>
          </w:tcPr>
          <w:p w14:paraId="0DC27E9B" w14:textId="77777777" w:rsidR="00597B5E" w:rsidRPr="00847A5B" w:rsidRDefault="00597B5E" w:rsidP="00B44E34">
            <w:pPr>
              <w:pStyle w:val="TableText"/>
            </w:pPr>
          </w:p>
        </w:tc>
        <w:tc>
          <w:tcPr>
            <w:tcW w:w="2232" w:type="dxa"/>
            <w:vMerge/>
          </w:tcPr>
          <w:p w14:paraId="797FCA2F" w14:textId="77777777" w:rsidR="00597B5E" w:rsidRPr="00847A5B" w:rsidRDefault="00597B5E" w:rsidP="00B44E34">
            <w:pPr>
              <w:pStyle w:val="TableText"/>
            </w:pPr>
          </w:p>
        </w:tc>
        <w:tc>
          <w:tcPr>
            <w:tcW w:w="2233" w:type="dxa"/>
            <w:vMerge/>
          </w:tcPr>
          <w:p w14:paraId="367C7106" w14:textId="77777777" w:rsidR="00597B5E" w:rsidRPr="00847A5B" w:rsidRDefault="00597B5E" w:rsidP="00B44E34">
            <w:pPr>
              <w:pStyle w:val="TableText"/>
            </w:pPr>
          </w:p>
        </w:tc>
        <w:tc>
          <w:tcPr>
            <w:tcW w:w="3119" w:type="dxa"/>
          </w:tcPr>
          <w:p w14:paraId="5F08C812" w14:textId="77777777" w:rsidR="00597B5E" w:rsidRPr="00847A5B" w:rsidRDefault="00597B5E" w:rsidP="00B44E34">
            <w:pPr>
              <w:pStyle w:val="TableText"/>
            </w:pPr>
            <w:r w:rsidRPr="00847A5B">
              <w:t>Nuka System of Care (United States of America)</w:t>
            </w:r>
          </w:p>
        </w:tc>
      </w:tr>
      <w:tr w:rsidR="00597B5E" w:rsidRPr="00847A5B" w14:paraId="7C84BB52" w14:textId="77777777" w:rsidTr="006F6DD1">
        <w:trPr>
          <w:cantSplit/>
        </w:trPr>
        <w:tc>
          <w:tcPr>
            <w:tcW w:w="1266" w:type="dxa"/>
            <w:vMerge/>
          </w:tcPr>
          <w:p w14:paraId="14ADEA05" w14:textId="77777777" w:rsidR="00597B5E" w:rsidRPr="00847A5B" w:rsidRDefault="00597B5E" w:rsidP="00B44E34">
            <w:pPr>
              <w:pStyle w:val="TableText"/>
            </w:pPr>
          </w:p>
        </w:tc>
        <w:tc>
          <w:tcPr>
            <w:tcW w:w="1276" w:type="dxa"/>
            <w:vMerge w:val="restart"/>
          </w:tcPr>
          <w:p w14:paraId="6EF77763" w14:textId="77777777" w:rsidR="00597B5E" w:rsidRPr="00847A5B" w:rsidRDefault="00597B5E" w:rsidP="00B44E34">
            <w:pPr>
              <w:pStyle w:val="TableText"/>
            </w:pPr>
            <w:r w:rsidRPr="00847A5B">
              <w:t>Capitated funding</w:t>
            </w:r>
          </w:p>
        </w:tc>
        <w:tc>
          <w:tcPr>
            <w:tcW w:w="2232" w:type="dxa"/>
            <w:vMerge w:val="restart"/>
          </w:tcPr>
          <w:p w14:paraId="26AC0C4C" w14:textId="77777777" w:rsidR="00597B5E" w:rsidRPr="00847A5B" w:rsidRDefault="00597B5E" w:rsidP="00B44E34">
            <w:pPr>
              <w:pStyle w:val="TableText"/>
            </w:pPr>
            <w:r w:rsidRPr="00847A5B">
              <w:t>Funding is allocated based on the number of patients registered/</w:t>
            </w:r>
            <w:r>
              <w:t xml:space="preserve"> </w:t>
            </w:r>
            <w:r w:rsidRPr="00847A5B">
              <w:t>enrolled at a service</w:t>
            </w:r>
            <w:r>
              <w:t>.</w:t>
            </w:r>
          </w:p>
          <w:p w14:paraId="316098B3" w14:textId="77777777" w:rsidR="00597B5E" w:rsidRPr="00847A5B" w:rsidRDefault="00597B5E" w:rsidP="00B44E34">
            <w:pPr>
              <w:pStyle w:val="TableText"/>
            </w:pPr>
            <w:r w:rsidRPr="00847A5B">
              <w:t>(</w:t>
            </w:r>
            <w:r w:rsidRPr="00962017">
              <w:t>Oliver</w:t>
            </w:r>
            <w:r w:rsidRPr="00847A5B">
              <w:t xml:space="preserve">-Baxter &amp; Brown, 2013, </w:t>
            </w:r>
            <w:r>
              <w:t>p. </w:t>
            </w:r>
            <w:r w:rsidRPr="00847A5B">
              <w:t xml:space="preserve">2; </w:t>
            </w:r>
            <w:r w:rsidRPr="00962017">
              <w:t>NSW</w:t>
            </w:r>
            <w:r w:rsidRPr="00847A5B">
              <w:t xml:space="preserve"> Government, 2016, </w:t>
            </w:r>
            <w:r>
              <w:t>p. </w:t>
            </w:r>
            <w:r w:rsidRPr="00847A5B">
              <w:t xml:space="preserve">31; </w:t>
            </w:r>
            <w:r w:rsidRPr="00962017">
              <w:t>Department</w:t>
            </w:r>
            <w:r w:rsidRPr="00847A5B">
              <w:t xml:space="preserve"> of Health, 2020, </w:t>
            </w:r>
            <w:r>
              <w:t>p. </w:t>
            </w:r>
            <w:r w:rsidRPr="00847A5B">
              <w:t>1)</w:t>
            </w:r>
          </w:p>
        </w:tc>
        <w:tc>
          <w:tcPr>
            <w:tcW w:w="2233" w:type="dxa"/>
            <w:vMerge w:val="restart"/>
          </w:tcPr>
          <w:p w14:paraId="61CEE3BE" w14:textId="77777777" w:rsidR="00597B5E" w:rsidRPr="00847A5B" w:rsidRDefault="00597B5E" w:rsidP="00B44E34">
            <w:pPr>
              <w:pStyle w:val="TableText"/>
            </w:pPr>
            <w:r w:rsidRPr="00847A5B">
              <w:t xml:space="preserve">Funding bodies control the level of expenditure </w:t>
            </w:r>
          </w:p>
          <w:p w14:paraId="5903CC42" w14:textId="77777777" w:rsidR="00597B5E" w:rsidRPr="00847A5B" w:rsidRDefault="00597B5E" w:rsidP="00B44E34">
            <w:pPr>
              <w:pStyle w:val="TableText"/>
            </w:pPr>
          </w:p>
          <w:p w14:paraId="01BFF0D3" w14:textId="77777777" w:rsidR="00597B5E" w:rsidRPr="00847A5B" w:rsidRDefault="00597B5E" w:rsidP="00B44E34">
            <w:pPr>
              <w:pStyle w:val="TableText"/>
            </w:pPr>
            <w:r w:rsidRPr="00847A5B">
              <w:t>(</w:t>
            </w:r>
            <w:r w:rsidRPr="00962017">
              <w:t>Oliver</w:t>
            </w:r>
            <w:r w:rsidRPr="00847A5B">
              <w:t xml:space="preserve">-Baxter &amp; Brown, 2013, </w:t>
            </w:r>
            <w:r>
              <w:t>p. </w:t>
            </w:r>
            <w:r w:rsidRPr="00847A5B">
              <w:t>2)</w:t>
            </w:r>
          </w:p>
        </w:tc>
        <w:tc>
          <w:tcPr>
            <w:tcW w:w="2232" w:type="dxa"/>
            <w:vMerge w:val="restart"/>
          </w:tcPr>
          <w:p w14:paraId="3B8670E5" w14:textId="77777777" w:rsidR="00597B5E" w:rsidRPr="00847A5B" w:rsidRDefault="00597B5E" w:rsidP="00B44E34">
            <w:pPr>
              <w:pStyle w:val="TableText"/>
            </w:pPr>
            <w:r w:rsidRPr="00847A5B">
              <w:t xml:space="preserve">Risk of consumers being under-serviced if a needs adjustment is not made </w:t>
            </w:r>
          </w:p>
          <w:p w14:paraId="2FA5DB69" w14:textId="77777777" w:rsidR="00597B5E" w:rsidRPr="00847A5B" w:rsidRDefault="00597B5E" w:rsidP="00B44E34">
            <w:pPr>
              <w:pStyle w:val="TableText"/>
            </w:pPr>
          </w:p>
          <w:p w14:paraId="08DF09F0" w14:textId="77777777" w:rsidR="00597B5E" w:rsidRPr="00847A5B" w:rsidRDefault="00597B5E" w:rsidP="00B44E34">
            <w:pPr>
              <w:pStyle w:val="TableText"/>
            </w:pPr>
            <w:r w:rsidRPr="00847A5B">
              <w:t>(</w:t>
            </w:r>
            <w:r w:rsidRPr="00962017">
              <w:t>Oliver</w:t>
            </w:r>
            <w:r w:rsidRPr="00847A5B">
              <w:t xml:space="preserve">-Baxter &amp; Brown 2013, </w:t>
            </w:r>
            <w:r>
              <w:t>p. </w:t>
            </w:r>
            <w:r w:rsidRPr="00847A5B">
              <w:t xml:space="preserve">2; </w:t>
            </w:r>
            <w:r w:rsidRPr="00962017">
              <w:t>Department</w:t>
            </w:r>
            <w:r w:rsidRPr="00847A5B">
              <w:t xml:space="preserve"> of Health 2020, </w:t>
            </w:r>
            <w:r>
              <w:t>p. </w:t>
            </w:r>
            <w:r w:rsidRPr="00847A5B">
              <w:t>1)</w:t>
            </w:r>
          </w:p>
        </w:tc>
        <w:tc>
          <w:tcPr>
            <w:tcW w:w="2233" w:type="dxa"/>
            <w:vMerge w:val="restart"/>
          </w:tcPr>
          <w:p w14:paraId="6F8CF7E7" w14:textId="77777777" w:rsidR="00597B5E" w:rsidRPr="00847A5B" w:rsidRDefault="00597B5E" w:rsidP="00B44E34">
            <w:pPr>
              <w:pStyle w:val="TableText"/>
            </w:pPr>
            <w:r w:rsidRPr="00847A5B">
              <w:t xml:space="preserve">Indigenous Australians’ Health Programme </w:t>
            </w:r>
          </w:p>
        </w:tc>
        <w:tc>
          <w:tcPr>
            <w:tcW w:w="3119" w:type="dxa"/>
          </w:tcPr>
          <w:p w14:paraId="0E0F5035" w14:textId="77777777" w:rsidR="00597B5E" w:rsidRPr="00847A5B" w:rsidRDefault="00597B5E" w:rsidP="00B44E34">
            <w:pPr>
              <w:pStyle w:val="TableText"/>
            </w:pPr>
            <w:r w:rsidRPr="00847A5B">
              <w:t>Indigenous Australians’ Health Programme (Australia)</w:t>
            </w:r>
          </w:p>
        </w:tc>
      </w:tr>
      <w:tr w:rsidR="00597B5E" w:rsidRPr="00847A5B" w14:paraId="0FF0343E" w14:textId="77777777" w:rsidTr="006F6DD1">
        <w:trPr>
          <w:cantSplit/>
        </w:trPr>
        <w:tc>
          <w:tcPr>
            <w:tcW w:w="1266" w:type="dxa"/>
            <w:vMerge/>
          </w:tcPr>
          <w:p w14:paraId="0B13303A" w14:textId="77777777" w:rsidR="00597B5E" w:rsidRPr="00847A5B" w:rsidRDefault="00597B5E" w:rsidP="00B44E34">
            <w:pPr>
              <w:pStyle w:val="TableText"/>
            </w:pPr>
          </w:p>
        </w:tc>
        <w:tc>
          <w:tcPr>
            <w:tcW w:w="1276" w:type="dxa"/>
            <w:vMerge/>
          </w:tcPr>
          <w:p w14:paraId="7A2DE913" w14:textId="77777777" w:rsidR="00597B5E" w:rsidRPr="00847A5B" w:rsidRDefault="00597B5E" w:rsidP="00B44E34">
            <w:pPr>
              <w:pStyle w:val="TableText"/>
            </w:pPr>
          </w:p>
        </w:tc>
        <w:tc>
          <w:tcPr>
            <w:tcW w:w="2232" w:type="dxa"/>
            <w:vMerge/>
          </w:tcPr>
          <w:p w14:paraId="4E536D18" w14:textId="77777777" w:rsidR="00597B5E" w:rsidRPr="00847A5B" w:rsidRDefault="00597B5E" w:rsidP="00B44E34">
            <w:pPr>
              <w:pStyle w:val="TableText"/>
            </w:pPr>
          </w:p>
        </w:tc>
        <w:tc>
          <w:tcPr>
            <w:tcW w:w="2233" w:type="dxa"/>
            <w:vMerge/>
          </w:tcPr>
          <w:p w14:paraId="718D20D6" w14:textId="77777777" w:rsidR="00597B5E" w:rsidRPr="00847A5B" w:rsidRDefault="00597B5E" w:rsidP="00B44E34">
            <w:pPr>
              <w:pStyle w:val="TableText"/>
            </w:pPr>
          </w:p>
        </w:tc>
        <w:tc>
          <w:tcPr>
            <w:tcW w:w="2232" w:type="dxa"/>
            <w:vMerge/>
          </w:tcPr>
          <w:p w14:paraId="4E3199E4" w14:textId="77777777" w:rsidR="00597B5E" w:rsidRPr="00847A5B" w:rsidRDefault="00597B5E" w:rsidP="00B44E34">
            <w:pPr>
              <w:pStyle w:val="TableText"/>
            </w:pPr>
          </w:p>
        </w:tc>
        <w:tc>
          <w:tcPr>
            <w:tcW w:w="2233" w:type="dxa"/>
            <w:vMerge/>
          </w:tcPr>
          <w:p w14:paraId="5FE9AC19" w14:textId="77777777" w:rsidR="00597B5E" w:rsidRPr="00847A5B" w:rsidRDefault="00597B5E" w:rsidP="00B44E34">
            <w:pPr>
              <w:pStyle w:val="TableText"/>
            </w:pPr>
          </w:p>
        </w:tc>
        <w:tc>
          <w:tcPr>
            <w:tcW w:w="3119" w:type="dxa"/>
          </w:tcPr>
          <w:p w14:paraId="227C26FB" w14:textId="77777777" w:rsidR="00597B5E" w:rsidRPr="00847A5B" w:rsidRDefault="00597B5E" w:rsidP="00B44E34">
            <w:pPr>
              <w:pStyle w:val="TableText"/>
            </w:pPr>
            <w:r w:rsidRPr="00962017">
              <w:t>New</w:t>
            </w:r>
            <w:r w:rsidRPr="00847A5B">
              <w:t xml:space="preserve"> Zealand Public Health System (2001</w:t>
            </w:r>
            <w:r>
              <w:t>–</w:t>
            </w:r>
            <w:r w:rsidRPr="00847A5B">
              <w:t>2022)</w:t>
            </w:r>
          </w:p>
        </w:tc>
      </w:tr>
      <w:tr w:rsidR="00597B5E" w:rsidRPr="00847A5B" w14:paraId="70566AEB" w14:textId="77777777" w:rsidTr="006F6DD1">
        <w:trPr>
          <w:cantSplit/>
        </w:trPr>
        <w:tc>
          <w:tcPr>
            <w:tcW w:w="1266" w:type="dxa"/>
            <w:vMerge/>
          </w:tcPr>
          <w:p w14:paraId="0D10E5D3" w14:textId="77777777" w:rsidR="00597B5E" w:rsidRPr="00847A5B" w:rsidRDefault="00597B5E" w:rsidP="00B44E34">
            <w:pPr>
              <w:pStyle w:val="TableText"/>
            </w:pPr>
          </w:p>
        </w:tc>
        <w:tc>
          <w:tcPr>
            <w:tcW w:w="1276" w:type="dxa"/>
            <w:vMerge/>
          </w:tcPr>
          <w:p w14:paraId="5C4D8513" w14:textId="77777777" w:rsidR="00597B5E" w:rsidRPr="00847A5B" w:rsidRDefault="00597B5E" w:rsidP="00B44E34">
            <w:pPr>
              <w:pStyle w:val="TableText"/>
            </w:pPr>
          </w:p>
        </w:tc>
        <w:tc>
          <w:tcPr>
            <w:tcW w:w="2232" w:type="dxa"/>
            <w:vMerge/>
          </w:tcPr>
          <w:p w14:paraId="24F7174D" w14:textId="77777777" w:rsidR="00597B5E" w:rsidRPr="00847A5B" w:rsidRDefault="00597B5E" w:rsidP="00B44E34">
            <w:pPr>
              <w:pStyle w:val="TableText"/>
            </w:pPr>
          </w:p>
        </w:tc>
        <w:tc>
          <w:tcPr>
            <w:tcW w:w="2233" w:type="dxa"/>
            <w:vMerge w:val="restart"/>
          </w:tcPr>
          <w:p w14:paraId="36459FF1" w14:textId="77777777" w:rsidR="00597B5E" w:rsidRPr="00847A5B" w:rsidRDefault="00597B5E" w:rsidP="00B44E34">
            <w:pPr>
              <w:pStyle w:val="TableText"/>
            </w:pPr>
            <w:r w:rsidRPr="00847A5B">
              <w:t>Recognises that some services deliver activities that are not considered clinical activities or cannot be claimed under Medicare</w:t>
            </w:r>
            <w:r>
              <w:t>.</w:t>
            </w:r>
          </w:p>
          <w:p w14:paraId="2815B885" w14:textId="77777777" w:rsidR="00597B5E" w:rsidRPr="00847A5B" w:rsidRDefault="00597B5E" w:rsidP="00B44E34">
            <w:pPr>
              <w:pStyle w:val="TableText"/>
            </w:pPr>
            <w:r w:rsidRPr="00847A5B">
              <w:t>(</w:t>
            </w:r>
            <w:r w:rsidRPr="00962017">
              <w:t>Department</w:t>
            </w:r>
            <w:r w:rsidRPr="00847A5B">
              <w:t xml:space="preserve"> of Health, 2020, </w:t>
            </w:r>
            <w:r>
              <w:t>p. </w:t>
            </w:r>
            <w:r w:rsidRPr="00847A5B">
              <w:t>1)</w:t>
            </w:r>
          </w:p>
        </w:tc>
        <w:tc>
          <w:tcPr>
            <w:tcW w:w="2232" w:type="dxa"/>
            <w:vMerge w:val="restart"/>
          </w:tcPr>
          <w:p w14:paraId="6454833B" w14:textId="77777777" w:rsidR="00597B5E" w:rsidRPr="00847A5B" w:rsidRDefault="00597B5E" w:rsidP="00B44E34">
            <w:pPr>
              <w:pStyle w:val="TableText"/>
            </w:pPr>
            <w:r w:rsidRPr="00847A5B">
              <w:t>Does not incentivise performance and efficiency improvement or optimise resource allocation</w:t>
            </w:r>
            <w:r>
              <w:t>.</w:t>
            </w:r>
          </w:p>
          <w:p w14:paraId="193B6220" w14:textId="77777777" w:rsidR="00597B5E" w:rsidRPr="00847A5B" w:rsidRDefault="00597B5E" w:rsidP="00B44E34">
            <w:pPr>
              <w:pStyle w:val="TableText"/>
            </w:pPr>
            <w:r w:rsidRPr="00847A5B">
              <w:t>(</w:t>
            </w:r>
            <w:r w:rsidRPr="00962017">
              <w:t>Oliver</w:t>
            </w:r>
            <w:r w:rsidRPr="00847A5B">
              <w:t xml:space="preserve">-Baxter &amp; Brown, 2013, </w:t>
            </w:r>
            <w:r>
              <w:t>p. </w:t>
            </w:r>
            <w:r w:rsidRPr="00847A5B">
              <w:t>2)</w:t>
            </w:r>
          </w:p>
        </w:tc>
        <w:tc>
          <w:tcPr>
            <w:tcW w:w="2233" w:type="dxa"/>
            <w:vMerge/>
          </w:tcPr>
          <w:p w14:paraId="16302A7D" w14:textId="77777777" w:rsidR="00597B5E" w:rsidRPr="00847A5B" w:rsidRDefault="00597B5E" w:rsidP="00B44E34">
            <w:pPr>
              <w:pStyle w:val="TableText"/>
            </w:pPr>
          </w:p>
        </w:tc>
        <w:tc>
          <w:tcPr>
            <w:tcW w:w="3119" w:type="dxa"/>
          </w:tcPr>
          <w:p w14:paraId="50DAAE1D" w14:textId="77777777" w:rsidR="00597B5E" w:rsidRPr="00847A5B" w:rsidRDefault="00597B5E" w:rsidP="00B44E34">
            <w:pPr>
              <w:pStyle w:val="TableText"/>
            </w:pPr>
            <w:r w:rsidRPr="00847A5B">
              <w:t>Tribal Council Funding (Canada)</w:t>
            </w:r>
          </w:p>
        </w:tc>
      </w:tr>
      <w:tr w:rsidR="00597B5E" w:rsidRPr="00847A5B" w14:paraId="0A3F3747" w14:textId="77777777" w:rsidTr="006F6DD1">
        <w:trPr>
          <w:cantSplit/>
        </w:trPr>
        <w:tc>
          <w:tcPr>
            <w:tcW w:w="1266" w:type="dxa"/>
            <w:vMerge/>
          </w:tcPr>
          <w:p w14:paraId="3E50B826" w14:textId="77777777" w:rsidR="00597B5E" w:rsidRPr="00847A5B" w:rsidRDefault="00597B5E" w:rsidP="00B44E34">
            <w:pPr>
              <w:pStyle w:val="TableText"/>
            </w:pPr>
          </w:p>
        </w:tc>
        <w:tc>
          <w:tcPr>
            <w:tcW w:w="1276" w:type="dxa"/>
            <w:vMerge/>
          </w:tcPr>
          <w:p w14:paraId="39B57088" w14:textId="77777777" w:rsidR="00597B5E" w:rsidRPr="00847A5B" w:rsidRDefault="00597B5E" w:rsidP="00B44E34">
            <w:pPr>
              <w:pStyle w:val="TableText"/>
            </w:pPr>
          </w:p>
        </w:tc>
        <w:tc>
          <w:tcPr>
            <w:tcW w:w="2232" w:type="dxa"/>
            <w:vMerge/>
          </w:tcPr>
          <w:p w14:paraId="00AAEC60" w14:textId="77777777" w:rsidR="00597B5E" w:rsidRPr="00847A5B" w:rsidRDefault="00597B5E" w:rsidP="00B44E34">
            <w:pPr>
              <w:pStyle w:val="TableText"/>
            </w:pPr>
          </w:p>
        </w:tc>
        <w:tc>
          <w:tcPr>
            <w:tcW w:w="2233" w:type="dxa"/>
            <w:vMerge/>
          </w:tcPr>
          <w:p w14:paraId="383ABF9F" w14:textId="77777777" w:rsidR="00597B5E" w:rsidRPr="00847A5B" w:rsidRDefault="00597B5E" w:rsidP="00B44E34">
            <w:pPr>
              <w:pStyle w:val="TableText"/>
            </w:pPr>
          </w:p>
        </w:tc>
        <w:tc>
          <w:tcPr>
            <w:tcW w:w="2232" w:type="dxa"/>
            <w:vMerge/>
          </w:tcPr>
          <w:p w14:paraId="40D5F8B3" w14:textId="77777777" w:rsidR="00597B5E" w:rsidRPr="00847A5B" w:rsidRDefault="00597B5E" w:rsidP="00B44E34">
            <w:pPr>
              <w:pStyle w:val="TableText"/>
            </w:pPr>
          </w:p>
        </w:tc>
        <w:tc>
          <w:tcPr>
            <w:tcW w:w="2233" w:type="dxa"/>
            <w:vMerge/>
          </w:tcPr>
          <w:p w14:paraId="6BB2CA55" w14:textId="77777777" w:rsidR="00597B5E" w:rsidRPr="00847A5B" w:rsidRDefault="00597B5E" w:rsidP="00B44E34">
            <w:pPr>
              <w:pStyle w:val="TableText"/>
            </w:pPr>
          </w:p>
        </w:tc>
        <w:tc>
          <w:tcPr>
            <w:tcW w:w="3119" w:type="dxa"/>
          </w:tcPr>
          <w:p w14:paraId="450920E1" w14:textId="77777777" w:rsidR="00597B5E" w:rsidRPr="00847A5B" w:rsidRDefault="00597B5E" w:rsidP="00B44E34">
            <w:pPr>
              <w:pStyle w:val="TableText"/>
            </w:pPr>
            <w:r w:rsidRPr="00847A5B">
              <w:t>Indigenous Community Support Fund (Canada)</w:t>
            </w:r>
          </w:p>
        </w:tc>
      </w:tr>
      <w:tr w:rsidR="00597B5E" w:rsidRPr="00847A5B" w14:paraId="44C312E8" w14:textId="77777777" w:rsidTr="006F6DD1">
        <w:trPr>
          <w:cantSplit/>
        </w:trPr>
        <w:tc>
          <w:tcPr>
            <w:tcW w:w="1266" w:type="dxa"/>
            <w:vMerge w:val="restart"/>
          </w:tcPr>
          <w:p w14:paraId="3638429C" w14:textId="77777777" w:rsidR="00597B5E" w:rsidRPr="00847A5B" w:rsidRDefault="00597B5E" w:rsidP="00B44E34">
            <w:pPr>
              <w:pStyle w:val="TableText"/>
            </w:pPr>
            <w:r w:rsidRPr="00847A5B">
              <w:t>Patient-focused/</w:t>
            </w:r>
            <w:r>
              <w:t xml:space="preserve"> </w:t>
            </w:r>
            <w:r w:rsidRPr="00847A5B">
              <w:t>performance-incentive funding</w:t>
            </w:r>
          </w:p>
        </w:tc>
        <w:tc>
          <w:tcPr>
            <w:tcW w:w="1276" w:type="dxa"/>
            <w:vMerge w:val="restart"/>
          </w:tcPr>
          <w:p w14:paraId="27602DC5" w14:textId="77777777" w:rsidR="00597B5E" w:rsidRPr="00847A5B" w:rsidRDefault="00597B5E" w:rsidP="00B44E34">
            <w:pPr>
              <w:pStyle w:val="TableText"/>
            </w:pPr>
            <w:r w:rsidRPr="00847A5B">
              <w:t>Pay-for-performance</w:t>
            </w:r>
          </w:p>
        </w:tc>
        <w:tc>
          <w:tcPr>
            <w:tcW w:w="2232" w:type="dxa"/>
            <w:vMerge w:val="restart"/>
          </w:tcPr>
          <w:p w14:paraId="2FC8A2E7" w14:textId="77777777" w:rsidR="00597B5E" w:rsidRPr="00847A5B" w:rsidRDefault="00597B5E" w:rsidP="00B44E34">
            <w:pPr>
              <w:pStyle w:val="TableText"/>
            </w:pPr>
            <w:r w:rsidRPr="00847A5B">
              <w:t xml:space="preserve">Individuals or providers are paid based on the </w:t>
            </w:r>
            <w:r>
              <w:t>‘</w:t>
            </w:r>
            <w:r w:rsidRPr="00847A5B">
              <w:t>number of services provided of a specific standard/type</w:t>
            </w:r>
            <w:r>
              <w:t>’.</w:t>
            </w:r>
          </w:p>
          <w:p w14:paraId="3F1E4492" w14:textId="77777777" w:rsidR="00597B5E" w:rsidRPr="00847A5B" w:rsidRDefault="00597B5E" w:rsidP="00B44E34">
            <w:pPr>
              <w:pStyle w:val="TableText"/>
            </w:pPr>
            <w:r w:rsidRPr="00847A5B">
              <w:t>(</w:t>
            </w:r>
            <w:r w:rsidRPr="00962017">
              <w:t>Oliver</w:t>
            </w:r>
            <w:r w:rsidRPr="00847A5B">
              <w:t xml:space="preserve">-Baxter &amp; Brown, 2013, </w:t>
            </w:r>
            <w:r>
              <w:t>p. </w:t>
            </w:r>
            <w:r w:rsidRPr="00847A5B">
              <w:t>2)</w:t>
            </w:r>
          </w:p>
        </w:tc>
        <w:tc>
          <w:tcPr>
            <w:tcW w:w="2233" w:type="dxa"/>
          </w:tcPr>
          <w:p w14:paraId="073967EA" w14:textId="77777777" w:rsidR="00597B5E" w:rsidRPr="00847A5B" w:rsidRDefault="00597B5E" w:rsidP="00B44E34">
            <w:pPr>
              <w:pStyle w:val="TableText"/>
            </w:pPr>
            <w:r w:rsidRPr="00847A5B">
              <w:t>Improve healthcare provision by incentivising tasks that are not usually remunerated through existing payment mechanisms</w:t>
            </w:r>
            <w:r>
              <w:t>.</w:t>
            </w:r>
            <w:r w:rsidRPr="00847A5B">
              <w:t xml:space="preserve"> </w:t>
            </w:r>
          </w:p>
          <w:p w14:paraId="40542B70" w14:textId="77777777" w:rsidR="00597B5E" w:rsidRPr="00847A5B" w:rsidRDefault="00597B5E" w:rsidP="00B44E34">
            <w:pPr>
              <w:pStyle w:val="TableText"/>
            </w:pPr>
            <w:r w:rsidRPr="00847A5B">
              <w:t>(</w:t>
            </w:r>
            <w:r w:rsidRPr="00962017">
              <w:t>Oliver</w:t>
            </w:r>
            <w:r w:rsidRPr="00847A5B">
              <w:t xml:space="preserve">-Baxter &amp; Brown, 2013, </w:t>
            </w:r>
            <w:r>
              <w:t>p. </w:t>
            </w:r>
            <w:r w:rsidRPr="00847A5B">
              <w:t>2)</w:t>
            </w:r>
          </w:p>
        </w:tc>
        <w:tc>
          <w:tcPr>
            <w:tcW w:w="2232" w:type="dxa"/>
          </w:tcPr>
          <w:p w14:paraId="781340B3" w14:textId="77777777" w:rsidR="00597B5E" w:rsidRPr="00847A5B" w:rsidRDefault="00597B5E" w:rsidP="00B44E34">
            <w:pPr>
              <w:pStyle w:val="TableText"/>
            </w:pPr>
            <w:r w:rsidRPr="00847A5B">
              <w:t>Provides a financial incentive for activity without guaranteeing the quality of care for consumers will improve</w:t>
            </w:r>
            <w:r>
              <w:t>.</w:t>
            </w:r>
            <w:r w:rsidRPr="00847A5B">
              <w:t xml:space="preserve"> </w:t>
            </w:r>
          </w:p>
          <w:p w14:paraId="15A60B24" w14:textId="77777777" w:rsidR="00597B5E" w:rsidRPr="00847A5B" w:rsidRDefault="00597B5E" w:rsidP="00B44E34">
            <w:pPr>
              <w:pStyle w:val="TableText"/>
            </w:pPr>
            <w:r w:rsidRPr="00847A5B">
              <w:t>(</w:t>
            </w:r>
            <w:r w:rsidRPr="00962017">
              <w:t>Reddy</w:t>
            </w:r>
            <w:r w:rsidRPr="00847A5B">
              <w:t xml:space="preserve">, 2017, </w:t>
            </w:r>
            <w:r>
              <w:t>p. </w:t>
            </w:r>
            <w:r w:rsidRPr="00847A5B">
              <w:t>210)</w:t>
            </w:r>
          </w:p>
        </w:tc>
        <w:tc>
          <w:tcPr>
            <w:tcW w:w="2233" w:type="dxa"/>
            <w:vMerge w:val="restart"/>
          </w:tcPr>
          <w:p w14:paraId="1E061E26" w14:textId="77777777" w:rsidR="00597B5E" w:rsidRPr="00847A5B" w:rsidRDefault="00597B5E" w:rsidP="00B44E34">
            <w:pPr>
              <w:pStyle w:val="TableText"/>
            </w:pPr>
            <w:r w:rsidRPr="00847A5B">
              <w:t>Chronic Disease Management Items (CDIs)</w:t>
            </w:r>
          </w:p>
          <w:p w14:paraId="6BBF68E0" w14:textId="77777777" w:rsidR="00597B5E" w:rsidRPr="00847A5B" w:rsidRDefault="00597B5E" w:rsidP="00B44E34">
            <w:pPr>
              <w:pStyle w:val="TableText"/>
            </w:pPr>
            <w:r w:rsidRPr="00847A5B">
              <w:t>Service Incentive Payments (SIPs)</w:t>
            </w:r>
          </w:p>
          <w:p w14:paraId="292747BF" w14:textId="77777777" w:rsidR="00597B5E" w:rsidRPr="00847A5B" w:rsidRDefault="00597B5E" w:rsidP="00B44E34">
            <w:pPr>
              <w:pStyle w:val="TableText"/>
            </w:pPr>
            <w:r w:rsidRPr="00847A5B">
              <w:t>Practice Incentive Payments (PIPs)</w:t>
            </w:r>
          </w:p>
          <w:p w14:paraId="62F8334A" w14:textId="77777777" w:rsidR="00597B5E" w:rsidRPr="00847A5B" w:rsidRDefault="00597B5E" w:rsidP="00B44E34">
            <w:pPr>
              <w:pStyle w:val="TableText"/>
            </w:pPr>
            <w:r w:rsidRPr="00847A5B">
              <w:t>(</w:t>
            </w:r>
            <w:r w:rsidRPr="00962017">
              <w:t>Reddy</w:t>
            </w:r>
            <w:r w:rsidRPr="00847A5B">
              <w:t xml:space="preserve"> 2017, </w:t>
            </w:r>
            <w:r>
              <w:t>p. </w:t>
            </w:r>
            <w:r w:rsidRPr="00847A5B">
              <w:t xml:space="preserve">210; </w:t>
            </w:r>
            <w:r w:rsidRPr="00962017">
              <w:t>Oliver</w:t>
            </w:r>
            <w:r w:rsidRPr="00847A5B">
              <w:t xml:space="preserve">-Baxter &amp; Brown, 2013, </w:t>
            </w:r>
            <w:r>
              <w:t>p. </w:t>
            </w:r>
            <w:r w:rsidRPr="00847A5B">
              <w:t>2)</w:t>
            </w:r>
          </w:p>
          <w:p w14:paraId="66D493F8" w14:textId="77777777" w:rsidR="00597B5E" w:rsidRPr="00847A5B" w:rsidRDefault="00597B5E" w:rsidP="00B44E34">
            <w:pPr>
              <w:pStyle w:val="TableText"/>
            </w:pPr>
          </w:p>
        </w:tc>
        <w:tc>
          <w:tcPr>
            <w:tcW w:w="3119" w:type="dxa"/>
            <w:vMerge w:val="restart"/>
          </w:tcPr>
          <w:p w14:paraId="043D7521" w14:textId="77777777" w:rsidR="00597B5E" w:rsidRPr="00847A5B" w:rsidRDefault="00597B5E" w:rsidP="00B44E34">
            <w:pPr>
              <w:pStyle w:val="TableText"/>
            </w:pPr>
            <w:r>
              <w:t>NA</w:t>
            </w:r>
          </w:p>
        </w:tc>
      </w:tr>
      <w:tr w:rsidR="00597B5E" w:rsidRPr="00847A5B" w14:paraId="3996E811" w14:textId="77777777" w:rsidTr="006F6DD1">
        <w:trPr>
          <w:cantSplit/>
        </w:trPr>
        <w:tc>
          <w:tcPr>
            <w:tcW w:w="1266" w:type="dxa"/>
            <w:vMerge/>
          </w:tcPr>
          <w:p w14:paraId="0AB936A9" w14:textId="77777777" w:rsidR="00597B5E" w:rsidRPr="00847A5B" w:rsidRDefault="00597B5E" w:rsidP="00B44E34">
            <w:pPr>
              <w:pStyle w:val="TableText"/>
            </w:pPr>
          </w:p>
        </w:tc>
        <w:tc>
          <w:tcPr>
            <w:tcW w:w="1276" w:type="dxa"/>
            <w:vMerge/>
          </w:tcPr>
          <w:p w14:paraId="7E72A5D7" w14:textId="77777777" w:rsidR="00597B5E" w:rsidRPr="00847A5B" w:rsidRDefault="00597B5E" w:rsidP="00B44E34">
            <w:pPr>
              <w:pStyle w:val="TableText"/>
            </w:pPr>
          </w:p>
        </w:tc>
        <w:tc>
          <w:tcPr>
            <w:tcW w:w="2232" w:type="dxa"/>
            <w:vMerge/>
          </w:tcPr>
          <w:p w14:paraId="0F512F01" w14:textId="77777777" w:rsidR="00597B5E" w:rsidRPr="00847A5B" w:rsidRDefault="00597B5E" w:rsidP="00B44E34">
            <w:pPr>
              <w:pStyle w:val="TableText"/>
            </w:pPr>
          </w:p>
        </w:tc>
        <w:tc>
          <w:tcPr>
            <w:tcW w:w="2233" w:type="dxa"/>
          </w:tcPr>
          <w:p w14:paraId="3885039E" w14:textId="77777777" w:rsidR="00597B5E" w:rsidRPr="00847A5B" w:rsidRDefault="00597B5E" w:rsidP="00B44E34">
            <w:pPr>
              <w:pStyle w:val="TableText"/>
            </w:pPr>
            <w:r>
              <w:t>‘</w:t>
            </w:r>
            <w:r w:rsidRPr="00847A5B">
              <w:t>Tight specification of results [may enable] greater flexibility to tailor solutions</w:t>
            </w:r>
            <w:r>
              <w:t>.’</w:t>
            </w:r>
            <w:r w:rsidRPr="00847A5B">
              <w:t xml:space="preserve"> </w:t>
            </w:r>
          </w:p>
          <w:p w14:paraId="61E89E76" w14:textId="77777777" w:rsidR="00597B5E" w:rsidRPr="00847A5B" w:rsidRDefault="00597B5E" w:rsidP="00B44E34">
            <w:pPr>
              <w:pStyle w:val="TableText"/>
            </w:pPr>
            <w:r w:rsidRPr="00847A5B">
              <w:t>(</w:t>
            </w:r>
            <w:r w:rsidRPr="00962017">
              <w:t>NSW</w:t>
            </w:r>
            <w:r w:rsidRPr="00847A5B">
              <w:t xml:space="preserve"> Government, 2016, </w:t>
            </w:r>
            <w:r>
              <w:t>p. </w:t>
            </w:r>
            <w:r w:rsidRPr="00847A5B">
              <w:t>32)</w:t>
            </w:r>
          </w:p>
        </w:tc>
        <w:tc>
          <w:tcPr>
            <w:tcW w:w="2232" w:type="dxa"/>
          </w:tcPr>
          <w:p w14:paraId="3413FB72" w14:textId="77777777" w:rsidR="00597B5E" w:rsidRPr="00847A5B" w:rsidRDefault="00597B5E" w:rsidP="00B44E34">
            <w:pPr>
              <w:pStyle w:val="TableText"/>
            </w:pPr>
            <w:r w:rsidRPr="00847A5B">
              <w:t xml:space="preserve">Encourages service providers to meet targeted outcomes </w:t>
            </w:r>
            <w:r>
              <w:t>‘</w:t>
            </w:r>
            <w:r w:rsidRPr="00847A5B">
              <w:t>but does not encourage improvement beyond targeted threshold</w:t>
            </w:r>
            <w:r>
              <w:t>’.</w:t>
            </w:r>
          </w:p>
          <w:p w14:paraId="7DA21170" w14:textId="77777777" w:rsidR="00597B5E" w:rsidRPr="00847A5B" w:rsidRDefault="00597B5E" w:rsidP="00B44E34">
            <w:pPr>
              <w:pStyle w:val="TableText"/>
            </w:pPr>
            <w:r w:rsidRPr="00847A5B">
              <w:t>(</w:t>
            </w:r>
            <w:r w:rsidRPr="00962017">
              <w:t>Reddy</w:t>
            </w:r>
            <w:r w:rsidRPr="00847A5B">
              <w:t xml:space="preserve">, 2017, </w:t>
            </w:r>
            <w:r>
              <w:t>p. </w:t>
            </w:r>
            <w:r w:rsidRPr="00847A5B">
              <w:t>210)</w:t>
            </w:r>
          </w:p>
        </w:tc>
        <w:tc>
          <w:tcPr>
            <w:tcW w:w="2233" w:type="dxa"/>
            <w:vMerge/>
          </w:tcPr>
          <w:p w14:paraId="4D83EB66" w14:textId="77777777" w:rsidR="00597B5E" w:rsidRPr="00847A5B" w:rsidRDefault="00597B5E" w:rsidP="00B44E34">
            <w:pPr>
              <w:pStyle w:val="TableText"/>
            </w:pPr>
          </w:p>
        </w:tc>
        <w:tc>
          <w:tcPr>
            <w:tcW w:w="3119" w:type="dxa"/>
            <w:vMerge/>
          </w:tcPr>
          <w:p w14:paraId="58EA8FAE" w14:textId="77777777" w:rsidR="00597B5E" w:rsidRPr="00847A5B" w:rsidRDefault="00597B5E" w:rsidP="00B44E34">
            <w:pPr>
              <w:pStyle w:val="TableText"/>
            </w:pPr>
          </w:p>
        </w:tc>
      </w:tr>
      <w:tr w:rsidR="00597B5E" w:rsidRPr="00847A5B" w14:paraId="24B38642" w14:textId="77777777" w:rsidTr="006F6DD1">
        <w:trPr>
          <w:cantSplit/>
        </w:trPr>
        <w:tc>
          <w:tcPr>
            <w:tcW w:w="1266" w:type="dxa"/>
            <w:vMerge/>
          </w:tcPr>
          <w:p w14:paraId="6D51B68E" w14:textId="77777777" w:rsidR="00597B5E" w:rsidRPr="00847A5B" w:rsidRDefault="00597B5E" w:rsidP="00B44E34">
            <w:pPr>
              <w:pStyle w:val="TableText"/>
            </w:pPr>
          </w:p>
        </w:tc>
        <w:tc>
          <w:tcPr>
            <w:tcW w:w="1276" w:type="dxa"/>
          </w:tcPr>
          <w:p w14:paraId="72D55261" w14:textId="77777777" w:rsidR="00597B5E" w:rsidRPr="00847A5B" w:rsidRDefault="00597B5E" w:rsidP="00B44E34">
            <w:pPr>
              <w:pStyle w:val="TableText"/>
            </w:pPr>
            <w:r w:rsidRPr="00847A5B">
              <w:t>Fee-for-service</w:t>
            </w:r>
          </w:p>
        </w:tc>
        <w:tc>
          <w:tcPr>
            <w:tcW w:w="2232" w:type="dxa"/>
          </w:tcPr>
          <w:p w14:paraId="7CC6498C" w14:textId="77777777" w:rsidR="00597B5E" w:rsidRPr="00847A5B" w:rsidRDefault="00597B5E" w:rsidP="00B44E34">
            <w:pPr>
              <w:pStyle w:val="TableText"/>
            </w:pPr>
            <w:r w:rsidRPr="00847A5B">
              <w:t>Providers bill for a unit of service</w:t>
            </w:r>
            <w:r>
              <w:t>.</w:t>
            </w:r>
          </w:p>
          <w:p w14:paraId="5E0078DE" w14:textId="77777777" w:rsidR="00597B5E" w:rsidRPr="009B52C5" w:rsidRDefault="00597B5E" w:rsidP="00B44E34">
            <w:pPr>
              <w:pStyle w:val="TableText"/>
              <w:rPr>
                <w:lang w:val="es-CL"/>
              </w:rPr>
            </w:pPr>
            <w:r w:rsidRPr="009B52C5">
              <w:rPr>
                <w:lang w:val="es-CL"/>
              </w:rPr>
              <w:t>(Tulchinsky &amp; Varavikova, 2014, p. 597; Oliver-Baxter &amp; Brown, 2013, p. 2)</w:t>
            </w:r>
          </w:p>
        </w:tc>
        <w:tc>
          <w:tcPr>
            <w:tcW w:w="2233" w:type="dxa"/>
          </w:tcPr>
          <w:p w14:paraId="5329C3F9" w14:textId="77777777" w:rsidR="00597B5E" w:rsidRPr="00847A5B" w:rsidRDefault="00597B5E" w:rsidP="00B44E34">
            <w:pPr>
              <w:pStyle w:val="TableText"/>
            </w:pPr>
            <w:r w:rsidRPr="00847A5B">
              <w:t>Increases consumer access to healthcare services</w:t>
            </w:r>
            <w:r>
              <w:t xml:space="preserve">. </w:t>
            </w:r>
          </w:p>
          <w:p w14:paraId="045013CF" w14:textId="77777777" w:rsidR="00597B5E" w:rsidRPr="00847A5B" w:rsidRDefault="00597B5E" w:rsidP="00B44E34">
            <w:pPr>
              <w:pStyle w:val="TableText"/>
            </w:pPr>
            <w:r w:rsidRPr="00847A5B">
              <w:t>(</w:t>
            </w:r>
            <w:r w:rsidRPr="00962017">
              <w:t>Oliver</w:t>
            </w:r>
            <w:r w:rsidRPr="00847A5B">
              <w:t xml:space="preserve">-Baxter &amp; Brown, 2013, </w:t>
            </w:r>
            <w:r>
              <w:t>p. </w:t>
            </w:r>
            <w:r w:rsidRPr="00847A5B">
              <w:t>2)</w:t>
            </w:r>
          </w:p>
        </w:tc>
        <w:tc>
          <w:tcPr>
            <w:tcW w:w="2232" w:type="dxa"/>
          </w:tcPr>
          <w:p w14:paraId="0F149257" w14:textId="77777777" w:rsidR="00597B5E" w:rsidRPr="00847A5B" w:rsidRDefault="00597B5E" w:rsidP="00B44E34">
            <w:pPr>
              <w:pStyle w:val="TableText"/>
            </w:pPr>
            <w:r w:rsidRPr="00847A5B">
              <w:t>Provides a financial incentive for the quantity of services provided as opposed to improving the quality of care and consumer outcomes</w:t>
            </w:r>
            <w:r>
              <w:t>,</w:t>
            </w:r>
            <w:r w:rsidRPr="00847A5B">
              <w:t xml:space="preserve"> which can promote fragmented care and/or the overuse of services</w:t>
            </w:r>
            <w:r>
              <w:t>.</w:t>
            </w:r>
            <w:r w:rsidRPr="00847A5B">
              <w:t xml:space="preserve"> </w:t>
            </w:r>
          </w:p>
          <w:p w14:paraId="233ED88B" w14:textId="77777777" w:rsidR="00597B5E" w:rsidRPr="00847A5B" w:rsidRDefault="00597B5E" w:rsidP="00B44E34">
            <w:pPr>
              <w:pStyle w:val="TableText"/>
            </w:pPr>
            <w:r w:rsidRPr="00847A5B">
              <w:t>(</w:t>
            </w:r>
            <w:r w:rsidRPr="00962017">
              <w:t>Reddy</w:t>
            </w:r>
            <w:r w:rsidRPr="00847A5B">
              <w:t xml:space="preserve">, 2017, </w:t>
            </w:r>
            <w:r>
              <w:t>p. </w:t>
            </w:r>
            <w:r w:rsidRPr="00847A5B">
              <w:t xml:space="preserve">210; </w:t>
            </w:r>
            <w:r w:rsidRPr="00962017">
              <w:t>Tulchinksy</w:t>
            </w:r>
            <w:r w:rsidRPr="00847A5B">
              <w:t xml:space="preserve"> &amp; Varavikova, 2014, </w:t>
            </w:r>
            <w:r>
              <w:t>p. </w:t>
            </w:r>
            <w:r w:rsidRPr="00847A5B">
              <w:t xml:space="preserve">581; </w:t>
            </w:r>
            <w:r w:rsidRPr="00962017">
              <w:t>Oliver</w:t>
            </w:r>
            <w:r w:rsidRPr="00847A5B">
              <w:t xml:space="preserve">-Baxter &amp; Brown 2013, </w:t>
            </w:r>
            <w:r>
              <w:t>p. </w:t>
            </w:r>
            <w:r w:rsidRPr="00847A5B">
              <w:t xml:space="preserve">2; </w:t>
            </w:r>
            <w:r w:rsidRPr="00962017">
              <w:t>Department</w:t>
            </w:r>
            <w:r w:rsidRPr="00847A5B">
              <w:t xml:space="preserve"> of Health and Aged Care, 2022, </w:t>
            </w:r>
            <w:r>
              <w:t>p. </w:t>
            </w:r>
            <w:r w:rsidRPr="00847A5B">
              <w:t>7)</w:t>
            </w:r>
          </w:p>
        </w:tc>
        <w:tc>
          <w:tcPr>
            <w:tcW w:w="2233" w:type="dxa"/>
          </w:tcPr>
          <w:p w14:paraId="3D06042B" w14:textId="77777777" w:rsidR="00597B5E" w:rsidRPr="00847A5B" w:rsidRDefault="00597B5E" w:rsidP="00B44E34">
            <w:pPr>
              <w:pStyle w:val="TableText"/>
            </w:pPr>
            <w:r w:rsidRPr="00847A5B">
              <w:t xml:space="preserve">The </w:t>
            </w:r>
            <w:r w:rsidR="00D8195F">
              <w:t>Medicare</w:t>
            </w:r>
            <w:r w:rsidRPr="00847A5B">
              <w:t xml:space="preserve"> Benefits Schedule (MBS)</w:t>
            </w:r>
          </w:p>
        </w:tc>
        <w:tc>
          <w:tcPr>
            <w:tcW w:w="3119" w:type="dxa"/>
          </w:tcPr>
          <w:p w14:paraId="2ADABDE3" w14:textId="77777777" w:rsidR="00597B5E" w:rsidRPr="00847A5B" w:rsidRDefault="00E327D2" w:rsidP="00B44E34">
            <w:pPr>
              <w:pStyle w:val="TableText"/>
            </w:pPr>
            <w:r>
              <w:t>NA</w:t>
            </w:r>
          </w:p>
        </w:tc>
      </w:tr>
      <w:tr w:rsidR="00597B5E" w:rsidRPr="00847A5B" w14:paraId="02C2308E" w14:textId="77777777" w:rsidTr="006F6DD1">
        <w:trPr>
          <w:cantSplit/>
        </w:trPr>
        <w:tc>
          <w:tcPr>
            <w:tcW w:w="1266" w:type="dxa"/>
            <w:vMerge/>
          </w:tcPr>
          <w:p w14:paraId="16324ED2" w14:textId="77777777" w:rsidR="00597B5E" w:rsidRPr="00847A5B" w:rsidRDefault="00597B5E" w:rsidP="006F6DD1">
            <w:pPr>
              <w:pStyle w:val="TableText"/>
            </w:pPr>
          </w:p>
        </w:tc>
        <w:tc>
          <w:tcPr>
            <w:tcW w:w="1276" w:type="dxa"/>
            <w:vMerge w:val="restart"/>
          </w:tcPr>
          <w:p w14:paraId="230694A6" w14:textId="77777777" w:rsidR="00597B5E" w:rsidRPr="00847A5B" w:rsidRDefault="00597B5E" w:rsidP="00B44E34">
            <w:pPr>
              <w:pStyle w:val="TableText"/>
            </w:pPr>
            <w:r w:rsidRPr="00847A5B">
              <w:t>Activity-based funding</w:t>
            </w:r>
          </w:p>
        </w:tc>
        <w:tc>
          <w:tcPr>
            <w:tcW w:w="2232" w:type="dxa"/>
            <w:vMerge w:val="restart"/>
          </w:tcPr>
          <w:p w14:paraId="4E816D49" w14:textId="77777777" w:rsidR="00597B5E" w:rsidRPr="00847A5B" w:rsidRDefault="00597B5E" w:rsidP="00B44E34">
            <w:pPr>
              <w:pStyle w:val="TableText"/>
            </w:pPr>
            <w:r w:rsidRPr="00847A5B">
              <w:t>Service providers are allocated a set amount based on the type and number of services delivered</w:t>
            </w:r>
            <w:r>
              <w:t>.</w:t>
            </w:r>
          </w:p>
          <w:p w14:paraId="564A6036" w14:textId="77777777" w:rsidR="00597B5E" w:rsidRPr="00847A5B" w:rsidRDefault="00597B5E" w:rsidP="00B44E34">
            <w:pPr>
              <w:pStyle w:val="TableText"/>
            </w:pPr>
            <w:r w:rsidRPr="00847A5B">
              <w:t>(</w:t>
            </w:r>
            <w:r w:rsidRPr="00962017">
              <w:t>Department</w:t>
            </w:r>
            <w:r w:rsidRPr="00847A5B">
              <w:t xml:space="preserve"> of Health, 2020, </w:t>
            </w:r>
            <w:r>
              <w:t>p. </w:t>
            </w:r>
            <w:r w:rsidRPr="00847A5B">
              <w:t xml:space="preserve">1; PwC, 2018, </w:t>
            </w:r>
            <w:r>
              <w:t>p. </w:t>
            </w:r>
            <w:r w:rsidRPr="00847A5B">
              <w:t>6)</w:t>
            </w:r>
          </w:p>
        </w:tc>
        <w:tc>
          <w:tcPr>
            <w:tcW w:w="2233" w:type="dxa"/>
          </w:tcPr>
          <w:p w14:paraId="7E59D786" w14:textId="77777777" w:rsidR="00597B5E" w:rsidRPr="00847A5B" w:rsidRDefault="00597B5E" w:rsidP="00B44E34">
            <w:pPr>
              <w:pStyle w:val="TableText"/>
            </w:pPr>
            <w:r w:rsidRPr="00847A5B">
              <w:t xml:space="preserve">In acute settings, it can </w:t>
            </w:r>
            <w:r>
              <w:t>‘</w:t>
            </w:r>
            <w:r w:rsidRPr="00847A5B">
              <w:t>incentivise efficient and productive care throughout the care episode</w:t>
            </w:r>
            <w:r>
              <w:t>’.</w:t>
            </w:r>
          </w:p>
          <w:p w14:paraId="57AE1CB3" w14:textId="77777777" w:rsidR="00597B5E" w:rsidRPr="00847A5B" w:rsidRDefault="00597B5E" w:rsidP="00B44E34">
            <w:pPr>
              <w:pStyle w:val="TableText"/>
            </w:pPr>
            <w:r w:rsidRPr="00847A5B">
              <w:t>(</w:t>
            </w:r>
            <w:r w:rsidRPr="00962017">
              <w:t>PwC</w:t>
            </w:r>
            <w:r w:rsidRPr="00847A5B">
              <w:t xml:space="preserve">, 2018, </w:t>
            </w:r>
            <w:r>
              <w:t>p. </w:t>
            </w:r>
            <w:r w:rsidRPr="00847A5B">
              <w:t>6)</w:t>
            </w:r>
          </w:p>
        </w:tc>
        <w:tc>
          <w:tcPr>
            <w:tcW w:w="2232" w:type="dxa"/>
          </w:tcPr>
          <w:p w14:paraId="4D8FE3F5" w14:textId="77777777" w:rsidR="00597B5E" w:rsidRPr="00847A5B" w:rsidRDefault="00597B5E" w:rsidP="00B44E34">
            <w:pPr>
              <w:pStyle w:val="TableText"/>
            </w:pPr>
            <w:r w:rsidRPr="00847A5B">
              <w:t>Difficult to use in primary healthcare settings, particularly where multi-faceted and hybrid care settings are required to improve health outcomes for consumers</w:t>
            </w:r>
            <w:r>
              <w:t>.</w:t>
            </w:r>
          </w:p>
          <w:p w14:paraId="2428FB2F" w14:textId="77777777" w:rsidR="00597B5E" w:rsidRPr="00847A5B" w:rsidRDefault="00597B5E" w:rsidP="00B44E34">
            <w:pPr>
              <w:pStyle w:val="TableText"/>
            </w:pPr>
            <w:r w:rsidRPr="00847A5B">
              <w:t>(</w:t>
            </w:r>
            <w:r w:rsidRPr="00962017">
              <w:t>Oliver</w:t>
            </w:r>
            <w:r w:rsidRPr="00847A5B">
              <w:t xml:space="preserve">-Baxter &amp; Brown, 2013, </w:t>
            </w:r>
            <w:r>
              <w:t>p. </w:t>
            </w:r>
            <w:r w:rsidRPr="00847A5B">
              <w:t xml:space="preserve">2; </w:t>
            </w:r>
            <w:r w:rsidRPr="00962017">
              <w:t>PwC</w:t>
            </w:r>
            <w:r w:rsidRPr="00847A5B">
              <w:t xml:space="preserve">, 2018, </w:t>
            </w:r>
            <w:r>
              <w:t>p. </w:t>
            </w:r>
            <w:r w:rsidRPr="00847A5B">
              <w:t>6)</w:t>
            </w:r>
          </w:p>
        </w:tc>
        <w:tc>
          <w:tcPr>
            <w:tcW w:w="2233" w:type="dxa"/>
            <w:vMerge w:val="restart"/>
          </w:tcPr>
          <w:p w14:paraId="5338F0FF" w14:textId="77777777" w:rsidR="00597B5E" w:rsidRPr="00847A5B" w:rsidRDefault="00597B5E" w:rsidP="00B44E34">
            <w:pPr>
              <w:pStyle w:val="TableText"/>
            </w:pPr>
            <w:r w:rsidRPr="00847A5B">
              <w:t>Hospital settings</w:t>
            </w:r>
          </w:p>
        </w:tc>
        <w:tc>
          <w:tcPr>
            <w:tcW w:w="3119" w:type="dxa"/>
            <w:vMerge w:val="restart"/>
          </w:tcPr>
          <w:p w14:paraId="4A8245F2" w14:textId="77777777" w:rsidR="00597B5E" w:rsidRPr="00847A5B" w:rsidRDefault="00E327D2" w:rsidP="00B44E34">
            <w:pPr>
              <w:pStyle w:val="TableText"/>
            </w:pPr>
            <w:r>
              <w:t>NA</w:t>
            </w:r>
          </w:p>
        </w:tc>
      </w:tr>
      <w:tr w:rsidR="00597B5E" w:rsidRPr="00847A5B" w14:paraId="417F39E8" w14:textId="77777777" w:rsidTr="006F6DD1">
        <w:trPr>
          <w:cantSplit/>
        </w:trPr>
        <w:tc>
          <w:tcPr>
            <w:tcW w:w="1266" w:type="dxa"/>
            <w:vMerge/>
          </w:tcPr>
          <w:p w14:paraId="6ECD70AE" w14:textId="77777777" w:rsidR="00597B5E" w:rsidRPr="00847A5B" w:rsidRDefault="00597B5E" w:rsidP="006F6DD1">
            <w:pPr>
              <w:pStyle w:val="TableText"/>
            </w:pPr>
          </w:p>
        </w:tc>
        <w:tc>
          <w:tcPr>
            <w:tcW w:w="1276" w:type="dxa"/>
            <w:vMerge/>
          </w:tcPr>
          <w:p w14:paraId="5A68ACC9" w14:textId="77777777" w:rsidR="00597B5E" w:rsidRPr="00847A5B" w:rsidRDefault="00597B5E" w:rsidP="00B44E34">
            <w:pPr>
              <w:pStyle w:val="TableText"/>
            </w:pPr>
          </w:p>
        </w:tc>
        <w:tc>
          <w:tcPr>
            <w:tcW w:w="2232" w:type="dxa"/>
            <w:vMerge/>
          </w:tcPr>
          <w:p w14:paraId="7CB9893C" w14:textId="77777777" w:rsidR="00597B5E" w:rsidRPr="00847A5B" w:rsidRDefault="00597B5E" w:rsidP="00B44E34">
            <w:pPr>
              <w:pStyle w:val="TableText"/>
            </w:pPr>
          </w:p>
        </w:tc>
        <w:tc>
          <w:tcPr>
            <w:tcW w:w="2233" w:type="dxa"/>
          </w:tcPr>
          <w:p w14:paraId="74D2CA6A" w14:textId="77777777" w:rsidR="00597B5E" w:rsidRPr="00847A5B" w:rsidRDefault="00597B5E" w:rsidP="00B44E34">
            <w:pPr>
              <w:pStyle w:val="TableText"/>
            </w:pPr>
            <w:r>
              <w:t>‘</w:t>
            </w:r>
            <w:r w:rsidRPr="00847A5B">
              <w:t>Promotes technical efficiency</w:t>
            </w:r>
            <w:r>
              <w:t>.’</w:t>
            </w:r>
          </w:p>
          <w:p w14:paraId="55AC3BDE" w14:textId="77777777" w:rsidR="00597B5E" w:rsidRPr="00847A5B" w:rsidRDefault="00597B5E" w:rsidP="00B44E34">
            <w:pPr>
              <w:pStyle w:val="TableText"/>
            </w:pPr>
            <w:r w:rsidRPr="00847A5B">
              <w:t>(</w:t>
            </w:r>
            <w:r w:rsidRPr="00962017">
              <w:t>Oliver</w:t>
            </w:r>
            <w:r w:rsidRPr="00847A5B">
              <w:t xml:space="preserve">-Baxter &amp; Brown, 2013, </w:t>
            </w:r>
            <w:r>
              <w:t>p. </w:t>
            </w:r>
            <w:r w:rsidRPr="00847A5B">
              <w:t>2)</w:t>
            </w:r>
          </w:p>
        </w:tc>
        <w:tc>
          <w:tcPr>
            <w:tcW w:w="2232" w:type="dxa"/>
          </w:tcPr>
          <w:p w14:paraId="4B819B20" w14:textId="77777777" w:rsidR="00597B5E" w:rsidRPr="00847A5B" w:rsidRDefault="00597B5E" w:rsidP="00B44E34">
            <w:pPr>
              <w:pStyle w:val="TableText"/>
            </w:pPr>
            <w:r w:rsidRPr="00847A5B">
              <w:t xml:space="preserve">In some cases, payment is delivered </w:t>
            </w:r>
            <w:r>
              <w:t>‘</w:t>
            </w:r>
            <w:r w:rsidRPr="00847A5B">
              <w:t>regardless of clinical outcome and regardless of whether a provider follows the optimal care pathway for a patient</w:t>
            </w:r>
            <w:r>
              <w:t>.’</w:t>
            </w:r>
            <w:r w:rsidRPr="00847A5B">
              <w:t xml:space="preserve"> </w:t>
            </w:r>
          </w:p>
          <w:p w14:paraId="4628EE8B" w14:textId="77777777" w:rsidR="00597B5E" w:rsidRPr="00847A5B" w:rsidRDefault="00597B5E" w:rsidP="00B44E34">
            <w:pPr>
              <w:pStyle w:val="TableText"/>
            </w:pPr>
            <w:r w:rsidRPr="00847A5B">
              <w:t>(</w:t>
            </w:r>
            <w:r w:rsidRPr="00962017">
              <w:t>PwC</w:t>
            </w:r>
            <w:r w:rsidRPr="00847A5B">
              <w:t xml:space="preserve">, 2018, </w:t>
            </w:r>
            <w:r>
              <w:t>p. </w:t>
            </w:r>
            <w:r w:rsidRPr="00847A5B">
              <w:t>6)</w:t>
            </w:r>
          </w:p>
        </w:tc>
        <w:tc>
          <w:tcPr>
            <w:tcW w:w="2233" w:type="dxa"/>
            <w:vMerge/>
          </w:tcPr>
          <w:p w14:paraId="2B54351F" w14:textId="77777777" w:rsidR="00597B5E" w:rsidRPr="00847A5B" w:rsidRDefault="00597B5E" w:rsidP="00B44E34">
            <w:pPr>
              <w:pStyle w:val="TableText"/>
            </w:pPr>
          </w:p>
        </w:tc>
        <w:tc>
          <w:tcPr>
            <w:tcW w:w="3119" w:type="dxa"/>
            <w:vMerge/>
          </w:tcPr>
          <w:p w14:paraId="5886ABF2" w14:textId="77777777" w:rsidR="00597B5E" w:rsidRPr="00847A5B" w:rsidRDefault="00597B5E" w:rsidP="00B44E34">
            <w:pPr>
              <w:pStyle w:val="TableText"/>
            </w:pPr>
          </w:p>
        </w:tc>
      </w:tr>
      <w:tr w:rsidR="00597B5E" w:rsidRPr="00847A5B" w14:paraId="2654F905" w14:textId="77777777" w:rsidTr="006F6DD1">
        <w:trPr>
          <w:cantSplit/>
        </w:trPr>
        <w:tc>
          <w:tcPr>
            <w:tcW w:w="1266" w:type="dxa"/>
            <w:vMerge/>
          </w:tcPr>
          <w:p w14:paraId="48DD4EB3" w14:textId="77777777" w:rsidR="00597B5E" w:rsidRPr="00847A5B" w:rsidRDefault="00597B5E" w:rsidP="006F6DD1">
            <w:pPr>
              <w:pStyle w:val="TableText"/>
            </w:pPr>
          </w:p>
        </w:tc>
        <w:tc>
          <w:tcPr>
            <w:tcW w:w="1276" w:type="dxa"/>
            <w:vMerge w:val="restart"/>
          </w:tcPr>
          <w:p w14:paraId="6D210590" w14:textId="77777777" w:rsidR="00597B5E" w:rsidRPr="00847A5B" w:rsidRDefault="00597B5E" w:rsidP="00B44E34">
            <w:pPr>
              <w:pStyle w:val="TableText"/>
            </w:pPr>
            <w:r w:rsidRPr="00847A5B">
              <w:t>Pooled funding</w:t>
            </w:r>
          </w:p>
        </w:tc>
        <w:tc>
          <w:tcPr>
            <w:tcW w:w="2232" w:type="dxa"/>
            <w:vMerge w:val="restart"/>
          </w:tcPr>
          <w:p w14:paraId="26DF4BAB" w14:textId="77777777" w:rsidR="00597B5E" w:rsidRPr="00847A5B" w:rsidRDefault="00597B5E" w:rsidP="00B44E34">
            <w:pPr>
              <w:pStyle w:val="TableText"/>
            </w:pPr>
            <w:r w:rsidRPr="00847A5B">
              <w:t xml:space="preserve">Contributions from a number of funding sources are pooled </w:t>
            </w:r>
            <w:r>
              <w:t>‘</w:t>
            </w:r>
            <w:r w:rsidRPr="00847A5B">
              <w:t>in pursuit of a common objective</w:t>
            </w:r>
            <w:r>
              <w:t>’.</w:t>
            </w:r>
          </w:p>
          <w:p w14:paraId="5F66973E" w14:textId="77777777" w:rsidR="00597B5E" w:rsidRPr="00847A5B" w:rsidRDefault="00597B5E" w:rsidP="00B44E34">
            <w:pPr>
              <w:pStyle w:val="TableText"/>
            </w:pPr>
            <w:r w:rsidRPr="00847A5B">
              <w:t>(</w:t>
            </w:r>
            <w:r w:rsidRPr="00962017">
              <w:t>NSW</w:t>
            </w:r>
            <w:r w:rsidRPr="00847A5B">
              <w:t xml:space="preserve"> Government, 2016, </w:t>
            </w:r>
            <w:r>
              <w:t>p. </w:t>
            </w:r>
            <w:r w:rsidRPr="00847A5B">
              <w:t>27)</w:t>
            </w:r>
          </w:p>
        </w:tc>
        <w:tc>
          <w:tcPr>
            <w:tcW w:w="2233" w:type="dxa"/>
          </w:tcPr>
          <w:p w14:paraId="7DC5013B" w14:textId="77777777" w:rsidR="00597B5E" w:rsidRPr="00847A5B" w:rsidRDefault="00597B5E" w:rsidP="00B44E34">
            <w:pPr>
              <w:pStyle w:val="TableText"/>
            </w:pPr>
            <w:r w:rsidRPr="00847A5B">
              <w:t xml:space="preserve">Promotes improved health outcomes for consumers by encouraging </w:t>
            </w:r>
            <w:r>
              <w:t>‘</w:t>
            </w:r>
            <w:r w:rsidRPr="00847A5B">
              <w:t>service model flexibility</w:t>
            </w:r>
            <w:r>
              <w:t>’.</w:t>
            </w:r>
          </w:p>
          <w:p w14:paraId="09CD413A" w14:textId="77777777" w:rsidR="00597B5E" w:rsidRPr="00847A5B" w:rsidRDefault="00597B5E" w:rsidP="00B44E34">
            <w:pPr>
              <w:pStyle w:val="TableText"/>
            </w:pPr>
            <w:r w:rsidRPr="00847A5B">
              <w:t>(</w:t>
            </w:r>
            <w:r w:rsidRPr="00962017">
              <w:t>NSW</w:t>
            </w:r>
            <w:r w:rsidRPr="00847A5B">
              <w:t xml:space="preserve"> Government, 2016, </w:t>
            </w:r>
            <w:r>
              <w:t>p. </w:t>
            </w:r>
            <w:r w:rsidRPr="00847A5B">
              <w:t>27)</w:t>
            </w:r>
          </w:p>
        </w:tc>
        <w:tc>
          <w:tcPr>
            <w:tcW w:w="2232" w:type="dxa"/>
            <w:vMerge w:val="restart"/>
          </w:tcPr>
          <w:p w14:paraId="224C0D3D" w14:textId="77777777" w:rsidR="00597B5E" w:rsidRPr="00847A5B" w:rsidRDefault="00597B5E" w:rsidP="00B44E34">
            <w:pPr>
              <w:pStyle w:val="TableText"/>
            </w:pPr>
            <w:r w:rsidRPr="00847A5B">
              <w:t>A potential disincentive is that ‘an initiative in one portfolio may deliver some of its financial benefits in another portfolio or jurisdiction’ and not others</w:t>
            </w:r>
            <w:r>
              <w:t>.</w:t>
            </w:r>
            <w:r w:rsidRPr="00847A5B">
              <w:t xml:space="preserve"> </w:t>
            </w:r>
          </w:p>
          <w:p w14:paraId="5AA4955B" w14:textId="77777777" w:rsidR="00597B5E" w:rsidRPr="00847A5B" w:rsidRDefault="00597B5E" w:rsidP="00B44E34">
            <w:pPr>
              <w:pStyle w:val="TableText"/>
            </w:pPr>
            <w:r w:rsidRPr="00847A5B">
              <w:t>(</w:t>
            </w:r>
            <w:r w:rsidRPr="00962017">
              <w:t>Mental</w:t>
            </w:r>
            <w:r w:rsidRPr="00847A5B">
              <w:t xml:space="preserve"> Health Australia, 2015, </w:t>
            </w:r>
            <w:r>
              <w:t>p. </w:t>
            </w:r>
            <w:r w:rsidRPr="00847A5B">
              <w:t>9)</w:t>
            </w:r>
          </w:p>
        </w:tc>
        <w:tc>
          <w:tcPr>
            <w:tcW w:w="2233" w:type="dxa"/>
            <w:vMerge w:val="restart"/>
          </w:tcPr>
          <w:p w14:paraId="7702A6BC" w14:textId="77777777" w:rsidR="00597B5E" w:rsidRPr="00847A5B" w:rsidRDefault="00597B5E" w:rsidP="00B44E34">
            <w:pPr>
              <w:pStyle w:val="TableText"/>
            </w:pPr>
            <w:r w:rsidRPr="00847A5B">
              <w:t>Coordinated funding for Closing the Gap initiatives across agencies and jurisdictions</w:t>
            </w:r>
            <w:r>
              <w:t>.</w:t>
            </w:r>
          </w:p>
          <w:p w14:paraId="3BC382F7" w14:textId="77777777" w:rsidR="00597B5E" w:rsidRPr="00847A5B" w:rsidRDefault="00597B5E" w:rsidP="00B44E34">
            <w:pPr>
              <w:pStyle w:val="TableText"/>
            </w:pPr>
            <w:r w:rsidRPr="00847A5B">
              <w:t>(</w:t>
            </w:r>
            <w:r w:rsidRPr="00962017">
              <w:t>Mental</w:t>
            </w:r>
            <w:r w:rsidRPr="00847A5B">
              <w:t xml:space="preserve"> Health Australia, 2015, </w:t>
            </w:r>
            <w:r>
              <w:t>p. </w:t>
            </w:r>
            <w:r w:rsidRPr="00847A5B">
              <w:t>9)</w:t>
            </w:r>
          </w:p>
        </w:tc>
        <w:tc>
          <w:tcPr>
            <w:tcW w:w="3119" w:type="dxa"/>
            <w:vMerge w:val="restart"/>
          </w:tcPr>
          <w:p w14:paraId="5684238F" w14:textId="77777777" w:rsidR="00597B5E" w:rsidRPr="00847A5B" w:rsidRDefault="00E327D2" w:rsidP="00B44E34">
            <w:pPr>
              <w:pStyle w:val="TableText"/>
            </w:pPr>
            <w:r>
              <w:t>NA</w:t>
            </w:r>
          </w:p>
        </w:tc>
      </w:tr>
      <w:tr w:rsidR="00597B5E" w:rsidRPr="00847A5B" w14:paraId="17F82CB4" w14:textId="77777777" w:rsidTr="006F6DD1">
        <w:trPr>
          <w:cantSplit/>
        </w:trPr>
        <w:tc>
          <w:tcPr>
            <w:tcW w:w="1266" w:type="dxa"/>
            <w:vMerge/>
          </w:tcPr>
          <w:p w14:paraId="24E20704" w14:textId="77777777" w:rsidR="00597B5E" w:rsidRPr="00847A5B" w:rsidRDefault="00597B5E" w:rsidP="006F6DD1">
            <w:pPr>
              <w:pStyle w:val="TableText"/>
            </w:pPr>
          </w:p>
        </w:tc>
        <w:tc>
          <w:tcPr>
            <w:tcW w:w="1276" w:type="dxa"/>
            <w:vMerge/>
          </w:tcPr>
          <w:p w14:paraId="0E33E1E6" w14:textId="77777777" w:rsidR="00597B5E" w:rsidRPr="00847A5B" w:rsidRDefault="00597B5E" w:rsidP="006F6DD1">
            <w:pPr>
              <w:pStyle w:val="TableText"/>
            </w:pPr>
          </w:p>
        </w:tc>
        <w:tc>
          <w:tcPr>
            <w:tcW w:w="2232" w:type="dxa"/>
            <w:vMerge/>
          </w:tcPr>
          <w:p w14:paraId="776DE5EE" w14:textId="77777777" w:rsidR="00597B5E" w:rsidRPr="00847A5B" w:rsidRDefault="00597B5E" w:rsidP="006F6DD1">
            <w:pPr>
              <w:pStyle w:val="TableText"/>
            </w:pPr>
          </w:p>
        </w:tc>
        <w:tc>
          <w:tcPr>
            <w:tcW w:w="2233" w:type="dxa"/>
          </w:tcPr>
          <w:p w14:paraId="4E1AD033" w14:textId="77777777" w:rsidR="00597B5E" w:rsidRPr="00847A5B" w:rsidRDefault="00597B5E" w:rsidP="00B44E34">
            <w:pPr>
              <w:pStyle w:val="TableText"/>
            </w:pPr>
            <w:r w:rsidRPr="00847A5B">
              <w:t>Provides an opportunity to address complex issues across sectors, jurisdictions and/or portfolios</w:t>
            </w:r>
            <w:r>
              <w:t>.</w:t>
            </w:r>
          </w:p>
          <w:p w14:paraId="75B20E37" w14:textId="77777777" w:rsidR="00597B5E" w:rsidRPr="00847A5B" w:rsidRDefault="00597B5E" w:rsidP="00B44E34">
            <w:pPr>
              <w:pStyle w:val="TableText"/>
            </w:pPr>
            <w:r w:rsidRPr="00847A5B">
              <w:t>(</w:t>
            </w:r>
            <w:r w:rsidRPr="00962017">
              <w:t>NSW</w:t>
            </w:r>
            <w:r w:rsidRPr="00847A5B">
              <w:t xml:space="preserve"> Government, 2016, </w:t>
            </w:r>
            <w:r>
              <w:t>p. </w:t>
            </w:r>
            <w:r w:rsidRPr="00847A5B">
              <w:t xml:space="preserve">27; Mental Health Australia, 2015, </w:t>
            </w:r>
            <w:r>
              <w:t>p. </w:t>
            </w:r>
            <w:r w:rsidRPr="00847A5B">
              <w:t>9)</w:t>
            </w:r>
          </w:p>
        </w:tc>
        <w:tc>
          <w:tcPr>
            <w:tcW w:w="2232" w:type="dxa"/>
            <w:vMerge/>
          </w:tcPr>
          <w:p w14:paraId="4AD83E14" w14:textId="77777777" w:rsidR="00597B5E" w:rsidRPr="00847A5B" w:rsidRDefault="00597B5E" w:rsidP="006F6DD1">
            <w:pPr>
              <w:pStyle w:val="TableText"/>
            </w:pPr>
          </w:p>
        </w:tc>
        <w:tc>
          <w:tcPr>
            <w:tcW w:w="2233" w:type="dxa"/>
            <w:vMerge/>
          </w:tcPr>
          <w:p w14:paraId="64D266E5" w14:textId="77777777" w:rsidR="00597B5E" w:rsidRPr="00847A5B" w:rsidRDefault="00597B5E" w:rsidP="006F6DD1">
            <w:pPr>
              <w:pStyle w:val="TableText"/>
            </w:pPr>
          </w:p>
        </w:tc>
        <w:tc>
          <w:tcPr>
            <w:tcW w:w="3119" w:type="dxa"/>
            <w:vMerge/>
          </w:tcPr>
          <w:p w14:paraId="76C25307" w14:textId="77777777" w:rsidR="00597B5E" w:rsidRPr="00847A5B" w:rsidRDefault="00597B5E" w:rsidP="006F6DD1">
            <w:pPr>
              <w:pStyle w:val="TableText"/>
            </w:pPr>
          </w:p>
        </w:tc>
      </w:tr>
      <w:tr w:rsidR="00597B5E" w:rsidRPr="00847A5B" w14:paraId="3E25D20C" w14:textId="77777777" w:rsidTr="006F6DD1">
        <w:trPr>
          <w:cantSplit/>
        </w:trPr>
        <w:tc>
          <w:tcPr>
            <w:tcW w:w="1266" w:type="dxa"/>
            <w:vMerge/>
          </w:tcPr>
          <w:p w14:paraId="26D7C44B" w14:textId="77777777" w:rsidR="00597B5E" w:rsidRPr="00847A5B" w:rsidRDefault="00597B5E" w:rsidP="006F6DD1">
            <w:pPr>
              <w:pStyle w:val="TableText"/>
            </w:pPr>
          </w:p>
        </w:tc>
        <w:tc>
          <w:tcPr>
            <w:tcW w:w="1276" w:type="dxa"/>
            <w:vMerge/>
          </w:tcPr>
          <w:p w14:paraId="3E922EFD" w14:textId="77777777" w:rsidR="00597B5E" w:rsidRPr="00847A5B" w:rsidRDefault="00597B5E" w:rsidP="006F6DD1">
            <w:pPr>
              <w:pStyle w:val="TableText"/>
            </w:pPr>
          </w:p>
        </w:tc>
        <w:tc>
          <w:tcPr>
            <w:tcW w:w="2232" w:type="dxa"/>
            <w:vMerge/>
          </w:tcPr>
          <w:p w14:paraId="09216D2A" w14:textId="77777777" w:rsidR="00597B5E" w:rsidRPr="00847A5B" w:rsidRDefault="00597B5E" w:rsidP="006F6DD1">
            <w:pPr>
              <w:pStyle w:val="TableText"/>
            </w:pPr>
          </w:p>
        </w:tc>
        <w:tc>
          <w:tcPr>
            <w:tcW w:w="2233" w:type="dxa"/>
          </w:tcPr>
          <w:p w14:paraId="6265A226" w14:textId="77777777" w:rsidR="00597B5E" w:rsidRPr="00847A5B" w:rsidRDefault="00597B5E" w:rsidP="00B44E34">
            <w:pPr>
              <w:pStyle w:val="TableText"/>
            </w:pPr>
            <w:r w:rsidRPr="00847A5B">
              <w:t>Provides an opportunity for service providers to maximise resources through service prioritisation, integration and reduced duplication</w:t>
            </w:r>
            <w:r>
              <w:t>.</w:t>
            </w:r>
          </w:p>
          <w:p w14:paraId="700A66FD" w14:textId="77777777" w:rsidR="00597B5E" w:rsidRPr="00847A5B" w:rsidRDefault="00597B5E" w:rsidP="00B44E34">
            <w:pPr>
              <w:pStyle w:val="TableText"/>
            </w:pPr>
            <w:r w:rsidRPr="00847A5B">
              <w:t>(</w:t>
            </w:r>
            <w:r w:rsidRPr="00962017">
              <w:t>NSW</w:t>
            </w:r>
            <w:r w:rsidRPr="00847A5B">
              <w:t xml:space="preserve"> Government, 2016, </w:t>
            </w:r>
            <w:r>
              <w:t>p. </w:t>
            </w:r>
            <w:r w:rsidRPr="00847A5B">
              <w:t>27)</w:t>
            </w:r>
          </w:p>
        </w:tc>
        <w:tc>
          <w:tcPr>
            <w:tcW w:w="2232" w:type="dxa"/>
            <w:vMerge/>
          </w:tcPr>
          <w:p w14:paraId="5A1DFA49" w14:textId="77777777" w:rsidR="00597B5E" w:rsidRPr="00847A5B" w:rsidRDefault="00597B5E" w:rsidP="006F6DD1">
            <w:pPr>
              <w:pStyle w:val="TableText"/>
            </w:pPr>
          </w:p>
        </w:tc>
        <w:tc>
          <w:tcPr>
            <w:tcW w:w="2233" w:type="dxa"/>
            <w:vMerge/>
          </w:tcPr>
          <w:p w14:paraId="4B179E75" w14:textId="77777777" w:rsidR="00597B5E" w:rsidRPr="00847A5B" w:rsidRDefault="00597B5E" w:rsidP="006F6DD1">
            <w:pPr>
              <w:pStyle w:val="TableText"/>
            </w:pPr>
          </w:p>
        </w:tc>
        <w:tc>
          <w:tcPr>
            <w:tcW w:w="3119" w:type="dxa"/>
            <w:vMerge/>
          </w:tcPr>
          <w:p w14:paraId="6426C379" w14:textId="77777777" w:rsidR="00597B5E" w:rsidRPr="00847A5B" w:rsidRDefault="00597B5E" w:rsidP="006F6DD1">
            <w:pPr>
              <w:pStyle w:val="TableText"/>
            </w:pPr>
          </w:p>
        </w:tc>
      </w:tr>
    </w:tbl>
    <w:p w14:paraId="4BF7EF13" w14:textId="77777777" w:rsidR="00597B5E" w:rsidRPr="00B65F7F" w:rsidRDefault="00597B5E" w:rsidP="00597B5E">
      <w:pPr>
        <w:tabs>
          <w:tab w:val="left" w:pos="1134"/>
        </w:tabs>
        <w:rPr>
          <w:b/>
          <w:sz w:val="20"/>
          <w:szCs w:val="20"/>
        </w:rPr>
      </w:pPr>
    </w:p>
    <w:p w14:paraId="019B8825" w14:textId="77777777" w:rsidR="00597B5E" w:rsidRDefault="00597B5E" w:rsidP="00597B5E">
      <w:pPr>
        <w:tabs>
          <w:tab w:val="left" w:pos="1134"/>
        </w:tabs>
        <w:sectPr w:rsidR="00597B5E" w:rsidSect="002B05C0">
          <w:headerReference w:type="default" r:id="rId117"/>
          <w:footerReference w:type="default" r:id="rId118"/>
          <w:pgSz w:w="16838" w:h="11906" w:orient="landscape" w:code="9"/>
          <w:pgMar w:top="1134" w:right="1134" w:bottom="1701" w:left="1134" w:header="902" w:footer="834" w:gutter="0"/>
          <w:cols w:space="720"/>
          <w:docGrid w:linePitch="326"/>
        </w:sectPr>
      </w:pPr>
    </w:p>
    <w:p w14:paraId="46C2978F" w14:textId="77777777" w:rsidR="00597B5E" w:rsidRPr="00B65F7F" w:rsidRDefault="00597B5E" w:rsidP="00B44E34">
      <w:pPr>
        <w:pStyle w:val="BodyText"/>
      </w:pPr>
      <w:r w:rsidRPr="00B65F7F">
        <w:t xml:space="preserve">Most primary healthcare funding models employ a blended funding approach that may combine one or more of the funding approaches outlined above with </w:t>
      </w:r>
      <w:r w:rsidR="00C44EB9" w:rsidRPr="00B65F7F">
        <w:t>several</w:t>
      </w:r>
      <w:r w:rsidRPr="00B65F7F">
        <w:t xml:space="preserve"> adjustments determined by the commissioning/funding body. Successful funding approaches for Indigenous health and wellbeing services and programs are underpinned by the guiding principles outlined in </w:t>
      </w:r>
      <w:r>
        <w:t>s</w:t>
      </w:r>
      <w:r w:rsidRPr="00B65F7F">
        <w:t>ection 2 below.</w:t>
      </w:r>
    </w:p>
    <w:p w14:paraId="323D118F" w14:textId="77777777" w:rsidR="00597B5E" w:rsidRPr="00B65F7F" w:rsidRDefault="004C1AF3" w:rsidP="006734AE">
      <w:pPr>
        <w:pStyle w:val="HeadingLevel2NoNumber"/>
      </w:pPr>
      <w:bookmarkStart w:id="366" w:name="_heading=h.hote7kxqzjr8" w:colFirst="0" w:colLast="0"/>
      <w:bookmarkEnd w:id="366"/>
      <w:r>
        <w:t>A9.3</w:t>
      </w:r>
      <w:r w:rsidR="00597B5E" w:rsidRPr="00B65F7F">
        <w:t xml:space="preserve"> Common principles of effective Indigenous health funding models</w:t>
      </w:r>
    </w:p>
    <w:p w14:paraId="6BD75A43" w14:textId="77777777" w:rsidR="00597B5E" w:rsidRPr="00B65F7F" w:rsidRDefault="00597B5E" w:rsidP="009912B7">
      <w:pPr>
        <w:pStyle w:val="HeadingLevel3NoNumber"/>
      </w:pPr>
      <w:bookmarkStart w:id="367" w:name="_heading=h.14ykbeg" w:colFirst="0" w:colLast="0"/>
      <w:bookmarkEnd w:id="367"/>
      <w:r w:rsidRPr="00B65F7F">
        <w:t>Overview</w:t>
      </w:r>
    </w:p>
    <w:p w14:paraId="3FAEA8D6" w14:textId="77777777" w:rsidR="00597B5E" w:rsidRPr="00B65F7F" w:rsidRDefault="00597B5E" w:rsidP="00B44E34">
      <w:pPr>
        <w:pStyle w:val="BodyText"/>
      </w:pPr>
      <w:r w:rsidRPr="00B65F7F">
        <w:t>Several guiding (common) principles emerged through the literature review that supported Australian and international funding and delivery models, frameworks and approaches to Indigenous health and wellbeing. These included:</w:t>
      </w:r>
    </w:p>
    <w:p w14:paraId="2A8FF42F" w14:textId="77777777" w:rsidR="00597B5E" w:rsidRPr="00B65F7F" w:rsidRDefault="00597B5E" w:rsidP="00B44E34">
      <w:pPr>
        <w:pStyle w:val="ListBullet2"/>
      </w:pPr>
      <w:r w:rsidRPr="00B65F7F">
        <w:rPr>
          <w:rFonts w:eastAsia="Calibri"/>
        </w:rPr>
        <w:t>Indigenous self-determination</w:t>
      </w:r>
    </w:p>
    <w:p w14:paraId="6F976BC3" w14:textId="77777777" w:rsidR="00597B5E" w:rsidRPr="00B65F7F" w:rsidRDefault="00597B5E" w:rsidP="00B44E34">
      <w:pPr>
        <w:pStyle w:val="ListBullet2"/>
      </w:pPr>
      <w:r w:rsidRPr="00B65F7F">
        <w:rPr>
          <w:rFonts w:eastAsia="Calibri"/>
        </w:rPr>
        <w:t>strengths-based and place-based approach</w:t>
      </w:r>
      <w:r>
        <w:rPr>
          <w:rFonts w:eastAsia="Calibri"/>
        </w:rPr>
        <w:t>es</w:t>
      </w:r>
    </w:p>
    <w:p w14:paraId="1F0E1CFD" w14:textId="77777777" w:rsidR="00597B5E" w:rsidRPr="00B65F7F" w:rsidRDefault="00597B5E" w:rsidP="00B44E34">
      <w:pPr>
        <w:pStyle w:val="ListBullet2"/>
      </w:pPr>
      <w:r w:rsidRPr="00B65F7F">
        <w:rPr>
          <w:rFonts w:eastAsia="Calibri"/>
        </w:rPr>
        <w:t>Indigenous governance and leadership</w:t>
      </w:r>
    </w:p>
    <w:p w14:paraId="7B7AE734" w14:textId="77777777" w:rsidR="00597B5E" w:rsidRPr="00B65F7F" w:rsidRDefault="00597B5E" w:rsidP="00B44E34">
      <w:pPr>
        <w:pStyle w:val="ListBullet2"/>
      </w:pPr>
      <w:r w:rsidRPr="00B65F7F">
        <w:rPr>
          <w:rFonts w:eastAsia="Calibri"/>
        </w:rPr>
        <w:t>community partnerships, co-</w:t>
      </w:r>
      <w:r w:rsidR="00C44EB9" w:rsidRPr="00B65F7F">
        <w:rPr>
          <w:rFonts w:eastAsia="Calibri"/>
        </w:rPr>
        <w:t>design,</w:t>
      </w:r>
      <w:r w:rsidRPr="00B65F7F">
        <w:rPr>
          <w:rFonts w:eastAsia="Calibri"/>
        </w:rPr>
        <w:t xml:space="preserve"> and ownership</w:t>
      </w:r>
    </w:p>
    <w:p w14:paraId="3504B92A" w14:textId="77777777" w:rsidR="00597B5E" w:rsidRPr="00B65F7F" w:rsidRDefault="00597B5E" w:rsidP="00B44E34">
      <w:pPr>
        <w:pStyle w:val="ListBullet2"/>
      </w:pPr>
      <w:r w:rsidRPr="00B65F7F">
        <w:rPr>
          <w:rFonts w:eastAsia="Calibri"/>
        </w:rPr>
        <w:t>holistic understandings of Indigenous health and wellbeing</w:t>
      </w:r>
    </w:p>
    <w:p w14:paraId="11406317" w14:textId="77777777" w:rsidR="00597B5E" w:rsidRPr="00B65F7F" w:rsidRDefault="00597B5E" w:rsidP="00B44E34">
      <w:pPr>
        <w:pStyle w:val="ListBullet2"/>
      </w:pPr>
      <w:r w:rsidRPr="00B65F7F">
        <w:rPr>
          <w:rFonts w:eastAsia="Calibri"/>
        </w:rPr>
        <w:t>culturally safe and responsive healthcare</w:t>
      </w:r>
    </w:p>
    <w:p w14:paraId="6E26333B" w14:textId="77777777" w:rsidR="00597B5E" w:rsidRPr="00B65F7F" w:rsidRDefault="00597B5E" w:rsidP="00B44E34">
      <w:pPr>
        <w:pStyle w:val="ListBullet2"/>
      </w:pPr>
      <w:r w:rsidRPr="00B65F7F">
        <w:rPr>
          <w:rFonts w:eastAsia="Calibri"/>
        </w:rPr>
        <w:t>systems-based approach</w:t>
      </w:r>
      <w:r>
        <w:rPr>
          <w:rFonts w:eastAsia="Calibri"/>
        </w:rPr>
        <w:t>es</w:t>
      </w:r>
      <w:r w:rsidRPr="00B65F7F">
        <w:rPr>
          <w:rFonts w:eastAsia="Calibri"/>
        </w:rPr>
        <w:t xml:space="preserve"> to healthcare.</w:t>
      </w:r>
    </w:p>
    <w:p w14:paraId="4A886262" w14:textId="77777777" w:rsidR="00597B5E" w:rsidRPr="00B65F7F" w:rsidRDefault="00597B5E" w:rsidP="00B44E34">
      <w:pPr>
        <w:pStyle w:val="BodyText1stparaafterlist"/>
      </w:pPr>
      <w:r>
        <w:t>E</w:t>
      </w:r>
      <w:r w:rsidRPr="00B65F7F">
        <w:t xml:space="preserve">ach of the guiding principles identified are interdependent, mutually reinforcing and ultimately enabled and strengthened by a foundational principle: Indigenous self-determination. It is for this reason that self-determination must underpin every aspect of funding and delivery models, approaches and frameworks that aim to improve health, wellbeing and suicide rates in Indigenous communities. Key stakeholders involved in the planning, funding, commissioning, administration and evaluation of Indigenous health and wellbeing models, frameworks and approaches must centre and consider self-determination at every step and every level. </w:t>
      </w:r>
    </w:p>
    <w:p w14:paraId="6D331E7E" w14:textId="77777777" w:rsidR="00597B5E" w:rsidRPr="00B65F7F" w:rsidRDefault="00597B5E" w:rsidP="00B44E34">
      <w:pPr>
        <w:pStyle w:val="BodyText"/>
      </w:pPr>
      <w:r w:rsidRPr="00B65F7F">
        <w:t>Each guiding principle is considered in more detail below.</w:t>
      </w:r>
    </w:p>
    <w:p w14:paraId="5D25C042" w14:textId="77777777" w:rsidR="00597B5E" w:rsidRPr="00B65F7F" w:rsidRDefault="00597B5E" w:rsidP="009912B7">
      <w:pPr>
        <w:pStyle w:val="HeadingLevel3NoNumber"/>
      </w:pPr>
      <w:bookmarkStart w:id="368" w:name="_heading=h.3oy7u29" w:colFirst="0" w:colLast="0"/>
      <w:bookmarkEnd w:id="368"/>
      <w:r w:rsidRPr="00B65F7F">
        <w:t>Indigenous self-determination</w:t>
      </w:r>
    </w:p>
    <w:p w14:paraId="0C4D80D1" w14:textId="77777777" w:rsidR="00597B5E" w:rsidRPr="00B65F7F" w:rsidRDefault="00597B5E" w:rsidP="00A41213">
      <w:pPr>
        <w:pStyle w:val="BodyText"/>
        <w:spacing w:after="180"/>
      </w:pPr>
      <w:r w:rsidRPr="00B65F7F">
        <w:t>Self-determination was consistently identified as a key guiding principle for leading funding and delivery models, frameworks and approaches to support Indigenous health and wellbeing (</w:t>
      </w:r>
      <w:r w:rsidRPr="004052D7">
        <w:t>Auger</w:t>
      </w:r>
      <w:r w:rsidRPr="00B65F7F">
        <w:t xml:space="preserve"> </w:t>
      </w:r>
      <w:r>
        <w:t>et al</w:t>
      </w:r>
      <w:r w:rsidRPr="00B65F7F">
        <w:t xml:space="preserve">., 2016; </w:t>
      </w:r>
      <w:r w:rsidRPr="00DC36D5">
        <w:t>Centre</w:t>
      </w:r>
      <w:r w:rsidRPr="00B65F7F">
        <w:t xml:space="preserve"> of Best Practice in </w:t>
      </w:r>
      <w:r>
        <w:t>Aboriginal and/or Torres Strait Islander</w:t>
      </w:r>
      <w:r w:rsidRPr="00B65F7F">
        <w:t xml:space="preserve"> Suicide Prevention, </w:t>
      </w:r>
      <w:r>
        <w:t>2022</w:t>
      </w:r>
      <w:r w:rsidRPr="00B65F7F">
        <w:t xml:space="preserve">; </w:t>
      </w:r>
      <w:r w:rsidRPr="00DC36D5">
        <w:t>National</w:t>
      </w:r>
      <w:r w:rsidRPr="00B65F7F">
        <w:t xml:space="preserve"> </w:t>
      </w:r>
      <w:r>
        <w:t>Aboriginal and/or Torres Strait Islander</w:t>
      </w:r>
      <w:r w:rsidRPr="00B65F7F">
        <w:t xml:space="preserve"> Leadership in Mental Health, 2015; </w:t>
      </w:r>
      <w:r w:rsidRPr="00DC36D5">
        <w:t>Sones</w:t>
      </w:r>
      <w:r w:rsidRPr="00B65F7F">
        <w:t xml:space="preserve"> </w:t>
      </w:r>
      <w:r>
        <w:t>et al</w:t>
      </w:r>
      <w:r w:rsidRPr="00B65F7F">
        <w:t xml:space="preserve">., 2010, </w:t>
      </w:r>
      <w:r>
        <w:t>p. </w:t>
      </w:r>
      <w:r w:rsidRPr="00B65F7F">
        <w:t>61). Self-determination is the right of Indigenous peoples to participate in governing and decision-making processes that affect their lives and communities (</w:t>
      </w:r>
      <w:r w:rsidRPr="00DC36D5">
        <w:t>Department</w:t>
      </w:r>
      <w:r w:rsidRPr="00B65F7F">
        <w:t xml:space="preserve"> of Families, Fairness and Housing, 2020). Self-determination is enshrined and defined in Article 23 of the United Nations Declaration on the Rights of Indigenous Peoples – a universal framework on minimum standards to guarantee the wellbeing, </w:t>
      </w:r>
      <w:r w:rsidR="00C44EB9" w:rsidRPr="00B65F7F">
        <w:t>dignity,</w:t>
      </w:r>
      <w:r w:rsidRPr="00B65F7F">
        <w:t xml:space="preserve"> and survival of Indigenous peoples:</w:t>
      </w:r>
    </w:p>
    <w:p w14:paraId="1453876D" w14:textId="77777777" w:rsidR="00597B5E" w:rsidRPr="00696966" w:rsidRDefault="00597B5E" w:rsidP="00F76AFA">
      <w:pPr>
        <w:pStyle w:val="Quote"/>
        <w:rPr>
          <w:rFonts w:eastAsia="Calibri"/>
        </w:rPr>
      </w:pPr>
      <w:r w:rsidRPr="00696966">
        <w:rPr>
          <w:rFonts w:eastAsia="Calibri"/>
        </w:rPr>
        <w:t>Indigenous peoples have the right to determine and develop priorities and strategies for exercising their right to development. Indigenous peoples have the right to be actively involved in developing and determining health, housing and other economic and social programmes affecting them and, as far as possible, to administer such programmes through their own institutions (United Nations, 2007, p. 20).</w:t>
      </w:r>
    </w:p>
    <w:p w14:paraId="637F2E99" w14:textId="5906EFEB" w:rsidR="00597B5E" w:rsidRPr="00B65F7F" w:rsidRDefault="00597B5E" w:rsidP="00A41213">
      <w:pPr>
        <w:pStyle w:val="BodyText1stparaafterlist"/>
        <w:spacing w:before="240"/>
      </w:pPr>
      <w:r w:rsidRPr="00B65F7F">
        <w:t xml:space="preserve">Additionally, the </w:t>
      </w:r>
      <w:r w:rsidRPr="00F0334E">
        <w:t>National Agreement on Closing the Gap</w:t>
      </w:r>
      <w:r w:rsidRPr="00B65F7F">
        <w:rPr>
          <w:i/>
        </w:rPr>
        <w:t xml:space="preserve"> </w:t>
      </w:r>
      <w:r w:rsidRPr="00B65F7F">
        <w:t xml:space="preserve">(the National Agreement) ‘is underpinned by the belief that when </w:t>
      </w:r>
      <w:r>
        <w:t>Aboriginal and Torres Strait Islander</w:t>
      </w:r>
      <w:r w:rsidRPr="00B65F7F">
        <w:t xml:space="preserve"> people have a genuine say in the design and delivery of policies, programs and services that affect them, better life outcomes are achieved’ (</w:t>
      </w:r>
      <w:r w:rsidR="00A131CD" w:rsidRPr="00A131CD">
        <w:t>Department of the Prime Minister and Cabinet</w:t>
      </w:r>
      <w:r w:rsidRPr="00B65F7F">
        <w:t xml:space="preserve">, 2022). Self-determination within the National Agreement largely emphasises embedding self-determination in governance and decision-making structures and community-controlled service delivery (see Priority Reform </w:t>
      </w:r>
      <w:r>
        <w:t>1</w:t>
      </w:r>
      <w:r w:rsidRPr="00B65F7F">
        <w:t xml:space="preserve">: Formal </w:t>
      </w:r>
      <w:r>
        <w:t>p</w:t>
      </w:r>
      <w:r w:rsidRPr="00B65F7F">
        <w:t xml:space="preserve">artnerships and </w:t>
      </w:r>
      <w:r>
        <w:t>s</w:t>
      </w:r>
      <w:r w:rsidRPr="00B65F7F">
        <w:t xml:space="preserve">hared </w:t>
      </w:r>
      <w:r>
        <w:t>d</w:t>
      </w:r>
      <w:r w:rsidRPr="00B65F7F">
        <w:t>ecision-</w:t>
      </w:r>
      <w:r>
        <w:t>m</w:t>
      </w:r>
      <w:r w:rsidRPr="00B65F7F">
        <w:t>aking</w:t>
      </w:r>
      <w:r>
        <w:t>,</w:t>
      </w:r>
      <w:r w:rsidRPr="00B65F7F">
        <w:t xml:space="preserve"> and Priority Reform </w:t>
      </w:r>
      <w:r>
        <w:t>2</w:t>
      </w:r>
      <w:r w:rsidRPr="00B65F7F">
        <w:t xml:space="preserve">: Building the </w:t>
      </w:r>
      <w:r>
        <w:t>c</w:t>
      </w:r>
      <w:r w:rsidRPr="00B65F7F">
        <w:t>ommunity-</w:t>
      </w:r>
      <w:r>
        <w:t>c</w:t>
      </w:r>
      <w:r w:rsidRPr="00B65F7F">
        <w:t xml:space="preserve">ontrolled </w:t>
      </w:r>
      <w:r>
        <w:t>s</w:t>
      </w:r>
      <w:r w:rsidRPr="00B65F7F">
        <w:t>ector) (</w:t>
      </w:r>
      <w:r w:rsidRPr="00DC36D5">
        <w:t>Coalition</w:t>
      </w:r>
      <w:r w:rsidRPr="00B65F7F">
        <w:t xml:space="preserve"> of Peaks, 2020). </w:t>
      </w:r>
    </w:p>
    <w:p w14:paraId="212B80CC" w14:textId="77777777" w:rsidR="00597B5E" w:rsidRPr="00B65F7F" w:rsidRDefault="00597B5E" w:rsidP="00B44E34">
      <w:pPr>
        <w:pStyle w:val="BodyText"/>
      </w:pPr>
      <w:r w:rsidRPr="00B65F7F">
        <w:t xml:space="preserve">Self-determination is also a focal point in the </w:t>
      </w:r>
      <w:r w:rsidRPr="00B65F7F">
        <w:rPr>
          <w:i/>
        </w:rPr>
        <w:t>Wharerātā Declaration</w:t>
      </w:r>
      <w:r w:rsidRPr="00B65F7F">
        <w:t>, an international model to frame and advance Indigenous health and mental health leadership. It is grounded in the notion that effective health and wellbeing strategies must be underpinned by Indigenous knowledge systems and leadership (</w:t>
      </w:r>
      <w:r w:rsidRPr="00DC36D5">
        <w:t>Sones</w:t>
      </w:r>
      <w:r w:rsidRPr="00B65F7F">
        <w:t xml:space="preserve"> </w:t>
      </w:r>
      <w:r>
        <w:t>et al</w:t>
      </w:r>
      <w:r w:rsidRPr="00B65F7F">
        <w:t xml:space="preserve">., 2010, </w:t>
      </w:r>
      <w:r>
        <w:t>p. </w:t>
      </w:r>
      <w:r w:rsidRPr="00B65F7F">
        <w:t xml:space="preserve">61). The </w:t>
      </w:r>
      <w:r w:rsidRPr="00B65F7F">
        <w:rPr>
          <w:i/>
        </w:rPr>
        <w:t xml:space="preserve">Wharerātā Declaration </w:t>
      </w:r>
      <w:r w:rsidRPr="00B65F7F">
        <w:t xml:space="preserve">and the </w:t>
      </w:r>
      <w:r w:rsidRPr="00B65F7F">
        <w:rPr>
          <w:i/>
        </w:rPr>
        <w:t xml:space="preserve">Gayaa Dhuwi </w:t>
      </w:r>
      <w:r w:rsidRPr="00B65F7F">
        <w:t xml:space="preserve">(Proud Spirit) </w:t>
      </w:r>
      <w:r w:rsidRPr="00B65F7F">
        <w:rPr>
          <w:i/>
        </w:rPr>
        <w:t>Declaration</w:t>
      </w:r>
      <w:r w:rsidRPr="00B65F7F">
        <w:t xml:space="preserve"> – a companion declaration adapted for use in </w:t>
      </w:r>
      <w:r>
        <w:t>Aboriginal and/or Torres Strait Islander</w:t>
      </w:r>
      <w:r w:rsidRPr="00B65F7F">
        <w:t xml:space="preserve"> contexts – posits self-determination as a critical enabler of Indigenous health and wellbeing (</w:t>
      </w:r>
      <w:r w:rsidRPr="00DC36D5">
        <w:t>National</w:t>
      </w:r>
      <w:r w:rsidRPr="00B65F7F">
        <w:t xml:space="preserve"> </w:t>
      </w:r>
      <w:r>
        <w:t>Aboriginal and/or Torres Strait Islander</w:t>
      </w:r>
      <w:r w:rsidRPr="00B65F7F">
        <w:t xml:space="preserve"> Leadership in Mental Health, 2015). </w:t>
      </w:r>
    </w:p>
    <w:p w14:paraId="1CF8C417" w14:textId="77777777" w:rsidR="00597B5E" w:rsidRPr="00B65F7F" w:rsidRDefault="00597B5E" w:rsidP="00B44E34">
      <w:pPr>
        <w:pStyle w:val="BodyText"/>
      </w:pPr>
      <w:r w:rsidRPr="00B65F7F">
        <w:t>The literature articulated a clear aspiration for self-determination to be embedded in all levels and all aspects of Indigenous health and wellbeing services and programs, from inception to funding, to evaluation and improvement (</w:t>
      </w:r>
      <w:r w:rsidRPr="00DC36D5">
        <w:t>Harfield</w:t>
      </w:r>
      <w:r w:rsidRPr="00B65F7F">
        <w:t xml:space="preserve"> </w:t>
      </w:r>
      <w:r>
        <w:t>et al</w:t>
      </w:r>
      <w:r w:rsidRPr="00B65F7F">
        <w:t>., 2018). This is supported by a growing body of evidence demonstrating the positive health outcomes associated with Indigenous self-determination in health service planning and provision, including reduced hospital presentations and lower incidences of suicide (</w:t>
      </w:r>
      <w:r w:rsidRPr="00DC36D5">
        <w:t>Groves</w:t>
      </w:r>
      <w:r w:rsidRPr="00B65F7F">
        <w:t xml:space="preserve"> </w:t>
      </w:r>
      <w:r>
        <w:t>et al</w:t>
      </w:r>
      <w:r w:rsidRPr="00B65F7F">
        <w:t xml:space="preserve">., 2022). This literature review seeks to emphasise that self-determination must be incorporated as part of a whole-of-system approach, and embedded at all levels, including at community, service delivery </w:t>
      </w:r>
      <w:r>
        <w:t>and</w:t>
      </w:r>
      <w:r w:rsidRPr="00B65F7F">
        <w:t xml:space="preserve"> commissioning/procurement.</w:t>
      </w:r>
    </w:p>
    <w:p w14:paraId="0E875FC1" w14:textId="77777777" w:rsidR="00597B5E" w:rsidRPr="00B65F7F" w:rsidRDefault="00597B5E" w:rsidP="009912B7">
      <w:pPr>
        <w:pStyle w:val="HeadingLevel4NoNumber"/>
      </w:pPr>
      <w:r w:rsidRPr="00B65F7F">
        <w:t xml:space="preserve">Aboriginal community-controlled organisations </w:t>
      </w:r>
    </w:p>
    <w:p w14:paraId="7A7127D5" w14:textId="77777777" w:rsidR="00597B5E" w:rsidRPr="00B65F7F" w:rsidRDefault="00597B5E" w:rsidP="00B44E34">
      <w:pPr>
        <w:pStyle w:val="BodyText"/>
        <w:rPr>
          <w:rFonts w:eastAsia="Calibri" w:cs="Calibri"/>
          <w:color w:val="000000"/>
        </w:rPr>
      </w:pPr>
      <w:r w:rsidRPr="00B65F7F">
        <w:t xml:space="preserve">In the Australian context, </w:t>
      </w:r>
      <w:r>
        <w:t>Aboriginal and/or Torres Strait Islander</w:t>
      </w:r>
      <w:r w:rsidRPr="00B65F7F">
        <w:t xml:space="preserve"> community-controlled organisations were posited as ideal fund holders, commissioning bodies and service providers as </w:t>
      </w:r>
      <w:r>
        <w:t>Aboriginal and/or Torres Strait Islander</w:t>
      </w:r>
      <w:r w:rsidRPr="00B65F7F">
        <w:t xml:space="preserve"> community control is an inherent ‘act of self-determination’ (</w:t>
      </w:r>
      <w:r w:rsidRPr="00B40CA6">
        <w:t>Australian</w:t>
      </w:r>
      <w:r w:rsidRPr="00B65F7F">
        <w:t xml:space="preserve"> Government, 2020). The aspiration for self-determination through community-controlled service provision was articulated in the National Agreement under Priority Reform </w:t>
      </w:r>
      <w:r>
        <w:t>2</w:t>
      </w:r>
      <w:r w:rsidRPr="00B65F7F">
        <w:t xml:space="preserve"> (</w:t>
      </w:r>
      <w:r w:rsidRPr="00B40CA6">
        <w:t>Coalition</w:t>
      </w:r>
      <w:r w:rsidRPr="00B65F7F">
        <w:t xml:space="preserve"> of Peaks, 2020). </w:t>
      </w:r>
      <w:r w:rsidRPr="00B65F7F">
        <w:rPr>
          <w:rFonts w:eastAsia="Calibri" w:cs="Calibri"/>
          <w:color w:val="000000"/>
        </w:rPr>
        <w:t>Aboriginal community-controlled organisations (ACCOs) and Aboriginal community-controlled health organisations (ACCHOs) ‘have been identified as exemplars … of community governance models’ (</w:t>
      </w:r>
      <w:r w:rsidRPr="00B40CA6">
        <w:rPr>
          <w:rFonts w:eastAsia="Calibri" w:cs="Calibri"/>
          <w:color w:val="000000"/>
        </w:rPr>
        <w:t>Harfield</w:t>
      </w:r>
      <w:r w:rsidRPr="00B65F7F">
        <w:rPr>
          <w:rFonts w:eastAsia="Calibri" w:cs="Calibri"/>
          <w:color w:val="000000"/>
        </w:rPr>
        <w:t xml:space="preserve"> </w:t>
      </w:r>
      <w:r>
        <w:rPr>
          <w:rFonts w:eastAsia="Calibri" w:cs="Calibri"/>
          <w:color w:val="000000"/>
        </w:rPr>
        <w:t>et al</w:t>
      </w:r>
      <w:r w:rsidRPr="00B65F7F">
        <w:rPr>
          <w:rFonts w:eastAsia="Calibri" w:cs="Calibri"/>
          <w:color w:val="000000"/>
        </w:rPr>
        <w:t xml:space="preserve">., 2018, </w:t>
      </w:r>
      <w:r>
        <w:rPr>
          <w:rFonts w:eastAsia="Calibri" w:cs="Calibri"/>
          <w:color w:val="000000"/>
        </w:rPr>
        <w:t>p. </w:t>
      </w:r>
      <w:r w:rsidRPr="00B65F7F">
        <w:rPr>
          <w:rFonts w:eastAsia="Calibri" w:cs="Calibri"/>
          <w:color w:val="000000"/>
        </w:rPr>
        <w:t xml:space="preserve">2) and are </w:t>
      </w:r>
      <w:r w:rsidRPr="00B65F7F">
        <w:t>‘</w:t>
      </w:r>
      <w:r w:rsidRPr="00B65F7F">
        <w:rPr>
          <w:rFonts w:eastAsia="Calibri" w:cs="Calibri"/>
          <w:color w:val="000000"/>
        </w:rPr>
        <w:t>an important expression</w:t>
      </w:r>
      <w:r w:rsidRPr="00B65F7F">
        <w:t xml:space="preserve"> of the principle of self-determination’ (</w:t>
      </w:r>
      <w:r w:rsidRPr="00B40CA6">
        <w:t>McCalman</w:t>
      </w:r>
      <w:r w:rsidRPr="00B65F7F">
        <w:t xml:space="preserve"> </w:t>
      </w:r>
      <w:r>
        <w:t>et al</w:t>
      </w:r>
      <w:r w:rsidRPr="00B65F7F">
        <w:t>., 2021</w:t>
      </w:r>
      <w:r>
        <w:t>a</w:t>
      </w:r>
      <w:r w:rsidRPr="00B65F7F">
        <w:t xml:space="preserve">, </w:t>
      </w:r>
      <w:r>
        <w:t>p. </w:t>
      </w:r>
      <w:r w:rsidRPr="00B65F7F">
        <w:t>2)</w:t>
      </w:r>
      <w:r w:rsidRPr="00B65F7F">
        <w:rPr>
          <w:rFonts w:eastAsia="Calibri" w:cs="Calibri"/>
          <w:color w:val="000000"/>
        </w:rPr>
        <w:t xml:space="preserve">. ACCOs and ACCHOs operate in alignment with the same values and principles, practices, </w:t>
      </w:r>
      <w:r w:rsidR="00C44EB9" w:rsidRPr="00B65F7F">
        <w:rPr>
          <w:rFonts w:eastAsia="Calibri" w:cs="Calibri"/>
          <w:color w:val="000000"/>
        </w:rPr>
        <w:t>knowledges,</w:t>
      </w:r>
      <w:r w:rsidRPr="00B65F7F">
        <w:rPr>
          <w:rFonts w:eastAsia="Calibri" w:cs="Calibri"/>
          <w:color w:val="000000"/>
        </w:rPr>
        <w:t xml:space="preserve"> and priorities as the </w:t>
      </w:r>
      <w:r w:rsidRPr="00B40CA6">
        <w:rPr>
          <w:rFonts w:eastAsia="Calibri" w:cs="Calibri"/>
          <w:color w:val="000000"/>
        </w:rPr>
        <w:t>communities</w:t>
      </w:r>
      <w:r w:rsidRPr="00B65F7F">
        <w:rPr>
          <w:rFonts w:eastAsia="Calibri" w:cs="Calibri"/>
          <w:color w:val="000000"/>
        </w:rPr>
        <w:t xml:space="preserve"> they serve and are held accountable by (</w:t>
      </w:r>
      <w:r w:rsidRPr="00B40CA6">
        <w:rPr>
          <w:rFonts w:eastAsia="Calibri" w:cs="Calibri"/>
          <w:color w:val="000000"/>
        </w:rPr>
        <w:t>Harfield</w:t>
      </w:r>
      <w:r w:rsidRPr="00B65F7F">
        <w:rPr>
          <w:rFonts w:eastAsia="Calibri" w:cs="Calibri"/>
          <w:color w:val="000000"/>
        </w:rPr>
        <w:t xml:space="preserve"> </w:t>
      </w:r>
      <w:r>
        <w:rPr>
          <w:rFonts w:eastAsia="Calibri" w:cs="Calibri"/>
          <w:color w:val="000000"/>
        </w:rPr>
        <w:t>et al</w:t>
      </w:r>
      <w:r w:rsidRPr="00B65F7F">
        <w:rPr>
          <w:rFonts w:eastAsia="Calibri" w:cs="Calibri"/>
          <w:color w:val="000000"/>
        </w:rPr>
        <w:t xml:space="preserve">., 2018, </w:t>
      </w:r>
      <w:r>
        <w:rPr>
          <w:rFonts w:eastAsia="Calibri" w:cs="Calibri"/>
          <w:color w:val="000000"/>
        </w:rPr>
        <w:t>p. </w:t>
      </w:r>
      <w:r w:rsidRPr="00B65F7F">
        <w:rPr>
          <w:rFonts w:eastAsia="Calibri" w:cs="Calibri"/>
          <w:color w:val="000000"/>
        </w:rPr>
        <w:t xml:space="preserve">2; </w:t>
      </w:r>
      <w:r w:rsidRPr="00B40CA6">
        <w:rPr>
          <w:rFonts w:eastAsia="Calibri" w:cs="Calibri"/>
          <w:color w:val="000000"/>
        </w:rPr>
        <w:t>Ninomiya</w:t>
      </w:r>
      <w:r w:rsidRPr="00B65F7F">
        <w:rPr>
          <w:rFonts w:eastAsia="Calibri" w:cs="Calibri"/>
          <w:color w:val="000000"/>
        </w:rPr>
        <w:t xml:space="preserve"> </w:t>
      </w:r>
      <w:r>
        <w:rPr>
          <w:rFonts w:eastAsia="Calibri" w:cs="Calibri"/>
          <w:color w:val="000000"/>
        </w:rPr>
        <w:t>et al</w:t>
      </w:r>
      <w:r w:rsidRPr="00B65F7F">
        <w:rPr>
          <w:rFonts w:eastAsia="Calibri" w:cs="Calibri"/>
          <w:color w:val="000000"/>
        </w:rPr>
        <w:t xml:space="preserve">., 2020, </w:t>
      </w:r>
      <w:r>
        <w:rPr>
          <w:rFonts w:eastAsia="Calibri" w:cs="Calibri"/>
          <w:color w:val="000000"/>
        </w:rPr>
        <w:t>p. </w:t>
      </w:r>
      <w:r w:rsidRPr="00B65F7F">
        <w:rPr>
          <w:rFonts w:eastAsia="Calibri" w:cs="Calibri"/>
          <w:color w:val="000000"/>
        </w:rPr>
        <w:t>3</w:t>
      </w:r>
      <w:r w:rsidRPr="00B65F7F">
        <w:t xml:space="preserve">; </w:t>
      </w:r>
      <w:r w:rsidRPr="00B40CA6">
        <w:t>Jongen</w:t>
      </w:r>
      <w:r w:rsidRPr="00B65F7F">
        <w:t xml:space="preserve"> </w:t>
      </w:r>
      <w:r>
        <w:t>et al</w:t>
      </w:r>
      <w:r w:rsidRPr="00B65F7F">
        <w:t xml:space="preserve">., 2020, </w:t>
      </w:r>
      <w:r>
        <w:t>p. </w:t>
      </w:r>
      <w:r w:rsidRPr="00B65F7F">
        <w:t>2</w:t>
      </w:r>
      <w:r w:rsidRPr="00B65F7F">
        <w:rPr>
          <w:rFonts w:eastAsia="Calibri" w:cs="Calibri"/>
          <w:color w:val="000000"/>
        </w:rPr>
        <w:t xml:space="preserve">). Additionally, community-controlled organisations employ a substantial </w:t>
      </w:r>
      <w:r>
        <w:rPr>
          <w:rFonts w:eastAsia="Calibri" w:cs="Calibri"/>
          <w:color w:val="000000"/>
        </w:rPr>
        <w:t>Aboriginal and/or Torres Strait Islander</w:t>
      </w:r>
      <w:r w:rsidRPr="00B65F7F">
        <w:rPr>
          <w:rFonts w:eastAsia="Calibri" w:cs="Calibri"/>
          <w:color w:val="000000"/>
        </w:rPr>
        <w:t xml:space="preserve"> workforce and are the preferred care providers for many </w:t>
      </w:r>
      <w:r>
        <w:rPr>
          <w:rFonts w:eastAsia="Calibri" w:cs="Calibri"/>
          <w:color w:val="000000"/>
        </w:rPr>
        <w:t>Aboriginal and/or Torres Strait Islander</w:t>
      </w:r>
      <w:r w:rsidRPr="00B65F7F">
        <w:rPr>
          <w:rFonts w:eastAsia="Calibri" w:cs="Calibri"/>
          <w:color w:val="000000"/>
        </w:rPr>
        <w:t xml:space="preserve"> individuals and communities (</w:t>
      </w:r>
      <w:r w:rsidRPr="00B40CA6">
        <w:rPr>
          <w:rFonts w:eastAsia="Calibri" w:cs="Calibri"/>
          <w:color w:val="000000"/>
        </w:rPr>
        <w:t>Australian</w:t>
      </w:r>
      <w:r w:rsidRPr="00B65F7F">
        <w:rPr>
          <w:rFonts w:eastAsia="Calibri" w:cs="Calibri"/>
          <w:color w:val="000000"/>
        </w:rPr>
        <w:t xml:space="preserve"> Government, 2020; </w:t>
      </w:r>
      <w:r w:rsidRPr="00B40CA6">
        <w:rPr>
          <w:rFonts w:eastAsia="Calibri" w:cs="Calibri"/>
          <w:color w:val="000000"/>
        </w:rPr>
        <w:t>National</w:t>
      </w:r>
      <w:r w:rsidRPr="00B65F7F">
        <w:rPr>
          <w:rFonts w:eastAsia="Calibri" w:cs="Calibri"/>
          <w:color w:val="000000"/>
        </w:rPr>
        <w:t xml:space="preserve"> Aboriginal Community Controlled Health Organisation, 2022, </w:t>
      </w:r>
      <w:r>
        <w:rPr>
          <w:rFonts w:eastAsia="Calibri" w:cs="Calibri"/>
          <w:color w:val="000000"/>
        </w:rPr>
        <w:t>p. </w:t>
      </w:r>
      <w:r w:rsidRPr="00B65F7F">
        <w:rPr>
          <w:rFonts w:eastAsia="Calibri" w:cs="Calibri"/>
          <w:color w:val="000000"/>
        </w:rPr>
        <w:t>5). Communit</w:t>
      </w:r>
      <w:r w:rsidRPr="00B65F7F">
        <w:t xml:space="preserve">y-controlled organisations ‘improve the availability, affordability, cultural </w:t>
      </w:r>
      <w:r w:rsidR="00C44EB9" w:rsidRPr="00B65F7F">
        <w:t>accessibility,</w:t>
      </w:r>
      <w:r w:rsidRPr="00B65F7F">
        <w:t xml:space="preserve"> and appropriateness’ of primary healthcare to </w:t>
      </w:r>
      <w:r>
        <w:t>Aboriginal and/or Torres Strait Islander</w:t>
      </w:r>
      <w:r w:rsidRPr="00B65F7F">
        <w:t xml:space="preserve"> communities (</w:t>
      </w:r>
      <w:r w:rsidRPr="00B40CA6">
        <w:t>Jongen</w:t>
      </w:r>
      <w:r w:rsidRPr="00B65F7F">
        <w:t xml:space="preserve"> </w:t>
      </w:r>
      <w:r>
        <w:t>et al</w:t>
      </w:r>
      <w:r w:rsidRPr="00B65F7F">
        <w:t xml:space="preserve">., 2020, </w:t>
      </w:r>
      <w:r>
        <w:t>p. </w:t>
      </w:r>
      <w:r w:rsidRPr="00B65F7F">
        <w:t>2).</w:t>
      </w:r>
    </w:p>
    <w:p w14:paraId="62120379" w14:textId="77777777" w:rsidR="00597B5E" w:rsidRPr="00B65F7F" w:rsidRDefault="00597B5E" w:rsidP="00B44E34">
      <w:pPr>
        <w:pStyle w:val="BodyText"/>
        <w:rPr>
          <w:highlight w:val="yellow"/>
        </w:rPr>
      </w:pPr>
      <w:r w:rsidRPr="00B65F7F">
        <w:t>In the delivery of place-based, holistic and comprehensive care services tailored to the needs of their local communities, ACCOS and ACCHOs acquire and coordinate multiple sources of funding (</w:t>
      </w:r>
      <w:r w:rsidRPr="00B40CA6">
        <w:t>Page</w:t>
      </w:r>
      <w:r w:rsidRPr="00B65F7F">
        <w:t xml:space="preserve"> </w:t>
      </w:r>
      <w:r>
        <w:t>et al</w:t>
      </w:r>
      <w:r w:rsidRPr="00B65F7F">
        <w:t xml:space="preserve">., 2022, </w:t>
      </w:r>
      <w:r>
        <w:t>p. </w:t>
      </w:r>
      <w:r w:rsidRPr="00B65F7F">
        <w:t>181). This includes distributing funding to and commissioning service providers to complete health and wellbeing-related activities, as well as undertaking reporting and administrative processes in alignment with funding agreements. </w:t>
      </w:r>
    </w:p>
    <w:p w14:paraId="681C24C7" w14:textId="77777777" w:rsidR="00597B5E" w:rsidRPr="00B65F7F" w:rsidRDefault="00597B5E" w:rsidP="009912B7">
      <w:pPr>
        <w:pStyle w:val="HeadingLevel4NoNumber"/>
      </w:pPr>
      <w:bookmarkStart w:id="369" w:name="_heading=h.b648f1g1x3m" w:colFirst="0" w:colLast="0"/>
      <w:bookmarkEnd w:id="369"/>
      <w:r w:rsidRPr="00B65F7F">
        <w:t>Capacity building</w:t>
      </w:r>
    </w:p>
    <w:p w14:paraId="1ABBCEBF" w14:textId="77777777" w:rsidR="00597B5E" w:rsidRPr="00B65F7F" w:rsidRDefault="00597B5E" w:rsidP="00B44E34">
      <w:pPr>
        <w:pStyle w:val="BodyText"/>
      </w:pPr>
      <w:r w:rsidRPr="00B65F7F">
        <w:t>The United Nations defines capacity building as ‘the process of developing and strengthening the skills, instincts, abilities, processes and resources that organisations and communities need to survive, adapt, and thrive in a fast-changing world’ (</w:t>
      </w:r>
      <w:r>
        <w:t>United Nation</w:t>
      </w:r>
      <w:r w:rsidRPr="00B40CA6">
        <w:t>s, n.d.).</w:t>
      </w:r>
      <w:r w:rsidRPr="00B65F7F">
        <w:t xml:space="preserve"> Funding and delivery models, frameworks and approaches should allocate adequate resources to facilitate capacity-building initiatives and activities in Indigenous communities and organisations to promote meaningful outcomes and enable them to determine how their health and wellbeing services and programs are funded, administered and delivered.</w:t>
      </w:r>
    </w:p>
    <w:p w14:paraId="31F730CE" w14:textId="77777777" w:rsidR="00597B5E" w:rsidRPr="0043288D" w:rsidRDefault="00597B5E" w:rsidP="009912B7">
      <w:pPr>
        <w:pStyle w:val="HeadingLevel4NoNumber"/>
      </w:pPr>
      <w:r w:rsidRPr="0043288D">
        <w:t>Data sovereignty</w:t>
      </w:r>
    </w:p>
    <w:p w14:paraId="73182A3F" w14:textId="77777777" w:rsidR="00597B5E" w:rsidRPr="00B65F7F" w:rsidRDefault="00597B5E" w:rsidP="00B44E34">
      <w:pPr>
        <w:pStyle w:val="BodyText"/>
      </w:pPr>
      <w:r w:rsidRPr="00B65F7F">
        <w:t xml:space="preserve">Indigenous Data Sovereignty is underpinned by </w:t>
      </w:r>
      <w:r>
        <w:t>‘</w:t>
      </w:r>
      <w:r w:rsidRPr="00B65F7F">
        <w:t>the right of Indigenous peoples to govern the creation, collection, ownership and application of their data</w:t>
      </w:r>
      <w:r>
        <w:t>’</w:t>
      </w:r>
      <w:r w:rsidRPr="00B65F7F">
        <w:t xml:space="preserve"> (</w:t>
      </w:r>
      <w:r w:rsidRPr="006340A7">
        <w:t>Maiam</w:t>
      </w:r>
      <w:r w:rsidRPr="00B65F7F">
        <w:t xml:space="preserve"> nayru Wingar</w:t>
      </w:r>
      <w:r>
        <w:t>a and/or Torres Strait Islander</w:t>
      </w:r>
      <w:r w:rsidRPr="00B65F7F">
        <w:t xml:space="preserve"> Data Sovereignty Collective &amp; the Australian Indigenous Governance Institute, 2018). The following protocols and principles have been developed by Maiam nayru Wingar</w:t>
      </w:r>
      <w:r>
        <w:t>a and/or Torres Strait Islander</w:t>
      </w:r>
      <w:r w:rsidRPr="00B65F7F">
        <w:t xml:space="preserve"> Data Sovereignty Collective and the Australian Indigenous Governance Institute (</w:t>
      </w:r>
      <w:r w:rsidRPr="006340A7">
        <w:t>2018</w:t>
      </w:r>
      <w:r w:rsidRPr="00B65F7F">
        <w:t>):</w:t>
      </w:r>
    </w:p>
    <w:p w14:paraId="0119A3CF" w14:textId="77777777" w:rsidR="00597B5E" w:rsidRPr="001158D6" w:rsidRDefault="00597B5E" w:rsidP="003B07D3">
      <w:pPr>
        <w:pStyle w:val="List1"/>
        <w:numPr>
          <w:ilvl w:val="0"/>
          <w:numId w:val="14"/>
        </w:numPr>
      </w:pPr>
      <w:r w:rsidRPr="001158D6">
        <w:t>Exercise control of the data ecosystem including creation, development, stewardship, analysis and dissemination and infrastructure</w:t>
      </w:r>
    </w:p>
    <w:p w14:paraId="4FADE57C" w14:textId="77777777" w:rsidR="00597B5E" w:rsidRPr="00B65F7F" w:rsidRDefault="00597B5E" w:rsidP="00B44E34">
      <w:pPr>
        <w:pStyle w:val="List1"/>
      </w:pPr>
      <w:r w:rsidRPr="00B65F7F">
        <w:t>Data that is contextual and aggregated</w:t>
      </w:r>
    </w:p>
    <w:p w14:paraId="5D49A31C" w14:textId="77777777" w:rsidR="00597B5E" w:rsidRPr="00B65F7F" w:rsidRDefault="00597B5E" w:rsidP="00B44E34">
      <w:pPr>
        <w:pStyle w:val="List1"/>
      </w:pPr>
      <w:r w:rsidRPr="00B65F7F">
        <w:t>Data that is relevant and empowers sustainable self-determination and effective self-governance</w:t>
      </w:r>
    </w:p>
    <w:p w14:paraId="6D033F0A" w14:textId="77777777" w:rsidR="00597B5E" w:rsidRPr="00B65F7F" w:rsidRDefault="00597B5E" w:rsidP="00B44E34">
      <w:pPr>
        <w:pStyle w:val="List1"/>
      </w:pPr>
      <w:r w:rsidRPr="00B65F7F">
        <w:t>Data structures that are accountable to Indigenous peoples and First Nations</w:t>
      </w:r>
    </w:p>
    <w:p w14:paraId="3096429E" w14:textId="77777777" w:rsidR="00597B5E" w:rsidRPr="00B65F7F" w:rsidRDefault="00597B5E" w:rsidP="00B44E34">
      <w:pPr>
        <w:pStyle w:val="List1"/>
      </w:pPr>
      <w:r w:rsidRPr="00B65F7F">
        <w:t>Data that are protective and respects our individual and collective interests</w:t>
      </w:r>
    </w:p>
    <w:p w14:paraId="0F86751A" w14:textId="77777777" w:rsidR="00597B5E" w:rsidRPr="00B65F7F" w:rsidRDefault="00597B5E" w:rsidP="00B44E34">
      <w:pPr>
        <w:pStyle w:val="BodyText1stparaafterlist"/>
      </w:pPr>
      <w:r w:rsidRPr="00B65F7F">
        <w:t>Data sovereignty should be reflected in the monitoring and evaluation stages of service/program funding and delivery, including ensuring data sovereignty requirements are factored into the design of reporting frameworks.</w:t>
      </w:r>
    </w:p>
    <w:p w14:paraId="344727C9" w14:textId="77777777" w:rsidR="00597B5E" w:rsidRPr="00B65F7F" w:rsidRDefault="00597B5E" w:rsidP="009912B7">
      <w:pPr>
        <w:pStyle w:val="HeadingLevel3NoNumber"/>
      </w:pPr>
      <w:bookmarkStart w:id="370" w:name="_heading=h.243i4a2" w:colFirst="0" w:colLast="0"/>
      <w:bookmarkEnd w:id="370"/>
      <w:r w:rsidRPr="00B65F7F">
        <w:t>Community partnerships, co-design and ownership</w:t>
      </w:r>
    </w:p>
    <w:p w14:paraId="28CE0C7C" w14:textId="77777777" w:rsidR="00597B5E" w:rsidRPr="00B65F7F" w:rsidRDefault="00597B5E" w:rsidP="00B44E34">
      <w:pPr>
        <w:pStyle w:val="BodyText"/>
      </w:pPr>
      <w:r w:rsidRPr="00F216AB">
        <w:t>Strong community partnership</w:t>
      </w:r>
      <w:r w:rsidRPr="00B65F7F">
        <w:t>s, meaningful co-design and ownership are key characteristics of successful commissioning, funding and delivery models, frameworks and approaches aimed at improving Indigenous health and wellbeing. Empowering Indigenous communities to lead, define, design and manage their health and wellbeing services and utilise their cultural knowledge can contribute to improved health, social and economic outcomes (</w:t>
      </w:r>
      <w:r w:rsidRPr="006340A7">
        <w:t>Brooks</w:t>
      </w:r>
      <w:r w:rsidRPr="00B65F7F">
        <w:t xml:space="preserve">-Cleator </w:t>
      </w:r>
      <w:r>
        <w:t>et al</w:t>
      </w:r>
      <w:r w:rsidRPr="00B65F7F">
        <w:t xml:space="preserve">., 2018, </w:t>
      </w:r>
      <w:r>
        <w:t>p. </w:t>
      </w:r>
      <w:r w:rsidRPr="00B65F7F">
        <w:t xml:space="preserve">209; </w:t>
      </w:r>
      <w:r w:rsidRPr="006340A7">
        <w:t>Ninomiya</w:t>
      </w:r>
      <w:r w:rsidRPr="00B65F7F">
        <w:t xml:space="preserve"> </w:t>
      </w:r>
      <w:r>
        <w:t>et al</w:t>
      </w:r>
      <w:r w:rsidRPr="00B65F7F">
        <w:t xml:space="preserve">., 2020, </w:t>
      </w:r>
      <w:r>
        <w:t>p. </w:t>
      </w:r>
      <w:r w:rsidRPr="00B65F7F">
        <w:t xml:space="preserve">3; </w:t>
      </w:r>
      <w:r w:rsidRPr="006340A7">
        <w:t>Thunderbird</w:t>
      </w:r>
      <w:r w:rsidRPr="00B65F7F">
        <w:t xml:space="preserve"> Partnership Foundation &amp; Health Canada, 2015, </w:t>
      </w:r>
      <w:r>
        <w:t>p. </w:t>
      </w:r>
      <w:r w:rsidRPr="00B65F7F">
        <w:t>15). This is because community participation facilitates Indigenous governance and builds a sense of collective ownership and responsibility for the service/program and its outcomes, thereby securing buy-in and increasing service user uptake (</w:t>
      </w:r>
      <w:r w:rsidRPr="006340A7">
        <w:t>Department</w:t>
      </w:r>
      <w:r w:rsidRPr="00B65F7F">
        <w:t xml:space="preserve"> of Health and Aged Care, 2022, p</w:t>
      </w:r>
      <w:r>
        <w:t>p. </w:t>
      </w:r>
      <w:r w:rsidRPr="00B65F7F">
        <w:t>9–10). </w:t>
      </w:r>
    </w:p>
    <w:p w14:paraId="03C1A8F3" w14:textId="77777777" w:rsidR="00597B5E" w:rsidRPr="00B65F7F" w:rsidRDefault="00597B5E" w:rsidP="00B44E34">
      <w:pPr>
        <w:pStyle w:val="BodyText"/>
      </w:pPr>
      <w:r w:rsidRPr="00B65F7F">
        <w:t>All stages and aspects of the commissioning process, including developing funding arrangements</w:t>
      </w:r>
      <w:r>
        <w:t xml:space="preserve"> </w:t>
      </w:r>
      <w:r w:rsidRPr="00B65F7F">
        <w:t>and undertaking service planning, provision and evaluation should respect and reflect the expertise of Indigenous peoples and align with the self-determined needs of Indigenous communities (</w:t>
      </w:r>
      <w:r w:rsidRPr="006340A7">
        <w:t>Department</w:t>
      </w:r>
      <w:r w:rsidRPr="00B65F7F">
        <w:t xml:space="preserve"> of Health, 2016a, </w:t>
      </w:r>
      <w:r>
        <w:t>p. </w:t>
      </w:r>
      <w:r w:rsidRPr="00B65F7F">
        <w:t xml:space="preserve">6; </w:t>
      </w:r>
      <w:r w:rsidRPr="006340A7">
        <w:t>Harfield</w:t>
      </w:r>
      <w:r w:rsidRPr="00B65F7F">
        <w:t xml:space="preserve"> </w:t>
      </w:r>
      <w:r>
        <w:t>et al</w:t>
      </w:r>
      <w:r w:rsidRPr="00B65F7F">
        <w:t xml:space="preserve">., 2018, </w:t>
      </w:r>
      <w:r>
        <w:t>p. </w:t>
      </w:r>
      <w:r w:rsidRPr="00B65F7F">
        <w:t xml:space="preserve">7; </w:t>
      </w:r>
      <w:r w:rsidRPr="006340A7">
        <w:t>Rosenberg</w:t>
      </w:r>
      <w:r w:rsidRPr="00B65F7F">
        <w:t xml:space="preserve"> &amp; Roberts, 2021, </w:t>
      </w:r>
      <w:r>
        <w:t>p. </w:t>
      </w:r>
      <w:r w:rsidRPr="00B65F7F">
        <w:t xml:space="preserve">163; </w:t>
      </w:r>
      <w:r w:rsidRPr="006340A7">
        <w:t>Eni</w:t>
      </w:r>
      <w:r w:rsidRPr="00B65F7F">
        <w:t xml:space="preserve"> </w:t>
      </w:r>
      <w:r>
        <w:t>et al</w:t>
      </w:r>
      <w:r w:rsidRPr="00B65F7F">
        <w:t>.</w:t>
      </w:r>
      <w:r>
        <w:t>,</w:t>
      </w:r>
      <w:r w:rsidRPr="00B65F7F">
        <w:t xml:space="preserve"> </w:t>
      </w:r>
      <w:r>
        <w:t>2021</w:t>
      </w:r>
      <w:r w:rsidRPr="00B65F7F">
        <w:t xml:space="preserve">, </w:t>
      </w:r>
      <w:r>
        <w:t>p. </w:t>
      </w:r>
      <w:r w:rsidRPr="00B65F7F">
        <w:t>8). This should be characterised by service models being developed in response to the needs of Indigenous communities, rather than service models adapting to the needs of Indigenous communities (</w:t>
      </w:r>
      <w:r w:rsidRPr="006340A7">
        <w:t>Nous</w:t>
      </w:r>
      <w:r w:rsidRPr="00B65F7F">
        <w:t>, n.d.). Governments, commissioning bodies and service providers should actively partner and collaborate with Indigenous stakeholders, communities, leaders and health service users in the co-design of health and wellbeing services throughout the commissioning process (</w:t>
      </w:r>
      <w:r w:rsidRPr="006340A7">
        <w:t>Dreise</w:t>
      </w:r>
      <w:r w:rsidRPr="00B65F7F">
        <w:t xml:space="preserve"> &amp; Mazurski, 2018, </w:t>
      </w:r>
      <w:r>
        <w:t>p. </w:t>
      </w:r>
      <w:r w:rsidRPr="00B65F7F">
        <w:t xml:space="preserve">5; </w:t>
      </w:r>
      <w:r w:rsidRPr="006340A7">
        <w:t>National</w:t>
      </w:r>
      <w:r w:rsidRPr="00B65F7F">
        <w:t xml:space="preserve"> </w:t>
      </w:r>
      <w:r>
        <w:t>Aboriginal and/or Torres Strait Islander</w:t>
      </w:r>
      <w:r w:rsidRPr="00B65F7F">
        <w:t xml:space="preserve"> Leadership in Mental Health 2015; </w:t>
      </w:r>
      <w:r w:rsidRPr="006340A7">
        <w:t>Gardner</w:t>
      </w:r>
      <w:r w:rsidRPr="00B65F7F">
        <w:t xml:space="preserve"> </w:t>
      </w:r>
      <w:r>
        <w:t>et al</w:t>
      </w:r>
      <w:r w:rsidRPr="00B65F7F">
        <w:t xml:space="preserve">., 2016, </w:t>
      </w:r>
      <w:r>
        <w:t>p. </w:t>
      </w:r>
      <w:r w:rsidRPr="00B65F7F">
        <w:t xml:space="preserve">47). These partnerships should be meaningful and mutually beneficial; knowledge and expertise should be shared; and capacity-building efforts should be undertaken to work towards Priority Reform </w:t>
      </w:r>
      <w:r>
        <w:t>2</w:t>
      </w:r>
      <w:r w:rsidRPr="00B65F7F">
        <w:t xml:space="preserve"> of the National Agreement on Closing the Gap (</w:t>
      </w:r>
      <w:r w:rsidRPr="006340A7">
        <w:t>Australian</w:t>
      </w:r>
      <w:r w:rsidRPr="00B65F7F">
        <w:t xml:space="preserve"> Government, 2020; </w:t>
      </w:r>
      <w:r w:rsidRPr="006340A7">
        <w:t>Department</w:t>
      </w:r>
      <w:r w:rsidRPr="00B65F7F">
        <w:t xml:space="preserve"> of Health and Human Services, 2017, </w:t>
      </w:r>
      <w:r>
        <w:t>p. </w:t>
      </w:r>
      <w:r w:rsidRPr="00B65F7F">
        <w:t>12). </w:t>
      </w:r>
    </w:p>
    <w:p w14:paraId="377B12B9" w14:textId="77777777" w:rsidR="00597B5E" w:rsidRPr="00B65F7F" w:rsidRDefault="00597B5E" w:rsidP="009912B7">
      <w:pPr>
        <w:pStyle w:val="HeadingLevel3NoNumber"/>
      </w:pPr>
      <w:bookmarkStart w:id="371" w:name="_heading=h.j8sehv" w:colFirst="0" w:colLast="0"/>
      <w:bookmarkEnd w:id="371"/>
      <w:r w:rsidRPr="00B65F7F">
        <w:t>Strengths-based and place-based approaches</w:t>
      </w:r>
    </w:p>
    <w:p w14:paraId="078A0FA3" w14:textId="77777777" w:rsidR="00597B5E" w:rsidRPr="00B65F7F" w:rsidRDefault="00597B5E" w:rsidP="00B44E34">
      <w:pPr>
        <w:pStyle w:val="BodyText"/>
      </w:pPr>
      <w:r w:rsidRPr="00B65F7F">
        <w:t>Strengths-based and place-based approaches are not only interdependent but are underpinned by community participation, ownership and partnership and by self-determination. These approaches require commissioning and funding bodies to recognise and consider the strengths of communities and service providers to address the health and wellbeing challenges they are experiencing and ‘support transformational, holistic, and sustainable community development’ (</w:t>
      </w:r>
      <w:r w:rsidRPr="008D4B9B">
        <w:t>Stewart</w:t>
      </w:r>
      <w:r w:rsidRPr="00B65F7F">
        <w:t xml:space="preserve"> </w:t>
      </w:r>
      <w:r>
        <w:t>et al</w:t>
      </w:r>
      <w:r w:rsidRPr="00B65F7F">
        <w:t xml:space="preserve">., 2011, </w:t>
      </w:r>
      <w:r>
        <w:t>p. </w:t>
      </w:r>
      <w:r w:rsidRPr="00B65F7F">
        <w:t xml:space="preserve">9; </w:t>
      </w:r>
      <w:r w:rsidRPr="008D4B9B">
        <w:t>Coalition</w:t>
      </w:r>
      <w:r w:rsidRPr="00B65F7F">
        <w:t xml:space="preserve"> of Peaks, 2022, </w:t>
      </w:r>
      <w:r>
        <w:t>p. </w:t>
      </w:r>
      <w:r w:rsidRPr="00B65F7F">
        <w:t>24). </w:t>
      </w:r>
    </w:p>
    <w:p w14:paraId="56869E2E" w14:textId="77777777" w:rsidR="00597B5E" w:rsidRPr="00B65F7F" w:rsidRDefault="00597B5E" w:rsidP="00B44E34">
      <w:pPr>
        <w:pStyle w:val="BodyText"/>
        <w:keepLines/>
        <w:rPr>
          <w:highlight w:val="yellow"/>
        </w:rPr>
      </w:pPr>
      <w:r w:rsidRPr="00B65F7F">
        <w:t>Additionally, commissioning and funding bodies should actively engage local service providers and community members to design and implement a service and/or program (including the underlying funding approach for that service or program) that responds to complex, intersecting issues and requires a response characterised by long-term and sometimes cross-sectoral partnerships (</w:t>
      </w:r>
      <w:r w:rsidRPr="00B17288">
        <w:t>Department</w:t>
      </w:r>
      <w:r w:rsidRPr="00B65F7F">
        <w:t xml:space="preserve"> of Communities, Housing and Digital Economy, 2021; </w:t>
      </w:r>
      <w:r w:rsidRPr="00B17288">
        <w:t>Victorian</w:t>
      </w:r>
      <w:r w:rsidRPr="00B65F7F">
        <w:t xml:space="preserve"> Government, 2021). By engaging local community members, commissioning and funding bodies can leverage existing community knowledge, including understandings of geography, the community more broadly, leadership expectations and traditional methods of health provision (</w:t>
      </w:r>
      <w:r w:rsidRPr="00B17288">
        <w:t>Eni</w:t>
      </w:r>
      <w:r w:rsidRPr="00B65F7F">
        <w:t xml:space="preserve"> </w:t>
      </w:r>
      <w:r>
        <w:t>et al</w:t>
      </w:r>
      <w:r w:rsidRPr="00B65F7F">
        <w:t xml:space="preserve">., </w:t>
      </w:r>
      <w:r>
        <w:t>2021</w:t>
      </w:r>
      <w:r w:rsidRPr="00B65F7F">
        <w:t xml:space="preserve">, </w:t>
      </w:r>
      <w:r>
        <w:t>p. </w:t>
      </w:r>
      <w:r w:rsidRPr="00B65F7F">
        <w:t xml:space="preserve">6; </w:t>
      </w:r>
      <w:r w:rsidRPr="00B17288">
        <w:t>Gardner</w:t>
      </w:r>
      <w:r w:rsidRPr="00B65F7F">
        <w:t xml:space="preserve"> </w:t>
      </w:r>
      <w:r>
        <w:t>et al</w:t>
      </w:r>
      <w:r w:rsidRPr="00B65F7F">
        <w:t xml:space="preserve">., 2016, </w:t>
      </w:r>
      <w:r>
        <w:t>p. </w:t>
      </w:r>
      <w:r w:rsidRPr="00B65F7F">
        <w:t>47).</w:t>
      </w:r>
    </w:p>
    <w:p w14:paraId="056F2CDF" w14:textId="77777777" w:rsidR="00597B5E" w:rsidRPr="00B65F7F" w:rsidRDefault="00597B5E" w:rsidP="009912B7">
      <w:pPr>
        <w:pStyle w:val="HeadingLevel3NoNumber"/>
      </w:pPr>
      <w:bookmarkStart w:id="372" w:name="_heading=h.338fx5o" w:colFirst="0" w:colLast="0"/>
      <w:bookmarkEnd w:id="372"/>
      <w:r w:rsidRPr="00B65F7F">
        <w:t>I</w:t>
      </w:r>
      <w:r w:rsidRPr="00AD2272">
        <w:t>ndigenous g</w:t>
      </w:r>
      <w:r w:rsidRPr="00B65F7F">
        <w:t>overnance and leadership</w:t>
      </w:r>
    </w:p>
    <w:p w14:paraId="1519188B" w14:textId="77777777" w:rsidR="00597B5E" w:rsidRPr="00B65F7F" w:rsidRDefault="00597B5E" w:rsidP="00B44E34">
      <w:pPr>
        <w:pStyle w:val="BodyText"/>
      </w:pPr>
      <w:r w:rsidRPr="00B65F7F">
        <w:t>Governance structures should facilitate the membership of and strong partnerships with Indigenous health service users and communities to lead in the decision-making processes that shape their health and wellbeing (</w:t>
      </w:r>
      <w:r w:rsidRPr="00B17288">
        <w:t>National</w:t>
      </w:r>
      <w:r w:rsidRPr="00B65F7F">
        <w:t xml:space="preserve"> </w:t>
      </w:r>
      <w:r>
        <w:t>Aboriginal and/or Torres Strait Islander</w:t>
      </w:r>
      <w:r w:rsidRPr="00B65F7F">
        <w:t xml:space="preserve"> Leadership in Mental Health, 2015, </w:t>
      </w:r>
      <w:r>
        <w:t>p. </w:t>
      </w:r>
      <w:r w:rsidRPr="00B65F7F">
        <w:t xml:space="preserve">3; </w:t>
      </w:r>
      <w:r w:rsidRPr="00B17288">
        <w:t>Nunkuwarrin</w:t>
      </w:r>
      <w:r w:rsidRPr="00B65F7F">
        <w:t xml:space="preserve"> Yunti of South Australia, 2019, </w:t>
      </w:r>
      <w:r>
        <w:t>p. </w:t>
      </w:r>
      <w:r w:rsidRPr="00B65F7F">
        <w:t>6). Partnerships should be founded on reciprocated trust and respect, which can be developed over time through genuine efforts to centre self-determination and the provision of culturally competent and safe partnerships that value Indigenous knowledge systems (</w:t>
      </w:r>
      <w:r w:rsidRPr="00B17288">
        <w:t>Brooks</w:t>
      </w:r>
      <w:r w:rsidRPr="00B65F7F">
        <w:t xml:space="preserve">-Cleator </w:t>
      </w:r>
      <w:r>
        <w:t>et al</w:t>
      </w:r>
      <w:r w:rsidRPr="00B65F7F">
        <w:t xml:space="preserve">., 2018, </w:t>
      </w:r>
      <w:r>
        <w:t>p. </w:t>
      </w:r>
      <w:r w:rsidRPr="00B65F7F">
        <w:t>209). </w:t>
      </w:r>
    </w:p>
    <w:p w14:paraId="7ECF4271" w14:textId="77777777" w:rsidR="00597B5E" w:rsidRPr="00B65F7F" w:rsidRDefault="00597B5E" w:rsidP="00B44E34">
      <w:pPr>
        <w:pStyle w:val="BodyText"/>
      </w:pPr>
      <w:r w:rsidRPr="00B65F7F">
        <w:t xml:space="preserve">Distinct from corporate and organisational governance, </w:t>
      </w:r>
      <w:r>
        <w:t>Aboriginal and/or Torres Strait Islander</w:t>
      </w:r>
      <w:r w:rsidRPr="00B65F7F">
        <w:t xml:space="preserve"> governance systems are based on shared cultural values and traditions that inform the structure, processes and systems used by </w:t>
      </w:r>
      <w:r>
        <w:t>Aboriginal and/or Torres Strait Islander</w:t>
      </w:r>
      <w:r w:rsidRPr="00B65F7F">
        <w:t xml:space="preserve"> communiti</w:t>
      </w:r>
      <w:r w:rsidRPr="00B17288">
        <w:t>es (Agreements Treaties and Negotiated Settlements, 2020; Harfield et al., 2018, pp. 4–6). These systems include decision-making processes, economic and social activities, systems of law, tradition and rules, values and beliefs, leadership and accountability structures, and relationships and networks (Agreements Trea</w:t>
      </w:r>
      <w:r w:rsidRPr="00B65F7F">
        <w:t xml:space="preserve">ties and Negotiated Settlements, 2020; </w:t>
      </w:r>
      <w:r w:rsidRPr="00B17288">
        <w:t>Australian</w:t>
      </w:r>
      <w:r w:rsidRPr="00B65F7F">
        <w:t xml:space="preserve"> Indigenous Governance Institute, n.d.; </w:t>
      </w:r>
      <w:r w:rsidRPr="00B17288">
        <w:t>Smith</w:t>
      </w:r>
      <w:r w:rsidRPr="00B65F7F">
        <w:t xml:space="preserve">, 2015, </w:t>
      </w:r>
      <w:r>
        <w:t>p. </w:t>
      </w:r>
      <w:r w:rsidRPr="00B65F7F">
        <w:t xml:space="preserve">14). </w:t>
      </w:r>
      <w:r>
        <w:t>Aboriginal and/or Torres Strait Islander</w:t>
      </w:r>
      <w:r w:rsidRPr="00B65F7F">
        <w:t xml:space="preserve"> governance structures and processes centre kinship, community, relationships and networks, mutual responsibility, resource sharing, the role of Elders and </w:t>
      </w:r>
      <w:r>
        <w:t>T</w:t>
      </w:r>
      <w:r w:rsidRPr="00B65F7F">
        <w:t xml:space="preserve">raditional </w:t>
      </w:r>
      <w:r>
        <w:t>O</w:t>
      </w:r>
      <w:r w:rsidRPr="00B65F7F">
        <w:t>wners and Country (</w:t>
      </w:r>
      <w:r w:rsidRPr="00B17288">
        <w:t>Australian</w:t>
      </w:r>
      <w:r w:rsidRPr="00B65F7F">
        <w:t xml:space="preserve"> Indigenous Governance Institute, n.d.). </w:t>
      </w:r>
    </w:p>
    <w:p w14:paraId="7034E0DC" w14:textId="77777777" w:rsidR="00597B5E" w:rsidRPr="00B65F7F" w:rsidRDefault="00597B5E" w:rsidP="009912B7">
      <w:pPr>
        <w:pStyle w:val="HeadingLevel4NoNumber"/>
      </w:pPr>
      <w:r w:rsidRPr="00B65F7F">
        <w:t>Two-way governance practices</w:t>
      </w:r>
    </w:p>
    <w:p w14:paraId="37A342D8" w14:textId="77777777" w:rsidR="00597B5E" w:rsidRPr="00B65F7F" w:rsidRDefault="00597B5E" w:rsidP="00B44E34">
      <w:pPr>
        <w:pStyle w:val="BodyText"/>
      </w:pPr>
      <w:r w:rsidRPr="00B65F7F">
        <w:t>Successful and effective two-way governance practices were highlighted as key enablers of success in Indigenous organisations, programs and services. Two-way governance refers to utilising Indigenous and non-Indigenous practices to create a cross-cultural governance structure. It was noted that effective two-way governance structures and practices rely on relevant Indigenous communities having decision-making abilities and the opportunity to set priorities and define their own governance processes (</w:t>
      </w:r>
      <w:r w:rsidRPr="00B17288">
        <w:t>Agreements</w:t>
      </w:r>
      <w:r w:rsidRPr="00B65F7F">
        <w:t xml:space="preserve"> Treaties and Negotiated Settlements, 2020; </w:t>
      </w:r>
      <w:r w:rsidRPr="00B17288">
        <w:t>Cawthorn</w:t>
      </w:r>
      <w:r w:rsidRPr="00B65F7F">
        <w:t>, 2021). These processes should be guided by the local community’s ‘laws, culture, language and aspirations’ and supported by corporate governance knowledge (</w:t>
      </w:r>
      <w:r w:rsidRPr="00B17288">
        <w:t>Smith</w:t>
      </w:r>
      <w:r w:rsidRPr="00B65F7F">
        <w:t>, 2015, p</w:t>
      </w:r>
      <w:r>
        <w:t>p. </w:t>
      </w:r>
      <w:r w:rsidRPr="00B65F7F">
        <w:t>85–86). </w:t>
      </w:r>
    </w:p>
    <w:p w14:paraId="0D483A1B" w14:textId="77777777" w:rsidR="00597B5E" w:rsidRPr="00B65F7F" w:rsidRDefault="00597B5E" w:rsidP="00B44E34">
      <w:pPr>
        <w:pStyle w:val="BodyText"/>
      </w:pPr>
      <w:r w:rsidRPr="00B65F7F">
        <w:t xml:space="preserve">While two-way governance was highlighted as a leading practice governance model, it should be noted that some </w:t>
      </w:r>
      <w:r>
        <w:t>‘</w:t>
      </w:r>
      <w:r w:rsidRPr="00B65F7F">
        <w:t>best-of-both-worlds</w:t>
      </w:r>
      <w:r>
        <w:t>’</w:t>
      </w:r>
      <w:r w:rsidRPr="00B65F7F">
        <w:t xml:space="preserve"> approaches are founded on colonial binaries. Colonial binaries construct a relation of opposition and hierarchy, in which one category is imbued with notions of superiority and validity and the other is subsequently devalued (</w:t>
      </w:r>
      <w:r w:rsidRPr="00B17288">
        <w:t>Ochoa</w:t>
      </w:r>
      <w:r w:rsidRPr="00B65F7F">
        <w:t>, 1996). These comparative colonial framings often fail to recognise the unique advantages of Indigenous frameworks and approaches to Indigenous health and wellbeing. </w:t>
      </w:r>
    </w:p>
    <w:p w14:paraId="26E9C4EC" w14:textId="77777777" w:rsidR="00597B5E" w:rsidRPr="00B65F7F" w:rsidRDefault="00597B5E" w:rsidP="009912B7">
      <w:pPr>
        <w:pStyle w:val="HeadingLevel4NoNumber"/>
      </w:pPr>
      <w:r w:rsidRPr="00B65F7F">
        <w:t>Reciprocal accountability</w:t>
      </w:r>
    </w:p>
    <w:p w14:paraId="71346487" w14:textId="77777777" w:rsidR="00597B5E" w:rsidRPr="00B65F7F" w:rsidRDefault="00597B5E" w:rsidP="00B44E34">
      <w:pPr>
        <w:pStyle w:val="BodyText"/>
      </w:pPr>
      <w:r w:rsidRPr="00B65F7F">
        <w:t>Reciprocal accountability is ultimately rooted in concepts of mutual respect and trust and an ‘Indigenous relational epistemology’ (</w:t>
      </w:r>
      <w:r w:rsidRPr="00B17288">
        <w:t>Lindstrom</w:t>
      </w:r>
      <w:r w:rsidRPr="00B65F7F">
        <w:t xml:space="preserve">, 2022, </w:t>
      </w:r>
      <w:r>
        <w:t>p. </w:t>
      </w:r>
      <w:r w:rsidRPr="00B65F7F">
        <w:t>126). Reciprocal accountability is a ‘non-hierarchical arrangement’ (</w:t>
      </w:r>
      <w:r w:rsidRPr="00B17288">
        <w:t>Kornelsen</w:t>
      </w:r>
      <w:r w:rsidRPr="00B65F7F">
        <w:t xml:space="preserve"> </w:t>
      </w:r>
      <w:r>
        <w:t>et al</w:t>
      </w:r>
      <w:r w:rsidRPr="00B65F7F">
        <w:t xml:space="preserve">., 2016, </w:t>
      </w:r>
      <w:r>
        <w:t>p. </w:t>
      </w:r>
      <w:r w:rsidRPr="00B65F7F">
        <w:t>28) that emphasises reciprocal relationships among partners in which ‘everyone is simultaneously both an agent and a principal’ holding one another accountable for achieving the aims and objectives for which the partnership is/was formed (</w:t>
      </w:r>
      <w:r w:rsidRPr="00B17288">
        <w:t>Acar</w:t>
      </w:r>
      <w:r w:rsidRPr="00B65F7F">
        <w:t xml:space="preserve"> </w:t>
      </w:r>
      <w:r>
        <w:t>et al</w:t>
      </w:r>
      <w:r w:rsidRPr="00B65F7F">
        <w:t xml:space="preserve">., 2008, </w:t>
      </w:r>
      <w:r>
        <w:t>p. </w:t>
      </w:r>
      <w:r w:rsidRPr="00B65F7F">
        <w:t>15). Reciprocal accountability is tied to partnership, governance and accountability structures and encompasses partners and community members holding each other accountable for the actions and decisions that contribute to the community’s wellness (</w:t>
      </w:r>
      <w:r w:rsidRPr="00B17288">
        <w:t>First</w:t>
      </w:r>
      <w:r w:rsidRPr="00B65F7F">
        <w:t xml:space="preserve"> Nations Health Authority, n.d., </w:t>
      </w:r>
      <w:r>
        <w:t>p. </w:t>
      </w:r>
      <w:r w:rsidRPr="00B65F7F">
        <w:t>2). </w:t>
      </w:r>
    </w:p>
    <w:p w14:paraId="0201843C" w14:textId="77777777" w:rsidR="00597B5E" w:rsidRPr="00B65F7F" w:rsidRDefault="00597B5E" w:rsidP="009912B7">
      <w:pPr>
        <w:pStyle w:val="HeadingLevel3NoNumber"/>
      </w:pPr>
      <w:bookmarkStart w:id="373" w:name="_heading=h.1idq7dh" w:colFirst="0" w:colLast="0"/>
      <w:bookmarkEnd w:id="373"/>
      <w:r w:rsidRPr="004B58C1">
        <w:t>Holistic understandings of Indigenous health and wellbeing</w:t>
      </w:r>
    </w:p>
    <w:p w14:paraId="0F3AA893" w14:textId="77777777" w:rsidR="00597B5E" w:rsidRPr="00B65F7F" w:rsidRDefault="00597B5E" w:rsidP="00B44E34">
      <w:pPr>
        <w:pStyle w:val="BodyText"/>
      </w:pPr>
      <w:r w:rsidRPr="00B65F7F">
        <w:t>A breadth of literature noted that Western biomedical models of health fail to consider the social, cultural, political and historical contexts and determinants of health that affect the health and wellbeing of Indigenous peoples (</w:t>
      </w:r>
      <w:r w:rsidRPr="00B17288">
        <w:t>Department</w:t>
      </w:r>
      <w:r w:rsidRPr="00B65F7F">
        <w:t xml:space="preserve"> of Health and Human Services, 2017, </w:t>
      </w:r>
      <w:r>
        <w:t>p. </w:t>
      </w:r>
      <w:r w:rsidRPr="00B65F7F">
        <w:t xml:space="preserve">12; </w:t>
      </w:r>
      <w:r w:rsidRPr="00B17288">
        <w:t>Ninomiya</w:t>
      </w:r>
      <w:r w:rsidRPr="00B65F7F">
        <w:t xml:space="preserve"> </w:t>
      </w:r>
      <w:r>
        <w:t>et al</w:t>
      </w:r>
      <w:r w:rsidRPr="00B65F7F">
        <w:t xml:space="preserve">., 2020, </w:t>
      </w:r>
      <w:r>
        <w:t>p. </w:t>
      </w:r>
      <w:r w:rsidRPr="00B65F7F">
        <w:t xml:space="preserve">3). Funding and delivery models for health and wellbeing programs and services should consider the holistic contexts that inform the mental, physical, cultural and spiritual health of </w:t>
      </w:r>
      <w:r>
        <w:t>Aboriginal and/or Torres Strait Islander</w:t>
      </w:r>
      <w:r w:rsidRPr="00B65F7F">
        <w:t xml:space="preserve"> peoples (</w:t>
      </w:r>
      <w:r w:rsidRPr="00B17288">
        <w:t>Centre</w:t>
      </w:r>
      <w:r w:rsidRPr="00B65F7F">
        <w:t xml:space="preserve"> of Best Practice in </w:t>
      </w:r>
      <w:r>
        <w:t>Aboriginal and/or Torres Strait Islander</w:t>
      </w:r>
      <w:r w:rsidRPr="00B65F7F">
        <w:t xml:space="preserve"> Suicide Prevention, 2022). </w:t>
      </w:r>
    </w:p>
    <w:p w14:paraId="5861BA6A" w14:textId="77777777" w:rsidR="00597B5E" w:rsidRPr="00B65F7F" w:rsidRDefault="00597B5E" w:rsidP="00B44E34">
      <w:pPr>
        <w:pStyle w:val="BodyText"/>
      </w:pPr>
      <w:r w:rsidRPr="00B65F7F">
        <w:t xml:space="preserve">An integrated, multidisciplinary and holistic model of health that combines social and emotional wellbeing with clinical approaches should support and guide the design, implementation and development of health and wellbeing services and programs for </w:t>
      </w:r>
      <w:r>
        <w:t>Aboriginal and/or Torres Strait Islander</w:t>
      </w:r>
      <w:r w:rsidRPr="00B65F7F">
        <w:t xml:space="preserve"> peoples (</w:t>
      </w:r>
      <w:r w:rsidRPr="00B17288">
        <w:t>Gee</w:t>
      </w:r>
      <w:r w:rsidRPr="00B65F7F">
        <w:t xml:space="preserve"> </w:t>
      </w:r>
      <w:r>
        <w:t>et al</w:t>
      </w:r>
      <w:r w:rsidRPr="00B65F7F">
        <w:t xml:space="preserve">., 2014; </w:t>
      </w:r>
      <w:r w:rsidRPr="00B17288">
        <w:t>National</w:t>
      </w:r>
      <w:r w:rsidRPr="00B65F7F">
        <w:t xml:space="preserve"> </w:t>
      </w:r>
      <w:r>
        <w:t>Aboriginal and/or Torres Strait Islander</w:t>
      </w:r>
      <w:r w:rsidRPr="00B65F7F">
        <w:t xml:space="preserve"> Leadership in Mental Health, 2015, </w:t>
      </w:r>
      <w:r>
        <w:t>p. </w:t>
      </w:r>
      <w:r w:rsidRPr="00B65F7F">
        <w:t xml:space="preserve">4; </w:t>
      </w:r>
      <w:r w:rsidRPr="00B17288">
        <w:t>Eni</w:t>
      </w:r>
      <w:r w:rsidRPr="00B65F7F">
        <w:t xml:space="preserve"> </w:t>
      </w:r>
      <w:r>
        <w:t>et al</w:t>
      </w:r>
      <w:r w:rsidRPr="00B65F7F">
        <w:t>.</w:t>
      </w:r>
      <w:r w:rsidR="00BD4534">
        <w:t>,</w:t>
      </w:r>
      <w:r w:rsidRPr="00B65F7F">
        <w:t xml:space="preserve"> </w:t>
      </w:r>
      <w:r>
        <w:t>2021</w:t>
      </w:r>
      <w:r w:rsidRPr="00B65F7F">
        <w:t xml:space="preserve">, </w:t>
      </w:r>
      <w:r>
        <w:t>p. </w:t>
      </w:r>
      <w:r w:rsidRPr="00B65F7F">
        <w:t>6). This should be reflected in the health promotion and prevention strategies, initiatives and partnerships that service providers are commissioned to undertake in response to Indigenous health service users’ needs (</w:t>
      </w:r>
      <w:r w:rsidRPr="00B17288">
        <w:t>Harfield</w:t>
      </w:r>
      <w:r w:rsidRPr="00B65F7F">
        <w:t xml:space="preserve"> </w:t>
      </w:r>
      <w:r>
        <w:t>et al</w:t>
      </w:r>
      <w:r w:rsidRPr="00B65F7F">
        <w:t xml:space="preserve">., 2018; </w:t>
      </w:r>
      <w:r w:rsidRPr="00B17288">
        <w:t>Productivity</w:t>
      </w:r>
      <w:r w:rsidRPr="00B65F7F">
        <w:t xml:space="preserve"> Commission, 2020, </w:t>
      </w:r>
      <w:r>
        <w:t>p. </w:t>
      </w:r>
      <w:r w:rsidRPr="00B65F7F">
        <w:t>67). </w:t>
      </w:r>
    </w:p>
    <w:p w14:paraId="38394907" w14:textId="77777777" w:rsidR="00597B5E" w:rsidRPr="00B65F7F" w:rsidRDefault="00597B5E" w:rsidP="00B44E34">
      <w:pPr>
        <w:pStyle w:val="BodyText"/>
      </w:pPr>
      <w:r w:rsidRPr="00B65F7F">
        <w:t>Commissioning and monitoring bodies should co-design Indigenous-defined indicators and measures of success in health and wellbeing for services and programs that centre social and cultural determinants of wellbeing (</w:t>
      </w:r>
      <w:r w:rsidRPr="00B17288">
        <w:t>Department</w:t>
      </w:r>
      <w:r w:rsidRPr="00B65F7F">
        <w:t xml:space="preserve"> of Families, Fairness and Housing, 2020). This includes creating funding agreements in collaboration with communities to resource services and programs that address social determinants of health and thereby meet their health and wellbeing needs (</w:t>
      </w:r>
      <w:r w:rsidRPr="00B17288">
        <w:t>Harfield</w:t>
      </w:r>
      <w:r w:rsidRPr="00B65F7F">
        <w:t xml:space="preserve"> </w:t>
      </w:r>
      <w:r>
        <w:t>et al</w:t>
      </w:r>
      <w:r w:rsidRPr="00B65F7F">
        <w:t xml:space="preserve">., 2018, </w:t>
      </w:r>
      <w:r>
        <w:t>p. </w:t>
      </w:r>
      <w:r w:rsidRPr="00B65F7F">
        <w:t xml:space="preserve">7; </w:t>
      </w:r>
      <w:r w:rsidRPr="00B17288">
        <w:t>Nous</w:t>
      </w:r>
      <w:r w:rsidRPr="00B65F7F">
        <w:t xml:space="preserve">, n.d.; </w:t>
      </w:r>
      <w:r w:rsidRPr="00B17288">
        <w:t>Rosenberg</w:t>
      </w:r>
      <w:r w:rsidRPr="00B65F7F">
        <w:t xml:space="preserve"> &amp; Roberts, 2021, </w:t>
      </w:r>
      <w:r>
        <w:t>p. </w:t>
      </w:r>
      <w:r w:rsidRPr="00B65F7F">
        <w:t>163). </w:t>
      </w:r>
    </w:p>
    <w:p w14:paraId="08B36731" w14:textId="77777777" w:rsidR="00597B5E" w:rsidRPr="00B65F7F" w:rsidRDefault="00597B5E" w:rsidP="009912B7">
      <w:pPr>
        <w:pStyle w:val="HeadingLevel3NoNumber"/>
      </w:pPr>
      <w:bookmarkStart w:id="374" w:name="_heading=h.42ddq1a" w:colFirst="0" w:colLast="0"/>
      <w:bookmarkEnd w:id="374"/>
      <w:r w:rsidRPr="00B65F7F">
        <w:t>Culturally safe and responsive healthcare</w:t>
      </w:r>
    </w:p>
    <w:p w14:paraId="658A6784" w14:textId="77777777" w:rsidR="00597B5E" w:rsidRPr="00B65F7F" w:rsidRDefault="00597B5E" w:rsidP="00B44E34">
      <w:pPr>
        <w:pStyle w:val="BodyText"/>
      </w:pPr>
      <w:r w:rsidRPr="00B65F7F">
        <w:t>Engagement with Indigenous communities and stakeholders should be characterised by cultural safety, where interactions and partnerships are culturally appropriate and respectful (</w:t>
      </w:r>
      <w:r w:rsidRPr="00B17288">
        <w:t>Department</w:t>
      </w:r>
      <w:r w:rsidRPr="00B65F7F">
        <w:t xml:space="preserve"> of Health and Human Services, 2017, </w:t>
      </w:r>
      <w:r>
        <w:t>p. </w:t>
      </w:r>
      <w:r w:rsidRPr="00B65F7F">
        <w:t>120). Culturally safe and responsive healthcare requires commissioning and funding bodies, as well as service providers, to understand and embed Indigenous experiences, values and understandings of health and wellbeing in funding and delivery models, frameworks and approaches (</w:t>
      </w:r>
      <w:r w:rsidRPr="00B17288">
        <w:t>Puszka</w:t>
      </w:r>
      <w:r w:rsidRPr="00B65F7F">
        <w:t xml:space="preserve"> </w:t>
      </w:r>
      <w:r>
        <w:t>et al</w:t>
      </w:r>
      <w:r w:rsidRPr="00B65F7F">
        <w:t xml:space="preserve">., 2022). </w:t>
      </w:r>
      <w:r w:rsidRPr="00B17288">
        <w:t>Brooks</w:t>
      </w:r>
      <w:r w:rsidRPr="00B65F7F">
        <w:t xml:space="preserve">-Cleator </w:t>
      </w:r>
      <w:r>
        <w:t>et al</w:t>
      </w:r>
      <w:r w:rsidRPr="00B65F7F">
        <w:t xml:space="preserve">. (2018) identified </w:t>
      </w:r>
      <w:r>
        <w:t>6</w:t>
      </w:r>
      <w:r w:rsidRPr="00B65F7F">
        <w:t xml:space="preserve"> core elements to funding, commissioning and implementing culturally safe health frameworks, models and approaches for First Nations peoples in Canada, which are arguably applicable in many Indigenous contexts. These core elements are collaboration/partnership, power sharing, addressing the broader context of the patient’s life, a safe environment, organisational and individual self-reflection, and training for healthcare professionals. These core elements reflect and reinforce the guiding principles outlined above.</w:t>
      </w:r>
    </w:p>
    <w:p w14:paraId="09B20CF2" w14:textId="77777777" w:rsidR="00597B5E" w:rsidRPr="00B65F7F" w:rsidRDefault="00597B5E" w:rsidP="009912B7">
      <w:pPr>
        <w:pStyle w:val="HeadingLevel4NoNumber"/>
      </w:pPr>
      <w:r w:rsidRPr="00B65F7F">
        <w:t>Sharing and relinquishing power</w:t>
      </w:r>
    </w:p>
    <w:p w14:paraId="0EA7592A" w14:textId="77777777" w:rsidR="00597B5E" w:rsidRPr="00B65F7F" w:rsidRDefault="00597B5E" w:rsidP="00B44E34">
      <w:pPr>
        <w:pStyle w:val="BodyText"/>
      </w:pPr>
      <w:r w:rsidRPr="00B65F7F">
        <w:t>Governments and commissioning bodies must reflect on how power dynamics, pervasive cultural beliefs, implicit biases and histories of colonialism and racism coalesce to create systemic barriers to health and wellbeing care – and specifically to the funding of these services – for Indigenous peoples (</w:t>
      </w:r>
      <w:r w:rsidRPr="00B17288">
        <w:t>Brooks</w:t>
      </w:r>
      <w:r w:rsidRPr="00B65F7F">
        <w:t xml:space="preserve">-Cleator </w:t>
      </w:r>
      <w:r>
        <w:t>et al</w:t>
      </w:r>
      <w:r w:rsidRPr="00B65F7F">
        <w:t xml:space="preserve">., 2018, </w:t>
      </w:r>
      <w:r>
        <w:t>p. </w:t>
      </w:r>
      <w:r w:rsidRPr="00B65F7F">
        <w:t xml:space="preserve">210; </w:t>
      </w:r>
      <w:r w:rsidRPr="00B17288">
        <w:t>Curtis</w:t>
      </w:r>
      <w:r w:rsidRPr="00B65F7F">
        <w:t xml:space="preserve"> </w:t>
      </w:r>
      <w:r>
        <w:t>et al</w:t>
      </w:r>
      <w:r w:rsidRPr="00B65F7F">
        <w:t xml:space="preserve">., 2019, </w:t>
      </w:r>
      <w:r>
        <w:t>p. </w:t>
      </w:r>
      <w:r w:rsidRPr="00B65F7F">
        <w:t>13). These factors require commissioning and planning bodies (among others) to commit to shifting existing power structures embedded in their policies and practices to ensure that Indigenous peoples can access culturally safe and responsive health and wellbeing settings (</w:t>
      </w:r>
      <w:r w:rsidRPr="0015093D">
        <w:t>AIHW</w:t>
      </w:r>
      <w:r w:rsidRPr="00B65F7F">
        <w:t>, 2022</w:t>
      </w:r>
      <w:r>
        <w:t>b</w:t>
      </w:r>
      <w:r w:rsidRPr="00B65F7F">
        <w:t xml:space="preserve">; </w:t>
      </w:r>
      <w:r w:rsidRPr="00B17288">
        <w:t>Brooks</w:t>
      </w:r>
      <w:r w:rsidRPr="00B65F7F">
        <w:t xml:space="preserve">-Cleator </w:t>
      </w:r>
      <w:r>
        <w:t>et al</w:t>
      </w:r>
      <w:r w:rsidRPr="00B65F7F">
        <w:t xml:space="preserve">., 2018, </w:t>
      </w:r>
      <w:r>
        <w:t>p. </w:t>
      </w:r>
      <w:r w:rsidRPr="00B65F7F">
        <w:t>210). </w:t>
      </w:r>
    </w:p>
    <w:p w14:paraId="45144B0B" w14:textId="77777777" w:rsidR="00597B5E" w:rsidRPr="00B65F7F" w:rsidRDefault="00597B5E" w:rsidP="00B44E34">
      <w:pPr>
        <w:pStyle w:val="BodyText"/>
      </w:pPr>
      <w:r w:rsidRPr="00B65F7F">
        <w:t>As part of monitoring and evaluation processes, Indigenous health service users should have accessible feedback mechanisms made available, with subsequent feedback provided contributing to the improvement of service delivery in alignment with their needs (</w:t>
      </w:r>
      <w:r w:rsidRPr="0015093D">
        <w:t>National</w:t>
      </w:r>
      <w:r w:rsidRPr="00B65F7F">
        <w:t xml:space="preserve"> </w:t>
      </w:r>
      <w:r>
        <w:t>Aboriginal and/or Torres Strait Islander</w:t>
      </w:r>
      <w:r w:rsidRPr="00B65F7F">
        <w:t xml:space="preserve"> Health Standing Committee, 2016, </w:t>
      </w:r>
      <w:r>
        <w:t>p. </w:t>
      </w:r>
      <w:r w:rsidRPr="00B65F7F">
        <w:t>15). Additionally, cultural safety assessments should be guided and determined by Indigenous health service user feedback, as they solely can evaluate the degree of cultural safety provided by health service providers (</w:t>
      </w:r>
      <w:r w:rsidRPr="0015093D">
        <w:t>Dawson</w:t>
      </w:r>
      <w:r w:rsidRPr="00B65F7F">
        <w:t xml:space="preserve"> </w:t>
      </w:r>
      <w:r>
        <w:t>et al</w:t>
      </w:r>
      <w:r w:rsidRPr="00B65F7F">
        <w:t xml:space="preserve">., 2021, </w:t>
      </w:r>
      <w:r>
        <w:t>p. </w:t>
      </w:r>
      <w:r w:rsidRPr="00B65F7F">
        <w:t>57). </w:t>
      </w:r>
    </w:p>
    <w:p w14:paraId="368FB3F9" w14:textId="77777777" w:rsidR="00597B5E" w:rsidRPr="00B65F7F" w:rsidRDefault="00597B5E" w:rsidP="009912B7">
      <w:pPr>
        <w:pStyle w:val="HeadingLevel4NoNumber"/>
      </w:pPr>
      <w:r w:rsidRPr="00B65F7F">
        <w:t>Safe environment</w:t>
      </w:r>
    </w:p>
    <w:p w14:paraId="41F81C2B" w14:textId="77777777" w:rsidR="00597B5E" w:rsidRPr="00B65F7F" w:rsidRDefault="00597B5E" w:rsidP="00B44E34">
      <w:pPr>
        <w:pStyle w:val="BodyText"/>
      </w:pPr>
      <w:r w:rsidRPr="00B65F7F">
        <w:t>Indigenous health and wellbeing services and programs should actively take steps to address entrenched racism and inequity in healthcare structures and systems (</w:t>
      </w:r>
      <w:r w:rsidRPr="0015093D">
        <w:t>AIHW</w:t>
      </w:r>
      <w:r w:rsidRPr="00B65F7F">
        <w:t>, 2022</w:t>
      </w:r>
      <w:r>
        <w:t>b</w:t>
      </w:r>
      <w:r w:rsidRPr="00B65F7F">
        <w:t>). This could include commissioning and monitoring bodies creating incentives and reporting requirements for service providers that make it necessary for them to provide non-judgmental, culturally relevant and safe spaces that support Indigenous cultures and understandings of health through their practice (</w:t>
      </w:r>
      <w:r w:rsidRPr="00B17288">
        <w:t>Brooks</w:t>
      </w:r>
      <w:r w:rsidRPr="00B65F7F">
        <w:t xml:space="preserve">-Cleator </w:t>
      </w:r>
      <w:r>
        <w:t>et al</w:t>
      </w:r>
      <w:r w:rsidRPr="00B65F7F">
        <w:t xml:space="preserve">., 2018, </w:t>
      </w:r>
      <w:r>
        <w:t>p. </w:t>
      </w:r>
      <w:r w:rsidRPr="00B65F7F">
        <w:t>210). </w:t>
      </w:r>
    </w:p>
    <w:p w14:paraId="665D66C0" w14:textId="77777777" w:rsidR="00597B5E" w:rsidRPr="00B65F7F" w:rsidRDefault="00597B5E" w:rsidP="00B44E34">
      <w:pPr>
        <w:pStyle w:val="BodyText"/>
      </w:pPr>
      <w:r w:rsidRPr="00B65F7F">
        <w:t>Commissioning bodies should provide adequate resources and investments to support Indigenous health and wellbeing service providers to lead and develop culturally safe care in alignment with local community needs where possible (</w:t>
      </w:r>
      <w:r w:rsidRPr="0015093D">
        <w:t>National</w:t>
      </w:r>
      <w:r w:rsidRPr="00B65F7F">
        <w:t xml:space="preserve"> </w:t>
      </w:r>
      <w:r>
        <w:t>Aboriginal and/or Torres Strait Islander</w:t>
      </w:r>
      <w:r w:rsidRPr="00B65F7F">
        <w:t xml:space="preserve"> Health Standing Committee, 2016, </w:t>
      </w:r>
      <w:r>
        <w:t>p. </w:t>
      </w:r>
      <w:r w:rsidRPr="00B65F7F">
        <w:t xml:space="preserve">12). This includes allocating sufficient funds to employ </w:t>
      </w:r>
      <w:r>
        <w:t>Aboriginal and/or Torres Strait Islander</w:t>
      </w:r>
      <w:r w:rsidRPr="00B65F7F">
        <w:t xml:space="preserve"> workforces.</w:t>
      </w:r>
    </w:p>
    <w:p w14:paraId="283BB861" w14:textId="77777777" w:rsidR="00597B5E" w:rsidRPr="00B65F7F" w:rsidRDefault="00597B5E" w:rsidP="009912B7">
      <w:pPr>
        <w:pStyle w:val="HeadingLevel4NoNumber"/>
      </w:pPr>
      <w:r w:rsidRPr="00B65F7F">
        <w:t>Training for healthcare professionals</w:t>
      </w:r>
    </w:p>
    <w:p w14:paraId="161D38E8" w14:textId="77777777" w:rsidR="00597B5E" w:rsidRPr="00B65F7F" w:rsidRDefault="00597B5E" w:rsidP="00B44E34">
      <w:pPr>
        <w:pStyle w:val="BodyText"/>
      </w:pPr>
      <w:r w:rsidRPr="00B65F7F">
        <w:t xml:space="preserve">Mainstream service providers should engage with and provide cultural competency and safety training to their staff, led by </w:t>
      </w:r>
      <w:r>
        <w:t>Aboriginal and/or Torres Strait Islander</w:t>
      </w:r>
      <w:r w:rsidRPr="00B65F7F">
        <w:t xml:space="preserve"> organisations. Mainstream service provider cultural competency should include developing an understanding of the local Indigenous communities’ cultural beliefs, understandings of health and wellbeing and prevalent concerns that communities wish to address (</w:t>
      </w:r>
      <w:r w:rsidRPr="0015093D">
        <w:t>Brooks</w:t>
      </w:r>
      <w:r w:rsidRPr="00B65F7F">
        <w:t xml:space="preserve">-Cleator </w:t>
      </w:r>
      <w:r>
        <w:t>et al</w:t>
      </w:r>
      <w:r w:rsidRPr="00B65F7F">
        <w:t xml:space="preserve">., 2018, </w:t>
      </w:r>
      <w:r>
        <w:t>p. </w:t>
      </w:r>
      <w:r w:rsidRPr="00B65F7F">
        <w:t>210). </w:t>
      </w:r>
    </w:p>
    <w:p w14:paraId="7A1CE3AF" w14:textId="77777777" w:rsidR="00597B5E" w:rsidRPr="00B65F7F" w:rsidRDefault="00597B5E" w:rsidP="009912B7">
      <w:pPr>
        <w:pStyle w:val="HeadingLevel3NoNumber"/>
      </w:pPr>
      <w:bookmarkStart w:id="375" w:name="_heading=h.2hio093" w:colFirst="0" w:colLast="0"/>
      <w:bookmarkEnd w:id="375"/>
      <w:r w:rsidRPr="00B65F7F">
        <w:t>A systems-based approach to healthcare</w:t>
      </w:r>
    </w:p>
    <w:p w14:paraId="4157B4BF" w14:textId="77777777" w:rsidR="00597B5E" w:rsidRPr="00B65F7F" w:rsidRDefault="00597B5E" w:rsidP="00B44E34">
      <w:pPr>
        <w:pStyle w:val="BodyText"/>
      </w:pPr>
      <w:r w:rsidRPr="00B65F7F">
        <w:t>A systems-based approach considers health and wellbeing organisations as ‘interrelated and interdependent’ components in a system that work to achieve a desired outcome (</w:t>
      </w:r>
      <w:r w:rsidRPr="0015093D">
        <w:t>McCalman</w:t>
      </w:r>
      <w:r w:rsidRPr="00B65F7F">
        <w:t xml:space="preserve"> </w:t>
      </w:r>
      <w:r>
        <w:t>et al</w:t>
      </w:r>
      <w:r w:rsidRPr="00B65F7F">
        <w:t xml:space="preserve">., 2017, </w:t>
      </w:r>
      <w:r>
        <w:t>p. </w:t>
      </w:r>
      <w:r w:rsidRPr="00B65F7F">
        <w:t xml:space="preserve">2). </w:t>
      </w:r>
      <w:r w:rsidRPr="0015093D">
        <w:t>Kaplan</w:t>
      </w:r>
      <w:r w:rsidRPr="00B65F7F">
        <w:t xml:space="preserve"> </w:t>
      </w:r>
      <w:r>
        <w:t>et al</w:t>
      </w:r>
      <w:r w:rsidRPr="00B65F7F">
        <w:t>. (2013, p</w:t>
      </w:r>
      <w:r>
        <w:t>p. </w:t>
      </w:r>
      <w:r w:rsidRPr="00B65F7F">
        <w:t xml:space="preserve">4–5) identified </w:t>
      </w:r>
      <w:r>
        <w:t>4</w:t>
      </w:r>
      <w:r w:rsidRPr="00B65F7F">
        <w:t xml:space="preserve"> stages of a systems-based approach to transforming healthcare systems:</w:t>
      </w:r>
    </w:p>
    <w:p w14:paraId="5CBDED1C" w14:textId="77777777" w:rsidR="00597B5E" w:rsidRPr="008C4D34" w:rsidRDefault="00597B5E" w:rsidP="003B07D3">
      <w:pPr>
        <w:pStyle w:val="List1"/>
        <w:numPr>
          <w:ilvl w:val="0"/>
          <w:numId w:val="26"/>
        </w:numPr>
      </w:pPr>
      <w:r w:rsidRPr="008C4D34">
        <w:rPr>
          <w:b/>
          <w:bCs/>
        </w:rPr>
        <w:t>identification</w:t>
      </w:r>
      <w:r w:rsidRPr="008C4D34">
        <w:t xml:space="preserve"> of the elements involved in caring for health service users and promoting the health of individuals and communities</w:t>
      </w:r>
    </w:p>
    <w:p w14:paraId="7D3E3052" w14:textId="77777777" w:rsidR="00597B5E" w:rsidRPr="008C4D34" w:rsidRDefault="00597B5E" w:rsidP="003B07D3">
      <w:pPr>
        <w:pStyle w:val="List1"/>
        <w:numPr>
          <w:ilvl w:val="0"/>
          <w:numId w:val="26"/>
        </w:numPr>
      </w:pPr>
      <w:r w:rsidRPr="008C4D34">
        <w:rPr>
          <w:b/>
          <w:bCs/>
        </w:rPr>
        <w:t>description</w:t>
      </w:r>
      <w:r w:rsidRPr="008C4D34">
        <w:t xml:space="preserve"> of how each element operates ‘independently and interdependently’</w:t>
      </w:r>
    </w:p>
    <w:p w14:paraId="55D0C23C" w14:textId="77777777" w:rsidR="00597B5E" w:rsidRPr="008C4D34" w:rsidRDefault="00597B5E" w:rsidP="003B07D3">
      <w:pPr>
        <w:pStyle w:val="List1"/>
        <w:numPr>
          <w:ilvl w:val="0"/>
          <w:numId w:val="26"/>
        </w:numPr>
      </w:pPr>
      <w:r w:rsidRPr="008C4D34">
        <w:t xml:space="preserve">finding an </w:t>
      </w:r>
      <w:r w:rsidRPr="008C4D34">
        <w:rPr>
          <w:b/>
          <w:bCs/>
        </w:rPr>
        <w:t>alternative</w:t>
      </w:r>
      <w:r w:rsidRPr="008C4D34">
        <w:t xml:space="preserve"> design of organisations, process and/or policies ‘to enhance the results of the interplay’ between components and engaging in a continuous improvement process that promotes organisation-wide learning</w:t>
      </w:r>
    </w:p>
    <w:p w14:paraId="44B848CB" w14:textId="77777777" w:rsidR="00597B5E" w:rsidRPr="008C4D34" w:rsidRDefault="00597B5E" w:rsidP="003B07D3">
      <w:pPr>
        <w:pStyle w:val="List1"/>
        <w:numPr>
          <w:ilvl w:val="0"/>
          <w:numId w:val="26"/>
        </w:numPr>
      </w:pPr>
      <w:r w:rsidRPr="008C4D34">
        <w:rPr>
          <w:b/>
          <w:bCs/>
        </w:rPr>
        <w:t>implementation</w:t>
      </w:r>
      <w:r w:rsidRPr="008C4D34">
        <w:t xml:space="preserve"> of the new organisation, process or policy-related dynamics to facilitate more effective and efficient health and wellbeing service provision.</w:t>
      </w:r>
    </w:p>
    <w:p w14:paraId="6CCD7B25" w14:textId="77777777" w:rsidR="00597B5E" w:rsidRPr="00B65F7F" w:rsidRDefault="00597B5E" w:rsidP="00A41213">
      <w:pPr>
        <w:pStyle w:val="BodyText1stparaafterlist"/>
      </w:pPr>
      <w:r w:rsidRPr="00B65F7F">
        <w:t xml:space="preserve">Supporting the third stage of </w:t>
      </w:r>
      <w:r w:rsidRPr="0015093D">
        <w:t>Kaplan</w:t>
      </w:r>
      <w:r w:rsidRPr="00B65F7F">
        <w:t xml:space="preserve"> </w:t>
      </w:r>
      <w:r>
        <w:t>et al</w:t>
      </w:r>
      <w:r w:rsidRPr="00B65F7F">
        <w:t>.’s (2013) approach to systems-based transformation was a consistent thread of leading evaluation practice. Continuous and developmental evaluation and improvement mechanisms were consistently cited as enabling health and wellbeing service providers to pivot to meet the needs of the communities they serve and engage service users and stakeholders in guiding the delivery of services and programs (</w:t>
      </w:r>
      <w:r w:rsidRPr="0015093D">
        <w:t>Department</w:t>
      </w:r>
      <w:r w:rsidRPr="00B65F7F">
        <w:t xml:space="preserve"> of Health and Aged Care, 2022, </w:t>
      </w:r>
      <w:r>
        <w:t>p. </w:t>
      </w:r>
      <w:r w:rsidRPr="00B65F7F">
        <w:t xml:space="preserve">31; </w:t>
      </w:r>
      <w:r w:rsidRPr="0015093D">
        <w:t>Harfield</w:t>
      </w:r>
      <w:r w:rsidRPr="00B65F7F">
        <w:t xml:space="preserve"> </w:t>
      </w:r>
      <w:r>
        <w:t>et al</w:t>
      </w:r>
      <w:r w:rsidRPr="00B65F7F">
        <w:t xml:space="preserve">., 2018; </w:t>
      </w:r>
      <w:r w:rsidRPr="0015093D">
        <w:t>Productivity</w:t>
      </w:r>
      <w:r w:rsidRPr="00B65F7F">
        <w:t xml:space="preserve"> Commission, 2020, </w:t>
      </w:r>
      <w:r>
        <w:t>p. </w:t>
      </w:r>
      <w:r w:rsidRPr="00B65F7F">
        <w:t xml:space="preserve">83; </w:t>
      </w:r>
      <w:r w:rsidRPr="0015093D">
        <w:t>SA</w:t>
      </w:r>
      <w:r w:rsidRPr="00B65F7F">
        <w:t xml:space="preserve"> Health, 2020, </w:t>
      </w:r>
      <w:r>
        <w:t>p. </w:t>
      </w:r>
      <w:r w:rsidRPr="00B65F7F">
        <w:t>5). </w:t>
      </w:r>
    </w:p>
    <w:p w14:paraId="21FA2DC2" w14:textId="77777777" w:rsidR="00597B5E" w:rsidRPr="00B65F7F" w:rsidRDefault="00597B5E" w:rsidP="00B44E34">
      <w:pPr>
        <w:pStyle w:val="BodyText"/>
      </w:pPr>
      <w:r w:rsidRPr="00B65F7F">
        <w:t>A systems-based approach requires governments as funding and commissioning bodies to consider the need for interagency and cross-sectoral approaches to Indigenous health and wellbeing programs and services. This should ultimately be translated into flexible funding arrangements that enable commissioning bodies and service providers to commission/deliver a range of (interconnected) services that holistically address social, cultural and political determinants of health and wellbeing in alignment with the needs of local Indigenous communities (</w:t>
      </w:r>
      <w:r w:rsidRPr="0015093D">
        <w:t>Department</w:t>
      </w:r>
      <w:r w:rsidRPr="00B65F7F">
        <w:t xml:space="preserve"> of Health, 2016a, </w:t>
      </w:r>
      <w:r>
        <w:t>p. </w:t>
      </w:r>
      <w:r w:rsidRPr="00B65F7F">
        <w:t xml:space="preserve">6; </w:t>
      </w:r>
      <w:r w:rsidRPr="0015093D">
        <w:t>Harfield</w:t>
      </w:r>
      <w:r w:rsidRPr="00B65F7F">
        <w:t xml:space="preserve"> </w:t>
      </w:r>
      <w:r>
        <w:t>et al</w:t>
      </w:r>
      <w:r w:rsidRPr="00B65F7F">
        <w:t xml:space="preserve">., 2018, </w:t>
      </w:r>
      <w:r>
        <w:t>p. </w:t>
      </w:r>
      <w:r w:rsidRPr="00B65F7F">
        <w:t xml:space="preserve">7; </w:t>
      </w:r>
      <w:r w:rsidRPr="0015093D">
        <w:t>Leigh</w:t>
      </w:r>
      <w:r w:rsidRPr="00B65F7F">
        <w:t xml:space="preserve">, 2008, </w:t>
      </w:r>
      <w:r>
        <w:t>p. </w:t>
      </w:r>
      <w:r w:rsidRPr="00B65F7F">
        <w:t xml:space="preserve">1; </w:t>
      </w:r>
      <w:r w:rsidRPr="0015093D">
        <w:t>Rosenberg</w:t>
      </w:r>
      <w:r w:rsidRPr="00B65F7F">
        <w:t xml:space="preserve"> &amp; Roberts, 2021, </w:t>
      </w:r>
      <w:r>
        <w:t>p. </w:t>
      </w:r>
      <w:r w:rsidRPr="00B65F7F">
        <w:t xml:space="preserve">163; </w:t>
      </w:r>
      <w:r w:rsidRPr="0015093D">
        <w:t>Lavoie</w:t>
      </w:r>
      <w:r w:rsidRPr="00B65F7F">
        <w:t xml:space="preserve"> &amp; Dwyer, 2016, </w:t>
      </w:r>
      <w:r>
        <w:t>p. </w:t>
      </w:r>
      <w:r w:rsidRPr="00B65F7F">
        <w:t xml:space="preserve">458; </w:t>
      </w:r>
      <w:r w:rsidRPr="0015093D">
        <w:t>Mental</w:t>
      </w:r>
      <w:r w:rsidRPr="00B65F7F">
        <w:t xml:space="preserve"> Health Australia, 2015, </w:t>
      </w:r>
      <w:r>
        <w:t>p. </w:t>
      </w:r>
      <w:r w:rsidRPr="00B65F7F">
        <w:t>9). </w:t>
      </w:r>
    </w:p>
    <w:p w14:paraId="15BA33EF" w14:textId="77777777" w:rsidR="00597B5E" w:rsidRPr="00B65F7F" w:rsidRDefault="00597B5E" w:rsidP="009912B7">
      <w:pPr>
        <w:pStyle w:val="HeadingLevel4NoNumber"/>
      </w:pPr>
      <w:r w:rsidRPr="00B65F7F">
        <w:t xml:space="preserve">The </w:t>
      </w:r>
      <w:r>
        <w:t>Aboriginal and/or Torres Strait Islander</w:t>
      </w:r>
      <w:r w:rsidRPr="00B65F7F">
        <w:t xml:space="preserve"> Suicide Prevention Evaluation Project (ATSISPEP) as a systems-based approach to suicide prevention in </w:t>
      </w:r>
      <w:r>
        <w:t>Aboriginal and/or Torres Strait Islander</w:t>
      </w:r>
      <w:r w:rsidRPr="00B65F7F">
        <w:t xml:space="preserve"> communities</w:t>
      </w:r>
    </w:p>
    <w:p w14:paraId="2367241A" w14:textId="77777777" w:rsidR="00597B5E" w:rsidRPr="00B65F7F" w:rsidRDefault="00597B5E" w:rsidP="00A41213">
      <w:pPr>
        <w:pStyle w:val="BodyText"/>
      </w:pPr>
      <w:r w:rsidRPr="00B65F7F">
        <w:t xml:space="preserve">ATSISPEP is an evidence-based, integrated approach to community-led </w:t>
      </w:r>
      <w:r>
        <w:t>Aboriginal and/or Torres Strait Islander</w:t>
      </w:r>
      <w:r w:rsidRPr="00B65F7F">
        <w:t xml:space="preserve"> suicide prevention. It identifies a series of success factors to provide a foundation for the design, implementation and evaluation of future suicide prevention programs (</w:t>
      </w:r>
      <w:r w:rsidRPr="0015093D">
        <w:t>ATSISPEP</w:t>
      </w:r>
      <w:r w:rsidRPr="00B65F7F">
        <w:t xml:space="preserve">, 2016). The success factors were guided by consultations with </w:t>
      </w:r>
      <w:r>
        <w:t>Aboriginal and/or Torres Strait Islander</w:t>
      </w:r>
      <w:r w:rsidRPr="00B65F7F">
        <w:t xml:space="preserve"> communities across Australia and detail </w:t>
      </w:r>
      <w:r>
        <w:t>3</w:t>
      </w:r>
      <w:r w:rsidRPr="00B65F7F">
        <w:t xml:space="preserve"> levels of activity/intervention (universal/community-wide, selected and indicated) with consideration for particularly vulnerable groups. </w:t>
      </w:r>
    </w:p>
    <w:p w14:paraId="46E0CFD6" w14:textId="18D62139" w:rsidR="00597B5E" w:rsidRPr="00B65F7F" w:rsidRDefault="00597B5E" w:rsidP="00A41213">
      <w:pPr>
        <w:pStyle w:val="BodyText"/>
      </w:pPr>
      <w:r w:rsidRPr="00B65F7F">
        <w:t xml:space="preserve">The ATSISPEP success factors are part of a systems-based approach that considers the need for multifaceted, holistic, interagency and cross-sectoral responses to improve health and wellbeing outcomes for </w:t>
      </w:r>
      <w:r>
        <w:t xml:space="preserve">Aboriginal and/or Torres Strait </w:t>
      </w:r>
      <w:r w:rsidRPr="00B65F7F">
        <w:t>Islander peoples (</w:t>
      </w:r>
      <w:r w:rsidR="00BD4534">
        <w:fldChar w:fldCharType="begin"/>
      </w:r>
      <w:r w:rsidR="00BD4534">
        <w:instrText xml:space="preserve"> REF _Ref151922423 \h  \* MERGEFORMAT </w:instrText>
      </w:r>
      <w:r w:rsidR="00BD4534">
        <w:fldChar w:fldCharType="separate"/>
      </w:r>
      <w:r w:rsidR="00934D5E">
        <w:t>Table A9.3</w:t>
      </w:r>
      <w:r w:rsidR="00BD4534">
        <w:fldChar w:fldCharType="end"/>
      </w:r>
      <w:r w:rsidRPr="00B65F7F">
        <w:t xml:space="preserve">). </w:t>
      </w:r>
    </w:p>
    <w:p w14:paraId="39922F24" w14:textId="3F37FBE2" w:rsidR="00597B5E" w:rsidRPr="00B65F7F" w:rsidRDefault="00BD4534" w:rsidP="00BD4534">
      <w:pPr>
        <w:pStyle w:val="CaptionTable"/>
        <w:rPr>
          <w:rFonts w:eastAsia="Calibri"/>
        </w:rPr>
      </w:pPr>
      <w:bookmarkStart w:id="376" w:name="_heading=h.wnyagw" w:colFirst="0" w:colLast="0"/>
      <w:bookmarkStart w:id="377" w:name="_Ref151922423"/>
      <w:bookmarkStart w:id="378" w:name="_Toc145604952"/>
      <w:bookmarkStart w:id="379" w:name="_Toc145617824"/>
      <w:bookmarkStart w:id="380" w:name="_Toc156932096"/>
      <w:bookmarkEnd w:id="376"/>
      <w:r>
        <w:t>Table A9.</w:t>
      </w:r>
      <w:r>
        <w:fldChar w:fldCharType="begin"/>
      </w:r>
      <w:r>
        <w:instrText xml:space="preserve"> SEQ Table_A9 \* ARABIC </w:instrText>
      </w:r>
      <w:r>
        <w:fldChar w:fldCharType="separate"/>
      </w:r>
      <w:r w:rsidR="00934D5E">
        <w:rPr>
          <w:noProof/>
        </w:rPr>
        <w:t>3</w:t>
      </w:r>
      <w:r>
        <w:fldChar w:fldCharType="end"/>
      </w:r>
      <w:bookmarkEnd w:id="377"/>
      <w:r w:rsidR="00597B5E">
        <w:t>:</w:t>
      </w:r>
      <w:r w:rsidR="00597B5E" w:rsidRPr="00B65F7F">
        <w:rPr>
          <w:rFonts w:eastAsia="Calibri"/>
        </w:rPr>
        <w:t xml:space="preserve"> Summary of success factors identified by ATSISPEP</w:t>
      </w:r>
      <w:bookmarkEnd w:id="378"/>
      <w:bookmarkEnd w:id="379"/>
      <w:bookmarkEnd w:id="380"/>
    </w:p>
    <w:tbl>
      <w:tblPr>
        <w:tblStyle w:val="Newtableforresport"/>
        <w:tblW w:w="9618" w:type="dxa"/>
        <w:tblInd w:w="10" w:type="dxa"/>
        <w:tblLayout w:type="fixed"/>
        <w:tblLook w:val="0420" w:firstRow="1" w:lastRow="0" w:firstColumn="0" w:lastColumn="0" w:noHBand="0" w:noVBand="1"/>
        <w:tblCaption w:val="Table A9.3: Summary of success factors identified by ATSISPEP"/>
        <w:tblDescription w:val="The table describes different success factors identified for the Aboriginal and/or Torres Strait Islander Suicide Prevention Evaluation Project (ATSISPEP) in suicide prevention. The first column describes the level at which the program is targeted, or the 'scope'. For example, the scope may be targeted at an individual level, or may be targeted at a community-wide level. The second column describes the types of factors for the relevant scope. For example, for the 'selective at risk groups' scope, 'school age' and 'young peoples' are the relevant factor types. The third column describes success factor mechanisms for the relevant type of factor. For example, where the factor is 'school age', one mechanism includes school-based peer support and mental health literacy programs."/>
      </w:tblPr>
      <w:tblGrid>
        <w:gridCol w:w="1691"/>
        <w:gridCol w:w="1560"/>
        <w:gridCol w:w="6367"/>
      </w:tblGrid>
      <w:tr w:rsidR="00597B5E" w:rsidRPr="0043288D" w14:paraId="38E725E4" w14:textId="77777777" w:rsidTr="006F6DD1">
        <w:trPr>
          <w:cnfStyle w:val="100000000000" w:firstRow="1" w:lastRow="0" w:firstColumn="0" w:lastColumn="0" w:oddVBand="0" w:evenVBand="0" w:oddHBand="0" w:evenHBand="0" w:firstRowFirstColumn="0" w:firstRowLastColumn="0" w:lastRowFirstColumn="0" w:lastRowLastColumn="0"/>
          <w:tblHeader/>
        </w:trPr>
        <w:tc>
          <w:tcPr>
            <w:tcW w:w="1691" w:type="dxa"/>
            <w:vAlign w:val="center"/>
          </w:tcPr>
          <w:p w14:paraId="38274F38" w14:textId="77777777" w:rsidR="00597B5E" w:rsidRPr="0043288D" w:rsidRDefault="00597B5E" w:rsidP="00024E8D">
            <w:pPr>
              <w:pStyle w:val="TableHeading"/>
              <w:rPr>
                <w:rFonts w:eastAsia="Calibri"/>
                <w:b w:val="0"/>
              </w:rPr>
            </w:pPr>
            <w:r w:rsidRPr="0043288D">
              <w:rPr>
                <w:rFonts w:eastAsia="Calibri"/>
              </w:rPr>
              <w:t>Scope</w:t>
            </w:r>
          </w:p>
        </w:tc>
        <w:tc>
          <w:tcPr>
            <w:tcW w:w="1560" w:type="dxa"/>
            <w:vAlign w:val="center"/>
          </w:tcPr>
          <w:p w14:paraId="5716FAB3" w14:textId="77777777" w:rsidR="00597B5E" w:rsidRPr="0043288D" w:rsidRDefault="00597B5E" w:rsidP="00024E8D">
            <w:pPr>
              <w:pStyle w:val="TableHeading"/>
              <w:rPr>
                <w:rFonts w:eastAsia="Calibri"/>
                <w:b w:val="0"/>
              </w:rPr>
            </w:pPr>
            <w:r w:rsidRPr="0043288D">
              <w:rPr>
                <w:rFonts w:eastAsia="Calibri"/>
              </w:rPr>
              <w:t>Type of factor</w:t>
            </w:r>
          </w:p>
        </w:tc>
        <w:tc>
          <w:tcPr>
            <w:tcW w:w="6367" w:type="dxa"/>
            <w:vAlign w:val="center"/>
          </w:tcPr>
          <w:p w14:paraId="279C7953" w14:textId="77777777" w:rsidR="00597B5E" w:rsidRPr="0043288D" w:rsidRDefault="00597B5E" w:rsidP="00024E8D">
            <w:pPr>
              <w:pStyle w:val="TableHeading"/>
              <w:rPr>
                <w:rFonts w:eastAsia="Calibri"/>
                <w:b w:val="0"/>
              </w:rPr>
            </w:pPr>
            <w:r w:rsidRPr="0043288D">
              <w:rPr>
                <w:rFonts w:eastAsia="Calibri"/>
              </w:rPr>
              <w:t>Mechanism</w:t>
            </w:r>
          </w:p>
        </w:tc>
      </w:tr>
      <w:tr w:rsidR="00597B5E" w:rsidRPr="00B65F7F" w14:paraId="5938536F" w14:textId="77777777" w:rsidTr="006F6DD1">
        <w:trPr>
          <w:cnfStyle w:val="000000100000" w:firstRow="0" w:lastRow="0" w:firstColumn="0" w:lastColumn="0" w:oddVBand="0" w:evenVBand="0" w:oddHBand="1" w:evenHBand="0" w:firstRowFirstColumn="0" w:firstRowLastColumn="0" w:lastRowFirstColumn="0" w:lastRowLastColumn="0"/>
        </w:trPr>
        <w:tc>
          <w:tcPr>
            <w:tcW w:w="1691" w:type="dxa"/>
            <w:vMerge w:val="restart"/>
          </w:tcPr>
          <w:p w14:paraId="16A57346" w14:textId="77777777" w:rsidR="00597B5E" w:rsidRPr="00A41213" w:rsidRDefault="00597B5E" w:rsidP="00A41213">
            <w:pPr>
              <w:pStyle w:val="TableText"/>
              <w:rPr>
                <w:rFonts w:eastAsia="Calibri"/>
                <w:b/>
                <w:bCs/>
              </w:rPr>
            </w:pPr>
            <w:r w:rsidRPr="00A41213">
              <w:rPr>
                <w:rFonts w:eastAsia="Calibri"/>
                <w:b/>
                <w:bCs/>
              </w:rPr>
              <w:t>Universal/</w:t>
            </w:r>
          </w:p>
          <w:p w14:paraId="6443F6EE" w14:textId="77777777" w:rsidR="00597B5E" w:rsidRPr="00A41213" w:rsidRDefault="00597B5E" w:rsidP="00A41213">
            <w:pPr>
              <w:pStyle w:val="TableText"/>
              <w:rPr>
                <w:rFonts w:eastAsia="Calibri"/>
                <w:b/>
                <w:bCs/>
              </w:rPr>
            </w:pPr>
            <w:r w:rsidRPr="00A41213">
              <w:rPr>
                <w:rFonts w:eastAsia="Calibri"/>
                <w:b/>
                <w:bCs/>
              </w:rPr>
              <w:t>Indigenous community-</w:t>
            </w:r>
          </w:p>
          <w:p w14:paraId="1E64F2A3" w14:textId="77777777" w:rsidR="00597B5E" w:rsidRPr="00A41213" w:rsidRDefault="00597B5E" w:rsidP="00A41213">
            <w:pPr>
              <w:pStyle w:val="TableText"/>
              <w:rPr>
                <w:rFonts w:eastAsia="Calibri"/>
                <w:b/>
                <w:bCs/>
              </w:rPr>
            </w:pPr>
            <w:r w:rsidRPr="00A41213">
              <w:rPr>
                <w:rFonts w:eastAsia="Calibri"/>
                <w:b/>
                <w:bCs/>
              </w:rPr>
              <w:t>wide</w:t>
            </w:r>
          </w:p>
          <w:p w14:paraId="21BD1974" w14:textId="77777777" w:rsidR="00597B5E" w:rsidRPr="00B65F7F" w:rsidRDefault="00597B5E" w:rsidP="00A41213">
            <w:pPr>
              <w:pStyle w:val="TableText"/>
              <w:rPr>
                <w:rFonts w:eastAsia="Calibri"/>
              </w:rPr>
            </w:pPr>
            <w:r w:rsidRPr="00B65F7F">
              <w:rPr>
                <w:rFonts w:eastAsia="Calibri"/>
              </w:rPr>
              <w:t>It should be noted that ‘universal’ is used to indicate community-wide responses rather than population-wide responses</w:t>
            </w:r>
            <w:r>
              <w:rPr>
                <w:rFonts w:eastAsia="Calibri"/>
              </w:rPr>
              <w:t>.</w:t>
            </w:r>
          </w:p>
        </w:tc>
        <w:tc>
          <w:tcPr>
            <w:tcW w:w="1560" w:type="dxa"/>
          </w:tcPr>
          <w:p w14:paraId="6E86407E" w14:textId="77777777" w:rsidR="00597B5E" w:rsidRPr="00B65F7F" w:rsidRDefault="00597B5E" w:rsidP="00A41213">
            <w:pPr>
              <w:pStyle w:val="TableText"/>
              <w:rPr>
                <w:rFonts w:eastAsia="Calibri"/>
              </w:rPr>
            </w:pPr>
            <w:r w:rsidRPr="00B65F7F">
              <w:rPr>
                <w:rFonts w:eastAsia="Calibri"/>
              </w:rPr>
              <w:t>Primordial prevention</w:t>
            </w:r>
          </w:p>
        </w:tc>
        <w:tc>
          <w:tcPr>
            <w:tcW w:w="6367" w:type="dxa"/>
          </w:tcPr>
          <w:p w14:paraId="2F651B4F" w14:textId="77777777" w:rsidR="00597B5E" w:rsidRPr="00B65F7F" w:rsidRDefault="00597B5E" w:rsidP="006F6DD1">
            <w:pPr>
              <w:pStyle w:val="TableTextbullets"/>
              <w:ind w:left="367"/>
            </w:pPr>
            <w:r w:rsidRPr="00F50A55">
              <w:t>addressing community challenges, poverty, social determinants of health</w:t>
            </w:r>
          </w:p>
          <w:p w14:paraId="54D57100" w14:textId="77777777" w:rsidR="00597B5E" w:rsidRPr="00B65F7F" w:rsidRDefault="00597B5E" w:rsidP="006F6DD1">
            <w:pPr>
              <w:pStyle w:val="TableTextbullets"/>
              <w:ind w:left="367"/>
            </w:pPr>
            <w:r w:rsidRPr="00F50A55">
              <w:t>cultural elements – building identity, SEWB, healing</w:t>
            </w:r>
          </w:p>
          <w:p w14:paraId="1B5CFBE5" w14:textId="77777777" w:rsidR="00597B5E" w:rsidRPr="00B65F7F" w:rsidRDefault="00597B5E" w:rsidP="006F6DD1">
            <w:pPr>
              <w:pStyle w:val="TableTextbullets"/>
              <w:ind w:left="367"/>
            </w:pPr>
            <w:r w:rsidRPr="00F50A55">
              <w:t>alcohol and other drug use reduction</w:t>
            </w:r>
          </w:p>
        </w:tc>
      </w:tr>
      <w:tr w:rsidR="00597B5E" w:rsidRPr="00B65F7F" w14:paraId="0CE0D7C1" w14:textId="77777777" w:rsidTr="006F6DD1">
        <w:trPr>
          <w:cnfStyle w:val="000000010000" w:firstRow="0" w:lastRow="0" w:firstColumn="0" w:lastColumn="0" w:oddVBand="0" w:evenVBand="0" w:oddHBand="0" w:evenHBand="1" w:firstRowFirstColumn="0" w:firstRowLastColumn="0" w:lastRowFirstColumn="0" w:lastRowLastColumn="0"/>
        </w:trPr>
        <w:tc>
          <w:tcPr>
            <w:tcW w:w="1691" w:type="dxa"/>
            <w:vMerge/>
          </w:tcPr>
          <w:p w14:paraId="60E5C1F5" w14:textId="77777777" w:rsidR="00597B5E" w:rsidRPr="00B65F7F" w:rsidRDefault="00597B5E" w:rsidP="00A41213">
            <w:pPr>
              <w:pStyle w:val="TableText"/>
            </w:pPr>
          </w:p>
        </w:tc>
        <w:tc>
          <w:tcPr>
            <w:tcW w:w="1560" w:type="dxa"/>
          </w:tcPr>
          <w:p w14:paraId="694EBEC6" w14:textId="77777777" w:rsidR="00597B5E" w:rsidRPr="00B65F7F" w:rsidRDefault="00597B5E" w:rsidP="00A41213">
            <w:pPr>
              <w:pStyle w:val="TableText"/>
              <w:rPr>
                <w:rFonts w:eastAsia="Calibri"/>
              </w:rPr>
            </w:pPr>
            <w:r w:rsidRPr="00B65F7F">
              <w:rPr>
                <w:rFonts w:eastAsia="Calibri"/>
              </w:rPr>
              <w:t>Primary prevention</w:t>
            </w:r>
          </w:p>
        </w:tc>
        <w:tc>
          <w:tcPr>
            <w:tcW w:w="6367" w:type="dxa"/>
          </w:tcPr>
          <w:p w14:paraId="0CF9ABEB" w14:textId="77777777" w:rsidR="00597B5E" w:rsidRPr="00B65F7F" w:rsidRDefault="00597B5E" w:rsidP="006F6DD1">
            <w:pPr>
              <w:pStyle w:val="TableTextbullets"/>
              <w:ind w:left="367"/>
            </w:pPr>
            <w:r w:rsidRPr="00F50A55">
              <w:t>gatekeeper training – Indigenous-specific</w:t>
            </w:r>
          </w:p>
          <w:p w14:paraId="6144FEC1" w14:textId="77777777" w:rsidR="00597B5E" w:rsidRPr="00B65F7F" w:rsidRDefault="00597B5E" w:rsidP="006F6DD1">
            <w:pPr>
              <w:pStyle w:val="TableTextbullets"/>
              <w:ind w:left="367"/>
            </w:pPr>
            <w:r w:rsidRPr="00F50A55">
              <w:t>awareness-raising programs about suicide risk, shown on DVDs (no assumption of literacy)</w:t>
            </w:r>
          </w:p>
          <w:p w14:paraId="2EEE2EA5" w14:textId="77777777" w:rsidR="00597B5E" w:rsidRPr="00B65F7F" w:rsidRDefault="00597B5E" w:rsidP="006F6DD1">
            <w:pPr>
              <w:pStyle w:val="TableTextbullets"/>
              <w:ind w:left="367"/>
            </w:pPr>
            <w:r w:rsidRPr="00F50A55">
              <w:t>reducing access to lethal means of suicide</w:t>
            </w:r>
          </w:p>
          <w:p w14:paraId="02804570" w14:textId="77777777" w:rsidR="00597B5E" w:rsidRPr="00B65F7F" w:rsidRDefault="00597B5E" w:rsidP="006F6DD1">
            <w:pPr>
              <w:pStyle w:val="TableTextbullets"/>
              <w:ind w:left="367"/>
            </w:pPr>
            <w:r w:rsidRPr="00F50A55">
              <w:t>training of frontline staff/GPs in detecting depression and suicide risk</w:t>
            </w:r>
          </w:p>
          <w:p w14:paraId="0DF496D5" w14:textId="77777777" w:rsidR="00597B5E" w:rsidRPr="00B65F7F" w:rsidRDefault="00597B5E" w:rsidP="006F6DD1">
            <w:pPr>
              <w:pStyle w:val="TableTextbullets"/>
              <w:ind w:left="367"/>
            </w:pPr>
            <w:r w:rsidRPr="00F50A55">
              <w:t>e-health services/internet/crisis call lines and chat services</w:t>
            </w:r>
          </w:p>
          <w:p w14:paraId="7B4B253F" w14:textId="77777777" w:rsidR="00597B5E" w:rsidRPr="00B65F7F" w:rsidRDefault="00597B5E" w:rsidP="006F6DD1">
            <w:pPr>
              <w:pStyle w:val="TableTextbullets"/>
              <w:ind w:left="367"/>
            </w:pPr>
            <w:r w:rsidRPr="00F50A55">
              <w:t>responsible suicide reporting by the media</w:t>
            </w:r>
          </w:p>
        </w:tc>
      </w:tr>
      <w:tr w:rsidR="00597B5E" w:rsidRPr="00B65F7F" w14:paraId="71B8EE93" w14:textId="77777777" w:rsidTr="006F6DD1">
        <w:trPr>
          <w:cnfStyle w:val="000000100000" w:firstRow="0" w:lastRow="0" w:firstColumn="0" w:lastColumn="0" w:oddVBand="0" w:evenVBand="0" w:oddHBand="1" w:evenHBand="0" w:firstRowFirstColumn="0" w:firstRowLastColumn="0" w:lastRowFirstColumn="0" w:lastRowLastColumn="0"/>
        </w:trPr>
        <w:tc>
          <w:tcPr>
            <w:tcW w:w="1691" w:type="dxa"/>
            <w:vMerge w:val="restart"/>
          </w:tcPr>
          <w:p w14:paraId="28C1AFF3" w14:textId="77777777" w:rsidR="00597B5E" w:rsidRPr="00A41213" w:rsidRDefault="00597B5E" w:rsidP="00A41213">
            <w:pPr>
              <w:pStyle w:val="TableText"/>
              <w:rPr>
                <w:rFonts w:eastAsia="Calibri"/>
                <w:b/>
                <w:bCs/>
              </w:rPr>
            </w:pPr>
            <w:r w:rsidRPr="00A41213">
              <w:rPr>
                <w:rFonts w:eastAsia="Calibri"/>
                <w:b/>
                <w:bCs/>
              </w:rPr>
              <w:t>Selective – at-risk groups</w:t>
            </w:r>
          </w:p>
        </w:tc>
        <w:tc>
          <w:tcPr>
            <w:tcW w:w="1560" w:type="dxa"/>
          </w:tcPr>
          <w:p w14:paraId="2987D6E5" w14:textId="77777777" w:rsidR="00597B5E" w:rsidRPr="00B65F7F" w:rsidRDefault="00597B5E" w:rsidP="00A41213">
            <w:pPr>
              <w:pStyle w:val="TableText"/>
              <w:rPr>
                <w:rFonts w:eastAsia="Calibri"/>
              </w:rPr>
            </w:pPr>
            <w:r w:rsidRPr="00B65F7F">
              <w:rPr>
                <w:rFonts w:eastAsia="Calibri"/>
              </w:rPr>
              <w:t>School age</w:t>
            </w:r>
          </w:p>
        </w:tc>
        <w:tc>
          <w:tcPr>
            <w:tcW w:w="6367" w:type="dxa"/>
          </w:tcPr>
          <w:p w14:paraId="5B4BCBF5" w14:textId="77777777" w:rsidR="00597B5E" w:rsidRPr="00B65F7F" w:rsidRDefault="00597B5E" w:rsidP="006F6DD1">
            <w:pPr>
              <w:pStyle w:val="TableTextbullets"/>
              <w:ind w:left="367"/>
            </w:pPr>
            <w:r w:rsidRPr="00F50A55">
              <w:t>school-based peer support and mental health literacy programs</w:t>
            </w:r>
          </w:p>
          <w:p w14:paraId="05DC5BC3" w14:textId="77777777" w:rsidR="00597B5E" w:rsidRPr="00B65F7F" w:rsidRDefault="00597B5E" w:rsidP="006F6DD1">
            <w:pPr>
              <w:pStyle w:val="TableTextbullets"/>
              <w:ind w:left="367"/>
            </w:pPr>
            <w:r w:rsidRPr="00F50A55">
              <w:t>culture being taught in schools</w:t>
            </w:r>
          </w:p>
        </w:tc>
      </w:tr>
      <w:tr w:rsidR="00597B5E" w:rsidRPr="00B65F7F" w14:paraId="0CC1F520" w14:textId="77777777" w:rsidTr="006F6DD1">
        <w:trPr>
          <w:cnfStyle w:val="000000010000" w:firstRow="0" w:lastRow="0" w:firstColumn="0" w:lastColumn="0" w:oddVBand="0" w:evenVBand="0" w:oddHBand="0" w:evenHBand="1" w:firstRowFirstColumn="0" w:firstRowLastColumn="0" w:lastRowFirstColumn="0" w:lastRowLastColumn="0"/>
        </w:trPr>
        <w:tc>
          <w:tcPr>
            <w:tcW w:w="1691" w:type="dxa"/>
            <w:vMerge/>
          </w:tcPr>
          <w:p w14:paraId="5EA57A15" w14:textId="77777777" w:rsidR="00597B5E" w:rsidRPr="00B65F7F" w:rsidRDefault="00597B5E" w:rsidP="00A41213">
            <w:pPr>
              <w:pStyle w:val="TableText"/>
            </w:pPr>
          </w:p>
        </w:tc>
        <w:tc>
          <w:tcPr>
            <w:tcW w:w="1560" w:type="dxa"/>
          </w:tcPr>
          <w:p w14:paraId="0D495B10" w14:textId="77777777" w:rsidR="00597B5E" w:rsidRPr="00B65F7F" w:rsidRDefault="00597B5E" w:rsidP="00A41213">
            <w:pPr>
              <w:pStyle w:val="TableText"/>
              <w:rPr>
                <w:rFonts w:eastAsia="Calibri"/>
              </w:rPr>
            </w:pPr>
            <w:r w:rsidRPr="00B65F7F">
              <w:rPr>
                <w:rFonts w:eastAsia="Calibri"/>
              </w:rPr>
              <w:t>Young people</w:t>
            </w:r>
          </w:p>
        </w:tc>
        <w:tc>
          <w:tcPr>
            <w:tcW w:w="6367" w:type="dxa"/>
          </w:tcPr>
          <w:p w14:paraId="523729B6" w14:textId="77777777" w:rsidR="00597B5E" w:rsidRPr="00B65F7F" w:rsidRDefault="00597B5E" w:rsidP="006F6DD1">
            <w:pPr>
              <w:pStyle w:val="TableTextbullets"/>
              <w:ind w:left="367"/>
            </w:pPr>
            <w:r w:rsidRPr="00F50A55">
              <w:t>peer-to-peer mentoring, and education and leadership on suicide prevention</w:t>
            </w:r>
          </w:p>
          <w:p w14:paraId="29480E19" w14:textId="77777777" w:rsidR="00597B5E" w:rsidRPr="00B65F7F" w:rsidRDefault="00597B5E" w:rsidP="006F6DD1">
            <w:pPr>
              <w:pStyle w:val="TableTextbullets"/>
              <w:ind w:left="367"/>
            </w:pPr>
            <w:r w:rsidRPr="00F50A55">
              <w:t>programs to engage/divert, including sport</w:t>
            </w:r>
          </w:p>
          <w:p w14:paraId="4C51ACE6" w14:textId="77777777" w:rsidR="00597B5E" w:rsidRPr="00B65F7F" w:rsidRDefault="00597B5E" w:rsidP="006F6DD1">
            <w:pPr>
              <w:pStyle w:val="TableTextbullets"/>
              <w:ind w:left="367"/>
            </w:pPr>
            <w:r w:rsidRPr="00F50A55">
              <w:t>connecting to culture/Country/Elders</w:t>
            </w:r>
          </w:p>
          <w:p w14:paraId="7462C8E5" w14:textId="77777777" w:rsidR="00597B5E" w:rsidRPr="00B65F7F" w:rsidRDefault="00597B5E" w:rsidP="006F6DD1">
            <w:pPr>
              <w:pStyle w:val="TableTextbullets"/>
              <w:ind w:left="367"/>
            </w:pPr>
            <w:r w:rsidRPr="00F50A55">
              <w:t>providing hope for the future, education – preparing for employment</w:t>
            </w:r>
          </w:p>
        </w:tc>
      </w:tr>
      <w:tr w:rsidR="00597B5E" w:rsidRPr="00B65F7F" w14:paraId="4D015FA9" w14:textId="77777777" w:rsidTr="006F6DD1">
        <w:trPr>
          <w:cnfStyle w:val="000000100000" w:firstRow="0" w:lastRow="0" w:firstColumn="0" w:lastColumn="0" w:oddVBand="0" w:evenVBand="0" w:oddHBand="1" w:evenHBand="0" w:firstRowFirstColumn="0" w:firstRowLastColumn="0" w:lastRowFirstColumn="0" w:lastRowLastColumn="0"/>
        </w:trPr>
        <w:tc>
          <w:tcPr>
            <w:tcW w:w="1691" w:type="dxa"/>
          </w:tcPr>
          <w:p w14:paraId="07E590BD" w14:textId="77777777" w:rsidR="00597B5E" w:rsidRPr="00A41213" w:rsidRDefault="00597B5E" w:rsidP="00A41213">
            <w:pPr>
              <w:pStyle w:val="TableText"/>
              <w:rPr>
                <w:rFonts w:eastAsia="Calibri"/>
                <w:b/>
                <w:bCs/>
              </w:rPr>
            </w:pPr>
            <w:r w:rsidRPr="00A41213">
              <w:rPr>
                <w:rFonts w:eastAsia="Calibri"/>
                <w:b/>
                <w:bCs/>
              </w:rPr>
              <w:t>Indicated – at-risk individuals</w:t>
            </w:r>
          </w:p>
        </w:tc>
        <w:tc>
          <w:tcPr>
            <w:tcW w:w="1560" w:type="dxa"/>
          </w:tcPr>
          <w:p w14:paraId="0CEE5A69" w14:textId="77777777" w:rsidR="00597B5E" w:rsidRPr="00B65F7F" w:rsidRDefault="00597B5E" w:rsidP="00A41213">
            <w:pPr>
              <w:pStyle w:val="TableText"/>
              <w:rPr>
                <w:rFonts w:eastAsia="Calibri"/>
              </w:rPr>
            </w:pPr>
            <w:r w:rsidRPr="00B65F7F">
              <w:rPr>
                <w:rFonts w:eastAsia="Calibri"/>
              </w:rPr>
              <w:t>Clinical elements</w:t>
            </w:r>
          </w:p>
        </w:tc>
        <w:tc>
          <w:tcPr>
            <w:tcW w:w="6367" w:type="dxa"/>
          </w:tcPr>
          <w:p w14:paraId="2F0F2704" w14:textId="77777777" w:rsidR="00597B5E" w:rsidRPr="00B65F7F" w:rsidRDefault="00597B5E" w:rsidP="006F6DD1">
            <w:pPr>
              <w:pStyle w:val="TableTextbullets"/>
              <w:ind w:left="367"/>
            </w:pPr>
            <w:r w:rsidRPr="00F50A55">
              <w:t>access to counsellors/mental health support</w:t>
            </w:r>
          </w:p>
          <w:p w14:paraId="7358991F" w14:textId="77777777" w:rsidR="00597B5E" w:rsidRPr="00B65F7F" w:rsidRDefault="00597B5E" w:rsidP="006F6DD1">
            <w:pPr>
              <w:pStyle w:val="TableTextbullets"/>
              <w:ind w:left="367"/>
            </w:pPr>
            <w:r w:rsidRPr="00F50A55">
              <w:t>24/7 availability</w:t>
            </w:r>
          </w:p>
          <w:p w14:paraId="28F71DD8" w14:textId="77777777" w:rsidR="00597B5E" w:rsidRPr="00B65F7F" w:rsidRDefault="00597B5E" w:rsidP="006F6DD1">
            <w:pPr>
              <w:pStyle w:val="TableTextbullets"/>
              <w:ind w:left="367"/>
            </w:pPr>
            <w:r w:rsidRPr="00F50A55">
              <w:t>awareness of critical risk periods and responsiveness at those times</w:t>
            </w:r>
          </w:p>
          <w:p w14:paraId="2B40AA62" w14:textId="77777777" w:rsidR="00597B5E" w:rsidRPr="00B65F7F" w:rsidRDefault="00597B5E" w:rsidP="006F6DD1">
            <w:pPr>
              <w:pStyle w:val="TableTextbullets"/>
              <w:ind w:left="367"/>
            </w:pPr>
            <w:r w:rsidRPr="00F50A55">
              <w:t>crisis response teams after a suicide/postvention</w:t>
            </w:r>
          </w:p>
          <w:p w14:paraId="6AD52CF1" w14:textId="77777777" w:rsidR="00597B5E" w:rsidRPr="00B65F7F" w:rsidRDefault="00597B5E" w:rsidP="006F6DD1">
            <w:pPr>
              <w:pStyle w:val="TableTextbullets"/>
              <w:ind w:left="367"/>
            </w:pPr>
            <w:r w:rsidRPr="00F50A55">
              <w:t>clear referral pathways</w:t>
            </w:r>
          </w:p>
          <w:p w14:paraId="0F2A145D" w14:textId="77777777" w:rsidR="00597B5E" w:rsidRPr="00B65F7F" w:rsidRDefault="00597B5E" w:rsidP="006F6DD1">
            <w:pPr>
              <w:pStyle w:val="TableTextbullets"/>
              <w:ind w:left="367"/>
            </w:pPr>
            <w:r w:rsidRPr="00F50A55">
              <w:t>time protocols</w:t>
            </w:r>
          </w:p>
          <w:p w14:paraId="5C5BDC2C" w14:textId="77777777" w:rsidR="00597B5E" w:rsidRPr="00B65F7F" w:rsidRDefault="00597B5E" w:rsidP="006F6DD1">
            <w:pPr>
              <w:pStyle w:val="TableTextbullets"/>
              <w:ind w:left="367"/>
            </w:pPr>
            <w:r w:rsidRPr="00F50A55">
              <w:t>high quality and culturally appropriate treatments</w:t>
            </w:r>
          </w:p>
          <w:p w14:paraId="4B1A5A27" w14:textId="77777777" w:rsidR="00597B5E" w:rsidRPr="00B65F7F" w:rsidRDefault="00597B5E" w:rsidP="006F6DD1">
            <w:pPr>
              <w:pStyle w:val="TableTextbullets"/>
              <w:ind w:left="367"/>
            </w:pPr>
            <w:r w:rsidRPr="00F50A55">
              <w:t>cultural competence of staff/mandatory training requirements</w:t>
            </w:r>
          </w:p>
        </w:tc>
      </w:tr>
      <w:tr w:rsidR="00597B5E" w:rsidRPr="00B65F7F" w14:paraId="6A5CD207" w14:textId="77777777" w:rsidTr="006F6DD1">
        <w:trPr>
          <w:cnfStyle w:val="000000010000" w:firstRow="0" w:lastRow="0" w:firstColumn="0" w:lastColumn="0" w:oddVBand="0" w:evenVBand="0" w:oddHBand="0" w:evenHBand="1" w:firstRowFirstColumn="0" w:firstRowLastColumn="0" w:lastRowFirstColumn="0" w:lastRowLastColumn="0"/>
        </w:trPr>
        <w:tc>
          <w:tcPr>
            <w:tcW w:w="1691" w:type="dxa"/>
            <w:vMerge w:val="restart"/>
          </w:tcPr>
          <w:p w14:paraId="48BFB9E6" w14:textId="77777777" w:rsidR="00597B5E" w:rsidRPr="00A41213" w:rsidRDefault="00597B5E" w:rsidP="00A41213">
            <w:pPr>
              <w:pStyle w:val="TableText"/>
              <w:rPr>
                <w:rFonts w:eastAsia="Calibri"/>
                <w:b/>
                <w:bCs/>
              </w:rPr>
            </w:pPr>
            <w:r w:rsidRPr="00A41213">
              <w:rPr>
                <w:rFonts w:eastAsia="Calibri"/>
                <w:b/>
                <w:bCs/>
              </w:rPr>
              <w:t>Common elements</w:t>
            </w:r>
          </w:p>
        </w:tc>
        <w:tc>
          <w:tcPr>
            <w:tcW w:w="1560" w:type="dxa"/>
          </w:tcPr>
          <w:p w14:paraId="7E4B8EC8" w14:textId="77777777" w:rsidR="00597B5E" w:rsidRPr="00B65F7F" w:rsidRDefault="00597B5E" w:rsidP="00A41213">
            <w:pPr>
              <w:pStyle w:val="TableText"/>
              <w:rPr>
                <w:rFonts w:eastAsia="Calibri"/>
              </w:rPr>
            </w:pPr>
            <w:r w:rsidRPr="00B65F7F">
              <w:rPr>
                <w:rFonts w:eastAsia="Calibri"/>
              </w:rPr>
              <w:t>Community leadership/</w:t>
            </w:r>
          </w:p>
          <w:p w14:paraId="33B193E1" w14:textId="77777777" w:rsidR="00597B5E" w:rsidRPr="00B65F7F" w:rsidRDefault="00597B5E" w:rsidP="00A41213">
            <w:pPr>
              <w:pStyle w:val="TableText"/>
              <w:rPr>
                <w:rFonts w:eastAsia="Calibri"/>
              </w:rPr>
            </w:pPr>
            <w:r w:rsidRPr="00B65F7F">
              <w:rPr>
                <w:rFonts w:eastAsia="Calibri"/>
              </w:rPr>
              <w:t>cultural framework</w:t>
            </w:r>
          </w:p>
        </w:tc>
        <w:tc>
          <w:tcPr>
            <w:tcW w:w="6367" w:type="dxa"/>
          </w:tcPr>
          <w:p w14:paraId="3E82F6EE" w14:textId="77777777" w:rsidR="00597B5E" w:rsidRPr="00B65F7F" w:rsidRDefault="00597B5E" w:rsidP="006F6DD1">
            <w:pPr>
              <w:pStyle w:val="TableTextbullets"/>
              <w:ind w:left="367"/>
            </w:pPr>
            <w:r w:rsidRPr="00F50A55">
              <w:t>community empowerment, development, ownership; community-specific responses</w:t>
            </w:r>
          </w:p>
          <w:p w14:paraId="4147DA48" w14:textId="77777777" w:rsidR="00597B5E" w:rsidRPr="00B65F7F" w:rsidRDefault="00597B5E" w:rsidP="006F6DD1">
            <w:pPr>
              <w:pStyle w:val="TableTextbullets"/>
              <w:ind w:left="367"/>
            </w:pPr>
            <w:r w:rsidRPr="00F50A55">
              <w:t>involvement of Elders</w:t>
            </w:r>
          </w:p>
          <w:p w14:paraId="7C8DE37B" w14:textId="77777777" w:rsidR="00597B5E" w:rsidRPr="00B65F7F" w:rsidRDefault="00597B5E" w:rsidP="006F6DD1">
            <w:pPr>
              <w:pStyle w:val="TableTextbullets"/>
              <w:ind w:left="367"/>
            </w:pPr>
            <w:r w:rsidRPr="00F50A55">
              <w:t>cultural framework</w:t>
            </w:r>
          </w:p>
        </w:tc>
      </w:tr>
      <w:tr w:rsidR="00597B5E" w:rsidRPr="00B65F7F" w14:paraId="6F094C7E" w14:textId="77777777" w:rsidTr="006F6DD1">
        <w:trPr>
          <w:cnfStyle w:val="000000100000" w:firstRow="0" w:lastRow="0" w:firstColumn="0" w:lastColumn="0" w:oddVBand="0" w:evenVBand="0" w:oddHBand="1" w:evenHBand="0" w:firstRowFirstColumn="0" w:firstRowLastColumn="0" w:lastRowFirstColumn="0" w:lastRowLastColumn="0"/>
        </w:trPr>
        <w:tc>
          <w:tcPr>
            <w:tcW w:w="1691" w:type="dxa"/>
            <w:vMerge/>
          </w:tcPr>
          <w:p w14:paraId="05F24969" w14:textId="77777777" w:rsidR="00597B5E" w:rsidRPr="00B65F7F" w:rsidRDefault="00597B5E" w:rsidP="00A41213">
            <w:pPr>
              <w:pStyle w:val="TableText"/>
            </w:pPr>
          </w:p>
        </w:tc>
        <w:tc>
          <w:tcPr>
            <w:tcW w:w="1560" w:type="dxa"/>
          </w:tcPr>
          <w:p w14:paraId="3AF70614" w14:textId="77777777" w:rsidR="00597B5E" w:rsidRPr="00B65F7F" w:rsidRDefault="00597B5E" w:rsidP="00A41213">
            <w:pPr>
              <w:pStyle w:val="TableText"/>
              <w:rPr>
                <w:rFonts w:eastAsia="Calibri"/>
              </w:rPr>
            </w:pPr>
            <w:r w:rsidRPr="00B65F7F">
              <w:rPr>
                <w:rFonts w:eastAsia="Calibri"/>
              </w:rPr>
              <w:t>Provider</w:t>
            </w:r>
          </w:p>
        </w:tc>
        <w:tc>
          <w:tcPr>
            <w:tcW w:w="6367" w:type="dxa"/>
          </w:tcPr>
          <w:p w14:paraId="31B10B4D" w14:textId="77777777" w:rsidR="00597B5E" w:rsidRPr="00B65F7F" w:rsidRDefault="00597B5E" w:rsidP="006F6DD1">
            <w:pPr>
              <w:pStyle w:val="TableTextbullets"/>
              <w:ind w:left="367"/>
            </w:pPr>
            <w:r w:rsidRPr="00F50A55">
              <w:t xml:space="preserve">partnerships with community organisations and </w:t>
            </w:r>
            <w:r w:rsidR="00D8195F">
              <w:t>Aboriginal Community-Controlled Health Service</w:t>
            </w:r>
          </w:p>
          <w:p w14:paraId="700B613C" w14:textId="77777777" w:rsidR="00597B5E" w:rsidRPr="00B65F7F" w:rsidRDefault="00597B5E" w:rsidP="006F6DD1">
            <w:pPr>
              <w:pStyle w:val="TableTextbullets"/>
              <w:ind w:left="367"/>
            </w:pPr>
            <w:r w:rsidRPr="00F50A55">
              <w:t>employment of community members/peer workforce</w:t>
            </w:r>
          </w:p>
          <w:p w14:paraId="7F9E39F2" w14:textId="77777777" w:rsidR="00597B5E" w:rsidRPr="00B65F7F" w:rsidRDefault="00597B5E" w:rsidP="006F6DD1">
            <w:pPr>
              <w:pStyle w:val="TableTextbullets"/>
              <w:ind w:left="367"/>
            </w:pPr>
            <w:r w:rsidRPr="00F50A55">
              <w:t>indicators for evaluation</w:t>
            </w:r>
          </w:p>
          <w:p w14:paraId="7422028E" w14:textId="77777777" w:rsidR="00597B5E" w:rsidRPr="00B65F7F" w:rsidRDefault="00597B5E" w:rsidP="006F6DD1">
            <w:pPr>
              <w:pStyle w:val="TableTextbullets"/>
              <w:ind w:left="367"/>
            </w:pPr>
            <w:r w:rsidRPr="00F50A55">
              <w:t>cross-agency collaboration</w:t>
            </w:r>
          </w:p>
          <w:p w14:paraId="57C8F559" w14:textId="77777777" w:rsidR="00597B5E" w:rsidRPr="00B65F7F" w:rsidRDefault="00597B5E" w:rsidP="006F6DD1">
            <w:pPr>
              <w:pStyle w:val="TableTextbullets"/>
              <w:ind w:left="367"/>
            </w:pPr>
            <w:r w:rsidRPr="00F50A55">
              <w:t>data collections</w:t>
            </w:r>
          </w:p>
          <w:p w14:paraId="53794999" w14:textId="77777777" w:rsidR="00597B5E" w:rsidRPr="00B65F7F" w:rsidRDefault="00597B5E" w:rsidP="006F6DD1">
            <w:pPr>
              <w:pStyle w:val="TableTextbullets"/>
              <w:ind w:left="367"/>
            </w:pPr>
            <w:r w:rsidRPr="00F50A55">
              <w:t>dissemination of learnings</w:t>
            </w:r>
          </w:p>
        </w:tc>
      </w:tr>
    </w:tbl>
    <w:p w14:paraId="52C87CC7" w14:textId="77777777" w:rsidR="00597B5E" w:rsidRPr="00B65F7F" w:rsidRDefault="004C1AF3" w:rsidP="006734AE">
      <w:pPr>
        <w:pStyle w:val="HeadingLevel2NoNumber"/>
      </w:pPr>
      <w:bookmarkStart w:id="381" w:name="_heading=h.3gnlt4p" w:colFirst="0" w:colLast="0"/>
      <w:bookmarkEnd w:id="381"/>
      <w:r>
        <w:t>A9.4</w:t>
      </w:r>
      <w:r w:rsidR="00597B5E" w:rsidRPr="00B65F7F">
        <w:t xml:space="preserve"> Funding and delivery models, approaches and frameworks: Australia</w:t>
      </w:r>
    </w:p>
    <w:p w14:paraId="7067B3A2" w14:textId="77777777" w:rsidR="00597B5E" w:rsidRPr="00B65F7F" w:rsidRDefault="00597B5E" w:rsidP="009912B7">
      <w:pPr>
        <w:pStyle w:val="HeadingLevel3NoNumber"/>
      </w:pPr>
      <w:bookmarkStart w:id="382" w:name="_heading=h.gjuf1axjgfa" w:colFirst="0" w:colLast="0"/>
      <w:bookmarkEnd w:id="382"/>
      <w:r w:rsidRPr="00B65F7F">
        <w:t>Commissioning and funding models for primary healthcare in Australia</w:t>
      </w:r>
    </w:p>
    <w:p w14:paraId="556349C8" w14:textId="77777777" w:rsidR="00597B5E" w:rsidRPr="00B65F7F" w:rsidRDefault="00597B5E" w:rsidP="009912B7">
      <w:pPr>
        <w:pStyle w:val="HeadingLevel4NoNumber"/>
      </w:pPr>
      <w:bookmarkStart w:id="383" w:name="_heading=h.ew5k0zvgylhe" w:colFirst="0" w:colLast="0"/>
      <w:bookmarkEnd w:id="383"/>
      <w:r w:rsidRPr="00B65F7F">
        <w:t>Context</w:t>
      </w:r>
    </w:p>
    <w:p w14:paraId="5D126821" w14:textId="77777777" w:rsidR="00597B5E" w:rsidRPr="00B65F7F" w:rsidRDefault="00C44EB9" w:rsidP="00A41213">
      <w:pPr>
        <w:pStyle w:val="BodyText"/>
      </w:pPr>
      <w:r w:rsidRPr="00B65F7F">
        <w:t>Most</w:t>
      </w:r>
      <w:r w:rsidR="00597B5E" w:rsidRPr="00B65F7F">
        <w:t xml:space="preserve"> primary healthcare services and programs in Australia are funded directly by </w:t>
      </w:r>
      <w:r w:rsidR="00840E8D">
        <w:t>DoHAC</w:t>
      </w:r>
      <w:r w:rsidR="00597B5E" w:rsidRPr="00B65F7F">
        <w:t xml:space="preserve"> and/or state and territory government or indirectly through intermediary bodies, like Primary Health Networks (PHNs). PHNs were established to increase the ‘efficiency and effectiveness’ of primary healthcare services for service users, ‘particularly those at risk of poor health outcomes’</w:t>
      </w:r>
      <w:r w:rsidR="00597B5E">
        <w:t>,</w:t>
      </w:r>
      <w:r w:rsidR="00597B5E" w:rsidRPr="00B65F7F">
        <w:t xml:space="preserve"> and to improve care coordination to ensure service users ‘receive the right care in the right place at the right time’ (</w:t>
      </w:r>
      <w:r w:rsidR="00597B5E" w:rsidRPr="0015093D">
        <w:t>Department</w:t>
      </w:r>
      <w:r w:rsidR="00597B5E" w:rsidRPr="00B65F7F">
        <w:t xml:space="preserve"> of Health, 2016b, </w:t>
      </w:r>
      <w:r w:rsidR="00597B5E">
        <w:t>p. </w:t>
      </w:r>
      <w:r w:rsidR="00597B5E" w:rsidRPr="00B65F7F">
        <w:t xml:space="preserve">7). </w:t>
      </w:r>
      <w:r w:rsidR="00840E8D">
        <w:t>DoHAC</w:t>
      </w:r>
      <w:r w:rsidR="00597B5E" w:rsidRPr="00B65F7F">
        <w:t xml:space="preserve"> allocates funding to PHNs based on </w:t>
      </w:r>
      <w:r w:rsidRPr="00B65F7F">
        <w:t>several</w:t>
      </w:r>
      <w:r w:rsidR="00597B5E" w:rsidRPr="00B65F7F">
        <w:t xml:space="preserve"> factors, including ‘population, rurality and socio-economic factors’ using a block-funding approach (</w:t>
      </w:r>
      <w:r w:rsidR="00597B5E" w:rsidRPr="0015093D">
        <w:t>Department</w:t>
      </w:r>
      <w:r w:rsidR="00597B5E" w:rsidRPr="00B65F7F">
        <w:t xml:space="preserve"> of Health, 2016b, </w:t>
      </w:r>
      <w:r w:rsidR="00597B5E">
        <w:t>p. </w:t>
      </w:r>
      <w:r w:rsidR="00597B5E" w:rsidRPr="00B65F7F">
        <w:t>9). PHNs receive funding for a range of activities and functions, including:</w:t>
      </w:r>
    </w:p>
    <w:p w14:paraId="2631981A" w14:textId="77777777" w:rsidR="00597B5E" w:rsidRPr="0015093D" w:rsidRDefault="00597B5E" w:rsidP="00A41213">
      <w:pPr>
        <w:pStyle w:val="ListBullet2"/>
        <w:rPr>
          <w:b/>
        </w:rPr>
      </w:pPr>
      <w:r w:rsidRPr="00B65F7F">
        <w:rPr>
          <w:b/>
        </w:rPr>
        <w:t>Commissioning healthcare services to meet local needs</w:t>
      </w:r>
      <w:r w:rsidRPr="00B65F7F">
        <w:t xml:space="preserve"> including ‘analysing relevant health data; prioritising local needs; working with [service] providers, clinicians and communities to co-design services to meet those needs; and monitoring and evaluating service delivery to inform future needs</w:t>
      </w:r>
      <w:r w:rsidRPr="0015093D">
        <w:t>’ (Department of Health, 2018, p. 4; Department of Health, 2016b, p. 9).</w:t>
      </w:r>
    </w:p>
    <w:p w14:paraId="57A4D651" w14:textId="77777777" w:rsidR="00597B5E" w:rsidRPr="0015093D" w:rsidRDefault="00597B5E" w:rsidP="00A41213">
      <w:pPr>
        <w:pStyle w:val="ListBullet2"/>
        <w:rPr>
          <w:b/>
        </w:rPr>
      </w:pPr>
      <w:r w:rsidRPr="0015093D">
        <w:rPr>
          <w:b/>
        </w:rPr>
        <w:t>Improving health systems</w:t>
      </w:r>
      <w:r w:rsidRPr="0015093D">
        <w:t xml:space="preserve"> by supporting ‘joint planning, collaborative commissioning and health service integration between Commonwealth and state and territory funded health services’ (Department of Health, 2018, p. 5).</w:t>
      </w:r>
    </w:p>
    <w:p w14:paraId="69BEB618" w14:textId="77777777" w:rsidR="00597B5E" w:rsidRPr="0015093D" w:rsidRDefault="00597B5E" w:rsidP="00A41213">
      <w:pPr>
        <w:pStyle w:val="ListBullet2"/>
        <w:rPr>
          <w:b/>
        </w:rPr>
      </w:pPr>
      <w:r w:rsidRPr="0015093D">
        <w:rPr>
          <w:b/>
        </w:rPr>
        <w:t xml:space="preserve">Providing support to general practice </w:t>
      </w:r>
      <w:r w:rsidRPr="0015093D">
        <w:t>to strengthen the primary healthcare system, including support healthcare providers ‘with quality improvement and accreditation; cultural awareness and competency; workforce development; digital health systems; and patient-centred care and best practice service delivery models’ (Department of Health, 2018, p. 5; Department of Health, 2016b, p. 9)</w:t>
      </w:r>
    </w:p>
    <w:p w14:paraId="545C9A4C" w14:textId="77777777" w:rsidR="00597B5E" w:rsidRPr="0015093D" w:rsidRDefault="00597B5E" w:rsidP="00A41213">
      <w:pPr>
        <w:pStyle w:val="ListBullet2"/>
        <w:rPr>
          <w:b/>
        </w:rPr>
      </w:pPr>
      <w:r w:rsidRPr="0015093D">
        <w:rPr>
          <w:b/>
        </w:rPr>
        <w:t>Responding to national priorities</w:t>
      </w:r>
      <w:r w:rsidRPr="0015093D">
        <w:t xml:space="preserve"> determined by the government (Department of Health, 2016b, p. 9; Department of Health, 2018, p. 4)</w:t>
      </w:r>
    </w:p>
    <w:p w14:paraId="7F983ECE" w14:textId="77777777" w:rsidR="00597B5E" w:rsidRPr="00B65F7F" w:rsidRDefault="00597B5E" w:rsidP="00A41213">
      <w:pPr>
        <w:pStyle w:val="ListBullet2"/>
        <w:rPr>
          <w:b/>
        </w:rPr>
      </w:pPr>
      <w:r w:rsidRPr="0015093D">
        <w:rPr>
          <w:b/>
        </w:rPr>
        <w:t>Operational functions</w:t>
      </w:r>
      <w:r w:rsidRPr="0015093D">
        <w:t>, including key administrative, governance (i.e. establishing and maintaining Clinical Councils and Community Advisory Committees) and core functions (Department of Health, 2016b, p. 9; Department 2018,</w:t>
      </w:r>
      <w:r w:rsidRPr="00B65F7F">
        <w:t xml:space="preserve"> </w:t>
      </w:r>
      <w:r>
        <w:t>p. </w:t>
      </w:r>
      <w:r w:rsidRPr="00B65F7F">
        <w:t>5)</w:t>
      </w:r>
      <w:r>
        <w:t>.</w:t>
      </w:r>
    </w:p>
    <w:p w14:paraId="0EAE65F1" w14:textId="77777777" w:rsidR="00597B5E" w:rsidRPr="00B65F7F" w:rsidRDefault="00597B5E" w:rsidP="00A41213">
      <w:pPr>
        <w:pStyle w:val="BodyText1stparaafterlist"/>
      </w:pPr>
      <w:r w:rsidRPr="00B65F7F">
        <w:t>PHN commissioning for primary healthcare services is underpinned by several core requirements, including but not limited to ensuring value for money by ensuring efficiency and effectiveness, avoiding service duplication, conducting appropriate risk and conflict of interest management, encouraging a non-discriminatory and competitive procurement service (</w:t>
      </w:r>
      <w:r w:rsidRPr="0015093D">
        <w:t>Department</w:t>
      </w:r>
      <w:r w:rsidRPr="00B65F7F">
        <w:t xml:space="preserve"> of Health, 2016b, </w:t>
      </w:r>
      <w:r>
        <w:t>p. </w:t>
      </w:r>
      <w:r w:rsidRPr="00B65F7F">
        <w:t xml:space="preserve">10) and carrying out activities in accordance with contracting agreements with the </w:t>
      </w:r>
      <w:r>
        <w:t>d</w:t>
      </w:r>
      <w:r w:rsidRPr="00B65F7F">
        <w:t>epartment. In short, PHNs are funded to undertake commissioning processes that ‘ensure that resources are best directed to addressing local primary healthcare needs to deliver positive health outcomes for the community and improve health system integration’ (</w:t>
      </w:r>
      <w:r w:rsidRPr="0015093D">
        <w:t>EY</w:t>
      </w:r>
      <w:r w:rsidRPr="00B65F7F">
        <w:t xml:space="preserve">, 2018, </w:t>
      </w:r>
      <w:r>
        <w:t>p. </w:t>
      </w:r>
      <w:r w:rsidRPr="00B65F7F">
        <w:t xml:space="preserve">45). </w:t>
      </w:r>
    </w:p>
    <w:p w14:paraId="538980D4" w14:textId="7D9700C1" w:rsidR="00BD4534" w:rsidRPr="00B65F7F" w:rsidRDefault="00597B5E" w:rsidP="00A41213">
      <w:pPr>
        <w:pStyle w:val="BodyText"/>
      </w:pPr>
      <w:r w:rsidRPr="00B65F7F">
        <w:t xml:space="preserve">The standard PHN commissioning process is outlined in </w:t>
      </w:r>
      <w:r w:rsidR="004E3ACA">
        <w:fldChar w:fldCharType="begin"/>
      </w:r>
      <w:r w:rsidR="004E3ACA">
        <w:instrText xml:space="preserve"> REF _Ref151922559 \h </w:instrText>
      </w:r>
      <w:r w:rsidR="004E3ACA">
        <w:fldChar w:fldCharType="separate"/>
      </w:r>
      <w:r w:rsidR="00934D5E">
        <w:t>Figure A9.</w:t>
      </w:r>
      <w:r w:rsidR="00934D5E">
        <w:rPr>
          <w:noProof/>
        </w:rPr>
        <w:t>2</w:t>
      </w:r>
      <w:r w:rsidR="004E3ACA">
        <w:fldChar w:fldCharType="end"/>
      </w:r>
      <w:r w:rsidRPr="00DD6676">
        <w:t xml:space="preserve"> below.</w:t>
      </w:r>
    </w:p>
    <w:p w14:paraId="5D201A48" w14:textId="7342A58F" w:rsidR="00BD4534" w:rsidRDefault="004E3ACA" w:rsidP="004E3ACA">
      <w:pPr>
        <w:pStyle w:val="CaptionFigure"/>
      </w:pPr>
      <w:bookmarkStart w:id="384" w:name="_Ref151922559"/>
      <w:bookmarkStart w:id="385" w:name="_Toc145617779"/>
      <w:bookmarkStart w:id="386" w:name="_Toc156932044"/>
      <w:r>
        <w:t>Figure A9.</w:t>
      </w:r>
      <w:r>
        <w:fldChar w:fldCharType="begin"/>
      </w:r>
      <w:r>
        <w:instrText>SEQ Figure_A9 \* ARABIC</w:instrText>
      </w:r>
      <w:r>
        <w:fldChar w:fldCharType="separate"/>
      </w:r>
      <w:r w:rsidR="00934D5E">
        <w:rPr>
          <w:noProof/>
        </w:rPr>
        <w:t>2</w:t>
      </w:r>
      <w:r>
        <w:fldChar w:fldCharType="end"/>
      </w:r>
      <w:bookmarkEnd w:id="384"/>
      <w:r w:rsidR="00BD4534">
        <w:t xml:space="preserve">: </w:t>
      </w:r>
      <w:r w:rsidR="00BD4534" w:rsidRPr="007D739A">
        <w:t>PHN Commissioning Framework</w:t>
      </w:r>
      <w:bookmarkEnd w:id="385"/>
      <w:bookmarkEnd w:id="386"/>
    </w:p>
    <w:p w14:paraId="339D311F" w14:textId="77777777" w:rsidR="00597B5E" w:rsidRPr="00B65F7F" w:rsidRDefault="00597B5E" w:rsidP="00A41213">
      <w:pPr>
        <w:pStyle w:val="BodyText"/>
        <w:jc w:val="center"/>
      </w:pPr>
      <w:r w:rsidRPr="00B65F7F">
        <w:rPr>
          <w:noProof/>
        </w:rPr>
        <w:drawing>
          <wp:inline distT="114300" distB="114300" distL="114300" distR="114300" wp14:anchorId="03F6F432" wp14:editId="504F0664">
            <wp:extent cx="5326596" cy="4650749"/>
            <wp:effectExtent l="0" t="0" r="0" b="0"/>
            <wp:docPr id="257469173" name="Picture 257469173" descr="The 3 phases of the commissioning process are represented by a blue circle divided into 3 segments, which are labelled Strategic Planning, Procuring Services, and Monitoring and Evaluation. Black arrows flowing around the blue circle in a clockwise direction illustrate the ongoing nature of the commissioning process. The 6 activities that comprise the process are listed around the circle like numbers on a clockface. They are Needs Assessment, Annual Planning, Designing and Contracting Services, Shaping the Structure of Supply, Managing Performance, and Evaluation.&#10;"/>
            <wp:cNvGraphicFramePr/>
            <a:graphic xmlns:a="http://schemas.openxmlformats.org/drawingml/2006/main">
              <a:graphicData uri="http://schemas.openxmlformats.org/drawingml/2006/picture">
                <pic:pic xmlns:pic="http://schemas.openxmlformats.org/drawingml/2006/picture">
                  <pic:nvPicPr>
                    <pic:cNvPr id="257469173" name="Picture 257469173" descr="The 3 phases of the commissioning process are represented by a blue circle divided into 3 segments, which are labelled Strategic Planning, Procuring Services, and Monitoring and Evaluation. Black arrows flowing around the blue circle in a clockwise direction illustrate the ongoing nature of the commissioning process. The 6 activities that comprise the process are listed around the circle like numbers on a clockface. They are Needs Assessment, Annual Planning, Designing and Contracting Services, Shaping the Structure of Supply, Managing Performance, and Evaluation.&#10;"/>
                    <pic:cNvPicPr preferRelativeResize="0"/>
                  </pic:nvPicPr>
                  <pic:blipFill>
                    <a:blip r:embed="rId119" cstate="print">
                      <a:extLst>
                        <a:ext uri="{28A0092B-C50C-407E-A947-70E740481C1C}">
                          <a14:useLocalDpi xmlns:a14="http://schemas.microsoft.com/office/drawing/2010/main"/>
                        </a:ext>
                      </a:extLst>
                    </a:blip>
                    <a:stretch>
                      <a:fillRect/>
                    </a:stretch>
                  </pic:blipFill>
                  <pic:spPr>
                    <a:xfrm>
                      <a:off x="0" y="0"/>
                      <a:ext cx="5340103" cy="4662542"/>
                    </a:xfrm>
                    <a:prstGeom prst="rect">
                      <a:avLst/>
                    </a:prstGeom>
                    <a:ln/>
                  </pic:spPr>
                </pic:pic>
              </a:graphicData>
            </a:graphic>
          </wp:inline>
        </w:drawing>
      </w:r>
    </w:p>
    <w:p w14:paraId="30723A7E" w14:textId="77777777" w:rsidR="00597B5E" w:rsidRDefault="00597B5E" w:rsidP="00597B5E">
      <w:pPr>
        <w:pStyle w:val="Notes"/>
        <w:jc w:val="center"/>
      </w:pPr>
      <w:r>
        <w:t>Source:</w:t>
      </w:r>
      <w:r w:rsidRPr="007D739A">
        <w:t xml:space="preserve"> </w:t>
      </w:r>
      <w:r w:rsidRPr="0015093D">
        <w:t>Department</w:t>
      </w:r>
      <w:r w:rsidRPr="007D739A">
        <w:t xml:space="preserve"> of Health, 2019</w:t>
      </w:r>
    </w:p>
    <w:p w14:paraId="293AD183" w14:textId="77777777" w:rsidR="00597B5E" w:rsidRDefault="00597B5E" w:rsidP="00292E56">
      <w:pPr>
        <w:pStyle w:val="BodyText"/>
      </w:pPr>
    </w:p>
    <w:p w14:paraId="50844AFB" w14:textId="77777777" w:rsidR="00597B5E" w:rsidRPr="00B65F7F" w:rsidRDefault="00597B5E" w:rsidP="00292E56">
      <w:pPr>
        <w:pStyle w:val="BodyText"/>
      </w:pPr>
      <w:r w:rsidRPr="00B65F7F">
        <w:t>The benefits and drawbacks of PHN funding are considered in more detail below.</w:t>
      </w:r>
    </w:p>
    <w:p w14:paraId="7E3D6874" w14:textId="77777777" w:rsidR="00597B5E" w:rsidRPr="00B65F7F" w:rsidRDefault="00597B5E" w:rsidP="009912B7">
      <w:pPr>
        <w:pStyle w:val="HeadingLevel4NoNumber"/>
      </w:pPr>
      <w:bookmarkStart w:id="387" w:name="_heading=h.rf13bng6ske1" w:colFirst="0" w:colLast="0"/>
      <w:bookmarkEnd w:id="387"/>
      <w:r w:rsidRPr="00B65F7F">
        <w:t>Benefits of current funding and commissioning arrangements</w:t>
      </w:r>
    </w:p>
    <w:p w14:paraId="14DD3237" w14:textId="77777777" w:rsidR="00597B5E" w:rsidRPr="00B65F7F" w:rsidRDefault="00597B5E" w:rsidP="00A41213">
      <w:pPr>
        <w:pStyle w:val="BodyText"/>
      </w:pPr>
      <w:r w:rsidRPr="00B65F7F">
        <w:t>The purported benefits of the existing intermediary funding arrangement in Australia include but are not limited to:</w:t>
      </w:r>
    </w:p>
    <w:p w14:paraId="04DC1611" w14:textId="77777777" w:rsidR="00597B5E" w:rsidRPr="00B65F7F" w:rsidRDefault="00597B5E" w:rsidP="00A41213">
      <w:pPr>
        <w:pStyle w:val="ListBullet2"/>
      </w:pPr>
      <w:r w:rsidRPr="00B65F7F">
        <w:t>Regional intermediary bodies with a nuanced understanding of local populations and their needs (</w:t>
      </w:r>
      <w:r w:rsidRPr="0015093D">
        <w:t>Department</w:t>
      </w:r>
      <w:r w:rsidRPr="00B65F7F">
        <w:t xml:space="preserve"> of Health, 2019, </w:t>
      </w:r>
      <w:r>
        <w:t>p. </w:t>
      </w:r>
      <w:r w:rsidRPr="00B65F7F">
        <w:t xml:space="preserve">2; </w:t>
      </w:r>
      <w:r w:rsidRPr="0015093D">
        <w:t>Mental</w:t>
      </w:r>
      <w:r w:rsidRPr="00B65F7F">
        <w:t xml:space="preserve"> Health Australia, 2015, </w:t>
      </w:r>
      <w:r>
        <w:t>p. </w:t>
      </w:r>
      <w:r w:rsidRPr="00B65F7F">
        <w:t>9)</w:t>
      </w:r>
    </w:p>
    <w:p w14:paraId="0A47327E" w14:textId="77777777" w:rsidR="00597B5E" w:rsidRPr="00B65F7F" w:rsidRDefault="00597B5E" w:rsidP="00A41213">
      <w:pPr>
        <w:pStyle w:val="ListBullet2"/>
      </w:pPr>
      <w:r w:rsidRPr="00B65F7F">
        <w:t>PHNs can draw on a multitude of stakeholder data sources to provide a richer understanding of present and future health needs, which can support integration across care sectors and settings (</w:t>
      </w:r>
      <w:r w:rsidRPr="0015093D">
        <w:t>Department</w:t>
      </w:r>
      <w:r w:rsidRPr="00B65F7F">
        <w:t xml:space="preserve"> of Health, 2019, </w:t>
      </w:r>
      <w:r>
        <w:t>p. </w:t>
      </w:r>
      <w:r w:rsidRPr="00B65F7F">
        <w:t>2)</w:t>
      </w:r>
    </w:p>
    <w:p w14:paraId="6868B49B" w14:textId="77777777" w:rsidR="00597B5E" w:rsidRPr="00B65F7F" w:rsidRDefault="00597B5E" w:rsidP="00A41213">
      <w:pPr>
        <w:pStyle w:val="ListBullet2"/>
      </w:pPr>
      <w:r w:rsidRPr="00B65F7F">
        <w:t>PHN procurement and contracting processes are open and transparent and achieve value for money (</w:t>
      </w:r>
      <w:r w:rsidRPr="0015093D">
        <w:t>Department</w:t>
      </w:r>
      <w:r w:rsidRPr="00B65F7F">
        <w:t xml:space="preserve"> of Health, 2019, </w:t>
      </w:r>
      <w:r>
        <w:t>p. </w:t>
      </w:r>
      <w:r w:rsidRPr="00B65F7F">
        <w:t>2)</w:t>
      </w:r>
    </w:p>
    <w:p w14:paraId="13E59E4A" w14:textId="77777777" w:rsidR="00597B5E" w:rsidRPr="00B65F7F" w:rsidRDefault="00597B5E" w:rsidP="00A41213">
      <w:pPr>
        <w:pStyle w:val="ListBullet2"/>
      </w:pPr>
      <w:r w:rsidRPr="00B65F7F">
        <w:t xml:space="preserve">PHNs </w:t>
      </w:r>
      <w:r w:rsidR="00C44EB9" w:rsidRPr="00B65F7F">
        <w:t>can</w:t>
      </w:r>
      <w:r w:rsidRPr="00B65F7F">
        <w:t xml:space="preserve"> identify what works well and what does not to ensure ‘resources can be invested to maximise impact’ for local populations (</w:t>
      </w:r>
      <w:r w:rsidRPr="0015093D">
        <w:t>Department</w:t>
      </w:r>
      <w:r w:rsidRPr="00B65F7F">
        <w:t xml:space="preserve"> of Health, 2019, </w:t>
      </w:r>
      <w:r>
        <w:t>p. </w:t>
      </w:r>
      <w:r w:rsidRPr="00B65F7F">
        <w:t>2)</w:t>
      </w:r>
    </w:p>
    <w:p w14:paraId="6AF639A6" w14:textId="77777777" w:rsidR="00597B5E" w:rsidRPr="00B65F7F" w:rsidRDefault="00597B5E" w:rsidP="00A41213">
      <w:pPr>
        <w:pStyle w:val="ListBullet2"/>
      </w:pPr>
      <w:r w:rsidRPr="00B65F7F">
        <w:t>PHN funding arrangements:</w:t>
      </w:r>
    </w:p>
    <w:p w14:paraId="030E7B10" w14:textId="77777777" w:rsidR="00597B5E" w:rsidRPr="00B65F7F" w:rsidRDefault="00597B5E" w:rsidP="00A41213">
      <w:pPr>
        <w:pStyle w:val="ListBullet3"/>
      </w:pPr>
      <w:r w:rsidRPr="00B65F7F">
        <w:t>focus on achieving outcomes ‘that matter to patients and communities’ (</w:t>
      </w:r>
      <w:r w:rsidRPr="0015093D">
        <w:t>Department</w:t>
      </w:r>
      <w:r w:rsidRPr="00B65F7F">
        <w:t xml:space="preserve"> of Health, 2019, </w:t>
      </w:r>
      <w:r>
        <w:t>p. </w:t>
      </w:r>
      <w:r w:rsidRPr="00B65F7F">
        <w:t>2)</w:t>
      </w:r>
    </w:p>
    <w:p w14:paraId="5D93BB8D" w14:textId="77777777" w:rsidR="00597B5E" w:rsidRPr="00B65F7F" w:rsidRDefault="00597B5E" w:rsidP="00A41213">
      <w:pPr>
        <w:pStyle w:val="ListBullet3"/>
      </w:pPr>
      <w:r>
        <w:t>e</w:t>
      </w:r>
      <w:r w:rsidRPr="00B65F7F">
        <w:t>ncourage the centring of patients and communities to ensure their care is organised and delivered (</w:t>
      </w:r>
      <w:r w:rsidRPr="0015093D">
        <w:t>Department</w:t>
      </w:r>
      <w:r w:rsidRPr="00B65F7F">
        <w:t xml:space="preserve"> of Health, 2019, </w:t>
      </w:r>
      <w:r>
        <w:t>p. </w:t>
      </w:r>
      <w:r w:rsidRPr="00B65F7F">
        <w:t>2)</w:t>
      </w:r>
    </w:p>
    <w:p w14:paraId="078EE68C" w14:textId="77777777" w:rsidR="00597B5E" w:rsidRPr="00B65F7F" w:rsidRDefault="00597B5E" w:rsidP="00A41213">
      <w:pPr>
        <w:pStyle w:val="ListBullet3"/>
      </w:pPr>
      <w:r>
        <w:t>e</w:t>
      </w:r>
      <w:r w:rsidRPr="00B65F7F">
        <w:t>ncourage PHNs to work in partnership with key stakeholders, service providers and service users (where practical) ‘in the design, funding an</w:t>
      </w:r>
      <w:r w:rsidR="002B46E5">
        <w:t>d</w:t>
      </w:r>
      <w:r w:rsidRPr="00B65F7F">
        <w:t xml:space="preserve"> delivery of services’ (</w:t>
      </w:r>
      <w:r w:rsidRPr="0015093D">
        <w:t>Department</w:t>
      </w:r>
      <w:r w:rsidRPr="00B65F7F">
        <w:t xml:space="preserve"> of Health, 2019, </w:t>
      </w:r>
      <w:r>
        <w:t>p. </w:t>
      </w:r>
      <w:r w:rsidRPr="00B65F7F">
        <w:t>2)</w:t>
      </w:r>
    </w:p>
    <w:p w14:paraId="102F3692" w14:textId="77777777" w:rsidR="00597B5E" w:rsidRPr="00B65F7F" w:rsidRDefault="00597B5E" w:rsidP="00A41213">
      <w:pPr>
        <w:pStyle w:val="ListBullet3"/>
      </w:pPr>
      <w:r w:rsidRPr="00B65F7F">
        <w:t>PHNs work with contracted service providers to monitor and evaluate their progress in meeting health outcomes (</w:t>
      </w:r>
      <w:r w:rsidRPr="0015093D">
        <w:t>Department</w:t>
      </w:r>
      <w:r w:rsidRPr="00B65F7F">
        <w:t xml:space="preserve"> of Health, 2019, </w:t>
      </w:r>
      <w:r>
        <w:t>p. </w:t>
      </w:r>
      <w:r w:rsidRPr="00B65F7F">
        <w:t>2)</w:t>
      </w:r>
      <w:r>
        <w:t>.</w:t>
      </w:r>
    </w:p>
    <w:p w14:paraId="7E4D2ADE" w14:textId="77777777" w:rsidR="00597B5E" w:rsidRPr="00B65F7F" w:rsidRDefault="00597B5E" w:rsidP="009912B7">
      <w:pPr>
        <w:pStyle w:val="HeadingLevel4NoNumber"/>
      </w:pPr>
      <w:bookmarkStart w:id="388" w:name="_heading=h.b8r29a2f2jpf" w:colFirst="0" w:colLast="0"/>
      <w:bookmarkEnd w:id="388"/>
      <w:r w:rsidRPr="00B65F7F">
        <w:t>Drawbacks of current funding and commissioning arrangements</w:t>
      </w:r>
    </w:p>
    <w:p w14:paraId="717290D0" w14:textId="77777777" w:rsidR="00597B5E" w:rsidRPr="00B65F7F" w:rsidRDefault="00597B5E" w:rsidP="00A41213">
      <w:pPr>
        <w:pStyle w:val="BodyText"/>
      </w:pPr>
      <w:r w:rsidRPr="00B65F7F">
        <w:t>Drawbacks of the existing intermediary funding arrangement in Australia include but are not limited to:</w:t>
      </w:r>
    </w:p>
    <w:p w14:paraId="532A79AA" w14:textId="77777777" w:rsidR="00597B5E" w:rsidRPr="00B65F7F" w:rsidRDefault="00597B5E" w:rsidP="00A41213">
      <w:pPr>
        <w:pStyle w:val="ListBullet2"/>
      </w:pPr>
      <w:r w:rsidRPr="00B65F7F">
        <w:t>Commissioning and funding decisions are often made quickly ‘to comply with Government requirements and funding cycle’ that leave PHNs with limited time to ‘work with key stakeholders to strategically allocate funding’ which has perpetuated a ‘transactional approach’ to commissioning and funding (</w:t>
      </w:r>
      <w:r w:rsidRPr="0015093D">
        <w:t>EY</w:t>
      </w:r>
      <w:r w:rsidRPr="00B65F7F">
        <w:t>, 2018, p</w:t>
      </w:r>
      <w:r>
        <w:t>p. </w:t>
      </w:r>
      <w:r w:rsidRPr="00B65F7F">
        <w:t>50</w:t>
      </w:r>
      <w:r>
        <w:t>–</w:t>
      </w:r>
      <w:r w:rsidRPr="00B65F7F">
        <w:t>51)</w:t>
      </w:r>
      <w:r>
        <w:t>.</w:t>
      </w:r>
    </w:p>
    <w:p w14:paraId="1F8A6393" w14:textId="77777777" w:rsidR="00597B5E" w:rsidRPr="00B65F7F" w:rsidRDefault="00597B5E" w:rsidP="00A41213">
      <w:pPr>
        <w:pStyle w:val="ListBullet2"/>
      </w:pPr>
      <w:r w:rsidRPr="00B65F7F">
        <w:t>The current program-based funding model has some limitations in terms of the allocation of resources to achieve outcomes and the short funding cycles that prevent service providers and PHNs from better planning and aligning their funding (</w:t>
      </w:r>
      <w:r w:rsidRPr="0015093D">
        <w:t>EY</w:t>
      </w:r>
      <w:r w:rsidRPr="00B65F7F">
        <w:t xml:space="preserve">, 2018, </w:t>
      </w:r>
      <w:r>
        <w:t>p. </w:t>
      </w:r>
      <w:r w:rsidRPr="00B65F7F">
        <w:t>37)</w:t>
      </w:r>
      <w:r>
        <w:t>.</w:t>
      </w:r>
    </w:p>
    <w:p w14:paraId="1B1AB8B3" w14:textId="77777777" w:rsidR="00597B5E" w:rsidRPr="00B65F7F" w:rsidRDefault="00597B5E" w:rsidP="00A41213">
      <w:pPr>
        <w:pStyle w:val="ListBullet2"/>
      </w:pPr>
      <w:r w:rsidRPr="00B65F7F">
        <w:t xml:space="preserve">The PHN funding model does not align with </w:t>
      </w:r>
      <w:r>
        <w:t xml:space="preserve">the </w:t>
      </w:r>
      <w:r w:rsidRPr="00B65F7F">
        <w:t xml:space="preserve">holistic approach to service delivery utilised by ACCHOs (EY, 2018, </w:t>
      </w:r>
      <w:r>
        <w:t>p. </w:t>
      </w:r>
      <w:r w:rsidRPr="00B65F7F">
        <w:t>510</w:t>
      </w:r>
      <w:r>
        <w:t>).</w:t>
      </w:r>
    </w:p>
    <w:p w14:paraId="6B2C6AA4" w14:textId="77777777" w:rsidR="00597B5E" w:rsidRPr="00B65F7F" w:rsidRDefault="00597B5E" w:rsidP="00A41213">
      <w:pPr>
        <w:pStyle w:val="ListBullet2"/>
      </w:pPr>
      <w:r w:rsidRPr="00B65F7F">
        <w:t xml:space="preserve">Unnecessary competition in the tendering process could be minimised, especially where there are minimal service providers available </w:t>
      </w:r>
      <w:r>
        <w:t>–</w:t>
      </w:r>
      <w:r w:rsidRPr="00B65F7F">
        <w:t xml:space="preserve"> can reduce continuity of care (EY, 2018, </w:t>
      </w:r>
      <w:r>
        <w:t>p. </w:t>
      </w:r>
      <w:r w:rsidRPr="00B65F7F">
        <w:t>51)</w:t>
      </w:r>
      <w:r>
        <w:t>.</w:t>
      </w:r>
    </w:p>
    <w:p w14:paraId="2203F796" w14:textId="77777777" w:rsidR="00597B5E" w:rsidRPr="00B65F7F" w:rsidRDefault="00597B5E" w:rsidP="00A41213">
      <w:pPr>
        <w:pStyle w:val="ListBullet2"/>
      </w:pPr>
      <w:r w:rsidRPr="00B65F7F">
        <w:t xml:space="preserve">There is a lack of timely access to and consistency of data available across key areas, including mental health, </w:t>
      </w:r>
      <w:r>
        <w:t>alcohol and other drugs</w:t>
      </w:r>
      <w:r w:rsidRPr="00B65F7F">
        <w:t xml:space="preserve"> and First Nations health (EY, 2018, </w:t>
      </w:r>
      <w:r>
        <w:t>p. </w:t>
      </w:r>
      <w:r w:rsidRPr="00B65F7F">
        <w:t>51)</w:t>
      </w:r>
      <w:r>
        <w:t>.</w:t>
      </w:r>
    </w:p>
    <w:p w14:paraId="0D3DFF73" w14:textId="77777777" w:rsidR="00597B5E" w:rsidRPr="00B65F7F" w:rsidRDefault="00597B5E" w:rsidP="00A41213">
      <w:pPr>
        <w:pStyle w:val="ListBullet2"/>
      </w:pPr>
      <w:r w:rsidRPr="00B65F7F">
        <w:t>The distribution of funding through intermediary bodies can ‘[distance] bureaucrats still further from practical experience of policy Implementation’ (</w:t>
      </w:r>
      <w:r w:rsidRPr="00490A6C">
        <w:t>Mental</w:t>
      </w:r>
      <w:r w:rsidRPr="00B65F7F">
        <w:t xml:space="preserve"> Health Australia, 2015, </w:t>
      </w:r>
      <w:r>
        <w:t>p. </w:t>
      </w:r>
      <w:r w:rsidRPr="00B65F7F">
        <w:t>9)</w:t>
      </w:r>
      <w:r>
        <w:t>.</w:t>
      </w:r>
    </w:p>
    <w:p w14:paraId="1E7D9CF8" w14:textId="77777777" w:rsidR="00597B5E" w:rsidRPr="00B65F7F" w:rsidRDefault="00597B5E" w:rsidP="009912B7">
      <w:pPr>
        <w:pStyle w:val="HeadingLevel4NoNumber"/>
      </w:pPr>
      <w:bookmarkStart w:id="389" w:name="_heading=h.pqgj4o70zn2" w:colFirst="0" w:colLast="0"/>
      <w:bookmarkEnd w:id="389"/>
      <w:r w:rsidRPr="00B65F7F">
        <w:t>Reporting requirements</w:t>
      </w:r>
    </w:p>
    <w:p w14:paraId="53FBA6CA" w14:textId="43CC568A" w:rsidR="00597B5E" w:rsidRPr="00421BCA" w:rsidRDefault="00597B5E" w:rsidP="00A41213">
      <w:pPr>
        <w:pStyle w:val="BodyText"/>
      </w:pPr>
      <w:r w:rsidRPr="00B65F7F">
        <w:t xml:space="preserve">The </w:t>
      </w:r>
      <w:r>
        <w:t>d</w:t>
      </w:r>
      <w:r w:rsidRPr="00B65F7F">
        <w:t xml:space="preserve">epartment uses information provided by PHNs in their </w:t>
      </w:r>
      <w:r>
        <w:t>6-month</w:t>
      </w:r>
      <w:r w:rsidRPr="00B65F7F">
        <w:t xml:space="preserve"> and </w:t>
      </w:r>
      <w:r>
        <w:t>12</w:t>
      </w:r>
      <w:r w:rsidRPr="00B65F7F">
        <w:t>-month reporting processes to assess their performance and how the commissioned health activities have contributed to desired outcomes in several specific priority areas (</w:t>
      </w:r>
      <w:r w:rsidRPr="00DA25BB">
        <w:t>Department</w:t>
      </w:r>
      <w:r w:rsidRPr="00B65F7F">
        <w:t xml:space="preserve"> of Health, 2018, </w:t>
      </w:r>
      <w:r>
        <w:t>p. </w:t>
      </w:r>
      <w:r w:rsidRPr="00B65F7F">
        <w:t xml:space="preserve">33). Desired outcomes for </w:t>
      </w:r>
      <w:r>
        <w:t>3</w:t>
      </w:r>
      <w:r w:rsidRPr="00B65F7F">
        <w:t xml:space="preserve"> priority areas are outli</w:t>
      </w:r>
      <w:r w:rsidRPr="00421BCA">
        <w:t xml:space="preserve">ned in </w:t>
      </w:r>
      <w:r w:rsidR="004E3ACA">
        <w:fldChar w:fldCharType="begin"/>
      </w:r>
      <w:r w:rsidR="004E3ACA">
        <w:instrText xml:space="preserve"> REF _Ref151922649 \h  \* MERGEFORMAT </w:instrText>
      </w:r>
      <w:r w:rsidR="004E3ACA">
        <w:fldChar w:fldCharType="separate"/>
      </w:r>
      <w:r w:rsidR="00934D5E">
        <w:t>Table A9.4</w:t>
      </w:r>
      <w:r w:rsidR="004E3ACA">
        <w:fldChar w:fldCharType="end"/>
      </w:r>
      <w:r w:rsidRPr="00421BCA">
        <w:t>.</w:t>
      </w:r>
    </w:p>
    <w:p w14:paraId="783A8545" w14:textId="77777777" w:rsidR="00597B5E" w:rsidRPr="00B65F7F" w:rsidRDefault="00597B5E" w:rsidP="00A41213">
      <w:pPr>
        <w:pStyle w:val="BodyText"/>
      </w:pPr>
      <w:r w:rsidRPr="00B65F7F">
        <w:t>PHNs are individually assessed against organisational indicators and 24 other performance indicators</w:t>
      </w:r>
      <w:r>
        <w:t>,</w:t>
      </w:r>
      <w:r w:rsidRPr="00B65F7F" w:rsidDel="00683DE3">
        <w:t xml:space="preserve"> </w:t>
      </w:r>
      <w:r w:rsidRPr="00B65F7F">
        <w:t>where appropriate (</w:t>
      </w:r>
      <w:r w:rsidRPr="00DA25BB">
        <w:t>Department</w:t>
      </w:r>
      <w:r w:rsidRPr="00B65F7F">
        <w:t xml:space="preserve"> of Health, 2019, </w:t>
      </w:r>
      <w:r>
        <w:t>p. </w:t>
      </w:r>
      <w:r w:rsidRPr="00B65F7F">
        <w:t xml:space="preserve">34). PHN performance reports that identify key achievements and areas for improvement are produced annually but </w:t>
      </w:r>
      <w:r>
        <w:t xml:space="preserve">are </w:t>
      </w:r>
      <w:r w:rsidRPr="00B65F7F">
        <w:t xml:space="preserve">not available to service providers or the </w:t>
      </w:r>
      <w:r w:rsidR="00C44EB9" w:rsidRPr="00B65F7F">
        <w:t>public</w:t>
      </w:r>
      <w:r w:rsidRPr="00B65F7F">
        <w:t xml:space="preserve"> (Department of Health, 2018, </w:t>
      </w:r>
      <w:r>
        <w:t>p. </w:t>
      </w:r>
      <w:r w:rsidRPr="00B65F7F">
        <w:t>34). These reports include information about progress reporting, audited income and expenditure statements (</w:t>
      </w:r>
      <w:r w:rsidRPr="00DA25BB">
        <w:t>Department</w:t>
      </w:r>
      <w:r w:rsidRPr="00B65F7F">
        <w:t xml:space="preserve"> of Health, 2016b). </w:t>
      </w:r>
    </w:p>
    <w:p w14:paraId="7817ABDD" w14:textId="4ED2CEE3" w:rsidR="00597B5E" w:rsidRPr="00B65F7F" w:rsidRDefault="004E3ACA" w:rsidP="00DD0673">
      <w:pPr>
        <w:pStyle w:val="CaptionTable"/>
      </w:pPr>
      <w:bookmarkStart w:id="390" w:name="_Ref151922649"/>
      <w:bookmarkStart w:id="391" w:name="_Toc145604953"/>
      <w:bookmarkStart w:id="392" w:name="_Toc145617825"/>
      <w:bookmarkStart w:id="393" w:name="_Toc156932097"/>
      <w:r>
        <w:t>Table A9.</w:t>
      </w:r>
      <w:r>
        <w:fldChar w:fldCharType="begin"/>
      </w:r>
      <w:r>
        <w:instrText xml:space="preserve"> SEQ Table_A9 \* ARABIC </w:instrText>
      </w:r>
      <w:r>
        <w:fldChar w:fldCharType="separate"/>
      </w:r>
      <w:r w:rsidR="00934D5E">
        <w:rPr>
          <w:noProof/>
        </w:rPr>
        <w:t>4</w:t>
      </w:r>
      <w:r>
        <w:fldChar w:fldCharType="end"/>
      </w:r>
      <w:bookmarkEnd w:id="390"/>
      <w:r w:rsidR="00597B5E">
        <w:t xml:space="preserve">: </w:t>
      </w:r>
      <w:r w:rsidR="00597B5E" w:rsidRPr="00B65F7F">
        <w:t xml:space="preserve">Outcomes for the PHN region, mental health and </w:t>
      </w:r>
      <w:r w:rsidR="00597B5E">
        <w:t>Aboriginal and/or Torres Strait Islander</w:t>
      </w:r>
      <w:r w:rsidR="00597B5E" w:rsidRPr="00B65F7F">
        <w:t xml:space="preserve"> health</w:t>
      </w:r>
      <w:bookmarkEnd w:id="391"/>
      <w:bookmarkEnd w:id="392"/>
      <w:bookmarkEnd w:id="393"/>
      <w:r w:rsidR="00597B5E" w:rsidRPr="00B65F7F">
        <w:t xml:space="preserve"> </w:t>
      </w:r>
    </w:p>
    <w:tbl>
      <w:tblPr>
        <w:tblStyle w:val="Newtableforresport"/>
        <w:tblW w:w="9638" w:type="dxa"/>
        <w:tblInd w:w="10" w:type="dxa"/>
        <w:tblLayout w:type="fixed"/>
        <w:tblLook w:val="0620" w:firstRow="1" w:lastRow="0" w:firstColumn="0" w:lastColumn="0" w:noHBand="1" w:noVBand="1"/>
        <w:tblCaption w:val="Table A9.4: Outcomes for the PHN region, mental health and Aboriginal and/or Torres Strait Islander Health"/>
        <w:tblDescription w:val="The table describes outcome areas that Primary Health Networks (PHNs) report to the Department of Health and Aged Care on. The first column shows the different priority areas for outcomes. The second column shows the needs that are addressed by PHNs in this priority area. Note that the 'addressing needs' column under the 'mental health' priority area row is blank. The third column describes the desired outcomes in quality care under the relevant priority area. The fourth column describes the desired outcomes in improving access under the relevant priority area. The fifth column describes the desired outcomes in coordinated care under the relevant priority area. The sixth column describes desired longer term outcomes under the relevant priority area. "/>
      </w:tblPr>
      <w:tblGrid>
        <w:gridCol w:w="1483"/>
        <w:gridCol w:w="1484"/>
        <w:gridCol w:w="1985"/>
        <w:gridCol w:w="1473"/>
        <w:gridCol w:w="1606"/>
        <w:gridCol w:w="1607"/>
      </w:tblGrid>
      <w:tr w:rsidR="00597B5E" w:rsidRPr="0043288D" w14:paraId="06B9CC71" w14:textId="77777777" w:rsidTr="009D4C69">
        <w:trPr>
          <w:cnfStyle w:val="100000000000" w:firstRow="1" w:lastRow="0" w:firstColumn="0" w:lastColumn="0" w:oddVBand="0" w:evenVBand="0" w:oddHBand="0" w:evenHBand="0" w:firstRowFirstColumn="0" w:firstRowLastColumn="0" w:lastRowFirstColumn="0" w:lastRowLastColumn="0"/>
          <w:tblHeader/>
        </w:trPr>
        <w:tc>
          <w:tcPr>
            <w:tcW w:w="1483" w:type="dxa"/>
            <w:vAlign w:val="center"/>
          </w:tcPr>
          <w:p w14:paraId="3F292A9B" w14:textId="77777777" w:rsidR="00597B5E" w:rsidRPr="0043288D" w:rsidRDefault="00597B5E" w:rsidP="00024E8D">
            <w:pPr>
              <w:pStyle w:val="TableHeading"/>
              <w:rPr>
                <w:b w:val="0"/>
              </w:rPr>
            </w:pPr>
            <w:r w:rsidRPr="0043288D">
              <w:t>Priority area</w:t>
            </w:r>
          </w:p>
        </w:tc>
        <w:tc>
          <w:tcPr>
            <w:tcW w:w="1484" w:type="dxa"/>
            <w:vAlign w:val="center"/>
          </w:tcPr>
          <w:p w14:paraId="295456C0" w14:textId="77777777" w:rsidR="00597B5E" w:rsidRPr="0043288D" w:rsidRDefault="00597B5E" w:rsidP="00024E8D">
            <w:pPr>
              <w:pStyle w:val="TableHeading"/>
              <w:rPr>
                <w:b w:val="0"/>
              </w:rPr>
            </w:pPr>
            <w:r w:rsidRPr="0043288D">
              <w:t>Addressing needs</w:t>
            </w:r>
          </w:p>
        </w:tc>
        <w:tc>
          <w:tcPr>
            <w:tcW w:w="1985" w:type="dxa"/>
            <w:vAlign w:val="center"/>
          </w:tcPr>
          <w:p w14:paraId="2390C072" w14:textId="77777777" w:rsidR="00597B5E" w:rsidRPr="0043288D" w:rsidRDefault="00597B5E" w:rsidP="00024E8D">
            <w:pPr>
              <w:pStyle w:val="TableHeading"/>
              <w:rPr>
                <w:b w:val="0"/>
              </w:rPr>
            </w:pPr>
            <w:r w:rsidRPr="0043288D">
              <w:t>Quality care</w:t>
            </w:r>
          </w:p>
        </w:tc>
        <w:tc>
          <w:tcPr>
            <w:tcW w:w="1473" w:type="dxa"/>
            <w:vAlign w:val="center"/>
          </w:tcPr>
          <w:p w14:paraId="03338DD7" w14:textId="77777777" w:rsidR="00597B5E" w:rsidRPr="0043288D" w:rsidRDefault="00597B5E" w:rsidP="00024E8D">
            <w:pPr>
              <w:pStyle w:val="TableHeading"/>
              <w:rPr>
                <w:b w:val="0"/>
              </w:rPr>
            </w:pPr>
            <w:r w:rsidRPr="0043288D">
              <w:t>Improving access</w:t>
            </w:r>
          </w:p>
        </w:tc>
        <w:tc>
          <w:tcPr>
            <w:tcW w:w="1606" w:type="dxa"/>
            <w:vAlign w:val="center"/>
          </w:tcPr>
          <w:p w14:paraId="6BD51BF6" w14:textId="77777777" w:rsidR="00597B5E" w:rsidRPr="0043288D" w:rsidRDefault="00597B5E" w:rsidP="00024E8D">
            <w:pPr>
              <w:pStyle w:val="TableHeading"/>
              <w:rPr>
                <w:b w:val="0"/>
              </w:rPr>
            </w:pPr>
            <w:r w:rsidRPr="0043288D">
              <w:t>Coordinated care</w:t>
            </w:r>
          </w:p>
        </w:tc>
        <w:tc>
          <w:tcPr>
            <w:tcW w:w="1607" w:type="dxa"/>
            <w:vAlign w:val="center"/>
          </w:tcPr>
          <w:p w14:paraId="699EA8AC" w14:textId="77777777" w:rsidR="00597B5E" w:rsidRPr="0043288D" w:rsidRDefault="00597B5E" w:rsidP="00024E8D">
            <w:pPr>
              <w:pStyle w:val="TableHeading"/>
              <w:rPr>
                <w:b w:val="0"/>
              </w:rPr>
            </w:pPr>
            <w:r w:rsidRPr="0043288D">
              <w:t>Longer term outcomes</w:t>
            </w:r>
          </w:p>
        </w:tc>
      </w:tr>
      <w:tr w:rsidR="00597B5E" w:rsidRPr="00B65F7F" w14:paraId="2B5ED5D1" w14:textId="77777777" w:rsidTr="006F6DD1">
        <w:tc>
          <w:tcPr>
            <w:tcW w:w="1483" w:type="dxa"/>
          </w:tcPr>
          <w:p w14:paraId="20E4CB7E" w14:textId="77777777" w:rsidR="00597B5E" w:rsidRPr="00B65F7F" w:rsidRDefault="00597B5E" w:rsidP="00A41213">
            <w:pPr>
              <w:pStyle w:val="TableText"/>
            </w:pPr>
            <w:r w:rsidRPr="00B65F7F">
              <w:t xml:space="preserve">PHN </w:t>
            </w:r>
            <w:r>
              <w:t>r</w:t>
            </w:r>
            <w:r w:rsidRPr="00B65F7F">
              <w:t xml:space="preserve">egion </w:t>
            </w:r>
            <w:r>
              <w:t>h</w:t>
            </w:r>
            <w:r w:rsidRPr="00B65F7F">
              <w:t>ealth</w:t>
            </w:r>
          </w:p>
        </w:tc>
        <w:tc>
          <w:tcPr>
            <w:tcW w:w="1484" w:type="dxa"/>
          </w:tcPr>
          <w:p w14:paraId="045F5C58" w14:textId="77777777" w:rsidR="00597B5E" w:rsidRPr="00B65F7F" w:rsidRDefault="00597B5E" w:rsidP="00A41213">
            <w:pPr>
              <w:pStyle w:val="TableText"/>
            </w:pPr>
            <w:r w:rsidRPr="00B65F7F">
              <w:t>PHN activities and initiatives address local needs</w:t>
            </w:r>
            <w:r>
              <w:t>.</w:t>
            </w:r>
          </w:p>
        </w:tc>
        <w:tc>
          <w:tcPr>
            <w:tcW w:w="1985" w:type="dxa"/>
          </w:tcPr>
          <w:p w14:paraId="59665EF4" w14:textId="77777777" w:rsidR="00597B5E" w:rsidRPr="00B65F7F" w:rsidRDefault="00597B5E" w:rsidP="00A41213">
            <w:pPr>
              <w:pStyle w:val="TableText"/>
            </w:pPr>
            <w:r w:rsidRPr="00B65F7F">
              <w:t>PHNs support general practices and other healthcare providers to provide quality care to patients</w:t>
            </w:r>
            <w:r>
              <w:t>.</w:t>
            </w:r>
          </w:p>
        </w:tc>
        <w:tc>
          <w:tcPr>
            <w:tcW w:w="1473" w:type="dxa"/>
          </w:tcPr>
          <w:p w14:paraId="47559F51" w14:textId="77777777" w:rsidR="00597B5E" w:rsidRPr="00B65F7F" w:rsidRDefault="00597B5E" w:rsidP="00A41213">
            <w:pPr>
              <w:pStyle w:val="TableText"/>
            </w:pPr>
            <w:r w:rsidRPr="00B65F7F">
              <w:t>People in the PHN region are able to access general practices and other services as appropriate</w:t>
            </w:r>
            <w:r>
              <w:t>.</w:t>
            </w:r>
          </w:p>
          <w:p w14:paraId="3ACDB6C0" w14:textId="77777777" w:rsidR="00597B5E" w:rsidRPr="00B65F7F" w:rsidRDefault="00597B5E" w:rsidP="00A41213">
            <w:pPr>
              <w:pStyle w:val="TableText"/>
            </w:pPr>
            <w:r w:rsidRPr="00B65F7F">
              <w:t>PHNs support general practices and other healthcare providers to provide appropriate after-hours access</w:t>
            </w:r>
            <w:r>
              <w:t>.</w:t>
            </w:r>
            <w:r w:rsidRPr="00B65F7F">
              <w:t xml:space="preserve"> </w:t>
            </w:r>
          </w:p>
        </w:tc>
        <w:tc>
          <w:tcPr>
            <w:tcW w:w="1606" w:type="dxa"/>
          </w:tcPr>
          <w:p w14:paraId="00E8B2CE" w14:textId="77777777" w:rsidR="00597B5E" w:rsidRPr="00B65F7F" w:rsidRDefault="00597B5E" w:rsidP="00A41213">
            <w:pPr>
              <w:pStyle w:val="TableText"/>
            </w:pPr>
            <w:r w:rsidRPr="00B65F7F">
              <w:t>People in the PHN region receive coordinated, culturally appropriate services from local healthcare providers</w:t>
            </w:r>
            <w:r>
              <w:t>.</w:t>
            </w:r>
          </w:p>
        </w:tc>
        <w:tc>
          <w:tcPr>
            <w:tcW w:w="1607" w:type="dxa"/>
          </w:tcPr>
          <w:p w14:paraId="7A202E26" w14:textId="77777777" w:rsidR="00597B5E" w:rsidRPr="00B65F7F" w:rsidRDefault="00597B5E" w:rsidP="00A41213">
            <w:pPr>
              <w:pStyle w:val="TableText"/>
            </w:pPr>
            <w:r w:rsidRPr="00B65F7F">
              <w:t>PHNs support local primary healthcare services to be efficient and effective, meeting the needs of consumers at risk of poor health outcomes</w:t>
            </w:r>
            <w:r>
              <w:t>.</w:t>
            </w:r>
            <w:r w:rsidRPr="00B65F7F">
              <w:t xml:space="preserve"> </w:t>
            </w:r>
          </w:p>
          <w:p w14:paraId="3F97532E" w14:textId="77777777" w:rsidR="00597B5E" w:rsidRPr="00B65F7F" w:rsidRDefault="00597B5E" w:rsidP="00A41213">
            <w:pPr>
              <w:pStyle w:val="TableText"/>
            </w:pPr>
            <w:r w:rsidRPr="00B65F7F">
              <w:t xml:space="preserve">Consumers in </w:t>
            </w:r>
            <w:r>
              <w:t xml:space="preserve">the </w:t>
            </w:r>
            <w:r w:rsidRPr="00B65F7F">
              <w:t>local region receive the right care in the right place at the right time</w:t>
            </w:r>
            <w:r>
              <w:t>.</w:t>
            </w:r>
          </w:p>
        </w:tc>
      </w:tr>
      <w:tr w:rsidR="00597B5E" w:rsidRPr="00B65F7F" w14:paraId="5101F4E7" w14:textId="77777777" w:rsidTr="006F6DD1">
        <w:tc>
          <w:tcPr>
            <w:tcW w:w="1483" w:type="dxa"/>
          </w:tcPr>
          <w:p w14:paraId="703D7F0D" w14:textId="77777777" w:rsidR="00597B5E" w:rsidRPr="00B65F7F" w:rsidRDefault="00597B5E" w:rsidP="00A41213">
            <w:pPr>
              <w:pStyle w:val="TableText"/>
            </w:pPr>
            <w:r w:rsidRPr="00B65F7F">
              <w:t xml:space="preserve">Mental </w:t>
            </w:r>
            <w:r>
              <w:t>h</w:t>
            </w:r>
            <w:r w:rsidRPr="00B65F7F">
              <w:t>ealth</w:t>
            </w:r>
          </w:p>
        </w:tc>
        <w:tc>
          <w:tcPr>
            <w:tcW w:w="1484" w:type="dxa"/>
          </w:tcPr>
          <w:p w14:paraId="0240048C" w14:textId="77777777" w:rsidR="00597B5E" w:rsidRPr="00B65F7F" w:rsidRDefault="00597B5E" w:rsidP="00A41213">
            <w:pPr>
              <w:pStyle w:val="TableText"/>
            </w:pPr>
          </w:p>
        </w:tc>
        <w:tc>
          <w:tcPr>
            <w:tcW w:w="1985" w:type="dxa"/>
          </w:tcPr>
          <w:p w14:paraId="6CFB14D8" w14:textId="77777777" w:rsidR="00597B5E" w:rsidRPr="00B65F7F" w:rsidRDefault="00597B5E" w:rsidP="00A41213">
            <w:pPr>
              <w:pStyle w:val="TableText"/>
            </w:pPr>
            <w:r w:rsidRPr="00B65F7F">
              <w:t>PHN commissioned mental health services improve outcomes for consumers</w:t>
            </w:r>
            <w:r>
              <w:t>.</w:t>
            </w:r>
          </w:p>
        </w:tc>
        <w:tc>
          <w:tcPr>
            <w:tcW w:w="1473" w:type="dxa"/>
          </w:tcPr>
          <w:p w14:paraId="775BA631" w14:textId="77777777" w:rsidR="00597B5E" w:rsidRPr="00B65F7F" w:rsidRDefault="00597B5E" w:rsidP="00A41213">
            <w:pPr>
              <w:pStyle w:val="TableText"/>
            </w:pPr>
            <w:r w:rsidRPr="00B65F7F">
              <w:t>People in PHN region access mental health services appropriate to their individual needs</w:t>
            </w:r>
            <w:r>
              <w:t>.</w:t>
            </w:r>
          </w:p>
        </w:tc>
        <w:tc>
          <w:tcPr>
            <w:tcW w:w="1606" w:type="dxa"/>
          </w:tcPr>
          <w:p w14:paraId="1203A302" w14:textId="77777777" w:rsidR="00597B5E" w:rsidRPr="00B65F7F" w:rsidRDefault="00597B5E" w:rsidP="00A41213">
            <w:pPr>
              <w:pStyle w:val="TableText"/>
            </w:pPr>
            <w:r w:rsidRPr="00B65F7F">
              <w:t xml:space="preserve">Healthcare providers in </w:t>
            </w:r>
            <w:r>
              <w:t xml:space="preserve">the </w:t>
            </w:r>
            <w:r w:rsidRPr="00B65F7F">
              <w:t>PHN region have an integrated approach to mental healthcare and suicide prevention</w:t>
            </w:r>
            <w:r>
              <w:t>.</w:t>
            </w:r>
          </w:p>
        </w:tc>
        <w:tc>
          <w:tcPr>
            <w:tcW w:w="1607" w:type="dxa"/>
          </w:tcPr>
          <w:p w14:paraId="30914B49" w14:textId="77777777" w:rsidR="00597B5E" w:rsidRPr="00B65F7F" w:rsidRDefault="00597B5E" w:rsidP="00A41213">
            <w:pPr>
              <w:pStyle w:val="TableText"/>
            </w:pPr>
            <w:r w:rsidRPr="00B65F7F">
              <w:t xml:space="preserve">People in </w:t>
            </w:r>
            <w:r>
              <w:t xml:space="preserve">the </w:t>
            </w:r>
            <w:r w:rsidRPr="00B65F7F">
              <w:t>PHN region enjoy better mental health and social and emotional wellbeing</w:t>
            </w:r>
            <w:r>
              <w:t>.</w:t>
            </w:r>
          </w:p>
        </w:tc>
      </w:tr>
      <w:tr w:rsidR="00597B5E" w:rsidRPr="00B65F7F" w14:paraId="7069A25D" w14:textId="77777777" w:rsidTr="006F6DD1">
        <w:tc>
          <w:tcPr>
            <w:tcW w:w="1483" w:type="dxa"/>
          </w:tcPr>
          <w:p w14:paraId="531D2366" w14:textId="77777777" w:rsidR="00597B5E" w:rsidRPr="00B65F7F" w:rsidRDefault="00597B5E" w:rsidP="00A41213">
            <w:pPr>
              <w:pStyle w:val="TableText"/>
            </w:pPr>
            <w:r>
              <w:t>Aboriginal and/or Torres Strait Islander</w:t>
            </w:r>
            <w:r w:rsidRPr="00B65F7F">
              <w:t xml:space="preserve"> </w:t>
            </w:r>
            <w:r>
              <w:t>h</w:t>
            </w:r>
            <w:r w:rsidRPr="00B65F7F">
              <w:t>ealth</w:t>
            </w:r>
          </w:p>
        </w:tc>
        <w:tc>
          <w:tcPr>
            <w:tcW w:w="1484" w:type="dxa"/>
          </w:tcPr>
          <w:p w14:paraId="1FE3E5F6" w14:textId="77777777" w:rsidR="00597B5E" w:rsidRPr="00B65F7F" w:rsidRDefault="00597B5E" w:rsidP="00A41213">
            <w:pPr>
              <w:pStyle w:val="TableText"/>
            </w:pPr>
            <w:r w:rsidRPr="00B65F7F">
              <w:t xml:space="preserve">PHNs address needs of </w:t>
            </w:r>
            <w:r>
              <w:t>Aboriginal and/or Torres Strait Islander</w:t>
            </w:r>
            <w:r w:rsidRPr="00B65F7F">
              <w:t xml:space="preserve"> people in their region</w:t>
            </w:r>
            <w:r>
              <w:t>.</w:t>
            </w:r>
          </w:p>
        </w:tc>
        <w:tc>
          <w:tcPr>
            <w:tcW w:w="1985" w:type="dxa"/>
          </w:tcPr>
          <w:p w14:paraId="04F9C30C" w14:textId="77777777" w:rsidR="00597B5E" w:rsidRPr="00B65F7F" w:rsidRDefault="00597B5E" w:rsidP="00A41213">
            <w:pPr>
              <w:pStyle w:val="TableText"/>
            </w:pPr>
            <w:r w:rsidRPr="00B65F7F">
              <w:t xml:space="preserve">Local healthcare providers provide culturally appropriate services to </w:t>
            </w:r>
            <w:r>
              <w:t>Aboriginal and/or Torres Strait Islander</w:t>
            </w:r>
            <w:r w:rsidRPr="00B65F7F">
              <w:t xml:space="preserve"> people</w:t>
            </w:r>
            <w:r>
              <w:t>.</w:t>
            </w:r>
          </w:p>
          <w:p w14:paraId="7CBC4B11" w14:textId="77777777" w:rsidR="00597B5E" w:rsidRPr="00B65F7F" w:rsidRDefault="00597B5E" w:rsidP="00A41213">
            <w:pPr>
              <w:pStyle w:val="TableText"/>
            </w:pPr>
            <w:r>
              <w:t>Aboriginal and/or Torres Strait Islander</w:t>
            </w:r>
            <w:r w:rsidRPr="00B65F7F">
              <w:t xml:space="preserve"> identified health workforce capability and capacity matches needs of region</w:t>
            </w:r>
            <w:r>
              <w:t>.</w:t>
            </w:r>
          </w:p>
        </w:tc>
        <w:tc>
          <w:tcPr>
            <w:tcW w:w="1473" w:type="dxa"/>
          </w:tcPr>
          <w:p w14:paraId="5E98D5B7" w14:textId="77777777" w:rsidR="00597B5E" w:rsidRPr="00B65F7F" w:rsidRDefault="00597B5E" w:rsidP="00A41213">
            <w:pPr>
              <w:pStyle w:val="TableText"/>
            </w:pPr>
            <w:r>
              <w:t>Aboriginal and/or Torres Strait Islander</w:t>
            </w:r>
            <w:r w:rsidRPr="00B65F7F">
              <w:t xml:space="preserve"> people are able to access primary healthcare services as required</w:t>
            </w:r>
            <w:r>
              <w:t>.</w:t>
            </w:r>
          </w:p>
        </w:tc>
        <w:tc>
          <w:tcPr>
            <w:tcW w:w="1606" w:type="dxa"/>
          </w:tcPr>
          <w:p w14:paraId="284BC824" w14:textId="77777777" w:rsidR="00597B5E" w:rsidRPr="00B65F7F" w:rsidRDefault="00597B5E" w:rsidP="00A41213">
            <w:pPr>
              <w:pStyle w:val="TableText"/>
            </w:pPr>
            <w:r>
              <w:t>Aboriginal and/or Torres Strait Islander</w:t>
            </w:r>
            <w:r w:rsidRPr="00B65F7F">
              <w:t xml:space="preserve"> people with chronic conditions receive coordinated care</w:t>
            </w:r>
            <w:r>
              <w:t>.</w:t>
            </w:r>
          </w:p>
        </w:tc>
        <w:tc>
          <w:tcPr>
            <w:tcW w:w="1607" w:type="dxa"/>
          </w:tcPr>
          <w:p w14:paraId="7E49CDD0" w14:textId="77777777" w:rsidR="00597B5E" w:rsidRPr="00B65F7F" w:rsidRDefault="00597B5E" w:rsidP="00A41213">
            <w:pPr>
              <w:pStyle w:val="TableText"/>
            </w:pPr>
            <w:r w:rsidRPr="00B65F7F">
              <w:t>PHNs contribute to closing the gap</w:t>
            </w:r>
            <w:r>
              <w:t>,</w:t>
            </w:r>
            <w:r w:rsidRPr="00B65F7F">
              <w:t xml:space="preserve"> and </w:t>
            </w:r>
            <w:r>
              <w:t>Aboriginal and/or Torres Strait Islander</w:t>
            </w:r>
            <w:r w:rsidRPr="00B65F7F">
              <w:t xml:space="preserve"> people experience improved emotional, social and physical wellbeing</w:t>
            </w:r>
            <w:r>
              <w:t>.</w:t>
            </w:r>
          </w:p>
        </w:tc>
      </w:tr>
    </w:tbl>
    <w:p w14:paraId="1F86C917" w14:textId="77777777" w:rsidR="00597B5E" w:rsidRPr="00B65F7F" w:rsidRDefault="00597B5E" w:rsidP="00597B5E">
      <w:pPr>
        <w:pStyle w:val="Notes"/>
      </w:pPr>
      <w:r>
        <w:t>Source: A</w:t>
      </w:r>
      <w:r w:rsidRPr="00B65F7F">
        <w:t>dapted from Primary Health Networks Program Performance and Quality Framework (</w:t>
      </w:r>
      <w:r w:rsidRPr="00DA25BB">
        <w:t>Department</w:t>
      </w:r>
      <w:r w:rsidRPr="00B65F7F">
        <w:t xml:space="preserve"> of Health 2018, p</w:t>
      </w:r>
      <w:r>
        <w:t>p. </w:t>
      </w:r>
      <w:r w:rsidRPr="00B65F7F">
        <w:t>9</w:t>
      </w:r>
      <w:r>
        <w:t>−</w:t>
      </w:r>
      <w:r w:rsidRPr="00B65F7F">
        <w:t>10)</w:t>
      </w:r>
      <w:r>
        <w:t>.</w:t>
      </w:r>
    </w:p>
    <w:p w14:paraId="10DD4236" w14:textId="77777777" w:rsidR="00597B5E" w:rsidRPr="00500843" w:rsidRDefault="00597B5E" w:rsidP="009912B7">
      <w:pPr>
        <w:pStyle w:val="HeadingLevel4NoNumber"/>
      </w:pPr>
      <w:bookmarkStart w:id="394" w:name="_heading=h.1vsw3ci" w:colFirst="0" w:colLast="0"/>
      <w:bookmarkEnd w:id="394"/>
      <w:r w:rsidRPr="00500843">
        <w:t>Background</w:t>
      </w:r>
    </w:p>
    <w:p w14:paraId="1341D6B4" w14:textId="77777777" w:rsidR="00597B5E" w:rsidRPr="00B65F7F" w:rsidRDefault="00597B5E" w:rsidP="00A41213">
      <w:pPr>
        <w:pStyle w:val="BodyText"/>
      </w:pPr>
      <w:r w:rsidRPr="00B65F7F">
        <w:t>Australian funding and delivery models, approaches and frameworks demonstrate that place-based models of funding and service delivery that centre self-determination and meet the needs of Indigenous communities should be considered and prioritised, as every community will have different ‘needs in terms of the amount of time, funding, resources and capacity-building they require to be able to develop’ successful and sustainable health and wellbeing services and responses (</w:t>
      </w:r>
      <w:r w:rsidRPr="00DA25BB">
        <w:t>Currier</w:t>
      </w:r>
      <w:r w:rsidRPr="00B65F7F">
        <w:t xml:space="preserve"> </w:t>
      </w:r>
      <w:r>
        <w:t>et al</w:t>
      </w:r>
      <w:r w:rsidRPr="00B65F7F">
        <w:t xml:space="preserve">., 2020, </w:t>
      </w:r>
      <w:r>
        <w:t>p. </w:t>
      </w:r>
      <w:r w:rsidRPr="00B65F7F">
        <w:t>60). </w:t>
      </w:r>
    </w:p>
    <w:p w14:paraId="5FD67CFF" w14:textId="77777777" w:rsidR="00597B5E" w:rsidRPr="00B65F7F" w:rsidRDefault="00597B5E" w:rsidP="00A41213">
      <w:pPr>
        <w:pStyle w:val="BodyText"/>
      </w:pPr>
      <w:r w:rsidRPr="00B65F7F">
        <w:t xml:space="preserve">While the following Australian examples shift their focus to service delivery, they nonetheless highlight the need to embed the guiding principles identified by the literature in future funding and delivery models. This includes directing funding and resource allocations to </w:t>
      </w:r>
      <w:r>
        <w:t>Aboriginal and/or Torres Strait Islander</w:t>
      </w:r>
      <w:r w:rsidRPr="00B65F7F">
        <w:t>–led and/or community-controlled organisations and embedding community participation, co-design and leadership throughout funding, commissioning and delivery activities. There was also a notable distinction between Australian and international health and wellbeing funding models, namely that the latter centred Indigenous values of self-determination, transparency and accountability which provided greater source availability for consultation. </w:t>
      </w:r>
    </w:p>
    <w:p w14:paraId="42863906" w14:textId="77777777" w:rsidR="00597B5E" w:rsidRPr="00B65F7F" w:rsidRDefault="00597B5E" w:rsidP="00A41213">
      <w:pPr>
        <w:pStyle w:val="BodyText"/>
      </w:pPr>
      <w:r w:rsidRPr="00B65F7F">
        <w:t>Currently, the Australian Government funds PHNs to commission a range of health and wellbeing services to support individuals and communities experiencing poor physical and mental health outcomes through a range of programs (</w:t>
      </w:r>
      <w:r w:rsidRPr="00DA25BB">
        <w:t>AIHW</w:t>
      </w:r>
      <w:r w:rsidRPr="00B65F7F">
        <w:t>, 2022</w:t>
      </w:r>
      <w:r>
        <w:t>c</w:t>
      </w:r>
      <w:r w:rsidRPr="00B65F7F">
        <w:t xml:space="preserve">). State and territory governments also directly fund and deliver an array of health and wellbeing services, including public acute and psychiatric hospital services, specialised community mental healthcare services and specialised residential </w:t>
      </w:r>
      <w:r w:rsidR="002B46E5" w:rsidRPr="00B65F7F">
        <w:t>mental</w:t>
      </w:r>
      <w:r w:rsidR="002B46E5">
        <w:t xml:space="preserve"> </w:t>
      </w:r>
      <w:r w:rsidR="002B46E5" w:rsidRPr="00B65F7F">
        <w:t>health</w:t>
      </w:r>
      <w:r w:rsidRPr="00B65F7F">
        <w:t xml:space="preserve"> care services (AIHW, 2022</w:t>
      </w:r>
      <w:r>
        <w:t>c</w:t>
      </w:r>
      <w:r w:rsidRPr="00B65F7F">
        <w:t xml:space="preserve">). </w:t>
      </w:r>
    </w:p>
    <w:p w14:paraId="324674B8" w14:textId="77777777" w:rsidR="00597B5E" w:rsidRPr="00B65F7F" w:rsidRDefault="00597B5E" w:rsidP="00A41213">
      <w:pPr>
        <w:pStyle w:val="BodyText"/>
      </w:pPr>
      <w:r w:rsidRPr="00B65F7F">
        <w:t>The following section</w:t>
      </w:r>
      <w:r>
        <w:t>s</w:t>
      </w:r>
      <w:r w:rsidRPr="00B65F7F">
        <w:t xml:space="preserve"> identif</w:t>
      </w:r>
      <w:r>
        <w:t>y</w:t>
      </w:r>
      <w:r w:rsidRPr="00B65F7F">
        <w:t xml:space="preserve"> several Australian examples that demonstrate many of the guiding principles that have been considered by the literature.</w:t>
      </w:r>
    </w:p>
    <w:p w14:paraId="53F89301" w14:textId="77777777" w:rsidR="00597B5E" w:rsidRPr="00B65F7F" w:rsidRDefault="00597B5E" w:rsidP="009912B7">
      <w:pPr>
        <w:pStyle w:val="HeadingLevel3NoNumber"/>
      </w:pPr>
      <w:bookmarkStart w:id="395" w:name="_heading=h.4fsjm0b" w:colFirst="0" w:colLast="0"/>
      <w:bookmarkEnd w:id="395"/>
      <w:r w:rsidRPr="00B65F7F">
        <w:t>National Empowerment Project</w:t>
      </w:r>
    </w:p>
    <w:p w14:paraId="022C773E" w14:textId="77777777" w:rsidR="00597B5E" w:rsidRPr="00B65F7F" w:rsidRDefault="00597B5E" w:rsidP="009912B7">
      <w:pPr>
        <w:pStyle w:val="HeadingLevel4NoNumber"/>
      </w:pPr>
      <w:r w:rsidRPr="00B65F7F">
        <w:t>Key findings</w:t>
      </w:r>
    </w:p>
    <w:p w14:paraId="7EE72BE2" w14:textId="77777777" w:rsidR="00597B5E" w:rsidRPr="00B65F7F" w:rsidRDefault="00597B5E" w:rsidP="00A41213">
      <w:pPr>
        <w:pStyle w:val="ListBullet2"/>
      </w:pPr>
      <w:r w:rsidRPr="00B65F7F">
        <w:rPr>
          <w:rFonts w:eastAsia="Calibri"/>
        </w:rPr>
        <w:t xml:space="preserve">Self-determination was one of the guiding principles developed in consultation with community co-researchers for each of the 11 </w:t>
      </w:r>
      <w:r>
        <w:rPr>
          <w:rFonts w:eastAsia="Calibri"/>
        </w:rPr>
        <w:t>Aboriginal and/or Torres Strait Islander</w:t>
      </w:r>
      <w:r w:rsidRPr="00B65F7F">
        <w:rPr>
          <w:rFonts w:eastAsia="Calibri"/>
        </w:rPr>
        <w:t xml:space="preserve"> communities the National Empowerment Project (NEP) engaged with.</w:t>
      </w:r>
    </w:p>
    <w:p w14:paraId="058B7D4F" w14:textId="77777777" w:rsidR="00597B5E" w:rsidRPr="00B65F7F" w:rsidRDefault="00597B5E" w:rsidP="00A41213">
      <w:pPr>
        <w:pStyle w:val="ListBullet2"/>
      </w:pPr>
      <w:r w:rsidRPr="00B65F7F">
        <w:rPr>
          <w:rFonts w:eastAsia="Calibri"/>
        </w:rPr>
        <w:t>Each community was engaged to determine issues of priority pertaining to their cultural, social and emotional wellbeing and to develop strategies to improve wellbeing outcomes and decide what principles should guide subsequent NEP programs and services.</w:t>
      </w:r>
    </w:p>
    <w:p w14:paraId="53530203" w14:textId="77777777" w:rsidR="00597B5E" w:rsidRPr="00B65F7F" w:rsidRDefault="00597B5E" w:rsidP="00A41213">
      <w:pPr>
        <w:pStyle w:val="ListBullet2"/>
      </w:pPr>
      <w:r w:rsidRPr="00B65F7F">
        <w:rPr>
          <w:rFonts w:eastAsia="Calibri"/>
        </w:rPr>
        <w:t xml:space="preserve">The NEP </w:t>
      </w:r>
      <w:r w:rsidR="00867831">
        <w:rPr>
          <w:rFonts w:eastAsia="Calibri"/>
        </w:rPr>
        <w:t>Review Team</w:t>
      </w:r>
      <w:r w:rsidRPr="00B65F7F">
        <w:rPr>
          <w:rFonts w:eastAsia="Calibri"/>
        </w:rPr>
        <w:t xml:space="preserve"> utilised quantitative, strengths-based methodologies that centred improvements in cultural, social and emotional wellbeing.</w:t>
      </w:r>
    </w:p>
    <w:p w14:paraId="3280FD6A" w14:textId="61877B5F" w:rsidR="00597B5E" w:rsidRPr="00B65F7F" w:rsidRDefault="00DD0673" w:rsidP="00DD0673">
      <w:pPr>
        <w:pStyle w:val="CaptionTable"/>
        <w:rPr>
          <w:rFonts w:eastAsia="Calibri"/>
        </w:rPr>
      </w:pPr>
      <w:bookmarkStart w:id="396" w:name="_heading=h.2uxtw84" w:colFirst="0" w:colLast="0"/>
      <w:bookmarkStart w:id="397" w:name="_Toc145604954"/>
      <w:bookmarkStart w:id="398" w:name="_Toc145617826"/>
      <w:bookmarkStart w:id="399" w:name="_Toc156932098"/>
      <w:bookmarkEnd w:id="396"/>
      <w:r>
        <w:t>Table A9.</w:t>
      </w:r>
      <w:r>
        <w:fldChar w:fldCharType="begin"/>
      </w:r>
      <w:r>
        <w:instrText xml:space="preserve"> SEQ Table_A9 \* ARABIC </w:instrText>
      </w:r>
      <w:r>
        <w:fldChar w:fldCharType="separate"/>
      </w:r>
      <w:r w:rsidR="00934D5E">
        <w:rPr>
          <w:noProof/>
        </w:rPr>
        <w:t>5</w:t>
      </w:r>
      <w:r>
        <w:fldChar w:fldCharType="end"/>
      </w:r>
      <w:r w:rsidR="00597B5E">
        <w:t>:</w:t>
      </w:r>
      <w:r w:rsidR="00597B5E" w:rsidRPr="00B65F7F">
        <w:rPr>
          <w:rFonts w:eastAsia="Calibri"/>
        </w:rPr>
        <w:t xml:space="preserve"> National Empowerment Project alignment with guiding principles</w:t>
      </w:r>
      <w:bookmarkEnd w:id="397"/>
      <w:bookmarkEnd w:id="398"/>
      <w:bookmarkEnd w:id="399"/>
    </w:p>
    <w:tbl>
      <w:tblPr>
        <w:tblStyle w:val="Newtableforresport"/>
        <w:tblW w:w="9618" w:type="dxa"/>
        <w:tblInd w:w="10" w:type="dxa"/>
        <w:tblLayout w:type="fixed"/>
        <w:tblLook w:val="0420" w:firstRow="1" w:lastRow="0" w:firstColumn="0" w:lastColumn="0" w:noHBand="0" w:noVBand="1"/>
        <w:tblCaption w:val="Table A9.5: National Empowerment Project alignment with guiding principles"/>
        <w:tblDescription w:val="The table describes how the guiding principles of funding transition align with the National Empowerment Project. The first column lists the guiding principles of funding transition. The second column provides a description of how the Kimberley Aboriginal Suicide Prevention Trial aligns with the relevant guiding principle in the first column. "/>
      </w:tblPr>
      <w:tblGrid>
        <w:gridCol w:w="2542"/>
        <w:gridCol w:w="7076"/>
      </w:tblGrid>
      <w:tr w:rsidR="00597B5E" w:rsidRPr="0043288D" w14:paraId="5B6A847F" w14:textId="77777777" w:rsidTr="006F6DD1">
        <w:trPr>
          <w:cnfStyle w:val="100000000000" w:firstRow="1" w:lastRow="0" w:firstColumn="0" w:lastColumn="0" w:oddVBand="0" w:evenVBand="0" w:oddHBand="0" w:evenHBand="0" w:firstRowFirstColumn="0" w:firstRowLastColumn="0" w:lastRowFirstColumn="0" w:lastRowLastColumn="0"/>
          <w:tblHeader/>
        </w:trPr>
        <w:tc>
          <w:tcPr>
            <w:tcW w:w="2542" w:type="dxa"/>
          </w:tcPr>
          <w:p w14:paraId="19869A8F" w14:textId="77777777" w:rsidR="00597B5E" w:rsidRPr="0043288D" w:rsidRDefault="00597B5E" w:rsidP="00024E8D">
            <w:pPr>
              <w:pStyle w:val="TableHeading"/>
              <w:rPr>
                <w:rFonts w:eastAsia="Calibri"/>
                <w:b w:val="0"/>
              </w:rPr>
            </w:pPr>
            <w:r w:rsidRPr="0043288D">
              <w:rPr>
                <w:rFonts w:eastAsia="Calibri"/>
              </w:rPr>
              <w:t>Guiding principle</w:t>
            </w:r>
          </w:p>
        </w:tc>
        <w:tc>
          <w:tcPr>
            <w:tcW w:w="7076" w:type="dxa"/>
          </w:tcPr>
          <w:p w14:paraId="5BE42BA0" w14:textId="77777777" w:rsidR="00597B5E" w:rsidRPr="0043288D" w:rsidRDefault="00597B5E" w:rsidP="00024E8D">
            <w:pPr>
              <w:pStyle w:val="TableHeading"/>
              <w:rPr>
                <w:rFonts w:eastAsia="Calibri"/>
                <w:b w:val="0"/>
              </w:rPr>
            </w:pPr>
            <w:r w:rsidRPr="0043288D">
              <w:rPr>
                <w:rFonts w:eastAsia="Calibri"/>
              </w:rPr>
              <w:t>Description</w:t>
            </w:r>
          </w:p>
        </w:tc>
      </w:tr>
      <w:tr w:rsidR="00597B5E" w:rsidRPr="00B65F7F" w14:paraId="27E267B2" w14:textId="77777777" w:rsidTr="006F6DD1">
        <w:trPr>
          <w:cnfStyle w:val="000000100000" w:firstRow="0" w:lastRow="0" w:firstColumn="0" w:lastColumn="0" w:oddVBand="0" w:evenVBand="0" w:oddHBand="1" w:evenHBand="0" w:firstRowFirstColumn="0" w:firstRowLastColumn="0" w:lastRowFirstColumn="0" w:lastRowLastColumn="0"/>
        </w:trPr>
        <w:tc>
          <w:tcPr>
            <w:tcW w:w="2542" w:type="dxa"/>
          </w:tcPr>
          <w:p w14:paraId="2069E124" w14:textId="77777777" w:rsidR="00597B5E" w:rsidRPr="00B65F7F" w:rsidRDefault="00597B5E" w:rsidP="00A41213">
            <w:pPr>
              <w:pStyle w:val="TableText"/>
              <w:rPr>
                <w:rFonts w:eastAsia="Calibri"/>
              </w:rPr>
            </w:pPr>
            <w:r w:rsidRPr="00B65F7F">
              <w:rPr>
                <w:rFonts w:eastAsia="Calibri"/>
              </w:rPr>
              <w:t>Indigenous self-determination</w:t>
            </w:r>
          </w:p>
        </w:tc>
        <w:tc>
          <w:tcPr>
            <w:tcW w:w="7076" w:type="dxa"/>
            <w:vMerge w:val="restart"/>
          </w:tcPr>
          <w:p w14:paraId="18EEF63A" w14:textId="77777777" w:rsidR="00597B5E" w:rsidRPr="00B65F7F" w:rsidRDefault="00A7033B" w:rsidP="00A41213">
            <w:pPr>
              <w:pStyle w:val="TableText"/>
              <w:rPr>
                <w:rFonts w:eastAsia="Calibri"/>
              </w:rPr>
            </w:pPr>
            <w:r>
              <w:rPr>
                <w:rFonts w:eastAsia="Calibri"/>
              </w:rPr>
              <w:t>Health</w:t>
            </w:r>
            <w:r w:rsidR="00597B5E" w:rsidRPr="00B65F7F">
              <w:rPr>
                <w:rFonts w:eastAsia="Calibri"/>
              </w:rPr>
              <w:t xml:space="preserve"> entered into a funding agreement with the University of Western Australia’s School of Indigenous Studies to support the co-design and delivery of NEP programs with </w:t>
            </w:r>
            <w:r w:rsidR="00597B5E">
              <w:rPr>
                <w:rFonts w:eastAsia="Calibri"/>
              </w:rPr>
              <w:t>Aboriginal and/or Torres Strait Islander</w:t>
            </w:r>
            <w:r w:rsidR="00597B5E" w:rsidRPr="00B65F7F">
              <w:rPr>
                <w:rFonts w:eastAsia="Calibri"/>
              </w:rPr>
              <w:t xml:space="preserve"> communities. Subsequent NEP programs were funded by </w:t>
            </w:r>
            <w:r w:rsidR="00840E8D">
              <w:rPr>
                <w:rFonts w:eastAsia="Calibri"/>
              </w:rPr>
              <w:t>DoHAC</w:t>
            </w:r>
            <w:r w:rsidR="00597B5E" w:rsidRPr="00B65F7F">
              <w:rPr>
                <w:rFonts w:eastAsia="Calibri"/>
              </w:rPr>
              <w:t xml:space="preserve"> and commissioned through local PHNs. </w:t>
            </w:r>
          </w:p>
          <w:p w14:paraId="2268C1E0" w14:textId="77777777" w:rsidR="00597B5E" w:rsidRPr="00B65F7F" w:rsidRDefault="00597B5E" w:rsidP="00A41213">
            <w:pPr>
              <w:pStyle w:val="TableText"/>
              <w:rPr>
                <w:rFonts w:eastAsia="Calibri"/>
              </w:rPr>
            </w:pPr>
            <w:r w:rsidRPr="00B65F7F">
              <w:rPr>
                <w:rFonts w:eastAsia="Calibri"/>
              </w:rPr>
              <w:t xml:space="preserve">The University of Western Australia – using a participatory action research approach – engaged 11 </w:t>
            </w:r>
            <w:r>
              <w:rPr>
                <w:rFonts w:eastAsia="Calibri"/>
              </w:rPr>
              <w:t>Aboriginal and/or Torres Strait Islander</w:t>
            </w:r>
            <w:r w:rsidRPr="00B65F7F">
              <w:rPr>
                <w:rFonts w:eastAsia="Calibri"/>
              </w:rPr>
              <w:t xml:space="preserve"> communities to identify the key factors impacting their social and emotional wellbeing and strategies to strengthen their cultural, social and emotional wellbeing. The feedback from communities was used to design and deliver culturally responsive and place-based approaches to wellbeing and suicide prevention programs. Additionally, a community reference group was formed to guide the delivery of subsequent NEP programs and ‘strengthen community ownership’ (</w:t>
            </w:r>
            <w:r w:rsidRPr="00DA25BB">
              <w:rPr>
                <w:rFonts w:eastAsia="Calibri"/>
              </w:rPr>
              <w:t>Mia</w:t>
            </w:r>
            <w:r w:rsidRPr="00B65F7F">
              <w:rPr>
                <w:rFonts w:eastAsia="Calibri"/>
              </w:rPr>
              <w:t xml:space="preserve"> </w:t>
            </w:r>
            <w:r>
              <w:rPr>
                <w:rFonts w:eastAsia="Calibri"/>
              </w:rPr>
              <w:t>et al</w:t>
            </w:r>
            <w:r w:rsidRPr="00B65F7F">
              <w:rPr>
                <w:rFonts w:eastAsia="Calibri"/>
              </w:rPr>
              <w:t>., 2017). </w:t>
            </w:r>
          </w:p>
        </w:tc>
      </w:tr>
      <w:tr w:rsidR="00597B5E" w:rsidRPr="00B65F7F" w14:paraId="59F9E4AC" w14:textId="77777777" w:rsidTr="006F6DD1">
        <w:trPr>
          <w:cnfStyle w:val="000000010000" w:firstRow="0" w:lastRow="0" w:firstColumn="0" w:lastColumn="0" w:oddVBand="0" w:evenVBand="0" w:oddHBand="0" w:evenHBand="1" w:firstRowFirstColumn="0" w:firstRowLastColumn="0" w:lastRowFirstColumn="0" w:lastRowLastColumn="0"/>
        </w:trPr>
        <w:tc>
          <w:tcPr>
            <w:tcW w:w="2542" w:type="dxa"/>
          </w:tcPr>
          <w:p w14:paraId="33B0EFC8" w14:textId="77777777" w:rsidR="00597B5E" w:rsidRPr="00B65F7F" w:rsidRDefault="00597B5E" w:rsidP="00A41213">
            <w:pPr>
              <w:pStyle w:val="TableText"/>
              <w:rPr>
                <w:rFonts w:eastAsia="Calibri"/>
              </w:rPr>
            </w:pPr>
            <w:r w:rsidRPr="00B65F7F">
              <w:rPr>
                <w:rFonts w:eastAsia="Calibri"/>
              </w:rPr>
              <w:t>Community partnerships, co-design and ownership</w:t>
            </w:r>
          </w:p>
        </w:tc>
        <w:tc>
          <w:tcPr>
            <w:tcW w:w="7076" w:type="dxa"/>
            <w:vMerge/>
          </w:tcPr>
          <w:p w14:paraId="25EB9683" w14:textId="77777777" w:rsidR="00597B5E" w:rsidRPr="00B65F7F" w:rsidRDefault="00597B5E" w:rsidP="00A41213">
            <w:pPr>
              <w:pStyle w:val="TableText"/>
              <w:rPr>
                <w:rFonts w:eastAsia="Calibri"/>
              </w:rPr>
            </w:pPr>
          </w:p>
        </w:tc>
      </w:tr>
      <w:tr w:rsidR="00597B5E" w:rsidRPr="00B65F7F" w14:paraId="0F044296" w14:textId="77777777" w:rsidTr="006F6DD1">
        <w:trPr>
          <w:cnfStyle w:val="000000100000" w:firstRow="0" w:lastRow="0" w:firstColumn="0" w:lastColumn="0" w:oddVBand="0" w:evenVBand="0" w:oddHBand="1" w:evenHBand="0" w:firstRowFirstColumn="0" w:firstRowLastColumn="0" w:lastRowFirstColumn="0" w:lastRowLastColumn="0"/>
        </w:trPr>
        <w:tc>
          <w:tcPr>
            <w:tcW w:w="2542" w:type="dxa"/>
          </w:tcPr>
          <w:p w14:paraId="62C68674" w14:textId="77777777" w:rsidR="00597B5E" w:rsidRPr="00B65F7F" w:rsidRDefault="00597B5E" w:rsidP="00A41213">
            <w:pPr>
              <w:pStyle w:val="TableText"/>
              <w:rPr>
                <w:rFonts w:eastAsia="Calibri"/>
              </w:rPr>
            </w:pPr>
            <w:r w:rsidRPr="00B65F7F">
              <w:rPr>
                <w:rFonts w:eastAsia="Calibri"/>
              </w:rPr>
              <w:t>Holistic understandings of Indigenous health and wellbeing</w:t>
            </w:r>
          </w:p>
        </w:tc>
        <w:tc>
          <w:tcPr>
            <w:tcW w:w="7076" w:type="dxa"/>
            <w:vMerge/>
          </w:tcPr>
          <w:p w14:paraId="75210686" w14:textId="77777777" w:rsidR="00597B5E" w:rsidRPr="00B65F7F" w:rsidRDefault="00597B5E" w:rsidP="00A41213">
            <w:pPr>
              <w:pStyle w:val="TableText"/>
              <w:rPr>
                <w:rFonts w:eastAsia="Calibri"/>
              </w:rPr>
            </w:pPr>
          </w:p>
        </w:tc>
      </w:tr>
      <w:tr w:rsidR="00597B5E" w:rsidRPr="00B65F7F" w14:paraId="0EDE4319" w14:textId="77777777" w:rsidTr="006F6DD1">
        <w:trPr>
          <w:cnfStyle w:val="000000010000" w:firstRow="0" w:lastRow="0" w:firstColumn="0" w:lastColumn="0" w:oddVBand="0" w:evenVBand="0" w:oddHBand="0" w:evenHBand="1" w:firstRowFirstColumn="0" w:firstRowLastColumn="0" w:lastRowFirstColumn="0" w:lastRowLastColumn="0"/>
        </w:trPr>
        <w:tc>
          <w:tcPr>
            <w:tcW w:w="2542" w:type="dxa"/>
          </w:tcPr>
          <w:p w14:paraId="317B2A5E" w14:textId="77777777" w:rsidR="00597B5E" w:rsidRPr="00B65F7F" w:rsidRDefault="00597B5E" w:rsidP="00A41213">
            <w:pPr>
              <w:pStyle w:val="TableText"/>
              <w:rPr>
                <w:rFonts w:eastAsia="Calibri"/>
              </w:rPr>
            </w:pPr>
            <w:r w:rsidRPr="00B65F7F">
              <w:rPr>
                <w:rFonts w:eastAsia="Calibri"/>
              </w:rPr>
              <w:t>Strengths-based and place-based approaches</w:t>
            </w:r>
          </w:p>
        </w:tc>
        <w:tc>
          <w:tcPr>
            <w:tcW w:w="7076" w:type="dxa"/>
            <w:vMerge/>
          </w:tcPr>
          <w:p w14:paraId="5D1522A0" w14:textId="77777777" w:rsidR="00597B5E" w:rsidRPr="00B65F7F" w:rsidRDefault="00597B5E" w:rsidP="00A41213">
            <w:pPr>
              <w:pStyle w:val="TableText"/>
              <w:rPr>
                <w:rFonts w:eastAsia="Calibri"/>
              </w:rPr>
            </w:pPr>
          </w:p>
        </w:tc>
      </w:tr>
      <w:tr w:rsidR="00597B5E" w:rsidRPr="00B65F7F" w14:paraId="4D1272AE" w14:textId="77777777" w:rsidTr="006F6DD1">
        <w:trPr>
          <w:cnfStyle w:val="000000100000" w:firstRow="0" w:lastRow="0" w:firstColumn="0" w:lastColumn="0" w:oddVBand="0" w:evenVBand="0" w:oddHBand="1" w:evenHBand="0" w:firstRowFirstColumn="0" w:firstRowLastColumn="0" w:lastRowFirstColumn="0" w:lastRowLastColumn="0"/>
        </w:trPr>
        <w:tc>
          <w:tcPr>
            <w:tcW w:w="2542" w:type="dxa"/>
          </w:tcPr>
          <w:p w14:paraId="7FC0C9EE" w14:textId="77777777" w:rsidR="00597B5E" w:rsidRPr="00B65F7F" w:rsidRDefault="00597B5E" w:rsidP="00A41213">
            <w:pPr>
              <w:pStyle w:val="TableText"/>
              <w:rPr>
                <w:rFonts w:eastAsia="Calibri"/>
              </w:rPr>
            </w:pPr>
            <w:r w:rsidRPr="00B65F7F">
              <w:rPr>
                <w:rFonts w:eastAsia="Calibri"/>
              </w:rPr>
              <w:t>Culturally safe and responsive healthcare</w:t>
            </w:r>
          </w:p>
        </w:tc>
        <w:tc>
          <w:tcPr>
            <w:tcW w:w="7076" w:type="dxa"/>
          </w:tcPr>
          <w:p w14:paraId="220FA3FA" w14:textId="77777777" w:rsidR="00597B5E" w:rsidRPr="00B65F7F" w:rsidRDefault="00597B5E" w:rsidP="00A41213">
            <w:pPr>
              <w:pStyle w:val="TableText"/>
              <w:rPr>
                <w:rFonts w:eastAsia="Calibri"/>
              </w:rPr>
            </w:pPr>
            <w:r w:rsidRPr="00B65F7F">
              <w:rPr>
                <w:rFonts w:eastAsia="Calibri"/>
              </w:rPr>
              <w:t xml:space="preserve">The University of Western Australia’s School of Indigenous Studies research team was led by </w:t>
            </w:r>
            <w:r>
              <w:rPr>
                <w:rFonts w:eastAsia="Calibri"/>
              </w:rPr>
              <w:t>Aboriginal and/or Torres Strait Islander</w:t>
            </w:r>
            <w:r w:rsidRPr="00B65F7F">
              <w:rPr>
                <w:rFonts w:eastAsia="Calibri"/>
              </w:rPr>
              <w:t xml:space="preserve"> people and utilised culturally safe and responsive consultation and evaluation methodologies.</w:t>
            </w:r>
          </w:p>
        </w:tc>
      </w:tr>
    </w:tbl>
    <w:p w14:paraId="57C65447" w14:textId="77777777" w:rsidR="00597B5E" w:rsidRPr="00B65F7F" w:rsidRDefault="00597B5E" w:rsidP="009912B7">
      <w:pPr>
        <w:pStyle w:val="HeadingLevel4NoNumber"/>
      </w:pPr>
      <w:bookmarkStart w:id="400" w:name="_heading=h.1a346fx" w:colFirst="0" w:colLast="0"/>
      <w:bookmarkEnd w:id="400"/>
      <w:r w:rsidRPr="00B65F7F">
        <w:t>Overview</w:t>
      </w:r>
    </w:p>
    <w:p w14:paraId="6E9C042D" w14:textId="77777777" w:rsidR="00597B5E" w:rsidRPr="00B65F7F" w:rsidRDefault="00597B5E" w:rsidP="00A41213">
      <w:pPr>
        <w:pStyle w:val="BodyText"/>
      </w:pPr>
      <w:r w:rsidRPr="00B65F7F">
        <w:t xml:space="preserve">The NEP is a strategy originally funded by </w:t>
      </w:r>
      <w:r w:rsidR="00840E8D">
        <w:t>DoHAC</w:t>
      </w:r>
      <w:r w:rsidRPr="00B65F7F">
        <w:t xml:space="preserve"> to promote social and emotional wellbeing (SEWB) and reduce incidence of distress and suicide in </w:t>
      </w:r>
      <w:r>
        <w:t>Aboriginal and/or Torres Strait Islander</w:t>
      </w:r>
      <w:r w:rsidRPr="00B65F7F">
        <w:t xml:space="preserve"> communities. In 2012, </w:t>
      </w:r>
      <w:r w:rsidR="00840E8D">
        <w:t>DoHAC</w:t>
      </w:r>
      <w:r w:rsidRPr="00B65F7F">
        <w:t xml:space="preserve"> entered into a funding agreement with the School of Indigenous Studies at the University of Western Australia (UWA) to develop research to support the planning and implementation for the NEP (</w:t>
      </w:r>
      <w:r w:rsidRPr="00DA25BB">
        <w:t>School</w:t>
      </w:r>
      <w:r w:rsidRPr="00B65F7F">
        <w:t xml:space="preserve"> of Indigenous Studies, 2015). </w:t>
      </w:r>
    </w:p>
    <w:p w14:paraId="72593120" w14:textId="77777777" w:rsidR="00597B5E" w:rsidRPr="00B65F7F" w:rsidRDefault="00597B5E" w:rsidP="00A41213">
      <w:pPr>
        <w:pStyle w:val="BodyText"/>
      </w:pPr>
      <w:r w:rsidRPr="00B65F7F">
        <w:t xml:space="preserve">The purpose of the NEP was to work with 11 </w:t>
      </w:r>
      <w:r>
        <w:t>Aboriginal and/or Torres Strait Islander</w:t>
      </w:r>
      <w:r w:rsidRPr="00B65F7F">
        <w:t xml:space="preserve"> communities to identify the key factors negatively impacting the SEWB of individuals, families and communities (</w:t>
      </w:r>
      <w:r w:rsidRPr="00DA25BB">
        <w:t>Dudgeon</w:t>
      </w:r>
      <w:r w:rsidRPr="00B65F7F">
        <w:t xml:space="preserve"> </w:t>
      </w:r>
      <w:r>
        <w:t>et al</w:t>
      </w:r>
      <w:r w:rsidRPr="00B65F7F">
        <w:t xml:space="preserve">., 2014, </w:t>
      </w:r>
      <w:r>
        <w:t>p. </w:t>
      </w:r>
      <w:r w:rsidRPr="00B65F7F">
        <w:t>2). Each community was asked to identify strategies to strengthen the cultural, social and emotional wellbeing of their community which was ‘transferred into meaningful community-driven programs’ (</w:t>
      </w:r>
      <w:r w:rsidRPr="00DA25BB">
        <w:t>Dudgeon</w:t>
      </w:r>
      <w:r w:rsidRPr="00B65F7F">
        <w:t xml:space="preserve"> </w:t>
      </w:r>
      <w:r>
        <w:t>et al</w:t>
      </w:r>
      <w:r w:rsidRPr="00B65F7F">
        <w:t xml:space="preserve">., 2014, </w:t>
      </w:r>
      <w:r>
        <w:t>p. </w:t>
      </w:r>
      <w:r w:rsidRPr="00B65F7F">
        <w:t>2). </w:t>
      </w:r>
    </w:p>
    <w:p w14:paraId="62BE7F5A" w14:textId="77777777" w:rsidR="00597B5E" w:rsidRPr="00DA25BB" w:rsidRDefault="00597B5E" w:rsidP="00A41213">
      <w:pPr>
        <w:pStyle w:val="BodyText"/>
      </w:pPr>
      <w:r w:rsidRPr="00B65F7F">
        <w:t xml:space="preserve">UWA’s School of Indigenous Studies employed a best-practice community-based participatory action research methodology to support communities to identify the primary factors impacting their SEWB and develop pathways to restore and strengthen connections to </w:t>
      </w:r>
      <w:r>
        <w:t>Aboriginal and/or Torres Strait Islander</w:t>
      </w:r>
      <w:r w:rsidRPr="00B65F7F">
        <w:t xml:space="preserve"> domains of SE</w:t>
      </w:r>
      <w:r w:rsidRPr="00DA25BB">
        <w:t>WB (Dudgeon et al., 2014, p. 2). Further to this, the NEP team engaged in formal relationships with local partner organisations – that were predominantly Aboriginal community controlled – and trained 2 members from each community as community consultant co-researchers to carry out focus groups and interviews (Dudgeon et al., 2014, p. 2). Community perspectives ascertained from the NEP consultations identified parameters for how the subsequent NEP programs and services should operate in communities. It was determined that NEP services should be designed and delivered by and with the community; they should employ and build the capacity of local community members and be culturally secure and appropriate (Dudgeon et al., 2014, p. 1). </w:t>
      </w:r>
    </w:p>
    <w:p w14:paraId="41287ABC" w14:textId="77777777" w:rsidR="00597B5E" w:rsidRPr="00B65F7F" w:rsidRDefault="00597B5E" w:rsidP="00A41213">
      <w:pPr>
        <w:pStyle w:val="BodyText"/>
      </w:pPr>
      <w:r w:rsidRPr="00DA25BB">
        <w:t xml:space="preserve">Each NEP program was funded by </w:t>
      </w:r>
      <w:r w:rsidR="00840E8D">
        <w:t>DoHAC</w:t>
      </w:r>
      <w:r w:rsidRPr="00DA25BB">
        <w:t xml:space="preserve"> and is now funded by the WA Primary Health Alliance (WAPHA), and services were commissioned through local PHNs. Six 10-day programs have been established since 2017, each with the aim of promoting the cultural and SEWB of </w:t>
      </w:r>
      <w:r>
        <w:t>Aboriginal and/or Torres Strait Islander</w:t>
      </w:r>
      <w:r w:rsidRPr="00DA25BB">
        <w:t xml:space="preserve"> people, families and communities. The topics explored in the programs included SEWB; connections to kin, culture and history; understanding complex family structures; developing personal strategies to alleviate stress; problem-solving, conflict management, relationships and expertise; and celebrating </w:t>
      </w:r>
      <w:r>
        <w:t>Aboriginal and/or Torres Strait Islander</w:t>
      </w:r>
      <w:r w:rsidRPr="00DA25BB">
        <w:t xml:space="preserve"> peoples and self-determination (Dudgeon</w:t>
      </w:r>
      <w:r w:rsidRPr="00B65F7F">
        <w:t xml:space="preserve"> </w:t>
      </w:r>
      <w:r>
        <w:t>et al</w:t>
      </w:r>
      <w:r w:rsidRPr="00B65F7F">
        <w:t>. 2014). A community reference group (CRG) was formed to provide guidance and assistance during the delivery of NEP programs and strengthen community buy-in and ownership (</w:t>
      </w:r>
      <w:r w:rsidRPr="00DA25BB">
        <w:t>Mia</w:t>
      </w:r>
      <w:r w:rsidRPr="00B65F7F">
        <w:t xml:space="preserve"> </w:t>
      </w:r>
      <w:r>
        <w:t>et al</w:t>
      </w:r>
      <w:r w:rsidRPr="00B65F7F">
        <w:t>., 2017). </w:t>
      </w:r>
    </w:p>
    <w:p w14:paraId="48F94C5F" w14:textId="77777777" w:rsidR="00597B5E" w:rsidRPr="00B65F7F" w:rsidRDefault="00597B5E" w:rsidP="00A41213">
      <w:pPr>
        <w:pStyle w:val="BodyText"/>
      </w:pPr>
      <w:r w:rsidRPr="00B65F7F">
        <w:t>The evaluation methodologies for the NEP programs included Yarning Circles and interv</w:t>
      </w:r>
      <w:r w:rsidRPr="00DA25BB">
        <w:t xml:space="preserve">iews (Abdullah &amp; Coyne, 2019, p. 15; Mia et al., 2017). Additionally, a ‘stories of most significant change’ evaluation methodology was used to ‘determine and measure intangible qualitative indicators of importance’, including improvements in cultural and SEWB </w:t>
      </w:r>
      <w:r w:rsidR="00C44EB9" w:rsidRPr="00DA25BB">
        <w:t>because of</w:t>
      </w:r>
      <w:r w:rsidRPr="00DA25BB">
        <w:t xml:space="preserve"> NEP programs (Abdullah &amp; C</w:t>
      </w:r>
      <w:r w:rsidRPr="00B65F7F">
        <w:t xml:space="preserve">oyne, 2019, </w:t>
      </w:r>
      <w:r>
        <w:t>p. </w:t>
      </w:r>
      <w:r w:rsidRPr="00B65F7F">
        <w:t xml:space="preserve">16; </w:t>
      </w:r>
      <w:r w:rsidRPr="00DA25BB">
        <w:t>Mia</w:t>
      </w:r>
      <w:r w:rsidRPr="00B65F7F">
        <w:t xml:space="preserve"> </w:t>
      </w:r>
      <w:r>
        <w:t>et al</w:t>
      </w:r>
      <w:r w:rsidRPr="00B65F7F">
        <w:t>., 2017). </w:t>
      </w:r>
    </w:p>
    <w:p w14:paraId="1EF3BCB1" w14:textId="77777777" w:rsidR="00597B5E" w:rsidRPr="00B65F7F" w:rsidRDefault="00597B5E" w:rsidP="009912B7">
      <w:pPr>
        <w:pStyle w:val="HeadingLevel3NoNumber"/>
      </w:pPr>
      <w:bookmarkStart w:id="401" w:name="_heading=h.3u2rp3q" w:colFirst="0" w:colLast="0"/>
      <w:bookmarkEnd w:id="401"/>
      <w:r w:rsidRPr="00B65F7F">
        <w:t>Kimberley Aboriginal Suicide Prevention Trial</w:t>
      </w:r>
    </w:p>
    <w:p w14:paraId="079AA686" w14:textId="77777777" w:rsidR="00597B5E" w:rsidRPr="00B65F7F" w:rsidRDefault="00597B5E" w:rsidP="009912B7">
      <w:pPr>
        <w:pStyle w:val="HeadingLevel4NoNumber"/>
      </w:pPr>
      <w:r w:rsidRPr="00B65F7F">
        <w:t>Key findings</w:t>
      </w:r>
    </w:p>
    <w:p w14:paraId="52F31C73" w14:textId="77777777" w:rsidR="00597B5E" w:rsidRPr="00B65F7F" w:rsidRDefault="00597B5E" w:rsidP="00A41213">
      <w:pPr>
        <w:pStyle w:val="ListBullet2"/>
      </w:pPr>
      <w:r w:rsidRPr="00B65F7F">
        <w:rPr>
          <w:rFonts w:eastAsia="Calibri"/>
        </w:rPr>
        <w:t xml:space="preserve">Local </w:t>
      </w:r>
      <w:r>
        <w:rPr>
          <w:rFonts w:eastAsia="Calibri"/>
        </w:rPr>
        <w:t>Aboriginal and/or Torres Strait Islander</w:t>
      </w:r>
      <w:r w:rsidRPr="00B65F7F">
        <w:rPr>
          <w:rFonts w:eastAsia="Calibri"/>
        </w:rPr>
        <w:t xml:space="preserve"> communities were included in </w:t>
      </w:r>
      <w:r w:rsidRPr="00B65F7F">
        <w:t xml:space="preserve">key stages of the commissioning process, including </w:t>
      </w:r>
      <w:r w:rsidRPr="00B65F7F">
        <w:rPr>
          <w:rFonts w:eastAsia="Calibri"/>
        </w:rPr>
        <w:t>in the design, development, delivery and governance of the Kimberley Aboriginal Suicide Prevention Trial (KASPT) activities.</w:t>
      </w:r>
    </w:p>
    <w:p w14:paraId="53974357" w14:textId="77777777" w:rsidR="00597B5E" w:rsidRPr="00B65F7F" w:rsidRDefault="00597B5E" w:rsidP="00A41213">
      <w:pPr>
        <w:pStyle w:val="ListBullet2"/>
      </w:pPr>
      <w:r w:rsidRPr="00B65F7F">
        <w:rPr>
          <w:rFonts w:eastAsia="Calibri"/>
        </w:rPr>
        <w:t>Community involvement and co-design were vital to the successful uptake of KASPT activities.</w:t>
      </w:r>
    </w:p>
    <w:p w14:paraId="6CFF3918" w14:textId="5A463611" w:rsidR="00597B5E" w:rsidRPr="00B65F7F" w:rsidRDefault="004E3ACA" w:rsidP="004E3ACA">
      <w:pPr>
        <w:pStyle w:val="CaptionTable"/>
        <w:rPr>
          <w:rFonts w:eastAsia="Calibri"/>
        </w:rPr>
      </w:pPr>
      <w:bookmarkStart w:id="402" w:name="_heading=h.2981zbj" w:colFirst="0" w:colLast="0"/>
      <w:bookmarkStart w:id="403" w:name="_Toc145604955"/>
      <w:bookmarkStart w:id="404" w:name="_Toc145617827"/>
      <w:bookmarkStart w:id="405" w:name="_Toc156932099"/>
      <w:bookmarkEnd w:id="402"/>
      <w:r>
        <w:t>Table A9.</w:t>
      </w:r>
      <w:r>
        <w:fldChar w:fldCharType="begin"/>
      </w:r>
      <w:r>
        <w:instrText xml:space="preserve"> SEQ Table_A9 \* ARABIC </w:instrText>
      </w:r>
      <w:r>
        <w:fldChar w:fldCharType="separate"/>
      </w:r>
      <w:r w:rsidR="00934D5E">
        <w:rPr>
          <w:noProof/>
        </w:rPr>
        <w:t>6</w:t>
      </w:r>
      <w:r>
        <w:fldChar w:fldCharType="end"/>
      </w:r>
      <w:r w:rsidR="00597B5E">
        <w:t>:</w:t>
      </w:r>
      <w:r w:rsidR="00597B5E" w:rsidRPr="00B65F7F">
        <w:rPr>
          <w:rFonts w:eastAsia="Calibri"/>
        </w:rPr>
        <w:t xml:space="preserve"> Kimberley Aboriginal Suicide Prevention Trial alignment with guiding principles</w:t>
      </w:r>
      <w:bookmarkEnd w:id="403"/>
      <w:bookmarkEnd w:id="404"/>
      <w:bookmarkEnd w:id="405"/>
    </w:p>
    <w:tbl>
      <w:tblPr>
        <w:tblStyle w:val="Newtableforresport"/>
        <w:tblW w:w="9618" w:type="dxa"/>
        <w:tblInd w:w="10" w:type="dxa"/>
        <w:tblLayout w:type="fixed"/>
        <w:tblLook w:val="0420" w:firstRow="1" w:lastRow="0" w:firstColumn="0" w:lastColumn="0" w:noHBand="0" w:noVBand="1"/>
        <w:tblCaption w:val="Table A9.6: Kimberley Aboriginal Suicide Prevention Trial alignment with guiding principles"/>
        <w:tblDescription w:val="The table describes how the guiding principles of funding transition align with the Kimberley Aboriginal Suicide Prevention Trial. The first column lists the guiding principles of funding transition. The second column provides a description of how the Kimberley Aboriginal Suicide Prevention Trial aligns with the relevant guiding principle in the first column. "/>
      </w:tblPr>
      <w:tblGrid>
        <w:gridCol w:w="2825"/>
        <w:gridCol w:w="6793"/>
      </w:tblGrid>
      <w:tr w:rsidR="00597B5E" w:rsidRPr="0043288D" w14:paraId="256ACC2E" w14:textId="77777777" w:rsidTr="009D4C69">
        <w:trPr>
          <w:cnfStyle w:val="100000000000" w:firstRow="1" w:lastRow="0" w:firstColumn="0" w:lastColumn="0" w:oddVBand="0" w:evenVBand="0" w:oddHBand="0" w:evenHBand="0" w:firstRowFirstColumn="0" w:firstRowLastColumn="0" w:lastRowFirstColumn="0" w:lastRowLastColumn="0"/>
          <w:tblHeader/>
        </w:trPr>
        <w:tc>
          <w:tcPr>
            <w:tcW w:w="2825" w:type="dxa"/>
          </w:tcPr>
          <w:p w14:paraId="163E3B6B" w14:textId="77777777" w:rsidR="00597B5E" w:rsidRPr="0043288D" w:rsidRDefault="00597B5E" w:rsidP="00024E8D">
            <w:pPr>
              <w:pStyle w:val="TableHeading"/>
              <w:rPr>
                <w:rFonts w:eastAsia="Calibri"/>
                <w:b w:val="0"/>
              </w:rPr>
            </w:pPr>
            <w:r w:rsidRPr="0043288D">
              <w:rPr>
                <w:rFonts w:eastAsia="Calibri"/>
              </w:rPr>
              <w:t>Guiding principle</w:t>
            </w:r>
          </w:p>
        </w:tc>
        <w:tc>
          <w:tcPr>
            <w:tcW w:w="6793" w:type="dxa"/>
          </w:tcPr>
          <w:p w14:paraId="6C7A2859" w14:textId="77777777" w:rsidR="00597B5E" w:rsidRPr="0043288D" w:rsidRDefault="00597B5E" w:rsidP="00024E8D">
            <w:pPr>
              <w:pStyle w:val="TableHeading"/>
              <w:rPr>
                <w:rFonts w:eastAsia="Calibri"/>
                <w:b w:val="0"/>
              </w:rPr>
            </w:pPr>
            <w:r w:rsidRPr="0043288D">
              <w:rPr>
                <w:rFonts w:eastAsia="Calibri"/>
              </w:rPr>
              <w:t>Description</w:t>
            </w:r>
          </w:p>
        </w:tc>
      </w:tr>
      <w:tr w:rsidR="00597B5E" w:rsidRPr="00B65F7F" w14:paraId="41CEFE24" w14:textId="77777777" w:rsidTr="006F6DD1">
        <w:trPr>
          <w:cnfStyle w:val="000000100000" w:firstRow="0" w:lastRow="0" w:firstColumn="0" w:lastColumn="0" w:oddVBand="0" w:evenVBand="0" w:oddHBand="1" w:evenHBand="0" w:firstRowFirstColumn="0" w:firstRowLastColumn="0" w:lastRowFirstColumn="0" w:lastRowLastColumn="0"/>
        </w:trPr>
        <w:tc>
          <w:tcPr>
            <w:tcW w:w="2825" w:type="dxa"/>
          </w:tcPr>
          <w:p w14:paraId="0D27BF21" w14:textId="77777777" w:rsidR="00597B5E" w:rsidRPr="00B65F7F" w:rsidRDefault="00597B5E" w:rsidP="00A41213">
            <w:pPr>
              <w:pStyle w:val="TableText"/>
              <w:rPr>
                <w:rFonts w:eastAsia="Calibri"/>
              </w:rPr>
            </w:pPr>
            <w:r w:rsidRPr="00B65F7F">
              <w:rPr>
                <w:rFonts w:eastAsia="Calibri"/>
              </w:rPr>
              <w:t>Indigenous self-determination</w:t>
            </w:r>
          </w:p>
        </w:tc>
        <w:tc>
          <w:tcPr>
            <w:tcW w:w="6793" w:type="dxa"/>
            <w:vMerge w:val="restart"/>
          </w:tcPr>
          <w:p w14:paraId="48DC143A" w14:textId="77777777" w:rsidR="00597B5E" w:rsidRPr="00B65F7F" w:rsidRDefault="00597B5E" w:rsidP="00A41213">
            <w:pPr>
              <w:pStyle w:val="TableText"/>
              <w:rPr>
                <w:rFonts w:eastAsia="Calibri"/>
              </w:rPr>
            </w:pPr>
            <w:r w:rsidRPr="00B65F7F">
              <w:rPr>
                <w:rFonts w:eastAsia="Calibri"/>
              </w:rPr>
              <w:t xml:space="preserve">The KASPT activities were co-designed and developed by and for Kimberley </w:t>
            </w:r>
            <w:r>
              <w:rPr>
                <w:rFonts w:eastAsia="Calibri"/>
              </w:rPr>
              <w:t>Aboriginal and/or Torres Strait Islander</w:t>
            </w:r>
            <w:r w:rsidRPr="00B65F7F">
              <w:rPr>
                <w:rFonts w:eastAsia="Calibri"/>
              </w:rPr>
              <w:t xml:space="preserve"> communities. KASPT was delivered by </w:t>
            </w:r>
            <w:r>
              <w:rPr>
                <w:rFonts w:eastAsia="Calibri"/>
              </w:rPr>
              <w:t>Aboriginal and/or Torres Strait Islander</w:t>
            </w:r>
            <w:r w:rsidRPr="00B65F7F">
              <w:rPr>
                <w:rFonts w:eastAsia="Calibri"/>
              </w:rPr>
              <w:t xml:space="preserve"> community-controlled organisations and was governed by an </w:t>
            </w:r>
            <w:r>
              <w:rPr>
                <w:rFonts w:eastAsia="Calibri"/>
              </w:rPr>
              <w:t>Aboriginal and/or Torres Strait Islander</w:t>
            </w:r>
            <w:r w:rsidRPr="00B65F7F">
              <w:rPr>
                <w:rFonts w:eastAsia="Calibri"/>
              </w:rPr>
              <w:t>-led Working Group. Funds were allocated by the Aboriginal and Torres-Strait Islander-led Working Group.</w:t>
            </w:r>
          </w:p>
          <w:p w14:paraId="3E00DA99" w14:textId="77777777" w:rsidR="00597B5E" w:rsidRPr="00B65F7F" w:rsidRDefault="00597B5E" w:rsidP="00A41213">
            <w:pPr>
              <w:pStyle w:val="TableText"/>
              <w:rPr>
                <w:rFonts w:eastAsia="Calibri"/>
              </w:rPr>
            </w:pPr>
            <w:r w:rsidRPr="00B65F7F">
              <w:rPr>
                <w:rFonts w:eastAsia="Calibri"/>
              </w:rPr>
              <w:t>Additionally, funds were managed and allocated through the Aboriginal Working Group – in partnership with local communities</w:t>
            </w:r>
            <w:r w:rsidRPr="00B65F7F">
              <w:t>.</w:t>
            </w:r>
          </w:p>
        </w:tc>
      </w:tr>
      <w:tr w:rsidR="00597B5E" w:rsidRPr="00B65F7F" w14:paraId="45E0377C" w14:textId="77777777" w:rsidTr="006F6DD1">
        <w:trPr>
          <w:cnfStyle w:val="000000010000" w:firstRow="0" w:lastRow="0" w:firstColumn="0" w:lastColumn="0" w:oddVBand="0" w:evenVBand="0" w:oddHBand="0" w:evenHBand="1" w:firstRowFirstColumn="0" w:firstRowLastColumn="0" w:lastRowFirstColumn="0" w:lastRowLastColumn="0"/>
        </w:trPr>
        <w:tc>
          <w:tcPr>
            <w:tcW w:w="2825" w:type="dxa"/>
          </w:tcPr>
          <w:p w14:paraId="3CF88DC2" w14:textId="77777777" w:rsidR="00597B5E" w:rsidRPr="00B65F7F" w:rsidRDefault="00597B5E" w:rsidP="00A41213">
            <w:pPr>
              <w:pStyle w:val="TableText"/>
              <w:rPr>
                <w:rFonts w:eastAsia="Calibri"/>
              </w:rPr>
            </w:pPr>
            <w:r w:rsidRPr="00B65F7F">
              <w:rPr>
                <w:rFonts w:eastAsia="Calibri"/>
              </w:rPr>
              <w:t>Community partnerships, co-design and ownership</w:t>
            </w:r>
          </w:p>
        </w:tc>
        <w:tc>
          <w:tcPr>
            <w:tcW w:w="6793" w:type="dxa"/>
            <w:vMerge/>
          </w:tcPr>
          <w:p w14:paraId="26632DC9" w14:textId="77777777" w:rsidR="00597B5E" w:rsidRPr="00B65F7F" w:rsidRDefault="00597B5E" w:rsidP="00A41213">
            <w:pPr>
              <w:pStyle w:val="TableText"/>
              <w:rPr>
                <w:rFonts w:eastAsia="Calibri"/>
              </w:rPr>
            </w:pPr>
          </w:p>
        </w:tc>
      </w:tr>
      <w:tr w:rsidR="00597B5E" w:rsidRPr="00B65F7F" w14:paraId="32E86D86" w14:textId="77777777" w:rsidTr="006F6DD1">
        <w:trPr>
          <w:cnfStyle w:val="000000100000" w:firstRow="0" w:lastRow="0" w:firstColumn="0" w:lastColumn="0" w:oddVBand="0" w:evenVBand="0" w:oddHBand="1" w:evenHBand="0" w:firstRowFirstColumn="0" w:firstRowLastColumn="0" w:lastRowFirstColumn="0" w:lastRowLastColumn="0"/>
        </w:trPr>
        <w:tc>
          <w:tcPr>
            <w:tcW w:w="2825" w:type="dxa"/>
          </w:tcPr>
          <w:p w14:paraId="45BD641E" w14:textId="77777777" w:rsidR="00597B5E" w:rsidRPr="00B65F7F" w:rsidRDefault="00597B5E" w:rsidP="00A41213">
            <w:pPr>
              <w:pStyle w:val="TableText"/>
              <w:rPr>
                <w:rFonts w:eastAsia="Calibri"/>
              </w:rPr>
            </w:pPr>
            <w:r w:rsidRPr="00B65F7F">
              <w:rPr>
                <w:rFonts w:eastAsia="Calibri"/>
              </w:rPr>
              <w:t>Strengths-based and place-based approaches</w:t>
            </w:r>
          </w:p>
        </w:tc>
        <w:tc>
          <w:tcPr>
            <w:tcW w:w="6793" w:type="dxa"/>
            <w:vMerge/>
          </w:tcPr>
          <w:p w14:paraId="0DB6A519" w14:textId="77777777" w:rsidR="00597B5E" w:rsidRPr="00B65F7F" w:rsidRDefault="00597B5E" w:rsidP="00A41213">
            <w:pPr>
              <w:pStyle w:val="TableText"/>
              <w:rPr>
                <w:rFonts w:eastAsia="Calibri"/>
              </w:rPr>
            </w:pPr>
          </w:p>
        </w:tc>
      </w:tr>
      <w:tr w:rsidR="00597B5E" w:rsidRPr="00B65F7F" w14:paraId="5C01905C" w14:textId="77777777" w:rsidTr="006F6DD1">
        <w:trPr>
          <w:cnfStyle w:val="000000010000" w:firstRow="0" w:lastRow="0" w:firstColumn="0" w:lastColumn="0" w:oddVBand="0" w:evenVBand="0" w:oddHBand="0" w:evenHBand="1" w:firstRowFirstColumn="0" w:firstRowLastColumn="0" w:lastRowFirstColumn="0" w:lastRowLastColumn="0"/>
        </w:trPr>
        <w:tc>
          <w:tcPr>
            <w:tcW w:w="2825" w:type="dxa"/>
          </w:tcPr>
          <w:p w14:paraId="19BE856C" w14:textId="77777777" w:rsidR="00597B5E" w:rsidRPr="00B65F7F" w:rsidRDefault="00597B5E" w:rsidP="00A41213">
            <w:pPr>
              <w:pStyle w:val="TableText"/>
              <w:rPr>
                <w:rFonts w:eastAsia="Calibri"/>
              </w:rPr>
            </w:pPr>
            <w:r w:rsidRPr="00B65F7F">
              <w:rPr>
                <w:rFonts w:eastAsia="Calibri"/>
              </w:rPr>
              <w:t>Indigenous governance and leadership</w:t>
            </w:r>
          </w:p>
        </w:tc>
        <w:tc>
          <w:tcPr>
            <w:tcW w:w="6793" w:type="dxa"/>
          </w:tcPr>
          <w:p w14:paraId="3D114E9C" w14:textId="77777777" w:rsidR="00597B5E" w:rsidRPr="00B65F7F" w:rsidRDefault="00597B5E" w:rsidP="00A41213">
            <w:pPr>
              <w:pStyle w:val="TableText"/>
              <w:rPr>
                <w:rFonts w:eastAsia="Calibri"/>
              </w:rPr>
            </w:pPr>
            <w:r w:rsidRPr="00B65F7F">
              <w:rPr>
                <w:rFonts w:eastAsia="Calibri"/>
              </w:rPr>
              <w:t xml:space="preserve">The KASPT Working Group included representatives from critical partner agencies, </w:t>
            </w:r>
            <w:r>
              <w:rPr>
                <w:rFonts w:eastAsia="Calibri"/>
              </w:rPr>
              <w:t>6</w:t>
            </w:r>
            <w:r w:rsidRPr="00B65F7F">
              <w:rPr>
                <w:rFonts w:eastAsia="Calibri"/>
              </w:rPr>
              <w:t xml:space="preserve"> major Kimberley towns and respected leaders and Elders.</w:t>
            </w:r>
          </w:p>
        </w:tc>
      </w:tr>
      <w:tr w:rsidR="00597B5E" w:rsidRPr="00B65F7F" w14:paraId="147BC5C2" w14:textId="77777777" w:rsidTr="006F6DD1">
        <w:trPr>
          <w:cnfStyle w:val="000000100000" w:firstRow="0" w:lastRow="0" w:firstColumn="0" w:lastColumn="0" w:oddVBand="0" w:evenVBand="0" w:oddHBand="1" w:evenHBand="0" w:firstRowFirstColumn="0" w:firstRowLastColumn="0" w:lastRowFirstColumn="0" w:lastRowLastColumn="0"/>
        </w:trPr>
        <w:tc>
          <w:tcPr>
            <w:tcW w:w="2825" w:type="dxa"/>
          </w:tcPr>
          <w:p w14:paraId="430C0385" w14:textId="77777777" w:rsidR="00597B5E" w:rsidRPr="00B65F7F" w:rsidRDefault="00597B5E" w:rsidP="00A41213">
            <w:pPr>
              <w:pStyle w:val="TableText"/>
              <w:rPr>
                <w:rFonts w:eastAsia="Calibri"/>
              </w:rPr>
            </w:pPr>
            <w:r w:rsidRPr="00B65F7F">
              <w:rPr>
                <w:rFonts w:eastAsia="Calibri"/>
              </w:rPr>
              <w:t>Holistic understandings of Indigenous health and wellbeing</w:t>
            </w:r>
          </w:p>
        </w:tc>
        <w:tc>
          <w:tcPr>
            <w:tcW w:w="6793" w:type="dxa"/>
          </w:tcPr>
          <w:p w14:paraId="3EEFE6F3" w14:textId="77777777" w:rsidR="00597B5E" w:rsidRPr="00B65F7F" w:rsidRDefault="00597B5E" w:rsidP="00A41213">
            <w:pPr>
              <w:pStyle w:val="TableText"/>
              <w:rPr>
                <w:rFonts w:eastAsia="Calibri"/>
              </w:rPr>
            </w:pPr>
            <w:r w:rsidRPr="00B65F7F">
              <w:rPr>
                <w:rFonts w:eastAsia="Calibri"/>
              </w:rPr>
              <w:t xml:space="preserve">The KASPT ultimately ‘recognised the need for connection to culture to start the healing process’ to address disproportionate rates of </w:t>
            </w:r>
            <w:r>
              <w:rPr>
                <w:rFonts w:eastAsia="Calibri"/>
              </w:rPr>
              <w:t>Aboriginal and/or Torres Strait Islander</w:t>
            </w:r>
            <w:r w:rsidRPr="00B65F7F">
              <w:rPr>
                <w:rFonts w:eastAsia="Calibri"/>
              </w:rPr>
              <w:t xml:space="preserve"> suicide (</w:t>
            </w:r>
            <w:r w:rsidRPr="00DA25BB">
              <w:rPr>
                <w:rFonts w:eastAsia="Calibri"/>
              </w:rPr>
              <w:t>Currier</w:t>
            </w:r>
            <w:r w:rsidRPr="00B65F7F">
              <w:rPr>
                <w:rFonts w:eastAsia="Calibri"/>
              </w:rPr>
              <w:t xml:space="preserve"> </w:t>
            </w:r>
            <w:r>
              <w:rPr>
                <w:rFonts w:eastAsia="Calibri"/>
              </w:rPr>
              <w:t>et al</w:t>
            </w:r>
            <w:r w:rsidRPr="00B65F7F">
              <w:rPr>
                <w:rFonts w:eastAsia="Calibri"/>
              </w:rPr>
              <w:t xml:space="preserve">., 2020, </w:t>
            </w:r>
            <w:r>
              <w:rPr>
                <w:rFonts w:eastAsia="Calibri"/>
              </w:rPr>
              <w:t>p. </w:t>
            </w:r>
            <w:r w:rsidRPr="00B65F7F">
              <w:rPr>
                <w:rFonts w:eastAsia="Calibri"/>
              </w:rPr>
              <w:t xml:space="preserve">60). The KASPT activities were healing-informed and trauma-informed and centred SEWB (Currier </w:t>
            </w:r>
            <w:r>
              <w:rPr>
                <w:rFonts w:eastAsia="Calibri"/>
              </w:rPr>
              <w:t>et al</w:t>
            </w:r>
            <w:r w:rsidRPr="00B65F7F">
              <w:rPr>
                <w:rFonts w:eastAsia="Calibri"/>
              </w:rPr>
              <w:t xml:space="preserve">., 2020, </w:t>
            </w:r>
            <w:r>
              <w:rPr>
                <w:rFonts w:eastAsia="Calibri"/>
              </w:rPr>
              <w:t>p. </w:t>
            </w:r>
            <w:r w:rsidRPr="00B65F7F">
              <w:rPr>
                <w:rFonts w:eastAsia="Calibri"/>
              </w:rPr>
              <w:t>60). </w:t>
            </w:r>
          </w:p>
        </w:tc>
      </w:tr>
      <w:tr w:rsidR="00597B5E" w:rsidRPr="00B65F7F" w14:paraId="6F4A14BA" w14:textId="77777777" w:rsidTr="006F6DD1">
        <w:trPr>
          <w:cnfStyle w:val="000000010000" w:firstRow="0" w:lastRow="0" w:firstColumn="0" w:lastColumn="0" w:oddVBand="0" w:evenVBand="0" w:oddHBand="0" w:evenHBand="1" w:firstRowFirstColumn="0" w:firstRowLastColumn="0" w:lastRowFirstColumn="0" w:lastRowLastColumn="0"/>
        </w:trPr>
        <w:tc>
          <w:tcPr>
            <w:tcW w:w="2825" w:type="dxa"/>
          </w:tcPr>
          <w:p w14:paraId="6B5E4FE8" w14:textId="77777777" w:rsidR="00597B5E" w:rsidRPr="00B65F7F" w:rsidRDefault="00597B5E" w:rsidP="00A41213">
            <w:pPr>
              <w:pStyle w:val="TableText"/>
              <w:rPr>
                <w:rFonts w:eastAsia="Calibri"/>
              </w:rPr>
            </w:pPr>
            <w:r w:rsidRPr="00B65F7F">
              <w:rPr>
                <w:rFonts w:eastAsia="Calibri"/>
              </w:rPr>
              <w:t>Culturally safe and responsive healthcare</w:t>
            </w:r>
          </w:p>
        </w:tc>
        <w:tc>
          <w:tcPr>
            <w:tcW w:w="6793" w:type="dxa"/>
          </w:tcPr>
          <w:p w14:paraId="1C2C6C79" w14:textId="77777777" w:rsidR="00597B5E" w:rsidRPr="00B65F7F" w:rsidRDefault="00597B5E" w:rsidP="00A41213">
            <w:pPr>
              <w:pStyle w:val="TableText"/>
              <w:rPr>
                <w:rFonts w:eastAsia="Calibri"/>
              </w:rPr>
            </w:pPr>
            <w:r>
              <w:rPr>
                <w:rFonts w:eastAsia="Calibri"/>
              </w:rPr>
              <w:t>Aboriginal and/or Torres Strait Islander</w:t>
            </w:r>
            <w:r w:rsidRPr="00B65F7F">
              <w:rPr>
                <w:rFonts w:eastAsia="Calibri"/>
              </w:rPr>
              <w:t xml:space="preserve"> community-controlled organisations were contracted to undertake the KASPT activities and ‘ensure trust and cultural safety were established’ (Currier </w:t>
            </w:r>
            <w:r>
              <w:rPr>
                <w:rFonts w:eastAsia="Calibri"/>
              </w:rPr>
              <w:t>et al</w:t>
            </w:r>
            <w:r w:rsidRPr="00B65F7F">
              <w:rPr>
                <w:rFonts w:eastAsia="Calibri"/>
              </w:rPr>
              <w:t xml:space="preserve">., 2020, </w:t>
            </w:r>
            <w:r>
              <w:rPr>
                <w:rFonts w:eastAsia="Calibri"/>
              </w:rPr>
              <w:t>p. </w:t>
            </w:r>
            <w:r w:rsidRPr="00B65F7F">
              <w:rPr>
                <w:rFonts w:eastAsia="Calibri"/>
              </w:rPr>
              <w:t>60). </w:t>
            </w:r>
          </w:p>
        </w:tc>
      </w:tr>
      <w:tr w:rsidR="00597B5E" w:rsidRPr="00B65F7F" w14:paraId="03D913B2" w14:textId="77777777" w:rsidTr="006F6DD1">
        <w:trPr>
          <w:cnfStyle w:val="000000100000" w:firstRow="0" w:lastRow="0" w:firstColumn="0" w:lastColumn="0" w:oddVBand="0" w:evenVBand="0" w:oddHBand="1" w:evenHBand="0" w:firstRowFirstColumn="0" w:firstRowLastColumn="0" w:lastRowFirstColumn="0" w:lastRowLastColumn="0"/>
        </w:trPr>
        <w:tc>
          <w:tcPr>
            <w:tcW w:w="2825" w:type="dxa"/>
          </w:tcPr>
          <w:p w14:paraId="080A1B4F" w14:textId="77777777" w:rsidR="00597B5E" w:rsidRPr="00B65F7F" w:rsidRDefault="00597B5E" w:rsidP="00A41213">
            <w:pPr>
              <w:pStyle w:val="TableText"/>
              <w:rPr>
                <w:rFonts w:eastAsia="Calibri"/>
              </w:rPr>
            </w:pPr>
            <w:r w:rsidRPr="00B65F7F">
              <w:rPr>
                <w:rFonts w:eastAsia="Calibri"/>
              </w:rPr>
              <w:t>Systems-based approach</w:t>
            </w:r>
          </w:p>
        </w:tc>
        <w:tc>
          <w:tcPr>
            <w:tcW w:w="6793" w:type="dxa"/>
          </w:tcPr>
          <w:p w14:paraId="06C66338" w14:textId="77777777" w:rsidR="00597B5E" w:rsidRPr="00B65F7F" w:rsidRDefault="00597B5E" w:rsidP="00A41213">
            <w:pPr>
              <w:pStyle w:val="TableText"/>
              <w:rPr>
                <w:rFonts w:eastAsia="Calibri"/>
              </w:rPr>
            </w:pPr>
            <w:r w:rsidRPr="00B65F7F">
              <w:rPr>
                <w:rFonts w:eastAsia="Calibri"/>
              </w:rPr>
              <w:t>The KASPT suggests that a holistic, systems-based approach to reducing suicide and self-harm is possible and feasible in Aboriginal communities (</w:t>
            </w:r>
            <w:r w:rsidRPr="00DA25BB">
              <w:rPr>
                <w:rFonts w:eastAsia="Calibri"/>
              </w:rPr>
              <w:t>Impact</w:t>
            </w:r>
            <w:r w:rsidRPr="00B65F7F">
              <w:rPr>
                <w:rFonts w:eastAsia="Calibri"/>
              </w:rPr>
              <w:t xml:space="preserve"> Co., 2021, </w:t>
            </w:r>
            <w:r>
              <w:rPr>
                <w:rFonts w:eastAsia="Calibri"/>
              </w:rPr>
              <w:t>p. </w:t>
            </w:r>
            <w:r w:rsidRPr="00B65F7F">
              <w:rPr>
                <w:rFonts w:eastAsia="Calibri"/>
              </w:rPr>
              <w:t>8).</w:t>
            </w:r>
          </w:p>
        </w:tc>
      </w:tr>
    </w:tbl>
    <w:p w14:paraId="39D5378E" w14:textId="77777777" w:rsidR="00597B5E" w:rsidRPr="00B65F7F" w:rsidRDefault="00597B5E" w:rsidP="009912B7">
      <w:pPr>
        <w:pStyle w:val="HeadingLevel4NoNumber"/>
        <w:rPr>
          <w:rFonts w:ascii="Calibri" w:eastAsia="Calibri" w:hAnsi="Calibri" w:cs="Calibri"/>
          <w:i/>
          <w:color w:val="000000"/>
          <w:szCs w:val="22"/>
        </w:rPr>
      </w:pPr>
      <w:r w:rsidRPr="00D36184">
        <w:t>Overview</w:t>
      </w:r>
    </w:p>
    <w:p w14:paraId="43C11CA6" w14:textId="77777777" w:rsidR="00597B5E" w:rsidRPr="00B65F7F" w:rsidRDefault="00597B5E" w:rsidP="00A41213">
      <w:pPr>
        <w:pStyle w:val="BodyText"/>
      </w:pPr>
      <w:r w:rsidRPr="00B65F7F">
        <w:t xml:space="preserve">The Kimberley region – home to over 40% of Western Australia’s </w:t>
      </w:r>
      <w:r>
        <w:t>Aboriginal and/or Torres Strait Islander</w:t>
      </w:r>
      <w:r w:rsidRPr="00B65F7F">
        <w:t xml:space="preserve"> population – was one of 12 sites across Australia selected by the Australian Government for the National Suicide Prevention Trial (</w:t>
      </w:r>
      <w:r w:rsidRPr="00DA25BB">
        <w:t>Department</w:t>
      </w:r>
      <w:r w:rsidRPr="00B65F7F">
        <w:t xml:space="preserve"> of Communities, 2022). The KAPST developed a model of suicide prevention that responded to the needs of the Kimberley region’s </w:t>
      </w:r>
      <w:r>
        <w:t>Aboriginal and/or Torres Strait Islander</w:t>
      </w:r>
      <w:r w:rsidRPr="00B65F7F">
        <w:t xml:space="preserve"> communities through a systems-based approach to suicide prevention (Impact Co., 2021). </w:t>
      </w:r>
    </w:p>
    <w:p w14:paraId="6274F2E1" w14:textId="77777777" w:rsidR="00597B5E" w:rsidRPr="00B65F7F" w:rsidRDefault="00597B5E" w:rsidP="00A41213">
      <w:pPr>
        <w:pStyle w:val="BodyText"/>
      </w:pPr>
      <w:r w:rsidRPr="00B65F7F">
        <w:t xml:space="preserve">The Australian Government initially invested $5M into the KAPST over </w:t>
      </w:r>
      <w:r>
        <w:t>5</w:t>
      </w:r>
      <w:r w:rsidRPr="00B65F7F">
        <w:t xml:space="preserve"> years, which funded over 45 activities across </w:t>
      </w:r>
      <w:r>
        <w:t>9</w:t>
      </w:r>
      <w:r w:rsidRPr="00B65F7F">
        <w:t xml:space="preserve"> Kimberley communities. The KASPT was commissioned by WA Primary Health Alliance (WAPHA) and Country WA Primary Health Network in partnership with Kimberley Aboriginal Medical Services (KAMS)</w:t>
      </w:r>
      <w:r>
        <w:t>,</w:t>
      </w:r>
      <w:r w:rsidRPr="00B65F7F">
        <w:t xml:space="preserve"> </w:t>
      </w:r>
      <w:r>
        <w:t>which</w:t>
      </w:r>
      <w:r w:rsidRPr="00B65F7F">
        <w:t xml:space="preserve"> acted as the trial coordinator (Impact Co., 2021). </w:t>
      </w:r>
      <w:r>
        <w:t>Aboriginal and/or Torres Strait Islander</w:t>
      </w:r>
      <w:r w:rsidRPr="00B65F7F">
        <w:t xml:space="preserve"> community-controlled organisations were contracted to deliver services, which established trust and cultural safety (Currier </w:t>
      </w:r>
      <w:r>
        <w:t>et al</w:t>
      </w:r>
      <w:r w:rsidRPr="00B65F7F">
        <w:t xml:space="preserve">., 2020, </w:t>
      </w:r>
      <w:r>
        <w:t>p. </w:t>
      </w:r>
      <w:r w:rsidRPr="00B65F7F">
        <w:t xml:space="preserve">60). With the support of a </w:t>
      </w:r>
      <w:r>
        <w:t>c</w:t>
      </w:r>
      <w:r w:rsidRPr="00B65F7F">
        <w:t xml:space="preserve">ommunity </w:t>
      </w:r>
      <w:r>
        <w:t>l</w:t>
      </w:r>
      <w:r w:rsidRPr="00B65F7F">
        <w:t xml:space="preserve">iaison </w:t>
      </w:r>
      <w:r>
        <w:t>o</w:t>
      </w:r>
      <w:r w:rsidRPr="00B65F7F">
        <w:t xml:space="preserve">ffice, each community designed and delivered a range of wellbeing and suicide prevention activities, including ‘On Country Camps, life promotion campaigns, Social and Emotional Wellbeing and Healing activities and suicide prevention leadership and education programs’ (Impact Co., 2021, </w:t>
      </w:r>
      <w:r>
        <w:t>p. </w:t>
      </w:r>
      <w:r w:rsidRPr="00B65F7F">
        <w:t xml:space="preserve">4). These activities were underpinned by the importance of connection to culture to healing processes and were place-based and developed by and for Kimberley </w:t>
      </w:r>
      <w:r>
        <w:t>Aboriginal and/or Torres Strait Islander</w:t>
      </w:r>
      <w:r w:rsidRPr="00B65F7F">
        <w:t xml:space="preserve"> communities (Currier </w:t>
      </w:r>
      <w:r>
        <w:t>et al</w:t>
      </w:r>
      <w:r w:rsidRPr="00B65F7F">
        <w:t xml:space="preserve">., 2020, </w:t>
      </w:r>
      <w:r>
        <w:t>p. </w:t>
      </w:r>
      <w:r w:rsidRPr="00B65F7F">
        <w:t>60). </w:t>
      </w:r>
    </w:p>
    <w:p w14:paraId="3B969521" w14:textId="77777777" w:rsidR="00597B5E" w:rsidRPr="00B65F7F" w:rsidRDefault="00597B5E" w:rsidP="00A41213">
      <w:pPr>
        <w:pStyle w:val="BodyText"/>
      </w:pPr>
      <w:r w:rsidRPr="00B65F7F">
        <w:t xml:space="preserve">The approach to community co-design and engagement facilitated community buy-in, supported community self-determination and ownership and ultimately contributed to the uptake of KAPST activities (Impact Co., 2021, </w:t>
      </w:r>
      <w:r>
        <w:t>p. </w:t>
      </w:r>
      <w:r w:rsidRPr="00B65F7F">
        <w:t xml:space="preserve">55). Additionally, the KAPST governance structures enabled the provision of activities and services that were led by and centred Kimberley </w:t>
      </w:r>
      <w:r>
        <w:t>Aboriginal and/or Torres Strait Islander</w:t>
      </w:r>
      <w:r w:rsidRPr="00B65F7F">
        <w:t xml:space="preserve"> community. The KASPT Working Group included representatives from critical partner agencies and </w:t>
      </w:r>
      <w:r>
        <w:t>6</w:t>
      </w:r>
      <w:r w:rsidRPr="00B65F7F">
        <w:t xml:space="preserve"> major Kimberley towns – including Elders – who identified key issues of concern and provided advice on the commissioned activities and services (Impact Co., 2021). The Working Group also embedded traditional and cultural knowledge systems and protocols as part of their governance (Currier </w:t>
      </w:r>
      <w:r>
        <w:t>et al</w:t>
      </w:r>
      <w:r w:rsidRPr="00B65F7F">
        <w:t xml:space="preserve">., 2020, </w:t>
      </w:r>
      <w:r>
        <w:t>p. </w:t>
      </w:r>
      <w:r w:rsidRPr="00B65F7F">
        <w:t>60). The KASPT Steering Group was held accountable by the KASPT Working Group and oversaw the implementation and evaluation of the KASPT in alignment with the agreed ATSISPEP Framework.</w:t>
      </w:r>
    </w:p>
    <w:p w14:paraId="1AE3E257" w14:textId="77777777" w:rsidR="00597B5E" w:rsidRPr="00B65F7F" w:rsidRDefault="00597B5E" w:rsidP="009912B7">
      <w:pPr>
        <w:pStyle w:val="HeadingLevel3NoNumber"/>
      </w:pPr>
      <w:bookmarkStart w:id="406" w:name="_heading=h.odc9jc" w:colFirst="0" w:colLast="0"/>
      <w:bookmarkEnd w:id="406"/>
      <w:r w:rsidRPr="00B65F7F">
        <w:t>Social and Emotional Wellbeing Model of Service pilot program</w:t>
      </w:r>
    </w:p>
    <w:p w14:paraId="336EE4CB" w14:textId="77777777" w:rsidR="00597B5E" w:rsidRPr="00B65F7F" w:rsidRDefault="00597B5E" w:rsidP="009912B7">
      <w:pPr>
        <w:pStyle w:val="HeadingLevel4NoNumber"/>
      </w:pPr>
      <w:r w:rsidRPr="00B65F7F">
        <w:t>Key findings</w:t>
      </w:r>
    </w:p>
    <w:p w14:paraId="404C1AA2" w14:textId="77777777" w:rsidR="00597B5E" w:rsidRPr="00B65F7F" w:rsidRDefault="00597B5E" w:rsidP="00A41213">
      <w:pPr>
        <w:pStyle w:val="ListBullet2"/>
      </w:pPr>
      <w:r w:rsidRPr="00B65F7F">
        <w:rPr>
          <w:rFonts w:eastAsia="Calibri"/>
        </w:rPr>
        <w:t xml:space="preserve">Aboriginal </w:t>
      </w:r>
      <w:r w:rsidR="00B4347D">
        <w:rPr>
          <w:rFonts w:eastAsia="Calibri"/>
        </w:rPr>
        <w:t>c</w:t>
      </w:r>
      <w:r w:rsidRPr="00B65F7F">
        <w:rPr>
          <w:rFonts w:eastAsia="Calibri"/>
        </w:rPr>
        <w:t>ommunity-</w:t>
      </w:r>
      <w:r w:rsidR="00B4347D">
        <w:rPr>
          <w:rFonts w:eastAsia="Calibri"/>
        </w:rPr>
        <w:t>c</w:t>
      </w:r>
      <w:r w:rsidRPr="00B65F7F">
        <w:rPr>
          <w:rFonts w:eastAsia="Calibri"/>
        </w:rPr>
        <w:t xml:space="preserve">ontrolled </w:t>
      </w:r>
      <w:r w:rsidR="00B4347D">
        <w:rPr>
          <w:rFonts w:eastAsia="Calibri"/>
        </w:rPr>
        <w:t>h</w:t>
      </w:r>
      <w:r w:rsidRPr="00B65F7F">
        <w:rPr>
          <w:rFonts w:eastAsia="Calibri"/>
        </w:rPr>
        <w:t xml:space="preserve">ealth </w:t>
      </w:r>
      <w:r w:rsidR="00B4347D">
        <w:rPr>
          <w:rFonts w:eastAsia="Calibri"/>
        </w:rPr>
        <w:t>s</w:t>
      </w:r>
      <w:r w:rsidRPr="00B65F7F">
        <w:rPr>
          <w:rFonts w:eastAsia="Calibri"/>
        </w:rPr>
        <w:t xml:space="preserve">ervices (ACCHSs) and Aboriginal </w:t>
      </w:r>
      <w:r w:rsidR="00B4347D">
        <w:rPr>
          <w:rFonts w:eastAsia="Calibri"/>
        </w:rPr>
        <w:t>m</w:t>
      </w:r>
      <w:r w:rsidRPr="00B65F7F">
        <w:rPr>
          <w:rFonts w:eastAsia="Calibri"/>
        </w:rPr>
        <w:t xml:space="preserve">edical </w:t>
      </w:r>
      <w:r w:rsidR="00B4347D">
        <w:rPr>
          <w:rFonts w:eastAsia="Calibri"/>
        </w:rPr>
        <w:t>s</w:t>
      </w:r>
      <w:r w:rsidRPr="00B65F7F">
        <w:rPr>
          <w:rFonts w:eastAsia="Calibri"/>
        </w:rPr>
        <w:t>ervices (AMSs) were posited as organisations that ‘know their communities and the importance of providing culturally secure and holistic healthcare’ (</w:t>
      </w:r>
      <w:r w:rsidRPr="00DA25BB">
        <w:rPr>
          <w:rFonts w:eastAsia="Calibri"/>
        </w:rPr>
        <w:t>Government</w:t>
      </w:r>
      <w:r w:rsidRPr="00B65F7F">
        <w:rPr>
          <w:rFonts w:eastAsia="Calibri"/>
        </w:rPr>
        <w:t xml:space="preserve"> of Western Australia, 2022a).</w:t>
      </w:r>
    </w:p>
    <w:p w14:paraId="42A69F5B" w14:textId="7CE21285" w:rsidR="00597B5E" w:rsidRPr="00B65F7F" w:rsidRDefault="004E3ACA" w:rsidP="004E3ACA">
      <w:pPr>
        <w:pStyle w:val="CaptionTable"/>
        <w:rPr>
          <w:rFonts w:eastAsia="Calibri"/>
        </w:rPr>
      </w:pPr>
      <w:bookmarkStart w:id="407" w:name="_heading=h.38czs75" w:colFirst="0" w:colLast="0"/>
      <w:bookmarkStart w:id="408" w:name="_Toc145604956"/>
      <w:bookmarkStart w:id="409" w:name="_Toc145617828"/>
      <w:bookmarkStart w:id="410" w:name="_Toc156932100"/>
      <w:bookmarkEnd w:id="407"/>
      <w:r>
        <w:t>Table A9.</w:t>
      </w:r>
      <w:r>
        <w:fldChar w:fldCharType="begin"/>
      </w:r>
      <w:r>
        <w:instrText xml:space="preserve"> SEQ Table_A9 \* ARABIC </w:instrText>
      </w:r>
      <w:r>
        <w:fldChar w:fldCharType="separate"/>
      </w:r>
      <w:r w:rsidR="00934D5E">
        <w:rPr>
          <w:noProof/>
        </w:rPr>
        <w:t>7</w:t>
      </w:r>
      <w:r>
        <w:fldChar w:fldCharType="end"/>
      </w:r>
      <w:r w:rsidR="00597B5E">
        <w:t>:</w:t>
      </w:r>
      <w:r>
        <w:t xml:space="preserve"> </w:t>
      </w:r>
      <w:r w:rsidR="00597B5E" w:rsidRPr="00B65F7F">
        <w:rPr>
          <w:rFonts w:eastAsia="Calibri"/>
        </w:rPr>
        <w:t xml:space="preserve">Social and Emotional Wellbeing Model of Service </w:t>
      </w:r>
      <w:r w:rsidR="00597B5E">
        <w:rPr>
          <w:rFonts w:eastAsia="Calibri"/>
        </w:rPr>
        <w:t>p</w:t>
      </w:r>
      <w:r w:rsidR="00597B5E" w:rsidRPr="00B65F7F">
        <w:rPr>
          <w:rFonts w:eastAsia="Calibri"/>
        </w:rPr>
        <w:t xml:space="preserve">ilot </w:t>
      </w:r>
      <w:r w:rsidR="00597B5E">
        <w:rPr>
          <w:rFonts w:eastAsia="Calibri"/>
        </w:rPr>
        <w:t>p</w:t>
      </w:r>
      <w:r w:rsidR="00597B5E" w:rsidRPr="00B65F7F">
        <w:rPr>
          <w:rFonts w:eastAsia="Calibri"/>
        </w:rPr>
        <w:t>rogram alignment with guiding principles</w:t>
      </w:r>
      <w:bookmarkEnd w:id="408"/>
      <w:bookmarkEnd w:id="409"/>
      <w:bookmarkEnd w:id="410"/>
    </w:p>
    <w:tbl>
      <w:tblPr>
        <w:tblStyle w:val="Newtableforresport"/>
        <w:tblW w:w="9618" w:type="dxa"/>
        <w:tblInd w:w="10" w:type="dxa"/>
        <w:tblLayout w:type="fixed"/>
        <w:tblLook w:val="0420" w:firstRow="1" w:lastRow="0" w:firstColumn="0" w:lastColumn="0" w:noHBand="0" w:noVBand="1"/>
        <w:tblCaption w:val="Table A9.7: Social and Emotional Wellbeing Model of Service pilot program alignment with guiding principles"/>
        <w:tblDescription w:val="The table describes how the guiding principles of funding transition align with the Social and Emotional Wellbeing Model of Service pilot program. The first column lists the guiding principles of funding transition. The second column provides a description of how the Social and Emotional Wellbeing Model of Service pilot program aligns with the relevant guiding principle in the first column. "/>
      </w:tblPr>
      <w:tblGrid>
        <w:gridCol w:w="3818"/>
        <w:gridCol w:w="5800"/>
      </w:tblGrid>
      <w:tr w:rsidR="00597B5E" w:rsidRPr="0043288D" w14:paraId="274C5354" w14:textId="77777777" w:rsidTr="009D4C69">
        <w:trPr>
          <w:cnfStyle w:val="100000000000" w:firstRow="1" w:lastRow="0" w:firstColumn="0" w:lastColumn="0" w:oddVBand="0" w:evenVBand="0" w:oddHBand="0" w:evenHBand="0" w:firstRowFirstColumn="0" w:firstRowLastColumn="0" w:lastRowFirstColumn="0" w:lastRowLastColumn="0"/>
          <w:tblHeader/>
        </w:trPr>
        <w:tc>
          <w:tcPr>
            <w:tcW w:w="3818" w:type="dxa"/>
          </w:tcPr>
          <w:p w14:paraId="0D3C2C1F" w14:textId="77777777" w:rsidR="00597B5E" w:rsidRPr="0043288D" w:rsidRDefault="00597B5E" w:rsidP="00024E8D">
            <w:pPr>
              <w:pStyle w:val="TableHeading"/>
              <w:rPr>
                <w:rFonts w:eastAsia="Calibri"/>
                <w:b w:val="0"/>
              </w:rPr>
            </w:pPr>
            <w:r w:rsidRPr="0043288D">
              <w:rPr>
                <w:rFonts w:eastAsia="Calibri"/>
              </w:rPr>
              <w:t>Guiding principle</w:t>
            </w:r>
          </w:p>
        </w:tc>
        <w:tc>
          <w:tcPr>
            <w:tcW w:w="5800" w:type="dxa"/>
          </w:tcPr>
          <w:p w14:paraId="58754E5E" w14:textId="77777777" w:rsidR="00597B5E" w:rsidRPr="0043288D" w:rsidRDefault="00597B5E" w:rsidP="00024E8D">
            <w:pPr>
              <w:pStyle w:val="TableHeading"/>
              <w:rPr>
                <w:rFonts w:eastAsia="Calibri"/>
                <w:b w:val="0"/>
              </w:rPr>
            </w:pPr>
            <w:r w:rsidRPr="0043288D">
              <w:rPr>
                <w:rFonts w:eastAsia="Calibri"/>
              </w:rPr>
              <w:t>Description</w:t>
            </w:r>
          </w:p>
        </w:tc>
      </w:tr>
      <w:tr w:rsidR="00597B5E" w:rsidRPr="00B65F7F" w14:paraId="07EF05A3" w14:textId="77777777" w:rsidTr="006F6DD1">
        <w:trPr>
          <w:cnfStyle w:val="000000100000" w:firstRow="0" w:lastRow="0" w:firstColumn="0" w:lastColumn="0" w:oddVBand="0" w:evenVBand="0" w:oddHBand="1" w:evenHBand="0" w:firstRowFirstColumn="0" w:firstRowLastColumn="0" w:lastRowFirstColumn="0" w:lastRowLastColumn="0"/>
        </w:trPr>
        <w:tc>
          <w:tcPr>
            <w:tcW w:w="3818" w:type="dxa"/>
          </w:tcPr>
          <w:p w14:paraId="36257590" w14:textId="77777777" w:rsidR="00597B5E" w:rsidRPr="00B65F7F" w:rsidRDefault="00597B5E" w:rsidP="00A41213">
            <w:pPr>
              <w:pStyle w:val="TableText"/>
              <w:rPr>
                <w:rFonts w:eastAsia="Calibri"/>
              </w:rPr>
            </w:pPr>
            <w:r w:rsidRPr="00B65F7F">
              <w:rPr>
                <w:rFonts w:eastAsia="Calibri"/>
              </w:rPr>
              <w:t>Indigenous self-determination</w:t>
            </w:r>
          </w:p>
        </w:tc>
        <w:tc>
          <w:tcPr>
            <w:tcW w:w="5800" w:type="dxa"/>
            <w:vMerge w:val="restart"/>
          </w:tcPr>
          <w:p w14:paraId="561BEA0E" w14:textId="77777777" w:rsidR="00597B5E" w:rsidRPr="00B65F7F" w:rsidRDefault="00597B5E" w:rsidP="00A41213">
            <w:pPr>
              <w:pStyle w:val="TableText"/>
              <w:rPr>
                <w:rFonts w:eastAsia="Calibri"/>
              </w:rPr>
            </w:pPr>
            <w:r w:rsidRPr="00B65F7F">
              <w:rPr>
                <w:rFonts w:eastAsia="Calibri"/>
              </w:rPr>
              <w:t xml:space="preserve">The Aboriginal Health Council of Western Australia has partnered with </w:t>
            </w:r>
            <w:r>
              <w:rPr>
                <w:rFonts w:eastAsia="Calibri"/>
              </w:rPr>
              <w:t>5</w:t>
            </w:r>
            <w:r w:rsidRPr="00B65F7F">
              <w:rPr>
                <w:rFonts w:eastAsia="Calibri"/>
              </w:rPr>
              <w:t xml:space="preserve"> ACCHSs and AMSs to deliver culturally safe and responsive SEWB Model of Service pilot program services.</w:t>
            </w:r>
          </w:p>
        </w:tc>
      </w:tr>
      <w:tr w:rsidR="00597B5E" w:rsidRPr="00B65F7F" w14:paraId="08020973" w14:textId="77777777" w:rsidTr="006F6DD1">
        <w:trPr>
          <w:cnfStyle w:val="000000010000" w:firstRow="0" w:lastRow="0" w:firstColumn="0" w:lastColumn="0" w:oddVBand="0" w:evenVBand="0" w:oddHBand="0" w:evenHBand="1" w:firstRowFirstColumn="0" w:firstRowLastColumn="0" w:lastRowFirstColumn="0" w:lastRowLastColumn="0"/>
        </w:trPr>
        <w:tc>
          <w:tcPr>
            <w:tcW w:w="3818" w:type="dxa"/>
          </w:tcPr>
          <w:p w14:paraId="77B7FCED" w14:textId="77777777" w:rsidR="00597B5E" w:rsidRPr="00B65F7F" w:rsidRDefault="00597B5E" w:rsidP="00A41213">
            <w:pPr>
              <w:pStyle w:val="TableText"/>
              <w:rPr>
                <w:rFonts w:eastAsia="Calibri"/>
              </w:rPr>
            </w:pPr>
            <w:r w:rsidRPr="00B65F7F">
              <w:rPr>
                <w:rFonts w:eastAsia="Calibri"/>
              </w:rPr>
              <w:t>Strengths-based and place-based approaches</w:t>
            </w:r>
          </w:p>
        </w:tc>
        <w:tc>
          <w:tcPr>
            <w:tcW w:w="5800" w:type="dxa"/>
            <w:vMerge/>
          </w:tcPr>
          <w:p w14:paraId="686F1192" w14:textId="77777777" w:rsidR="00597B5E" w:rsidRPr="00B65F7F" w:rsidRDefault="00597B5E" w:rsidP="00A41213">
            <w:pPr>
              <w:pStyle w:val="TableText"/>
              <w:rPr>
                <w:rFonts w:eastAsia="Calibri"/>
              </w:rPr>
            </w:pPr>
          </w:p>
        </w:tc>
      </w:tr>
      <w:tr w:rsidR="00597B5E" w:rsidRPr="00B65F7F" w14:paraId="6B5DE5D5" w14:textId="77777777" w:rsidTr="006F6DD1">
        <w:trPr>
          <w:cnfStyle w:val="000000100000" w:firstRow="0" w:lastRow="0" w:firstColumn="0" w:lastColumn="0" w:oddVBand="0" w:evenVBand="0" w:oddHBand="1" w:evenHBand="0" w:firstRowFirstColumn="0" w:firstRowLastColumn="0" w:lastRowFirstColumn="0" w:lastRowLastColumn="0"/>
        </w:trPr>
        <w:tc>
          <w:tcPr>
            <w:tcW w:w="3818" w:type="dxa"/>
          </w:tcPr>
          <w:p w14:paraId="51313A79" w14:textId="77777777" w:rsidR="00597B5E" w:rsidRPr="00B65F7F" w:rsidRDefault="00597B5E" w:rsidP="00A41213">
            <w:pPr>
              <w:pStyle w:val="TableText"/>
              <w:rPr>
                <w:rFonts w:eastAsia="Calibri"/>
              </w:rPr>
            </w:pPr>
            <w:r w:rsidRPr="00B65F7F">
              <w:rPr>
                <w:rFonts w:eastAsia="Calibri"/>
              </w:rPr>
              <w:t>Culturally safe and responsive healthcare</w:t>
            </w:r>
          </w:p>
        </w:tc>
        <w:tc>
          <w:tcPr>
            <w:tcW w:w="5800" w:type="dxa"/>
            <w:vMerge/>
          </w:tcPr>
          <w:p w14:paraId="689D088D" w14:textId="77777777" w:rsidR="00597B5E" w:rsidRPr="00B65F7F" w:rsidRDefault="00597B5E" w:rsidP="00A41213">
            <w:pPr>
              <w:pStyle w:val="TableText"/>
              <w:rPr>
                <w:rFonts w:eastAsia="Calibri"/>
              </w:rPr>
            </w:pPr>
          </w:p>
        </w:tc>
      </w:tr>
      <w:tr w:rsidR="00597B5E" w:rsidRPr="00B65F7F" w14:paraId="28A1A24A" w14:textId="77777777" w:rsidTr="006F6DD1">
        <w:trPr>
          <w:cnfStyle w:val="000000010000" w:firstRow="0" w:lastRow="0" w:firstColumn="0" w:lastColumn="0" w:oddVBand="0" w:evenVBand="0" w:oddHBand="0" w:evenHBand="1" w:firstRowFirstColumn="0" w:firstRowLastColumn="0" w:lastRowFirstColumn="0" w:lastRowLastColumn="0"/>
        </w:trPr>
        <w:tc>
          <w:tcPr>
            <w:tcW w:w="3818" w:type="dxa"/>
          </w:tcPr>
          <w:p w14:paraId="0C4709B4" w14:textId="77777777" w:rsidR="00597B5E" w:rsidRPr="00B65F7F" w:rsidRDefault="00597B5E" w:rsidP="00A41213">
            <w:pPr>
              <w:pStyle w:val="TableText"/>
              <w:rPr>
                <w:rFonts w:eastAsia="Calibri"/>
              </w:rPr>
            </w:pPr>
            <w:r w:rsidRPr="00B65F7F">
              <w:rPr>
                <w:rFonts w:eastAsia="Calibri"/>
              </w:rPr>
              <w:t>Holistic understandings of Indigenous health and wellbeing</w:t>
            </w:r>
          </w:p>
        </w:tc>
        <w:tc>
          <w:tcPr>
            <w:tcW w:w="5800" w:type="dxa"/>
          </w:tcPr>
          <w:p w14:paraId="1C4BF278" w14:textId="77777777" w:rsidR="00597B5E" w:rsidRPr="00B65F7F" w:rsidRDefault="00597B5E" w:rsidP="00A41213">
            <w:pPr>
              <w:pStyle w:val="TableText"/>
              <w:rPr>
                <w:rFonts w:eastAsia="Calibri"/>
              </w:rPr>
            </w:pPr>
            <w:r w:rsidRPr="00B65F7F">
              <w:rPr>
                <w:rFonts w:eastAsia="Calibri"/>
              </w:rPr>
              <w:t xml:space="preserve">The SEWB Model of Service pilot program is underpinned by a recognition of the holistic health and wellbeing needs of </w:t>
            </w:r>
            <w:r>
              <w:rPr>
                <w:rFonts w:eastAsia="Calibri"/>
              </w:rPr>
              <w:t>Aboriginal and/or Torres Strait Islander</w:t>
            </w:r>
            <w:r w:rsidRPr="00B65F7F">
              <w:rPr>
                <w:rFonts w:eastAsia="Calibri"/>
              </w:rPr>
              <w:t xml:space="preserve"> peoples.</w:t>
            </w:r>
          </w:p>
        </w:tc>
      </w:tr>
    </w:tbl>
    <w:p w14:paraId="5BDBA94D" w14:textId="77777777" w:rsidR="00597B5E" w:rsidRPr="00D36184" w:rsidRDefault="00597B5E" w:rsidP="009912B7">
      <w:pPr>
        <w:pStyle w:val="HeadingLevel4NoNumber"/>
      </w:pPr>
      <w:r w:rsidRPr="00D36184">
        <w:t>Overview</w:t>
      </w:r>
    </w:p>
    <w:p w14:paraId="14FAE690" w14:textId="77777777" w:rsidR="00597B5E" w:rsidRPr="00B65F7F" w:rsidRDefault="00597B5E" w:rsidP="00A41213">
      <w:pPr>
        <w:pStyle w:val="BodyText"/>
      </w:pPr>
      <w:r w:rsidRPr="00B65F7F">
        <w:t>Western Australia is Australia’s largest state by land mass (over 2.5 million km</w:t>
      </w:r>
      <w:r w:rsidRPr="00B65F7F">
        <w:rPr>
          <w:vertAlign w:val="superscript"/>
        </w:rPr>
        <w:t>2</w:t>
      </w:r>
      <w:r w:rsidRPr="00B65F7F">
        <w:t xml:space="preserve">) and is divided into </w:t>
      </w:r>
      <w:r>
        <w:t>9</w:t>
      </w:r>
      <w:r w:rsidRPr="00B65F7F">
        <w:t xml:space="preserve"> regions. Over 40% of </w:t>
      </w:r>
      <w:r>
        <w:t>the state’s Aboriginal and/or Torres Strait Islander</w:t>
      </w:r>
      <w:r w:rsidRPr="00B65F7F">
        <w:t xml:space="preserve"> people live in the Kimberley; almost 15% live in </w:t>
      </w:r>
      <w:r>
        <w:t xml:space="preserve">the </w:t>
      </w:r>
      <w:r w:rsidRPr="00B65F7F">
        <w:t>Pilbara; almost 15% live in</w:t>
      </w:r>
      <w:r>
        <w:t xml:space="preserve"> the</w:t>
      </w:r>
      <w:r w:rsidRPr="00B65F7F">
        <w:t xml:space="preserve"> Gascoyne; 10% of the population live in Goldfields-Esperance; 10% live in </w:t>
      </w:r>
      <w:r w:rsidR="002B46E5" w:rsidRPr="00B65F7F">
        <w:t>Mid-West</w:t>
      </w:r>
      <w:r w:rsidRPr="00B65F7F">
        <w:t xml:space="preserve">; and less than 5% live in the Perth, Peel or South West regions (Australian Indigenous HealthInfoNet, n.d.). Approximately 12,000 people reside in more than 200 remote </w:t>
      </w:r>
      <w:r>
        <w:t>Aboriginal and/or Torres Strait Islander</w:t>
      </w:r>
      <w:r w:rsidRPr="00B65F7F">
        <w:t xml:space="preserve"> communities throughout Western Australia, and an additional 3,000 </w:t>
      </w:r>
      <w:r>
        <w:t>Aboriginal and/or Torres Strait Islander</w:t>
      </w:r>
      <w:r w:rsidRPr="00B65F7F">
        <w:t xml:space="preserve"> people live in 37 town-based communities </w:t>
      </w:r>
      <w:r>
        <w:t>–</w:t>
      </w:r>
      <w:r w:rsidRPr="00B65F7F">
        <w:t xml:space="preserve"> including seasonal and permanent groups (</w:t>
      </w:r>
      <w:r w:rsidRPr="00DA25BB">
        <w:t>Department</w:t>
      </w:r>
      <w:r w:rsidRPr="00B65F7F">
        <w:t xml:space="preserve"> of Communities, 2022).</w:t>
      </w:r>
    </w:p>
    <w:p w14:paraId="786BD1E4" w14:textId="77777777" w:rsidR="00597B5E" w:rsidRPr="00B65F7F" w:rsidRDefault="00597B5E" w:rsidP="00A41213">
      <w:pPr>
        <w:pStyle w:val="BodyText"/>
      </w:pPr>
      <w:r w:rsidRPr="00B65F7F">
        <w:t xml:space="preserve">The Western Australian Mental Health Commission awarded the Aboriginal Health Council of Western Australia (AHCWA) a $17.6M service agreement to deliver a mental health pilot. This mental health pilot’s purpose is to improve the SEWB of </w:t>
      </w:r>
      <w:r>
        <w:t>Aboriginal and/or Torres Strait Islander</w:t>
      </w:r>
      <w:r w:rsidRPr="00B65F7F">
        <w:t xml:space="preserve"> people in Western Australia (</w:t>
      </w:r>
      <w:r w:rsidRPr="00DA25BB">
        <w:t>Government</w:t>
      </w:r>
      <w:r w:rsidRPr="00B65F7F">
        <w:t xml:space="preserve"> of Western Australia, 2022a). </w:t>
      </w:r>
    </w:p>
    <w:p w14:paraId="5B5FFEC7" w14:textId="77777777" w:rsidR="00597B5E" w:rsidRPr="00B65F7F" w:rsidRDefault="00597B5E" w:rsidP="00A41213">
      <w:pPr>
        <w:pStyle w:val="BodyText"/>
      </w:pPr>
      <w:r w:rsidRPr="00B65F7F">
        <w:t xml:space="preserve">The regional SEWB Model of Service pilot program aims to increase access to SEWB and healthcare services for </w:t>
      </w:r>
      <w:r>
        <w:t>Aboriginal and/or Torres Strait Islander</w:t>
      </w:r>
      <w:r w:rsidRPr="00B65F7F">
        <w:t xml:space="preserve"> people in the Kimberley, Pilbara, </w:t>
      </w:r>
      <w:r w:rsidR="002B46E5" w:rsidRPr="00B65F7F">
        <w:t>Mid-West</w:t>
      </w:r>
      <w:r w:rsidRPr="00B65F7F">
        <w:t>, Goldfields and South West regions of Western Australia (Government of Western Australia, 2022a).</w:t>
      </w:r>
    </w:p>
    <w:p w14:paraId="0CBE082A" w14:textId="77777777" w:rsidR="00597B5E" w:rsidRPr="00B65F7F" w:rsidRDefault="00597B5E" w:rsidP="00A41213">
      <w:pPr>
        <w:pStyle w:val="BodyText"/>
      </w:pPr>
      <w:r w:rsidRPr="00B65F7F">
        <w:t xml:space="preserve">Five pilot sites were established by local ACCHS, </w:t>
      </w:r>
      <w:r>
        <w:t xml:space="preserve">which </w:t>
      </w:r>
      <w:r w:rsidRPr="00B65F7F">
        <w:t>were positioned as organisations that ‘know their communities and the importance of providing culturally secure and holistic healthcare’ (Government of Western Australia, 2022a). The SEWB programs are run by:</w:t>
      </w:r>
    </w:p>
    <w:p w14:paraId="714BEE00" w14:textId="77777777" w:rsidR="00597B5E" w:rsidRPr="00B65F7F" w:rsidRDefault="00597B5E" w:rsidP="00A41213">
      <w:pPr>
        <w:pStyle w:val="ListBullet2"/>
      </w:pPr>
      <w:r w:rsidRPr="00B65F7F">
        <w:rPr>
          <w:rFonts w:eastAsia="Calibri"/>
        </w:rPr>
        <w:t>Bega Garnbirringu Health Service in Kalgoorlie</w:t>
      </w:r>
    </w:p>
    <w:p w14:paraId="08F65F6E" w14:textId="77777777" w:rsidR="00597B5E" w:rsidRPr="00B65F7F" w:rsidRDefault="00597B5E" w:rsidP="00A41213">
      <w:pPr>
        <w:pStyle w:val="ListBullet2"/>
      </w:pPr>
      <w:r w:rsidRPr="00B65F7F">
        <w:rPr>
          <w:rFonts w:eastAsia="Calibri"/>
        </w:rPr>
        <w:t>Derby Aboriginal Health Service in Derby</w:t>
      </w:r>
    </w:p>
    <w:p w14:paraId="6EB7A1F3" w14:textId="77777777" w:rsidR="00597B5E" w:rsidRPr="00B65F7F" w:rsidRDefault="00597B5E" w:rsidP="00A41213">
      <w:pPr>
        <w:pStyle w:val="ListBullet2"/>
      </w:pPr>
      <w:r w:rsidRPr="00B65F7F">
        <w:rPr>
          <w:rFonts w:eastAsia="Calibri"/>
        </w:rPr>
        <w:t>Wirraka Maya Health Service Aboriginal Corporation in South Hedland</w:t>
      </w:r>
    </w:p>
    <w:p w14:paraId="15CCE0D0" w14:textId="77777777" w:rsidR="00597B5E" w:rsidRPr="00B65F7F" w:rsidRDefault="00597B5E" w:rsidP="00A41213">
      <w:pPr>
        <w:pStyle w:val="ListBullet2"/>
      </w:pPr>
      <w:r w:rsidRPr="00B65F7F">
        <w:rPr>
          <w:rFonts w:eastAsia="Calibri"/>
        </w:rPr>
        <w:t>Geraldton Regional Aboriginal Medical Service in Geraldton</w:t>
      </w:r>
    </w:p>
    <w:p w14:paraId="6FD956DD" w14:textId="77777777" w:rsidR="00597B5E" w:rsidRPr="00B65F7F" w:rsidRDefault="00597B5E" w:rsidP="00A41213">
      <w:pPr>
        <w:pStyle w:val="ListBullet2"/>
      </w:pPr>
      <w:r w:rsidRPr="00B65F7F">
        <w:rPr>
          <w:rFonts w:eastAsia="Calibri"/>
        </w:rPr>
        <w:t>South West Aboriginal Medical Service in Bunbury.</w:t>
      </w:r>
    </w:p>
    <w:p w14:paraId="7FE64B2D" w14:textId="77777777" w:rsidR="00597B5E" w:rsidRPr="00B65F7F" w:rsidRDefault="00597B5E" w:rsidP="00A41213">
      <w:pPr>
        <w:pStyle w:val="BodyText1stparaafterlist"/>
      </w:pPr>
      <w:r w:rsidRPr="00B65F7F">
        <w:t xml:space="preserve">The SEWB Model of Service pilot program empowers </w:t>
      </w:r>
      <w:r>
        <w:t>Aboriginal and/or Torres Strait Islander</w:t>
      </w:r>
      <w:r w:rsidRPr="00B65F7F">
        <w:t xml:space="preserve"> communities in Western Australia by strengthening partnerships with and the capacity of ACCHSs to provide ‘culturally secure prevention and community development, psychosocial support, targeted interventions and coordinated care by multidisciplinary teams’ (</w:t>
      </w:r>
      <w:r w:rsidRPr="00DA25BB">
        <w:t>Government</w:t>
      </w:r>
      <w:r w:rsidRPr="00B65F7F">
        <w:t xml:space="preserve"> of Western Australia, 2022b, </w:t>
      </w:r>
      <w:r>
        <w:t>p. </w:t>
      </w:r>
      <w:r w:rsidRPr="00B65F7F">
        <w:t>74)</w:t>
      </w:r>
      <w:r>
        <w:t>.</w:t>
      </w:r>
      <w:r w:rsidRPr="00B65F7F">
        <w:t xml:space="preserve"> The pilot program is expected to improve the quality of life for </w:t>
      </w:r>
      <w:r>
        <w:t>Aboriginal and/or Torres Strait Islander</w:t>
      </w:r>
      <w:r w:rsidRPr="00B65F7F">
        <w:t xml:space="preserve"> people. Additional funding may be allocated to enable the program to roll out across Western Australia, thereby building an evidence-based model of care that could be adapted for place-based support (</w:t>
      </w:r>
      <w:r w:rsidRPr="00DA25BB">
        <w:t>Transforming</w:t>
      </w:r>
      <w:r w:rsidRPr="00B65F7F">
        <w:t xml:space="preserve"> Indigenous Health and Wellbeing, 2022). </w:t>
      </w:r>
    </w:p>
    <w:p w14:paraId="40DEF6F5" w14:textId="77777777" w:rsidR="00597B5E" w:rsidRPr="00B65F7F" w:rsidRDefault="00597B5E" w:rsidP="00A41213">
      <w:pPr>
        <w:pStyle w:val="BodyText"/>
      </w:pPr>
      <w:r w:rsidRPr="00B65F7F">
        <w:t xml:space="preserve">An evaluation will be published in 2025 by the University of Western Australia’s Transforming Indigenous Health and Wellbeing team, a research team led by </w:t>
      </w:r>
      <w:r>
        <w:t>Aboriginal and/or Torres Strait Islander</w:t>
      </w:r>
      <w:r w:rsidRPr="00B65F7F">
        <w:t xml:space="preserve"> people (Government of Western Australia, 2022b, </w:t>
      </w:r>
      <w:r>
        <w:t>p. </w:t>
      </w:r>
      <w:r w:rsidRPr="00B65F7F">
        <w:t xml:space="preserve">74; </w:t>
      </w:r>
      <w:r w:rsidRPr="00DA25BB">
        <w:t>University</w:t>
      </w:r>
      <w:r w:rsidRPr="00B65F7F">
        <w:t xml:space="preserve"> of Western Australia, 2022). </w:t>
      </w:r>
    </w:p>
    <w:p w14:paraId="44B4E75A" w14:textId="77777777" w:rsidR="00597B5E" w:rsidRPr="00B65F7F" w:rsidRDefault="00597B5E" w:rsidP="009912B7">
      <w:pPr>
        <w:pStyle w:val="HeadingLevel3NoNumber"/>
      </w:pPr>
      <w:bookmarkStart w:id="411" w:name="_heading=h.h0ct5owho9wb" w:colFirst="0" w:colLast="0"/>
      <w:bookmarkEnd w:id="411"/>
      <w:r w:rsidRPr="00B65F7F">
        <w:t>Indigenous Australians’ Health Programme</w:t>
      </w:r>
    </w:p>
    <w:p w14:paraId="6B1C3312" w14:textId="77777777" w:rsidR="00597B5E" w:rsidRPr="00B65F7F" w:rsidRDefault="00597B5E" w:rsidP="009912B7">
      <w:pPr>
        <w:pStyle w:val="HeadingLevel4NoNumber"/>
      </w:pPr>
      <w:bookmarkStart w:id="412" w:name="_heading=h.7rfhiiu46dkq" w:colFirst="0" w:colLast="0"/>
      <w:bookmarkEnd w:id="412"/>
      <w:r w:rsidRPr="00B65F7F">
        <w:t>Key findings</w:t>
      </w:r>
    </w:p>
    <w:p w14:paraId="33E02F67" w14:textId="77777777" w:rsidR="00597B5E" w:rsidRPr="00B65F7F" w:rsidRDefault="00597B5E" w:rsidP="00A41213">
      <w:pPr>
        <w:pStyle w:val="ListBullet2"/>
      </w:pPr>
      <w:r w:rsidRPr="00B65F7F">
        <w:t xml:space="preserve">The Indigenous Australians’ Health Programme (IAHP) is a consolidation of </w:t>
      </w:r>
      <w:r>
        <w:t>4</w:t>
      </w:r>
      <w:r w:rsidRPr="00B65F7F">
        <w:t xml:space="preserve"> pre-existing Indigenous health funding streams administered by </w:t>
      </w:r>
      <w:r w:rsidR="00840E8D">
        <w:rPr>
          <w:rFonts w:eastAsia="Calibri"/>
        </w:rPr>
        <w:t>DoHAC</w:t>
      </w:r>
      <w:r w:rsidRPr="00B65F7F">
        <w:t xml:space="preserve"> (</w:t>
      </w:r>
      <w:r w:rsidRPr="00DA25BB">
        <w:t>Australian</w:t>
      </w:r>
      <w:r w:rsidRPr="00B65F7F">
        <w:t xml:space="preserve"> National Audit Office, 2018)</w:t>
      </w:r>
      <w:r>
        <w:t>.</w:t>
      </w:r>
    </w:p>
    <w:p w14:paraId="3A87519E" w14:textId="639B8A41" w:rsidR="00597B5E" w:rsidRPr="00B65F7F" w:rsidRDefault="00406876" w:rsidP="00406876">
      <w:pPr>
        <w:pStyle w:val="CaptionTable"/>
      </w:pPr>
      <w:bookmarkStart w:id="413" w:name="_Toc145604957"/>
      <w:bookmarkStart w:id="414" w:name="_Toc145617829"/>
      <w:bookmarkStart w:id="415" w:name="_Toc156932101"/>
      <w:r>
        <w:t>Table A9.</w:t>
      </w:r>
      <w:r>
        <w:fldChar w:fldCharType="begin"/>
      </w:r>
      <w:r>
        <w:instrText xml:space="preserve"> SEQ Table_A9 \* ARABIC </w:instrText>
      </w:r>
      <w:r>
        <w:fldChar w:fldCharType="separate"/>
      </w:r>
      <w:r w:rsidR="00934D5E">
        <w:rPr>
          <w:noProof/>
        </w:rPr>
        <w:t>8</w:t>
      </w:r>
      <w:r>
        <w:fldChar w:fldCharType="end"/>
      </w:r>
      <w:r w:rsidR="00597B5E">
        <w:t>:</w:t>
      </w:r>
      <w:r w:rsidR="00597B5E" w:rsidRPr="00B65F7F">
        <w:t xml:space="preserve"> Indigenous Australians’ Health Programme alignment with guiding principles</w:t>
      </w:r>
      <w:bookmarkEnd w:id="413"/>
      <w:bookmarkEnd w:id="414"/>
      <w:bookmarkEnd w:id="415"/>
    </w:p>
    <w:tbl>
      <w:tblPr>
        <w:tblStyle w:val="Newtableforresport"/>
        <w:tblW w:w="9618" w:type="dxa"/>
        <w:tblInd w:w="10" w:type="dxa"/>
        <w:tblLayout w:type="fixed"/>
        <w:tblLook w:val="0420" w:firstRow="1" w:lastRow="0" w:firstColumn="0" w:lastColumn="0" w:noHBand="0" w:noVBand="1"/>
        <w:tblCaption w:val="Table A9.8: Indigenous Australians’ Health Programme alignment with guiding principles"/>
        <w:tblDescription w:val="The table describes how the guiding principles of funding transition align with the Indigenous Australians Health Programme. The first column lists the guiding principles of funding transition. The second column provides a description of how the Indigenous Australians Health Programme aligns with the relevant guiding principle in the first column. "/>
      </w:tblPr>
      <w:tblGrid>
        <w:gridCol w:w="2117"/>
        <w:gridCol w:w="7501"/>
      </w:tblGrid>
      <w:tr w:rsidR="00597B5E" w:rsidRPr="0043288D" w14:paraId="08F71C2D" w14:textId="77777777" w:rsidTr="009D4C69">
        <w:trPr>
          <w:cnfStyle w:val="100000000000" w:firstRow="1" w:lastRow="0" w:firstColumn="0" w:lastColumn="0" w:oddVBand="0" w:evenVBand="0" w:oddHBand="0" w:evenHBand="0" w:firstRowFirstColumn="0" w:firstRowLastColumn="0" w:lastRowFirstColumn="0" w:lastRowLastColumn="0"/>
          <w:tblHeader/>
        </w:trPr>
        <w:tc>
          <w:tcPr>
            <w:tcW w:w="2117" w:type="dxa"/>
          </w:tcPr>
          <w:p w14:paraId="7452F403" w14:textId="77777777" w:rsidR="00597B5E" w:rsidRPr="0043288D" w:rsidRDefault="00597B5E" w:rsidP="00024E8D">
            <w:pPr>
              <w:pStyle w:val="TableHeading"/>
              <w:rPr>
                <w:b w:val="0"/>
              </w:rPr>
            </w:pPr>
            <w:r w:rsidRPr="0043288D">
              <w:t>Guiding principles</w:t>
            </w:r>
          </w:p>
        </w:tc>
        <w:tc>
          <w:tcPr>
            <w:tcW w:w="7501" w:type="dxa"/>
          </w:tcPr>
          <w:p w14:paraId="2D67FA39" w14:textId="77777777" w:rsidR="00597B5E" w:rsidRPr="0043288D" w:rsidRDefault="00597B5E" w:rsidP="00024E8D">
            <w:pPr>
              <w:pStyle w:val="TableHeading"/>
              <w:rPr>
                <w:b w:val="0"/>
              </w:rPr>
            </w:pPr>
            <w:r w:rsidRPr="0043288D">
              <w:t>Description</w:t>
            </w:r>
          </w:p>
        </w:tc>
      </w:tr>
      <w:tr w:rsidR="00597B5E" w:rsidRPr="00B65F7F" w14:paraId="221464F6" w14:textId="77777777" w:rsidTr="009D4C69">
        <w:trPr>
          <w:cnfStyle w:val="000000100000" w:firstRow="0" w:lastRow="0" w:firstColumn="0" w:lastColumn="0" w:oddVBand="0" w:evenVBand="0" w:oddHBand="1" w:evenHBand="0" w:firstRowFirstColumn="0" w:firstRowLastColumn="0" w:lastRowFirstColumn="0" w:lastRowLastColumn="0"/>
        </w:trPr>
        <w:tc>
          <w:tcPr>
            <w:tcW w:w="2117" w:type="dxa"/>
          </w:tcPr>
          <w:p w14:paraId="0B00980F" w14:textId="77777777" w:rsidR="00597B5E" w:rsidRPr="00B65F7F" w:rsidRDefault="00597B5E" w:rsidP="00A41213">
            <w:pPr>
              <w:pStyle w:val="TableText"/>
            </w:pPr>
            <w:r w:rsidRPr="00B65F7F">
              <w:t>Culturally safe and responsive healthcare</w:t>
            </w:r>
          </w:p>
        </w:tc>
        <w:tc>
          <w:tcPr>
            <w:tcW w:w="7501" w:type="dxa"/>
          </w:tcPr>
          <w:p w14:paraId="30D62349" w14:textId="77777777" w:rsidR="00597B5E" w:rsidRPr="00B65F7F" w:rsidRDefault="00597B5E" w:rsidP="00A41213">
            <w:pPr>
              <w:pStyle w:val="TableText"/>
            </w:pPr>
            <w:r w:rsidRPr="00B65F7F">
              <w:t xml:space="preserve">IAHP funding is delivered to Aboriginal community-controlled health organisations and mainstream services to improve access for </w:t>
            </w:r>
            <w:r>
              <w:t>Aboriginal and/or Torres Strait Islander</w:t>
            </w:r>
            <w:r w:rsidRPr="00B65F7F">
              <w:t xml:space="preserve"> peoples under </w:t>
            </w:r>
            <w:r>
              <w:t>4</w:t>
            </w:r>
            <w:r w:rsidRPr="00B65F7F">
              <w:t xml:space="preserve"> key areas: primary healthcare services, improving access to and delivery quality of primary healthcare, targeted health activities/initiatives and capital works.</w:t>
            </w:r>
          </w:p>
        </w:tc>
      </w:tr>
    </w:tbl>
    <w:p w14:paraId="0372091D" w14:textId="16F93D89" w:rsidR="00597B5E" w:rsidRPr="00B65F7F" w:rsidRDefault="00597B5E" w:rsidP="009912B7">
      <w:pPr>
        <w:pStyle w:val="HeadingLevel4NoNumber"/>
      </w:pPr>
      <w:bookmarkStart w:id="416" w:name="_heading=h.9a27gvuxv5ea" w:colFirst="0" w:colLast="0"/>
      <w:bookmarkEnd w:id="416"/>
      <w:r w:rsidRPr="00B65F7F">
        <w:t>Overview</w:t>
      </w:r>
    </w:p>
    <w:p w14:paraId="48D4458C" w14:textId="77777777" w:rsidR="00597B5E" w:rsidRPr="00B65F7F" w:rsidRDefault="00597B5E" w:rsidP="00A41213">
      <w:pPr>
        <w:pStyle w:val="BodyText"/>
      </w:pPr>
      <w:r w:rsidRPr="00B65F7F">
        <w:t>The IAHP</w:t>
      </w:r>
      <w:r>
        <w:t xml:space="preserve"> </w:t>
      </w:r>
      <w:r w:rsidRPr="00B65F7F">
        <w:t xml:space="preserve">is a Commonwealth-funded </w:t>
      </w:r>
      <w:r>
        <w:t>Aboriginal and/or Torres Strait Islander</w:t>
      </w:r>
      <w:r w:rsidRPr="00B65F7F">
        <w:t xml:space="preserve"> health program delivering $4.1 billion over </w:t>
      </w:r>
      <w:r>
        <w:t>4</w:t>
      </w:r>
      <w:r w:rsidRPr="00B65F7F">
        <w:t xml:space="preserve"> years (2019</w:t>
      </w:r>
      <w:r>
        <w:t>–</w:t>
      </w:r>
      <w:r w:rsidRPr="00B65F7F">
        <w:t>20</w:t>
      </w:r>
      <w:r>
        <w:t xml:space="preserve"> to</w:t>
      </w:r>
      <w:r w:rsidRPr="00B65F7F">
        <w:t xml:space="preserve"> 2022</w:t>
      </w:r>
      <w:r>
        <w:t>–</w:t>
      </w:r>
      <w:r w:rsidRPr="00B65F7F">
        <w:t xml:space="preserve">23) to Aboriginal community-controlled health organisations and mainstream services to improve access for </w:t>
      </w:r>
      <w:r>
        <w:t>Aboriginal and/or Torres Strait Islander</w:t>
      </w:r>
      <w:r w:rsidRPr="00B65F7F">
        <w:t xml:space="preserve"> peoples to ‘high-quality, culturally appropriate primary healthcare in remote, regional and urban areas’ (</w:t>
      </w:r>
      <w:r w:rsidRPr="00DA25BB">
        <w:t>Department</w:t>
      </w:r>
      <w:r w:rsidRPr="00B65F7F">
        <w:t xml:space="preserve"> of Health and Aged Care, 2023; </w:t>
      </w:r>
      <w:r w:rsidRPr="00210F17">
        <w:t>IAHP</w:t>
      </w:r>
      <w:r w:rsidRPr="00B65F7F">
        <w:t xml:space="preserve"> Yarnes, 2021). This includes funding work under </w:t>
      </w:r>
      <w:r>
        <w:t>4</w:t>
      </w:r>
      <w:r w:rsidRPr="00B65F7F">
        <w:t xml:space="preserve"> key themes:</w:t>
      </w:r>
    </w:p>
    <w:p w14:paraId="127CE58D" w14:textId="77777777" w:rsidR="00597B5E" w:rsidRPr="00B65F7F" w:rsidRDefault="00597B5E" w:rsidP="00A41213">
      <w:pPr>
        <w:pStyle w:val="ListBullet2"/>
      </w:pPr>
      <w:r>
        <w:rPr>
          <w:b/>
        </w:rPr>
        <w:t>p</w:t>
      </w:r>
      <w:r w:rsidRPr="00B65F7F">
        <w:rPr>
          <w:b/>
        </w:rPr>
        <w:t>rimary healthcare services,</w:t>
      </w:r>
      <w:r w:rsidRPr="00B65F7F">
        <w:t xml:space="preserve"> including immunisation, reducing smoking or improving service delivery</w:t>
      </w:r>
    </w:p>
    <w:p w14:paraId="5C7F15F5" w14:textId="77777777" w:rsidR="00597B5E" w:rsidRPr="00B65F7F" w:rsidRDefault="00597B5E" w:rsidP="00A41213">
      <w:pPr>
        <w:pStyle w:val="ListBullet2"/>
      </w:pPr>
      <w:r>
        <w:t>i</w:t>
      </w:r>
      <w:r w:rsidRPr="00B65F7F">
        <w:t xml:space="preserve">mproving access to primary healthcare through </w:t>
      </w:r>
      <w:r w:rsidRPr="00B65F7F">
        <w:rPr>
          <w:b/>
        </w:rPr>
        <w:t>care coordination</w:t>
      </w:r>
      <w:r w:rsidRPr="00B65F7F">
        <w:t xml:space="preserve"> across services, developing health workforce cultural competency and supporting outreach services</w:t>
      </w:r>
    </w:p>
    <w:p w14:paraId="127A39A3" w14:textId="77777777" w:rsidR="00597B5E" w:rsidRPr="00B65F7F" w:rsidRDefault="00597B5E" w:rsidP="00A41213">
      <w:pPr>
        <w:pStyle w:val="ListBullet2"/>
      </w:pPr>
      <w:r>
        <w:rPr>
          <w:b/>
        </w:rPr>
        <w:t>t</w:t>
      </w:r>
      <w:r w:rsidRPr="00B65F7F">
        <w:rPr>
          <w:b/>
        </w:rPr>
        <w:t>argeted health activities</w:t>
      </w:r>
      <w:r w:rsidRPr="00B65F7F">
        <w:t>, including chronic disease management and initiatives to address mental health and AOD use</w:t>
      </w:r>
    </w:p>
    <w:p w14:paraId="7601EFB0" w14:textId="77777777" w:rsidR="00597B5E" w:rsidRPr="00B65F7F" w:rsidRDefault="00597B5E" w:rsidP="00A41213">
      <w:pPr>
        <w:pStyle w:val="ListBullet2"/>
      </w:pPr>
      <w:r>
        <w:rPr>
          <w:b/>
        </w:rPr>
        <w:t>c</w:t>
      </w:r>
      <w:r w:rsidRPr="00B65F7F">
        <w:rPr>
          <w:b/>
        </w:rPr>
        <w:t>apital works</w:t>
      </w:r>
      <w:r w:rsidRPr="00B65F7F">
        <w:t>, including buying/leasing/building/upgrading infrastructure</w:t>
      </w:r>
      <w:r>
        <w:t>.</w:t>
      </w:r>
    </w:p>
    <w:p w14:paraId="43552C19" w14:textId="77777777" w:rsidR="00597B5E" w:rsidRPr="00B65F7F" w:rsidRDefault="00597B5E" w:rsidP="00A41213">
      <w:pPr>
        <w:pStyle w:val="BodyText1stparaafterlist"/>
      </w:pPr>
      <w:r w:rsidRPr="00B65F7F">
        <w:t xml:space="preserve">The IAHP was established in 2014 by consolidating </w:t>
      </w:r>
      <w:r>
        <w:t>4</w:t>
      </w:r>
      <w:r w:rsidRPr="00B65F7F">
        <w:t xml:space="preserve"> existing Indigenous health funding streams administered by </w:t>
      </w:r>
      <w:r w:rsidR="00840E8D">
        <w:rPr>
          <w:rFonts w:eastAsia="Calibri"/>
        </w:rPr>
        <w:t>DoHAC</w:t>
      </w:r>
      <w:r w:rsidRPr="00B65F7F">
        <w:t xml:space="preserve"> (Australian National Audit Office, 2018). This consolidation sought to reduce administrative burden and ‘improve the focus of the Indigenous Health grants on basic health needs’ (Australian National Audit Office, 2018). The IAHP funding model combines a capitation and activity-based approach with key needs adjustments to distribute funding (</w:t>
      </w:r>
      <w:r w:rsidRPr="00FB4876">
        <w:t>Department</w:t>
      </w:r>
      <w:r w:rsidRPr="00B65F7F">
        <w:t xml:space="preserve"> of Health, 2020, </w:t>
      </w:r>
      <w:r>
        <w:t>p. </w:t>
      </w:r>
      <w:r w:rsidRPr="00B65F7F">
        <w:t xml:space="preserve">1). </w:t>
      </w:r>
      <w:r w:rsidR="00840E8D">
        <w:rPr>
          <w:rFonts w:eastAsia="Calibri"/>
        </w:rPr>
        <w:t>DoHAC</w:t>
      </w:r>
      <w:r w:rsidRPr="00B65F7F">
        <w:t xml:space="preserve"> utilises the Australian Bureau of Statistics (ABS) and Public Health Information Development Unit (PHIDU) data to calculate needs adjustments, as appropriate</w:t>
      </w:r>
      <w:r>
        <w:t>,</w:t>
      </w:r>
      <w:r w:rsidRPr="00B65F7F">
        <w:t xml:space="preserve"> using Remoteness Structure components of the ABS’ Australian Statistical Geography Standard, and PHIDU’s Indigenous Relative Socioeconomic Outcomes index and measure of Years of Potential Life Lost (</w:t>
      </w:r>
      <w:r w:rsidRPr="00FB4876">
        <w:t>Department</w:t>
      </w:r>
      <w:r w:rsidRPr="00B65F7F">
        <w:t xml:space="preserve"> of Health, 2020, </w:t>
      </w:r>
      <w:r>
        <w:t>p. </w:t>
      </w:r>
      <w:r w:rsidRPr="00B65F7F">
        <w:t>2).</w:t>
      </w:r>
    </w:p>
    <w:p w14:paraId="358989FC" w14:textId="77777777" w:rsidR="00597B5E" w:rsidRPr="00B65F7F" w:rsidRDefault="00597B5E" w:rsidP="00A41213">
      <w:pPr>
        <w:pStyle w:val="BodyText"/>
      </w:pPr>
      <w:r w:rsidRPr="00B65F7F">
        <w:t>The IAHP have used a range of processes to award IAHP grants, primarily through non-competitive processes, targeting organisations already receiving Commonwealth funding as part of the IAHP’s predecessor programs (Australian National Audit Office, 2018). In the 2021</w:t>
      </w:r>
      <w:r>
        <w:t>–</w:t>
      </w:r>
      <w:r w:rsidRPr="00B65F7F">
        <w:t>22 financial year, as part of the IAHP, approximately (</w:t>
      </w:r>
      <w:r>
        <w:t>AIHW, 2023</w:t>
      </w:r>
      <w:r w:rsidRPr="00B65F7F">
        <w:t>):</w:t>
      </w:r>
    </w:p>
    <w:p w14:paraId="787F4649" w14:textId="77777777" w:rsidR="00597B5E" w:rsidRPr="00B65F7F" w:rsidRDefault="00597B5E" w:rsidP="00A41213">
      <w:pPr>
        <w:pStyle w:val="ListBullet2"/>
      </w:pPr>
      <w:r w:rsidRPr="00B65F7F">
        <w:t>200 organisations provided Indigenous-specific primary healthcare</w:t>
      </w:r>
      <w:r>
        <w:t>;</w:t>
      </w:r>
      <w:r w:rsidRPr="00B65F7F">
        <w:t xml:space="preserve"> 142 were ACCHOs</w:t>
      </w:r>
    </w:p>
    <w:p w14:paraId="45B85222" w14:textId="77777777" w:rsidR="00597B5E" w:rsidRPr="00B65F7F" w:rsidRDefault="00597B5E" w:rsidP="00A41213">
      <w:pPr>
        <w:pStyle w:val="ListBullet2"/>
      </w:pPr>
      <w:r w:rsidRPr="00B65F7F">
        <w:t xml:space="preserve">8,800 full-time equivalent staff were employed, around 4,500 of </w:t>
      </w:r>
      <w:r>
        <w:t>whom</w:t>
      </w:r>
      <w:r w:rsidRPr="00B65F7F">
        <w:t xml:space="preserve"> were Indigenous</w:t>
      </w:r>
    </w:p>
    <w:p w14:paraId="4B33C6AE" w14:textId="77777777" w:rsidR="00597B5E" w:rsidRPr="00B65F7F" w:rsidRDefault="00597B5E" w:rsidP="00A41213">
      <w:pPr>
        <w:pStyle w:val="ListBullet2"/>
      </w:pPr>
      <w:r w:rsidRPr="00B65F7F">
        <w:t xml:space="preserve">586,000 clients were cared for, around 443,000 of </w:t>
      </w:r>
      <w:r>
        <w:t>whom</w:t>
      </w:r>
      <w:r w:rsidRPr="00B65F7F">
        <w:t xml:space="preserve"> were Indigenous</w:t>
      </w:r>
    </w:p>
    <w:p w14:paraId="1C59E35F" w14:textId="77777777" w:rsidR="00597B5E" w:rsidRPr="00B65F7F" w:rsidRDefault="00597B5E" w:rsidP="00A41213">
      <w:pPr>
        <w:pStyle w:val="ListBullet2"/>
      </w:pPr>
      <w:r w:rsidRPr="00B65F7F">
        <w:t>4 million episodes of care were provided</w:t>
      </w:r>
      <w:r>
        <w:t>.</w:t>
      </w:r>
    </w:p>
    <w:p w14:paraId="3F74650A" w14:textId="77777777" w:rsidR="00597B5E" w:rsidRPr="00B65F7F" w:rsidRDefault="00597B5E" w:rsidP="009912B7">
      <w:pPr>
        <w:pStyle w:val="HeadingLevel3NoNumber"/>
      </w:pPr>
      <w:bookmarkStart w:id="417" w:name="_heading=h.7pzz6deedqr6" w:colFirst="0" w:colLast="0"/>
      <w:bookmarkEnd w:id="417"/>
      <w:r w:rsidRPr="00B65F7F">
        <w:t>Gurriny Yealamucka Health Service</w:t>
      </w:r>
    </w:p>
    <w:p w14:paraId="6F550CF1" w14:textId="77777777" w:rsidR="00597B5E" w:rsidRPr="00B65F7F" w:rsidRDefault="00597B5E" w:rsidP="009912B7">
      <w:pPr>
        <w:pStyle w:val="HeadingLevel4NoNumber"/>
      </w:pPr>
      <w:bookmarkStart w:id="418" w:name="_heading=h.9s0rjn188o8o" w:colFirst="0" w:colLast="0"/>
      <w:bookmarkEnd w:id="418"/>
      <w:r w:rsidRPr="00B65F7F">
        <w:t>Key findings</w:t>
      </w:r>
    </w:p>
    <w:p w14:paraId="2CDE715D" w14:textId="77777777" w:rsidR="00597B5E" w:rsidRPr="00FB4876" w:rsidRDefault="00597B5E" w:rsidP="00A41213">
      <w:pPr>
        <w:pStyle w:val="ListBullet2"/>
      </w:pPr>
      <w:r w:rsidRPr="00B65F7F">
        <w:t xml:space="preserve">Future transitions to community control of primary healthcare </w:t>
      </w:r>
      <w:r w:rsidRPr="00FB4876">
        <w:t>will ‘require planning and commitment to long-term, multifaceted and complex process[es]’ (McCalman et al., 2021a, p. 2).</w:t>
      </w:r>
    </w:p>
    <w:p w14:paraId="6CAFC158" w14:textId="77777777" w:rsidR="00597B5E" w:rsidRPr="00B65F7F" w:rsidRDefault="00597B5E" w:rsidP="00A41213">
      <w:pPr>
        <w:pStyle w:val="ListBullet2"/>
      </w:pPr>
      <w:r w:rsidRPr="00FB4876">
        <w:t>Future transitions will require state or territory governments to relinquish power and strengthen the capacity of community-controlled organisations to ‘renegotiate bureaucratic, legal and policy arrangements’ with the relevant state or territory (McCalman et al., 2</w:t>
      </w:r>
      <w:r w:rsidRPr="00B65F7F">
        <w:t xml:space="preserve">021a, </w:t>
      </w:r>
      <w:r>
        <w:t>p. </w:t>
      </w:r>
      <w:r w:rsidRPr="00B65F7F">
        <w:t>2)</w:t>
      </w:r>
      <w:r>
        <w:t>.</w:t>
      </w:r>
    </w:p>
    <w:p w14:paraId="2D992E87" w14:textId="2E06EE18" w:rsidR="00597B5E" w:rsidRPr="00B65F7F" w:rsidRDefault="00DD0673" w:rsidP="00DD0673">
      <w:pPr>
        <w:pStyle w:val="CaptionTable"/>
      </w:pPr>
      <w:bookmarkStart w:id="419" w:name="_heading=h.785l434yj2e8" w:colFirst="0" w:colLast="0"/>
      <w:bookmarkStart w:id="420" w:name="_Toc145604958"/>
      <w:bookmarkStart w:id="421" w:name="_Toc145617830"/>
      <w:bookmarkStart w:id="422" w:name="_Toc156932102"/>
      <w:bookmarkEnd w:id="419"/>
      <w:r>
        <w:t>Table A9.</w:t>
      </w:r>
      <w:r>
        <w:fldChar w:fldCharType="begin"/>
      </w:r>
      <w:r>
        <w:instrText xml:space="preserve"> SEQ Table_A9 \* ARABIC </w:instrText>
      </w:r>
      <w:r>
        <w:fldChar w:fldCharType="separate"/>
      </w:r>
      <w:r w:rsidR="00934D5E">
        <w:rPr>
          <w:noProof/>
        </w:rPr>
        <w:t>9</w:t>
      </w:r>
      <w:r>
        <w:fldChar w:fldCharType="end"/>
      </w:r>
      <w:r w:rsidR="00597B5E">
        <w:t>:</w:t>
      </w:r>
      <w:r>
        <w:t xml:space="preserve"> </w:t>
      </w:r>
      <w:r w:rsidR="00597B5E" w:rsidRPr="00B65F7F">
        <w:t>Gurriny Yealamucka Health Services alignment with guiding principles</w:t>
      </w:r>
      <w:bookmarkEnd w:id="420"/>
      <w:bookmarkEnd w:id="421"/>
      <w:bookmarkEnd w:id="422"/>
    </w:p>
    <w:tbl>
      <w:tblPr>
        <w:tblStyle w:val="Newtableforresport"/>
        <w:tblW w:w="9618" w:type="dxa"/>
        <w:tblInd w:w="10" w:type="dxa"/>
        <w:tblLayout w:type="fixed"/>
        <w:tblLook w:val="0420" w:firstRow="1" w:lastRow="0" w:firstColumn="0" w:lastColumn="0" w:noHBand="0" w:noVBand="1"/>
        <w:tblCaption w:val="Table A9.9: Gurriny Yealamucka Health Services alignment with guiding principles"/>
        <w:tblDescription w:val="The table describes how the guiding principles of funding transition align with the Gurriny-Yealamucka Health Service. The first column lists the guiding principles of funding transition. The second column provides a description of how the Gurriny-Yealamucka Health Service aligns with the relevant guding principle in the first column. "/>
      </w:tblPr>
      <w:tblGrid>
        <w:gridCol w:w="4243"/>
        <w:gridCol w:w="5375"/>
      </w:tblGrid>
      <w:tr w:rsidR="00597B5E" w:rsidRPr="0033162B" w14:paraId="64CDFA87" w14:textId="77777777" w:rsidTr="009D4C69">
        <w:trPr>
          <w:cnfStyle w:val="100000000000" w:firstRow="1" w:lastRow="0" w:firstColumn="0" w:lastColumn="0" w:oddVBand="0" w:evenVBand="0" w:oddHBand="0" w:evenHBand="0" w:firstRowFirstColumn="0" w:firstRowLastColumn="0" w:lastRowFirstColumn="0" w:lastRowLastColumn="0"/>
          <w:tblHeader/>
        </w:trPr>
        <w:tc>
          <w:tcPr>
            <w:tcW w:w="4243" w:type="dxa"/>
          </w:tcPr>
          <w:p w14:paraId="689AB78C" w14:textId="77777777" w:rsidR="00597B5E" w:rsidRPr="0033162B" w:rsidRDefault="00597B5E" w:rsidP="00024E8D">
            <w:pPr>
              <w:pStyle w:val="TableHeading"/>
              <w:rPr>
                <w:b w:val="0"/>
              </w:rPr>
            </w:pPr>
            <w:r w:rsidRPr="0033162B">
              <w:t>Guiding principles</w:t>
            </w:r>
          </w:p>
        </w:tc>
        <w:tc>
          <w:tcPr>
            <w:tcW w:w="5375" w:type="dxa"/>
          </w:tcPr>
          <w:p w14:paraId="12807324" w14:textId="77777777" w:rsidR="00597B5E" w:rsidRPr="0033162B" w:rsidRDefault="00597B5E" w:rsidP="00024E8D">
            <w:pPr>
              <w:pStyle w:val="TableHeading"/>
              <w:rPr>
                <w:b w:val="0"/>
              </w:rPr>
            </w:pPr>
            <w:r w:rsidRPr="0033162B">
              <w:t>Description</w:t>
            </w:r>
          </w:p>
        </w:tc>
      </w:tr>
      <w:tr w:rsidR="00597B5E" w:rsidRPr="00B65F7F" w14:paraId="3234525F" w14:textId="77777777" w:rsidTr="006F6DD1">
        <w:trPr>
          <w:cnfStyle w:val="000000100000" w:firstRow="0" w:lastRow="0" w:firstColumn="0" w:lastColumn="0" w:oddVBand="0" w:evenVBand="0" w:oddHBand="1" w:evenHBand="0" w:firstRowFirstColumn="0" w:firstRowLastColumn="0" w:lastRowFirstColumn="0" w:lastRowLastColumn="0"/>
        </w:trPr>
        <w:tc>
          <w:tcPr>
            <w:tcW w:w="4243" w:type="dxa"/>
          </w:tcPr>
          <w:p w14:paraId="4D10EDB3" w14:textId="77777777" w:rsidR="00597B5E" w:rsidRPr="00B65F7F" w:rsidRDefault="00597B5E" w:rsidP="00A41213">
            <w:pPr>
              <w:pStyle w:val="TableText"/>
            </w:pPr>
            <w:r w:rsidRPr="00B65F7F">
              <w:t>Indigenous self-determination</w:t>
            </w:r>
          </w:p>
        </w:tc>
        <w:tc>
          <w:tcPr>
            <w:tcW w:w="5375" w:type="dxa"/>
            <w:vMerge w:val="restart"/>
          </w:tcPr>
          <w:p w14:paraId="1D7BD202" w14:textId="77777777" w:rsidR="00597B5E" w:rsidRPr="00B65F7F" w:rsidRDefault="00597B5E" w:rsidP="00A41213">
            <w:pPr>
              <w:pStyle w:val="TableText"/>
            </w:pPr>
            <w:r w:rsidRPr="00B65F7F">
              <w:t xml:space="preserve">Gurriny Yealamucka Health Services, an ACCHO, is the sole provider of primary healthcare services in the Yarrabah </w:t>
            </w:r>
            <w:r>
              <w:t>local government area (</w:t>
            </w:r>
            <w:r w:rsidRPr="00B65F7F">
              <w:t>LGA</w:t>
            </w:r>
            <w:r>
              <w:t>)</w:t>
            </w:r>
            <w:r w:rsidRPr="00B65F7F">
              <w:t xml:space="preserve">. The creation of the ACCHO and transition to ACCHO-led delivery of health services was predicated on community aspirations for improved health and wellbeing outcomes. </w:t>
            </w:r>
          </w:p>
        </w:tc>
      </w:tr>
      <w:tr w:rsidR="00597B5E" w:rsidRPr="00B65F7F" w14:paraId="2B8574B8" w14:textId="77777777" w:rsidTr="006F6DD1">
        <w:trPr>
          <w:cnfStyle w:val="000000010000" w:firstRow="0" w:lastRow="0" w:firstColumn="0" w:lastColumn="0" w:oddVBand="0" w:evenVBand="0" w:oddHBand="0" w:evenHBand="1" w:firstRowFirstColumn="0" w:firstRowLastColumn="0" w:lastRowFirstColumn="0" w:lastRowLastColumn="0"/>
        </w:trPr>
        <w:tc>
          <w:tcPr>
            <w:tcW w:w="4243" w:type="dxa"/>
          </w:tcPr>
          <w:p w14:paraId="1C48D078" w14:textId="77777777" w:rsidR="00597B5E" w:rsidRPr="00B65F7F" w:rsidRDefault="00597B5E" w:rsidP="00A41213">
            <w:pPr>
              <w:pStyle w:val="TableText"/>
            </w:pPr>
            <w:r w:rsidRPr="00B65F7F">
              <w:t>Community partnerships, co-design and ownership</w:t>
            </w:r>
          </w:p>
        </w:tc>
        <w:tc>
          <w:tcPr>
            <w:tcW w:w="5375" w:type="dxa"/>
            <w:vMerge/>
          </w:tcPr>
          <w:p w14:paraId="307249C9" w14:textId="77777777" w:rsidR="00597B5E" w:rsidRPr="00B65F7F" w:rsidRDefault="00597B5E" w:rsidP="00A41213">
            <w:pPr>
              <w:pStyle w:val="TableText"/>
            </w:pPr>
          </w:p>
        </w:tc>
      </w:tr>
      <w:tr w:rsidR="00597B5E" w:rsidRPr="00B65F7F" w14:paraId="74125828" w14:textId="77777777" w:rsidTr="006F6DD1">
        <w:trPr>
          <w:cnfStyle w:val="000000100000" w:firstRow="0" w:lastRow="0" w:firstColumn="0" w:lastColumn="0" w:oddVBand="0" w:evenVBand="0" w:oddHBand="1" w:evenHBand="0" w:firstRowFirstColumn="0" w:firstRowLastColumn="0" w:lastRowFirstColumn="0" w:lastRowLastColumn="0"/>
        </w:trPr>
        <w:tc>
          <w:tcPr>
            <w:tcW w:w="4243" w:type="dxa"/>
          </w:tcPr>
          <w:p w14:paraId="39DB825F" w14:textId="77777777" w:rsidR="00597B5E" w:rsidRPr="00B65F7F" w:rsidRDefault="00597B5E" w:rsidP="00A41213">
            <w:pPr>
              <w:pStyle w:val="TableText"/>
            </w:pPr>
            <w:r w:rsidRPr="00B65F7F">
              <w:t>Culturally safe and responsive healthcare</w:t>
            </w:r>
          </w:p>
        </w:tc>
        <w:tc>
          <w:tcPr>
            <w:tcW w:w="5375" w:type="dxa"/>
            <w:vMerge/>
          </w:tcPr>
          <w:p w14:paraId="352553F3" w14:textId="77777777" w:rsidR="00597B5E" w:rsidRPr="00B65F7F" w:rsidRDefault="00597B5E" w:rsidP="00A41213">
            <w:pPr>
              <w:pStyle w:val="TableText"/>
            </w:pPr>
          </w:p>
        </w:tc>
      </w:tr>
      <w:tr w:rsidR="00597B5E" w:rsidRPr="00B65F7F" w14:paraId="6D8A5FD4" w14:textId="77777777" w:rsidTr="006F6DD1">
        <w:trPr>
          <w:cnfStyle w:val="000000010000" w:firstRow="0" w:lastRow="0" w:firstColumn="0" w:lastColumn="0" w:oddVBand="0" w:evenVBand="0" w:oddHBand="0" w:evenHBand="1" w:firstRowFirstColumn="0" w:firstRowLastColumn="0" w:lastRowFirstColumn="0" w:lastRowLastColumn="0"/>
        </w:trPr>
        <w:tc>
          <w:tcPr>
            <w:tcW w:w="4243" w:type="dxa"/>
          </w:tcPr>
          <w:p w14:paraId="7ECCF049" w14:textId="77777777" w:rsidR="00597B5E" w:rsidRPr="00B65F7F" w:rsidRDefault="00597B5E" w:rsidP="00A41213">
            <w:pPr>
              <w:pStyle w:val="TableText"/>
            </w:pPr>
            <w:r w:rsidRPr="00B65F7F">
              <w:t>Indigenous governance and leadership</w:t>
            </w:r>
          </w:p>
        </w:tc>
        <w:tc>
          <w:tcPr>
            <w:tcW w:w="5375" w:type="dxa"/>
          </w:tcPr>
          <w:p w14:paraId="172B272B" w14:textId="77777777" w:rsidR="00597B5E" w:rsidRPr="00B65F7F" w:rsidRDefault="00597B5E" w:rsidP="00A41213">
            <w:pPr>
              <w:pStyle w:val="TableText"/>
            </w:pPr>
            <w:r w:rsidRPr="00B65F7F">
              <w:t>Gurriny Yealamucka Health Service’s board of directors is locally elected and ensures strong local Aboriginal governance and leadership of the organisation (</w:t>
            </w:r>
            <w:r w:rsidRPr="00FB4876">
              <w:t>Jongen</w:t>
            </w:r>
            <w:r w:rsidRPr="00B65F7F">
              <w:t xml:space="preserve"> </w:t>
            </w:r>
            <w:r>
              <w:t>et al</w:t>
            </w:r>
            <w:r w:rsidRPr="00B65F7F">
              <w:t>. 2020).</w:t>
            </w:r>
          </w:p>
        </w:tc>
      </w:tr>
    </w:tbl>
    <w:p w14:paraId="708B4598" w14:textId="77777777" w:rsidR="00597B5E" w:rsidRPr="00B65F7F" w:rsidRDefault="00597B5E" w:rsidP="009912B7">
      <w:pPr>
        <w:pStyle w:val="HeadingLevel4NoNumber"/>
      </w:pPr>
      <w:bookmarkStart w:id="423" w:name="_heading=h.1ibqp0l1hxe0" w:colFirst="0" w:colLast="0"/>
      <w:bookmarkEnd w:id="423"/>
      <w:r w:rsidRPr="00B65F7F">
        <w:t>Overview</w:t>
      </w:r>
    </w:p>
    <w:p w14:paraId="29F9C28B" w14:textId="77777777" w:rsidR="00597B5E" w:rsidRPr="00B65F7F" w:rsidRDefault="00597B5E" w:rsidP="00A41213">
      <w:pPr>
        <w:pStyle w:val="BodyText"/>
      </w:pPr>
      <w:r w:rsidRPr="00B65F7F">
        <w:t xml:space="preserve">Gurriny Yealamucka Health Service Aboriginal Corporation (hereafter Gurriny) is the only primary healthcare provider in the LGA of Yarrabah </w:t>
      </w:r>
      <w:r>
        <w:t>–</w:t>
      </w:r>
      <w:r w:rsidRPr="00B65F7F">
        <w:t xml:space="preserve"> home to Australia’s largest discrete </w:t>
      </w:r>
      <w:r>
        <w:t>Aboriginal and/or Torres Strait Islander</w:t>
      </w:r>
      <w:r w:rsidRPr="00B65F7F">
        <w:t xml:space="preserve"> community </w:t>
      </w:r>
      <w:r>
        <w:t>–</w:t>
      </w:r>
      <w:r w:rsidRPr="00B65F7F">
        <w:t xml:space="preserve"> which has the most extreme concentration of social and economic disadvantage and experiences a high burden of chronic disease (McCalman </w:t>
      </w:r>
      <w:r>
        <w:t>et al</w:t>
      </w:r>
      <w:r w:rsidRPr="00B65F7F">
        <w:t>., 2021a, p</w:t>
      </w:r>
      <w:r>
        <w:t>p. </w:t>
      </w:r>
      <w:r w:rsidRPr="00B65F7F">
        <w:t>3</w:t>
      </w:r>
      <w:r>
        <w:t>–</w:t>
      </w:r>
      <w:r w:rsidRPr="00B65F7F">
        <w:t xml:space="preserve">4; McCalman </w:t>
      </w:r>
      <w:r>
        <w:t>et al</w:t>
      </w:r>
      <w:r w:rsidRPr="00B65F7F">
        <w:t xml:space="preserve">., 2021b, </w:t>
      </w:r>
      <w:r>
        <w:t>p. </w:t>
      </w:r>
      <w:r w:rsidRPr="00B65F7F">
        <w:t>3). Gurriny services approximately 3</w:t>
      </w:r>
      <w:r>
        <w:t>,</w:t>
      </w:r>
      <w:r w:rsidRPr="00B65F7F">
        <w:t>500 regular clients; notably</w:t>
      </w:r>
      <w:r>
        <w:t>,</w:t>
      </w:r>
      <w:r w:rsidRPr="00B65F7F">
        <w:t xml:space="preserve"> over 40% of </w:t>
      </w:r>
      <w:r>
        <w:t>its</w:t>
      </w:r>
      <w:r w:rsidRPr="00B65F7F">
        <w:t xml:space="preserve"> regular clients live with a chronic disease (</w:t>
      </w:r>
      <w:r w:rsidRPr="00FB4876">
        <w:t>McCalman</w:t>
      </w:r>
      <w:r w:rsidRPr="00B65F7F">
        <w:t xml:space="preserve"> </w:t>
      </w:r>
      <w:r>
        <w:t>et al</w:t>
      </w:r>
      <w:r w:rsidRPr="00B65F7F">
        <w:t xml:space="preserve">., 2021b, </w:t>
      </w:r>
      <w:r>
        <w:t>p. </w:t>
      </w:r>
      <w:r w:rsidRPr="00B65F7F">
        <w:t>3).</w:t>
      </w:r>
    </w:p>
    <w:p w14:paraId="6DA91EBE" w14:textId="77777777" w:rsidR="00597B5E" w:rsidRPr="00B65F7F" w:rsidRDefault="00597B5E" w:rsidP="00A41213">
      <w:pPr>
        <w:pStyle w:val="BodyText"/>
      </w:pPr>
      <w:r w:rsidRPr="00B65F7F">
        <w:t>Gurriny’s funding arrangements are complex and include a mix of federal, state and subsidiary funding streams</w:t>
      </w:r>
      <w:r>
        <w:t>,</w:t>
      </w:r>
      <w:r w:rsidRPr="00B65F7F">
        <w:t xml:space="preserve"> including through the </w:t>
      </w:r>
      <w:r>
        <w:t>IAHP</w:t>
      </w:r>
      <w:r w:rsidRPr="00B65F7F">
        <w:t>, PHNs</w:t>
      </w:r>
      <w:r>
        <w:t>,</w:t>
      </w:r>
      <w:r w:rsidRPr="00B65F7F">
        <w:t xml:space="preserve"> the Medicare Benefits Schedule (MBS), Queensland Health program and grant funding, research grants and philanthropic funds (McCalman </w:t>
      </w:r>
      <w:r>
        <w:t>et al</w:t>
      </w:r>
      <w:r w:rsidRPr="00B65F7F">
        <w:t xml:space="preserve">., 2021b, </w:t>
      </w:r>
      <w:r>
        <w:t>p. </w:t>
      </w:r>
      <w:r w:rsidRPr="00B65F7F">
        <w:t xml:space="preserve">4). </w:t>
      </w:r>
    </w:p>
    <w:p w14:paraId="0C0D4D79" w14:textId="10378D0A" w:rsidR="00597B5E" w:rsidRDefault="00597B5E" w:rsidP="00A41213">
      <w:pPr>
        <w:pStyle w:val="BodyText"/>
      </w:pPr>
      <w:r w:rsidRPr="00B65F7F">
        <w:t xml:space="preserve">Gurriny is also unique as it was the negotiator of the first transition of public healthcare to community control in Queensland. This transition was part of a 28-year process over </w:t>
      </w:r>
      <w:r>
        <w:t>2</w:t>
      </w:r>
      <w:r w:rsidRPr="00B65F7F">
        <w:t xml:space="preserve"> primary stages, as outlined in </w:t>
      </w:r>
      <w:r w:rsidR="00406876">
        <w:fldChar w:fldCharType="begin"/>
      </w:r>
      <w:r w:rsidR="00406876">
        <w:instrText xml:space="preserve"> REF _Ref151923146 \h </w:instrText>
      </w:r>
      <w:r w:rsidR="00406876">
        <w:fldChar w:fldCharType="separate"/>
      </w:r>
      <w:r w:rsidR="00934D5E">
        <w:t>Figure A9.</w:t>
      </w:r>
      <w:r w:rsidR="00934D5E">
        <w:rPr>
          <w:noProof/>
        </w:rPr>
        <w:t>3</w:t>
      </w:r>
      <w:r w:rsidR="00406876">
        <w:fldChar w:fldCharType="end"/>
      </w:r>
      <w:r w:rsidRPr="00B65F7F">
        <w:t xml:space="preserve"> below (McCalman </w:t>
      </w:r>
      <w:r>
        <w:t>et al</w:t>
      </w:r>
      <w:r w:rsidRPr="00B65F7F">
        <w:t>., 2021a, p</w:t>
      </w:r>
      <w:r>
        <w:t>p. </w:t>
      </w:r>
      <w:r w:rsidRPr="00B65F7F">
        <w:t>4</w:t>
      </w:r>
      <w:r>
        <w:t>–</w:t>
      </w:r>
      <w:r w:rsidRPr="00B65F7F">
        <w:t xml:space="preserve">5). The first stage </w:t>
      </w:r>
      <w:r>
        <w:t>–</w:t>
      </w:r>
      <w:r w:rsidRPr="00B65F7F">
        <w:t xml:space="preserve"> establishing a community-controlled health organisation </w:t>
      </w:r>
      <w:r>
        <w:t>–</w:t>
      </w:r>
      <w:r w:rsidRPr="00B65F7F">
        <w:t xml:space="preserve"> was triggered by community dissatisfaction with the healthcare services provided by the Cairns and Hinterland Hospital and Health Service (CHHHS) (McCalman </w:t>
      </w:r>
      <w:r>
        <w:t>et al</w:t>
      </w:r>
      <w:r w:rsidRPr="00B65F7F">
        <w:t>., 2021a, p</w:t>
      </w:r>
      <w:r>
        <w:t>p. </w:t>
      </w:r>
      <w:r w:rsidRPr="00B65F7F">
        <w:t>4</w:t>
      </w:r>
      <w:r>
        <w:t>–</w:t>
      </w:r>
      <w:r w:rsidRPr="00B65F7F">
        <w:t xml:space="preserve">5). The aspirations of Yarrabah community members for community health and wellbeing led to the formation of the Yarrabah Aboriginal Council Health Committee, which later incorporated in 1991 (McCalman </w:t>
      </w:r>
      <w:r>
        <w:t>et al</w:t>
      </w:r>
      <w:r w:rsidRPr="00B65F7F">
        <w:t>., 2021a, p</w:t>
      </w:r>
      <w:r>
        <w:t>p. </w:t>
      </w:r>
      <w:r w:rsidRPr="00B65F7F">
        <w:t>4</w:t>
      </w:r>
      <w:r>
        <w:t>–</w:t>
      </w:r>
      <w:r w:rsidRPr="00B65F7F">
        <w:t xml:space="preserve">5; </w:t>
      </w:r>
      <w:r w:rsidRPr="00FB4876">
        <w:t>Campbell</w:t>
      </w:r>
      <w:r w:rsidRPr="00B65F7F">
        <w:t xml:space="preserve"> </w:t>
      </w:r>
      <w:r>
        <w:t>et al</w:t>
      </w:r>
      <w:r w:rsidRPr="00B65F7F">
        <w:t xml:space="preserve">., 2019, </w:t>
      </w:r>
      <w:r>
        <w:t>p. </w:t>
      </w:r>
      <w:r w:rsidRPr="00B65F7F">
        <w:t xml:space="preserve">7). In 1997, the Yarrabah Aboriginal Council Health Committee submitted a feasibility study to the Queensland Government which ‘led to a renaming as the Yarrabah Health Council, and again in 2000 as Gurriny Yealamucka Health Service’ (McCalman </w:t>
      </w:r>
      <w:r>
        <w:t>et al</w:t>
      </w:r>
      <w:r w:rsidRPr="00B65F7F">
        <w:t>., 2021a, p</w:t>
      </w:r>
      <w:r>
        <w:t>p. </w:t>
      </w:r>
      <w:r w:rsidRPr="00B65F7F">
        <w:t>4</w:t>
      </w:r>
      <w:r>
        <w:t>–</w:t>
      </w:r>
      <w:r w:rsidRPr="00B65F7F">
        <w:t xml:space="preserve">5). </w:t>
      </w:r>
    </w:p>
    <w:p w14:paraId="7561C464" w14:textId="05AFF550" w:rsidR="00406876" w:rsidRPr="00B65F7F" w:rsidRDefault="00406876" w:rsidP="00406876">
      <w:pPr>
        <w:pStyle w:val="CaptionFigure"/>
      </w:pPr>
      <w:bookmarkStart w:id="424" w:name="_Ref151923146"/>
      <w:bookmarkStart w:id="425" w:name="_Toc156932045"/>
      <w:bookmarkStart w:id="426" w:name="_Toc145617780"/>
      <w:r>
        <w:t>Figure A9.</w:t>
      </w:r>
      <w:r>
        <w:fldChar w:fldCharType="begin"/>
      </w:r>
      <w:r>
        <w:instrText>SEQ Figure_A9 \* ARABIC</w:instrText>
      </w:r>
      <w:r>
        <w:fldChar w:fldCharType="separate"/>
      </w:r>
      <w:r w:rsidR="00934D5E">
        <w:rPr>
          <w:noProof/>
        </w:rPr>
        <w:t>3</w:t>
      </w:r>
      <w:r>
        <w:fldChar w:fldCharType="end"/>
      </w:r>
      <w:bookmarkEnd w:id="424"/>
      <w:r>
        <w:t>:</w:t>
      </w:r>
      <w:r w:rsidRPr="00B65F7F">
        <w:t xml:space="preserve"> Gurriny Yealamucka Health Service Aboriginal Corporation transition stages</w:t>
      </w:r>
      <w:bookmarkEnd w:id="425"/>
      <w:r w:rsidRPr="00B65F7F">
        <w:t xml:space="preserve"> </w:t>
      </w:r>
      <w:bookmarkEnd w:id="426"/>
    </w:p>
    <w:p w14:paraId="42B81B53" w14:textId="77777777" w:rsidR="00597B5E" w:rsidRDefault="00597B5E" w:rsidP="00A41213">
      <w:pPr>
        <w:pStyle w:val="BodyText"/>
      </w:pPr>
      <w:r w:rsidRPr="00B65F7F">
        <w:rPr>
          <w:noProof/>
        </w:rPr>
        <w:drawing>
          <wp:inline distT="0" distB="0" distL="0" distR="0" wp14:anchorId="6A0A5A6C" wp14:editId="6F9D46BA">
            <wp:extent cx="6119820" cy="2552700"/>
            <wp:effectExtent l="0" t="0" r="0" b="0"/>
            <wp:docPr id="666226265" name="Picture 666226265" descr="A horizontal timeline running left to right shows a number of milestones in Gurriny Yealamucka’s organisational transition from 1986 to 2020. In Stage 1, from 1986 to 2005, a community-controlled health organisation was established and developed. Stage 2, from 2005 to 2020, involved preparing for transition to full community control of the PHC. The individual milestones are identified in the report."/>
            <wp:cNvGraphicFramePr/>
            <a:graphic xmlns:a="http://schemas.openxmlformats.org/drawingml/2006/main">
              <a:graphicData uri="http://schemas.openxmlformats.org/drawingml/2006/picture">
                <pic:pic xmlns:pic="http://schemas.openxmlformats.org/drawingml/2006/picture">
                  <pic:nvPicPr>
                    <pic:cNvPr id="666226265" name="Picture 666226265" descr="A horizontal timeline running left to right shows a number of milestones in Gurriny Yealamucka’s organisational transition from 1986 to 2020. In Stage 1, from 1986 to 2005, a community-controlled health organisation was established and developed. Stage 2, from 2005 to 2020, involved preparing for transition to full community control of the PHC. The individual milestones are identified in the report."/>
                    <pic:cNvPicPr preferRelativeResize="0"/>
                  </pic:nvPicPr>
                  <pic:blipFill>
                    <a:blip r:embed="rId120">
                      <a:extLst>
                        <a:ext uri="{28A0092B-C50C-407E-A947-70E740481C1C}">
                          <a14:useLocalDpi xmlns:a14="http://schemas.microsoft.com/office/drawing/2010/main"/>
                        </a:ext>
                      </a:extLst>
                    </a:blip>
                    <a:srcRect/>
                    <a:stretch>
                      <a:fillRect/>
                    </a:stretch>
                  </pic:blipFill>
                  <pic:spPr>
                    <a:xfrm>
                      <a:off x="0" y="0"/>
                      <a:ext cx="6119820" cy="2552700"/>
                    </a:xfrm>
                    <a:prstGeom prst="rect">
                      <a:avLst/>
                    </a:prstGeom>
                    <a:ln/>
                  </pic:spPr>
                </pic:pic>
              </a:graphicData>
            </a:graphic>
          </wp:inline>
        </w:drawing>
      </w:r>
    </w:p>
    <w:p w14:paraId="2BFD27AE" w14:textId="77777777" w:rsidR="00406876" w:rsidRPr="00406876" w:rsidRDefault="00406876" w:rsidP="00793E49">
      <w:pPr>
        <w:pStyle w:val="Notes"/>
        <w:spacing w:after="240"/>
      </w:pPr>
      <w:r w:rsidRPr="00406876">
        <w:t>Source: McCalman et al. 2021a, p. 5</w:t>
      </w:r>
    </w:p>
    <w:p w14:paraId="29E80099" w14:textId="1AAD4A95" w:rsidR="00597B5E" w:rsidRDefault="00597B5E" w:rsidP="00793E49">
      <w:pPr>
        <w:pStyle w:val="BodyText"/>
        <w:rPr>
          <w:sz w:val="18"/>
          <w:szCs w:val="18"/>
        </w:rPr>
      </w:pPr>
      <w:r w:rsidRPr="00B65F7F">
        <w:t xml:space="preserve">In 2005, a Deed of Commitment was co-signed by Queensland Health, </w:t>
      </w:r>
      <w:r w:rsidR="00A7033B">
        <w:t>Health</w:t>
      </w:r>
      <w:r w:rsidRPr="00B65F7F">
        <w:t xml:space="preserve">, the Yarrabah Aboriginal Shire Council and Gurriny to transition Queensland Health primary healthcare services delivered by the CHHHS in Yarrabah to Gurriny (Jongen </w:t>
      </w:r>
      <w:r>
        <w:t>et al</w:t>
      </w:r>
      <w:r w:rsidRPr="00B65F7F">
        <w:t xml:space="preserve">., 2020, </w:t>
      </w:r>
      <w:r>
        <w:t>p. </w:t>
      </w:r>
      <w:r w:rsidRPr="00B65F7F">
        <w:t xml:space="preserve">2; McCalman </w:t>
      </w:r>
      <w:r>
        <w:t>et al</w:t>
      </w:r>
      <w:r w:rsidRPr="00B65F7F">
        <w:t xml:space="preserve">., 2021a, </w:t>
      </w:r>
      <w:r>
        <w:t>p. </w:t>
      </w:r>
      <w:r w:rsidRPr="00B65F7F">
        <w:t xml:space="preserve">5). The transition of primary healthcare was operationalised in June 2014 (McCalman </w:t>
      </w:r>
      <w:r>
        <w:t>et al</w:t>
      </w:r>
      <w:r w:rsidRPr="00B65F7F">
        <w:t xml:space="preserve">. 2021a, </w:t>
      </w:r>
      <w:r>
        <w:t>p. </w:t>
      </w:r>
      <w:r w:rsidRPr="00B65F7F">
        <w:t xml:space="preserve">5; Jongen </w:t>
      </w:r>
      <w:r>
        <w:t>et al</w:t>
      </w:r>
      <w:r w:rsidRPr="00B65F7F">
        <w:t xml:space="preserve">., 2020, </w:t>
      </w:r>
      <w:r>
        <w:t>p. </w:t>
      </w:r>
      <w:r w:rsidRPr="00B65F7F">
        <w:t>2). Several enablers and barriers that supported and/or hindered Gurriny’s j</w:t>
      </w:r>
      <w:r w:rsidRPr="00FB4876">
        <w:t xml:space="preserve">ourney to achieve community control of Yarrabah’s primary health control are outlined in </w:t>
      </w:r>
      <w:r w:rsidR="00006B54">
        <w:fldChar w:fldCharType="begin"/>
      </w:r>
      <w:r w:rsidR="00006B54">
        <w:instrText xml:space="preserve"> REF _Ref151923228 \h </w:instrText>
      </w:r>
      <w:r w:rsidR="00006B54">
        <w:fldChar w:fldCharType="separate"/>
      </w:r>
      <w:r w:rsidR="00934D5E">
        <w:t>Table A9.</w:t>
      </w:r>
      <w:r w:rsidR="00934D5E">
        <w:rPr>
          <w:noProof/>
        </w:rPr>
        <w:t>10</w:t>
      </w:r>
      <w:r w:rsidR="00006B54">
        <w:fldChar w:fldCharType="end"/>
      </w:r>
      <w:r>
        <w:t xml:space="preserve"> </w:t>
      </w:r>
      <w:r w:rsidRPr="00FB4876">
        <w:t>below.</w:t>
      </w:r>
      <w:bookmarkStart w:id="427" w:name="_Ref145354628"/>
    </w:p>
    <w:p w14:paraId="446BC4E0" w14:textId="7A0B75BC" w:rsidR="00597B5E" w:rsidRPr="00B65F7F" w:rsidRDefault="00006B54" w:rsidP="00006B54">
      <w:pPr>
        <w:pStyle w:val="CaptionTable"/>
      </w:pPr>
      <w:bookmarkStart w:id="428" w:name="_Ref151923228"/>
      <w:bookmarkStart w:id="429" w:name="_Toc145604959"/>
      <w:bookmarkStart w:id="430" w:name="_Toc145617831"/>
      <w:bookmarkStart w:id="431" w:name="_Toc156932103"/>
      <w:bookmarkEnd w:id="427"/>
      <w:r>
        <w:t>Table A9.</w:t>
      </w:r>
      <w:r>
        <w:fldChar w:fldCharType="begin"/>
      </w:r>
      <w:r>
        <w:instrText xml:space="preserve"> SEQ Table_A9 \* ARABIC </w:instrText>
      </w:r>
      <w:r>
        <w:fldChar w:fldCharType="separate"/>
      </w:r>
      <w:r w:rsidR="00934D5E">
        <w:rPr>
          <w:noProof/>
        </w:rPr>
        <w:t>10</w:t>
      </w:r>
      <w:r>
        <w:fldChar w:fldCharType="end"/>
      </w:r>
      <w:bookmarkEnd w:id="428"/>
      <w:r w:rsidR="00597B5E">
        <w:t xml:space="preserve">: </w:t>
      </w:r>
      <w:r w:rsidR="00597B5E" w:rsidRPr="00B65F7F">
        <w:t>Barriers and enablers to transitioning primary healthcare services to community control in Yarrabah</w:t>
      </w:r>
      <w:bookmarkEnd w:id="429"/>
      <w:bookmarkEnd w:id="430"/>
      <w:bookmarkEnd w:id="431"/>
      <w:r w:rsidR="00597B5E" w:rsidRPr="00B65F7F">
        <w:t xml:space="preserve"> </w:t>
      </w:r>
    </w:p>
    <w:tbl>
      <w:tblPr>
        <w:tblStyle w:val="Newtableforresport"/>
        <w:tblW w:w="9638" w:type="dxa"/>
        <w:tblInd w:w="10" w:type="dxa"/>
        <w:tblLayout w:type="fixed"/>
        <w:tblLook w:val="0620" w:firstRow="1" w:lastRow="0" w:firstColumn="0" w:lastColumn="0" w:noHBand="1" w:noVBand="1"/>
        <w:tblCaption w:val="Table A9.10: Barriers and enablers to transitioning primary healthcare services to community control in Yarrabah "/>
        <w:tblDescription w:val="The table describes barriers and enablers experienced by Yarrabah Aboriginal Shire Council in achieving community control of primary healthcare. The first column describes different factors of transition, or the 'level'. The second column describes the barriers that were experienced in this factor/level of transition. The third column describes enablers that were experienced in this factor/level of transition."/>
      </w:tblPr>
      <w:tblGrid>
        <w:gridCol w:w="1691"/>
        <w:gridCol w:w="4678"/>
        <w:gridCol w:w="3269"/>
      </w:tblGrid>
      <w:tr w:rsidR="00597B5E" w:rsidRPr="0033162B" w14:paraId="3BB4D732" w14:textId="77777777" w:rsidTr="009D4C69">
        <w:trPr>
          <w:cnfStyle w:val="100000000000" w:firstRow="1" w:lastRow="0" w:firstColumn="0" w:lastColumn="0" w:oddVBand="0" w:evenVBand="0" w:oddHBand="0" w:evenHBand="0" w:firstRowFirstColumn="0" w:firstRowLastColumn="0" w:lastRowFirstColumn="0" w:lastRowLastColumn="0"/>
          <w:tblHeader/>
        </w:trPr>
        <w:tc>
          <w:tcPr>
            <w:tcW w:w="1691" w:type="dxa"/>
          </w:tcPr>
          <w:p w14:paraId="756C904D" w14:textId="77777777" w:rsidR="00597B5E" w:rsidRPr="0033162B" w:rsidRDefault="00597B5E" w:rsidP="00793E49">
            <w:pPr>
              <w:pStyle w:val="TableHeading"/>
              <w:keepNext/>
              <w:rPr>
                <w:b w:val="0"/>
              </w:rPr>
            </w:pPr>
            <w:r w:rsidRPr="0033162B">
              <w:t>Level</w:t>
            </w:r>
          </w:p>
        </w:tc>
        <w:tc>
          <w:tcPr>
            <w:tcW w:w="4678" w:type="dxa"/>
          </w:tcPr>
          <w:p w14:paraId="60E8CC63" w14:textId="77777777" w:rsidR="00597B5E" w:rsidRPr="0033162B" w:rsidRDefault="00597B5E" w:rsidP="00024E8D">
            <w:pPr>
              <w:pStyle w:val="TableHeading"/>
              <w:rPr>
                <w:b w:val="0"/>
              </w:rPr>
            </w:pPr>
            <w:r w:rsidRPr="0033162B">
              <w:t>Barriers</w:t>
            </w:r>
          </w:p>
        </w:tc>
        <w:tc>
          <w:tcPr>
            <w:tcW w:w="3269" w:type="dxa"/>
          </w:tcPr>
          <w:p w14:paraId="5DF5D9E4" w14:textId="77777777" w:rsidR="00597B5E" w:rsidRPr="0033162B" w:rsidRDefault="00597B5E" w:rsidP="00024E8D">
            <w:pPr>
              <w:pStyle w:val="TableHeading"/>
              <w:rPr>
                <w:b w:val="0"/>
              </w:rPr>
            </w:pPr>
            <w:r w:rsidRPr="0033162B">
              <w:t>Enablers</w:t>
            </w:r>
          </w:p>
        </w:tc>
      </w:tr>
      <w:tr w:rsidR="00597B5E" w:rsidRPr="00B65F7F" w14:paraId="44F0A95B" w14:textId="77777777" w:rsidTr="006F6DD1">
        <w:tc>
          <w:tcPr>
            <w:tcW w:w="1691" w:type="dxa"/>
          </w:tcPr>
          <w:p w14:paraId="23B06B10" w14:textId="77777777" w:rsidR="00597B5E" w:rsidRPr="00B65F7F" w:rsidRDefault="00597B5E" w:rsidP="00793E49">
            <w:pPr>
              <w:pStyle w:val="TableText"/>
              <w:keepNext/>
            </w:pPr>
            <w:r w:rsidRPr="00B65F7F">
              <w:t>Internal Gurriny factors</w:t>
            </w:r>
          </w:p>
        </w:tc>
        <w:tc>
          <w:tcPr>
            <w:tcW w:w="4678" w:type="dxa"/>
          </w:tcPr>
          <w:p w14:paraId="42080CBE" w14:textId="77777777" w:rsidR="00597B5E" w:rsidRPr="00B65F7F" w:rsidRDefault="00597B5E" w:rsidP="006F6DD1">
            <w:pPr>
              <w:pStyle w:val="TableTextbullets"/>
              <w:ind w:left="367"/>
            </w:pPr>
            <w:r w:rsidRPr="00B65F7F">
              <w:t>Gurriny’s lack of experience and capacity</w:t>
            </w:r>
          </w:p>
          <w:p w14:paraId="49DDBD40" w14:textId="77777777" w:rsidR="00597B5E" w:rsidRPr="00B65F7F" w:rsidRDefault="00597B5E" w:rsidP="006F6DD1">
            <w:pPr>
              <w:pStyle w:val="TableTextbullets"/>
              <w:ind w:left="367"/>
            </w:pPr>
            <w:r w:rsidRPr="00B65F7F">
              <w:t>Lack of community confidence</w:t>
            </w:r>
          </w:p>
        </w:tc>
        <w:tc>
          <w:tcPr>
            <w:tcW w:w="3269" w:type="dxa"/>
          </w:tcPr>
          <w:p w14:paraId="5AB20D20" w14:textId="77777777" w:rsidR="00597B5E" w:rsidRPr="00B65F7F" w:rsidRDefault="00597B5E" w:rsidP="006F6DD1">
            <w:pPr>
              <w:pStyle w:val="TableTextbullets"/>
              <w:ind w:left="367"/>
            </w:pPr>
            <w:r w:rsidRPr="00B65F7F">
              <w:t>Gurriny’s leadership stability and capacity</w:t>
            </w:r>
          </w:p>
          <w:p w14:paraId="7BAE6C66" w14:textId="77777777" w:rsidR="00597B5E" w:rsidRPr="00B65F7F" w:rsidRDefault="00597B5E" w:rsidP="006F6DD1">
            <w:pPr>
              <w:pStyle w:val="TableTextbullets"/>
              <w:ind w:left="367"/>
            </w:pPr>
            <w:r w:rsidRPr="00B65F7F">
              <w:t>Community mandate</w:t>
            </w:r>
          </w:p>
          <w:p w14:paraId="6D8174D8" w14:textId="77777777" w:rsidR="00597B5E" w:rsidRPr="00B65F7F" w:rsidRDefault="00597B5E" w:rsidP="006F6DD1">
            <w:pPr>
              <w:pStyle w:val="TableTextbullets"/>
              <w:ind w:left="367"/>
            </w:pPr>
            <w:r w:rsidRPr="00B65F7F">
              <w:t>Relationships, negotiation and collaboration with partner organisations</w:t>
            </w:r>
          </w:p>
          <w:p w14:paraId="1A6C82F9" w14:textId="77777777" w:rsidR="00597B5E" w:rsidRPr="00B65F7F" w:rsidRDefault="00597B5E" w:rsidP="006F6DD1">
            <w:pPr>
              <w:pStyle w:val="TableTextbullets"/>
              <w:ind w:left="367"/>
            </w:pPr>
            <w:r w:rsidRPr="00B65F7F">
              <w:t>Ability to provide service continuity</w:t>
            </w:r>
          </w:p>
          <w:p w14:paraId="4FE951B7" w14:textId="77777777" w:rsidR="00597B5E" w:rsidRPr="00B65F7F" w:rsidRDefault="00597B5E" w:rsidP="006F6DD1">
            <w:pPr>
              <w:pStyle w:val="TableTextbullets"/>
              <w:ind w:left="367"/>
            </w:pPr>
            <w:r w:rsidRPr="00B65F7F">
              <w:t>Performance frameworks to keep transition progress on track</w:t>
            </w:r>
          </w:p>
        </w:tc>
      </w:tr>
      <w:tr w:rsidR="00597B5E" w:rsidRPr="00B65F7F" w14:paraId="7DF757E1" w14:textId="77777777" w:rsidTr="006F6DD1">
        <w:tc>
          <w:tcPr>
            <w:tcW w:w="1691" w:type="dxa"/>
          </w:tcPr>
          <w:p w14:paraId="5F9DD3A9" w14:textId="77777777" w:rsidR="00597B5E" w:rsidRPr="00B65F7F" w:rsidRDefault="00597B5E" w:rsidP="00793E49">
            <w:pPr>
              <w:pStyle w:val="TableText"/>
              <w:keepNext/>
            </w:pPr>
            <w:r w:rsidRPr="00B65F7F">
              <w:t>Relationships with CHHHS</w:t>
            </w:r>
          </w:p>
        </w:tc>
        <w:tc>
          <w:tcPr>
            <w:tcW w:w="4678" w:type="dxa"/>
          </w:tcPr>
          <w:p w14:paraId="44CDDECC" w14:textId="77777777" w:rsidR="00597B5E" w:rsidRPr="00B65F7F" w:rsidRDefault="00597B5E" w:rsidP="006F6DD1">
            <w:pPr>
              <w:pStyle w:val="TableTextbullets"/>
              <w:ind w:left="367"/>
            </w:pPr>
            <w:r w:rsidRPr="00B65F7F">
              <w:t xml:space="preserve">A lack of certainty, transparency and prioritisation of the transition </w:t>
            </w:r>
            <w:r>
              <w:t>process</w:t>
            </w:r>
            <w:r w:rsidRPr="00B65F7F">
              <w:t xml:space="preserve"> by Queensland Health</w:t>
            </w:r>
          </w:p>
          <w:p w14:paraId="28E9213C" w14:textId="77777777" w:rsidR="00597B5E" w:rsidRPr="00B65F7F" w:rsidRDefault="00597B5E" w:rsidP="006F6DD1">
            <w:pPr>
              <w:pStyle w:val="TableTextbullets"/>
              <w:ind w:left="367"/>
            </w:pPr>
            <w:r w:rsidRPr="00B65F7F">
              <w:t>Systemic racism, power imbalances and lack of trust</w:t>
            </w:r>
          </w:p>
          <w:p w14:paraId="12ACCE92" w14:textId="77777777" w:rsidR="00597B5E" w:rsidRPr="00B65F7F" w:rsidRDefault="00597B5E" w:rsidP="006F6DD1">
            <w:pPr>
              <w:pStyle w:val="TableTextbullets"/>
              <w:ind w:left="367"/>
            </w:pPr>
            <w:r w:rsidRPr="00B65F7F">
              <w:t>Difficulties obtaining and maintain</w:t>
            </w:r>
            <w:r>
              <w:t>ing</w:t>
            </w:r>
            <w:r w:rsidRPr="00B65F7F">
              <w:t xml:space="preserve"> the necessary workforce, including CHHHS staff resistance to transition</w:t>
            </w:r>
          </w:p>
          <w:p w14:paraId="0A7D6D5E" w14:textId="77777777" w:rsidR="00597B5E" w:rsidRPr="00B65F7F" w:rsidRDefault="00597B5E" w:rsidP="006F6DD1">
            <w:pPr>
              <w:pStyle w:val="TableTextbullets"/>
              <w:ind w:left="367"/>
            </w:pPr>
            <w:r w:rsidRPr="00B65F7F">
              <w:t>Limited resources, including insufficient, unstable or inappropriate funding support</w:t>
            </w:r>
          </w:p>
          <w:p w14:paraId="08D956B7" w14:textId="77777777" w:rsidR="00597B5E" w:rsidRPr="00B65F7F" w:rsidRDefault="00597B5E" w:rsidP="006F6DD1">
            <w:pPr>
              <w:pStyle w:val="TableTextbullets"/>
              <w:ind w:left="367"/>
            </w:pPr>
            <w:r w:rsidRPr="00B65F7F">
              <w:t>Ongoing problems with client information sharing</w:t>
            </w:r>
          </w:p>
        </w:tc>
        <w:tc>
          <w:tcPr>
            <w:tcW w:w="3269" w:type="dxa"/>
          </w:tcPr>
          <w:p w14:paraId="14E05A5D" w14:textId="77777777" w:rsidR="00597B5E" w:rsidRPr="00B65F7F" w:rsidRDefault="00597B5E" w:rsidP="006F6DD1">
            <w:pPr>
              <w:pStyle w:val="TableTextbullets"/>
              <w:ind w:left="367"/>
            </w:pPr>
            <w:r w:rsidRPr="00B65F7F">
              <w:t>Clear performance frameworks and guidelines to keep transition progress on track</w:t>
            </w:r>
          </w:p>
        </w:tc>
      </w:tr>
      <w:tr w:rsidR="00597B5E" w:rsidRPr="00B65F7F" w14:paraId="6A94C031" w14:textId="77777777" w:rsidTr="006F6DD1">
        <w:tc>
          <w:tcPr>
            <w:tcW w:w="1691" w:type="dxa"/>
          </w:tcPr>
          <w:p w14:paraId="14F3587D" w14:textId="77777777" w:rsidR="00597B5E" w:rsidRPr="00B65F7F" w:rsidRDefault="00597B5E" w:rsidP="00793E49">
            <w:pPr>
              <w:pStyle w:val="TableText"/>
              <w:keepNext/>
            </w:pPr>
            <w:r w:rsidRPr="00B65F7F">
              <w:t>Broader structural and policy environments</w:t>
            </w:r>
          </w:p>
        </w:tc>
        <w:tc>
          <w:tcPr>
            <w:tcW w:w="4678" w:type="dxa"/>
          </w:tcPr>
          <w:p w14:paraId="56966FBA" w14:textId="77777777" w:rsidR="00597B5E" w:rsidRPr="00B65F7F" w:rsidRDefault="00597B5E" w:rsidP="006F6DD1">
            <w:pPr>
              <w:pStyle w:val="TableTextbullets"/>
              <w:ind w:left="367"/>
            </w:pPr>
            <w:r w:rsidRPr="00B65F7F">
              <w:t xml:space="preserve">An unsupportive Queensland </w:t>
            </w:r>
            <w:r>
              <w:t>G</w:t>
            </w:r>
            <w:r w:rsidRPr="00B65F7F">
              <w:t>overnment policy environment</w:t>
            </w:r>
          </w:p>
          <w:p w14:paraId="644914E0" w14:textId="77777777" w:rsidR="00597B5E" w:rsidRPr="00B65F7F" w:rsidRDefault="00597B5E" w:rsidP="006F6DD1">
            <w:pPr>
              <w:pStyle w:val="TableTextbullets"/>
              <w:ind w:left="367"/>
            </w:pPr>
            <w:r w:rsidRPr="00B65F7F">
              <w:t>Unresponsive government bureaucracy, including a risk-averse and paternalistic Operating Deed and Lease Agreement</w:t>
            </w:r>
          </w:p>
          <w:p w14:paraId="62B2BB33" w14:textId="77777777" w:rsidR="00597B5E" w:rsidRPr="00B65F7F" w:rsidRDefault="00597B5E" w:rsidP="006F6DD1">
            <w:pPr>
              <w:pStyle w:val="TableTextbullets"/>
              <w:ind w:left="367"/>
            </w:pPr>
            <w:r w:rsidRPr="00B65F7F">
              <w:t>Delays, conflicts and divisions</w:t>
            </w:r>
          </w:p>
        </w:tc>
        <w:tc>
          <w:tcPr>
            <w:tcW w:w="3269" w:type="dxa"/>
          </w:tcPr>
          <w:p w14:paraId="7DC48DF5" w14:textId="77777777" w:rsidR="00597B5E" w:rsidRPr="00B65F7F" w:rsidRDefault="00597B5E" w:rsidP="006F6DD1">
            <w:pPr>
              <w:pStyle w:val="TableTextbullets"/>
              <w:ind w:left="367"/>
            </w:pPr>
            <w:r w:rsidRPr="00B65F7F">
              <w:t>High-level Commonwealth and Queensland Health government support and commitment</w:t>
            </w:r>
          </w:p>
          <w:p w14:paraId="7886E88F" w14:textId="77777777" w:rsidR="00597B5E" w:rsidRPr="00B65F7F" w:rsidRDefault="00597B5E" w:rsidP="006F6DD1">
            <w:pPr>
              <w:pStyle w:val="TableTextbullets"/>
              <w:ind w:left="367"/>
            </w:pPr>
            <w:r w:rsidRPr="00B65F7F">
              <w:t>Funding</w:t>
            </w:r>
          </w:p>
        </w:tc>
      </w:tr>
    </w:tbl>
    <w:p w14:paraId="679DF695" w14:textId="77777777" w:rsidR="00597B5E" w:rsidRPr="00B65F7F" w:rsidRDefault="00597B5E" w:rsidP="00597B5E">
      <w:pPr>
        <w:pStyle w:val="Notes"/>
      </w:pPr>
      <w:bookmarkStart w:id="432" w:name="_heading=h.x4ghjy5ii4va" w:colFirst="0" w:colLast="0"/>
      <w:bookmarkEnd w:id="432"/>
      <w:r>
        <w:t>Source: A</w:t>
      </w:r>
      <w:r w:rsidRPr="00B65F7F">
        <w:t xml:space="preserve">dapted from McCalman </w:t>
      </w:r>
      <w:r>
        <w:t>et al</w:t>
      </w:r>
      <w:r w:rsidRPr="00B65F7F">
        <w:t>. 2021</w:t>
      </w:r>
      <w:r>
        <w:t>a</w:t>
      </w:r>
      <w:r w:rsidRPr="00B65F7F">
        <w:t xml:space="preserve"> and Campbell </w:t>
      </w:r>
      <w:r>
        <w:t>et al</w:t>
      </w:r>
      <w:r w:rsidRPr="00B65F7F">
        <w:t>. 2019</w:t>
      </w:r>
    </w:p>
    <w:p w14:paraId="3209A9B7" w14:textId="77777777" w:rsidR="00597B5E" w:rsidRPr="00B65F7F" w:rsidRDefault="00597B5E" w:rsidP="009912B7">
      <w:pPr>
        <w:pStyle w:val="HeadingLevel3NoNumber"/>
      </w:pPr>
      <w:bookmarkStart w:id="433" w:name="_heading=h.nrxzu5dwd1yy" w:colFirst="0" w:colLast="0"/>
      <w:bookmarkEnd w:id="433"/>
      <w:r w:rsidRPr="00B65F7F">
        <w:t>Tackling Indigenous Smoking program</w:t>
      </w:r>
    </w:p>
    <w:p w14:paraId="37C0A76D" w14:textId="77777777" w:rsidR="00597B5E" w:rsidRPr="00B65F7F" w:rsidRDefault="00597B5E" w:rsidP="009912B7">
      <w:pPr>
        <w:pStyle w:val="HeadingLevel4NoNumber"/>
      </w:pPr>
      <w:bookmarkStart w:id="434" w:name="_heading=h.njlgbx527r1" w:colFirst="0" w:colLast="0"/>
      <w:bookmarkEnd w:id="434"/>
      <w:r w:rsidRPr="00B65F7F">
        <w:t>Key findings</w:t>
      </w:r>
    </w:p>
    <w:p w14:paraId="74E3C12F" w14:textId="77777777" w:rsidR="00597B5E" w:rsidRPr="00B65F7F" w:rsidRDefault="00597B5E" w:rsidP="00793E49">
      <w:pPr>
        <w:pStyle w:val="ListBullet2"/>
      </w:pPr>
      <w:r w:rsidRPr="00B65F7F">
        <w:t xml:space="preserve">The Tackling Indigenous Smoking </w:t>
      </w:r>
      <w:r w:rsidR="00554877">
        <w:t xml:space="preserve">(TIS) </w:t>
      </w:r>
      <w:r w:rsidRPr="00B65F7F">
        <w:t>program employs a flexible funding arrangement that enables organisations to select from a variety of evidence-based approaches that ‘best suit the local context and utilise their strengths’ (</w:t>
      </w:r>
      <w:r w:rsidRPr="00FB4876">
        <w:t>Tackling</w:t>
      </w:r>
      <w:r w:rsidRPr="00B65F7F">
        <w:t xml:space="preserve"> Indigenous Smoking, n.d.)</w:t>
      </w:r>
    </w:p>
    <w:p w14:paraId="607717F1" w14:textId="25977B33" w:rsidR="00597B5E" w:rsidRPr="00B65F7F" w:rsidRDefault="00006B54" w:rsidP="00006B54">
      <w:pPr>
        <w:pStyle w:val="CaptionTable"/>
      </w:pPr>
      <w:bookmarkStart w:id="435" w:name="_heading=h.aod63hhh0bof" w:colFirst="0" w:colLast="0"/>
      <w:bookmarkStart w:id="436" w:name="_Toc145604960"/>
      <w:bookmarkStart w:id="437" w:name="_Toc145617832"/>
      <w:bookmarkStart w:id="438" w:name="_Toc156932104"/>
      <w:bookmarkEnd w:id="435"/>
      <w:r>
        <w:t>Table A9.</w:t>
      </w:r>
      <w:r>
        <w:fldChar w:fldCharType="begin"/>
      </w:r>
      <w:r>
        <w:instrText xml:space="preserve"> SEQ Table_A9 \* ARABIC </w:instrText>
      </w:r>
      <w:r>
        <w:fldChar w:fldCharType="separate"/>
      </w:r>
      <w:r w:rsidR="00934D5E">
        <w:rPr>
          <w:noProof/>
        </w:rPr>
        <w:t>11</w:t>
      </w:r>
      <w:r>
        <w:fldChar w:fldCharType="end"/>
      </w:r>
      <w:r w:rsidR="00597B5E">
        <w:t>:</w:t>
      </w:r>
      <w:r w:rsidR="00DD0673">
        <w:t xml:space="preserve"> </w:t>
      </w:r>
      <w:r w:rsidR="00597B5E" w:rsidRPr="00B65F7F">
        <w:t>Tackling Indigenous Smoking program alignment with guiding principles</w:t>
      </w:r>
      <w:bookmarkEnd w:id="436"/>
      <w:bookmarkEnd w:id="437"/>
      <w:bookmarkEnd w:id="438"/>
    </w:p>
    <w:tbl>
      <w:tblPr>
        <w:tblStyle w:val="Newtableforresport"/>
        <w:tblW w:w="9618" w:type="dxa"/>
        <w:tblInd w:w="10" w:type="dxa"/>
        <w:tblLayout w:type="fixed"/>
        <w:tblLook w:val="0420" w:firstRow="1" w:lastRow="0" w:firstColumn="0" w:lastColumn="0" w:noHBand="0" w:noVBand="1"/>
        <w:tblCaption w:val="Table A9.11: Tackling Indigenous Smoking program alignment with guiding principles"/>
        <w:tblDescription w:val="The table describes how the guiding principles of funding transition align with the Tackling Indigenous Smoking program. The first column lists the guiding principles of funding transition. The second column provides a description of how the Tackling Indigenous Smoking program aligns with the relevant guiding principle in the first column. "/>
      </w:tblPr>
      <w:tblGrid>
        <w:gridCol w:w="3534"/>
        <w:gridCol w:w="6084"/>
      </w:tblGrid>
      <w:tr w:rsidR="00597B5E" w:rsidRPr="0033162B" w14:paraId="75C79AAC" w14:textId="77777777" w:rsidTr="009D4C69">
        <w:trPr>
          <w:cnfStyle w:val="100000000000" w:firstRow="1" w:lastRow="0" w:firstColumn="0" w:lastColumn="0" w:oddVBand="0" w:evenVBand="0" w:oddHBand="0" w:evenHBand="0" w:firstRowFirstColumn="0" w:firstRowLastColumn="0" w:lastRowFirstColumn="0" w:lastRowLastColumn="0"/>
          <w:tblHeader/>
        </w:trPr>
        <w:tc>
          <w:tcPr>
            <w:tcW w:w="3534" w:type="dxa"/>
          </w:tcPr>
          <w:p w14:paraId="53DE59BB" w14:textId="77777777" w:rsidR="00597B5E" w:rsidRPr="0033162B" w:rsidRDefault="00597B5E" w:rsidP="00024E8D">
            <w:pPr>
              <w:pStyle w:val="TableHeading"/>
              <w:rPr>
                <w:b w:val="0"/>
              </w:rPr>
            </w:pPr>
            <w:r w:rsidRPr="0033162B">
              <w:t>Guiding principle</w:t>
            </w:r>
          </w:p>
        </w:tc>
        <w:tc>
          <w:tcPr>
            <w:tcW w:w="6084" w:type="dxa"/>
          </w:tcPr>
          <w:p w14:paraId="14254B54" w14:textId="77777777" w:rsidR="00597B5E" w:rsidRPr="0033162B" w:rsidRDefault="00597B5E" w:rsidP="00024E8D">
            <w:pPr>
              <w:pStyle w:val="TableHeading"/>
              <w:rPr>
                <w:b w:val="0"/>
              </w:rPr>
            </w:pPr>
            <w:r w:rsidRPr="0033162B">
              <w:t>Description</w:t>
            </w:r>
          </w:p>
        </w:tc>
      </w:tr>
      <w:tr w:rsidR="00597B5E" w:rsidRPr="00B65F7F" w14:paraId="61CD486A" w14:textId="77777777" w:rsidTr="006F6DD1">
        <w:trPr>
          <w:cnfStyle w:val="000000100000" w:firstRow="0" w:lastRow="0" w:firstColumn="0" w:lastColumn="0" w:oddVBand="0" w:evenVBand="0" w:oddHBand="1" w:evenHBand="0" w:firstRowFirstColumn="0" w:firstRowLastColumn="0" w:lastRowFirstColumn="0" w:lastRowLastColumn="0"/>
        </w:trPr>
        <w:tc>
          <w:tcPr>
            <w:tcW w:w="3534" w:type="dxa"/>
          </w:tcPr>
          <w:p w14:paraId="0585AB6E" w14:textId="77777777" w:rsidR="00597B5E" w:rsidRPr="00B65F7F" w:rsidRDefault="00597B5E" w:rsidP="00793E49">
            <w:pPr>
              <w:pStyle w:val="TableText"/>
            </w:pPr>
            <w:r w:rsidRPr="00B65F7F">
              <w:t>Indigenous self-determination</w:t>
            </w:r>
          </w:p>
        </w:tc>
        <w:tc>
          <w:tcPr>
            <w:tcW w:w="6084" w:type="dxa"/>
            <w:vMerge w:val="restart"/>
          </w:tcPr>
          <w:p w14:paraId="740E407F" w14:textId="77777777" w:rsidR="00597B5E" w:rsidRPr="00B65F7F" w:rsidRDefault="00597B5E" w:rsidP="00793E49">
            <w:pPr>
              <w:pStyle w:val="TableText"/>
            </w:pPr>
            <w:r w:rsidRPr="00B65F7F">
              <w:t xml:space="preserve">The Tackling Indigenous Smoking program is an Indigenous-led program that aims to improve health and wellbeing outcomes for </w:t>
            </w:r>
            <w:r>
              <w:t>Aboriginal and/or Torres Strait Islander</w:t>
            </w:r>
            <w:r w:rsidRPr="00B65F7F">
              <w:t xml:space="preserve"> people through health promotion activities co-designed by communities (</w:t>
            </w:r>
            <w:r w:rsidRPr="00B32E1C">
              <w:t>Department</w:t>
            </w:r>
            <w:r w:rsidRPr="00B65F7F">
              <w:t xml:space="preserve"> of Health and Aged Care, 2022). These initiatives are culturally appropriate and responsive to local needs and aim to build on the existing strengths of communities.</w:t>
            </w:r>
          </w:p>
        </w:tc>
      </w:tr>
      <w:tr w:rsidR="00597B5E" w:rsidRPr="00B65F7F" w14:paraId="56B4ED80" w14:textId="77777777" w:rsidTr="006F6DD1">
        <w:trPr>
          <w:cnfStyle w:val="000000010000" w:firstRow="0" w:lastRow="0" w:firstColumn="0" w:lastColumn="0" w:oddVBand="0" w:evenVBand="0" w:oddHBand="0" w:evenHBand="1" w:firstRowFirstColumn="0" w:firstRowLastColumn="0" w:lastRowFirstColumn="0" w:lastRowLastColumn="0"/>
        </w:trPr>
        <w:tc>
          <w:tcPr>
            <w:tcW w:w="3534" w:type="dxa"/>
          </w:tcPr>
          <w:p w14:paraId="1B5FE327" w14:textId="77777777" w:rsidR="00597B5E" w:rsidRPr="00B65F7F" w:rsidRDefault="00597B5E" w:rsidP="00793E49">
            <w:pPr>
              <w:pStyle w:val="TableText"/>
            </w:pPr>
            <w:r w:rsidRPr="00B65F7F">
              <w:t>Strengths-based and place-based approaches</w:t>
            </w:r>
          </w:p>
        </w:tc>
        <w:tc>
          <w:tcPr>
            <w:tcW w:w="6084" w:type="dxa"/>
            <w:vMerge/>
          </w:tcPr>
          <w:p w14:paraId="4899FE13" w14:textId="77777777" w:rsidR="00597B5E" w:rsidRPr="00B65F7F" w:rsidRDefault="00597B5E" w:rsidP="00793E49">
            <w:pPr>
              <w:pStyle w:val="TableText"/>
            </w:pPr>
          </w:p>
        </w:tc>
      </w:tr>
      <w:tr w:rsidR="00597B5E" w:rsidRPr="00B65F7F" w14:paraId="67ED88F8" w14:textId="77777777" w:rsidTr="006F6DD1">
        <w:trPr>
          <w:cnfStyle w:val="000000100000" w:firstRow="0" w:lastRow="0" w:firstColumn="0" w:lastColumn="0" w:oddVBand="0" w:evenVBand="0" w:oddHBand="1" w:evenHBand="0" w:firstRowFirstColumn="0" w:firstRowLastColumn="0" w:lastRowFirstColumn="0" w:lastRowLastColumn="0"/>
        </w:trPr>
        <w:tc>
          <w:tcPr>
            <w:tcW w:w="3534" w:type="dxa"/>
          </w:tcPr>
          <w:p w14:paraId="76083617" w14:textId="77777777" w:rsidR="00597B5E" w:rsidRPr="00B65F7F" w:rsidRDefault="00597B5E" w:rsidP="00793E49">
            <w:pPr>
              <w:pStyle w:val="TableText"/>
            </w:pPr>
            <w:r w:rsidRPr="00B65F7F">
              <w:t>Culturally safe and responsive healthcare</w:t>
            </w:r>
          </w:p>
        </w:tc>
        <w:tc>
          <w:tcPr>
            <w:tcW w:w="6084" w:type="dxa"/>
            <w:vMerge/>
          </w:tcPr>
          <w:p w14:paraId="34101475" w14:textId="77777777" w:rsidR="00597B5E" w:rsidRPr="00B65F7F" w:rsidRDefault="00597B5E" w:rsidP="00793E49">
            <w:pPr>
              <w:pStyle w:val="TableText"/>
            </w:pPr>
          </w:p>
        </w:tc>
      </w:tr>
      <w:tr w:rsidR="00597B5E" w:rsidRPr="00B65F7F" w14:paraId="35736BD6" w14:textId="77777777" w:rsidTr="006F6DD1">
        <w:trPr>
          <w:cnfStyle w:val="000000010000" w:firstRow="0" w:lastRow="0" w:firstColumn="0" w:lastColumn="0" w:oddVBand="0" w:evenVBand="0" w:oddHBand="0" w:evenHBand="1" w:firstRowFirstColumn="0" w:firstRowLastColumn="0" w:lastRowFirstColumn="0" w:lastRowLastColumn="0"/>
        </w:trPr>
        <w:tc>
          <w:tcPr>
            <w:tcW w:w="3534" w:type="dxa"/>
          </w:tcPr>
          <w:p w14:paraId="1EAC8257" w14:textId="77777777" w:rsidR="00597B5E" w:rsidRPr="00B65F7F" w:rsidRDefault="00597B5E" w:rsidP="00793E49">
            <w:pPr>
              <w:pStyle w:val="TableText"/>
            </w:pPr>
            <w:r w:rsidRPr="00B65F7F">
              <w:t>Community partnerships, co-design and ownership</w:t>
            </w:r>
          </w:p>
        </w:tc>
        <w:tc>
          <w:tcPr>
            <w:tcW w:w="6084" w:type="dxa"/>
          </w:tcPr>
          <w:p w14:paraId="5B10FAD4" w14:textId="77777777" w:rsidR="00597B5E" w:rsidRPr="00B65F7F" w:rsidRDefault="00597B5E" w:rsidP="00793E49">
            <w:pPr>
              <w:pStyle w:val="TableText"/>
            </w:pPr>
            <w:r w:rsidRPr="00B65F7F">
              <w:t xml:space="preserve">The National Best Practice Unit Tackling Indigenous Smoking serves as a support mechanism to enable organisations to deliver Tackling Indigenous Smoking programs (Tackling Indigenous Smoking, n.d.; </w:t>
            </w:r>
            <w:r w:rsidRPr="00B32E1C">
              <w:t>Cultural</w:t>
            </w:r>
            <w:r w:rsidRPr="00B65F7F">
              <w:t xml:space="preserve"> &amp; Indigenous Research Centre Australia, 2022, </w:t>
            </w:r>
            <w:r>
              <w:t>p. </w:t>
            </w:r>
            <w:r w:rsidRPr="00B65F7F">
              <w:t xml:space="preserve">5). </w:t>
            </w:r>
          </w:p>
        </w:tc>
      </w:tr>
      <w:tr w:rsidR="00597B5E" w:rsidRPr="00B65F7F" w14:paraId="7D218A4A" w14:textId="77777777" w:rsidTr="006F6DD1">
        <w:trPr>
          <w:cnfStyle w:val="000000100000" w:firstRow="0" w:lastRow="0" w:firstColumn="0" w:lastColumn="0" w:oddVBand="0" w:evenVBand="0" w:oddHBand="1" w:evenHBand="0" w:firstRowFirstColumn="0" w:firstRowLastColumn="0" w:lastRowFirstColumn="0" w:lastRowLastColumn="0"/>
        </w:trPr>
        <w:tc>
          <w:tcPr>
            <w:tcW w:w="3534" w:type="dxa"/>
          </w:tcPr>
          <w:p w14:paraId="27FCBBE6" w14:textId="77777777" w:rsidR="00597B5E" w:rsidRPr="00B65F7F" w:rsidRDefault="00597B5E" w:rsidP="00793E49">
            <w:pPr>
              <w:pStyle w:val="TableText"/>
            </w:pPr>
            <w:r w:rsidRPr="00B65F7F">
              <w:t>Indigenous governance and leadership</w:t>
            </w:r>
          </w:p>
        </w:tc>
        <w:tc>
          <w:tcPr>
            <w:tcW w:w="6084" w:type="dxa"/>
          </w:tcPr>
          <w:p w14:paraId="25C12127" w14:textId="77777777" w:rsidR="00597B5E" w:rsidRPr="00B65F7F" w:rsidRDefault="00597B5E" w:rsidP="00793E49">
            <w:pPr>
              <w:pStyle w:val="TableText"/>
            </w:pPr>
            <w:r w:rsidRPr="00B65F7F">
              <w:t>The National Coordinator for Tackling Indigenous Smoking is Professor Tom Calma AO who ‘delivers advice to the Australian Government about policy development and implementation’ and ‘provides leadership, support and mentoring to Tackling Indigenous Smoking funding recipients’ (Tackling Indigenous Smoking, n.d.).</w:t>
            </w:r>
          </w:p>
        </w:tc>
      </w:tr>
    </w:tbl>
    <w:p w14:paraId="0AC330C6" w14:textId="77777777" w:rsidR="00597B5E" w:rsidRPr="00B65F7F" w:rsidRDefault="00597B5E" w:rsidP="009912B7">
      <w:pPr>
        <w:pStyle w:val="HeadingLevel4NoNumber"/>
      </w:pPr>
      <w:bookmarkStart w:id="439" w:name="_heading=h.qhapzuyk941c" w:colFirst="0" w:colLast="0"/>
      <w:bookmarkEnd w:id="439"/>
      <w:r w:rsidRPr="00B65F7F">
        <w:t>Overview</w:t>
      </w:r>
    </w:p>
    <w:p w14:paraId="7D32C104" w14:textId="77777777" w:rsidR="00597B5E" w:rsidRPr="00B65F7F" w:rsidRDefault="00597B5E" w:rsidP="00793E49">
      <w:pPr>
        <w:pStyle w:val="BodyText"/>
      </w:pPr>
      <w:r w:rsidRPr="00B65F7F">
        <w:t xml:space="preserve">The TIS program is an Indigenous-led program that aims to raise awareness about the harms of smoking, vaping and second-hand smoking and improve health outcomes by reducing the prevalence of tobacco use through health promotion activities in communities (Department of Health and Aged Care, 2022). </w:t>
      </w:r>
    </w:p>
    <w:p w14:paraId="1F23B349" w14:textId="77777777" w:rsidR="00597B5E" w:rsidRPr="00B65F7F" w:rsidRDefault="00597B5E" w:rsidP="00793E49">
      <w:pPr>
        <w:pStyle w:val="BodyText"/>
      </w:pPr>
      <w:r w:rsidRPr="00B65F7F">
        <w:t xml:space="preserve">The TIS program utilises a flexible, grant-based funding arrangement that enables organisations to select from a variety of evidence-based approaches that ‘best suit the local context and utilise their strengths’ (Tackling Indigenous Smoking, n.d.). </w:t>
      </w:r>
      <w:r>
        <w:t>Thirty-seven</w:t>
      </w:r>
      <w:r w:rsidRPr="00B65F7F">
        <w:t xml:space="preserve"> organisations are funded through regional grants to deliver culturally appropriate population health promotion activities relating to tobacco control that meet the unique needs of different populations within a given region (Tackling Indigenous Smoking n.d.; Cultural &amp; Indigenous Research Centre Australia 2022, </w:t>
      </w:r>
      <w:r>
        <w:t>p. </w:t>
      </w:r>
      <w:r w:rsidRPr="00B65F7F">
        <w:t xml:space="preserve">2) An evaluation by the Cultural &amp; Indigenous Research Centre Australia found that TIS-funded organisations were ‘effectively engaging’ with community organisations, leaders and members to co-design activities, produce local resources and deliver ‘locally relevant activities that have community support’ (Cultural &amp; Indigenous Research Centre Australia, 2022, </w:t>
      </w:r>
      <w:r>
        <w:t>p. </w:t>
      </w:r>
      <w:r w:rsidRPr="00B65F7F">
        <w:t xml:space="preserve">3). Funds are managed by </w:t>
      </w:r>
      <w:r w:rsidR="00A7033B">
        <w:t>Health</w:t>
      </w:r>
      <w:r w:rsidRPr="00B65F7F">
        <w:t xml:space="preserve">. </w:t>
      </w:r>
    </w:p>
    <w:p w14:paraId="37A1C286" w14:textId="77777777" w:rsidR="00597B5E" w:rsidRPr="00B65F7F" w:rsidRDefault="00597B5E" w:rsidP="00793E49">
      <w:pPr>
        <w:pStyle w:val="BodyText"/>
        <w:rPr>
          <w:b/>
          <w:sz w:val="32"/>
          <w:szCs w:val="32"/>
        </w:rPr>
      </w:pPr>
      <w:r w:rsidRPr="00B65F7F">
        <w:t>Additionally, funded organisations are supported by the National Best Practice Unit Tackling Indigenous Smoking (NBPU TIS)</w:t>
      </w:r>
      <w:r>
        <w:t>,</w:t>
      </w:r>
      <w:r w:rsidRPr="00B65F7F" w:rsidDel="00A431CB">
        <w:t xml:space="preserve"> </w:t>
      </w:r>
      <w:r w:rsidRPr="00B65F7F">
        <w:t>a Ninti One</w:t>
      </w:r>
      <w:r>
        <w:t>–</w:t>
      </w:r>
      <w:r w:rsidRPr="00B65F7F">
        <w:t xml:space="preserve">led consortium in partnership with the Health Research Institute at the University of Canberra and the Australian Indigenous HealthInfoNet at Edith Cowan University (Tackling Indigenous Smoking, n.d.). The NBPU TIS provides support to TIS-funded organisations, including research and data support, Activity Work Plan development support, monitoring, training and networking support (Tackling Indigenous Smoking, n.d.; Cultural &amp; Indigenous Research Centre Australia, 2022, </w:t>
      </w:r>
      <w:r>
        <w:t>p. </w:t>
      </w:r>
      <w:r w:rsidRPr="00B65F7F">
        <w:t xml:space="preserve">5). </w:t>
      </w:r>
    </w:p>
    <w:p w14:paraId="53B061B3" w14:textId="77777777" w:rsidR="00597B5E" w:rsidRPr="00B65F7F" w:rsidRDefault="004C1AF3" w:rsidP="006734AE">
      <w:pPr>
        <w:pStyle w:val="HeadingLevel2NoNumber"/>
      </w:pPr>
      <w:bookmarkStart w:id="440" w:name="_heading=h.uky6c4w6o3d6" w:colFirst="0" w:colLast="0"/>
      <w:bookmarkEnd w:id="440"/>
      <w:r>
        <w:t>A9.5</w:t>
      </w:r>
      <w:r w:rsidR="00597B5E" w:rsidRPr="00B65F7F">
        <w:t xml:space="preserve"> Funding models, approaches and frameworks: Canada</w:t>
      </w:r>
    </w:p>
    <w:p w14:paraId="30A0F3C2" w14:textId="5A08B4EC" w:rsidR="00597B5E" w:rsidRPr="00B65F7F" w:rsidRDefault="00006B54" w:rsidP="00864FE3">
      <w:pPr>
        <w:pStyle w:val="CaptionTable"/>
        <w:rPr>
          <w:rFonts w:eastAsia="Calibri"/>
        </w:rPr>
      </w:pPr>
      <w:bookmarkStart w:id="441" w:name="_heading=h.47hxl2r" w:colFirst="0" w:colLast="0"/>
      <w:bookmarkStart w:id="442" w:name="_Toc145604961"/>
      <w:bookmarkStart w:id="443" w:name="_Toc145617833"/>
      <w:bookmarkStart w:id="444" w:name="_Toc156932105"/>
      <w:bookmarkEnd w:id="441"/>
      <w:r>
        <w:t>Table A9.</w:t>
      </w:r>
      <w:r>
        <w:fldChar w:fldCharType="begin"/>
      </w:r>
      <w:r>
        <w:instrText xml:space="preserve"> SEQ Table_A9 \* ARABIC </w:instrText>
      </w:r>
      <w:r>
        <w:fldChar w:fldCharType="separate"/>
      </w:r>
      <w:r w:rsidR="00934D5E">
        <w:rPr>
          <w:noProof/>
        </w:rPr>
        <w:t>12</w:t>
      </w:r>
      <w:r>
        <w:fldChar w:fldCharType="end"/>
      </w:r>
      <w:r w:rsidR="00597B5E">
        <w:t>:</w:t>
      </w:r>
      <w:r w:rsidR="00597B5E" w:rsidRPr="00B65F7F">
        <w:rPr>
          <w:rFonts w:eastAsia="Calibri"/>
        </w:rPr>
        <w:t xml:space="preserve"> Glossary of relevant terms in Canada</w:t>
      </w:r>
      <w:bookmarkEnd w:id="442"/>
      <w:bookmarkEnd w:id="443"/>
      <w:bookmarkEnd w:id="444"/>
    </w:p>
    <w:tbl>
      <w:tblPr>
        <w:tblStyle w:val="Newtableforresport"/>
        <w:tblW w:w="9618" w:type="dxa"/>
        <w:tblInd w:w="10" w:type="dxa"/>
        <w:tblLayout w:type="fixed"/>
        <w:tblLook w:val="0420" w:firstRow="1" w:lastRow="0" w:firstColumn="0" w:lastColumn="0" w:noHBand="0" w:noVBand="1"/>
        <w:tblCaption w:val="Table A9.12: Glossary of relevant terms in Canada"/>
        <w:tblDescription w:val="The table provides a glossary of relevant terms relating to funding models, approaches and frameworks used in Canada. The first column lists relevant terms. The second column explains the meaning of the term."/>
      </w:tblPr>
      <w:tblGrid>
        <w:gridCol w:w="1444"/>
        <w:gridCol w:w="8174"/>
      </w:tblGrid>
      <w:tr w:rsidR="00597B5E" w:rsidRPr="0033162B" w14:paraId="5D5A97B3" w14:textId="77777777" w:rsidTr="006F6DD1">
        <w:trPr>
          <w:cnfStyle w:val="100000000000" w:firstRow="1" w:lastRow="0" w:firstColumn="0" w:lastColumn="0" w:oddVBand="0" w:evenVBand="0" w:oddHBand="0" w:evenHBand="0" w:firstRowFirstColumn="0" w:firstRowLastColumn="0" w:lastRowFirstColumn="0" w:lastRowLastColumn="0"/>
          <w:tblHeader/>
        </w:trPr>
        <w:tc>
          <w:tcPr>
            <w:tcW w:w="1444" w:type="dxa"/>
          </w:tcPr>
          <w:p w14:paraId="29B42A40" w14:textId="77777777" w:rsidR="00597B5E" w:rsidRPr="0033162B" w:rsidRDefault="00597B5E" w:rsidP="00024E8D">
            <w:pPr>
              <w:pStyle w:val="TableHeading"/>
              <w:rPr>
                <w:rFonts w:eastAsia="Calibri"/>
                <w:b w:val="0"/>
              </w:rPr>
            </w:pPr>
            <w:r w:rsidRPr="0033162B">
              <w:rPr>
                <w:rFonts w:eastAsia="Calibri"/>
              </w:rPr>
              <w:t>Term</w:t>
            </w:r>
          </w:p>
        </w:tc>
        <w:tc>
          <w:tcPr>
            <w:tcW w:w="8174" w:type="dxa"/>
          </w:tcPr>
          <w:p w14:paraId="7FC5ABBE" w14:textId="77777777" w:rsidR="00597B5E" w:rsidRPr="0033162B" w:rsidRDefault="00597B5E" w:rsidP="00024E8D">
            <w:pPr>
              <w:pStyle w:val="TableHeading"/>
              <w:rPr>
                <w:rFonts w:eastAsia="Calibri"/>
                <w:b w:val="0"/>
              </w:rPr>
            </w:pPr>
            <w:r w:rsidRPr="0033162B">
              <w:rPr>
                <w:rFonts w:eastAsia="Calibri"/>
              </w:rPr>
              <w:t>Meaning</w:t>
            </w:r>
          </w:p>
        </w:tc>
      </w:tr>
      <w:tr w:rsidR="00597B5E" w:rsidRPr="00B65F7F" w14:paraId="08975351" w14:textId="77777777" w:rsidTr="006F6DD1">
        <w:trPr>
          <w:cnfStyle w:val="000000100000" w:firstRow="0" w:lastRow="0" w:firstColumn="0" w:lastColumn="0" w:oddVBand="0" w:evenVBand="0" w:oddHBand="1" w:evenHBand="0" w:firstRowFirstColumn="0" w:firstRowLastColumn="0" w:lastRowFirstColumn="0" w:lastRowLastColumn="0"/>
        </w:trPr>
        <w:tc>
          <w:tcPr>
            <w:tcW w:w="1444" w:type="dxa"/>
          </w:tcPr>
          <w:p w14:paraId="777A9BA5" w14:textId="77777777" w:rsidR="00597B5E" w:rsidRPr="00B65F7F" w:rsidRDefault="00597B5E" w:rsidP="00793E49">
            <w:pPr>
              <w:pStyle w:val="TableText"/>
              <w:rPr>
                <w:rFonts w:eastAsia="Calibri"/>
              </w:rPr>
            </w:pPr>
            <w:r w:rsidRPr="00B65F7F">
              <w:rPr>
                <w:rFonts w:eastAsia="Calibri"/>
              </w:rPr>
              <w:t>First Nations, Inuit and Métis</w:t>
            </w:r>
          </w:p>
        </w:tc>
        <w:tc>
          <w:tcPr>
            <w:tcW w:w="8174" w:type="dxa"/>
          </w:tcPr>
          <w:p w14:paraId="35B1FF2E" w14:textId="77777777" w:rsidR="00597B5E" w:rsidRPr="00B65F7F" w:rsidRDefault="00597B5E" w:rsidP="00793E49">
            <w:pPr>
              <w:pStyle w:val="TableText"/>
              <w:rPr>
                <w:rFonts w:eastAsia="Calibri"/>
              </w:rPr>
            </w:pPr>
            <w:r w:rsidRPr="00B65F7F">
              <w:rPr>
                <w:rFonts w:eastAsia="Calibri"/>
              </w:rPr>
              <w:t>First Nations, Inuit and Métis peoples are the Indigenous peoples of Canada (also known as Turtle Island)</w:t>
            </w:r>
            <w:r>
              <w:rPr>
                <w:rFonts w:eastAsia="Calibri"/>
              </w:rPr>
              <w:t>.</w:t>
            </w:r>
          </w:p>
        </w:tc>
      </w:tr>
      <w:tr w:rsidR="00597B5E" w:rsidRPr="00B65F7F" w14:paraId="55EBC4D4" w14:textId="77777777" w:rsidTr="006F6DD1">
        <w:trPr>
          <w:cnfStyle w:val="000000010000" w:firstRow="0" w:lastRow="0" w:firstColumn="0" w:lastColumn="0" w:oddVBand="0" w:evenVBand="0" w:oddHBand="0" w:evenHBand="1" w:firstRowFirstColumn="0" w:firstRowLastColumn="0" w:lastRowFirstColumn="0" w:lastRowLastColumn="0"/>
        </w:trPr>
        <w:tc>
          <w:tcPr>
            <w:tcW w:w="1444" w:type="dxa"/>
          </w:tcPr>
          <w:p w14:paraId="30640878" w14:textId="77777777" w:rsidR="00597B5E" w:rsidRPr="00B65F7F" w:rsidRDefault="00597B5E" w:rsidP="00793E49">
            <w:pPr>
              <w:pStyle w:val="TableText"/>
              <w:rPr>
                <w:rFonts w:eastAsia="Calibri"/>
              </w:rPr>
            </w:pPr>
            <w:r w:rsidRPr="00B65F7F">
              <w:rPr>
                <w:rFonts w:eastAsia="Calibri"/>
              </w:rPr>
              <w:t>Indian Band (Band)</w:t>
            </w:r>
          </w:p>
        </w:tc>
        <w:tc>
          <w:tcPr>
            <w:tcW w:w="8174" w:type="dxa"/>
          </w:tcPr>
          <w:p w14:paraId="08A5A65C" w14:textId="77777777" w:rsidR="00597B5E" w:rsidRPr="00B65F7F" w:rsidRDefault="00597B5E" w:rsidP="00793E49">
            <w:pPr>
              <w:pStyle w:val="TableText"/>
              <w:rPr>
                <w:rFonts w:eastAsia="Calibri"/>
              </w:rPr>
            </w:pPr>
            <w:r w:rsidRPr="00B65F7F">
              <w:rPr>
                <w:rFonts w:eastAsia="Calibri"/>
              </w:rPr>
              <w:t xml:space="preserve">A Band is a governing unit of First Nations peoples in Canada instituted by the </w:t>
            </w:r>
            <w:r w:rsidRPr="00B65F7F">
              <w:rPr>
                <w:rFonts w:eastAsia="Calibri"/>
                <w:i/>
              </w:rPr>
              <w:t>Indian Act 1876</w:t>
            </w:r>
            <w:r w:rsidRPr="00B65F7F">
              <w:rPr>
                <w:rFonts w:eastAsia="Calibri"/>
              </w:rPr>
              <w:t>. Bands were established as part of early colonial policy to assimilate Canada’s Indigenous peoples by disrupting traditional forms of governance (University of British Columbia, n.d.)</w:t>
            </w:r>
            <w:r>
              <w:rPr>
                <w:rFonts w:eastAsia="Calibri"/>
              </w:rPr>
              <w:t>.</w:t>
            </w:r>
          </w:p>
        </w:tc>
      </w:tr>
      <w:tr w:rsidR="00597B5E" w:rsidRPr="00B65F7F" w14:paraId="32B881AB" w14:textId="77777777" w:rsidTr="006F6DD1">
        <w:trPr>
          <w:cnfStyle w:val="000000100000" w:firstRow="0" w:lastRow="0" w:firstColumn="0" w:lastColumn="0" w:oddVBand="0" w:evenVBand="0" w:oddHBand="1" w:evenHBand="0" w:firstRowFirstColumn="0" w:firstRowLastColumn="0" w:lastRowFirstColumn="0" w:lastRowLastColumn="0"/>
        </w:trPr>
        <w:tc>
          <w:tcPr>
            <w:tcW w:w="1444" w:type="dxa"/>
          </w:tcPr>
          <w:p w14:paraId="50EAD5B4" w14:textId="77777777" w:rsidR="00597B5E" w:rsidRPr="00B65F7F" w:rsidRDefault="00597B5E" w:rsidP="00793E49">
            <w:pPr>
              <w:pStyle w:val="TableText"/>
              <w:rPr>
                <w:rFonts w:eastAsia="Calibri"/>
              </w:rPr>
            </w:pPr>
            <w:r w:rsidRPr="00B65F7F">
              <w:rPr>
                <w:rFonts w:eastAsia="Calibri"/>
              </w:rPr>
              <w:t>Tribal Council</w:t>
            </w:r>
          </w:p>
        </w:tc>
        <w:tc>
          <w:tcPr>
            <w:tcW w:w="8174" w:type="dxa"/>
          </w:tcPr>
          <w:p w14:paraId="5C152851" w14:textId="77777777" w:rsidR="00597B5E" w:rsidRPr="00B65F7F" w:rsidRDefault="00597B5E" w:rsidP="00793E49">
            <w:pPr>
              <w:pStyle w:val="TableText"/>
              <w:rPr>
                <w:rFonts w:eastAsia="Calibri"/>
              </w:rPr>
            </w:pPr>
            <w:r w:rsidRPr="00B65F7F">
              <w:rPr>
                <w:rFonts w:eastAsia="Calibri"/>
              </w:rPr>
              <w:t>An organisation established by several First Nations with common interests who voluntarily come together to provide capacity building and/or programs and services to Member First Nations (</w:t>
            </w:r>
            <w:r w:rsidRPr="00B32E1C">
              <w:rPr>
                <w:rFonts w:eastAsia="Calibri"/>
              </w:rPr>
              <w:t>Indigenous</w:t>
            </w:r>
            <w:r w:rsidRPr="00B65F7F">
              <w:rPr>
                <w:rFonts w:eastAsia="Calibri"/>
              </w:rPr>
              <w:t xml:space="preserve"> Services Canada, 2019a)</w:t>
            </w:r>
            <w:r>
              <w:rPr>
                <w:rFonts w:eastAsia="Calibri"/>
              </w:rPr>
              <w:t>.</w:t>
            </w:r>
          </w:p>
        </w:tc>
      </w:tr>
      <w:tr w:rsidR="00597B5E" w:rsidRPr="00B65F7F" w14:paraId="64A1EC45" w14:textId="77777777" w:rsidTr="006F6DD1">
        <w:trPr>
          <w:cnfStyle w:val="000000010000" w:firstRow="0" w:lastRow="0" w:firstColumn="0" w:lastColumn="0" w:oddVBand="0" w:evenVBand="0" w:oddHBand="0" w:evenHBand="1" w:firstRowFirstColumn="0" w:firstRowLastColumn="0" w:lastRowFirstColumn="0" w:lastRowLastColumn="0"/>
        </w:trPr>
        <w:tc>
          <w:tcPr>
            <w:tcW w:w="1444" w:type="dxa"/>
          </w:tcPr>
          <w:p w14:paraId="6B535995" w14:textId="77777777" w:rsidR="00597B5E" w:rsidRPr="00B65F7F" w:rsidRDefault="00597B5E" w:rsidP="00793E49">
            <w:pPr>
              <w:pStyle w:val="TableText"/>
              <w:rPr>
                <w:rFonts w:eastAsia="Calibri"/>
              </w:rPr>
            </w:pPr>
            <w:r w:rsidRPr="00B65F7F">
              <w:rPr>
                <w:rFonts w:eastAsia="Calibri"/>
              </w:rPr>
              <w:t>Member First Nation</w:t>
            </w:r>
          </w:p>
        </w:tc>
        <w:tc>
          <w:tcPr>
            <w:tcW w:w="8174" w:type="dxa"/>
          </w:tcPr>
          <w:p w14:paraId="77A08882" w14:textId="77777777" w:rsidR="00597B5E" w:rsidRPr="00B65F7F" w:rsidRDefault="00597B5E" w:rsidP="00793E49">
            <w:pPr>
              <w:pStyle w:val="TableText"/>
              <w:rPr>
                <w:rFonts w:eastAsia="Calibri"/>
              </w:rPr>
            </w:pPr>
            <w:r w:rsidRPr="00B65F7F">
              <w:rPr>
                <w:rFonts w:eastAsia="Calibri"/>
              </w:rPr>
              <w:t>An active member of a Tribal Council; can be a Band or a self-governing First Nation</w:t>
            </w:r>
            <w:r>
              <w:rPr>
                <w:rFonts w:eastAsia="Calibri"/>
              </w:rPr>
              <w:t>.</w:t>
            </w:r>
          </w:p>
        </w:tc>
      </w:tr>
    </w:tbl>
    <w:p w14:paraId="32F1F573" w14:textId="77777777" w:rsidR="00597B5E" w:rsidRPr="00B65F7F" w:rsidRDefault="00597B5E" w:rsidP="009912B7">
      <w:pPr>
        <w:pStyle w:val="HeadingLevel3NoNumber"/>
      </w:pPr>
      <w:bookmarkStart w:id="445" w:name="_heading=h.7joubijdd6wl" w:colFirst="0" w:colLast="0"/>
      <w:bookmarkEnd w:id="445"/>
      <w:r w:rsidRPr="00B65F7F">
        <w:t>Commissioning and funding models for First Nations primary healthcare in Canada</w:t>
      </w:r>
    </w:p>
    <w:p w14:paraId="07620337" w14:textId="77777777" w:rsidR="00597B5E" w:rsidRPr="00B65F7F" w:rsidRDefault="00597B5E" w:rsidP="009912B7">
      <w:pPr>
        <w:pStyle w:val="HeadingLevel4NoNumber"/>
      </w:pPr>
      <w:bookmarkStart w:id="446" w:name="_heading=h.a2a42897hn2" w:colFirst="0" w:colLast="0"/>
      <w:bookmarkEnd w:id="446"/>
      <w:r w:rsidRPr="00B65F7F">
        <w:t>Context</w:t>
      </w:r>
    </w:p>
    <w:p w14:paraId="5621FE91" w14:textId="77777777" w:rsidR="00597B5E" w:rsidRPr="00B65F7F" w:rsidRDefault="00597B5E" w:rsidP="00793E49">
      <w:pPr>
        <w:pStyle w:val="BodyText"/>
      </w:pPr>
      <w:r w:rsidRPr="00B65F7F">
        <w:t>First Nations communities in Canada may receive funding from several sources, including the federal government, provincial governments, local communities and tribal councils (</w:t>
      </w:r>
      <w:r w:rsidRPr="00B32E1C">
        <w:t>Halseth</w:t>
      </w:r>
      <w:r w:rsidRPr="00B65F7F">
        <w:t xml:space="preserve"> &amp; Murdock, 2020). The Crown Indigenous and Northern Affairs Canada (CIRNAC) and Indigenous Services Canada can fund and/or directly provide primary healthcare and health promotion services for First Nations and Inuit communities (</w:t>
      </w:r>
      <w:r w:rsidRPr="00B32E1C">
        <w:t>Indigenous</w:t>
      </w:r>
      <w:r w:rsidRPr="00B65F7F">
        <w:t xml:space="preserve"> Services Canada, 2021; Institute of Fiscal Studies and Democracy, 2022, p 4). Indigenous Services Canada’s funding distribution is based on community needs and ‘emerging needs’ and seeks to maintain ongoing and sustainable service delivery, optimise ‘funding and benefits to Indigenous communities’ and align with government priorities (</w:t>
      </w:r>
      <w:r w:rsidRPr="00B32E1C">
        <w:t>Institute</w:t>
      </w:r>
      <w:r w:rsidRPr="00B65F7F">
        <w:t xml:space="preserve"> of Fiscal Studies and Democracy, 2022, </w:t>
      </w:r>
      <w:r>
        <w:t>p. </w:t>
      </w:r>
      <w:r w:rsidRPr="00B65F7F">
        <w:t>12)</w:t>
      </w:r>
      <w:r>
        <w:t>.</w:t>
      </w:r>
      <w:r w:rsidRPr="00B65F7F">
        <w:t xml:space="preserve"> </w:t>
      </w:r>
    </w:p>
    <w:p w14:paraId="712FD33E" w14:textId="77777777" w:rsidR="00597B5E" w:rsidRPr="00B65F7F" w:rsidRDefault="00597B5E" w:rsidP="00793E49">
      <w:pPr>
        <w:pStyle w:val="BodyText"/>
      </w:pPr>
      <w:r w:rsidRPr="00B65F7F">
        <w:t xml:space="preserve">Multiple funding options exist to give First Nations communities greater measures of control. Flexible funding models require funding recipients to establish multiyear plans (2–5 years), including a health management structure (Halseth &amp; Murdock, 2020). Block funding models enable funding recipients to determine health priorities to address, the health management structure and the reallocation of funds across authorities, as well as enabling them to retain funds for reinvestment in the identified priorities (Halseth &amp; Murdock, 2020; Institute of Fiscal Studies and Democracy, 2022, </w:t>
      </w:r>
      <w:r>
        <w:t>p. </w:t>
      </w:r>
      <w:r w:rsidRPr="00B65F7F">
        <w:t>12). Multi</w:t>
      </w:r>
      <w:r w:rsidR="00A7033B">
        <w:t>-</w:t>
      </w:r>
      <w:r w:rsidRPr="00B65F7F">
        <w:t xml:space="preserve">departmental funding agreements pool funding from multiple departments under a single agreement and enable funding recipients to establish and drive multiple social programs, including health, education, child welfare, economic development, income assistance, infrastructure and housing (Halseth &amp; Murdock, 2020). Canadian models of funding and service delivery are also characterised by transparency and accountability measures that enable Member First Nations and community members to understand where fiscal allocations have been made and hold their Tribal Councils and Bands accountable for their actions (Institute of Fiscal Studies and Democracy, 2022, </w:t>
      </w:r>
      <w:r>
        <w:t>p. </w:t>
      </w:r>
      <w:r w:rsidRPr="00B65F7F">
        <w:t>4).</w:t>
      </w:r>
    </w:p>
    <w:p w14:paraId="52C7F82B" w14:textId="77777777" w:rsidR="00597B5E" w:rsidRPr="00B65F7F" w:rsidRDefault="00597B5E" w:rsidP="009912B7">
      <w:pPr>
        <w:pStyle w:val="HeadingLevel4NoNumber"/>
      </w:pPr>
      <w:bookmarkStart w:id="447" w:name="_heading=h.cplm2fephwq3" w:colFirst="0" w:colLast="0"/>
      <w:bookmarkEnd w:id="447"/>
      <w:r w:rsidRPr="00B65F7F">
        <w:t>Reporting requirements</w:t>
      </w:r>
    </w:p>
    <w:p w14:paraId="5C887332" w14:textId="77777777" w:rsidR="00597B5E" w:rsidRPr="00B65F7F" w:rsidRDefault="00597B5E" w:rsidP="00793E49">
      <w:pPr>
        <w:pStyle w:val="BodyText"/>
      </w:pPr>
      <w:r w:rsidRPr="00B65F7F">
        <w:t xml:space="preserve">Service-specific reporting requirements for service providers vary and are based on the terms and conditions outlined in the funding contracts allocated to service providers (Institute of Fiscal Studies and Democracy, 2022, </w:t>
      </w:r>
      <w:r>
        <w:t>p. </w:t>
      </w:r>
      <w:r w:rsidRPr="00B65F7F">
        <w:t xml:space="preserve">13). In addition to service-specific reporting requirements, each fiscal year in alignment with nationally recognised standards, First Nations bands are required to provide specific (audited or unaudited) financial reports and in some cases, special purpose reporting (Institute of Fiscal Studies and Democracy, 2022, </w:t>
      </w:r>
      <w:r>
        <w:t>p. </w:t>
      </w:r>
      <w:r w:rsidRPr="00B65F7F">
        <w:t xml:space="preserve">13; </w:t>
      </w:r>
      <w:r w:rsidRPr="00B32E1C">
        <w:t>Indigenous</w:t>
      </w:r>
      <w:r w:rsidRPr="00B65F7F">
        <w:t xml:space="preserve"> Services Canada, 2019b). </w:t>
      </w:r>
    </w:p>
    <w:p w14:paraId="79B81C61" w14:textId="77777777" w:rsidR="00597B5E" w:rsidRPr="00B65F7F" w:rsidRDefault="00597B5E" w:rsidP="009912B7">
      <w:pPr>
        <w:pStyle w:val="HeadingLevel4NoNumber"/>
      </w:pPr>
      <w:r w:rsidRPr="00B65F7F">
        <w:t>Background</w:t>
      </w:r>
    </w:p>
    <w:p w14:paraId="27259F90" w14:textId="77777777" w:rsidR="00597B5E" w:rsidRPr="00B65F7F" w:rsidRDefault="00597B5E" w:rsidP="00793E49">
      <w:pPr>
        <w:pStyle w:val="BodyText"/>
      </w:pPr>
      <w:r w:rsidRPr="00B65F7F">
        <w:t>The government of Canada is supporting First Nations–led institutions and organisations to increase their influence and control over the design and implementation of First Nations health services in British Columbia, Manitoba, Ontario and Quebec. Additionally, the government is supporting the advancement of Indigenous cultural safety and self-determination in healthcare (Indigenous Services Canada, 2021). These transformation projects respond to the priorities of each community and aim to improve health outcomes and access to health-related services for First Nations peoples. Federally funded efforts are under</w:t>
      </w:r>
      <w:r>
        <w:t xml:space="preserve"> </w:t>
      </w:r>
      <w:r w:rsidRPr="00B65F7F">
        <w:t>way to ‘increase organisational capacity, engage community members to identify health priorities, create provincial and federal partnerships, explore and develop governance and service models, and work towards service delivery improvements on the path to a full transfer of control’ (</w:t>
      </w:r>
      <w:r w:rsidRPr="00B32E1C">
        <w:t>Indigenous</w:t>
      </w:r>
      <w:r w:rsidRPr="00B65F7F">
        <w:t xml:space="preserve"> Services Canada, 2021).</w:t>
      </w:r>
    </w:p>
    <w:p w14:paraId="6967278F" w14:textId="77777777" w:rsidR="00597B5E" w:rsidRPr="00B65F7F" w:rsidRDefault="00597B5E" w:rsidP="00793E49">
      <w:pPr>
        <w:pStyle w:val="BodyText"/>
      </w:pPr>
      <w:r w:rsidRPr="00B65F7F">
        <w:t>The following identifies several Canadian examples that demonstrate many of the guiding principles that have been considered by the literature.</w:t>
      </w:r>
    </w:p>
    <w:p w14:paraId="35658765" w14:textId="77777777" w:rsidR="00597B5E" w:rsidRPr="00B65F7F" w:rsidRDefault="00597B5E" w:rsidP="009912B7">
      <w:pPr>
        <w:pStyle w:val="HeadingLevel3NoNumber"/>
      </w:pPr>
      <w:bookmarkStart w:id="448" w:name="_heading=h.2mn7vak" w:colFirst="0" w:colLast="0"/>
      <w:bookmarkEnd w:id="448"/>
      <w:r w:rsidRPr="00B65F7F">
        <w:t>Tribal Council Funding Program</w:t>
      </w:r>
    </w:p>
    <w:p w14:paraId="1307FD7E" w14:textId="77777777" w:rsidR="00597B5E" w:rsidRPr="00B65F7F" w:rsidRDefault="00597B5E" w:rsidP="009912B7">
      <w:pPr>
        <w:pStyle w:val="HeadingLevel4NoNumber"/>
      </w:pPr>
      <w:r w:rsidRPr="00B65F7F">
        <w:t>Key findings</w:t>
      </w:r>
    </w:p>
    <w:p w14:paraId="34948F69" w14:textId="77777777" w:rsidR="00597B5E" w:rsidRPr="00B65F7F" w:rsidRDefault="00597B5E" w:rsidP="00793E49">
      <w:pPr>
        <w:pStyle w:val="ListBullet2"/>
      </w:pPr>
      <w:r w:rsidRPr="00B65F7F">
        <w:rPr>
          <w:rFonts w:eastAsia="Calibri"/>
        </w:rPr>
        <w:t xml:space="preserve">Tribal Council Funding </w:t>
      </w:r>
      <w:r w:rsidR="00554877">
        <w:rPr>
          <w:rFonts w:eastAsia="Calibri"/>
        </w:rPr>
        <w:t xml:space="preserve">(TCF) </w:t>
      </w:r>
      <w:r w:rsidRPr="00B65F7F">
        <w:rPr>
          <w:rFonts w:eastAsia="Calibri"/>
        </w:rPr>
        <w:t>allocations are based on the number of Member First Nations, the total on-reserve population of Member First Nations and the number of ongoing major programs.</w:t>
      </w:r>
    </w:p>
    <w:p w14:paraId="424E714E" w14:textId="77777777" w:rsidR="00597B5E" w:rsidRPr="00B65F7F" w:rsidRDefault="00597B5E" w:rsidP="00793E49">
      <w:pPr>
        <w:pStyle w:val="ListBullet2"/>
      </w:pPr>
      <w:r w:rsidRPr="00B65F7F">
        <w:rPr>
          <w:rFonts w:eastAsia="Calibri"/>
        </w:rPr>
        <w:t>Member First Nations are responsible for determining the roles, level of responsibility and level of service standards the Tribal Council must adhere to.</w:t>
      </w:r>
    </w:p>
    <w:p w14:paraId="565DA616" w14:textId="7E70C9CD" w:rsidR="00597B5E" w:rsidRPr="00B65F7F" w:rsidRDefault="00006B54" w:rsidP="00DD0673">
      <w:pPr>
        <w:pStyle w:val="CaptionTable"/>
        <w:rPr>
          <w:rFonts w:eastAsia="Calibri"/>
        </w:rPr>
      </w:pPr>
      <w:bookmarkStart w:id="449" w:name="_heading=h.11si5id" w:colFirst="0" w:colLast="0"/>
      <w:bookmarkStart w:id="450" w:name="_Toc145604962"/>
      <w:bookmarkStart w:id="451" w:name="_Toc145617834"/>
      <w:bookmarkStart w:id="452" w:name="_Toc156932106"/>
      <w:bookmarkEnd w:id="449"/>
      <w:r>
        <w:t>Table A9.</w:t>
      </w:r>
      <w:r>
        <w:fldChar w:fldCharType="begin"/>
      </w:r>
      <w:r>
        <w:instrText xml:space="preserve"> SEQ Table_A9 \* ARABIC </w:instrText>
      </w:r>
      <w:r>
        <w:fldChar w:fldCharType="separate"/>
      </w:r>
      <w:r w:rsidR="00934D5E">
        <w:rPr>
          <w:noProof/>
        </w:rPr>
        <w:t>13</w:t>
      </w:r>
      <w:r>
        <w:fldChar w:fldCharType="end"/>
      </w:r>
      <w:r w:rsidR="00597B5E">
        <w:t>:</w:t>
      </w:r>
      <w:r w:rsidR="00597B5E" w:rsidRPr="00B65F7F">
        <w:rPr>
          <w:rFonts w:eastAsia="Calibri"/>
        </w:rPr>
        <w:t xml:space="preserve"> Tribal Council Funding alignment with guiding principles</w:t>
      </w:r>
      <w:bookmarkEnd w:id="450"/>
      <w:bookmarkEnd w:id="451"/>
      <w:bookmarkEnd w:id="452"/>
    </w:p>
    <w:tbl>
      <w:tblPr>
        <w:tblStyle w:val="Newtableforresport"/>
        <w:tblW w:w="9618" w:type="dxa"/>
        <w:tblInd w:w="10" w:type="dxa"/>
        <w:tblLayout w:type="fixed"/>
        <w:tblLook w:val="0420" w:firstRow="1" w:lastRow="0" w:firstColumn="0" w:lastColumn="0" w:noHBand="0" w:noVBand="1"/>
        <w:tblCaption w:val="Table A9.13: Tribal Council Funding alignment with guiding principles"/>
        <w:tblDescription w:val="The table describes how the guiding principles of funding transition align with Tribal Council Funding in Canada. The first column lists the guiding principles of funding transition. The second column provides a description of how Tribal Council Funding aligns with the relevant guiding principle in the first column. "/>
      </w:tblPr>
      <w:tblGrid>
        <w:gridCol w:w="2258"/>
        <w:gridCol w:w="7360"/>
      </w:tblGrid>
      <w:tr w:rsidR="00597B5E" w:rsidRPr="0033162B" w14:paraId="6A85AFD4" w14:textId="77777777" w:rsidTr="009D4C69">
        <w:trPr>
          <w:cnfStyle w:val="100000000000" w:firstRow="1" w:lastRow="0" w:firstColumn="0" w:lastColumn="0" w:oddVBand="0" w:evenVBand="0" w:oddHBand="0" w:evenHBand="0" w:firstRowFirstColumn="0" w:firstRowLastColumn="0" w:lastRowFirstColumn="0" w:lastRowLastColumn="0"/>
          <w:tblHeader/>
        </w:trPr>
        <w:tc>
          <w:tcPr>
            <w:tcW w:w="2258" w:type="dxa"/>
          </w:tcPr>
          <w:p w14:paraId="61B97148" w14:textId="77777777" w:rsidR="00597B5E" w:rsidRPr="0033162B" w:rsidRDefault="00597B5E" w:rsidP="00024E8D">
            <w:pPr>
              <w:pStyle w:val="TableHeading"/>
              <w:rPr>
                <w:rFonts w:eastAsia="Calibri"/>
                <w:b w:val="0"/>
              </w:rPr>
            </w:pPr>
            <w:r w:rsidRPr="0033162B">
              <w:rPr>
                <w:rFonts w:eastAsia="Calibri"/>
              </w:rPr>
              <w:t>Guiding principle</w:t>
            </w:r>
          </w:p>
        </w:tc>
        <w:tc>
          <w:tcPr>
            <w:tcW w:w="7360" w:type="dxa"/>
          </w:tcPr>
          <w:p w14:paraId="223BC873" w14:textId="77777777" w:rsidR="00597B5E" w:rsidRPr="0033162B" w:rsidRDefault="00597B5E" w:rsidP="00024E8D">
            <w:pPr>
              <w:pStyle w:val="TableHeading"/>
              <w:rPr>
                <w:rFonts w:eastAsia="Calibri"/>
                <w:b w:val="0"/>
              </w:rPr>
            </w:pPr>
            <w:r w:rsidRPr="0033162B">
              <w:rPr>
                <w:rFonts w:eastAsia="Calibri"/>
              </w:rPr>
              <w:t>Description</w:t>
            </w:r>
          </w:p>
        </w:tc>
      </w:tr>
      <w:tr w:rsidR="00597B5E" w:rsidRPr="00B65F7F" w14:paraId="394DBA61" w14:textId="77777777" w:rsidTr="006F6DD1">
        <w:trPr>
          <w:cnfStyle w:val="000000100000" w:firstRow="0" w:lastRow="0" w:firstColumn="0" w:lastColumn="0" w:oddVBand="0" w:evenVBand="0" w:oddHBand="1" w:evenHBand="0" w:firstRowFirstColumn="0" w:firstRowLastColumn="0" w:lastRowFirstColumn="0" w:lastRowLastColumn="0"/>
        </w:trPr>
        <w:tc>
          <w:tcPr>
            <w:tcW w:w="2258" w:type="dxa"/>
          </w:tcPr>
          <w:p w14:paraId="25B73FDE" w14:textId="77777777" w:rsidR="00597B5E" w:rsidRPr="00B65F7F" w:rsidRDefault="00597B5E" w:rsidP="00793E49">
            <w:pPr>
              <w:pStyle w:val="TableText"/>
              <w:rPr>
                <w:rFonts w:eastAsia="Calibri"/>
              </w:rPr>
            </w:pPr>
            <w:r w:rsidRPr="00B65F7F">
              <w:rPr>
                <w:rFonts w:eastAsia="Calibri"/>
              </w:rPr>
              <w:t>Indigenous self-determination</w:t>
            </w:r>
          </w:p>
        </w:tc>
        <w:tc>
          <w:tcPr>
            <w:tcW w:w="7360" w:type="dxa"/>
            <w:vMerge w:val="restart"/>
          </w:tcPr>
          <w:p w14:paraId="0219F80D" w14:textId="77777777" w:rsidR="00597B5E" w:rsidRPr="00B65F7F" w:rsidRDefault="00597B5E" w:rsidP="00793E49">
            <w:pPr>
              <w:pStyle w:val="TableText"/>
              <w:rPr>
                <w:rFonts w:eastAsia="Calibri"/>
              </w:rPr>
            </w:pPr>
            <w:r w:rsidRPr="00B65F7F">
              <w:rPr>
                <w:rFonts w:eastAsia="Calibri"/>
              </w:rPr>
              <w:t xml:space="preserve">Indigenous Services Canada’s </w:t>
            </w:r>
            <w:r w:rsidR="00554877">
              <w:rPr>
                <w:rFonts w:eastAsia="Calibri"/>
              </w:rPr>
              <w:t xml:space="preserve">TCF </w:t>
            </w:r>
            <w:r w:rsidRPr="00B65F7F">
              <w:rPr>
                <w:rFonts w:eastAsia="Calibri"/>
              </w:rPr>
              <w:t>Program provides core operational funding to Tribal Councils to deliver programs and services to their Member First Nations and support Member First Nations capacity development (</w:t>
            </w:r>
            <w:r w:rsidRPr="00B32E1C">
              <w:rPr>
                <w:rFonts w:eastAsia="Calibri"/>
              </w:rPr>
              <w:t>Indigenous</w:t>
            </w:r>
            <w:r w:rsidRPr="00B65F7F">
              <w:rPr>
                <w:rFonts w:eastAsia="Calibri"/>
              </w:rPr>
              <w:t xml:space="preserve"> Services Canada, 2019</w:t>
            </w:r>
            <w:r w:rsidRPr="00B65F7F">
              <w:t>b</w:t>
            </w:r>
            <w:r w:rsidRPr="00B65F7F">
              <w:rPr>
                <w:rFonts w:eastAsia="Calibri"/>
              </w:rPr>
              <w:t>). The TCF Program funding arrangement enables Tribal Councils to direct resources to the maintenance of existing health and wellbeing services.</w:t>
            </w:r>
          </w:p>
        </w:tc>
      </w:tr>
      <w:tr w:rsidR="00597B5E" w:rsidRPr="00B65F7F" w14:paraId="349148A1" w14:textId="77777777" w:rsidTr="006F6DD1">
        <w:trPr>
          <w:cnfStyle w:val="000000010000" w:firstRow="0" w:lastRow="0" w:firstColumn="0" w:lastColumn="0" w:oddVBand="0" w:evenVBand="0" w:oddHBand="0" w:evenHBand="1" w:firstRowFirstColumn="0" w:firstRowLastColumn="0" w:lastRowFirstColumn="0" w:lastRowLastColumn="0"/>
        </w:trPr>
        <w:tc>
          <w:tcPr>
            <w:tcW w:w="2258" w:type="dxa"/>
          </w:tcPr>
          <w:p w14:paraId="75F3E2CB" w14:textId="77777777" w:rsidR="00597B5E" w:rsidRPr="00B65F7F" w:rsidRDefault="00597B5E" w:rsidP="00793E49">
            <w:pPr>
              <w:pStyle w:val="TableText"/>
              <w:rPr>
                <w:rFonts w:eastAsia="Calibri"/>
              </w:rPr>
            </w:pPr>
            <w:r w:rsidRPr="00B65F7F">
              <w:rPr>
                <w:rFonts w:eastAsia="Calibri"/>
              </w:rPr>
              <w:t>Strengths-based and place-based approaches</w:t>
            </w:r>
          </w:p>
        </w:tc>
        <w:tc>
          <w:tcPr>
            <w:tcW w:w="7360" w:type="dxa"/>
            <w:vMerge/>
          </w:tcPr>
          <w:p w14:paraId="2850887F" w14:textId="77777777" w:rsidR="00597B5E" w:rsidRPr="00B65F7F" w:rsidRDefault="00597B5E" w:rsidP="00793E49">
            <w:pPr>
              <w:pStyle w:val="TableText"/>
              <w:rPr>
                <w:rFonts w:eastAsia="Calibri"/>
              </w:rPr>
            </w:pPr>
          </w:p>
        </w:tc>
      </w:tr>
      <w:tr w:rsidR="00597B5E" w:rsidRPr="00B65F7F" w14:paraId="34A62529" w14:textId="77777777" w:rsidTr="006F6DD1">
        <w:trPr>
          <w:cnfStyle w:val="000000100000" w:firstRow="0" w:lastRow="0" w:firstColumn="0" w:lastColumn="0" w:oddVBand="0" w:evenVBand="0" w:oddHBand="1" w:evenHBand="0" w:firstRowFirstColumn="0" w:firstRowLastColumn="0" w:lastRowFirstColumn="0" w:lastRowLastColumn="0"/>
        </w:trPr>
        <w:tc>
          <w:tcPr>
            <w:tcW w:w="2258" w:type="dxa"/>
          </w:tcPr>
          <w:p w14:paraId="449C0FD2" w14:textId="77777777" w:rsidR="00597B5E" w:rsidRPr="00B65F7F" w:rsidRDefault="00597B5E" w:rsidP="00793E49">
            <w:pPr>
              <w:pStyle w:val="TableText"/>
              <w:rPr>
                <w:rFonts w:eastAsia="Calibri"/>
              </w:rPr>
            </w:pPr>
            <w:r w:rsidRPr="00B65F7F">
              <w:rPr>
                <w:rFonts w:eastAsia="Calibri"/>
              </w:rPr>
              <w:t>Community partnerships, co-design and ownership</w:t>
            </w:r>
          </w:p>
        </w:tc>
        <w:tc>
          <w:tcPr>
            <w:tcW w:w="7360" w:type="dxa"/>
          </w:tcPr>
          <w:p w14:paraId="3217C222" w14:textId="77777777" w:rsidR="00597B5E" w:rsidRPr="00B65F7F" w:rsidRDefault="00597B5E" w:rsidP="00793E49">
            <w:pPr>
              <w:pStyle w:val="TableText"/>
              <w:rPr>
                <w:rFonts w:eastAsia="Calibri"/>
              </w:rPr>
            </w:pPr>
            <w:r w:rsidRPr="00B65F7F">
              <w:rPr>
                <w:rFonts w:eastAsia="Calibri"/>
              </w:rPr>
              <w:t>Member First Nations are involved in the development, review, endorsement, evaluation and determination of the role of their Tribal Council in the delivery of programs, services and capacity development initiatives (</w:t>
            </w:r>
            <w:r w:rsidRPr="00B32E1C">
              <w:rPr>
                <w:rFonts w:eastAsia="Calibri"/>
              </w:rPr>
              <w:t>Indigenous</w:t>
            </w:r>
            <w:r w:rsidRPr="00B65F7F">
              <w:rPr>
                <w:rFonts w:eastAsia="Calibri"/>
              </w:rPr>
              <w:t xml:space="preserve"> Services Canada, 2019</w:t>
            </w:r>
            <w:r w:rsidRPr="00B65F7F">
              <w:t>a</w:t>
            </w:r>
            <w:r w:rsidRPr="00B65F7F">
              <w:rPr>
                <w:rFonts w:eastAsia="Calibri"/>
              </w:rPr>
              <w:t>).</w:t>
            </w:r>
          </w:p>
          <w:p w14:paraId="547F59D5" w14:textId="77777777" w:rsidR="00597B5E" w:rsidRPr="00B65F7F" w:rsidRDefault="00597B5E" w:rsidP="00793E49">
            <w:pPr>
              <w:pStyle w:val="TableText"/>
              <w:rPr>
                <w:rFonts w:eastAsia="Calibri"/>
              </w:rPr>
            </w:pPr>
            <w:r w:rsidRPr="00B65F7F">
              <w:rPr>
                <w:rFonts w:eastAsia="Calibri"/>
              </w:rPr>
              <w:t>Additionally, the transparency of the TCF Program’s funding and resource allocations enables Member First Nations to hold their Tribal Councils accountable.</w:t>
            </w:r>
          </w:p>
        </w:tc>
      </w:tr>
      <w:tr w:rsidR="00597B5E" w:rsidRPr="00B65F7F" w14:paraId="3F953C4C" w14:textId="77777777" w:rsidTr="006F6DD1">
        <w:trPr>
          <w:cnfStyle w:val="000000010000" w:firstRow="0" w:lastRow="0" w:firstColumn="0" w:lastColumn="0" w:oddVBand="0" w:evenVBand="0" w:oddHBand="0" w:evenHBand="1" w:firstRowFirstColumn="0" w:firstRowLastColumn="0" w:lastRowFirstColumn="0" w:lastRowLastColumn="0"/>
        </w:trPr>
        <w:tc>
          <w:tcPr>
            <w:tcW w:w="2258" w:type="dxa"/>
          </w:tcPr>
          <w:p w14:paraId="64EC5522" w14:textId="77777777" w:rsidR="00597B5E" w:rsidRPr="00B65F7F" w:rsidRDefault="00597B5E" w:rsidP="00793E49">
            <w:pPr>
              <w:pStyle w:val="TableText"/>
              <w:rPr>
                <w:rFonts w:eastAsia="Calibri"/>
              </w:rPr>
            </w:pPr>
            <w:r w:rsidRPr="00B65F7F">
              <w:rPr>
                <w:rFonts w:eastAsia="Calibri"/>
              </w:rPr>
              <w:t>Indigenous governance and leadership</w:t>
            </w:r>
          </w:p>
        </w:tc>
        <w:tc>
          <w:tcPr>
            <w:tcW w:w="7360" w:type="dxa"/>
          </w:tcPr>
          <w:p w14:paraId="598ADEE1" w14:textId="77777777" w:rsidR="00597B5E" w:rsidRPr="00B65F7F" w:rsidRDefault="00597B5E" w:rsidP="00793E49">
            <w:pPr>
              <w:pStyle w:val="TableText"/>
              <w:rPr>
                <w:rFonts w:eastAsia="Calibri"/>
              </w:rPr>
            </w:pPr>
            <w:r w:rsidRPr="00B65F7F">
              <w:rPr>
                <w:rFonts w:eastAsia="Calibri"/>
              </w:rPr>
              <w:t>Member First Nations are represented on their affiliated Tribal Council’s Board of Directors and take part in core decision-making processes and the ongoing evaluation of the services/programs undertaken. Additionally, disputes are resolved within the Tribal Council governance system.</w:t>
            </w:r>
          </w:p>
        </w:tc>
      </w:tr>
    </w:tbl>
    <w:p w14:paraId="5B37124A" w14:textId="77777777" w:rsidR="00597B5E" w:rsidRPr="00B65F7F" w:rsidRDefault="00597B5E" w:rsidP="009912B7">
      <w:pPr>
        <w:pStyle w:val="HeadingLevel4NoNumber"/>
      </w:pPr>
      <w:r w:rsidRPr="00B65F7F">
        <w:t>Overview</w:t>
      </w:r>
    </w:p>
    <w:p w14:paraId="6AC58330" w14:textId="77777777" w:rsidR="00597B5E" w:rsidRPr="00B65F7F" w:rsidRDefault="00597B5E" w:rsidP="00793E49">
      <w:pPr>
        <w:pStyle w:val="BodyText"/>
      </w:pPr>
      <w:r w:rsidRPr="00B65F7F">
        <w:t>Indigenous Services Canada’s TCF Program is an annual program that provides core operational funding to Tribal Councils to deliver programs and services to their member First Nations and to support their capacity development (Indigenous Services Canada, 2019a). This process strengthens the transparency and accountability of Tribal Councils to their Member First Nations and ensures that resources are directed towards the effective delivery of programs and services (Indigenous Services Canada, 2019a). This includes:</w:t>
      </w:r>
    </w:p>
    <w:p w14:paraId="3646AE44" w14:textId="77777777" w:rsidR="00597B5E" w:rsidRPr="00B65F7F" w:rsidRDefault="00597B5E" w:rsidP="00793E49">
      <w:pPr>
        <w:pStyle w:val="ListBullet2"/>
      </w:pPr>
      <w:r w:rsidRPr="00B65F7F">
        <w:rPr>
          <w:rFonts w:eastAsia="Calibri"/>
        </w:rPr>
        <w:t>salaries and wages</w:t>
      </w:r>
    </w:p>
    <w:p w14:paraId="50983AD9" w14:textId="77777777" w:rsidR="00597B5E" w:rsidRPr="00B65F7F" w:rsidRDefault="00597B5E" w:rsidP="00793E49">
      <w:pPr>
        <w:pStyle w:val="ListBullet2"/>
      </w:pPr>
      <w:r w:rsidRPr="00B65F7F">
        <w:rPr>
          <w:rFonts w:eastAsia="Calibri"/>
        </w:rPr>
        <w:t>office overhead and rent</w:t>
      </w:r>
    </w:p>
    <w:p w14:paraId="7B166FFE" w14:textId="77777777" w:rsidR="00597B5E" w:rsidRPr="00B65F7F" w:rsidRDefault="00597B5E" w:rsidP="00793E49">
      <w:pPr>
        <w:pStyle w:val="ListBullet2"/>
      </w:pPr>
      <w:r w:rsidRPr="00B65F7F">
        <w:rPr>
          <w:rFonts w:eastAsia="Calibri"/>
        </w:rPr>
        <w:t>core administrative costs</w:t>
      </w:r>
    </w:p>
    <w:p w14:paraId="26D36952" w14:textId="77777777" w:rsidR="00597B5E" w:rsidRPr="00B65F7F" w:rsidRDefault="00597B5E" w:rsidP="00793E49">
      <w:pPr>
        <w:pStyle w:val="ListBullet2"/>
      </w:pPr>
      <w:r w:rsidRPr="00B65F7F">
        <w:rPr>
          <w:rFonts w:eastAsia="Calibri"/>
        </w:rPr>
        <w:t>service delivery</w:t>
      </w:r>
    </w:p>
    <w:p w14:paraId="177C46FC" w14:textId="77777777" w:rsidR="00597B5E" w:rsidRPr="00B65F7F" w:rsidRDefault="00597B5E" w:rsidP="00793E49">
      <w:pPr>
        <w:pStyle w:val="ListBullet2"/>
      </w:pPr>
      <w:r w:rsidRPr="00B65F7F">
        <w:rPr>
          <w:rFonts w:eastAsia="Calibri"/>
        </w:rPr>
        <w:t>delivery of departmentally funded major programs.</w:t>
      </w:r>
    </w:p>
    <w:p w14:paraId="15BBDD02" w14:textId="2C5F8876" w:rsidR="00597B5E" w:rsidRPr="00B65F7F" w:rsidRDefault="00597B5E" w:rsidP="00793E49">
      <w:pPr>
        <w:pStyle w:val="BodyText1stparaafterlist"/>
      </w:pPr>
      <w:r w:rsidRPr="00B65F7F">
        <w:t xml:space="preserve">Funding allocated to Tribal Councils is calculated according to </w:t>
      </w:r>
      <w:r>
        <w:t>3</w:t>
      </w:r>
      <w:r w:rsidRPr="00B65F7F">
        <w:t xml:space="preserve"> factors: the number of member First Nations, the total on-reserve population of member First Nations and the number of ongoing Indigenous and Northern Affairs Canada (INAC) programs delivered by each tribal council (Indigenous Services Canada, 2019a). The funding formula enables a tribal council to be eligible for a specific amount in one of </w:t>
      </w:r>
      <w:r>
        <w:t>3</w:t>
      </w:r>
      <w:r w:rsidRPr="00B65F7F">
        <w:t xml:space="preserve"> funding tiers per year</w:t>
      </w:r>
      <w:r w:rsidR="00B84059">
        <w:t xml:space="preserve"> (</w:t>
      </w:r>
      <w:r w:rsidR="00B84059">
        <w:fldChar w:fldCharType="begin"/>
      </w:r>
      <w:r w:rsidR="00B84059">
        <w:instrText xml:space="preserve"> REF _Ref152083235 \h </w:instrText>
      </w:r>
      <w:r w:rsidR="00B84059">
        <w:fldChar w:fldCharType="separate"/>
      </w:r>
      <w:r w:rsidR="00934D5E">
        <w:t>Table A9.</w:t>
      </w:r>
      <w:r w:rsidR="00934D5E">
        <w:rPr>
          <w:noProof/>
        </w:rPr>
        <w:t>14</w:t>
      </w:r>
      <w:r w:rsidR="00B84059">
        <w:fldChar w:fldCharType="end"/>
      </w:r>
      <w:r w:rsidR="00B84059">
        <w:t>)</w:t>
      </w:r>
      <w:r w:rsidRPr="00B65F7F">
        <w:t>.</w:t>
      </w:r>
    </w:p>
    <w:p w14:paraId="631A56B0" w14:textId="420369C7" w:rsidR="00597B5E" w:rsidRPr="00B65F7F" w:rsidRDefault="00006B54" w:rsidP="00DD0673">
      <w:pPr>
        <w:pStyle w:val="CaptionTable"/>
        <w:rPr>
          <w:rFonts w:ascii="Calibri" w:eastAsia="Calibri" w:hAnsi="Calibri" w:cs="Calibri"/>
          <w:color w:val="000000"/>
          <w:szCs w:val="22"/>
        </w:rPr>
      </w:pPr>
      <w:bookmarkStart w:id="453" w:name="_heading=h.3ls5o66" w:colFirst="0" w:colLast="0"/>
      <w:bookmarkStart w:id="454" w:name="_Ref152083235"/>
      <w:bookmarkStart w:id="455" w:name="_Toc145604963"/>
      <w:bookmarkStart w:id="456" w:name="_Toc145617835"/>
      <w:bookmarkStart w:id="457" w:name="_Toc156932107"/>
      <w:bookmarkEnd w:id="453"/>
      <w:r>
        <w:t>Table A9.</w:t>
      </w:r>
      <w:r>
        <w:fldChar w:fldCharType="begin"/>
      </w:r>
      <w:r>
        <w:instrText xml:space="preserve"> SEQ Table_A9 \* ARABIC </w:instrText>
      </w:r>
      <w:r>
        <w:fldChar w:fldCharType="separate"/>
      </w:r>
      <w:r w:rsidR="00934D5E">
        <w:rPr>
          <w:noProof/>
        </w:rPr>
        <w:t>14</w:t>
      </w:r>
      <w:r>
        <w:fldChar w:fldCharType="end"/>
      </w:r>
      <w:bookmarkEnd w:id="454"/>
      <w:r w:rsidR="00597B5E">
        <w:t>:</w:t>
      </w:r>
      <w:r>
        <w:t xml:space="preserve"> </w:t>
      </w:r>
      <w:r w:rsidR="00597B5E" w:rsidRPr="00B65F7F">
        <w:rPr>
          <w:rFonts w:ascii="Calibri" w:eastAsia="Calibri" w:hAnsi="Calibri" w:cs="Calibri"/>
          <w:color w:val="000000"/>
          <w:szCs w:val="22"/>
        </w:rPr>
        <w:t>Tribal Council Funding tiers</w:t>
      </w:r>
      <w:bookmarkEnd w:id="455"/>
      <w:bookmarkEnd w:id="456"/>
      <w:bookmarkEnd w:id="457"/>
      <w:r w:rsidR="00597B5E" w:rsidRPr="00B65F7F">
        <w:rPr>
          <w:rFonts w:ascii="Calibri" w:eastAsia="Calibri" w:hAnsi="Calibri" w:cs="Calibri"/>
          <w:color w:val="000000"/>
          <w:szCs w:val="22"/>
        </w:rPr>
        <w:t xml:space="preserve"> </w:t>
      </w:r>
    </w:p>
    <w:tbl>
      <w:tblPr>
        <w:tblStyle w:val="Newtableforresport"/>
        <w:tblW w:w="9683" w:type="dxa"/>
        <w:tblInd w:w="-40" w:type="dxa"/>
        <w:tblLayout w:type="fixed"/>
        <w:tblLook w:val="0020" w:firstRow="1" w:lastRow="0" w:firstColumn="0" w:lastColumn="0" w:noHBand="0" w:noVBand="0"/>
        <w:tblCaption w:val="Table A9.14: Tribal Council Funding tiers "/>
        <w:tblDescription w:val="The table describes the formula used to calculate funding allocated to Tribal Councils in Canada. The first column lists the three factors that are used to calculate the funding formula (Number of member First Nations, Total on-reserve population of member First Nations and Number of ongoing major programs). The second row of the first column shows different funding amounts allocated to different tiers. The second to fourth columns show three funding tiers (Tiers 1 to 3), and describe how different factors affect which funding tier a Tribal Council receives. For example, a Tribal Council with more than 9 First Nations served would be in Tier 3, and so would be eligible for more than $500,000 in funding. "/>
      </w:tblPr>
      <w:tblGrid>
        <w:gridCol w:w="5427"/>
        <w:gridCol w:w="1418"/>
        <w:gridCol w:w="1419"/>
        <w:gridCol w:w="1419"/>
      </w:tblGrid>
      <w:tr w:rsidR="00597B5E" w:rsidRPr="0033162B" w14:paraId="47B2F54E" w14:textId="77777777" w:rsidTr="009D4C69">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5427" w:type="dxa"/>
          </w:tcPr>
          <w:p w14:paraId="047C8A4A" w14:textId="77777777" w:rsidR="00597B5E" w:rsidRPr="0033162B" w:rsidRDefault="00597B5E" w:rsidP="00024E8D">
            <w:pPr>
              <w:pStyle w:val="TableHeading"/>
              <w:rPr>
                <w:rFonts w:eastAsia="Calibri"/>
                <w:b w:val="0"/>
              </w:rPr>
            </w:pPr>
            <w:r w:rsidRPr="0033162B">
              <w:rPr>
                <w:rFonts w:eastAsia="Calibri"/>
              </w:rPr>
              <w:t>Tier</w:t>
            </w:r>
          </w:p>
        </w:tc>
        <w:tc>
          <w:tcPr>
            <w:tcW w:w="1418" w:type="dxa"/>
          </w:tcPr>
          <w:p w14:paraId="38D1DF06" w14:textId="77777777" w:rsidR="00597B5E" w:rsidRPr="0033162B" w:rsidRDefault="00597B5E" w:rsidP="00024E8D">
            <w:pPr>
              <w:pStyle w:val="TableHeading"/>
              <w:cnfStyle w:val="100000000000" w:firstRow="1" w:lastRow="0" w:firstColumn="0" w:lastColumn="0" w:oddVBand="0" w:evenVBand="0" w:oddHBand="0" w:evenHBand="0" w:firstRowFirstColumn="0" w:firstRowLastColumn="0" w:lastRowFirstColumn="0" w:lastRowLastColumn="0"/>
              <w:rPr>
                <w:rFonts w:eastAsia="Calibri"/>
                <w:b w:val="0"/>
              </w:rPr>
            </w:pPr>
            <w:r w:rsidRPr="0033162B">
              <w:rPr>
                <w:rFonts w:eastAsia="Calibri"/>
              </w:rPr>
              <w:t>Tier 1</w:t>
            </w:r>
          </w:p>
        </w:tc>
        <w:tc>
          <w:tcPr>
            <w:cnfStyle w:val="000010000000" w:firstRow="0" w:lastRow="0" w:firstColumn="0" w:lastColumn="0" w:oddVBand="1" w:evenVBand="0" w:oddHBand="0" w:evenHBand="0" w:firstRowFirstColumn="0" w:firstRowLastColumn="0" w:lastRowFirstColumn="0" w:lastRowLastColumn="0"/>
            <w:tcW w:w="1419" w:type="dxa"/>
          </w:tcPr>
          <w:p w14:paraId="6665AE1D" w14:textId="77777777" w:rsidR="00597B5E" w:rsidRPr="0033162B" w:rsidRDefault="00597B5E" w:rsidP="00024E8D">
            <w:pPr>
              <w:pStyle w:val="TableHeading"/>
              <w:rPr>
                <w:rFonts w:eastAsia="Calibri"/>
                <w:b w:val="0"/>
              </w:rPr>
            </w:pPr>
            <w:r w:rsidRPr="0033162B">
              <w:rPr>
                <w:rFonts w:eastAsia="Calibri"/>
              </w:rPr>
              <w:t>Tier 2</w:t>
            </w:r>
          </w:p>
        </w:tc>
        <w:tc>
          <w:tcPr>
            <w:tcW w:w="1419" w:type="dxa"/>
          </w:tcPr>
          <w:p w14:paraId="65D56C91" w14:textId="77777777" w:rsidR="00597B5E" w:rsidRPr="0033162B" w:rsidRDefault="00597B5E" w:rsidP="00024E8D">
            <w:pPr>
              <w:pStyle w:val="TableHeading"/>
              <w:cnfStyle w:val="100000000000" w:firstRow="1" w:lastRow="0" w:firstColumn="0" w:lastColumn="0" w:oddVBand="0" w:evenVBand="0" w:oddHBand="0" w:evenHBand="0" w:firstRowFirstColumn="0" w:firstRowLastColumn="0" w:lastRowFirstColumn="0" w:lastRowLastColumn="0"/>
              <w:rPr>
                <w:rFonts w:eastAsia="Calibri"/>
                <w:b w:val="0"/>
              </w:rPr>
            </w:pPr>
            <w:r w:rsidRPr="0033162B">
              <w:rPr>
                <w:rFonts w:eastAsia="Calibri"/>
              </w:rPr>
              <w:t>Tier 3</w:t>
            </w:r>
          </w:p>
        </w:tc>
      </w:tr>
      <w:tr w:rsidR="00597B5E" w:rsidRPr="00B65F7F" w14:paraId="28E24246" w14:textId="77777777" w:rsidTr="006F6DD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27" w:type="dxa"/>
          </w:tcPr>
          <w:p w14:paraId="37798A20" w14:textId="77777777" w:rsidR="00597B5E" w:rsidRPr="00B65F7F" w:rsidRDefault="00597B5E" w:rsidP="00793E49">
            <w:pPr>
              <w:pStyle w:val="TableText"/>
              <w:rPr>
                <w:rFonts w:eastAsia="Calibri"/>
              </w:rPr>
            </w:pPr>
            <w:r w:rsidRPr="00B65F7F">
              <w:rPr>
                <w:rFonts w:eastAsia="Calibri"/>
              </w:rPr>
              <w:t>Amount</w:t>
            </w:r>
          </w:p>
        </w:tc>
        <w:tc>
          <w:tcPr>
            <w:tcW w:w="1418" w:type="dxa"/>
          </w:tcPr>
          <w:p w14:paraId="4CB4D0D4" w14:textId="77777777" w:rsidR="00597B5E" w:rsidRPr="00B65F7F" w:rsidRDefault="00597B5E" w:rsidP="00793E49">
            <w:pPr>
              <w:pStyle w:val="TableText"/>
              <w:cnfStyle w:val="000000100000" w:firstRow="0" w:lastRow="0" w:firstColumn="0" w:lastColumn="0" w:oddVBand="0" w:evenVBand="0" w:oddHBand="1" w:evenHBand="0" w:firstRowFirstColumn="0" w:firstRowLastColumn="0" w:lastRowFirstColumn="0" w:lastRowLastColumn="0"/>
              <w:rPr>
                <w:rFonts w:eastAsia="Calibri"/>
              </w:rPr>
            </w:pPr>
            <w:r w:rsidRPr="00B65F7F">
              <w:rPr>
                <w:rFonts w:eastAsia="Calibri"/>
              </w:rPr>
              <w:t xml:space="preserve">&gt;$200,000 &gt;$350,000 </w:t>
            </w:r>
          </w:p>
        </w:tc>
        <w:tc>
          <w:tcPr>
            <w:cnfStyle w:val="000010000000" w:firstRow="0" w:lastRow="0" w:firstColumn="0" w:lastColumn="0" w:oddVBand="1" w:evenVBand="0" w:oddHBand="0" w:evenHBand="0" w:firstRowFirstColumn="0" w:firstRowLastColumn="0" w:lastRowFirstColumn="0" w:lastRowLastColumn="0"/>
            <w:tcW w:w="1419" w:type="dxa"/>
          </w:tcPr>
          <w:p w14:paraId="4FBC41BC" w14:textId="77777777" w:rsidR="00597B5E" w:rsidRPr="00B65F7F" w:rsidRDefault="00597B5E" w:rsidP="00793E49">
            <w:pPr>
              <w:pStyle w:val="TableText"/>
              <w:rPr>
                <w:rFonts w:eastAsia="Calibri"/>
              </w:rPr>
            </w:pPr>
            <w:r w:rsidRPr="00B65F7F">
              <w:rPr>
                <w:rFonts w:eastAsia="Calibri"/>
              </w:rPr>
              <w:t>&gt;$350,000 &lt;$500,000</w:t>
            </w:r>
          </w:p>
        </w:tc>
        <w:tc>
          <w:tcPr>
            <w:tcW w:w="1419" w:type="dxa"/>
          </w:tcPr>
          <w:p w14:paraId="0432B8A5" w14:textId="77777777" w:rsidR="00597B5E" w:rsidRPr="00B65F7F" w:rsidRDefault="00597B5E" w:rsidP="00793E49">
            <w:pPr>
              <w:pStyle w:val="TableText"/>
              <w:cnfStyle w:val="000000100000" w:firstRow="0" w:lastRow="0" w:firstColumn="0" w:lastColumn="0" w:oddVBand="0" w:evenVBand="0" w:oddHBand="1" w:evenHBand="0" w:firstRowFirstColumn="0" w:firstRowLastColumn="0" w:lastRowFirstColumn="0" w:lastRowLastColumn="0"/>
              <w:rPr>
                <w:rFonts w:eastAsia="Calibri"/>
              </w:rPr>
            </w:pPr>
            <w:r w:rsidRPr="00B65F7F">
              <w:rPr>
                <w:rFonts w:eastAsia="Calibri"/>
              </w:rPr>
              <w:t>&gt;$500,000</w:t>
            </w:r>
          </w:p>
        </w:tc>
      </w:tr>
      <w:tr w:rsidR="00597B5E" w:rsidRPr="00B65F7F" w14:paraId="5AC3D2FE" w14:textId="77777777" w:rsidTr="006F6DD1">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27" w:type="dxa"/>
          </w:tcPr>
          <w:p w14:paraId="0B1530FA" w14:textId="77777777" w:rsidR="00597B5E" w:rsidRPr="00B65F7F" w:rsidRDefault="00597B5E" w:rsidP="00793E49">
            <w:pPr>
              <w:pStyle w:val="TableText"/>
              <w:rPr>
                <w:rFonts w:eastAsia="Calibri"/>
              </w:rPr>
            </w:pPr>
            <w:r w:rsidRPr="00B65F7F">
              <w:rPr>
                <w:rFonts w:eastAsia="Calibri"/>
              </w:rPr>
              <w:t>Number of First Nations served</w:t>
            </w:r>
          </w:p>
        </w:tc>
        <w:tc>
          <w:tcPr>
            <w:tcW w:w="1418" w:type="dxa"/>
          </w:tcPr>
          <w:p w14:paraId="4704AD7A" w14:textId="77777777" w:rsidR="00597B5E" w:rsidRPr="00B65F7F" w:rsidRDefault="00597B5E" w:rsidP="00793E49">
            <w:pPr>
              <w:pStyle w:val="TableText"/>
              <w:cnfStyle w:val="000000010000" w:firstRow="0" w:lastRow="0" w:firstColumn="0" w:lastColumn="0" w:oddVBand="0" w:evenVBand="0" w:oddHBand="0" w:evenHBand="1" w:firstRowFirstColumn="0" w:firstRowLastColumn="0" w:lastRowFirstColumn="0" w:lastRowLastColumn="0"/>
              <w:rPr>
                <w:rFonts w:eastAsia="Calibri"/>
              </w:rPr>
            </w:pPr>
            <w:r w:rsidRPr="00B65F7F">
              <w:rPr>
                <w:rFonts w:eastAsia="Calibri"/>
              </w:rPr>
              <w:t>2–5</w:t>
            </w:r>
          </w:p>
        </w:tc>
        <w:tc>
          <w:tcPr>
            <w:cnfStyle w:val="000010000000" w:firstRow="0" w:lastRow="0" w:firstColumn="0" w:lastColumn="0" w:oddVBand="1" w:evenVBand="0" w:oddHBand="0" w:evenHBand="0" w:firstRowFirstColumn="0" w:firstRowLastColumn="0" w:lastRowFirstColumn="0" w:lastRowLastColumn="0"/>
            <w:tcW w:w="1419" w:type="dxa"/>
          </w:tcPr>
          <w:p w14:paraId="1980062D" w14:textId="77777777" w:rsidR="00597B5E" w:rsidRPr="00B65F7F" w:rsidRDefault="00597B5E" w:rsidP="00793E49">
            <w:pPr>
              <w:pStyle w:val="TableText"/>
              <w:rPr>
                <w:rFonts w:eastAsia="Calibri"/>
              </w:rPr>
            </w:pPr>
            <w:r w:rsidRPr="00B65F7F">
              <w:rPr>
                <w:rFonts w:eastAsia="Calibri"/>
              </w:rPr>
              <w:t>6–8</w:t>
            </w:r>
          </w:p>
        </w:tc>
        <w:tc>
          <w:tcPr>
            <w:tcW w:w="1419" w:type="dxa"/>
          </w:tcPr>
          <w:p w14:paraId="5F79B28E" w14:textId="77777777" w:rsidR="00597B5E" w:rsidRPr="00B65F7F" w:rsidRDefault="00597B5E" w:rsidP="00793E49">
            <w:pPr>
              <w:pStyle w:val="TableText"/>
              <w:cnfStyle w:val="000000010000" w:firstRow="0" w:lastRow="0" w:firstColumn="0" w:lastColumn="0" w:oddVBand="0" w:evenVBand="0" w:oddHBand="0" w:evenHBand="1" w:firstRowFirstColumn="0" w:firstRowLastColumn="0" w:lastRowFirstColumn="0" w:lastRowLastColumn="0"/>
              <w:rPr>
                <w:rFonts w:eastAsia="Calibri"/>
                <w:u w:val="single"/>
              </w:rPr>
            </w:pPr>
            <w:r w:rsidRPr="00B65F7F">
              <w:rPr>
                <w:rFonts w:eastAsia="Calibri"/>
                <w:u w:val="single"/>
              </w:rPr>
              <w:t>&gt;</w:t>
            </w:r>
            <w:r w:rsidRPr="00B65F7F">
              <w:rPr>
                <w:rFonts w:eastAsia="Calibri"/>
              </w:rPr>
              <w:t>9</w:t>
            </w:r>
          </w:p>
        </w:tc>
      </w:tr>
      <w:tr w:rsidR="00597B5E" w:rsidRPr="00B65F7F" w14:paraId="2F71BA77" w14:textId="77777777" w:rsidTr="006F6DD1">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27" w:type="dxa"/>
          </w:tcPr>
          <w:p w14:paraId="25823936" w14:textId="77777777" w:rsidR="00597B5E" w:rsidRPr="00B65F7F" w:rsidRDefault="00597B5E" w:rsidP="00793E49">
            <w:pPr>
              <w:pStyle w:val="TableText"/>
              <w:rPr>
                <w:rFonts w:eastAsia="Calibri"/>
              </w:rPr>
            </w:pPr>
            <w:r w:rsidRPr="00B65F7F">
              <w:rPr>
                <w:rFonts w:eastAsia="Calibri"/>
              </w:rPr>
              <w:t>Total on-reserve population (based on the Indian Registry System as of 31 Dec of the previous fiscal year)</w:t>
            </w:r>
          </w:p>
        </w:tc>
        <w:tc>
          <w:tcPr>
            <w:tcW w:w="1418" w:type="dxa"/>
          </w:tcPr>
          <w:p w14:paraId="0FD9856B" w14:textId="77777777" w:rsidR="00597B5E" w:rsidRPr="00B65F7F" w:rsidRDefault="00597B5E" w:rsidP="00793E49">
            <w:pPr>
              <w:pStyle w:val="TableText"/>
              <w:cnfStyle w:val="000000100000" w:firstRow="0" w:lastRow="0" w:firstColumn="0" w:lastColumn="0" w:oddVBand="0" w:evenVBand="0" w:oddHBand="1" w:evenHBand="0" w:firstRowFirstColumn="0" w:firstRowLastColumn="0" w:lastRowFirstColumn="0" w:lastRowLastColumn="0"/>
              <w:rPr>
                <w:rFonts w:eastAsia="Calibri"/>
              </w:rPr>
            </w:pPr>
            <w:r w:rsidRPr="00B65F7F">
              <w:rPr>
                <w:rFonts w:eastAsia="Calibri"/>
              </w:rPr>
              <w:t>&gt;2,000</w:t>
            </w:r>
          </w:p>
        </w:tc>
        <w:tc>
          <w:tcPr>
            <w:cnfStyle w:val="000010000000" w:firstRow="0" w:lastRow="0" w:firstColumn="0" w:lastColumn="0" w:oddVBand="1" w:evenVBand="0" w:oddHBand="0" w:evenHBand="0" w:firstRowFirstColumn="0" w:firstRowLastColumn="0" w:lastRowFirstColumn="0" w:lastRowLastColumn="0"/>
            <w:tcW w:w="1419" w:type="dxa"/>
          </w:tcPr>
          <w:p w14:paraId="26E00136" w14:textId="77777777" w:rsidR="00597B5E" w:rsidRPr="00B65F7F" w:rsidRDefault="00597B5E" w:rsidP="00793E49">
            <w:pPr>
              <w:pStyle w:val="TableText"/>
              <w:rPr>
                <w:rFonts w:eastAsia="Calibri"/>
              </w:rPr>
            </w:pPr>
            <w:r w:rsidRPr="00B65F7F">
              <w:rPr>
                <w:rFonts w:eastAsia="Calibri"/>
              </w:rPr>
              <w:t>2,000</w:t>
            </w:r>
            <w:r>
              <w:rPr>
                <w:rFonts w:eastAsia="Calibri"/>
              </w:rPr>
              <w:t>–</w:t>
            </w:r>
            <w:r w:rsidRPr="00B65F7F">
              <w:rPr>
                <w:rFonts w:eastAsia="Calibri"/>
              </w:rPr>
              <w:t>5,500</w:t>
            </w:r>
          </w:p>
        </w:tc>
        <w:tc>
          <w:tcPr>
            <w:tcW w:w="1419" w:type="dxa"/>
          </w:tcPr>
          <w:p w14:paraId="7A9B35F4" w14:textId="77777777" w:rsidR="00597B5E" w:rsidRPr="00B65F7F" w:rsidRDefault="00597B5E" w:rsidP="00793E49">
            <w:pPr>
              <w:pStyle w:val="TableText"/>
              <w:cnfStyle w:val="000000100000" w:firstRow="0" w:lastRow="0" w:firstColumn="0" w:lastColumn="0" w:oddVBand="0" w:evenVBand="0" w:oddHBand="1" w:evenHBand="0" w:firstRowFirstColumn="0" w:firstRowLastColumn="0" w:lastRowFirstColumn="0" w:lastRowLastColumn="0"/>
              <w:rPr>
                <w:rFonts w:eastAsia="Calibri"/>
                <w:u w:val="single"/>
              </w:rPr>
            </w:pPr>
            <w:r w:rsidRPr="00B65F7F">
              <w:rPr>
                <w:rFonts w:eastAsia="Calibri"/>
                <w:u w:val="single"/>
              </w:rPr>
              <w:t>&gt;</w:t>
            </w:r>
            <w:r w:rsidRPr="00B65F7F">
              <w:rPr>
                <w:rFonts w:eastAsia="Calibri"/>
              </w:rPr>
              <w:t>5,500</w:t>
            </w:r>
          </w:p>
        </w:tc>
      </w:tr>
      <w:tr w:rsidR="00597B5E" w:rsidRPr="00B65F7F" w14:paraId="22A53209" w14:textId="77777777" w:rsidTr="006F6DD1">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427" w:type="dxa"/>
          </w:tcPr>
          <w:p w14:paraId="390B4591" w14:textId="77777777" w:rsidR="00597B5E" w:rsidRPr="00B65F7F" w:rsidRDefault="00597B5E" w:rsidP="00793E49">
            <w:pPr>
              <w:pStyle w:val="TableText"/>
              <w:rPr>
                <w:rFonts w:eastAsia="Calibri"/>
              </w:rPr>
            </w:pPr>
            <w:r w:rsidRPr="00B65F7F">
              <w:rPr>
                <w:rFonts w:eastAsia="Calibri"/>
              </w:rPr>
              <w:t>Number of ongoing major programs</w:t>
            </w:r>
          </w:p>
        </w:tc>
        <w:tc>
          <w:tcPr>
            <w:tcW w:w="1418" w:type="dxa"/>
          </w:tcPr>
          <w:p w14:paraId="00789975" w14:textId="77777777" w:rsidR="00597B5E" w:rsidRPr="00B65F7F" w:rsidRDefault="00597B5E" w:rsidP="00793E49">
            <w:pPr>
              <w:pStyle w:val="TableText"/>
              <w:cnfStyle w:val="000000010000" w:firstRow="0" w:lastRow="0" w:firstColumn="0" w:lastColumn="0" w:oddVBand="0" w:evenVBand="0" w:oddHBand="0" w:evenHBand="1" w:firstRowFirstColumn="0" w:firstRowLastColumn="0" w:lastRowFirstColumn="0" w:lastRowLastColumn="0"/>
              <w:rPr>
                <w:rFonts w:eastAsia="Calibri"/>
              </w:rPr>
            </w:pPr>
            <w:r w:rsidRPr="00B65F7F">
              <w:rPr>
                <w:rFonts w:eastAsia="Calibri"/>
              </w:rPr>
              <w:t>&lt;3</w:t>
            </w:r>
          </w:p>
        </w:tc>
        <w:tc>
          <w:tcPr>
            <w:cnfStyle w:val="000010000000" w:firstRow="0" w:lastRow="0" w:firstColumn="0" w:lastColumn="0" w:oddVBand="1" w:evenVBand="0" w:oddHBand="0" w:evenHBand="0" w:firstRowFirstColumn="0" w:firstRowLastColumn="0" w:lastRowFirstColumn="0" w:lastRowLastColumn="0"/>
            <w:tcW w:w="1419" w:type="dxa"/>
          </w:tcPr>
          <w:p w14:paraId="2DA3BF73" w14:textId="77777777" w:rsidR="00597B5E" w:rsidRPr="00B65F7F" w:rsidRDefault="00597B5E" w:rsidP="00793E49">
            <w:pPr>
              <w:pStyle w:val="TableText"/>
              <w:rPr>
                <w:rFonts w:eastAsia="Calibri"/>
              </w:rPr>
            </w:pPr>
            <w:r w:rsidRPr="00B65F7F">
              <w:rPr>
                <w:rFonts w:eastAsia="Calibri"/>
              </w:rPr>
              <w:t>3–5</w:t>
            </w:r>
          </w:p>
        </w:tc>
        <w:tc>
          <w:tcPr>
            <w:tcW w:w="1419" w:type="dxa"/>
          </w:tcPr>
          <w:p w14:paraId="7DF45D1E" w14:textId="77777777" w:rsidR="00597B5E" w:rsidRPr="00B65F7F" w:rsidRDefault="00597B5E" w:rsidP="00793E49">
            <w:pPr>
              <w:pStyle w:val="TableText"/>
              <w:cnfStyle w:val="000000010000" w:firstRow="0" w:lastRow="0" w:firstColumn="0" w:lastColumn="0" w:oddVBand="0" w:evenVBand="0" w:oddHBand="0" w:evenHBand="1" w:firstRowFirstColumn="0" w:firstRowLastColumn="0" w:lastRowFirstColumn="0" w:lastRowLastColumn="0"/>
              <w:rPr>
                <w:rFonts w:eastAsia="Calibri"/>
                <w:u w:val="single"/>
              </w:rPr>
            </w:pPr>
            <w:r w:rsidRPr="00B65F7F">
              <w:rPr>
                <w:rFonts w:eastAsia="Calibri"/>
                <w:u w:val="single"/>
              </w:rPr>
              <w:t>&gt;</w:t>
            </w:r>
            <w:r w:rsidRPr="00B65F7F">
              <w:rPr>
                <w:rFonts w:eastAsia="Calibri"/>
              </w:rPr>
              <w:t>6</w:t>
            </w:r>
          </w:p>
        </w:tc>
      </w:tr>
    </w:tbl>
    <w:p w14:paraId="367D552B" w14:textId="77777777" w:rsidR="00597B5E" w:rsidRPr="00B65F7F" w:rsidRDefault="00597B5E" w:rsidP="00597B5E">
      <w:pPr>
        <w:pStyle w:val="Notes"/>
        <w:spacing w:after="360"/>
        <w:rPr>
          <w:rFonts w:eastAsia="Calibri"/>
        </w:rPr>
      </w:pPr>
      <w:r>
        <w:rPr>
          <w:rFonts w:eastAsia="Calibri"/>
        </w:rPr>
        <w:t xml:space="preserve">Source: </w:t>
      </w:r>
      <w:r w:rsidRPr="00B65F7F">
        <w:rPr>
          <w:rFonts w:eastAsia="Calibri"/>
        </w:rPr>
        <w:t>Adapted from Indigenous Services Canada, 2019</w:t>
      </w:r>
      <w:r>
        <w:rPr>
          <w:rFonts w:eastAsia="Calibri"/>
        </w:rPr>
        <w:t>a</w:t>
      </w:r>
    </w:p>
    <w:p w14:paraId="01391A8E" w14:textId="5F6F3A30" w:rsidR="00597B5E" w:rsidRPr="00B65F7F" w:rsidRDefault="00597B5E" w:rsidP="00793E49">
      <w:pPr>
        <w:pStyle w:val="BodyText"/>
        <w:keepLines/>
      </w:pPr>
      <w:r w:rsidRPr="00B65F7F">
        <w:t xml:space="preserve">Tribal Council Funding governance arrangements are robust and require the inclusion of First Nations Tribal Councils and Member First Nations in service planning, delivery and evaluation. </w:t>
      </w:r>
      <w:r w:rsidR="00B84059">
        <w:fldChar w:fldCharType="begin"/>
      </w:r>
      <w:r w:rsidR="00B84059">
        <w:instrText xml:space="preserve"> REF _Ref152083256 \h </w:instrText>
      </w:r>
      <w:r w:rsidR="00B84059">
        <w:fldChar w:fldCharType="separate"/>
      </w:r>
      <w:r w:rsidR="00934D5E">
        <w:t>Table A9.</w:t>
      </w:r>
      <w:r w:rsidR="00934D5E">
        <w:rPr>
          <w:noProof/>
        </w:rPr>
        <w:t>15</w:t>
      </w:r>
      <w:r w:rsidR="00B84059">
        <w:fldChar w:fldCharType="end"/>
      </w:r>
      <w:r w:rsidRPr="00B65F7F">
        <w:t xml:space="preserve"> below details administrative, monitoring and governance structures and accountability mechanisms in place. </w:t>
      </w:r>
    </w:p>
    <w:p w14:paraId="06BC7B74" w14:textId="19F3A619" w:rsidR="00597B5E" w:rsidRPr="00B65F7F" w:rsidRDefault="00006B54" w:rsidP="00DD0673">
      <w:pPr>
        <w:pStyle w:val="CaptionTable"/>
        <w:rPr>
          <w:rFonts w:eastAsia="Calibri"/>
        </w:rPr>
      </w:pPr>
      <w:bookmarkStart w:id="458" w:name="_heading=h.20xfydz" w:colFirst="0" w:colLast="0"/>
      <w:bookmarkStart w:id="459" w:name="_Ref152083256"/>
      <w:bookmarkStart w:id="460" w:name="_Toc145604964"/>
      <w:bookmarkStart w:id="461" w:name="_Toc145617836"/>
      <w:bookmarkStart w:id="462" w:name="_Toc156932108"/>
      <w:bookmarkEnd w:id="458"/>
      <w:r>
        <w:t>Table A9.</w:t>
      </w:r>
      <w:r>
        <w:fldChar w:fldCharType="begin"/>
      </w:r>
      <w:r>
        <w:instrText xml:space="preserve"> SEQ Table_A9 \* ARABIC </w:instrText>
      </w:r>
      <w:r>
        <w:fldChar w:fldCharType="separate"/>
      </w:r>
      <w:r w:rsidR="00934D5E">
        <w:rPr>
          <w:noProof/>
        </w:rPr>
        <w:t>15</w:t>
      </w:r>
      <w:r>
        <w:fldChar w:fldCharType="end"/>
      </w:r>
      <w:bookmarkEnd w:id="459"/>
      <w:r w:rsidR="00597B5E">
        <w:t xml:space="preserve">: </w:t>
      </w:r>
      <w:r w:rsidR="00597B5E" w:rsidRPr="00B65F7F">
        <w:rPr>
          <w:rFonts w:eastAsia="Calibri"/>
        </w:rPr>
        <w:t>Roles and responsibilities for the Tribal Council Funding Program</w:t>
      </w:r>
      <w:bookmarkEnd w:id="460"/>
      <w:bookmarkEnd w:id="461"/>
      <w:bookmarkEnd w:id="462"/>
    </w:p>
    <w:tbl>
      <w:tblPr>
        <w:tblStyle w:val="Newtableforresport"/>
        <w:tblW w:w="9618" w:type="dxa"/>
        <w:tblInd w:w="10" w:type="dxa"/>
        <w:tblLayout w:type="fixed"/>
        <w:tblLook w:val="0420" w:firstRow="1" w:lastRow="0" w:firstColumn="0" w:lastColumn="0" w:noHBand="0" w:noVBand="1"/>
        <w:tblCaption w:val="Table A9.15: Roles and responsibilities for the Tribal Council Funding Program"/>
        <w:tblDescription w:val="The table describes roles and responsibilities for the Tribal Council Funding Program in Canada. The first column lists different governing bodies. The second column lists the roles and responsibilities of the relevant governing body. "/>
      </w:tblPr>
      <w:tblGrid>
        <w:gridCol w:w="1631"/>
        <w:gridCol w:w="7987"/>
      </w:tblGrid>
      <w:tr w:rsidR="00597B5E" w:rsidRPr="0033162B" w14:paraId="4C353FFE" w14:textId="77777777" w:rsidTr="00F5297C">
        <w:trPr>
          <w:cnfStyle w:val="100000000000" w:firstRow="1" w:lastRow="0" w:firstColumn="0" w:lastColumn="0" w:oddVBand="0" w:evenVBand="0" w:oddHBand="0" w:evenHBand="0" w:firstRowFirstColumn="0" w:firstRowLastColumn="0" w:lastRowFirstColumn="0" w:lastRowLastColumn="0"/>
          <w:tblHeader/>
        </w:trPr>
        <w:tc>
          <w:tcPr>
            <w:tcW w:w="1631" w:type="dxa"/>
          </w:tcPr>
          <w:p w14:paraId="07D8B7A9" w14:textId="77777777" w:rsidR="00597B5E" w:rsidRPr="0033162B" w:rsidRDefault="00597B5E" w:rsidP="00024E8D">
            <w:pPr>
              <w:pStyle w:val="TableHeading"/>
              <w:rPr>
                <w:rFonts w:eastAsia="Calibri"/>
                <w:b w:val="0"/>
              </w:rPr>
            </w:pPr>
            <w:r w:rsidRPr="0033162B">
              <w:rPr>
                <w:rFonts w:eastAsia="Calibri"/>
              </w:rPr>
              <w:t>Governing body</w:t>
            </w:r>
          </w:p>
        </w:tc>
        <w:tc>
          <w:tcPr>
            <w:tcW w:w="7987" w:type="dxa"/>
          </w:tcPr>
          <w:p w14:paraId="200A74F3" w14:textId="77777777" w:rsidR="00597B5E" w:rsidRPr="0033162B" w:rsidRDefault="00597B5E" w:rsidP="00024E8D">
            <w:pPr>
              <w:pStyle w:val="TableHeading"/>
              <w:rPr>
                <w:rFonts w:eastAsia="Calibri"/>
                <w:b w:val="0"/>
              </w:rPr>
            </w:pPr>
            <w:r w:rsidRPr="0033162B">
              <w:rPr>
                <w:rFonts w:eastAsia="Calibri"/>
              </w:rPr>
              <w:t>Roles and responsibilities</w:t>
            </w:r>
          </w:p>
        </w:tc>
      </w:tr>
      <w:tr w:rsidR="00597B5E" w:rsidRPr="00B65F7F" w14:paraId="0EA10C27" w14:textId="77777777" w:rsidTr="006F6DD1">
        <w:trPr>
          <w:cnfStyle w:val="000000100000" w:firstRow="0" w:lastRow="0" w:firstColumn="0" w:lastColumn="0" w:oddVBand="0" w:evenVBand="0" w:oddHBand="1" w:evenHBand="0" w:firstRowFirstColumn="0" w:firstRowLastColumn="0" w:lastRowFirstColumn="0" w:lastRowLastColumn="0"/>
        </w:trPr>
        <w:tc>
          <w:tcPr>
            <w:tcW w:w="1631" w:type="dxa"/>
          </w:tcPr>
          <w:p w14:paraId="31E4CDD3" w14:textId="77777777" w:rsidR="00597B5E" w:rsidRPr="00B65F7F" w:rsidRDefault="00597B5E" w:rsidP="00793E49">
            <w:pPr>
              <w:pStyle w:val="TableText"/>
              <w:rPr>
                <w:rFonts w:eastAsia="Calibri"/>
              </w:rPr>
            </w:pPr>
            <w:r w:rsidRPr="00B65F7F">
              <w:rPr>
                <w:rFonts w:eastAsia="Calibri"/>
              </w:rPr>
              <w:t>Headquarters</w:t>
            </w:r>
          </w:p>
        </w:tc>
        <w:tc>
          <w:tcPr>
            <w:tcW w:w="7987" w:type="dxa"/>
          </w:tcPr>
          <w:p w14:paraId="31B8F204" w14:textId="77777777" w:rsidR="00597B5E" w:rsidRPr="00B65F7F" w:rsidRDefault="00597B5E" w:rsidP="006F6DD1">
            <w:pPr>
              <w:pStyle w:val="TableTextbullets"/>
              <w:ind w:left="367"/>
            </w:pPr>
            <w:r w:rsidRPr="00A25C76">
              <w:t>overall administration and management of the TCF Program and ensuring reporting and accountability requirements are met</w:t>
            </w:r>
          </w:p>
          <w:p w14:paraId="1F295F8B" w14:textId="77777777" w:rsidR="00597B5E" w:rsidRPr="00B65F7F" w:rsidRDefault="00597B5E" w:rsidP="006F6DD1">
            <w:pPr>
              <w:pStyle w:val="TableTextbullets"/>
              <w:ind w:left="367"/>
            </w:pPr>
            <w:r w:rsidRPr="00A25C76">
              <w:t>development and circulation of all TCF Program policies and procedures</w:t>
            </w:r>
          </w:p>
          <w:p w14:paraId="1143140B" w14:textId="77777777" w:rsidR="00597B5E" w:rsidRPr="00B65F7F" w:rsidRDefault="00597B5E" w:rsidP="006F6DD1">
            <w:pPr>
              <w:pStyle w:val="TableTextbullets"/>
              <w:ind w:left="367"/>
            </w:pPr>
            <w:r w:rsidRPr="00A25C76">
              <w:t>overall administration of the Indian Government Support System (IGSS)</w:t>
            </w:r>
          </w:p>
          <w:p w14:paraId="5564947B" w14:textId="77777777" w:rsidR="00597B5E" w:rsidRPr="00B65F7F" w:rsidRDefault="00597B5E" w:rsidP="006F6DD1">
            <w:pPr>
              <w:pStyle w:val="TableTextbullets"/>
              <w:ind w:left="367"/>
            </w:pPr>
            <w:r w:rsidRPr="00A25C76">
              <w:t>managing the allocation processes for the TCF Program</w:t>
            </w:r>
            <w:r w:rsidRPr="00A25C76">
              <w:tab/>
            </w:r>
          </w:p>
        </w:tc>
      </w:tr>
      <w:tr w:rsidR="00597B5E" w:rsidRPr="00B65F7F" w14:paraId="032803BC" w14:textId="77777777" w:rsidTr="006F6DD1">
        <w:trPr>
          <w:cnfStyle w:val="000000010000" w:firstRow="0" w:lastRow="0" w:firstColumn="0" w:lastColumn="0" w:oddVBand="0" w:evenVBand="0" w:oddHBand="0" w:evenHBand="1" w:firstRowFirstColumn="0" w:firstRowLastColumn="0" w:lastRowFirstColumn="0" w:lastRowLastColumn="0"/>
        </w:trPr>
        <w:tc>
          <w:tcPr>
            <w:tcW w:w="1631" w:type="dxa"/>
          </w:tcPr>
          <w:p w14:paraId="535BE2FF" w14:textId="77777777" w:rsidR="00597B5E" w:rsidRPr="00B65F7F" w:rsidRDefault="00597B5E" w:rsidP="00793E49">
            <w:pPr>
              <w:pStyle w:val="TableText"/>
              <w:rPr>
                <w:rFonts w:eastAsia="Calibri"/>
              </w:rPr>
            </w:pPr>
            <w:r w:rsidRPr="00B65F7F">
              <w:rPr>
                <w:rFonts w:eastAsia="Calibri"/>
              </w:rPr>
              <w:t>Regional offices</w:t>
            </w:r>
          </w:p>
        </w:tc>
        <w:tc>
          <w:tcPr>
            <w:tcW w:w="7987" w:type="dxa"/>
          </w:tcPr>
          <w:p w14:paraId="07203EA3" w14:textId="77777777" w:rsidR="00597B5E" w:rsidRPr="00B65F7F" w:rsidRDefault="00597B5E" w:rsidP="006F6DD1">
            <w:pPr>
              <w:pStyle w:val="TableTextbullets"/>
              <w:ind w:left="367"/>
            </w:pPr>
            <w:r w:rsidRPr="00A25C76">
              <w:t>delivery, maintenance, monitoring and support functions associated with the implementation of the TCF Program</w:t>
            </w:r>
          </w:p>
          <w:p w14:paraId="7B0F9933" w14:textId="77777777" w:rsidR="00597B5E" w:rsidRPr="00B65F7F" w:rsidRDefault="00597B5E" w:rsidP="006F6DD1">
            <w:pPr>
              <w:pStyle w:val="TableTextbullets"/>
              <w:ind w:left="367"/>
            </w:pPr>
            <w:r w:rsidRPr="00A25C76">
              <w:t>recommending the approval of new recipients of the TCF Program</w:t>
            </w:r>
          </w:p>
          <w:p w14:paraId="20753D41" w14:textId="77777777" w:rsidR="00597B5E" w:rsidRPr="00B65F7F" w:rsidRDefault="00597B5E" w:rsidP="006F6DD1">
            <w:pPr>
              <w:pStyle w:val="TableTextbullets"/>
              <w:ind w:left="367"/>
            </w:pPr>
            <w:r w:rsidRPr="00A25C76">
              <w:t>meeting with Tribal Councils to discuss the impacts of changes in Tribal Council membership and programs/services</w:t>
            </w:r>
          </w:p>
          <w:p w14:paraId="4CBBA687" w14:textId="77777777" w:rsidR="00597B5E" w:rsidRPr="00B65F7F" w:rsidRDefault="00597B5E" w:rsidP="006F6DD1">
            <w:pPr>
              <w:pStyle w:val="TableTextbullets"/>
              <w:ind w:left="367"/>
            </w:pPr>
            <w:r w:rsidRPr="00A25C76">
              <w:t>providing guidance and advice to Tribal Councils in interpreting the TCF Program policy and guidelines</w:t>
            </w:r>
          </w:p>
          <w:p w14:paraId="55F0608F" w14:textId="77777777" w:rsidR="00597B5E" w:rsidRPr="00B65F7F" w:rsidRDefault="00597B5E" w:rsidP="006F6DD1">
            <w:pPr>
              <w:pStyle w:val="TableTextbullets"/>
              <w:ind w:left="367"/>
            </w:pPr>
            <w:r w:rsidRPr="00A25C76">
              <w:t>providing timely feedback to Tribal Council recipients about monitoring, review and actions required to address issues</w:t>
            </w:r>
          </w:p>
          <w:p w14:paraId="01B52DC9" w14:textId="77777777" w:rsidR="00597B5E" w:rsidRPr="00B65F7F" w:rsidRDefault="00597B5E" w:rsidP="00F5297C">
            <w:pPr>
              <w:pStyle w:val="TableTextbullets"/>
              <w:keepNext/>
              <w:ind w:left="367"/>
            </w:pPr>
            <w:r w:rsidRPr="00A25C76">
              <w:t>implementing program compliance when a Tribal Council does not meet minimum reporting requirements/standards</w:t>
            </w:r>
          </w:p>
          <w:p w14:paraId="1EAA37B6" w14:textId="77777777" w:rsidR="00597B5E" w:rsidRPr="00B65F7F" w:rsidRDefault="00597B5E" w:rsidP="006F6DD1">
            <w:pPr>
              <w:pStyle w:val="TableTextbullets"/>
              <w:ind w:left="367"/>
            </w:pPr>
            <w:r w:rsidRPr="00A25C76">
              <w:t>monitoring, gathering, verifying and updating IGSS data</w:t>
            </w:r>
          </w:p>
        </w:tc>
      </w:tr>
      <w:tr w:rsidR="00597B5E" w:rsidRPr="00B65F7F" w14:paraId="4A4D138A" w14:textId="77777777" w:rsidTr="006F6DD1">
        <w:trPr>
          <w:cnfStyle w:val="000000100000" w:firstRow="0" w:lastRow="0" w:firstColumn="0" w:lastColumn="0" w:oddVBand="0" w:evenVBand="0" w:oddHBand="1" w:evenHBand="0" w:firstRowFirstColumn="0" w:firstRowLastColumn="0" w:lastRowFirstColumn="0" w:lastRowLastColumn="0"/>
        </w:trPr>
        <w:tc>
          <w:tcPr>
            <w:tcW w:w="1631" w:type="dxa"/>
          </w:tcPr>
          <w:p w14:paraId="3123F9C5" w14:textId="77777777" w:rsidR="00597B5E" w:rsidRPr="00B65F7F" w:rsidRDefault="00597B5E" w:rsidP="00793E49">
            <w:pPr>
              <w:pStyle w:val="TableText"/>
              <w:rPr>
                <w:rFonts w:eastAsia="Calibri"/>
              </w:rPr>
            </w:pPr>
            <w:r w:rsidRPr="00B65F7F">
              <w:rPr>
                <w:rFonts w:eastAsia="Calibri"/>
              </w:rPr>
              <w:t>Tribal Councils</w:t>
            </w:r>
          </w:p>
        </w:tc>
        <w:tc>
          <w:tcPr>
            <w:tcW w:w="7987" w:type="dxa"/>
          </w:tcPr>
          <w:p w14:paraId="4C31D66E" w14:textId="77777777" w:rsidR="00597B5E" w:rsidRPr="00B65F7F" w:rsidRDefault="00597B5E" w:rsidP="006F6DD1">
            <w:pPr>
              <w:pStyle w:val="TableTextbullets"/>
              <w:ind w:left="367"/>
            </w:pPr>
            <w:r w:rsidRPr="00A25C76">
              <w:t xml:space="preserve">providing 12 </w:t>
            </w:r>
            <w:r w:rsidR="002B46E5" w:rsidRPr="00A25C76">
              <w:t>months’ notice</w:t>
            </w:r>
            <w:r w:rsidRPr="00A25C76">
              <w:t xml:space="preserve"> to Indigenous Services Canada of their intent to become recipients of the TCF Program, dropping services or providing additional services</w:t>
            </w:r>
          </w:p>
          <w:p w14:paraId="2EFC1EF7" w14:textId="77777777" w:rsidR="00597B5E" w:rsidRPr="00B65F7F" w:rsidRDefault="00597B5E" w:rsidP="006F6DD1">
            <w:pPr>
              <w:pStyle w:val="TableTextbullets"/>
              <w:ind w:left="367"/>
            </w:pPr>
            <w:r w:rsidRPr="00A25C76">
              <w:t>delivery of services/programs and/or capacity development of Member First Nations</w:t>
            </w:r>
          </w:p>
          <w:p w14:paraId="193CBDE1" w14:textId="77777777" w:rsidR="00597B5E" w:rsidRPr="00B65F7F" w:rsidRDefault="00597B5E" w:rsidP="006F6DD1">
            <w:pPr>
              <w:pStyle w:val="TableTextbullets"/>
              <w:ind w:left="367"/>
            </w:pPr>
            <w:r w:rsidRPr="00A25C76">
              <w:t>providing an application, work plan and report to Member First Nations and Indigenous Services Canada</w:t>
            </w:r>
          </w:p>
        </w:tc>
      </w:tr>
      <w:tr w:rsidR="00597B5E" w:rsidRPr="00B65F7F" w14:paraId="0E9EF03B" w14:textId="77777777" w:rsidTr="006F6DD1">
        <w:trPr>
          <w:cnfStyle w:val="000000010000" w:firstRow="0" w:lastRow="0" w:firstColumn="0" w:lastColumn="0" w:oddVBand="0" w:evenVBand="0" w:oddHBand="0" w:evenHBand="1" w:firstRowFirstColumn="0" w:firstRowLastColumn="0" w:lastRowFirstColumn="0" w:lastRowLastColumn="0"/>
        </w:trPr>
        <w:tc>
          <w:tcPr>
            <w:tcW w:w="1631" w:type="dxa"/>
          </w:tcPr>
          <w:p w14:paraId="09F374D2" w14:textId="77777777" w:rsidR="00597B5E" w:rsidRPr="00B65F7F" w:rsidRDefault="00597B5E" w:rsidP="00793E49">
            <w:pPr>
              <w:pStyle w:val="TableText"/>
              <w:rPr>
                <w:rFonts w:eastAsia="Calibri"/>
              </w:rPr>
            </w:pPr>
            <w:r w:rsidRPr="00B65F7F">
              <w:rPr>
                <w:rFonts w:eastAsia="Calibri"/>
              </w:rPr>
              <w:t>Member First Nations</w:t>
            </w:r>
          </w:p>
        </w:tc>
        <w:tc>
          <w:tcPr>
            <w:tcW w:w="7987" w:type="dxa"/>
          </w:tcPr>
          <w:p w14:paraId="5BD54E0A" w14:textId="77777777" w:rsidR="00597B5E" w:rsidRPr="00B65F7F" w:rsidRDefault="00597B5E" w:rsidP="006F6DD1">
            <w:pPr>
              <w:pStyle w:val="TableTextbullets"/>
              <w:ind w:left="367"/>
            </w:pPr>
            <w:r w:rsidRPr="00A25C76">
              <w:t>determining the role(s), level of responsibilities and level of service standards for the Tribal Council</w:t>
            </w:r>
          </w:p>
          <w:p w14:paraId="211FC6DA" w14:textId="77777777" w:rsidR="00597B5E" w:rsidRPr="00B65F7F" w:rsidRDefault="00597B5E" w:rsidP="006F6DD1">
            <w:pPr>
              <w:pStyle w:val="TableTextbullets"/>
              <w:ind w:left="367"/>
            </w:pPr>
            <w:r w:rsidRPr="00A25C76">
              <w:t xml:space="preserve">providing 12 </w:t>
            </w:r>
            <w:r w:rsidR="002B46E5" w:rsidRPr="00A25C76">
              <w:t>months’ notice</w:t>
            </w:r>
            <w:r w:rsidRPr="00A25C76">
              <w:t xml:space="preserve"> of their intention to withdraw from their affiliated Tribal Council, become affiliated with another Tribal Council or form a new Tribal Council</w:t>
            </w:r>
          </w:p>
          <w:p w14:paraId="5B1C5E47" w14:textId="77777777" w:rsidR="00597B5E" w:rsidRPr="00B65F7F" w:rsidRDefault="00597B5E" w:rsidP="006F6DD1">
            <w:pPr>
              <w:pStyle w:val="TableTextbullets"/>
              <w:ind w:left="367"/>
            </w:pPr>
            <w:r w:rsidRPr="00A25C76">
              <w:t>having a representative on the Board of Directors of the Tribal Council</w:t>
            </w:r>
          </w:p>
          <w:p w14:paraId="6A59B5C3" w14:textId="77777777" w:rsidR="00597B5E" w:rsidRPr="00B65F7F" w:rsidRDefault="00597B5E" w:rsidP="006F6DD1">
            <w:pPr>
              <w:pStyle w:val="TableTextbullets"/>
              <w:ind w:left="367"/>
            </w:pPr>
            <w:r w:rsidRPr="00A25C76">
              <w:t>participating in the development, review and endorsement of their Tribal Council’s work plan and report</w:t>
            </w:r>
          </w:p>
        </w:tc>
      </w:tr>
    </w:tbl>
    <w:p w14:paraId="0272BA9D" w14:textId="77777777" w:rsidR="00597B5E" w:rsidRPr="00B65F7F" w:rsidRDefault="00597B5E" w:rsidP="009912B7">
      <w:pPr>
        <w:pStyle w:val="HeadingLevel3NoNumber"/>
      </w:pPr>
      <w:bookmarkStart w:id="463" w:name="_heading=h.4kx3h1s" w:colFirst="0" w:colLast="0"/>
      <w:bookmarkEnd w:id="463"/>
      <w:r w:rsidRPr="00B65F7F">
        <w:t>Indigenous Community Support Fund</w:t>
      </w:r>
    </w:p>
    <w:p w14:paraId="066DCED6" w14:textId="77777777" w:rsidR="00597B5E" w:rsidRPr="00B65F7F" w:rsidRDefault="00597B5E" w:rsidP="009912B7">
      <w:pPr>
        <w:pStyle w:val="HeadingLevel4NoNumber"/>
      </w:pPr>
      <w:r w:rsidRPr="00B65F7F">
        <w:t>Key findings</w:t>
      </w:r>
    </w:p>
    <w:p w14:paraId="3DA4AB41" w14:textId="77777777" w:rsidR="00597B5E" w:rsidRPr="00B65F7F" w:rsidRDefault="00597B5E" w:rsidP="00793E49">
      <w:pPr>
        <w:pStyle w:val="ListBullet2"/>
      </w:pPr>
      <w:r w:rsidRPr="00B65F7F">
        <w:rPr>
          <w:rFonts w:eastAsia="Calibri"/>
        </w:rPr>
        <w:t>The Indigenous Community Support Fund uses a mix of needs-based and direct allocation funding to support First Nations communities to stay safe during the COVID-19 pandemic.</w:t>
      </w:r>
    </w:p>
    <w:p w14:paraId="714AC056" w14:textId="77777777" w:rsidR="00597B5E" w:rsidRPr="00B65F7F" w:rsidRDefault="00597B5E" w:rsidP="00793E49">
      <w:pPr>
        <w:pStyle w:val="ListBullet2"/>
      </w:pPr>
      <w:r w:rsidRPr="00B65F7F">
        <w:rPr>
          <w:rFonts w:eastAsia="Calibri"/>
        </w:rPr>
        <w:t>Flexible funding arrangements meant that First Nations communities could allocate resources they identified as priority areas.</w:t>
      </w:r>
    </w:p>
    <w:p w14:paraId="5BC192BC" w14:textId="6AACD1ED" w:rsidR="00597B5E" w:rsidRPr="00B65F7F" w:rsidRDefault="00F5297C" w:rsidP="00F5297C">
      <w:pPr>
        <w:pStyle w:val="CaptionTable"/>
        <w:rPr>
          <w:rFonts w:eastAsia="Calibri"/>
        </w:rPr>
      </w:pPr>
      <w:bookmarkStart w:id="464" w:name="_heading=h.302dr9l" w:colFirst="0" w:colLast="0"/>
      <w:bookmarkStart w:id="465" w:name="_Toc145604965"/>
      <w:bookmarkStart w:id="466" w:name="_Toc145617837"/>
      <w:bookmarkStart w:id="467" w:name="_Toc156932109"/>
      <w:bookmarkEnd w:id="464"/>
      <w:r>
        <w:t>Table A9.</w:t>
      </w:r>
      <w:r>
        <w:fldChar w:fldCharType="begin"/>
      </w:r>
      <w:r>
        <w:instrText xml:space="preserve"> SEQ Table_A9 \* ARABIC </w:instrText>
      </w:r>
      <w:r>
        <w:fldChar w:fldCharType="separate"/>
      </w:r>
      <w:r w:rsidR="00934D5E">
        <w:rPr>
          <w:noProof/>
        </w:rPr>
        <w:t>16</w:t>
      </w:r>
      <w:r>
        <w:fldChar w:fldCharType="end"/>
      </w:r>
      <w:r w:rsidR="00597B5E" w:rsidRPr="00B65F7F">
        <w:rPr>
          <w:rFonts w:eastAsia="Calibri"/>
        </w:rPr>
        <w:t>: Indigenous Community Support Fund alignment with guiding principles</w:t>
      </w:r>
      <w:bookmarkEnd w:id="465"/>
      <w:bookmarkEnd w:id="466"/>
      <w:bookmarkEnd w:id="467"/>
    </w:p>
    <w:tbl>
      <w:tblPr>
        <w:tblStyle w:val="Newtableforresport"/>
        <w:tblW w:w="9618" w:type="dxa"/>
        <w:tblInd w:w="10" w:type="dxa"/>
        <w:tblLayout w:type="fixed"/>
        <w:tblLook w:val="0420" w:firstRow="1" w:lastRow="0" w:firstColumn="0" w:lastColumn="0" w:noHBand="0" w:noVBand="1"/>
        <w:tblCaption w:val="Table A9.16: Indigenous Community Support Fund alignment with guiding principles"/>
        <w:tblDescription w:val="The table describes how the guiding principles of funding transition align with the Indigenous Community Support Fund. The first column lists the guiding principles of funding transition. The second column provides a description of how the Indigenous Community Support Fund aligns with the relevant guiding principle in the first column. "/>
      </w:tblPr>
      <w:tblGrid>
        <w:gridCol w:w="2258"/>
        <w:gridCol w:w="7360"/>
      </w:tblGrid>
      <w:tr w:rsidR="00597B5E" w:rsidRPr="0033162B" w14:paraId="18229F9D" w14:textId="77777777" w:rsidTr="009D4C69">
        <w:trPr>
          <w:cnfStyle w:val="100000000000" w:firstRow="1" w:lastRow="0" w:firstColumn="0" w:lastColumn="0" w:oddVBand="0" w:evenVBand="0" w:oddHBand="0" w:evenHBand="0" w:firstRowFirstColumn="0" w:firstRowLastColumn="0" w:lastRowFirstColumn="0" w:lastRowLastColumn="0"/>
          <w:tblHeader/>
        </w:trPr>
        <w:tc>
          <w:tcPr>
            <w:tcW w:w="2258" w:type="dxa"/>
          </w:tcPr>
          <w:p w14:paraId="2C271AED" w14:textId="77777777" w:rsidR="00597B5E" w:rsidRPr="0033162B" w:rsidRDefault="00597B5E" w:rsidP="00024E8D">
            <w:pPr>
              <w:pStyle w:val="TableHeading"/>
              <w:rPr>
                <w:rFonts w:eastAsia="Calibri"/>
                <w:b w:val="0"/>
              </w:rPr>
            </w:pPr>
            <w:r w:rsidRPr="0033162B">
              <w:rPr>
                <w:rFonts w:eastAsia="Calibri"/>
              </w:rPr>
              <w:t>Element</w:t>
            </w:r>
          </w:p>
        </w:tc>
        <w:tc>
          <w:tcPr>
            <w:tcW w:w="7360" w:type="dxa"/>
          </w:tcPr>
          <w:p w14:paraId="7340CDC3" w14:textId="77777777" w:rsidR="00597B5E" w:rsidRPr="0033162B" w:rsidRDefault="00597B5E" w:rsidP="00024E8D">
            <w:pPr>
              <w:pStyle w:val="TableHeading"/>
              <w:rPr>
                <w:rFonts w:eastAsia="Calibri"/>
                <w:b w:val="0"/>
              </w:rPr>
            </w:pPr>
            <w:r w:rsidRPr="0033162B">
              <w:rPr>
                <w:rFonts w:eastAsia="Calibri"/>
              </w:rPr>
              <w:t>Description</w:t>
            </w:r>
          </w:p>
        </w:tc>
      </w:tr>
      <w:tr w:rsidR="00597B5E" w:rsidRPr="00B65F7F" w14:paraId="3DE7891D" w14:textId="77777777" w:rsidTr="006F6DD1">
        <w:trPr>
          <w:cnfStyle w:val="000000100000" w:firstRow="0" w:lastRow="0" w:firstColumn="0" w:lastColumn="0" w:oddVBand="0" w:evenVBand="0" w:oddHBand="1" w:evenHBand="0" w:firstRowFirstColumn="0" w:firstRowLastColumn="0" w:lastRowFirstColumn="0" w:lastRowLastColumn="0"/>
        </w:trPr>
        <w:tc>
          <w:tcPr>
            <w:tcW w:w="2258" w:type="dxa"/>
          </w:tcPr>
          <w:p w14:paraId="03520190" w14:textId="77777777" w:rsidR="00597B5E" w:rsidRPr="00B65F7F" w:rsidRDefault="00597B5E" w:rsidP="00793E49">
            <w:pPr>
              <w:pStyle w:val="TableText"/>
              <w:rPr>
                <w:rFonts w:eastAsia="Calibri"/>
              </w:rPr>
            </w:pPr>
            <w:r w:rsidRPr="00B65F7F">
              <w:rPr>
                <w:rFonts w:eastAsia="Calibri"/>
              </w:rPr>
              <w:t>Indigenous self-determination</w:t>
            </w:r>
          </w:p>
        </w:tc>
        <w:tc>
          <w:tcPr>
            <w:tcW w:w="7360" w:type="dxa"/>
            <w:vMerge w:val="restart"/>
          </w:tcPr>
          <w:p w14:paraId="7C129546" w14:textId="77777777" w:rsidR="00597B5E" w:rsidRPr="00B65F7F" w:rsidRDefault="00597B5E" w:rsidP="00793E49">
            <w:pPr>
              <w:pStyle w:val="TableText"/>
              <w:rPr>
                <w:rFonts w:eastAsia="Calibri"/>
              </w:rPr>
            </w:pPr>
            <w:r w:rsidRPr="00B65F7F">
              <w:rPr>
                <w:rFonts w:eastAsia="Calibri"/>
              </w:rPr>
              <w:t xml:space="preserve">The Government of Canada’s Indigenous Services Branch provides First Nations leaders and organisations with flexible funding arrangements that enable First Nations leaders to allocate resources to priority areas they determine </w:t>
            </w:r>
            <w:r w:rsidRPr="00B65F7F">
              <w:t>the</w:t>
            </w:r>
            <w:r w:rsidRPr="00B65F7F">
              <w:rPr>
                <w:rFonts w:eastAsia="Calibri"/>
              </w:rPr>
              <w:t xml:space="preserve"> most important amid the pandemic. </w:t>
            </w:r>
          </w:p>
          <w:p w14:paraId="6FF5A5D3" w14:textId="77777777" w:rsidR="00597B5E" w:rsidRPr="00B65F7F" w:rsidRDefault="00597B5E" w:rsidP="00793E49">
            <w:pPr>
              <w:pStyle w:val="TableText"/>
              <w:rPr>
                <w:rFonts w:eastAsia="Calibri"/>
              </w:rPr>
            </w:pPr>
            <w:r w:rsidRPr="00B65F7F">
              <w:rPr>
                <w:rFonts w:eastAsia="Calibri"/>
              </w:rPr>
              <w:t>This includes place-based and strengths-based direction of funding to culturally specific measures that protect the health of First Nations Elders, provide mental health and crisis response assistance and facilitate safe access to traditional food and food gathering methods.</w:t>
            </w:r>
          </w:p>
        </w:tc>
      </w:tr>
      <w:tr w:rsidR="00597B5E" w:rsidRPr="00B65F7F" w14:paraId="0F095A86" w14:textId="77777777" w:rsidTr="006F6DD1">
        <w:trPr>
          <w:cnfStyle w:val="000000010000" w:firstRow="0" w:lastRow="0" w:firstColumn="0" w:lastColumn="0" w:oddVBand="0" w:evenVBand="0" w:oddHBand="0" w:evenHBand="1" w:firstRowFirstColumn="0" w:firstRowLastColumn="0" w:lastRowFirstColumn="0" w:lastRowLastColumn="0"/>
        </w:trPr>
        <w:tc>
          <w:tcPr>
            <w:tcW w:w="2258" w:type="dxa"/>
          </w:tcPr>
          <w:p w14:paraId="7683E1F1" w14:textId="77777777" w:rsidR="00597B5E" w:rsidRPr="00B65F7F" w:rsidRDefault="00597B5E" w:rsidP="00793E49">
            <w:pPr>
              <w:pStyle w:val="TableText"/>
              <w:rPr>
                <w:rFonts w:eastAsia="Calibri"/>
              </w:rPr>
            </w:pPr>
            <w:r w:rsidRPr="00B65F7F">
              <w:rPr>
                <w:rFonts w:eastAsia="Calibri"/>
              </w:rPr>
              <w:t>Strengths-based and place-based approaches</w:t>
            </w:r>
          </w:p>
        </w:tc>
        <w:tc>
          <w:tcPr>
            <w:tcW w:w="7360" w:type="dxa"/>
            <w:vMerge/>
          </w:tcPr>
          <w:p w14:paraId="3C7FD489" w14:textId="77777777" w:rsidR="00597B5E" w:rsidRPr="00B65F7F" w:rsidRDefault="00597B5E" w:rsidP="00793E49">
            <w:pPr>
              <w:pStyle w:val="TableText"/>
              <w:rPr>
                <w:rFonts w:eastAsia="Calibri"/>
              </w:rPr>
            </w:pPr>
          </w:p>
        </w:tc>
      </w:tr>
      <w:tr w:rsidR="00597B5E" w:rsidRPr="00B65F7F" w14:paraId="2033B9B7" w14:textId="77777777" w:rsidTr="006F6DD1">
        <w:trPr>
          <w:cnfStyle w:val="000000100000" w:firstRow="0" w:lastRow="0" w:firstColumn="0" w:lastColumn="0" w:oddVBand="0" w:evenVBand="0" w:oddHBand="1" w:evenHBand="0" w:firstRowFirstColumn="0" w:firstRowLastColumn="0" w:lastRowFirstColumn="0" w:lastRowLastColumn="0"/>
        </w:trPr>
        <w:tc>
          <w:tcPr>
            <w:tcW w:w="2258" w:type="dxa"/>
          </w:tcPr>
          <w:p w14:paraId="74E2767B" w14:textId="77777777" w:rsidR="00597B5E" w:rsidRPr="00B65F7F" w:rsidRDefault="00597B5E" w:rsidP="00793E49">
            <w:pPr>
              <w:pStyle w:val="TableText"/>
              <w:rPr>
                <w:rFonts w:eastAsia="Calibri"/>
              </w:rPr>
            </w:pPr>
            <w:r w:rsidRPr="00B65F7F">
              <w:rPr>
                <w:rFonts w:eastAsia="Calibri"/>
              </w:rPr>
              <w:t>Culturally safe and responsive healthcare</w:t>
            </w:r>
          </w:p>
        </w:tc>
        <w:tc>
          <w:tcPr>
            <w:tcW w:w="7360" w:type="dxa"/>
            <w:vMerge/>
          </w:tcPr>
          <w:p w14:paraId="2EE8488B" w14:textId="77777777" w:rsidR="00597B5E" w:rsidRPr="00B65F7F" w:rsidRDefault="00597B5E" w:rsidP="00793E49">
            <w:pPr>
              <w:pStyle w:val="TableText"/>
              <w:rPr>
                <w:rFonts w:eastAsia="Calibri"/>
              </w:rPr>
            </w:pPr>
          </w:p>
        </w:tc>
      </w:tr>
      <w:tr w:rsidR="00597B5E" w:rsidRPr="00B65F7F" w14:paraId="3BA5EDE6" w14:textId="77777777" w:rsidTr="006F6DD1">
        <w:trPr>
          <w:cnfStyle w:val="000000010000" w:firstRow="0" w:lastRow="0" w:firstColumn="0" w:lastColumn="0" w:oddVBand="0" w:evenVBand="0" w:oddHBand="0" w:evenHBand="1" w:firstRowFirstColumn="0" w:firstRowLastColumn="0" w:lastRowFirstColumn="0" w:lastRowLastColumn="0"/>
        </w:trPr>
        <w:tc>
          <w:tcPr>
            <w:tcW w:w="2258" w:type="dxa"/>
          </w:tcPr>
          <w:p w14:paraId="7B686450" w14:textId="77777777" w:rsidR="00597B5E" w:rsidRPr="00B65F7F" w:rsidRDefault="00597B5E" w:rsidP="00793E49">
            <w:pPr>
              <w:pStyle w:val="TableText"/>
              <w:rPr>
                <w:rFonts w:eastAsia="Calibri"/>
              </w:rPr>
            </w:pPr>
            <w:r w:rsidRPr="00B65F7F">
              <w:rPr>
                <w:rFonts w:eastAsia="Calibri"/>
              </w:rPr>
              <w:t>Community partnership, co-design and ownership</w:t>
            </w:r>
          </w:p>
        </w:tc>
        <w:tc>
          <w:tcPr>
            <w:tcW w:w="7360" w:type="dxa"/>
          </w:tcPr>
          <w:p w14:paraId="6EDD5229" w14:textId="77777777" w:rsidR="00597B5E" w:rsidRPr="00B65F7F" w:rsidRDefault="00597B5E" w:rsidP="00793E49">
            <w:pPr>
              <w:pStyle w:val="TableText"/>
              <w:rPr>
                <w:rFonts w:eastAsia="Calibri"/>
              </w:rPr>
            </w:pPr>
            <w:r w:rsidRPr="00B65F7F">
              <w:rPr>
                <w:rFonts w:eastAsia="Calibri"/>
              </w:rPr>
              <w:t>A consistent theme to First Nations funding through the Indigenous Services Branch is transparency of funding and resource allocations to enable Member First Nations and community members to hold their leaders accountable in alignment with Indigenous values of reciprocal accountability.</w:t>
            </w:r>
          </w:p>
        </w:tc>
      </w:tr>
    </w:tbl>
    <w:p w14:paraId="67A465E5" w14:textId="77777777" w:rsidR="00597B5E" w:rsidRPr="00B65F7F" w:rsidRDefault="00597B5E" w:rsidP="009912B7">
      <w:pPr>
        <w:pStyle w:val="HeadingLevel4NoNumber"/>
      </w:pPr>
      <w:r w:rsidRPr="00B65F7F">
        <w:t>Overview</w:t>
      </w:r>
    </w:p>
    <w:p w14:paraId="28E5FE20" w14:textId="77777777" w:rsidR="00597B5E" w:rsidRPr="00B65F7F" w:rsidRDefault="00597B5E" w:rsidP="00793E49">
      <w:pPr>
        <w:pStyle w:val="BodyText"/>
      </w:pPr>
      <w:r w:rsidRPr="00B65F7F">
        <w:t>The Indigenous Community Support Fund is provided by the Government of Canada’s Indigenous Services Branch and is designed to provide First Nations leadership and organisations with funding to design and implement community-based solutions to prevent and respond to the spread of COVID-19 within their communities (</w:t>
      </w:r>
      <w:r w:rsidRPr="00B32E1C">
        <w:t>Indigenous</w:t>
      </w:r>
      <w:r w:rsidRPr="00B65F7F">
        <w:t xml:space="preserve"> Services Canada, 2022a). Just under $1.8B was provided to 942 First Nations and Inuit organisations from 2020 to 2022. This included First Nations communities and organisations (including self-governing and modern treaty nations), Inuit communities and organisations in Inuit Nunangat, Métis Nation communities and organisations and urban and off-reserve Indigenous communities and organisations (Indigenous Services Canada, 2022a; </w:t>
      </w:r>
      <w:r w:rsidRPr="00B32E1C">
        <w:t>2022b</w:t>
      </w:r>
      <w:r w:rsidRPr="00B65F7F">
        <w:t>). </w:t>
      </w:r>
    </w:p>
    <w:p w14:paraId="1A52D5BD" w14:textId="77777777" w:rsidR="00597B5E" w:rsidRPr="00B65F7F" w:rsidRDefault="00597B5E" w:rsidP="00793E49">
      <w:pPr>
        <w:pStyle w:val="BodyText"/>
      </w:pPr>
      <w:r w:rsidRPr="00B65F7F">
        <w:t>The funding is a mix of needs-based funding and direct allocation funding. Needs-based funding was calculated with the amount provided to each community calculated based on the total population residing in the community (based on 2016 Census population data), remoteness and Community Well-Being Index scores (which were based on education, labour activity, income and housing data) (Indigenous Services Canada, 2022a). The Indigenous Community Support Fund allocations can be used for measures including, but not limited to:</w:t>
      </w:r>
    </w:p>
    <w:p w14:paraId="76DE6B67" w14:textId="77777777" w:rsidR="00597B5E" w:rsidRPr="00B65F7F" w:rsidRDefault="00597B5E" w:rsidP="00793E49">
      <w:pPr>
        <w:pStyle w:val="ListBullet2"/>
      </w:pPr>
      <w:r w:rsidRPr="00B65F7F">
        <w:rPr>
          <w:rFonts w:eastAsia="Calibri"/>
        </w:rPr>
        <w:t>preparedness measures to prevent the spread of COVID-19</w:t>
      </w:r>
    </w:p>
    <w:p w14:paraId="4DCB5404" w14:textId="77777777" w:rsidR="00597B5E" w:rsidRPr="00B65F7F" w:rsidRDefault="00597B5E" w:rsidP="00793E49">
      <w:pPr>
        <w:pStyle w:val="ListBullet2"/>
      </w:pPr>
      <w:r w:rsidRPr="00B65F7F">
        <w:rPr>
          <w:rFonts w:eastAsia="Calibri"/>
        </w:rPr>
        <w:t>mental health assistance</w:t>
      </w:r>
    </w:p>
    <w:p w14:paraId="0C62F233" w14:textId="77777777" w:rsidR="00597B5E" w:rsidRPr="00B65F7F" w:rsidRDefault="00597B5E" w:rsidP="00793E49">
      <w:pPr>
        <w:pStyle w:val="ListBullet2"/>
      </w:pPr>
      <w:r w:rsidRPr="00B65F7F">
        <w:rPr>
          <w:rFonts w:eastAsia="Calibri"/>
        </w:rPr>
        <w:t>emergency response services</w:t>
      </w:r>
    </w:p>
    <w:p w14:paraId="4AF252B6" w14:textId="77777777" w:rsidR="00597B5E" w:rsidRPr="00B65F7F" w:rsidRDefault="00597B5E" w:rsidP="00793E49">
      <w:pPr>
        <w:pStyle w:val="ListBullet2"/>
      </w:pPr>
      <w:r w:rsidRPr="00B65F7F">
        <w:rPr>
          <w:rFonts w:eastAsia="Calibri"/>
        </w:rPr>
        <w:t>support for vulnerable community members and Elders</w:t>
      </w:r>
    </w:p>
    <w:p w14:paraId="4D5BF532" w14:textId="77777777" w:rsidR="00597B5E" w:rsidRPr="00B65F7F" w:rsidRDefault="00597B5E" w:rsidP="00793E49">
      <w:pPr>
        <w:pStyle w:val="ListBullet2"/>
      </w:pPr>
      <w:r w:rsidRPr="00B65F7F">
        <w:rPr>
          <w:rFonts w:eastAsia="Calibri"/>
        </w:rPr>
        <w:t>measures to address food insecurity (including support for purchasing, transporting and distributing food and supporting access to traditional foods)</w:t>
      </w:r>
    </w:p>
    <w:p w14:paraId="5BDA5A47" w14:textId="77777777" w:rsidR="00597B5E" w:rsidRPr="00B65F7F" w:rsidRDefault="00597B5E" w:rsidP="00793E49">
      <w:pPr>
        <w:pStyle w:val="ListBullet2"/>
      </w:pPr>
      <w:r w:rsidRPr="00B65F7F">
        <w:rPr>
          <w:rFonts w:eastAsia="Calibri"/>
        </w:rPr>
        <w:t>educational and other support of children.</w:t>
      </w:r>
    </w:p>
    <w:p w14:paraId="62C62AD6" w14:textId="77777777" w:rsidR="00597B5E" w:rsidRPr="00B65F7F" w:rsidRDefault="00597B5E" w:rsidP="00E97C18">
      <w:pPr>
        <w:pStyle w:val="HeadingLevel3NoNumber"/>
      </w:pPr>
      <w:bookmarkStart w:id="468" w:name="_heading=h.1f7o1he" w:colFirst="0" w:colLast="0"/>
      <w:bookmarkEnd w:id="468"/>
      <w:r w:rsidRPr="00B65F7F">
        <w:t>British Columbia Tripartite Framework Agreement on First Nation Health Governance (The Tripartite Framework Agreement)</w:t>
      </w:r>
    </w:p>
    <w:p w14:paraId="676633CC" w14:textId="77777777" w:rsidR="00597B5E" w:rsidRPr="0033162B" w:rsidRDefault="00597B5E" w:rsidP="00E97C18">
      <w:pPr>
        <w:pStyle w:val="HeadingLevel4NoNumber"/>
      </w:pPr>
      <w:r w:rsidRPr="0033162B">
        <w:t xml:space="preserve">Key </w:t>
      </w:r>
      <w:r w:rsidRPr="00B65F7F">
        <w:t>findings</w:t>
      </w:r>
    </w:p>
    <w:p w14:paraId="56DE1411" w14:textId="77777777" w:rsidR="00597B5E" w:rsidRPr="00B65F7F" w:rsidRDefault="00597B5E" w:rsidP="00793E49">
      <w:pPr>
        <w:pStyle w:val="ListBullet2"/>
      </w:pPr>
      <w:r w:rsidRPr="00B65F7F">
        <w:rPr>
          <w:rFonts w:eastAsia="Calibri"/>
        </w:rPr>
        <w:t>The British Columbia Tripartite Framework Agreement on First Nation Health Governance was the first of its kind and enabled the provision of healthcare planning, management, delivery, governance and funding to be determined by British Columbia First Nations.</w:t>
      </w:r>
    </w:p>
    <w:p w14:paraId="20B4ACCA" w14:textId="77777777" w:rsidR="00597B5E" w:rsidRPr="00B65F7F" w:rsidRDefault="00597B5E" w:rsidP="00793E49">
      <w:pPr>
        <w:pStyle w:val="ListBullet2"/>
      </w:pPr>
      <w:r w:rsidRPr="00B65F7F">
        <w:rPr>
          <w:rFonts w:eastAsia="Calibri"/>
        </w:rPr>
        <w:t>The Tripartite Framework Agreement’s governance structure is a robust, interconnected partnership that enables British Columbia First Nations to have their values, perspectives and priorities represented in local, provincial, regional and federal settings.</w:t>
      </w:r>
    </w:p>
    <w:p w14:paraId="4E558857" w14:textId="130CD9F2" w:rsidR="00597B5E" w:rsidRPr="00B65F7F" w:rsidRDefault="002F3469" w:rsidP="002F3469">
      <w:pPr>
        <w:pStyle w:val="CaptionTable"/>
        <w:rPr>
          <w:rFonts w:eastAsia="Calibri"/>
        </w:rPr>
      </w:pPr>
      <w:bookmarkStart w:id="469" w:name="_heading=h.3z7bk57" w:colFirst="0" w:colLast="0"/>
      <w:bookmarkStart w:id="470" w:name="_Toc145604966"/>
      <w:bookmarkStart w:id="471" w:name="_Toc145617838"/>
      <w:bookmarkStart w:id="472" w:name="_Toc156932110"/>
      <w:bookmarkEnd w:id="469"/>
      <w:r>
        <w:t>Table A9.</w:t>
      </w:r>
      <w:r>
        <w:fldChar w:fldCharType="begin"/>
      </w:r>
      <w:r>
        <w:instrText xml:space="preserve"> SEQ Table_A9 \* ARABIC </w:instrText>
      </w:r>
      <w:r>
        <w:fldChar w:fldCharType="separate"/>
      </w:r>
      <w:r w:rsidR="00934D5E">
        <w:rPr>
          <w:noProof/>
        </w:rPr>
        <w:t>17</w:t>
      </w:r>
      <w:r>
        <w:fldChar w:fldCharType="end"/>
      </w:r>
      <w:r w:rsidR="00597B5E">
        <w:t xml:space="preserve">: </w:t>
      </w:r>
      <w:r w:rsidR="00597B5E" w:rsidRPr="00B65F7F">
        <w:rPr>
          <w:rFonts w:eastAsia="Calibri"/>
        </w:rPr>
        <w:t>British Columbia Tripartite Framework Agreement on First Nation Health Governance alignment with guiding principles</w:t>
      </w:r>
      <w:bookmarkEnd w:id="470"/>
      <w:bookmarkEnd w:id="471"/>
      <w:bookmarkEnd w:id="472"/>
    </w:p>
    <w:tbl>
      <w:tblPr>
        <w:tblStyle w:val="Newtableforresport"/>
        <w:tblW w:w="9618" w:type="dxa"/>
        <w:tblInd w:w="10" w:type="dxa"/>
        <w:tblLayout w:type="fixed"/>
        <w:tblLook w:val="0420" w:firstRow="1" w:lastRow="0" w:firstColumn="0" w:lastColumn="0" w:noHBand="0" w:noVBand="1"/>
        <w:tblCaption w:val="Table A9.17: British Columbia Tripartite Framework Agreement on First Nation Health Governance alignment with guiding principles"/>
        <w:tblDescription w:val="The table describes how the guiding principles of funding transition align with the British Columbia Tripartite Framework Agreement on First Nations Health Governance. The first column lists the guiding principles of funding transition. The second column provides a description of how the British Columbia Tripartite Framework Agreement on First Nations Health Governance aligns with the relevant guiding principle in the first column. "/>
      </w:tblPr>
      <w:tblGrid>
        <w:gridCol w:w="2258"/>
        <w:gridCol w:w="7360"/>
      </w:tblGrid>
      <w:tr w:rsidR="00597B5E" w:rsidRPr="0033162B" w14:paraId="1BF9D89E" w14:textId="77777777" w:rsidTr="009D4C69">
        <w:trPr>
          <w:cnfStyle w:val="100000000000" w:firstRow="1" w:lastRow="0" w:firstColumn="0" w:lastColumn="0" w:oddVBand="0" w:evenVBand="0" w:oddHBand="0" w:evenHBand="0" w:firstRowFirstColumn="0" w:firstRowLastColumn="0" w:lastRowFirstColumn="0" w:lastRowLastColumn="0"/>
          <w:tblHeader/>
        </w:trPr>
        <w:tc>
          <w:tcPr>
            <w:tcW w:w="2258" w:type="dxa"/>
          </w:tcPr>
          <w:p w14:paraId="425C4BF8" w14:textId="77777777" w:rsidR="00597B5E" w:rsidRPr="0033162B" w:rsidRDefault="00597B5E" w:rsidP="00024E8D">
            <w:pPr>
              <w:pStyle w:val="TableHeading"/>
              <w:rPr>
                <w:rFonts w:eastAsia="Calibri"/>
                <w:b w:val="0"/>
              </w:rPr>
            </w:pPr>
            <w:r w:rsidRPr="0033162B">
              <w:rPr>
                <w:rFonts w:eastAsia="Calibri"/>
              </w:rPr>
              <w:t>Guiding principles</w:t>
            </w:r>
          </w:p>
        </w:tc>
        <w:tc>
          <w:tcPr>
            <w:tcW w:w="7360" w:type="dxa"/>
          </w:tcPr>
          <w:p w14:paraId="69DB452E" w14:textId="77777777" w:rsidR="00597B5E" w:rsidRPr="0033162B" w:rsidRDefault="00597B5E" w:rsidP="00024E8D">
            <w:pPr>
              <w:pStyle w:val="TableHeading"/>
              <w:rPr>
                <w:rFonts w:eastAsia="Calibri"/>
                <w:b w:val="0"/>
              </w:rPr>
            </w:pPr>
            <w:r w:rsidRPr="0033162B">
              <w:rPr>
                <w:rFonts w:eastAsia="Calibri"/>
              </w:rPr>
              <w:t>Description</w:t>
            </w:r>
          </w:p>
        </w:tc>
      </w:tr>
      <w:tr w:rsidR="00597B5E" w:rsidRPr="00B65F7F" w14:paraId="487D59E3" w14:textId="77777777" w:rsidTr="006F6DD1">
        <w:trPr>
          <w:cnfStyle w:val="000000100000" w:firstRow="0" w:lastRow="0" w:firstColumn="0" w:lastColumn="0" w:oddVBand="0" w:evenVBand="0" w:oddHBand="1" w:evenHBand="0" w:firstRowFirstColumn="0" w:firstRowLastColumn="0" w:lastRowFirstColumn="0" w:lastRowLastColumn="0"/>
        </w:trPr>
        <w:tc>
          <w:tcPr>
            <w:tcW w:w="2258" w:type="dxa"/>
          </w:tcPr>
          <w:p w14:paraId="5AF7F63F" w14:textId="77777777" w:rsidR="00597B5E" w:rsidRPr="00B65F7F" w:rsidRDefault="00597B5E" w:rsidP="00793E49">
            <w:pPr>
              <w:pStyle w:val="TableText"/>
              <w:rPr>
                <w:rFonts w:eastAsia="Calibri"/>
              </w:rPr>
            </w:pPr>
            <w:r w:rsidRPr="00B65F7F">
              <w:rPr>
                <w:rFonts w:eastAsia="Calibri"/>
              </w:rPr>
              <w:t>Indigenous self-determination</w:t>
            </w:r>
          </w:p>
        </w:tc>
        <w:tc>
          <w:tcPr>
            <w:tcW w:w="7360" w:type="dxa"/>
          </w:tcPr>
          <w:p w14:paraId="75AEA859" w14:textId="77777777" w:rsidR="00597B5E" w:rsidRPr="00B65F7F" w:rsidRDefault="00597B5E" w:rsidP="00793E49">
            <w:pPr>
              <w:pStyle w:val="TableText"/>
              <w:rPr>
                <w:rFonts w:eastAsia="Calibri"/>
              </w:rPr>
            </w:pPr>
            <w:r w:rsidRPr="00B65F7F">
              <w:rPr>
                <w:rFonts w:eastAsia="Calibri"/>
              </w:rPr>
              <w:t>The First Nations Health Authority (FNHA) is responsible for the planning, management, delivery and funding of First Nations healthcare in British Columbia.</w:t>
            </w:r>
          </w:p>
        </w:tc>
      </w:tr>
      <w:tr w:rsidR="00597B5E" w:rsidRPr="00B65F7F" w14:paraId="2B311999" w14:textId="77777777" w:rsidTr="006F6DD1">
        <w:trPr>
          <w:cnfStyle w:val="000000010000" w:firstRow="0" w:lastRow="0" w:firstColumn="0" w:lastColumn="0" w:oddVBand="0" w:evenVBand="0" w:oddHBand="0" w:evenHBand="1" w:firstRowFirstColumn="0" w:firstRowLastColumn="0" w:lastRowFirstColumn="0" w:lastRowLastColumn="0"/>
        </w:trPr>
        <w:tc>
          <w:tcPr>
            <w:tcW w:w="2258" w:type="dxa"/>
          </w:tcPr>
          <w:p w14:paraId="0BEE478A" w14:textId="77777777" w:rsidR="00597B5E" w:rsidRPr="00B65F7F" w:rsidRDefault="00597B5E" w:rsidP="00793E49">
            <w:pPr>
              <w:pStyle w:val="TableText"/>
              <w:rPr>
                <w:rFonts w:eastAsia="Calibri"/>
              </w:rPr>
            </w:pPr>
            <w:r w:rsidRPr="00B65F7F">
              <w:rPr>
                <w:rFonts w:eastAsia="Calibri"/>
              </w:rPr>
              <w:t>Community partnerships, co-design and ownership</w:t>
            </w:r>
          </w:p>
        </w:tc>
        <w:tc>
          <w:tcPr>
            <w:tcW w:w="7360" w:type="dxa"/>
            <w:vMerge w:val="restart"/>
          </w:tcPr>
          <w:p w14:paraId="4F3B2617" w14:textId="77777777" w:rsidR="00597B5E" w:rsidRPr="00B65F7F" w:rsidRDefault="00597B5E" w:rsidP="00793E49">
            <w:pPr>
              <w:pStyle w:val="TableText"/>
              <w:rPr>
                <w:rFonts w:eastAsia="Calibri"/>
              </w:rPr>
            </w:pPr>
            <w:r w:rsidRPr="00B65F7F">
              <w:rPr>
                <w:rFonts w:eastAsia="Calibri"/>
              </w:rPr>
              <w:t>FNHA has established strong partnerships and relationships with a multitude of stakeholders, including federal and provincial health authorities, First Nations organisations, academic institutions and not-for-profit groups (</w:t>
            </w:r>
            <w:r w:rsidRPr="005A2000">
              <w:rPr>
                <w:rFonts w:eastAsia="Calibri"/>
              </w:rPr>
              <w:t>Halseth</w:t>
            </w:r>
            <w:r w:rsidRPr="00B65F7F">
              <w:rPr>
                <w:rFonts w:eastAsia="Calibri"/>
              </w:rPr>
              <w:t xml:space="preserve"> &amp; Murdock, 2020, </w:t>
            </w:r>
            <w:r>
              <w:rPr>
                <w:rFonts w:eastAsia="Calibri"/>
              </w:rPr>
              <w:t>p. </w:t>
            </w:r>
            <w:r w:rsidRPr="00B65F7F">
              <w:rPr>
                <w:rFonts w:eastAsia="Calibri"/>
              </w:rPr>
              <w:t>39). This has resulted in the provision of several health services and initiatives aimed at improving cultural safety in services and improving First Nations health and wellbeing outcomes.</w:t>
            </w:r>
          </w:p>
        </w:tc>
      </w:tr>
      <w:tr w:rsidR="00597B5E" w:rsidRPr="00B65F7F" w14:paraId="5F6D4CF4" w14:textId="77777777" w:rsidTr="006F6DD1">
        <w:trPr>
          <w:cnfStyle w:val="000000100000" w:firstRow="0" w:lastRow="0" w:firstColumn="0" w:lastColumn="0" w:oddVBand="0" w:evenVBand="0" w:oddHBand="1" w:evenHBand="0" w:firstRowFirstColumn="0" w:firstRowLastColumn="0" w:lastRowFirstColumn="0" w:lastRowLastColumn="0"/>
        </w:trPr>
        <w:tc>
          <w:tcPr>
            <w:tcW w:w="2258" w:type="dxa"/>
          </w:tcPr>
          <w:p w14:paraId="15AFC2E0" w14:textId="77777777" w:rsidR="00597B5E" w:rsidRPr="00B65F7F" w:rsidRDefault="00597B5E" w:rsidP="00793E49">
            <w:pPr>
              <w:pStyle w:val="TableText"/>
              <w:rPr>
                <w:rFonts w:eastAsia="Calibri"/>
              </w:rPr>
            </w:pPr>
            <w:r w:rsidRPr="00B65F7F">
              <w:rPr>
                <w:rFonts w:eastAsia="Calibri"/>
              </w:rPr>
              <w:t>Culturally safe and responsive healthcare</w:t>
            </w:r>
          </w:p>
        </w:tc>
        <w:tc>
          <w:tcPr>
            <w:tcW w:w="7360" w:type="dxa"/>
            <w:vMerge/>
          </w:tcPr>
          <w:p w14:paraId="12D3B902" w14:textId="77777777" w:rsidR="00597B5E" w:rsidRPr="00B65F7F" w:rsidRDefault="00597B5E" w:rsidP="00793E49">
            <w:pPr>
              <w:pStyle w:val="TableText"/>
              <w:rPr>
                <w:rFonts w:eastAsia="Calibri"/>
              </w:rPr>
            </w:pPr>
          </w:p>
        </w:tc>
      </w:tr>
      <w:tr w:rsidR="00597B5E" w:rsidRPr="00B65F7F" w14:paraId="643B35E4" w14:textId="77777777" w:rsidTr="006F6DD1">
        <w:trPr>
          <w:cnfStyle w:val="000000010000" w:firstRow="0" w:lastRow="0" w:firstColumn="0" w:lastColumn="0" w:oddVBand="0" w:evenVBand="0" w:oddHBand="0" w:evenHBand="1" w:firstRowFirstColumn="0" w:firstRowLastColumn="0" w:lastRowFirstColumn="0" w:lastRowLastColumn="0"/>
        </w:trPr>
        <w:tc>
          <w:tcPr>
            <w:tcW w:w="2258" w:type="dxa"/>
          </w:tcPr>
          <w:p w14:paraId="7F2E1490" w14:textId="77777777" w:rsidR="00597B5E" w:rsidRPr="00B65F7F" w:rsidRDefault="00597B5E" w:rsidP="00793E49">
            <w:pPr>
              <w:pStyle w:val="TableText"/>
              <w:rPr>
                <w:rFonts w:eastAsia="Calibri"/>
              </w:rPr>
            </w:pPr>
            <w:r w:rsidRPr="00B65F7F">
              <w:rPr>
                <w:rFonts w:eastAsia="Calibri"/>
              </w:rPr>
              <w:t>Indigenous governance and leadership</w:t>
            </w:r>
          </w:p>
        </w:tc>
        <w:tc>
          <w:tcPr>
            <w:tcW w:w="7360" w:type="dxa"/>
          </w:tcPr>
          <w:p w14:paraId="25D7D60B" w14:textId="77777777" w:rsidR="00597B5E" w:rsidRPr="00B65F7F" w:rsidRDefault="00597B5E" w:rsidP="00793E49">
            <w:pPr>
              <w:pStyle w:val="TableText"/>
              <w:rPr>
                <w:rFonts w:eastAsia="Calibri"/>
              </w:rPr>
            </w:pPr>
            <w:r w:rsidRPr="00B65F7F">
              <w:rPr>
                <w:rFonts w:eastAsia="Calibri"/>
              </w:rPr>
              <w:t xml:space="preserve">The Tripartite Framework Agreement provides a decision-making model that requires shared responsibilities and reciprocal accountability between federal and provincial health authorities and British Columbia First Nations (Halseth &amp; Murdock, 2020, </w:t>
            </w:r>
            <w:r>
              <w:rPr>
                <w:rFonts w:eastAsia="Calibri"/>
              </w:rPr>
              <w:t>p. </w:t>
            </w:r>
            <w:r w:rsidRPr="00B65F7F">
              <w:rPr>
                <w:rFonts w:eastAsia="Calibri"/>
              </w:rPr>
              <w:t>39).</w:t>
            </w:r>
          </w:p>
        </w:tc>
      </w:tr>
    </w:tbl>
    <w:p w14:paraId="4E8F5A1F" w14:textId="77777777" w:rsidR="00597B5E" w:rsidRPr="00B65F7F" w:rsidRDefault="00597B5E" w:rsidP="00E97C18">
      <w:pPr>
        <w:pStyle w:val="HeadingLevel4NoNumber"/>
      </w:pPr>
      <w:r>
        <w:t>Overview</w:t>
      </w:r>
    </w:p>
    <w:p w14:paraId="6C813F7C" w14:textId="77777777" w:rsidR="00597B5E" w:rsidRPr="00B65F7F" w:rsidRDefault="00597B5E" w:rsidP="00793E49">
      <w:pPr>
        <w:pStyle w:val="BodyText"/>
      </w:pPr>
      <w:r w:rsidRPr="00B65F7F">
        <w:t>In 2013, as part of the British Columbia Tripartite Framework Agreement on First Nation Health Governance (the Tripartite Framework Agreement), the Health Canada’s First Nations Inuit Health Branch Pacific Region transferred its role in planning, managing, delivering and funding healthcare in British Columbia to the newly established FNHA (</w:t>
      </w:r>
      <w:r w:rsidRPr="005A2000">
        <w:t>Indigenous</w:t>
      </w:r>
      <w:r w:rsidRPr="00B65F7F">
        <w:t xml:space="preserve"> Services Canada, 2020). The core motivation for this transfer of responsibility was to enable First Nations to design and deliver healthcare for their communities (Indigenous Services Canada, 2020). The FNHA coordinates the </w:t>
      </w:r>
      <w:r>
        <w:t>‘</w:t>
      </w:r>
      <w:r w:rsidRPr="00B65F7F">
        <w:t>planning, management, delivery, and funding</w:t>
      </w:r>
      <w:r>
        <w:t>’</w:t>
      </w:r>
      <w:r w:rsidRPr="00B65F7F">
        <w:t xml:space="preserve"> of health and wellbeing programs and services in over 200 First Nations communities across British Columbia (Halseth &amp; Murdock, 2020, p</w:t>
      </w:r>
      <w:r>
        <w:t>p. </w:t>
      </w:r>
      <w:r w:rsidRPr="00B65F7F">
        <w:t>38</w:t>
      </w:r>
      <w:r>
        <w:t>–</w:t>
      </w:r>
      <w:r w:rsidRPr="00B65F7F">
        <w:t>39). FNHA provides contribution agreements, grants and funding letters to organisations delivering health and wellbeing care to British Columbia First Nations.</w:t>
      </w:r>
    </w:p>
    <w:p w14:paraId="356D6B4A" w14:textId="321D8C5B" w:rsidR="00597B5E" w:rsidRPr="00B65F7F" w:rsidRDefault="00597B5E" w:rsidP="00793E49">
      <w:pPr>
        <w:pStyle w:val="BodyText"/>
      </w:pPr>
      <w:r w:rsidRPr="00B65F7F">
        <w:t xml:space="preserve">The Tripartite Framework Agreement’s multiparty governance structure is a formal partnership based on shared values and understandings of their ‘collective’ and reciprocal roles, responsibilities and accountabilities (Halseth &amp; Murdock, 2020, </w:t>
      </w:r>
      <w:r>
        <w:t>p. </w:t>
      </w:r>
      <w:r w:rsidRPr="00B65F7F">
        <w:t>39)</w:t>
      </w:r>
      <w:r w:rsidR="00B84059">
        <w:t xml:space="preserve"> (</w:t>
      </w:r>
      <w:r w:rsidR="00B84059">
        <w:fldChar w:fldCharType="begin"/>
      </w:r>
      <w:r w:rsidR="00B84059">
        <w:instrText xml:space="preserve"> REF _Ref152083281 \h </w:instrText>
      </w:r>
      <w:r w:rsidR="00B84059">
        <w:fldChar w:fldCharType="separate"/>
      </w:r>
      <w:r w:rsidR="00934D5E">
        <w:t>Table A9.</w:t>
      </w:r>
      <w:r w:rsidR="00934D5E">
        <w:rPr>
          <w:noProof/>
        </w:rPr>
        <w:t>18</w:t>
      </w:r>
      <w:r w:rsidR="00B84059">
        <w:fldChar w:fldCharType="end"/>
      </w:r>
      <w:r w:rsidR="00B84059">
        <w:t>)</w:t>
      </w:r>
      <w:r w:rsidRPr="00B65F7F">
        <w:t>.</w:t>
      </w:r>
    </w:p>
    <w:p w14:paraId="41B9B74C" w14:textId="33326F62" w:rsidR="00597B5E" w:rsidRPr="00B65F7F" w:rsidRDefault="002F3469" w:rsidP="00B84059">
      <w:pPr>
        <w:pStyle w:val="CaptionTable"/>
        <w:rPr>
          <w:rFonts w:eastAsia="Calibri"/>
        </w:rPr>
      </w:pPr>
      <w:bookmarkStart w:id="473" w:name="_heading=h.2eclud0" w:colFirst="0" w:colLast="0"/>
      <w:bookmarkStart w:id="474" w:name="_Ref152083281"/>
      <w:bookmarkStart w:id="475" w:name="_Toc145604967"/>
      <w:bookmarkStart w:id="476" w:name="_Toc145617839"/>
      <w:bookmarkStart w:id="477" w:name="_Toc156932111"/>
      <w:bookmarkEnd w:id="473"/>
      <w:r>
        <w:t>Table A9.</w:t>
      </w:r>
      <w:r>
        <w:fldChar w:fldCharType="begin"/>
      </w:r>
      <w:r>
        <w:instrText xml:space="preserve"> SEQ Table_A9 \* ARABIC </w:instrText>
      </w:r>
      <w:r>
        <w:fldChar w:fldCharType="separate"/>
      </w:r>
      <w:r w:rsidR="00934D5E">
        <w:rPr>
          <w:noProof/>
        </w:rPr>
        <w:t>18</w:t>
      </w:r>
      <w:r>
        <w:fldChar w:fldCharType="end"/>
      </w:r>
      <w:bookmarkEnd w:id="474"/>
      <w:r w:rsidR="00597B5E">
        <w:t>:</w:t>
      </w:r>
      <w:r>
        <w:t xml:space="preserve"> </w:t>
      </w:r>
      <w:r w:rsidR="00597B5E" w:rsidRPr="00B65F7F">
        <w:rPr>
          <w:rFonts w:eastAsia="Calibri"/>
        </w:rPr>
        <w:t>Tripartite Framework Agreement governance structure roles and responsibilities</w:t>
      </w:r>
      <w:bookmarkEnd w:id="475"/>
      <w:bookmarkEnd w:id="476"/>
      <w:bookmarkEnd w:id="477"/>
    </w:p>
    <w:tbl>
      <w:tblPr>
        <w:tblStyle w:val="Newtableforresport"/>
        <w:tblW w:w="9618" w:type="dxa"/>
        <w:tblInd w:w="10" w:type="dxa"/>
        <w:tblLayout w:type="fixed"/>
        <w:tblLook w:val="0420" w:firstRow="1" w:lastRow="0" w:firstColumn="0" w:lastColumn="0" w:noHBand="0" w:noVBand="1"/>
        <w:tblCaption w:val="Table A9.18: Tripartite Framework Agreement governance structure roles and responsibilities"/>
        <w:tblDescription w:val="The table describes roles and responsibilities for the Tripartite Framework Agreement. The first column lists different governing bodies. The second column lists the roles and responsibilities of the relevant governing body. "/>
      </w:tblPr>
      <w:tblGrid>
        <w:gridCol w:w="2049"/>
        <w:gridCol w:w="7569"/>
      </w:tblGrid>
      <w:tr w:rsidR="00597B5E" w:rsidRPr="0033162B" w14:paraId="7763B01C" w14:textId="77777777" w:rsidTr="009D4C69">
        <w:trPr>
          <w:cnfStyle w:val="100000000000" w:firstRow="1" w:lastRow="0" w:firstColumn="0" w:lastColumn="0" w:oddVBand="0" w:evenVBand="0" w:oddHBand="0" w:evenHBand="0" w:firstRowFirstColumn="0" w:firstRowLastColumn="0" w:lastRowFirstColumn="0" w:lastRowLastColumn="0"/>
          <w:tblHeader/>
        </w:trPr>
        <w:tc>
          <w:tcPr>
            <w:tcW w:w="2049" w:type="dxa"/>
          </w:tcPr>
          <w:p w14:paraId="0CB9A80B" w14:textId="77777777" w:rsidR="00597B5E" w:rsidRPr="0033162B" w:rsidRDefault="00597B5E" w:rsidP="00024E8D">
            <w:pPr>
              <w:pStyle w:val="TableHeading"/>
              <w:rPr>
                <w:rFonts w:eastAsia="Calibri"/>
                <w:b w:val="0"/>
              </w:rPr>
            </w:pPr>
            <w:r w:rsidRPr="0033162B">
              <w:rPr>
                <w:rFonts w:eastAsia="Calibri"/>
              </w:rPr>
              <w:t>Governing body</w:t>
            </w:r>
          </w:p>
        </w:tc>
        <w:tc>
          <w:tcPr>
            <w:tcW w:w="7569" w:type="dxa"/>
          </w:tcPr>
          <w:p w14:paraId="497061C5" w14:textId="77777777" w:rsidR="00597B5E" w:rsidRPr="0033162B" w:rsidRDefault="00597B5E" w:rsidP="00024E8D">
            <w:pPr>
              <w:pStyle w:val="TableHeading"/>
              <w:rPr>
                <w:rFonts w:eastAsia="Calibri"/>
                <w:b w:val="0"/>
              </w:rPr>
            </w:pPr>
            <w:r w:rsidRPr="0033162B">
              <w:rPr>
                <w:rFonts w:eastAsia="Calibri"/>
              </w:rPr>
              <w:t>Role and responsibilities</w:t>
            </w:r>
          </w:p>
        </w:tc>
      </w:tr>
      <w:tr w:rsidR="00597B5E" w:rsidRPr="00B65F7F" w14:paraId="2A71CED5" w14:textId="77777777" w:rsidTr="006F6DD1">
        <w:trPr>
          <w:cnfStyle w:val="000000100000" w:firstRow="0" w:lastRow="0" w:firstColumn="0" w:lastColumn="0" w:oddVBand="0" w:evenVBand="0" w:oddHBand="1" w:evenHBand="0" w:firstRowFirstColumn="0" w:firstRowLastColumn="0" w:lastRowFirstColumn="0" w:lastRowLastColumn="0"/>
        </w:trPr>
        <w:tc>
          <w:tcPr>
            <w:tcW w:w="2049" w:type="dxa"/>
          </w:tcPr>
          <w:p w14:paraId="46681171" w14:textId="77777777" w:rsidR="00597B5E" w:rsidRPr="00B65F7F" w:rsidRDefault="00597B5E" w:rsidP="00793E49">
            <w:pPr>
              <w:pStyle w:val="TableText"/>
              <w:rPr>
                <w:rFonts w:eastAsia="Calibri"/>
              </w:rPr>
            </w:pPr>
            <w:r w:rsidRPr="00B65F7F">
              <w:rPr>
                <w:rFonts w:eastAsia="Calibri"/>
              </w:rPr>
              <w:t>First Nations Health Authority (FNHA)</w:t>
            </w:r>
          </w:p>
        </w:tc>
        <w:tc>
          <w:tcPr>
            <w:tcW w:w="7569" w:type="dxa"/>
          </w:tcPr>
          <w:p w14:paraId="2171EBDA" w14:textId="77777777" w:rsidR="00597B5E" w:rsidRPr="00B65F7F" w:rsidRDefault="00597B5E" w:rsidP="00793E49">
            <w:pPr>
              <w:pStyle w:val="TableText"/>
              <w:rPr>
                <w:rFonts w:eastAsia="Calibri"/>
              </w:rPr>
            </w:pPr>
            <w:r w:rsidRPr="00B65F7F">
              <w:rPr>
                <w:rFonts w:eastAsia="Calibri"/>
              </w:rPr>
              <w:t xml:space="preserve">FNHA plans, manages, delivers, monitors and funds health and wellbeing programs and services for First Nations communities in British Columbia (Halseth &amp; Murdock, 2020, </w:t>
            </w:r>
            <w:r>
              <w:rPr>
                <w:rFonts w:eastAsia="Calibri"/>
              </w:rPr>
              <w:t>p. </w:t>
            </w:r>
            <w:r w:rsidRPr="00B65F7F">
              <w:rPr>
                <w:rFonts w:eastAsia="Calibri"/>
              </w:rPr>
              <w:t>39).</w:t>
            </w:r>
          </w:p>
        </w:tc>
      </w:tr>
      <w:tr w:rsidR="00597B5E" w:rsidRPr="00B65F7F" w14:paraId="5E9C0E64" w14:textId="77777777" w:rsidTr="006F6DD1">
        <w:trPr>
          <w:cnfStyle w:val="000000010000" w:firstRow="0" w:lastRow="0" w:firstColumn="0" w:lastColumn="0" w:oddVBand="0" w:evenVBand="0" w:oddHBand="0" w:evenHBand="1" w:firstRowFirstColumn="0" w:firstRowLastColumn="0" w:lastRowFirstColumn="0" w:lastRowLastColumn="0"/>
        </w:trPr>
        <w:tc>
          <w:tcPr>
            <w:tcW w:w="2049" w:type="dxa"/>
          </w:tcPr>
          <w:p w14:paraId="6B18838A" w14:textId="77777777" w:rsidR="00597B5E" w:rsidRPr="00B65F7F" w:rsidRDefault="00597B5E" w:rsidP="00793E49">
            <w:pPr>
              <w:pStyle w:val="TableText"/>
              <w:rPr>
                <w:rFonts w:eastAsia="Calibri"/>
              </w:rPr>
            </w:pPr>
            <w:r w:rsidRPr="00B65F7F">
              <w:rPr>
                <w:rFonts w:eastAsia="Calibri"/>
              </w:rPr>
              <w:t>First Nations Health Council (FNHC) </w:t>
            </w:r>
          </w:p>
        </w:tc>
        <w:tc>
          <w:tcPr>
            <w:tcW w:w="7569" w:type="dxa"/>
          </w:tcPr>
          <w:p w14:paraId="267B2DE2" w14:textId="77777777" w:rsidR="00597B5E" w:rsidRPr="00B65F7F" w:rsidRDefault="00597B5E" w:rsidP="00793E49">
            <w:pPr>
              <w:pStyle w:val="TableText"/>
              <w:rPr>
                <w:rFonts w:eastAsia="Calibri"/>
              </w:rPr>
            </w:pPr>
            <w:r w:rsidRPr="00B65F7F">
              <w:rPr>
                <w:rFonts w:eastAsia="Calibri"/>
              </w:rPr>
              <w:t xml:space="preserve">The </w:t>
            </w:r>
            <w:r w:rsidR="00EA3CA5">
              <w:rPr>
                <w:rFonts w:eastAsia="Calibri"/>
              </w:rPr>
              <w:t>FNHC</w:t>
            </w:r>
            <w:r w:rsidRPr="00B65F7F">
              <w:rPr>
                <w:rFonts w:eastAsia="Calibri"/>
              </w:rPr>
              <w:t xml:space="preserve"> provides political leadership for the implementation of the Tripartite Framework Agreement’s commitments and coordinates between the FNHA and provincial health authorities, providing a unified approach to negotiations (Halseth &amp; Murdock, 2020, </w:t>
            </w:r>
            <w:r>
              <w:rPr>
                <w:rFonts w:eastAsia="Calibri"/>
              </w:rPr>
              <w:t>p. </w:t>
            </w:r>
            <w:r w:rsidRPr="00B65F7F">
              <w:rPr>
                <w:rFonts w:eastAsia="Calibri"/>
              </w:rPr>
              <w:t xml:space="preserve">39; </w:t>
            </w:r>
            <w:r w:rsidRPr="005A2000">
              <w:rPr>
                <w:rFonts w:eastAsia="Calibri"/>
              </w:rPr>
              <w:t>Health</w:t>
            </w:r>
            <w:r w:rsidRPr="00B65F7F">
              <w:rPr>
                <w:rFonts w:eastAsia="Calibri"/>
              </w:rPr>
              <w:t xml:space="preserve"> Canada 2017).</w:t>
            </w:r>
          </w:p>
        </w:tc>
      </w:tr>
      <w:tr w:rsidR="00597B5E" w:rsidRPr="00B65F7F" w14:paraId="6EF63169" w14:textId="77777777" w:rsidTr="006F6DD1">
        <w:trPr>
          <w:cnfStyle w:val="000000100000" w:firstRow="0" w:lastRow="0" w:firstColumn="0" w:lastColumn="0" w:oddVBand="0" w:evenVBand="0" w:oddHBand="1" w:evenHBand="0" w:firstRowFirstColumn="0" w:firstRowLastColumn="0" w:lastRowFirstColumn="0" w:lastRowLastColumn="0"/>
        </w:trPr>
        <w:tc>
          <w:tcPr>
            <w:tcW w:w="2049" w:type="dxa"/>
          </w:tcPr>
          <w:p w14:paraId="23E1039F" w14:textId="77777777" w:rsidR="00597B5E" w:rsidRPr="00B65F7F" w:rsidRDefault="00597B5E" w:rsidP="00793E49">
            <w:pPr>
              <w:pStyle w:val="TableText"/>
              <w:rPr>
                <w:rFonts w:eastAsia="Calibri"/>
              </w:rPr>
            </w:pPr>
            <w:r w:rsidRPr="00B65F7F">
              <w:rPr>
                <w:rFonts w:eastAsia="Calibri"/>
              </w:rPr>
              <w:t>First Nations Health Directors Association (FNHDA)</w:t>
            </w:r>
          </w:p>
        </w:tc>
        <w:tc>
          <w:tcPr>
            <w:tcW w:w="7569" w:type="dxa"/>
          </w:tcPr>
          <w:p w14:paraId="0A54B6D1" w14:textId="77777777" w:rsidR="00597B5E" w:rsidRPr="00B65F7F" w:rsidRDefault="00597B5E" w:rsidP="00793E49">
            <w:pPr>
              <w:pStyle w:val="TableText"/>
              <w:rPr>
                <w:rFonts w:eastAsia="Calibri"/>
              </w:rPr>
            </w:pPr>
            <w:r w:rsidRPr="00B65F7F">
              <w:rPr>
                <w:rFonts w:eastAsia="Calibri"/>
              </w:rPr>
              <w:t xml:space="preserve">The FNHDA includes health service directors and managers working for First Nations communities in British Columbia. </w:t>
            </w:r>
            <w:r>
              <w:rPr>
                <w:rFonts w:eastAsia="Calibri"/>
              </w:rPr>
              <w:t xml:space="preserve">It </w:t>
            </w:r>
            <w:r w:rsidRPr="00B65F7F">
              <w:rPr>
                <w:rFonts w:eastAsia="Calibri"/>
              </w:rPr>
              <w:t>provide</w:t>
            </w:r>
            <w:r>
              <w:rPr>
                <w:rFonts w:eastAsia="Calibri"/>
              </w:rPr>
              <w:t>s</w:t>
            </w:r>
            <w:r w:rsidRPr="00B65F7F">
              <w:rPr>
                <w:rFonts w:eastAsia="Calibri"/>
              </w:rPr>
              <w:t xml:space="preserve"> educational, knowledge transfer, professional development and leading practice support (Halseth &amp; Murdock, 2020, </w:t>
            </w:r>
            <w:r>
              <w:rPr>
                <w:rFonts w:eastAsia="Calibri"/>
              </w:rPr>
              <w:t>p. </w:t>
            </w:r>
            <w:r w:rsidRPr="00B65F7F">
              <w:rPr>
                <w:rFonts w:eastAsia="Calibri"/>
              </w:rPr>
              <w:t>39). </w:t>
            </w:r>
          </w:p>
        </w:tc>
      </w:tr>
      <w:tr w:rsidR="00597B5E" w:rsidRPr="00B65F7F" w14:paraId="374ADA7A" w14:textId="77777777" w:rsidTr="006F6DD1">
        <w:trPr>
          <w:cnfStyle w:val="000000010000" w:firstRow="0" w:lastRow="0" w:firstColumn="0" w:lastColumn="0" w:oddVBand="0" w:evenVBand="0" w:oddHBand="0" w:evenHBand="1" w:firstRowFirstColumn="0" w:firstRowLastColumn="0" w:lastRowFirstColumn="0" w:lastRowLastColumn="0"/>
        </w:trPr>
        <w:tc>
          <w:tcPr>
            <w:tcW w:w="2049" w:type="dxa"/>
          </w:tcPr>
          <w:p w14:paraId="75D27FE7" w14:textId="77777777" w:rsidR="00597B5E" w:rsidRPr="00B65F7F" w:rsidRDefault="00597B5E" w:rsidP="00793E49">
            <w:pPr>
              <w:pStyle w:val="TableText"/>
              <w:rPr>
                <w:rFonts w:eastAsia="Calibri"/>
              </w:rPr>
            </w:pPr>
            <w:r w:rsidRPr="00B65F7F">
              <w:rPr>
                <w:rFonts w:eastAsia="Calibri"/>
              </w:rPr>
              <w:t>Tripartite Committee on First Nations Health (TCFNH)</w:t>
            </w:r>
          </w:p>
        </w:tc>
        <w:tc>
          <w:tcPr>
            <w:tcW w:w="7569" w:type="dxa"/>
          </w:tcPr>
          <w:p w14:paraId="2781BD60" w14:textId="77777777" w:rsidR="00597B5E" w:rsidRPr="00B65F7F" w:rsidRDefault="00597B5E" w:rsidP="00793E49">
            <w:pPr>
              <w:pStyle w:val="TableText"/>
              <w:rPr>
                <w:rFonts w:eastAsia="Calibri"/>
              </w:rPr>
            </w:pPr>
            <w:r w:rsidRPr="00B65F7F">
              <w:rPr>
                <w:rFonts w:eastAsia="Calibri"/>
              </w:rPr>
              <w:t>The TCFNH is a ‘forum for coordinating and aligning programming and planning efforts between the FNHA, [British Columbia] regional/provincial health authorities, the [British Columbia] Ministry of Health [and First Nations and Inuit Health Branch]</w:t>
            </w:r>
            <w:r>
              <w:rPr>
                <w:rFonts w:eastAsia="Calibri"/>
              </w:rPr>
              <w:t>’</w:t>
            </w:r>
            <w:r w:rsidRPr="00B65F7F">
              <w:rPr>
                <w:rFonts w:eastAsia="Calibri"/>
              </w:rPr>
              <w:t xml:space="preserve"> (Halseth &amp; Murdock, 2020, </w:t>
            </w:r>
            <w:r>
              <w:rPr>
                <w:rFonts w:eastAsia="Calibri"/>
              </w:rPr>
              <w:t>p. </w:t>
            </w:r>
            <w:r w:rsidRPr="00B65F7F">
              <w:rPr>
                <w:rFonts w:eastAsia="Calibri"/>
              </w:rPr>
              <w:t>39).</w:t>
            </w:r>
          </w:p>
        </w:tc>
      </w:tr>
    </w:tbl>
    <w:p w14:paraId="4DAC428D" w14:textId="77777777" w:rsidR="00597B5E" w:rsidRPr="00B65F7F" w:rsidRDefault="00597B5E" w:rsidP="00E97C18">
      <w:pPr>
        <w:pStyle w:val="HeadingLevel3NoNumber"/>
      </w:pPr>
      <w:bookmarkStart w:id="478" w:name="_heading=h.g00lb6brzqmm" w:colFirst="0" w:colLast="0"/>
      <w:bookmarkEnd w:id="478"/>
      <w:r w:rsidRPr="00B65F7F">
        <w:t>Preventing and Managing Chronic Disease in First Nations Communities: A Guidance Framework</w:t>
      </w:r>
    </w:p>
    <w:p w14:paraId="6481F8F5" w14:textId="77777777" w:rsidR="00597B5E" w:rsidRPr="00B65F7F" w:rsidRDefault="00597B5E" w:rsidP="00E97C18">
      <w:pPr>
        <w:pStyle w:val="HeadingLevel4NoNumber"/>
      </w:pPr>
      <w:bookmarkStart w:id="479" w:name="_heading=h.cktbhfk5l52k" w:colFirst="0" w:colLast="0"/>
      <w:bookmarkEnd w:id="479"/>
      <w:r w:rsidRPr="00B65F7F">
        <w:t>Key findings</w:t>
      </w:r>
    </w:p>
    <w:p w14:paraId="6938B1C2" w14:textId="77777777" w:rsidR="00597B5E" w:rsidRPr="00B65F7F" w:rsidRDefault="00597B5E" w:rsidP="00793E49">
      <w:pPr>
        <w:pStyle w:val="ListBullet2"/>
      </w:pPr>
      <w:r w:rsidRPr="00B65F7F">
        <w:t>Chronic disease prevention and management in First Nations communities must be developed in partnership with service providers, First Nations Elders and representatives and policymakers</w:t>
      </w:r>
      <w:r>
        <w:t>.</w:t>
      </w:r>
    </w:p>
    <w:p w14:paraId="3F0848C0" w14:textId="1FA6341D" w:rsidR="00597B5E" w:rsidRPr="00B65F7F" w:rsidRDefault="002F3469" w:rsidP="002F3469">
      <w:pPr>
        <w:pStyle w:val="CaptionTable"/>
      </w:pPr>
      <w:bookmarkStart w:id="480" w:name="_Toc145604968"/>
      <w:bookmarkStart w:id="481" w:name="_Toc145617840"/>
      <w:bookmarkStart w:id="482" w:name="_Toc156932112"/>
      <w:r>
        <w:t>Table A9.</w:t>
      </w:r>
      <w:r>
        <w:fldChar w:fldCharType="begin"/>
      </w:r>
      <w:r>
        <w:instrText xml:space="preserve"> SEQ Table_A9 \* ARABIC </w:instrText>
      </w:r>
      <w:r>
        <w:fldChar w:fldCharType="separate"/>
      </w:r>
      <w:r w:rsidR="00934D5E">
        <w:rPr>
          <w:noProof/>
        </w:rPr>
        <w:t>19</w:t>
      </w:r>
      <w:r>
        <w:fldChar w:fldCharType="end"/>
      </w:r>
      <w:r w:rsidR="00597B5E">
        <w:t xml:space="preserve">: </w:t>
      </w:r>
      <w:r w:rsidR="00597B5E" w:rsidRPr="00B65F7F">
        <w:t>Preventing and Managing Chronic Disease in First Nations Communities Framework alignment with guiding principles</w:t>
      </w:r>
      <w:bookmarkEnd w:id="480"/>
      <w:bookmarkEnd w:id="481"/>
      <w:bookmarkEnd w:id="482"/>
    </w:p>
    <w:tbl>
      <w:tblPr>
        <w:tblStyle w:val="Newtableforresport"/>
        <w:tblW w:w="9618" w:type="dxa"/>
        <w:tblInd w:w="10" w:type="dxa"/>
        <w:tblLayout w:type="fixed"/>
        <w:tblLook w:val="0420" w:firstRow="1" w:lastRow="0" w:firstColumn="0" w:lastColumn="0" w:noHBand="0" w:noVBand="1"/>
        <w:tblCaption w:val="Table A9.19: Preventing and Managing Chronic Disease in First Nations Communities Framework alignment with guiding principles"/>
        <w:tblDescription w:val="The table describes how the guiding principles of funding transition align with the Preventing and Managing Chronic Disease in First Nations Communities Framework. The first column lists the guiding principles of funding transition. The second column provides a description of how the Preventing and Managing Chronic Disease in First Nations Communities Framework aligns with the relevant guding principle in the first column. "/>
      </w:tblPr>
      <w:tblGrid>
        <w:gridCol w:w="3959"/>
        <w:gridCol w:w="5659"/>
      </w:tblGrid>
      <w:tr w:rsidR="00597B5E" w:rsidRPr="0033162B" w14:paraId="2F492BF4" w14:textId="77777777" w:rsidTr="009D4C69">
        <w:trPr>
          <w:cnfStyle w:val="100000000000" w:firstRow="1" w:lastRow="0" w:firstColumn="0" w:lastColumn="0" w:oddVBand="0" w:evenVBand="0" w:oddHBand="0" w:evenHBand="0" w:firstRowFirstColumn="0" w:firstRowLastColumn="0" w:lastRowFirstColumn="0" w:lastRowLastColumn="0"/>
          <w:tblHeader/>
        </w:trPr>
        <w:tc>
          <w:tcPr>
            <w:tcW w:w="3959" w:type="dxa"/>
          </w:tcPr>
          <w:p w14:paraId="3BDBCF75" w14:textId="77777777" w:rsidR="00597B5E" w:rsidRPr="0033162B" w:rsidRDefault="00597B5E" w:rsidP="00024E8D">
            <w:pPr>
              <w:pStyle w:val="TableHeading"/>
              <w:rPr>
                <w:b w:val="0"/>
              </w:rPr>
            </w:pPr>
            <w:r w:rsidRPr="0033162B">
              <w:t>Guiding principle</w:t>
            </w:r>
          </w:p>
        </w:tc>
        <w:tc>
          <w:tcPr>
            <w:tcW w:w="5659" w:type="dxa"/>
          </w:tcPr>
          <w:p w14:paraId="7AB28FF2" w14:textId="77777777" w:rsidR="00597B5E" w:rsidRPr="0033162B" w:rsidRDefault="00597B5E" w:rsidP="00024E8D">
            <w:pPr>
              <w:pStyle w:val="TableHeading"/>
              <w:rPr>
                <w:b w:val="0"/>
              </w:rPr>
            </w:pPr>
            <w:r w:rsidRPr="0033162B">
              <w:t>Description</w:t>
            </w:r>
          </w:p>
        </w:tc>
      </w:tr>
      <w:tr w:rsidR="00597B5E" w:rsidRPr="00B65F7F" w14:paraId="5FFA10F9" w14:textId="77777777" w:rsidTr="002F3469">
        <w:trPr>
          <w:cnfStyle w:val="000000100000" w:firstRow="0" w:lastRow="0" w:firstColumn="0" w:lastColumn="0" w:oddVBand="0" w:evenVBand="0" w:oddHBand="1" w:evenHBand="0" w:firstRowFirstColumn="0" w:firstRowLastColumn="0" w:lastRowFirstColumn="0" w:lastRowLastColumn="0"/>
        </w:trPr>
        <w:tc>
          <w:tcPr>
            <w:tcW w:w="3959" w:type="dxa"/>
          </w:tcPr>
          <w:p w14:paraId="2527FED7" w14:textId="77777777" w:rsidR="00597B5E" w:rsidRPr="00B65F7F" w:rsidRDefault="00597B5E" w:rsidP="00793E49">
            <w:pPr>
              <w:pStyle w:val="TableText"/>
            </w:pPr>
            <w:r w:rsidRPr="00B65F7F">
              <w:t>Community partnerships, co-design and ownership</w:t>
            </w:r>
          </w:p>
        </w:tc>
        <w:tc>
          <w:tcPr>
            <w:tcW w:w="5659" w:type="dxa"/>
          </w:tcPr>
          <w:p w14:paraId="0A6857B9" w14:textId="77777777" w:rsidR="00597B5E" w:rsidRPr="00B65F7F" w:rsidRDefault="00597B5E" w:rsidP="00793E49">
            <w:pPr>
              <w:pStyle w:val="TableText"/>
            </w:pPr>
            <w:r w:rsidRPr="00B65F7F">
              <w:t>The Guidance Framework was developed through collaboration and engagement with First Nations communities, including Elders and representatives from regional First Nations provincial and territorial organisations and Treaty Organisations.</w:t>
            </w:r>
          </w:p>
        </w:tc>
      </w:tr>
      <w:tr w:rsidR="00597B5E" w:rsidRPr="00B65F7F" w14:paraId="2E43F32A" w14:textId="77777777" w:rsidTr="002F3469">
        <w:trPr>
          <w:cnfStyle w:val="000000010000" w:firstRow="0" w:lastRow="0" w:firstColumn="0" w:lastColumn="0" w:oddVBand="0" w:evenVBand="0" w:oddHBand="0" w:evenHBand="1" w:firstRowFirstColumn="0" w:firstRowLastColumn="0" w:lastRowFirstColumn="0" w:lastRowLastColumn="0"/>
        </w:trPr>
        <w:tc>
          <w:tcPr>
            <w:tcW w:w="3959" w:type="dxa"/>
          </w:tcPr>
          <w:p w14:paraId="176A0636" w14:textId="77777777" w:rsidR="00597B5E" w:rsidRPr="00B65F7F" w:rsidRDefault="00597B5E" w:rsidP="00793E49">
            <w:pPr>
              <w:pStyle w:val="TableText"/>
            </w:pPr>
            <w:r w:rsidRPr="00B65F7F">
              <w:t>Strengths-based and place-based approaches</w:t>
            </w:r>
          </w:p>
        </w:tc>
        <w:tc>
          <w:tcPr>
            <w:tcW w:w="5659" w:type="dxa"/>
            <w:vMerge w:val="restart"/>
          </w:tcPr>
          <w:p w14:paraId="597D12B8" w14:textId="77777777" w:rsidR="00597B5E" w:rsidRPr="00B65F7F" w:rsidRDefault="00597B5E" w:rsidP="00793E49">
            <w:pPr>
              <w:pStyle w:val="TableText"/>
            </w:pPr>
            <w:r w:rsidRPr="00B65F7F">
              <w:t>The Guidance Framework’s guiding principles centre the importance of responsive and sustainable, strengths-based and place-based approaches that consider Indigenous determinants of health and culturally safe and responsive care for First Nations peoples experiencing chronic illness.</w:t>
            </w:r>
          </w:p>
        </w:tc>
      </w:tr>
      <w:tr w:rsidR="00597B5E" w:rsidRPr="00B65F7F" w14:paraId="41740B7D" w14:textId="77777777" w:rsidTr="002F3469">
        <w:trPr>
          <w:cnfStyle w:val="000000100000" w:firstRow="0" w:lastRow="0" w:firstColumn="0" w:lastColumn="0" w:oddVBand="0" w:evenVBand="0" w:oddHBand="1" w:evenHBand="0" w:firstRowFirstColumn="0" w:firstRowLastColumn="0" w:lastRowFirstColumn="0" w:lastRowLastColumn="0"/>
        </w:trPr>
        <w:tc>
          <w:tcPr>
            <w:tcW w:w="3959" w:type="dxa"/>
          </w:tcPr>
          <w:p w14:paraId="7FD44F52" w14:textId="77777777" w:rsidR="00597B5E" w:rsidRPr="00B65F7F" w:rsidRDefault="00597B5E" w:rsidP="00793E49">
            <w:pPr>
              <w:pStyle w:val="TableText"/>
            </w:pPr>
            <w:r w:rsidRPr="00B65F7F">
              <w:t>Holistic understandings of Indigenous health and wellbeing</w:t>
            </w:r>
          </w:p>
        </w:tc>
        <w:tc>
          <w:tcPr>
            <w:tcW w:w="5659" w:type="dxa"/>
            <w:vMerge/>
          </w:tcPr>
          <w:p w14:paraId="0EF3FE6B" w14:textId="77777777" w:rsidR="00597B5E" w:rsidRPr="00B65F7F" w:rsidRDefault="00597B5E" w:rsidP="00793E49">
            <w:pPr>
              <w:pStyle w:val="TableText"/>
            </w:pPr>
          </w:p>
        </w:tc>
      </w:tr>
      <w:tr w:rsidR="00597B5E" w:rsidRPr="00B65F7F" w14:paraId="6D000813" w14:textId="77777777" w:rsidTr="002F3469">
        <w:trPr>
          <w:cnfStyle w:val="000000010000" w:firstRow="0" w:lastRow="0" w:firstColumn="0" w:lastColumn="0" w:oddVBand="0" w:evenVBand="0" w:oddHBand="0" w:evenHBand="1" w:firstRowFirstColumn="0" w:firstRowLastColumn="0" w:lastRowFirstColumn="0" w:lastRowLastColumn="0"/>
        </w:trPr>
        <w:tc>
          <w:tcPr>
            <w:tcW w:w="3959" w:type="dxa"/>
          </w:tcPr>
          <w:p w14:paraId="1BE9923B" w14:textId="77777777" w:rsidR="00597B5E" w:rsidRPr="00B65F7F" w:rsidRDefault="00597B5E" w:rsidP="00793E49">
            <w:pPr>
              <w:pStyle w:val="TableText"/>
            </w:pPr>
            <w:r w:rsidRPr="00B65F7F">
              <w:t>Culturally safe and responsive healthcare</w:t>
            </w:r>
          </w:p>
        </w:tc>
        <w:tc>
          <w:tcPr>
            <w:tcW w:w="5659" w:type="dxa"/>
            <w:vMerge/>
          </w:tcPr>
          <w:p w14:paraId="6A9B9069" w14:textId="77777777" w:rsidR="00597B5E" w:rsidRPr="00B65F7F" w:rsidRDefault="00597B5E" w:rsidP="00793E49">
            <w:pPr>
              <w:pStyle w:val="TableText"/>
            </w:pPr>
          </w:p>
        </w:tc>
      </w:tr>
    </w:tbl>
    <w:p w14:paraId="3542AB60" w14:textId="77777777" w:rsidR="00597B5E" w:rsidRPr="00B65F7F" w:rsidRDefault="00597B5E" w:rsidP="00E97C18">
      <w:pPr>
        <w:pStyle w:val="HeadingLevel4NoNumber"/>
      </w:pPr>
      <w:bookmarkStart w:id="483" w:name="_heading=h.684i9r3agumw" w:colFirst="0" w:colLast="0"/>
      <w:bookmarkEnd w:id="483"/>
      <w:r w:rsidRPr="00B65F7F">
        <w:t>Overview</w:t>
      </w:r>
    </w:p>
    <w:p w14:paraId="59B5600F" w14:textId="77777777" w:rsidR="00597B5E" w:rsidRPr="00B65F7F" w:rsidRDefault="00597B5E" w:rsidP="00793E49">
      <w:pPr>
        <w:pStyle w:val="BodyText"/>
      </w:pPr>
      <w:r w:rsidRPr="00B65F7F">
        <w:t xml:space="preserve">The Preventing and Managing Chronic Disease in First Nations Communities: A Guidance Framework (the Guidance Framework) was developed through collaboration and engagement with over 325 participants, including over 225 community-based participants (Indigenous Services Canada 2018, </w:t>
      </w:r>
      <w:r>
        <w:t>p. </w:t>
      </w:r>
      <w:r w:rsidRPr="00B65F7F">
        <w:t xml:space="preserve">5). The process involved contributions from service providers, health management, community workers, Elders and representatives from regional First Nations provincial and territorial organisations and Treaty Organisations (Indigenous Services Canada 2018, </w:t>
      </w:r>
      <w:r>
        <w:t>p. </w:t>
      </w:r>
      <w:r w:rsidRPr="00B65F7F">
        <w:t>5).</w:t>
      </w:r>
    </w:p>
    <w:p w14:paraId="1E3305A7" w14:textId="77777777" w:rsidR="00597B5E" w:rsidRPr="00B65F7F" w:rsidRDefault="00597B5E" w:rsidP="00793E49">
      <w:pPr>
        <w:pStyle w:val="BodyText"/>
      </w:pPr>
      <w:r w:rsidRPr="00B65F7F">
        <w:t xml:space="preserve">The Guidance Framework’s intention is to facilitate organisational reflection on chronic disease prevention and management and enable organisations to consider where improvements to services and programs could be made and consider where services and programs could be realigned to be relevant for and responsive to community needs and contexts (Indigenous Services Canada 2018, </w:t>
      </w:r>
      <w:r>
        <w:t>p. </w:t>
      </w:r>
      <w:r w:rsidRPr="00B65F7F">
        <w:t xml:space="preserve">10). The Guidance Framework can be used at regional and national levels to strengthen chronic disease prevention and management programs, services and policies (Indigenous Services Canada 2018, </w:t>
      </w:r>
      <w:r>
        <w:t>p. </w:t>
      </w:r>
      <w:r w:rsidRPr="00B65F7F">
        <w:t xml:space="preserve">37). </w:t>
      </w:r>
    </w:p>
    <w:p w14:paraId="266CA838" w14:textId="17807D12" w:rsidR="00597B5E" w:rsidRPr="00B65F7F" w:rsidRDefault="00597B5E" w:rsidP="00793E49">
      <w:pPr>
        <w:pStyle w:val="BodyText"/>
      </w:pPr>
      <w:r w:rsidRPr="00B65F7F">
        <w:t xml:space="preserve">The Guidance Framework is underpinned by </w:t>
      </w:r>
      <w:r>
        <w:t>9</w:t>
      </w:r>
      <w:r w:rsidRPr="00B65F7F">
        <w:t xml:space="preserve"> guiding principles intended to ‘guide the delivery, design, and coordination of services at all levels of the health system’ and recognise the reciprocal responsibility of developing a strengthened system of healthcare and wellness among First Nations (Indigenous Services Canada 2018, </w:t>
      </w:r>
      <w:r>
        <w:t>p. </w:t>
      </w:r>
      <w:r w:rsidRPr="00B65F7F">
        <w:t>20): culturally relevant and safe, person/client and family-centred, community-driven and focused, quality-based and evidence-informed, aligned with health promotion and population health approaches, responsive to the impact of Indigenous-specific determinants of health, collaborative and coordinated, sustainable and accountable</w:t>
      </w:r>
      <w:r>
        <w:t xml:space="preserve"> (</w:t>
      </w:r>
      <w:r w:rsidR="004F492F">
        <w:fldChar w:fldCharType="begin"/>
      </w:r>
      <w:r w:rsidR="004F492F">
        <w:instrText xml:space="preserve"> REF _Ref151923863 \h </w:instrText>
      </w:r>
      <w:r w:rsidR="004F492F">
        <w:fldChar w:fldCharType="separate"/>
      </w:r>
      <w:r w:rsidR="00934D5E">
        <w:t>Figure A9.</w:t>
      </w:r>
      <w:r w:rsidR="00934D5E">
        <w:rPr>
          <w:noProof/>
        </w:rPr>
        <w:t>4</w:t>
      </w:r>
      <w:r w:rsidR="004F492F">
        <w:fldChar w:fldCharType="end"/>
      </w:r>
      <w:r>
        <w:t>)</w:t>
      </w:r>
      <w:r w:rsidRPr="00B65F7F">
        <w:t xml:space="preserve"> (Indigenous Services Canada 2018, </w:t>
      </w:r>
      <w:r>
        <w:t>p. </w:t>
      </w:r>
      <w:r w:rsidRPr="00B65F7F">
        <w:t xml:space="preserve">10). </w:t>
      </w:r>
    </w:p>
    <w:p w14:paraId="317E29F0" w14:textId="77777777" w:rsidR="00597B5E" w:rsidRDefault="00597B5E" w:rsidP="00597B5E">
      <w:pPr>
        <w:spacing w:after="200"/>
        <w:rPr>
          <w:b/>
          <w:sz w:val="20"/>
          <w:szCs w:val="20"/>
        </w:rPr>
      </w:pPr>
    </w:p>
    <w:p w14:paraId="501B9B80" w14:textId="27A821AE" w:rsidR="00642403" w:rsidRPr="00B65F7F" w:rsidRDefault="00642403" w:rsidP="00642403">
      <w:pPr>
        <w:pStyle w:val="CaptionFigure"/>
      </w:pPr>
      <w:bookmarkStart w:id="484" w:name="_Ref151923863"/>
      <w:bookmarkStart w:id="485" w:name="_Toc145617781"/>
      <w:bookmarkStart w:id="486" w:name="_Toc156932046"/>
      <w:r>
        <w:t>Figure A9.</w:t>
      </w:r>
      <w:r>
        <w:fldChar w:fldCharType="begin"/>
      </w:r>
      <w:r>
        <w:instrText>SEQ Figure_A9 \* ARABIC</w:instrText>
      </w:r>
      <w:r>
        <w:fldChar w:fldCharType="separate"/>
      </w:r>
      <w:r w:rsidR="00934D5E">
        <w:rPr>
          <w:noProof/>
        </w:rPr>
        <w:t>4</w:t>
      </w:r>
      <w:r>
        <w:fldChar w:fldCharType="end"/>
      </w:r>
      <w:bookmarkEnd w:id="484"/>
      <w:r w:rsidRPr="00B65F7F">
        <w:t>: Preventing and Managing Chronic Disease in First Nations Communities: A Guidance Framework</w:t>
      </w:r>
      <w:bookmarkEnd w:id="485"/>
      <w:bookmarkEnd w:id="486"/>
    </w:p>
    <w:p w14:paraId="4E2969FF" w14:textId="77777777" w:rsidR="00597B5E" w:rsidRDefault="00597B5E" w:rsidP="00793E49">
      <w:pPr>
        <w:pStyle w:val="BodyText"/>
        <w:rPr>
          <w:sz w:val="20"/>
        </w:rPr>
      </w:pPr>
      <w:r w:rsidRPr="00B65F7F">
        <w:rPr>
          <w:noProof/>
        </w:rPr>
        <w:drawing>
          <wp:inline distT="114300" distB="114300" distL="114300" distR="114300" wp14:anchorId="54CEA82C" wp14:editId="0DB55AF6">
            <wp:extent cx="5943600" cy="7439025"/>
            <wp:effectExtent l="0" t="0" r="0" b="9525"/>
            <wp:docPr id="984691043" name="Picture 984691043" descr="The shape of an Indigenous Canadian dreamcatcher is used for this diagram. The vision underpinning this Guidance Framework is written in the green centre circle of the dreamcatcher. It reads, ‘First Nations individuals, families and communities attain empowered, wholistic health and wellness from birth to end of life. They are supported by health environments and by a First Nations-determined health system that is comprehensive, coordinated, culturally appropriate, and sustainable.’ Around this, a concentric yellow circle displays the 9 principles that underpin the framework, which are identified in the report, and its 4 focus areas. The focus areas are Collaboration and Coordination, Safe and Supportive Environments, Personal and Professional Skills, and Information Systems and Data Sharing. Each of the focus areas are connected to a set of objectives written on 4 brown feather shapes that hang below the dreamcatcher. "/>
            <wp:cNvGraphicFramePr/>
            <a:graphic xmlns:a="http://schemas.openxmlformats.org/drawingml/2006/main">
              <a:graphicData uri="http://schemas.openxmlformats.org/drawingml/2006/picture">
                <pic:pic xmlns:pic="http://schemas.openxmlformats.org/drawingml/2006/picture">
                  <pic:nvPicPr>
                    <pic:cNvPr id="984691043" name="Picture 984691043" descr="The shape of an Indigenous Canadian dreamcatcher is used for this diagram. The vision underpinning this Guidance Framework is written in the green centre circle of the dreamcatcher. It reads, ‘First Nations individuals, families and communities attain empowered, wholistic health and wellness from birth to end of life. They are supported by health environments and by a First Nations-determined health system that is comprehensive, coordinated, culturally appropriate, and sustainable.’ Around this, a concentric yellow circle displays the 9 principles that underpin the framework, which are identified in the report, and its 4 focus areas. The focus areas are Collaboration and Coordination, Safe and Supportive Environments, Personal and Professional Skills, and Information Systems and Data Sharing. Each of the focus areas are connected to a set of objectives written on 4 brown feather shapes that hang below the dreamcatcher. "/>
                    <pic:cNvPicPr preferRelativeResize="0"/>
                  </pic:nvPicPr>
                  <pic:blipFill rotWithShape="1">
                    <a:blip r:embed="rId121" cstate="print">
                      <a:extLst>
                        <a:ext uri="{28A0092B-C50C-407E-A947-70E740481C1C}">
                          <a14:useLocalDpi xmlns:a14="http://schemas.microsoft.com/office/drawing/2010/main"/>
                        </a:ext>
                      </a:extLst>
                    </a:blip>
                    <a:srcRect/>
                    <a:stretch/>
                  </pic:blipFill>
                  <pic:spPr bwMode="auto">
                    <a:xfrm>
                      <a:off x="0" y="0"/>
                      <a:ext cx="5945108" cy="7440912"/>
                    </a:xfrm>
                    <a:prstGeom prst="rect">
                      <a:avLst/>
                    </a:prstGeom>
                    <a:ln>
                      <a:noFill/>
                    </a:ln>
                    <a:extLst>
                      <a:ext uri="{53640926-AAD7-44D8-BBD7-CCE9431645EC}">
                        <a14:shadowObscured xmlns:a14="http://schemas.microsoft.com/office/drawing/2010/main"/>
                      </a:ext>
                    </a:extLst>
                  </pic:spPr>
                </pic:pic>
              </a:graphicData>
            </a:graphic>
          </wp:inline>
        </w:drawing>
      </w:r>
    </w:p>
    <w:p w14:paraId="25D43614" w14:textId="77777777" w:rsidR="00597B5E" w:rsidRPr="00B65F7F" w:rsidRDefault="00597B5E" w:rsidP="00292E56">
      <w:pPr>
        <w:pStyle w:val="BodyText"/>
      </w:pPr>
    </w:p>
    <w:p w14:paraId="592B59F5" w14:textId="77777777" w:rsidR="00597B5E" w:rsidRPr="00B65F7F" w:rsidRDefault="004C1AF3" w:rsidP="006734AE">
      <w:pPr>
        <w:pStyle w:val="HeadingLevel2NoNumber"/>
      </w:pPr>
      <w:bookmarkStart w:id="487" w:name="_heading=h.thw4kt" w:colFirst="0" w:colLast="0"/>
      <w:bookmarkEnd w:id="487"/>
      <w:r>
        <w:t>A9.6</w:t>
      </w:r>
      <w:r w:rsidR="00597B5E" w:rsidRPr="00B65F7F">
        <w:t xml:space="preserve"> Funding models, approaches and frameworks: New Zealand (Aotearoa)</w:t>
      </w:r>
    </w:p>
    <w:p w14:paraId="6F26EAC9" w14:textId="77777777" w:rsidR="00597B5E" w:rsidRPr="00B65F7F" w:rsidRDefault="00597B5E" w:rsidP="00E97C18">
      <w:pPr>
        <w:pStyle w:val="HeadingLevel3NoNumber"/>
      </w:pPr>
      <w:bookmarkStart w:id="488" w:name="_heading=h.tezc0u50pj4w" w:colFirst="0" w:colLast="0"/>
      <w:bookmarkEnd w:id="488"/>
      <w:r w:rsidRPr="00B65F7F">
        <w:t>Commissioning and funding models for primary healthcare in New Zealand (Aotearoa)</w:t>
      </w:r>
    </w:p>
    <w:p w14:paraId="430A189B" w14:textId="77777777" w:rsidR="00597B5E" w:rsidRPr="00B65F7F" w:rsidRDefault="00597B5E" w:rsidP="00E97C18">
      <w:pPr>
        <w:pStyle w:val="HeadingLevel4NoNumber"/>
      </w:pPr>
      <w:bookmarkStart w:id="489" w:name="_heading=h.4ihksapwx0jp" w:colFirst="0" w:colLast="0"/>
      <w:bookmarkEnd w:id="489"/>
      <w:r w:rsidRPr="00B65F7F">
        <w:t>The Pae Ora commissioning approach</w:t>
      </w:r>
    </w:p>
    <w:p w14:paraId="755EC840" w14:textId="77777777" w:rsidR="00597B5E" w:rsidRPr="00B65F7F" w:rsidRDefault="00597B5E" w:rsidP="00793E49">
      <w:pPr>
        <w:pStyle w:val="BodyText"/>
      </w:pPr>
      <w:r w:rsidRPr="00B65F7F">
        <w:t>In July 2022, ‘responsibilities for commissioning health services [shifted] from the Ministry and DHBs to Te Whatu Ora | Health New Zealand and Te Aka Whai Ora | Māori Health Authority, supported by Iwi-Māori Partnership Boards and locality networks’ (</w:t>
      </w:r>
      <w:r w:rsidRPr="005A2000">
        <w:t>Ministry</w:t>
      </w:r>
      <w:r w:rsidRPr="00B65F7F">
        <w:t xml:space="preserve"> of Health, 2023, </w:t>
      </w:r>
      <w:r>
        <w:t>p. </w:t>
      </w:r>
      <w:r w:rsidRPr="00B65F7F">
        <w:t xml:space="preserve">6). </w:t>
      </w:r>
    </w:p>
    <w:p w14:paraId="50352633" w14:textId="42AABE10" w:rsidR="00597B5E" w:rsidRDefault="00597B5E" w:rsidP="00793E49">
      <w:pPr>
        <w:pStyle w:val="BodyText"/>
      </w:pPr>
      <w:r w:rsidRPr="00B65F7F">
        <w:t xml:space="preserve">The Pae Ora </w:t>
      </w:r>
      <w:r>
        <w:t xml:space="preserve">(Healthy Futures) </w:t>
      </w:r>
      <w:r w:rsidRPr="00B65F7F">
        <w:t>commissioning approach seeks to bring the</w:t>
      </w:r>
      <w:r w:rsidRPr="00B65F7F">
        <w:rPr>
          <w:i/>
        </w:rPr>
        <w:t xml:space="preserve"> Whānau Ora </w:t>
      </w:r>
      <w:r w:rsidRPr="00B65F7F">
        <w:t xml:space="preserve">vision to the mainstream and takes a </w:t>
      </w:r>
      <w:r w:rsidRPr="00B65F7F">
        <w:rPr>
          <w:i/>
        </w:rPr>
        <w:t>whānau</w:t>
      </w:r>
      <w:r w:rsidRPr="00B65F7F">
        <w:t xml:space="preserve">-led and Māori-led approach to commissioning that privileges what matters to </w:t>
      </w:r>
      <w:r w:rsidRPr="00B65F7F">
        <w:rPr>
          <w:i/>
        </w:rPr>
        <w:t>whānau</w:t>
      </w:r>
      <w:r w:rsidRPr="00B65F7F">
        <w:t xml:space="preserve"> (Ministry of Health, 2023, </w:t>
      </w:r>
      <w:r>
        <w:t>p. </w:t>
      </w:r>
      <w:r w:rsidRPr="00B65F7F">
        <w:t xml:space="preserve">4). This shift is outlined </w:t>
      </w:r>
      <w:r w:rsidRPr="00B27E54">
        <w:t xml:space="preserve">in </w:t>
      </w:r>
      <w:r w:rsidR="004F492F">
        <w:fldChar w:fldCharType="begin"/>
      </w:r>
      <w:r w:rsidR="004F492F">
        <w:instrText xml:space="preserve"> REF _Ref151923906 \h </w:instrText>
      </w:r>
      <w:r w:rsidR="004F492F">
        <w:fldChar w:fldCharType="separate"/>
      </w:r>
      <w:r w:rsidR="00934D5E">
        <w:t>Figure A9.</w:t>
      </w:r>
      <w:r w:rsidR="00934D5E">
        <w:rPr>
          <w:noProof/>
        </w:rPr>
        <w:t>5</w:t>
      </w:r>
      <w:r w:rsidR="004F492F">
        <w:fldChar w:fldCharType="end"/>
      </w:r>
      <w:r w:rsidRPr="00B27E54">
        <w:t xml:space="preserve"> below.</w:t>
      </w:r>
      <w:r w:rsidRPr="00B65F7F">
        <w:t xml:space="preserve"> </w:t>
      </w:r>
    </w:p>
    <w:p w14:paraId="22076266" w14:textId="4761C878" w:rsidR="004F492F" w:rsidRDefault="004F492F" w:rsidP="004F492F">
      <w:pPr>
        <w:pStyle w:val="CaptionFigure"/>
      </w:pPr>
      <w:bookmarkStart w:id="490" w:name="_Ref151923906"/>
      <w:bookmarkStart w:id="491" w:name="_Toc145617782"/>
      <w:bookmarkStart w:id="492" w:name="_Toc156932047"/>
      <w:r>
        <w:t>Figure A9.</w:t>
      </w:r>
      <w:r>
        <w:fldChar w:fldCharType="begin"/>
      </w:r>
      <w:r>
        <w:instrText>SEQ Figure_A9 \* ARABIC</w:instrText>
      </w:r>
      <w:r>
        <w:fldChar w:fldCharType="separate"/>
      </w:r>
      <w:r w:rsidR="00934D5E">
        <w:rPr>
          <w:noProof/>
        </w:rPr>
        <w:t>5</w:t>
      </w:r>
      <w:r>
        <w:fldChar w:fldCharType="end"/>
      </w:r>
      <w:bookmarkEnd w:id="490"/>
      <w:r>
        <w:t xml:space="preserve">: </w:t>
      </w:r>
      <w:r w:rsidRPr="00B65F7F">
        <w:t>Three approaches to commissioning</w:t>
      </w:r>
      <w:r>
        <w:t>:</w:t>
      </w:r>
      <w:r w:rsidRPr="00B65F7F">
        <w:t xml:space="preserve"> conventional, improved and </w:t>
      </w:r>
      <w:r w:rsidRPr="00B65F7F">
        <w:rPr>
          <w:i/>
        </w:rPr>
        <w:t>whānau-</w:t>
      </w:r>
      <w:r>
        <w:rPr>
          <w:iCs/>
        </w:rPr>
        <w:t>led</w:t>
      </w:r>
      <w:r w:rsidRPr="00B65F7F">
        <w:t xml:space="preserve"> and Māori-led</w:t>
      </w:r>
      <w:bookmarkEnd w:id="491"/>
      <w:bookmarkEnd w:id="492"/>
      <w:r w:rsidRPr="00B65F7F">
        <w:t xml:space="preserve"> </w:t>
      </w:r>
    </w:p>
    <w:p w14:paraId="10569DCD" w14:textId="77777777" w:rsidR="00597B5E" w:rsidRPr="00B65F7F" w:rsidRDefault="00597B5E" w:rsidP="00793E49">
      <w:pPr>
        <w:pStyle w:val="BodyText"/>
      </w:pPr>
      <w:r w:rsidRPr="00B65F7F">
        <w:rPr>
          <w:noProof/>
        </w:rPr>
        <w:drawing>
          <wp:inline distT="114300" distB="114300" distL="114300" distR="114300" wp14:anchorId="5407686D" wp14:editId="156FBD4A">
            <wp:extent cx="5943600" cy="2336800"/>
            <wp:effectExtent l="0" t="0" r="0" b="0"/>
            <wp:docPr id="1115778139" name="Picture 1115778139" descr="Three different approaches to commissioning and their features are outlined in columns. Text in the Conventional Commissioning approach column says ‘System knows what works best. Funders manage risk with highly specified contracts. Providers are assessed against delivery outputs. People have services “done to them”’. Text in the Improved Commissioning column, which represents service co-design, says ‘System recognises whānau voice is needed. Funders work with providers to design contract specs. Providers are assessed against delivery and outcomes. Parts of the service reflect what matters to whānau’. Text in the Whānau and Maori-led Commissioning column, represents co-production at all stages, says ‘What matters to whānau shapes system. Services, other investments, performance and success measures are co-produced. Funders enable innovation and focus on outcomes. Resource and accountability allocated for best outcomes, public value ahead of unit cost’."/>
            <wp:cNvGraphicFramePr/>
            <a:graphic xmlns:a="http://schemas.openxmlformats.org/drawingml/2006/main">
              <a:graphicData uri="http://schemas.openxmlformats.org/drawingml/2006/picture">
                <pic:pic xmlns:pic="http://schemas.openxmlformats.org/drawingml/2006/picture">
                  <pic:nvPicPr>
                    <pic:cNvPr id="1115778139" name="Picture 1115778139" descr="Three different approaches to commissioning and their features are outlined in columns. Text in the Conventional Commissioning approach column says ‘System knows what works best. Funders manage risk with highly specified contracts. Providers are assessed against delivery outputs. People have services “done to them”’. Text in the Improved Commissioning column, which represents service co-design, says ‘System recognises whānau voice is needed. Funders work with providers to design contract specs. Providers are assessed against delivery and outcomes. Parts of the service reflect what matters to whānau’. Text in the Whānau and Maori-led Commissioning column, represents co-production at all stages, says ‘What matters to whānau shapes system. Services, other investments, performance and success measures are co-produced. Funders enable innovation and focus on outcomes. Resource and accountability allocated for best outcomes, public value ahead of unit cost’."/>
                    <pic:cNvPicPr preferRelativeResize="0"/>
                  </pic:nvPicPr>
                  <pic:blipFill>
                    <a:blip r:embed="rId122" cstate="print">
                      <a:extLst>
                        <a:ext uri="{28A0092B-C50C-407E-A947-70E740481C1C}">
                          <a14:useLocalDpi xmlns:a14="http://schemas.microsoft.com/office/drawing/2010/main"/>
                        </a:ext>
                      </a:extLst>
                    </a:blip>
                    <a:srcRect/>
                    <a:stretch>
                      <a:fillRect/>
                    </a:stretch>
                  </pic:blipFill>
                  <pic:spPr>
                    <a:xfrm>
                      <a:off x="0" y="0"/>
                      <a:ext cx="5943600" cy="2336800"/>
                    </a:xfrm>
                    <a:prstGeom prst="rect">
                      <a:avLst/>
                    </a:prstGeom>
                    <a:ln/>
                  </pic:spPr>
                </pic:pic>
              </a:graphicData>
            </a:graphic>
          </wp:inline>
        </w:drawing>
      </w:r>
    </w:p>
    <w:p w14:paraId="65F08488" w14:textId="77777777" w:rsidR="00597B5E" w:rsidRDefault="00597B5E" w:rsidP="00597B5E">
      <w:pPr>
        <w:pStyle w:val="Notes"/>
        <w:jc w:val="center"/>
      </w:pPr>
      <w:bookmarkStart w:id="493" w:name="_Toc120206185"/>
      <w:r>
        <w:t xml:space="preserve">Source: </w:t>
      </w:r>
      <w:r w:rsidRPr="00B65F7F">
        <w:t>Ministry of Health, 2023</w:t>
      </w:r>
    </w:p>
    <w:p w14:paraId="5719450C" w14:textId="77777777" w:rsidR="00597B5E" w:rsidRDefault="00597B5E" w:rsidP="00292E56">
      <w:pPr>
        <w:pStyle w:val="BodyText"/>
      </w:pPr>
    </w:p>
    <w:p w14:paraId="7F7ACFEC" w14:textId="77777777" w:rsidR="00597B5E" w:rsidRPr="00B65F7F" w:rsidRDefault="00597B5E" w:rsidP="00793E49">
      <w:pPr>
        <w:pStyle w:val="BodyText"/>
      </w:pPr>
      <w:r w:rsidRPr="00B65F7F">
        <w:t xml:space="preserve">The commissioning approach for Pae Ora also seeks to embed principles underpinning </w:t>
      </w:r>
      <w:r w:rsidRPr="00B65F7F">
        <w:rPr>
          <w:i/>
        </w:rPr>
        <w:t>Te Tiriti o Waitangi</w:t>
      </w:r>
      <w:r w:rsidRPr="00B65F7F">
        <w:t xml:space="preserve"> (the Treaty of Waitangi) to ‘improve health outcomes and equity’ by</w:t>
      </w:r>
      <w:r>
        <w:t xml:space="preserve"> </w:t>
      </w:r>
      <w:r w:rsidRPr="00B65F7F">
        <w:t xml:space="preserve">(Ministry of Health, 2023, </w:t>
      </w:r>
      <w:r>
        <w:t>p. </w:t>
      </w:r>
      <w:r w:rsidRPr="00B65F7F">
        <w:t xml:space="preserve">5): </w:t>
      </w:r>
    </w:p>
    <w:p w14:paraId="25878686" w14:textId="77777777" w:rsidR="00597B5E" w:rsidRPr="00B65F7F" w:rsidRDefault="00597B5E" w:rsidP="00793E49">
      <w:pPr>
        <w:pStyle w:val="ListBullet2"/>
      </w:pPr>
      <w:r>
        <w:t>s</w:t>
      </w:r>
      <w:r w:rsidRPr="00B65F7F">
        <w:t>upporting</w:t>
      </w:r>
      <w:r w:rsidRPr="00B65F7F">
        <w:rPr>
          <w:i/>
        </w:rPr>
        <w:t xml:space="preserve"> tino rangatiratanga </w:t>
      </w:r>
      <w:r w:rsidRPr="00B65F7F">
        <w:t xml:space="preserve">(self-determination) by using a strengths-based approach and ‘enabling choice, control and autonomy of decision-making for </w:t>
      </w:r>
      <w:r w:rsidRPr="00B65F7F">
        <w:rPr>
          <w:i/>
        </w:rPr>
        <w:t>whānau’</w:t>
      </w:r>
      <w:r w:rsidRPr="00B65F7F">
        <w:t xml:space="preserve"> </w:t>
      </w:r>
    </w:p>
    <w:p w14:paraId="5B408AD6" w14:textId="77777777" w:rsidR="00597B5E" w:rsidRPr="00B65F7F" w:rsidRDefault="00597B5E" w:rsidP="00793E49">
      <w:pPr>
        <w:pStyle w:val="ListBullet2"/>
      </w:pPr>
      <w:r>
        <w:t>f</w:t>
      </w:r>
      <w:r w:rsidRPr="00B65F7F">
        <w:t xml:space="preserve">acilitating options and choice for </w:t>
      </w:r>
      <w:r w:rsidRPr="00B65F7F">
        <w:rPr>
          <w:i/>
        </w:rPr>
        <w:t>whānau</w:t>
      </w:r>
      <w:r w:rsidRPr="00B65F7F">
        <w:t xml:space="preserve"> by offering a range of ‘accessible, culturally safe and effective services and supports’ </w:t>
      </w:r>
    </w:p>
    <w:p w14:paraId="561B0A82" w14:textId="77777777" w:rsidR="00597B5E" w:rsidRPr="00B65F7F" w:rsidRDefault="00597B5E" w:rsidP="00793E49">
      <w:pPr>
        <w:pStyle w:val="ListBullet2"/>
      </w:pPr>
      <w:r>
        <w:t>b</w:t>
      </w:r>
      <w:r w:rsidRPr="00B65F7F">
        <w:t xml:space="preserve">uilding partnerships by investing in Māori health service providers and ‘supporting </w:t>
      </w:r>
      <w:r>
        <w:t>diversity</w:t>
      </w:r>
      <w:r w:rsidRPr="00B65F7F">
        <w:t xml:space="preserve"> and resilience in provider markets’</w:t>
      </w:r>
    </w:p>
    <w:p w14:paraId="666F041A" w14:textId="77777777" w:rsidR="00597B5E" w:rsidRPr="00B65F7F" w:rsidRDefault="00597B5E" w:rsidP="00793E49">
      <w:pPr>
        <w:pStyle w:val="ListBullet2"/>
      </w:pPr>
      <w:r>
        <w:t>i</w:t>
      </w:r>
      <w:r w:rsidRPr="00B65F7F">
        <w:t xml:space="preserve">nvesting in </w:t>
      </w:r>
      <w:r>
        <w:t>‘</w:t>
      </w:r>
      <w:r w:rsidRPr="00B65F7F">
        <w:t xml:space="preserve">active protection by building the capability of people, </w:t>
      </w:r>
      <w:r w:rsidRPr="00B65F7F">
        <w:rPr>
          <w:i/>
        </w:rPr>
        <w:t>whānau</w:t>
      </w:r>
      <w:r w:rsidRPr="00B65F7F">
        <w:t>, providers and communities, and influencing the conditions that contribute to health and wellbeing’</w:t>
      </w:r>
      <w:r>
        <w:t>.</w:t>
      </w:r>
    </w:p>
    <w:p w14:paraId="4BFD4258" w14:textId="77777777" w:rsidR="00597B5E" w:rsidRPr="00B65F7F" w:rsidRDefault="00597B5E" w:rsidP="00793E49">
      <w:pPr>
        <w:pStyle w:val="BodyText1stparaafterlist"/>
      </w:pPr>
      <w:r w:rsidRPr="00B65F7F">
        <w:t xml:space="preserve">The Ministry of Health continues to offer commissioning for Pae Ora as a foundation to assist Health New Zealand and the Māori Health Authority to inform their commissioning approach and support ‘the adoption of cross-government arrangements’ to support Pae Ora commissioning (Ministry of Health, 2023, </w:t>
      </w:r>
      <w:r>
        <w:t>p. </w:t>
      </w:r>
      <w:r w:rsidRPr="00B65F7F">
        <w:t xml:space="preserve">7). </w:t>
      </w:r>
    </w:p>
    <w:p w14:paraId="4DE70F32" w14:textId="77777777" w:rsidR="00597B5E" w:rsidRPr="00B65F7F" w:rsidRDefault="00597B5E" w:rsidP="00793E49">
      <w:pPr>
        <w:pStyle w:val="BodyText"/>
      </w:pPr>
      <w:r w:rsidRPr="00B65F7F">
        <w:t xml:space="preserve">In addition to undertaking all stages of the commissioning process, Pae Ora commissioning entities provide ‘governance and stewardship for overall service delivery’ (Ministry of Health, 2023, </w:t>
      </w:r>
      <w:r>
        <w:t>p. </w:t>
      </w:r>
      <w:r w:rsidRPr="00B65F7F">
        <w:t>15).</w:t>
      </w:r>
    </w:p>
    <w:p w14:paraId="343EDA37" w14:textId="77777777" w:rsidR="00597B5E" w:rsidRPr="00B65F7F" w:rsidRDefault="00597B5E" w:rsidP="00793E49">
      <w:pPr>
        <w:pStyle w:val="BodyText"/>
        <w:keepLines/>
      </w:pPr>
      <w:r w:rsidRPr="00B65F7F">
        <w:t xml:space="preserve">Pae Ora utilises multiple funding approaches in different healthcare settings to ensure </w:t>
      </w:r>
      <w:r w:rsidRPr="00F0334E">
        <w:rPr>
          <w:i/>
        </w:rPr>
        <w:t>whānau</w:t>
      </w:r>
      <w:r w:rsidRPr="00B65F7F">
        <w:t xml:space="preserve"> can access services and programs that will improve health and wellbeing as well as build community leadership and capacity (Ministry of Health, 2023). Notably, GPs and primary healthcare organisations will receive population-based capitation funding based on the number of enrolled patients in their catchment (Ministry of Health, 2023, </w:t>
      </w:r>
      <w:r>
        <w:t>p. </w:t>
      </w:r>
      <w:r w:rsidRPr="00B65F7F">
        <w:t xml:space="preserve">51). Other services utilise a mixed funding model or fee-for-service model based on the approach that ‘best suits the needs of service users and </w:t>
      </w:r>
      <w:r w:rsidRPr="00F0334E">
        <w:rPr>
          <w:i/>
        </w:rPr>
        <w:t>whānau</w:t>
      </w:r>
      <w:r w:rsidRPr="00B65F7F">
        <w:t xml:space="preserve">’, the service type and the market (Ministry of Health, 2023, </w:t>
      </w:r>
      <w:r>
        <w:t>p. </w:t>
      </w:r>
      <w:r w:rsidRPr="00B65F7F">
        <w:t>51).</w:t>
      </w:r>
    </w:p>
    <w:p w14:paraId="6A463CC8" w14:textId="77777777" w:rsidR="00597B5E" w:rsidRPr="00CE324A" w:rsidRDefault="00597B5E" w:rsidP="00E97C18">
      <w:pPr>
        <w:pStyle w:val="HeadingLevel4NoNumber"/>
      </w:pPr>
      <w:bookmarkStart w:id="494" w:name="_heading=h.ramhb5i45f1s" w:colFirst="0" w:colLast="0"/>
      <w:bookmarkEnd w:id="494"/>
      <w:r w:rsidRPr="00CE324A">
        <w:t>Benefits of current funding and commissioning approach</w:t>
      </w:r>
      <w:r>
        <w:t xml:space="preserve"> </w:t>
      </w:r>
      <w:r w:rsidRPr="00B65F7F">
        <w:t xml:space="preserve">(Ministry of Health, 2023, </w:t>
      </w:r>
      <w:r>
        <w:t>p. </w:t>
      </w:r>
      <w:r w:rsidRPr="00B65F7F">
        <w:t>24)</w:t>
      </w:r>
    </w:p>
    <w:p w14:paraId="2396A577" w14:textId="77777777" w:rsidR="00597B5E" w:rsidRPr="00B65F7F" w:rsidRDefault="00597B5E" w:rsidP="00793E49">
      <w:pPr>
        <w:pStyle w:val="ListBullet2"/>
      </w:pPr>
      <w:r w:rsidRPr="00B65F7F">
        <w:rPr>
          <w:i/>
        </w:rPr>
        <w:t>Whānau</w:t>
      </w:r>
      <w:r w:rsidRPr="00B65F7F">
        <w:t xml:space="preserve"> are engaged as ‘active players and decision-makers who direct their health and wellbeing journeys’</w:t>
      </w:r>
      <w:r>
        <w:t>.</w:t>
      </w:r>
    </w:p>
    <w:p w14:paraId="655693C8" w14:textId="77777777" w:rsidR="00597B5E" w:rsidRPr="00B65F7F" w:rsidRDefault="00597B5E" w:rsidP="00793E49">
      <w:pPr>
        <w:pStyle w:val="ListBullet2"/>
      </w:pPr>
      <w:r w:rsidRPr="00B65F7F">
        <w:t>Service providers enable commissioners to understand local needs to support continuous improvement</w:t>
      </w:r>
      <w:r>
        <w:t>.</w:t>
      </w:r>
    </w:p>
    <w:p w14:paraId="4570396C" w14:textId="77777777" w:rsidR="00597B5E" w:rsidRPr="00B65F7F" w:rsidRDefault="00597B5E" w:rsidP="00793E49">
      <w:pPr>
        <w:pStyle w:val="ListBullet2"/>
      </w:pPr>
      <w:r w:rsidRPr="00B65F7F">
        <w:t>‘Commissioners can work from a place of humility, seeking to understand how they can influence system conditions to enable innovation and devolve decision-making and resources</w:t>
      </w:r>
      <w:r>
        <w:t>.</w:t>
      </w:r>
      <w:r w:rsidRPr="00B65F7F">
        <w:t>’</w:t>
      </w:r>
    </w:p>
    <w:p w14:paraId="7D57AEEF" w14:textId="77777777" w:rsidR="00597B5E" w:rsidRPr="00B65F7F" w:rsidRDefault="00597B5E" w:rsidP="00793E49">
      <w:pPr>
        <w:pStyle w:val="ListBullet2"/>
      </w:pPr>
      <w:r w:rsidRPr="00B65F7F">
        <w:t>System stewards have an opportunity ‘to develop relationships, tools and processes that support accountability, performance monitoring, capability building, prioritisation and investment decisions’</w:t>
      </w:r>
      <w:r>
        <w:t>.</w:t>
      </w:r>
    </w:p>
    <w:p w14:paraId="27DF0AB3" w14:textId="77777777" w:rsidR="00597B5E" w:rsidRPr="00CE324A" w:rsidRDefault="00597B5E" w:rsidP="00E97C18">
      <w:pPr>
        <w:pStyle w:val="HeadingLevel4NoNumber"/>
      </w:pPr>
      <w:bookmarkStart w:id="495" w:name="_heading=h.brl4zew4fol" w:colFirst="0" w:colLast="0"/>
      <w:bookmarkEnd w:id="495"/>
      <w:r w:rsidRPr="00CE324A">
        <w:t>Drawbacks of current funding and commissioning approach</w:t>
      </w:r>
    </w:p>
    <w:p w14:paraId="32AA42E1" w14:textId="77777777" w:rsidR="00597B5E" w:rsidRPr="00B65F7F" w:rsidRDefault="00597B5E" w:rsidP="00793E49">
      <w:pPr>
        <w:pStyle w:val="BodyText"/>
      </w:pPr>
      <w:r w:rsidRPr="00B65F7F">
        <w:t>Pae Ora has only recently been implemented</w:t>
      </w:r>
      <w:r>
        <w:t>;</w:t>
      </w:r>
      <w:r w:rsidRPr="00B65F7F">
        <w:t xml:space="preserve"> drawbacks of its funding and commissioning approaches will be explored once evaluation and monitoring reports have been made available.</w:t>
      </w:r>
    </w:p>
    <w:p w14:paraId="48D48103" w14:textId="77777777" w:rsidR="00597B5E" w:rsidRPr="00CE324A" w:rsidRDefault="00597B5E" w:rsidP="00E97C18">
      <w:pPr>
        <w:pStyle w:val="HeadingLevel4NoNumber"/>
      </w:pPr>
      <w:bookmarkStart w:id="496" w:name="_heading=h.r6x1xt18dw2o" w:colFirst="0" w:colLast="0"/>
      <w:bookmarkEnd w:id="496"/>
      <w:r w:rsidRPr="00CE324A">
        <w:t>Reporting requirements</w:t>
      </w:r>
    </w:p>
    <w:p w14:paraId="1B6630AD" w14:textId="77777777" w:rsidR="00597B5E" w:rsidRPr="00B65F7F" w:rsidRDefault="00597B5E" w:rsidP="00793E49">
      <w:pPr>
        <w:pStyle w:val="BodyText"/>
      </w:pPr>
      <w:r w:rsidRPr="00B65F7F">
        <w:t xml:space="preserve">Reporting frameworks, templates and tools (i.e. narrative approaches, photos and videos and graphs) (Ministry of Health, 2023, </w:t>
      </w:r>
      <w:r>
        <w:t>p. </w:t>
      </w:r>
      <w:r w:rsidRPr="00B65F7F">
        <w:t>71) are co-designed with providers to ensure that measures can contribute to continuous improvement, including ensuring reporting frameworks and templates</w:t>
      </w:r>
      <w:r>
        <w:t xml:space="preserve"> </w:t>
      </w:r>
      <w:r w:rsidRPr="00B65F7F">
        <w:t xml:space="preserve">(Ministry of Health, 2023, </w:t>
      </w:r>
      <w:r>
        <w:t>p. </w:t>
      </w:r>
      <w:r w:rsidRPr="00B65F7F">
        <w:t>47):</w:t>
      </w:r>
    </w:p>
    <w:p w14:paraId="3A66157E" w14:textId="77777777" w:rsidR="00597B5E" w:rsidRPr="00B65F7F" w:rsidRDefault="00597B5E" w:rsidP="00292E56">
      <w:pPr>
        <w:pStyle w:val="ListBullet2"/>
      </w:pPr>
      <w:r>
        <w:t>o</w:t>
      </w:r>
      <w:r w:rsidRPr="00B65F7F">
        <w:t xml:space="preserve">nly collect data that is useful and use existing data where possible to reduce the burden on service providers </w:t>
      </w:r>
    </w:p>
    <w:p w14:paraId="795368E6" w14:textId="77777777" w:rsidR="00597B5E" w:rsidRPr="00B65F7F" w:rsidRDefault="00597B5E" w:rsidP="00292E56">
      <w:pPr>
        <w:pStyle w:val="ListBullet2"/>
      </w:pPr>
      <w:r>
        <w:t>a</w:t>
      </w:r>
      <w:r w:rsidRPr="00B65F7F">
        <w:t>re appropriate for the level of investment and risk</w:t>
      </w:r>
    </w:p>
    <w:p w14:paraId="0FEC2F80" w14:textId="77777777" w:rsidR="00597B5E" w:rsidRPr="00B65F7F" w:rsidRDefault="00597B5E" w:rsidP="00292E56">
      <w:pPr>
        <w:pStyle w:val="ListBullet2"/>
      </w:pPr>
      <w:r>
        <w:t>p</w:t>
      </w:r>
      <w:r w:rsidRPr="00B65F7F">
        <w:t>rovide performance and outcome data</w:t>
      </w:r>
    </w:p>
    <w:p w14:paraId="72E70336" w14:textId="77777777" w:rsidR="00597B5E" w:rsidRPr="00B65F7F" w:rsidRDefault="00597B5E" w:rsidP="00292E56">
      <w:pPr>
        <w:pStyle w:val="ListBullet2"/>
      </w:pPr>
      <w:r>
        <w:t>m</w:t>
      </w:r>
      <w:r w:rsidRPr="00B65F7F">
        <w:t>eet requirements that allow results to be compared across time, groups and locations</w:t>
      </w:r>
    </w:p>
    <w:p w14:paraId="237313EC" w14:textId="77777777" w:rsidR="00597B5E" w:rsidRPr="00B65F7F" w:rsidRDefault="00597B5E" w:rsidP="00292E56">
      <w:pPr>
        <w:pStyle w:val="ListBullet2"/>
      </w:pPr>
      <w:r>
        <w:t>l</w:t>
      </w:r>
      <w:r w:rsidRPr="00B65F7F">
        <w:t>ink outcomes to cost of delivery</w:t>
      </w:r>
    </w:p>
    <w:p w14:paraId="10D00E64" w14:textId="77777777" w:rsidR="00597B5E" w:rsidRPr="00245DF1" w:rsidRDefault="00597B5E" w:rsidP="00292E56">
      <w:pPr>
        <w:pStyle w:val="ListBullet2"/>
      </w:pPr>
      <w:r>
        <w:t>m</w:t>
      </w:r>
      <w:r w:rsidRPr="00B65F7F">
        <w:t>eet ethical and privacy requirements, including requirements for data sovereignty</w:t>
      </w:r>
      <w:r>
        <w:t>.</w:t>
      </w:r>
    </w:p>
    <w:p w14:paraId="18C4DB03" w14:textId="77777777" w:rsidR="00597B5E" w:rsidRPr="00B65F7F" w:rsidRDefault="00597B5E" w:rsidP="00E97C18">
      <w:pPr>
        <w:pStyle w:val="HeadingLevel3NoNumber"/>
      </w:pPr>
      <w:r w:rsidRPr="00B65F7F">
        <w:t>The New Zealand Public Health System (2001–2022)</w:t>
      </w:r>
    </w:p>
    <w:p w14:paraId="5312BCE8" w14:textId="77777777" w:rsidR="00597B5E" w:rsidRPr="00B65F7F" w:rsidRDefault="00597B5E" w:rsidP="00E97C18">
      <w:pPr>
        <w:pStyle w:val="HeadingLevel4NoNumber"/>
      </w:pPr>
      <w:r w:rsidRPr="00B65F7F">
        <w:t>Background</w:t>
      </w:r>
    </w:p>
    <w:p w14:paraId="10E600AD" w14:textId="77777777" w:rsidR="00597B5E" w:rsidRPr="00B65F7F" w:rsidRDefault="00597B5E" w:rsidP="00793E49">
      <w:pPr>
        <w:pStyle w:val="BodyText"/>
      </w:pPr>
      <w:r w:rsidRPr="00B65F7F">
        <w:t xml:space="preserve">The population of New Zealand (Aotearoa) is just over 5.1 million, including approximately 875,000 Māori </w:t>
      </w:r>
      <w:r w:rsidRPr="005A2000">
        <w:t>(Stats NZ, 2022a; 2022b).</w:t>
      </w:r>
      <w:r w:rsidRPr="00B65F7F">
        <w:t xml:space="preserve"> The geographic distribution of the Māori population has remained relatively consistent and concentrated in the upper and central North Island (</w:t>
      </w:r>
      <w:r w:rsidRPr="005A2000">
        <w:t>Environmental</w:t>
      </w:r>
      <w:r w:rsidRPr="00B65F7F">
        <w:t xml:space="preserve"> Health Intelligence New Zealand, 2020; </w:t>
      </w:r>
      <w:r w:rsidRPr="005A2000">
        <w:t>Wereta</w:t>
      </w:r>
      <w:r w:rsidRPr="00B65F7F">
        <w:t xml:space="preserve">, 1994, </w:t>
      </w:r>
      <w:r>
        <w:t>p. </w:t>
      </w:r>
      <w:r w:rsidRPr="00B65F7F">
        <w:t>8).</w:t>
      </w:r>
    </w:p>
    <w:p w14:paraId="62B4B201" w14:textId="77777777" w:rsidR="00597B5E" w:rsidRPr="00B65F7F" w:rsidRDefault="00597B5E" w:rsidP="00793E49">
      <w:pPr>
        <w:pStyle w:val="BodyText"/>
      </w:pPr>
      <w:r w:rsidRPr="00B65F7F">
        <w:t xml:space="preserve">In July 2022, New Zealand’s healthcare system was reformed, and a </w:t>
      </w:r>
      <w:r>
        <w:t>2</w:t>
      </w:r>
      <w:r w:rsidRPr="00B65F7F">
        <w:t xml:space="preserve">-year transition plan was unveiled to bring forward New Zealand’s new health system, Pae Ora (Healthy Futures). As such, the next </w:t>
      </w:r>
      <w:r>
        <w:t>2</w:t>
      </w:r>
      <w:r w:rsidRPr="00B65F7F">
        <w:t xml:space="preserve"> models will provide brief overviews of New Zealand’s previous healthcare system and funding arrangements and the new system and arrangements in relation to Māori health and wellbeing.</w:t>
      </w:r>
    </w:p>
    <w:p w14:paraId="491DC34E" w14:textId="2EB6226A" w:rsidR="00597B5E" w:rsidRPr="00B65F7F" w:rsidRDefault="00B84059" w:rsidP="00793E49">
      <w:pPr>
        <w:pStyle w:val="BodyText"/>
        <w:keepLines/>
      </w:pPr>
      <w:r>
        <w:fldChar w:fldCharType="begin"/>
      </w:r>
      <w:r>
        <w:instrText xml:space="preserve"> REF _Ref152083321 \h </w:instrText>
      </w:r>
      <w:r>
        <w:fldChar w:fldCharType="separate"/>
      </w:r>
      <w:r w:rsidR="00934D5E">
        <w:t>Table A9.</w:t>
      </w:r>
      <w:r w:rsidR="00934D5E">
        <w:rPr>
          <w:noProof/>
        </w:rPr>
        <w:t>20</w:t>
      </w:r>
      <w:r>
        <w:fldChar w:fldCharType="end"/>
      </w:r>
      <w:r w:rsidR="00597B5E" w:rsidRPr="00B65F7F">
        <w:t xml:space="preserve"> identifies several New Zealand-based examples that demonstrate many of the guiding principles that have been considered by the literature.</w:t>
      </w:r>
    </w:p>
    <w:p w14:paraId="15DA533E" w14:textId="0AAC4E69" w:rsidR="00597B5E" w:rsidRPr="00B65F7F" w:rsidRDefault="00245DF1" w:rsidP="00245DF1">
      <w:pPr>
        <w:pStyle w:val="CaptionTable"/>
        <w:rPr>
          <w:rFonts w:eastAsia="Calibri"/>
        </w:rPr>
      </w:pPr>
      <w:bookmarkStart w:id="497" w:name="_heading=h.3dhjn8m" w:colFirst="0" w:colLast="0"/>
      <w:bookmarkStart w:id="498" w:name="_heading=h.1smtxgf" w:colFirst="0" w:colLast="0"/>
      <w:bookmarkStart w:id="499" w:name="_Ref152083321"/>
      <w:bookmarkStart w:id="500" w:name="_Toc145604969"/>
      <w:bookmarkStart w:id="501" w:name="_Toc145617841"/>
      <w:bookmarkStart w:id="502" w:name="_Toc156932113"/>
      <w:bookmarkEnd w:id="497"/>
      <w:bookmarkEnd w:id="498"/>
      <w:r>
        <w:t>Table A9.</w:t>
      </w:r>
      <w:r>
        <w:fldChar w:fldCharType="begin"/>
      </w:r>
      <w:r>
        <w:instrText xml:space="preserve"> SEQ Table_A9 \* ARABIC </w:instrText>
      </w:r>
      <w:r>
        <w:fldChar w:fldCharType="separate"/>
      </w:r>
      <w:r w:rsidR="00934D5E">
        <w:rPr>
          <w:noProof/>
        </w:rPr>
        <w:t>20</w:t>
      </w:r>
      <w:r>
        <w:fldChar w:fldCharType="end"/>
      </w:r>
      <w:bookmarkEnd w:id="499"/>
      <w:r w:rsidR="00597B5E" w:rsidRPr="00B65F7F">
        <w:rPr>
          <w:rFonts w:eastAsia="Calibri"/>
        </w:rPr>
        <w:t>: The New Zealand Public Health System (2001–2022) alignment with guiding principles</w:t>
      </w:r>
      <w:bookmarkEnd w:id="500"/>
      <w:bookmarkEnd w:id="501"/>
      <w:bookmarkEnd w:id="502"/>
    </w:p>
    <w:tbl>
      <w:tblPr>
        <w:tblStyle w:val="Newtableforresport"/>
        <w:tblW w:w="9618" w:type="dxa"/>
        <w:tblInd w:w="10" w:type="dxa"/>
        <w:tblLayout w:type="fixed"/>
        <w:tblLook w:val="0420" w:firstRow="1" w:lastRow="0" w:firstColumn="0" w:lastColumn="0" w:noHBand="0" w:noVBand="1"/>
        <w:tblCaption w:val="Table A9.20: The New Zealand Public Health System (2001–2022) alignment with guiding principles"/>
        <w:tblDescription w:val="The table describes how the guiding principles of funding transition align with the New Zealand Public Health System (2001–2022). The first column lists the guiding principles of funding transition. The second column provides a description of how the New Zealand Public Health System (2001–2022) aligns with the relevant guiding principle in the first column. "/>
      </w:tblPr>
      <w:tblGrid>
        <w:gridCol w:w="2967"/>
        <w:gridCol w:w="6651"/>
      </w:tblGrid>
      <w:tr w:rsidR="00597B5E" w:rsidRPr="0033162B" w14:paraId="2E0103D7" w14:textId="77777777" w:rsidTr="009D4C69">
        <w:trPr>
          <w:cnfStyle w:val="100000000000" w:firstRow="1" w:lastRow="0" w:firstColumn="0" w:lastColumn="0" w:oddVBand="0" w:evenVBand="0" w:oddHBand="0" w:evenHBand="0" w:firstRowFirstColumn="0" w:firstRowLastColumn="0" w:lastRowFirstColumn="0" w:lastRowLastColumn="0"/>
          <w:tblHeader/>
        </w:trPr>
        <w:tc>
          <w:tcPr>
            <w:tcW w:w="2967" w:type="dxa"/>
          </w:tcPr>
          <w:p w14:paraId="73B82512" w14:textId="77777777" w:rsidR="00597B5E" w:rsidRPr="0033162B" w:rsidRDefault="00597B5E" w:rsidP="00024E8D">
            <w:pPr>
              <w:pStyle w:val="TableHeading"/>
              <w:rPr>
                <w:rFonts w:eastAsia="Calibri"/>
                <w:b w:val="0"/>
              </w:rPr>
            </w:pPr>
            <w:r w:rsidRPr="0033162B">
              <w:rPr>
                <w:rFonts w:eastAsia="Calibri"/>
              </w:rPr>
              <w:t>Guiding principle</w:t>
            </w:r>
          </w:p>
        </w:tc>
        <w:tc>
          <w:tcPr>
            <w:tcW w:w="6651" w:type="dxa"/>
          </w:tcPr>
          <w:p w14:paraId="7A73228A" w14:textId="77777777" w:rsidR="00597B5E" w:rsidRPr="0033162B" w:rsidRDefault="00597B5E" w:rsidP="00024E8D">
            <w:pPr>
              <w:pStyle w:val="TableHeading"/>
              <w:rPr>
                <w:rFonts w:eastAsia="Calibri"/>
                <w:b w:val="0"/>
              </w:rPr>
            </w:pPr>
            <w:r w:rsidRPr="0033162B">
              <w:rPr>
                <w:rFonts w:eastAsia="Calibri"/>
              </w:rPr>
              <w:t>Description</w:t>
            </w:r>
          </w:p>
        </w:tc>
      </w:tr>
      <w:tr w:rsidR="00597B5E" w:rsidRPr="00B65F7F" w14:paraId="19FB3302" w14:textId="77777777" w:rsidTr="006F6DD1">
        <w:trPr>
          <w:cnfStyle w:val="000000100000" w:firstRow="0" w:lastRow="0" w:firstColumn="0" w:lastColumn="0" w:oddVBand="0" w:evenVBand="0" w:oddHBand="1" w:evenHBand="0" w:firstRowFirstColumn="0" w:firstRowLastColumn="0" w:lastRowFirstColumn="0" w:lastRowLastColumn="0"/>
          <w:trHeight w:val="420"/>
        </w:trPr>
        <w:tc>
          <w:tcPr>
            <w:tcW w:w="2967" w:type="dxa"/>
          </w:tcPr>
          <w:p w14:paraId="77FD24BF" w14:textId="77777777" w:rsidR="00597B5E" w:rsidRPr="00B65F7F" w:rsidRDefault="00597B5E" w:rsidP="00793E49">
            <w:pPr>
              <w:pStyle w:val="TableText"/>
              <w:rPr>
                <w:rFonts w:eastAsia="Calibri"/>
              </w:rPr>
            </w:pPr>
            <w:r w:rsidRPr="00B65F7F">
              <w:rPr>
                <w:rFonts w:eastAsia="Calibri"/>
                <w:highlight w:val="white"/>
              </w:rPr>
              <w:t>Indigenous self-determination</w:t>
            </w:r>
          </w:p>
        </w:tc>
        <w:tc>
          <w:tcPr>
            <w:tcW w:w="6651" w:type="dxa"/>
            <w:vMerge w:val="restart"/>
          </w:tcPr>
          <w:p w14:paraId="4577A4D4" w14:textId="77777777" w:rsidR="00597B5E" w:rsidRPr="00B65F7F" w:rsidRDefault="00597B5E" w:rsidP="00793E49">
            <w:pPr>
              <w:pStyle w:val="TableText"/>
              <w:rPr>
                <w:rFonts w:eastAsia="Calibri"/>
              </w:rPr>
            </w:pPr>
            <w:r w:rsidRPr="00B65F7F">
              <w:rPr>
                <w:rFonts w:eastAsia="Calibri"/>
                <w:highlight w:val="white"/>
              </w:rPr>
              <w:t xml:space="preserve">Section 4 of the </w:t>
            </w:r>
            <w:r w:rsidRPr="00B65F7F">
              <w:rPr>
                <w:rFonts w:eastAsia="Calibri"/>
                <w:i/>
                <w:highlight w:val="white"/>
              </w:rPr>
              <w:t>New Zealand Public Health and Disability Act 2000</w:t>
            </w:r>
            <w:r w:rsidRPr="00B65F7F">
              <w:rPr>
                <w:rFonts w:eastAsia="Calibri"/>
                <w:highlight w:val="white"/>
              </w:rPr>
              <w:t xml:space="preserve"> committed the New Zealand Government to embedding multiple requirements to ensure Māori peoples are represented in healthcare planning and decision-making processes through representation on District Health Board governing boards and advisory committees (</w:t>
            </w:r>
            <w:r w:rsidRPr="005A2000">
              <w:rPr>
                <w:rFonts w:eastAsia="Calibri"/>
              </w:rPr>
              <w:t xml:space="preserve">Halseth </w:t>
            </w:r>
            <w:r w:rsidRPr="00B65F7F">
              <w:rPr>
                <w:rFonts w:eastAsia="Calibri"/>
                <w:highlight w:val="white"/>
              </w:rPr>
              <w:t xml:space="preserve">&amp; Murdock, 2020, </w:t>
            </w:r>
            <w:r>
              <w:rPr>
                <w:rFonts w:eastAsia="Calibri"/>
                <w:highlight w:val="white"/>
              </w:rPr>
              <w:t>p. </w:t>
            </w:r>
            <w:r w:rsidRPr="00B65F7F">
              <w:rPr>
                <w:rFonts w:eastAsia="Calibri"/>
                <w:highlight w:val="white"/>
              </w:rPr>
              <w:t xml:space="preserve">34; </w:t>
            </w:r>
            <w:r w:rsidRPr="005A2000">
              <w:rPr>
                <w:rFonts w:eastAsia="Calibri"/>
              </w:rPr>
              <w:t xml:space="preserve">Parliamentary </w:t>
            </w:r>
            <w:r w:rsidRPr="00B65F7F">
              <w:rPr>
                <w:rFonts w:eastAsia="Calibri"/>
                <w:highlight w:val="white"/>
              </w:rPr>
              <w:t>Counsel Office, 2022). </w:t>
            </w:r>
          </w:p>
        </w:tc>
      </w:tr>
      <w:tr w:rsidR="00597B5E" w:rsidRPr="00B65F7F" w14:paraId="4CE9F248" w14:textId="77777777" w:rsidTr="006F6DD1">
        <w:trPr>
          <w:cnfStyle w:val="000000010000" w:firstRow="0" w:lastRow="0" w:firstColumn="0" w:lastColumn="0" w:oddVBand="0" w:evenVBand="0" w:oddHBand="0" w:evenHBand="1" w:firstRowFirstColumn="0" w:firstRowLastColumn="0" w:lastRowFirstColumn="0" w:lastRowLastColumn="0"/>
          <w:trHeight w:val="420"/>
        </w:trPr>
        <w:tc>
          <w:tcPr>
            <w:tcW w:w="2967" w:type="dxa"/>
          </w:tcPr>
          <w:p w14:paraId="54E08CF9" w14:textId="77777777" w:rsidR="00597B5E" w:rsidRPr="00B65F7F" w:rsidRDefault="00597B5E" w:rsidP="00793E49">
            <w:pPr>
              <w:pStyle w:val="TableText"/>
              <w:rPr>
                <w:rFonts w:eastAsia="Calibri"/>
              </w:rPr>
            </w:pPr>
            <w:r w:rsidRPr="00B65F7F">
              <w:rPr>
                <w:rFonts w:eastAsia="Calibri"/>
                <w:highlight w:val="white"/>
              </w:rPr>
              <w:t>Indigenous governance and leadership</w:t>
            </w:r>
          </w:p>
        </w:tc>
        <w:tc>
          <w:tcPr>
            <w:tcW w:w="6651" w:type="dxa"/>
            <w:vMerge/>
          </w:tcPr>
          <w:p w14:paraId="458CFD9B" w14:textId="77777777" w:rsidR="00597B5E" w:rsidRPr="00B65F7F" w:rsidRDefault="00597B5E" w:rsidP="00793E49">
            <w:pPr>
              <w:pStyle w:val="TableText"/>
              <w:rPr>
                <w:rFonts w:eastAsia="Calibri"/>
              </w:rPr>
            </w:pPr>
          </w:p>
        </w:tc>
      </w:tr>
      <w:tr w:rsidR="00597B5E" w:rsidRPr="00B65F7F" w14:paraId="349D6FF1" w14:textId="77777777" w:rsidTr="006F6DD1">
        <w:trPr>
          <w:cnfStyle w:val="000000100000" w:firstRow="0" w:lastRow="0" w:firstColumn="0" w:lastColumn="0" w:oddVBand="0" w:evenVBand="0" w:oddHBand="1" w:evenHBand="0" w:firstRowFirstColumn="0" w:firstRowLastColumn="0" w:lastRowFirstColumn="0" w:lastRowLastColumn="0"/>
          <w:trHeight w:val="420"/>
        </w:trPr>
        <w:tc>
          <w:tcPr>
            <w:tcW w:w="2967" w:type="dxa"/>
          </w:tcPr>
          <w:p w14:paraId="46009F3B" w14:textId="77777777" w:rsidR="00597B5E" w:rsidRPr="00B65F7F" w:rsidRDefault="00597B5E" w:rsidP="00793E49">
            <w:pPr>
              <w:pStyle w:val="TableText"/>
              <w:rPr>
                <w:rFonts w:eastAsia="Calibri"/>
              </w:rPr>
            </w:pPr>
            <w:r w:rsidRPr="00B65F7F">
              <w:rPr>
                <w:rFonts w:eastAsia="Calibri"/>
                <w:highlight w:val="white"/>
              </w:rPr>
              <w:t>Holistic understandings of Indigenous health and wellbeing</w:t>
            </w:r>
          </w:p>
        </w:tc>
        <w:tc>
          <w:tcPr>
            <w:tcW w:w="6651" w:type="dxa"/>
            <w:vMerge w:val="restart"/>
          </w:tcPr>
          <w:p w14:paraId="20E96391" w14:textId="77777777" w:rsidR="00597B5E" w:rsidRPr="00B65F7F" w:rsidRDefault="00597B5E" w:rsidP="00793E49">
            <w:pPr>
              <w:pStyle w:val="TableText"/>
              <w:rPr>
                <w:rFonts w:eastAsia="Calibri"/>
              </w:rPr>
            </w:pPr>
            <w:r w:rsidRPr="00B65F7F">
              <w:rPr>
                <w:rFonts w:eastAsia="Calibri"/>
                <w:highlight w:val="white"/>
              </w:rPr>
              <w:t xml:space="preserve">Māori health providers (a Māori-specific branch of Primary Health Organisations [PHOs]) deliver health services based on Māori kaupapa and delivery frameworks through a predominantly Māori health workforce, thereby enabling the provision of culturally safe and responsive healthcare (Halseth &amp; Murdock, 2020, </w:t>
            </w:r>
            <w:r>
              <w:rPr>
                <w:rFonts w:eastAsia="Calibri"/>
                <w:highlight w:val="white"/>
              </w:rPr>
              <w:t>p. </w:t>
            </w:r>
            <w:r w:rsidRPr="00B65F7F">
              <w:rPr>
                <w:rFonts w:eastAsia="Calibri"/>
                <w:highlight w:val="white"/>
              </w:rPr>
              <w:t xml:space="preserve">35; </w:t>
            </w:r>
            <w:r w:rsidRPr="005A2000">
              <w:rPr>
                <w:rFonts w:eastAsia="Calibri"/>
              </w:rPr>
              <w:t xml:space="preserve">Ministry </w:t>
            </w:r>
            <w:r w:rsidRPr="00B65F7F">
              <w:rPr>
                <w:rFonts w:eastAsia="Calibri"/>
                <w:highlight w:val="white"/>
              </w:rPr>
              <w:t>of Health, 2014). </w:t>
            </w:r>
          </w:p>
        </w:tc>
      </w:tr>
      <w:tr w:rsidR="00597B5E" w:rsidRPr="00B65F7F" w14:paraId="6258CA8F" w14:textId="77777777" w:rsidTr="006F6DD1">
        <w:trPr>
          <w:cnfStyle w:val="000000010000" w:firstRow="0" w:lastRow="0" w:firstColumn="0" w:lastColumn="0" w:oddVBand="0" w:evenVBand="0" w:oddHBand="0" w:evenHBand="1" w:firstRowFirstColumn="0" w:firstRowLastColumn="0" w:lastRowFirstColumn="0" w:lastRowLastColumn="0"/>
          <w:trHeight w:val="420"/>
        </w:trPr>
        <w:tc>
          <w:tcPr>
            <w:tcW w:w="2967" w:type="dxa"/>
          </w:tcPr>
          <w:p w14:paraId="16DC4838" w14:textId="77777777" w:rsidR="00597B5E" w:rsidRPr="00B65F7F" w:rsidRDefault="00597B5E" w:rsidP="00793E49">
            <w:pPr>
              <w:pStyle w:val="TableText"/>
              <w:rPr>
                <w:rFonts w:eastAsia="Calibri"/>
              </w:rPr>
            </w:pPr>
            <w:r w:rsidRPr="00B65F7F">
              <w:rPr>
                <w:rFonts w:eastAsia="Calibri"/>
                <w:highlight w:val="white"/>
              </w:rPr>
              <w:t>Culturally safe and responsive</w:t>
            </w:r>
          </w:p>
        </w:tc>
        <w:tc>
          <w:tcPr>
            <w:tcW w:w="6651" w:type="dxa"/>
            <w:vMerge/>
          </w:tcPr>
          <w:p w14:paraId="1BCB53C1" w14:textId="77777777" w:rsidR="00597B5E" w:rsidRPr="00B65F7F" w:rsidRDefault="00597B5E" w:rsidP="00793E49">
            <w:pPr>
              <w:pStyle w:val="TableText"/>
              <w:rPr>
                <w:rFonts w:eastAsia="Calibri"/>
              </w:rPr>
            </w:pPr>
          </w:p>
        </w:tc>
      </w:tr>
      <w:tr w:rsidR="00597B5E" w:rsidRPr="00B65F7F" w14:paraId="0E50AF4D" w14:textId="77777777" w:rsidTr="006F6DD1">
        <w:trPr>
          <w:cnfStyle w:val="000000100000" w:firstRow="0" w:lastRow="0" w:firstColumn="0" w:lastColumn="0" w:oddVBand="0" w:evenVBand="0" w:oddHBand="1" w:evenHBand="0" w:firstRowFirstColumn="0" w:firstRowLastColumn="0" w:lastRowFirstColumn="0" w:lastRowLastColumn="0"/>
        </w:trPr>
        <w:tc>
          <w:tcPr>
            <w:tcW w:w="2967" w:type="dxa"/>
          </w:tcPr>
          <w:p w14:paraId="035FB9AD" w14:textId="77777777" w:rsidR="00597B5E" w:rsidRPr="00B65F7F" w:rsidRDefault="00597B5E" w:rsidP="00793E49">
            <w:pPr>
              <w:pStyle w:val="TableText"/>
              <w:rPr>
                <w:rFonts w:eastAsia="Calibri"/>
              </w:rPr>
            </w:pPr>
            <w:r w:rsidRPr="00B65F7F">
              <w:rPr>
                <w:rFonts w:eastAsia="Calibri"/>
                <w:highlight w:val="white"/>
              </w:rPr>
              <w:t>Systems-based approach</w:t>
            </w:r>
          </w:p>
        </w:tc>
        <w:tc>
          <w:tcPr>
            <w:tcW w:w="6651" w:type="dxa"/>
          </w:tcPr>
          <w:p w14:paraId="0A62E0A4" w14:textId="77777777" w:rsidR="00597B5E" w:rsidRPr="00B65F7F" w:rsidRDefault="00597B5E" w:rsidP="00793E49">
            <w:pPr>
              <w:pStyle w:val="TableText"/>
              <w:rPr>
                <w:rFonts w:eastAsia="Calibri"/>
              </w:rPr>
            </w:pPr>
            <w:r w:rsidRPr="00B65F7F">
              <w:rPr>
                <w:rFonts w:eastAsia="Calibri"/>
                <w:highlight w:val="white"/>
              </w:rPr>
              <w:t>The role of PHOs was to ensure that health service users are connected to a full range of social and health-related services to ensure a seamless continuity of care. </w:t>
            </w:r>
          </w:p>
        </w:tc>
      </w:tr>
    </w:tbl>
    <w:p w14:paraId="6A308CD6" w14:textId="77777777" w:rsidR="00597B5E" w:rsidRPr="00B65F7F" w:rsidRDefault="00597B5E" w:rsidP="00E97C18">
      <w:pPr>
        <w:pStyle w:val="HeadingLevel4NoNumber"/>
      </w:pPr>
      <w:r w:rsidRPr="00B65F7F">
        <w:t>Overview</w:t>
      </w:r>
    </w:p>
    <w:p w14:paraId="6397E52D" w14:textId="4EC15230" w:rsidR="00597B5E" w:rsidRPr="00B65F7F" w:rsidRDefault="00597B5E" w:rsidP="00793E49">
      <w:pPr>
        <w:pStyle w:val="BodyText"/>
      </w:pPr>
      <w:r w:rsidRPr="00B65F7F">
        <w:t xml:space="preserve">Prior to July 2022, the New Zealand Government’s Ministry of Health allocated funding to </w:t>
      </w:r>
      <w:r>
        <w:t>District Health Boards (</w:t>
      </w:r>
      <w:r w:rsidRPr="00B65F7F">
        <w:t>DHBs</w:t>
      </w:r>
      <w:r>
        <w:t>)</w:t>
      </w:r>
      <w:r w:rsidRPr="00B65F7F">
        <w:t xml:space="preserve"> to administer and provide health services (Halseth &amp; Murdock, 2020, </w:t>
      </w:r>
      <w:r>
        <w:t>p. </w:t>
      </w:r>
      <w:r w:rsidRPr="00B65F7F">
        <w:t xml:space="preserve">35). DHBs commissioned and funded </w:t>
      </w:r>
      <w:r w:rsidRPr="00565090">
        <w:t xml:space="preserve">Primary Health Organisations </w:t>
      </w:r>
      <w:r>
        <w:t>(</w:t>
      </w:r>
      <w:r w:rsidRPr="00B65F7F">
        <w:t>PHOs</w:t>
      </w:r>
      <w:r>
        <w:t>)</w:t>
      </w:r>
      <w:r w:rsidRPr="00B65F7F">
        <w:t xml:space="preserve"> to undertake primary health initiatives through a ‘holistic approach … that emphasizes community development and intersectoral collaborations at both individual and population levels’ and ensures a seamless continuity of care (Halseth &amp; Murdock, 2020, </w:t>
      </w:r>
      <w:r>
        <w:t>p. </w:t>
      </w:r>
      <w:r w:rsidRPr="00B65F7F">
        <w:t>35). PHOs provided primary healthcare services to people enrolled within one of 30 PHOs funded by Health New Zealand (</w:t>
      </w:r>
      <w:r w:rsidRPr="005A2000">
        <w:t>Health</w:t>
      </w:r>
      <w:r w:rsidRPr="00B65F7F">
        <w:t xml:space="preserve"> New Zealand, </w:t>
      </w:r>
      <w:r w:rsidR="005350B2">
        <w:t>2023</w:t>
      </w:r>
      <w:r w:rsidRPr="00B65F7F">
        <w:t>)</w:t>
      </w:r>
      <w:r w:rsidR="00784EDC">
        <w:t xml:space="preserve"> (</w:t>
      </w:r>
      <w:r w:rsidR="00784EDC">
        <w:fldChar w:fldCharType="begin"/>
      </w:r>
      <w:r w:rsidR="00784EDC">
        <w:instrText xml:space="preserve"> REF _Ref152083408 \h </w:instrText>
      </w:r>
      <w:r w:rsidR="00784EDC">
        <w:fldChar w:fldCharType="separate"/>
      </w:r>
      <w:r w:rsidR="00934D5E">
        <w:t>Table A9.</w:t>
      </w:r>
      <w:r w:rsidR="00934D5E">
        <w:rPr>
          <w:noProof/>
        </w:rPr>
        <w:t>21</w:t>
      </w:r>
      <w:r w:rsidR="00784EDC">
        <w:fldChar w:fldCharType="end"/>
      </w:r>
      <w:r w:rsidR="00784EDC">
        <w:t>)</w:t>
      </w:r>
      <w:r w:rsidRPr="00B65F7F">
        <w:t xml:space="preserve">. New Zealand health service users who were enrolled in a PHO received some benefits associated with belonging to a PHO, including reduced fees (Health New Zealand, </w:t>
      </w:r>
      <w:r w:rsidR="005350B2">
        <w:t>2023</w:t>
      </w:r>
      <w:r w:rsidRPr="00B65F7F">
        <w:t>).</w:t>
      </w:r>
    </w:p>
    <w:p w14:paraId="553FDDB7" w14:textId="1DA53006" w:rsidR="00597B5E" w:rsidRPr="00B65F7F" w:rsidRDefault="00245DF1" w:rsidP="00245DF1">
      <w:pPr>
        <w:pStyle w:val="CaptionTable"/>
        <w:rPr>
          <w:rFonts w:eastAsia="Calibri"/>
        </w:rPr>
      </w:pPr>
      <w:bookmarkStart w:id="503" w:name="_heading=h.4cmhg48" w:colFirst="0" w:colLast="0"/>
      <w:bookmarkStart w:id="504" w:name="_Ref152083408"/>
      <w:bookmarkStart w:id="505" w:name="_Toc145604970"/>
      <w:bookmarkStart w:id="506" w:name="_Toc145617842"/>
      <w:bookmarkStart w:id="507" w:name="_Toc156932114"/>
      <w:bookmarkEnd w:id="503"/>
      <w:r>
        <w:t>Table A9.</w:t>
      </w:r>
      <w:r>
        <w:fldChar w:fldCharType="begin"/>
      </w:r>
      <w:r>
        <w:instrText xml:space="preserve"> SEQ Table_A9 \* ARABIC </w:instrText>
      </w:r>
      <w:r>
        <w:fldChar w:fldCharType="separate"/>
      </w:r>
      <w:r w:rsidR="00934D5E">
        <w:rPr>
          <w:noProof/>
        </w:rPr>
        <w:t>21</w:t>
      </w:r>
      <w:r>
        <w:fldChar w:fldCharType="end"/>
      </w:r>
      <w:bookmarkEnd w:id="504"/>
      <w:r w:rsidR="00597B5E">
        <w:t>:</w:t>
      </w:r>
      <w:r>
        <w:t xml:space="preserve"> </w:t>
      </w:r>
      <w:r w:rsidR="00597B5E" w:rsidRPr="00B65F7F">
        <w:rPr>
          <w:rFonts w:eastAsia="Calibri"/>
        </w:rPr>
        <w:t xml:space="preserve">Enrolment as </w:t>
      </w:r>
      <w:r w:rsidR="002B46E5" w:rsidRPr="00B65F7F">
        <w:rPr>
          <w:rFonts w:eastAsia="Calibri"/>
        </w:rPr>
        <w:t>of</w:t>
      </w:r>
      <w:r w:rsidR="00597B5E" w:rsidRPr="00B65F7F">
        <w:rPr>
          <w:rFonts w:eastAsia="Calibri"/>
        </w:rPr>
        <w:t xml:space="preserve"> October 2022, by ethnicity</w:t>
      </w:r>
      <w:bookmarkEnd w:id="505"/>
      <w:bookmarkEnd w:id="506"/>
      <w:bookmarkEnd w:id="507"/>
    </w:p>
    <w:tbl>
      <w:tblPr>
        <w:tblStyle w:val="Newtableforresport"/>
        <w:tblW w:w="4167" w:type="dxa"/>
        <w:jc w:val="center"/>
        <w:tblInd w:w="0" w:type="dxa"/>
        <w:tblLayout w:type="fixed"/>
        <w:tblLook w:val="0420" w:firstRow="1" w:lastRow="0" w:firstColumn="0" w:lastColumn="0" w:noHBand="0" w:noVBand="1"/>
        <w:tblCaption w:val="Table A9.21: Enrolment as of October 2022, by ethnicity"/>
        <w:tblDescription w:val="The table shows the percentage of service users who were enrolled in a Primary Health Organisation (PHO) by ethnicity. There are only two rows in this table, including a header row and a percentages row. The first column is a label for the second row (percentages) and contains no other information. The second column lists the percentage of enrolment in PHOs for Māori people. The third column lists the percentage of enrolment in PHOs for Pacific people. The fourth column lists the percentage of enrolment in PHOs for other people outside the first two ethnic groups described in columns two and three. The fifth column describes the total enrolment of all people in PHOs. "/>
      </w:tblPr>
      <w:tblGrid>
        <w:gridCol w:w="1227"/>
        <w:gridCol w:w="752"/>
        <w:gridCol w:w="788"/>
        <w:gridCol w:w="733"/>
        <w:gridCol w:w="667"/>
      </w:tblGrid>
      <w:tr w:rsidR="00597B5E" w:rsidRPr="007752E1" w14:paraId="54AD3820" w14:textId="77777777" w:rsidTr="009D4C69">
        <w:trPr>
          <w:cnfStyle w:val="100000000000" w:firstRow="1" w:lastRow="0" w:firstColumn="0" w:lastColumn="0" w:oddVBand="0" w:evenVBand="0" w:oddHBand="0" w:evenHBand="0" w:firstRowFirstColumn="0" w:firstRowLastColumn="0" w:lastRowFirstColumn="0" w:lastRowLastColumn="0"/>
          <w:tblHeader/>
          <w:jc w:val="center"/>
        </w:trPr>
        <w:tc>
          <w:tcPr>
            <w:tcW w:w="1227" w:type="dxa"/>
            <w:tcBorders>
              <w:top w:val="nil"/>
            </w:tcBorders>
            <w:shd w:val="clear" w:color="auto" w:fill="auto"/>
          </w:tcPr>
          <w:p w14:paraId="0E29A4AD" w14:textId="77777777" w:rsidR="00597B5E" w:rsidRPr="007752E1" w:rsidRDefault="00597B5E" w:rsidP="006F6DD1">
            <w:pPr>
              <w:pStyle w:val="TableHeading"/>
              <w:keepNext/>
              <w:rPr>
                <w:rFonts w:eastAsia="Calibri"/>
              </w:rPr>
            </w:pPr>
          </w:p>
        </w:tc>
        <w:tc>
          <w:tcPr>
            <w:tcW w:w="752" w:type="dxa"/>
          </w:tcPr>
          <w:p w14:paraId="6E9F499A" w14:textId="77777777" w:rsidR="00597B5E" w:rsidRPr="009D4C69" w:rsidRDefault="00597B5E" w:rsidP="00024E8D">
            <w:pPr>
              <w:pStyle w:val="TableHeading"/>
              <w:rPr>
                <w:rFonts w:eastAsia="Calibri"/>
                <w:b w:val="0"/>
              </w:rPr>
            </w:pPr>
            <w:r w:rsidRPr="009D4C69">
              <w:rPr>
                <w:rFonts w:eastAsia="Calibri"/>
              </w:rPr>
              <w:t>Māori</w:t>
            </w:r>
          </w:p>
        </w:tc>
        <w:tc>
          <w:tcPr>
            <w:tcW w:w="788" w:type="dxa"/>
          </w:tcPr>
          <w:p w14:paraId="6FD78118" w14:textId="77777777" w:rsidR="00597B5E" w:rsidRPr="009D4C69" w:rsidRDefault="00597B5E" w:rsidP="00024E8D">
            <w:pPr>
              <w:pStyle w:val="TableHeading"/>
              <w:rPr>
                <w:rFonts w:eastAsia="Calibri"/>
                <w:b w:val="0"/>
              </w:rPr>
            </w:pPr>
            <w:r w:rsidRPr="009D4C69">
              <w:rPr>
                <w:rFonts w:eastAsia="Calibri"/>
              </w:rPr>
              <w:t>Pacific</w:t>
            </w:r>
          </w:p>
        </w:tc>
        <w:tc>
          <w:tcPr>
            <w:tcW w:w="733" w:type="dxa"/>
          </w:tcPr>
          <w:p w14:paraId="398061FE" w14:textId="77777777" w:rsidR="00597B5E" w:rsidRPr="009D4C69" w:rsidRDefault="00597B5E" w:rsidP="00024E8D">
            <w:pPr>
              <w:pStyle w:val="TableHeading"/>
              <w:rPr>
                <w:rFonts w:eastAsia="Calibri"/>
                <w:b w:val="0"/>
              </w:rPr>
            </w:pPr>
            <w:r w:rsidRPr="009D4C69">
              <w:rPr>
                <w:rFonts w:eastAsia="Calibri"/>
              </w:rPr>
              <w:t>Other</w:t>
            </w:r>
          </w:p>
        </w:tc>
        <w:tc>
          <w:tcPr>
            <w:tcW w:w="667" w:type="dxa"/>
          </w:tcPr>
          <w:p w14:paraId="0D3C12E3" w14:textId="77777777" w:rsidR="00597B5E" w:rsidRPr="009D4C69" w:rsidRDefault="00597B5E" w:rsidP="00024E8D">
            <w:pPr>
              <w:pStyle w:val="TableHeading"/>
              <w:rPr>
                <w:rFonts w:eastAsia="Calibri"/>
                <w:b w:val="0"/>
              </w:rPr>
            </w:pPr>
            <w:r w:rsidRPr="009D4C69">
              <w:rPr>
                <w:rFonts w:eastAsia="Calibri"/>
              </w:rPr>
              <w:t>Total</w:t>
            </w:r>
          </w:p>
        </w:tc>
      </w:tr>
      <w:tr w:rsidR="00597B5E" w:rsidRPr="007752E1" w14:paraId="08E8F48D" w14:textId="77777777" w:rsidTr="006F6DD1">
        <w:trPr>
          <w:cnfStyle w:val="000000100000" w:firstRow="0" w:lastRow="0" w:firstColumn="0" w:lastColumn="0" w:oddVBand="0" w:evenVBand="0" w:oddHBand="1" w:evenHBand="0" w:firstRowFirstColumn="0" w:firstRowLastColumn="0" w:lastRowFirstColumn="0" w:lastRowLastColumn="0"/>
          <w:jc w:val="center"/>
        </w:trPr>
        <w:tc>
          <w:tcPr>
            <w:tcW w:w="1227" w:type="dxa"/>
          </w:tcPr>
          <w:p w14:paraId="144EFD2B" w14:textId="77777777" w:rsidR="00597B5E" w:rsidRPr="007752E1" w:rsidRDefault="00597B5E" w:rsidP="00793E49">
            <w:pPr>
              <w:pStyle w:val="TableText"/>
              <w:rPr>
                <w:rFonts w:eastAsia="Calibri"/>
              </w:rPr>
            </w:pPr>
            <w:r w:rsidRPr="007752E1">
              <w:rPr>
                <w:rFonts w:eastAsia="Calibri"/>
              </w:rPr>
              <w:t>Percentage</w:t>
            </w:r>
          </w:p>
        </w:tc>
        <w:tc>
          <w:tcPr>
            <w:tcW w:w="752" w:type="dxa"/>
          </w:tcPr>
          <w:p w14:paraId="3553106C" w14:textId="77777777" w:rsidR="00597B5E" w:rsidRPr="007752E1" w:rsidRDefault="00597B5E" w:rsidP="00793E49">
            <w:pPr>
              <w:pStyle w:val="TableText"/>
              <w:rPr>
                <w:rFonts w:eastAsia="Calibri"/>
              </w:rPr>
            </w:pPr>
            <w:r w:rsidRPr="007752E1">
              <w:rPr>
                <w:rFonts w:eastAsia="Calibri"/>
              </w:rPr>
              <w:t>83%</w:t>
            </w:r>
          </w:p>
        </w:tc>
        <w:tc>
          <w:tcPr>
            <w:tcW w:w="788" w:type="dxa"/>
          </w:tcPr>
          <w:p w14:paraId="4EA9C2BF" w14:textId="77777777" w:rsidR="00597B5E" w:rsidRPr="007752E1" w:rsidRDefault="00597B5E" w:rsidP="00793E49">
            <w:pPr>
              <w:pStyle w:val="TableText"/>
              <w:rPr>
                <w:rFonts w:eastAsia="Calibri"/>
              </w:rPr>
            </w:pPr>
            <w:r w:rsidRPr="007752E1">
              <w:rPr>
                <w:rFonts w:eastAsia="Calibri"/>
              </w:rPr>
              <w:t>97%</w:t>
            </w:r>
          </w:p>
        </w:tc>
        <w:tc>
          <w:tcPr>
            <w:tcW w:w="733" w:type="dxa"/>
          </w:tcPr>
          <w:p w14:paraId="61A0E61D" w14:textId="77777777" w:rsidR="00597B5E" w:rsidRPr="007752E1" w:rsidRDefault="00597B5E" w:rsidP="00793E49">
            <w:pPr>
              <w:pStyle w:val="TableText"/>
              <w:rPr>
                <w:rFonts w:eastAsia="Calibri"/>
              </w:rPr>
            </w:pPr>
            <w:r w:rsidRPr="007752E1">
              <w:rPr>
                <w:rFonts w:eastAsia="Calibri"/>
              </w:rPr>
              <w:t>96%</w:t>
            </w:r>
          </w:p>
        </w:tc>
        <w:tc>
          <w:tcPr>
            <w:tcW w:w="667" w:type="dxa"/>
          </w:tcPr>
          <w:p w14:paraId="74A8C05F" w14:textId="77777777" w:rsidR="00597B5E" w:rsidRPr="007752E1" w:rsidRDefault="00597B5E" w:rsidP="00793E49">
            <w:pPr>
              <w:pStyle w:val="TableText"/>
              <w:rPr>
                <w:rFonts w:eastAsia="Calibri"/>
              </w:rPr>
            </w:pPr>
            <w:r w:rsidRPr="007752E1">
              <w:rPr>
                <w:rFonts w:eastAsia="Calibri"/>
              </w:rPr>
              <w:t>94%</w:t>
            </w:r>
          </w:p>
        </w:tc>
      </w:tr>
    </w:tbl>
    <w:p w14:paraId="6BFA783F" w14:textId="77777777" w:rsidR="00597B5E" w:rsidRPr="00B65F7F" w:rsidRDefault="00597B5E" w:rsidP="00245DF1">
      <w:pPr>
        <w:pStyle w:val="Notes"/>
        <w:spacing w:after="240"/>
        <w:jc w:val="center"/>
        <w:rPr>
          <w:rFonts w:eastAsia="Calibri"/>
        </w:rPr>
      </w:pPr>
      <w:r>
        <w:rPr>
          <w:rFonts w:eastAsia="Calibri"/>
        </w:rPr>
        <w:t xml:space="preserve">Source: </w:t>
      </w:r>
      <w:r w:rsidRPr="00B65F7F">
        <w:rPr>
          <w:rFonts w:eastAsia="Calibri"/>
        </w:rPr>
        <w:t xml:space="preserve">Health New Zealand, </w:t>
      </w:r>
      <w:r w:rsidR="005350B2" w:rsidRPr="00B65F7F">
        <w:rPr>
          <w:rFonts w:eastAsia="Calibri"/>
        </w:rPr>
        <w:t>202</w:t>
      </w:r>
      <w:r w:rsidR="005350B2">
        <w:rPr>
          <w:rFonts w:eastAsia="Calibri"/>
        </w:rPr>
        <w:t>3</w:t>
      </w:r>
    </w:p>
    <w:p w14:paraId="02E3FD7B" w14:textId="77777777" w:rsidR="00597B5E" w:rsidRPr="00B65F7F" w:rsidRDefault="00597B5E" w:rsidP="00793E49">
      <w:pPr>
        <w:pStyle w:val="BodyText"/>
      </w:pPr>
      <w:r w:rsidRPr="00B65F7F">
        <w:t xml:space="preserve">In 2000, Section 4 of the </w:t>
      </w:r>
      <w:r w:rsidRPr="00B65F7F">
        <w:rPr>
          <w:i/>
        </w:rPr>
        <w:t>New Zealand Public Health and Disability Act 2000</w:t>
      </w:r>
      <w:r w:rsidRPr="00B65F7F">
        <w:t xml:space="preserve"> committed the New Zealand Government to embedding multiple requirements to ensure Māori peoples are represented in healthcare planning and decision-making processes (Halseth &amp; Murdock, 2020, </w:t>
      </w:r>
      <w:r>
        <w:t>p. </w:t>
      </w:r>
      <w:r w:rsidRPr="00B65F7F">
        <w:t xml:space="preserve">34; </w:t>
      </w:r>
      <w:r w:rsidRPr="0084658E">
        <w:t>Parliamentary</w:t>
      </w:r>
      <w:r w:rsidRPr="00B65F7F">
        <w:t xml:space="preserve"> Counsel Office, 2022). This included DHB governing boards ensuring Māori membership was proportionate to the number of Māori in the DHB’s resident population or ensuring at least </w:t>
      </w:r>
      <w:r>
        <w:t>2</w:t>
      </w:r>
      <w:r w:rsidRPr="00B65F7F">
        <w:t xml:space="preserve"> Māori members were present in any other instance (Parliamentary Counsel Office, 2022). Additionally, DHBs had to establish community and public health, disability support and hospital advisory committees and guarantee Māori representation (Parliamentary Counsel Office, 2022). This was further strengthened by the development of He Korowai Oranga, the Māori Health Strategy supporting DHBs and the Ministry of Health to improve Māori health and realise pae ora, which resulted in the ‘proliferation of a diverse range of Māori service providers’ (Halseth &amp; Murdock, 2020, </w:t>
      </w:r>
      <w:r>
        <w:t>p. </w:t>
      </w:r>
      <w:r w:rsidRPr="00B65F7F">
        <w:t xml:space="preserve">34; </w:t>
      </w:r>
      <w:r w:rsidRPr="0084658E">
        <w:t>Ministry</w:t>
      </w:r>
      <w:r w:rsidRPr="00B65F7F">
        <w:t xml:space="preserve"> of Health, 2020). </w:t>
      </w:r>
    </w:p>
    <w:p w14:paraId="7F7FFD12" w14:textId="77777777" w:rsidR="00597B5E" w:rsidRPr="00B65F7F" w:rsidRDefault="00597B5E" w:rsidP="00793E49">
      <w:pPr>
        <w:pStyle w:val="BodyText"/>
      </w:pPr>
      <w:r w:rsidRPr="00B65F7F">
        <w:t>In the 2020–21 fiscal year, DHBs funded approximately 230 Māori health providers (Māori-specific PHOs) to deliver health services and programs based on a Māori kaupapa</w:t>
      </w:r>
      <w:r w:rsidRPr="00B65F7F">
        <w:rPr>
          <w:i/>
        </w:rPr>
        <w:t xml:space="preserve"> </w:t>
      </w:r>
      <w:r w:rsidRPr="00B65F7F">
        <w:t>(principle/policy) and delivery framework (</w:t>
      </w:r>
      <w:r w:rsidRPr="0084658E">
        <w:t>Ministry</w:t>
      </w:r>
      <w:r w:rsidRPr="00B65F7F">
        <w:t xml:space="preserve"> of Health, 2014; Halseth &amp; Murdock, 2020, </w:t>
      </w:r>
      <w:r>
        <w:t>p. </w:t>
      </w:r>
      <w:r w:rsidRPr="00B65F7F">
        <w:t>35). Approximately $365.7</w:t>
      </w:r>
      <w:r>
        <w:t>M</w:t>
      </w:r>
      <w:r w:rsidRPr="00B65F7F">
        <w:t xml:space="preserve"> was awarded to Māori Health Providers during the 2020</w:t>
      </w:r>
      <w:r>
        <w:t>–</w:t>
      </w:r>
      <w:r w:rsidRPr="00B65F7F">
        <w:t>21 fiscal year to deliver a range of health, mental health and suicide-prevention services and programs with targeted efforts for priority cohorts (</w:t>
      </w:r>
      <w:r w:rsidRPr="0084658E">
        <w:t>Ministry</w:t>
      </w:r>
      <w:r w:rsidRPr="00B65F7F">
        <w:t xml:space="preserve"> of Health, 2022</w:t>
      </w:r>
      <w:r>
        <w:t>a</w:t>
      </w:r>
      <w:r w:rsidRPr="00B65F7F">
        <w:t xml:space="preserve">, </w:t>
      </w:r>
      <w:r>
        <w:t>p. </w:t>
      </w:r>
      <w:r w:rsidRPr="00B65F7F">
        <w:t>1</w:t>
      </w:r>
      <w:r>
        <w:t>−</w:t>
      </w:r>
      <w:r w:rsidRPr="00B65F7F">
        <w:t>2). </w:t>
      </w:r>
    </w:p>
    <w:p w14:paraId="6C1C8DE1" w14:textId="77777777" w:rsidR="00597B5E" w:rsidRPr="00B65F7F" w:rsidRDefault="00597B5E" w:rsidP="00E97C18">
      <w:pPr>
        <w:pStyle w:val="HeadingLevel3NoNumber"/>
      </w:pPr>
      <w:bookmarkStart w:id="508" w:name="_heading=h.2rrrqc1" w:colFirst="0" w:colLast="0"/>
      <w:bookmarkEnd w:id="508"/>
      <w:r w:rsidRPr="00B65F7F">
        <w:t>Pae Ora (Healthy Futures)</w:t>
      </w:r>
    </w:p>
    <w:p w14:paraId="1E7BE88D" w14:textId="77777777" w:rsidR="00597B5E" w:rsidRPr="0033162B" w:rsidRDefault="00597B5E" w:rsidP="00E97C18">
      <w:pPr>
        <w:pStyle w:val="HeadingLevel4NoNumber"/>
      </w:pPr>
      <w:r w:rsidRPr="0033162B">
        <w:t xml:space="preserve">Key </w:t>
      </w:r>
      <w:r w:rsidRPr="00B65F7F">
        <w:t>findings</w:t>
      </w:r>
    </w:p>
    <w:p w14:paraId="12952DC9" w14:textId="77777777" w:rsidR="00597B5E" w:rsidRPr="00B65F7F" w:rsidRDefault="00597B5E" w:rsidP="00793E49">
      <w:pPr>
        <w:pStyle w:val="ListBullet2"/>
      </w:pPr>
      <w:r w:rsidRPr="00B65F7F">
        <w:rPr>
          <w:rFonts w:eastAsia="Calibri"/>
        </w:rPr>
        <w:t>Pae Ora is a systems-based approach to healthcare transformation and a renewed commitment to improving the health and wellbeing of their citizens</w:t>
      </w:r>
      <w:r>
        <w:rPr>
          <w:rFonts w:eastAsia="Calibri"/>
        </w:rPr>
        <w:t>.</w:t>
      </w:r>
    </w:p>
    <w:p w14:paraId="000A3338" w14:textId="77777777" w:rsidR="00597B5E" w:rsidRPr="00B65F7F" w:rsidRDefault="00597B5E" w:rsidP="00793E49">
      <w:pPr>
        <w:pStyle w:val="ListBullet2"/>
      </w:pPr>
      <w:r w:rsidRPr="00B65F7F">
        <w:rPr>
          <w:rFonts w:eastAsia="Calibri"/>
        </w:rPr>
        <w:t>Māori representation, involvement and representation at all levels of health and wellbeing service commissioning, design, delivery and development have been enshrined in legislation</w:t>
      </w:r>
      <w:r>
        <w:rPr>
          <w:rFonts w:eastAsia="Calibri"/>
        </w:rPr>
        <w:t>.</w:t>
      </w:r>
    </w:p>
    <w:p w14:paraId="225B8B7D" w14:textId="7FB0467B" w:rsidR="00597B5E" w:rsidRPr="00B65F7F" w:rsidRDefault="002A08FA" w:rsidP="002A08FA">
      <w:pPr>
        <w:pStyle w:val="CaptionTable"/>
        <w:rPr>
          <w:rFonts w:eastAsia="Calibri"/>
        </w:rPr>
      </w:pPr>
      <w:bookmarkStart w:id="509" w:name="_heading=h.16x20ju" w:colFirst="0" w:colLast="0"/>
      <w:bookmarkStart w:id="510" w:name="_Toc145604971"/>
      <w:bookmarkStart w:id="511" w:name="_Toc145617843"/>
      <w:bookmarkStart w:id="512" w:name="_Toc156932115"/>
      <w:bookmarkEnd w:id="509"/>
      <w:r>
        <w:t>Table A9.</w:t>
      </w:r>
      <w:r>
        <w:fldChar w:fldCharType="begin"/>
      </w:r>
      <w:r>
        <w:instrText xml:space="preserve"> SEQ Table_A9 \* ARABIC </w:instrText>
      </w:r>
      <w:r>
        <w:fldChar w:fldCharType="separate"/>
      </w:r>
      <w:r w:rsidR="00934D5E">
        <w:rPr>
          <w:noProof/>
        </w:rPr>
        <w:t>22</w:t>
      </w:r>
      <w:r>
        <w:fldChar w:fldCharType="end"/>
      </w:r>
      <w:r w:rsidR="00597B5E">
        <w:t>:</w:t>
      </w:r>
      <w:r>
        <w:t xml:space="preserve"> </w:t>
      </w:r>
      <w:r w:rsidR="00597B5E" w:rsidRPr="00B65F7F">
        <w:rPr>
          <w:rFonts w:eastAsia="Calibri"/>
        </w:rPr>
        <w:t>Pae Ora (Healthy Futures) alignment with guiding principles</w:t>
      </w:r>
      <w:bookmarkEnd w:id="510"/>
      <w:bookmarkEnd w:id="511"/>
      <w:bookmarkEnd w:id="512"/>
    </w:p>
    <w:tbl>
      <w:tblPr>
        <w:tblStyle w:val="Newtableforresport"/>
        <w:tblW w:w="9618" w:type="dxa"/>
        <w:tblInd w:w="10" w:type="dxa"/>
        <w:tblLayout w:type="fixed"/>
        <w:tblLook w:val="0420" w:firstRow="1" w:lastRow="0" w:firstColumn="0" w:lastColumn="0" w:noHBand="0" w:noVBand="1"/>
        <w:tblCaption w:val="Table A9.22: Pae Ora (Healthy Futures) alignment with guiding principles"/>
        <w:tblDescription w:val="The table describes how the guiding principles of funding transition align with Pae Ora (Healthy Futures). The first column lists the guiding principles of funding transition. The second column provides a description of how Pae Ora aligns with the relevant guiding principle in the first column. "/>
      </w:tblPr>
      <w:tblGrid>
        <w:gridCol w:w="2513"/>
        <w:gridCol w:w="7105"/>
      </w:tblGrid>
      <w:tr w:rsidR="00597B5E" w:rsidRPr="0033162B" w14:paraId="0443B9DB" w14:textId="77777777" w:rsidTr="009D4C69">
        <w:trPr>
          <w:cnfStyle w:val="100000000000" w:firstRow="1" w:lastRow="0" w:firstColumn="0" w:lastColumn="0" w:oddVBand="0" w:evenVBand="0" w:oddHBand="0" w:evenHBand="0" w:firstRowFirstColumn="0" w:firstRowLastColumn="0" w:lastRowFirstColumn="0" w:lastRowLastColumn="0"/>
          <w:tblHeader/>
        </w:trPr>
        <w:tc>
          <w:tcPr>
            <w:tcW w:w="2513" w:type="dxa"/>
          </w:tcPr>
          <w:p w14:paraId="2D031154" w14:textId="77777777" w:rsidR="00597B5E" w:rsidRPr="0033162B" w:rsidRDefault="00597B5E" w:rsidP="00024E8D">
            <w:pPr>
              <w:pStyle w:val="TableHeading"/>
              <w:rPr>
                <w:rFonts w:eastAsia="Calibri"/>
                <w:b w:val="0"/>
              </w:rPr>
            </w:pPr>
            <w:r w:rsidRPr="0033162B">
              <w:rPr>
                <w:rFonts w:eastAsia="Calibri"/>
              </w:rPr>
              <w:t>Guiding principle</w:t>
            </w:r>
          </w:p>
        </w:tc>
        <w:tc>
          <w:tcPr>
            <w:tcW w:w="7105" w:type="dxa"/>
          </w:tcPr>
          <w:p w14:paraId="69BC9F9A" w14:textId="77777777" w:rsidR="00597B5E" w:rsidRPr="0033162B" w:rsidRDefault="00597B5E" w:rsidP="00024E8D">
            <w:pPr>
              <w:pStyle w:val="TableHeading"/>
              <w:rPr>
                <w:rFonts w:eastAsia="Calibri"/>
                <w:b w:val="0"/>
              </w:rPr>
            </w:pPr>
            <w:r w:rsidRPr="0033162B">
              <w:rPr>
                <w:rFonts w:eastAsia="Calibri"/>
              </w:rPr>
              <w:t>Description</w:t>
            </w:r>
          </w:p>
        </w:tc>
      </w:tr>
      <w:tr w:rsidR="00597B5E" w:rsidRPr="00B65F7F" w14:paraId="474E6E90" w14:textId="77777777" w:rsidTr="006F6DD1">
        <w:trPr>
          <w:cnfStyle w:val="000000100000" w:firstRow="0" w:lastRow="0" w:firstColumn="0" w:lastColumn="0" w:oddVBand="0" w:evenVBand="0" w:oddHBand="1" w:evenHBand="0" w:firstRowFirstColumn="0" w:firstRowLastColumn="0" w:lastRowFirstColumn="0" w:lastRowLastColumn="0"/>
        </w:trPr>
        <w:tc>
          <w:tcPr>
            <w:tcW w:w="2513" w:type="dxa"/>
          </w:tcPr>
          <w:p w14:paraId="353DB10B" w14:textId="77777777" w:rsidR="00597B5E" w:rsidRPr="00B65F7F" w:rsidRDefault="00597B5E" w:rsidP="00793E49">
            <w:pPr>
              <w:pStyle w:val="TableText"/>
              <w:rPr>
                <w:rFonts w:eastAsia="Calibri"/>
              </w:rPr>
            </w:pPr>
            <w:r w:rsidRPr="00B65F7F">
              <w:rPr>
                <w:rFonts w:eastAsia="Calibri"/>
              </w:rPr>
              <w:t>Indigenous self-determination</w:t>
            </w:r>
          </w:p>
        </w:tc>
        <w:tc>
          <w:tcPr>
            <w:tcW w:w="7105" w:type="dxa"/>
            <w:vMerge w:val="restart"/>
          </w:tcPr>
          <w:p w14:paraId="1ABDCC77" w14:textId="77777777" w:rsidR="00597B5E" w:rsidRPr="00B65F7F" w:rsidRDefault="00597B5E" w:rsidP="00793E49">
            <w:pPr>
              <w:pStyle w:val="TableText"/>
              <w:rPr>
                <w:rFonts w:eastAsia="Calibri"/>
              </w:rPr>
            </w:pPr>
            <w:r w:rsidRPr="00B65F7F">
              <w:rPr>
                <w:rFonts w:eastAsia="Calibri"/>
              </w:rPr>
              <w:t>Multiple aspects of New Zealand’s renewed health system and its priorities align with the guiding principles outlined in Section 1:</w:t>
            </w:r>
          </w:p>
          <w:p w14:paraId="7E59A00F" w14:textId="77777777" w:rsidR="00597B5E" w:rsidRPr="00B65F7F" w:rsidRDefault="00597B5E" w:rsidP="006F6DD1">
            <w:pPr>
              <w:pStyle w:val="TableTextbullets"/>
            </w:pPr>
            <w:r w:rsidRPr="00B65F7F">
              <w:rPr>
                <w:rFonts w:eastAsia="Calibri"/>
              </w:rPr>
              <w:t>embedding Māori self-determination across the health sector</w:t>
            </w:r>
          </w:p>
          <w:p w14:paraId="4F5E4D71" w14:textId="77777777" w:rsidR="00597B5E" w:rsidRPr="00B65F7F" w:rsidRDefault="00597B5E" w:rsidP="006F6DD1">
            <w:pPr>
              <w:pStyle w:val="TableTextbullets"/>
            </w:pPr>
            <w:r w:rsidRPr="00B65F7F">
              <w:rPr>
                <w:rFonts w:eastAsia="Calibri"/>
              </w:rPr>
              <w:t>the establishment of the Iwi-Māori Partnership Boards to ensure Māori perspectives, needs and aspirations are represented in planning and decision-making processes for local health services</w:t>
            </w:r>
          </w:p>
          <w:p w14:paraId="6FCDDAC3" w14:textId="77777777" w:rsidR="00597B5E" w:rsidRPr="00B65F7F" w:rsidRDefault="00597B5E" w:rsidP="006F6DD1">
            <w:pPr>
              <w:pStyle w:val="TableTextbullets"/>
            </w:pPr>
            <w:r w:rsidRPr="00B65F7F">
              <w:rPr>
                <w:rFonts w:eastAsia="Calibri"/>
              </w:rPr>
              <w:t>the establishment of Te Aka Whai Ora as a permanent public health entity working in partnership with Te Whatu Ora that will ‘invest in services grounded in te ao Māori and is more responsive to Māori needs’ (</w:t>
            </w:r>
            <w:r w:rsidRPr="0084658E">
              <w:rPr>
                <w:rFonts w:eastAsia="Calibri"/>
              </w:rPr>
              <w:t>Te Aka</w:t>
            </w:r>
            <w:r w:rsidRPr="00B65F7F">
              <w:rPr>
                <w:rFonts w:eastAsia="Calibri"/>
              </w:rPr>
              <w:t xml:space="preserve"> Whai Ora, 2022).</w:t>
            </w:r>
          </w:p>
        </w:tc>
      </w:tr>
      <w:tr w:rsidR="00597B5E" w:rsidRPr="00B65F7F" w14:paraId="5769A458" w14:textId="77777777" w:rsidTr="006F6DD1">
        <w:trPr>
          <w:cnfStyle w:val="000000010000" w:firstRow="0" w:lastRow="0" w:firstColumn="0" w:lastColumn="0" w:oddVBand="0" w:evenVBand="0" w:oddHBand="0" w:evenHBand="1" w:firstRowFirstColumn="0" w:firstRowLastColumn="0" w:lastRowFirstColumn="0" w:lastRowLastColumn="0"/>
        </w:trPr>
        <w:tc>
          <w:tcPr>
            <w:tcW w:w="2513" w:type="dxa"/>
          </w:tcPr>
          <w:p w14:paraId="26F47097" w14:textId="77777777" w:rsidR="00597B5E" w:rsidRPr="00B65F7F" w:rsidRDefault="00597B5E" w:rsidP="00793E49">
            <w:pPr>
              <w:pStyle w:val="TableText"/>
              <w:rPr>
                <w:rFonts w:eastAsia="Calibri"/>
              </w:rPr>
            </w:pPr>
            <w:r w:rsidRPr="00B65F7F">
              <w:rPr>
                <w:rFonts w:eastAsia="Calibri"/>
              </w:rPr>
              <w:t>Indigenous governance and leadership</w:t>
            </w:r>
          </w:p>
        </w:tc>
        <w:tc>
          <w:tcPr>
            <w:tcW w:w="7105" w:type="dxa"/>
            <w:vMerge/>
          </w:tcPr>
          <w:p w14:paraId="0A902860" w14:textId="77777777" w:rsidR="00597B5E" w:rsidRPr="00B65F7F" w:rsidRDefault="00597B5E" w:rsidP="006F6DD1">
            <w:pPr>
              <w:pStyle w:val="TableText"/>
              <w:rPr>
                <w:rFonts w:eastAsia="Calibri"/>
              </w:rPr>
            </w:pPr>
          </w:p>
        </w:tc>
      </w:tr>
      <w:tr w:rsidR="00597B5E" w:rsidRPr="00B65F7F" w14:paraId="52FAB394" w14:textId="77777777" w:rsidTr="006F6DD1">
        <w:trPr>
          <w:cnfStyle w:val="000000100000" w:firstRow="0" w:lastRow="0" w:firstColumn="0" w:lastColumn="0" w:oddVBand="0" w:evenVBand="0" w:oddHBand="1" w:evenHBand="0" w:firstRowFirstColumn="0" w:firstRowLastColumn="0" w:lastRowFirstColumn="0" w:lastRowLastColumn="0"/>
        </w:trPr>
        <w:tc>
          <w:tcPr>
            <w:tcW w:w="2513" w:type="dxa"/>
          </w:tcPr>
          <w:p w14:paraId="0AD2AA06" w14:textId="77777777" w:rsidR="00597B5E" w:rsidRPr="00B65F7F" w:rsidRDefault="00597B5E" w:rsidP="00793E49">
            <w:pPr>
              <w:pStyle w:val="TableText"/>
              <w:rPr>
                <w:rFonts w:eastAsia="Calibri"/>
              </w:rPr>
            </w:pPr>
            <w:r w:rsidRPr="00B65F7F">
              <w:rPr>
                <w:rFonts w:eastAsia="Calibri"/>
              </w:rPr>
              <w:t>Holistic understandings of Indigenous health and wellbeing</w:t>
            </w:r>
          </w:p>
        </w:tc>
        <w:tc>
          <w:tcPr>
            <w:tcW w:w="7105" w:type="dxa"/>
            <w:vMerge/>
          </w:tcPr>
          <w:p w14:paraId="4ED16ACA" w14:textId="77777777" w:rsidR="00597B5E" w:rsidRPr="00B65F7F" w:rsidRDefault="00597B5E" w:rsidP="006F6DD1">
            <w:pPr>
              <w:pStyle w:val="TableText"/>
              <w:rPr>
                <w:rFonts w:eastAsia="Calibri"/>
              </w:rPr>
            </w:pPr>
          </w:p>
        </w:tc>
      </w:tr>
      <w:tr w:rsidR="00597B5E" w:rsidRPr="00B65F7F" w14:paraId="790AAB63" w14:textId="77777777" w:rsidTr="006F6DD1">
        <w:trPr>
          <w:cnfStyle w:val="000000010000" w:firstRow="0" w:lastRow="0" w:firstColumn="0" w:lastColumn="0" w:oddVBand="0" w:evenVBand="0" w:oddHBand="0" w:evenHBand="1" w:firstRowFirstColumn="0" w:firstRowLastColumn="0" w:lastRowFirstColumn="0" w:lastRowLastColumn="0"/>
        </w:trPr>
        <w:tc>
          <w:tcPr>
            <w:tcW w:w="2513" w:type="dxa"/>
          </w:tcPr>
          <w:p w14:paraId="76C819B1" w14:textId="77777777" w:rsidR="00597B5E" w:rsidRPr="00B65F7F" w:rsidRDefault="00597B5E" w:rsidP="00793E49">
            <w:pPr>
              <w:pStyle w:val="TableText"/>
              <w:rPr>
                <w:rFonts w:eastAsia="Calibri"/>
              </w:rPr>
            </w:pPr>
            <w:r w:rsidRPr="00B65F7F">
              <w:rPr>
                <w:rFonts w:eastAsia="Calibri"/>
              </w:rPr>
              <w:t>Culturally safe and responsive healthcare</w:t>
            </w:r>
          </w:p>
        </w:tc>
        <w:tc>
          <w:tcPr>
            <w:tcW w:w="7105" w:type="dxa"/>
          </w:tcPr>
          <w:p w14:paraId="758E8ED6" w14:textId="77777777" w:rsidR="00597B5E" w:rsidRPr="00B65F7F" w:rsidRDefault="00597B5E" w:rsidP="00793E49">
            <w:pPr>
              <w:pStyle w:val="TableText"/>
              <w:rPr>
                <w:rFonts w:eastAsia="Calibri"/>
              </w:rPr>
            </w:pPr>
            <w:r w:rsidRPr="00B65F7F">
              <w:rPr>
                <w:rFonts w:eastAsia="Calibri"/>
              </w:rPr>
              <w:t xml:space="preserve">Priority 4 under the New Zealand Government’s </w:t>
            </w:r>
            <w:r>
              <w:rPr>
                <w:rFonts w:eastAsia="Calibri"/>
              </w:rPr>
              <w:t>p</w:t>
            </w:r>
            <w:r w:rsidRPr="00B65F7F">
              <w:rPr>
                <w:rFonts w:eastAsia="Calibri"/>
              </w:rPr>
              <w:t xml:space="preserve">olicy </w:t>
            </w:r>
            <w:r>
              <w:rPr>
                <w:rFonts w:eastAsia="Calibri"/>
              </w:rPr>
              <w:t>s</w:t>
            </w:r>
            <w:r w:rsidRPr="00B65F7F">
              <w:rPr>
                <w:rFonts w:eastAsia="Calibri"/>
              </w:rPr>
              <w:t>tatement on Pae Ora (Health</w:t>
            </w:r>
            <w:r>
              <w:rPr>
                <w:rFonts w:eastAsia="Calibri"/>
              </w:rPr>
              <w:t>y</w:t>
            </w:r>
            <w:r w:rsidRPr="00B65F7F">
              <w:rPr>
                <w:rFonts w:eastAsia="Calibri"/>
              </w:rPr>
              <w:t xml:space="preserve"> Futures) speaks to </w:t>
            </w:r>
            <w:r>
              <w:rPr>
                <w:rFonts w:eastAsia="Calibri"/>
              </w:rPr>
              <w:t>its</w:t>
            </w:r>
            <w:r w:rsidRPr="00B65F7F">
              <w:rPr>
                <w:rFonts w:eastAsia="Calibri"/>
              </w:rPr>
              <w:t xml:space="preserve"> commitment to developing a diverse and ‘culturally responsive’ health workforce. </w:t>
            </w:r>
          </w:p>
        </w:tc>
      </w:tr>
      <w:tr w:rsidR="00597B5E" w:rsidRPr="00B65F7F" w14:paraId="510D466A" w14:textId="77777777" w:rsidTr="006F6DD1">
        <w:trPr>
          <w:cnfStyle w:val="000000100000" w:firstRow="0" w:lastRow="0" w:firstColumn="0" w:lastColumn="0" w:oddVBand="0" w:evenVBand="0" w:oddHBand="1" w:evenHBand="0" w:firstRowFirstColumn="0" w:firstRowLastColumn="0" w:lastRowFirstColumn="0" w:lastRowLastColumn="0"/>
        </w:trPr>
        <w:tc>
          <w:tcPr>
            <w:tcW w:w="2513" w:type="dxa"/>
          </w:tcPr>
          <w:p w14:paraId="295DFAB7" w14:textId="77777777" w:rsidR="00597B5E" w:rsidRPr="00B65F7F" w:rsidRDefault="00597B5E" w:rsidP="00793E49">
            <w:pPr>
              <w:pStyle w:val="TableText"/>
              <w:rPr>
                <w:rFonts w:eastAsia="Calibri"/>
              </w:rPr>
            </w:pPr>
            <w:r w:rsidRPr="00B65F7F">
              <w:rPr>
                <w:rFonts w:eastAsia="Calibri"/>
              </w:rPr>
              <w:t>Systems-based approach</w:t>
            </w:r>
          </w:p>
        </w:tc>
        <w:tc>
          <w:tcPr>
            <w:tcW w:w="7105" w:type="dxa"/>
          </w:tcPr>
          <w:p w14:paraId="1567FACD" w14:textId="77777777" w:rsidR="00597B5E" w:rsidRPr="00B65F7F" w:rsidRDefault="00597B5E" w:rsidP="00793E49">
            <w:pPr>
              <w:pStyle w:val="TableText"/>
              <w:rPr>
                <w:rFonts w:eastAsia="Calibri"/>
              </w:rPr>
            </w:pPr>
            <w:r w:rsidRPr="00B65F7F">
              <w:rPr>
                <w:rFonts w:eastAsia="Calibri"/>
              </w:rPr>
              <w:t>The reformation of the New Zealand healthcare system is a clear example of a systems-based approach to healthcare transformation.</w:t>
            </w:r>
          </w:p>
        </w:tc>
      </w:tr>
    </w:tbl>
    <w:p w14:paraId="05533657" w14:textId="77777777" w:rsidR="00597B5E" w:rsidRPr="00B65F7F" w:rsidRDefault="00597B5E" w:rsidP="00E97C18">
      <w:pPr>
        <w:pStyle w:val="HeadingLevel4NoNumber"/>
      </w:pPr>
      <w:r w:rsidRPr="00B65F7F">
        <w:t>Overview</w:t>
      </w:r>
    </w:p>
    <w:p w14:paraId="6458554F" w14:textId="77777777" w:rsidR="00597B5E" w:rsidRPr="00B65F7F" w:rsidRDefault="00597B5E" w:rsidP="00793E49">
      <w:pPr>
        <w:pStyle w:val="BodyText"/>
      </w:pPr>
      <w:r w:rsidRPr="00B65F7F">
        <w:t xml:space="preserve">In 2022, the New Zealand Government repealed the </w:t>
      </w:r>
      <w:r w:rsidRPr="00B65F7F">
        <w:rPr>
          <w:i/>
        </w:rPr>
        <w:t>New Zealand Public Health and Disability Act 2000</w:t>
      </w:r>
      <w:r w:rsidRPr="00B65F7F">
        <w:t xml:space="preserve"> through section 103(1) of the </w:t>
      </w:r>
      <w:r w:rsidRPr="00B65F7F">
        <w:rPr>
          <w:i/>
        </w:rPr>
        <w:t>Pae Ora (Healthy Futures)</w:t>
      </w:r>
      <w:r w:rsidRPr="00B65F7F">
        <w:t xml:space="preserve"> </w:t>
      </w:r>
      <w:r w:rsidRPr="00B65F7F">
        <w:rPr>
          <w:i/>
        </w:rPr>
        <w:t>Act 2022</w:t>
      </w:r>
      <w:r w:rsidRPr="00B65F7F">
        <w:t xml:space="preserve"> (</w:t>
      </w:r>
      <w:r w:rsidRPr="0084658E">
        <w:t>Parliamentary</w:t>
      </w:r>
      <w:r w:rsidRPr="00B65F7F">
        <w:t xml:space="preserve"> Counsel Office, 2022). </w:t>
      </w:r>
    </w:p>
    <w:p w14:paraId="2BCDB043" w14:textId="77777777" w:rsidR="00597B5E" w:rsidRPr="00B65F7F" w:rsidRDefault="00597B5E" w:rsidP="00793E49">
      <w:pPr>
        <w:pStyle w:val="BodyText"/>
      </w:pPr>
      <w:r w:rsidRPr="00B65F7F">
        <w:t xml:space="preserve">The </w:t>
      </w:r>
      <w:r w:rsidRPr="00B65F7F">
        <w:rPr>
          <w:i/>
        </w:rPr>
        <w:t>Pae Ora (Healthy Futures)</w:t>
      </w:r>
      <w:r w:rsidRPr="00B65F7F">
        <w:t xml:space="preserve"> </w:t>
      </w:r>
      <w:r w:rsidRPr="00B65F7F">
        <w:rPr>
          <w:i/>
        </w:rPr>
        <w:t>Act 2022</w:t>
      </w:r>
      <w:r w:rsidRPr="00B65F7F">
        <w:t xml:space="preserve"> established </w:t>
      </w:r>
      <w:r>
        <w:t>3</w:t>
      </w:r>
      <w:r w:rsidRPr="00B65F7F">
        <w:t xml:space="preserve"> new public health entities (</w:t>
      </w:r>
      <w:r w:rsidRPr="0084658E">
        <w:t>Ministry</w:t>
      </w:r>
      <w:r w:rsidRPr="00B65F7F">
        <w:t xml:space="preserve"> of Health, 2022</w:t>
      </w:r>
      <w:r>
        <w:t>b</w:t>
      </w:r>
      <w:r w:rsidRPr="00B65F7F">
        <w:t>):</w:t>
      </w:r>
    </w:p>
    <w:p w14:paraId="0CEFB7C9" w14:textId="77777777" w:rsidR="00597B5E" w:rsidRPr="00B65F7F" w:rsidRDefault="00597B5E" w:rsidP="00793E49">
      <w:pPr>
        <w:pStyle w:val="ListBullet2"/>
      </w:pPr>
      <w:r w:rsidRPr="00B65F7F">
        <w:rPr>
          <w:rFonts w:eastAsia="Calibri"/>
        </w:rPr>
        <w:t>a new Public Health Agency within the Ministry of Health ‘to lead and strengthen public health’</w:t>
      </w:r>
    </w:p>
    <w:p w14:paraId="636A4B65" w14:textId="77777777" w:rsidR="00597B5E" w:rsidRPr="00B65F7F" w:rsidRDefault="00597B5E" w:rsidP="00793E49">
      <w:pPr>
        <w:pStyle w:val="ListBullet2"/>
      </w:pPr>
      <w:r w:rsidRPr="00B65F7F">
        <w:rPr>
          <w:rFonts w:eastAsia="Calibri"/>
        </w:rPr>
        <w:t>Te Whatu Ora/Health New Zealand, the new national organisation leading and coordinating the delivery of services across New Zealand</w:t>
      </w:r>
    </w:p>
    <w:p w14:paraId="7FDB566D" w14:textId="77777777" w:rsidR="00597B5E" w:rsidRPr="00B65F7F" w:rsidRDefault="00597B5E" w:rsidP="00793E49">
      <w:pPr>
        <w:pStyle w:val="ListBullet2"/>
      </w:pPr>
      <w:r w:rsidRPr="00B65F7F">
        <w:rPr>
          <w:rFonts w:eastAsia="Calibri"/>
        </w:rPr>
        <w:t>Te Aka Whai Ora/The Māori Health Authority, ‘an independent statutory authority to drive improvement in hauora Māori’ – a holistic, Māori-centred understanding of health and wellbeing.</w:t>
      </w:r>
    </w:p>
    <w:p w14:paraId="1C8F93A7" w14:textId="77777777" w:rsidR="00597B5E" w:rsidRPr="00B65F7F" w:rsidRDefault="00597B5E" w:rsidP="00793E49">
      <w:pPr>
        <w:pStyle w:val="BodyText1stparaafterlist"/>
      </w:pPr>
      <w:r w:rsidRPr="00B65F7F">
        <w:t xml:space="preserve">The </w:t>
      </w:r>
      <w:r w:rsidRPr="00B65F7F">
        <w:rPr>
          <w:i/>
        </w:rPr>
        <w:t>Pae Ora (Healthy Futures)</w:t>
      </w:r>
      <w:r w:rsidRPr="00B65F7F">
        <w:t xml:space="preserve"> </w:t>
      </w:r>
      <w:r w:rsidRPr="00B65F7F">
        <w:rPr>
          <w:i/>
        </w:rPr>
        <w:t>Act 2022</w:t>
      </w:r>
      <w:r w:rsidRPr="00B65F7F">
        <w:t xml:space="preserve"> also establishes the Iwi-Māori</w:t>
      </w:r>
      <w:r w:rsidRPr="00B65F7F">
        <w:rPr>
          <w:i/>
        </w:rPr>
        <w:t xml:space="preserve"> </w:t>
      </w:r>
      <w:r w:rsidRPr="00B65F7F">
        <w:t>Partnership Boards to represent local Māori perspectives on the needs and aspirations of Māori in planning and decision-making processes for local health services (</w:t>
      </w:r>
      <w:r w:rsidRPr="0084658E">
        <w:t>Ministry</w:t>
      </w:r>
      <w:r w:rsidRPr="00B65F7F">
        <w:t xml:space="preserve"> of Health, 2022</w:t>
      </w:r>
      <w:r>
        <w:t>b</w:t>
      </w:r>
      <w:r w:rsidRPr="00B65F7F">
        <w:t>). Te Whatu Ora will transition services from current funding and contracting arrangements (i.e. PHOs and DHBs) to a new set of arrangements that include ‘standardised terms and condit</w:t>
      </w:r>
      <w:r w:rsidRPr="0084658E">
        <w:t>ions for primary and community care providers, supplemented with additional funding for specific services’ (Te Whatu Ora &amp;</w:t>
      </w:r>
      <w:r w:rsidRPr="00B65F7F">
        <w:t xml:space="preserve"> Te Aka Whai Ora, 2022, </w:t>
      </w:r>
      <w:r>
        <w:t>p. </w:t>
      </w:r>
      <w:r w:rsidRPr="00B65F7F">
        <w:t>62). </w:t>
      </w:r>
    </w:p>
    <w:p w14:paraId="4B20317A" w14:textId="77777777" w:rsidR="00597B5E" w:rsidRPr="00B65F7F" w:rsidRDefault="00597B5E" w:rsidP="00793E49">
      <w:pPr>
        <w:pStyle w:val="BodyText"/>
      </w:pPr>
      <w:r w:rsidRPr="00B65F7F">
        <w:t xml:space="preserve">Additionally, </w:t>
      </w:r>
      <w:r>
        <w:t>6</w:t>
      </w:r>
      <w:r w:rsidRPr="00B65F7F">
        <w:t xml:space="preserve"> priorities for the publicly funded health sector have been identified in a New Zealand Government policy statement that centre the importance of Māori self-determination and hauora Māori (</w:t>
      </w:r>
      <w:r w:rsidRPr="0084658E">
        <w:t>New</w:t>
      </w:r>
      <w:r w:rsidRPr="00B65F7F">
        <w:t xml:space="preserve"> Zealand Government, 2022):</w:t>
      </w:r>
    </w:p>
    <w:p w14:paraId="2D16FDEC" w14:textId="77777777" w:rsidR="00597B5E" w:rsidRPr="008D4D5D" w:rsidRDefault="00597B5E" w:rsidP="003B07D3">
      <w:pPr>
        <w:pStyle w:val="List1"/>
        <w:numPr>
          <w:ilvl w:val="0"/>
          <w:numId w:val="27"/>
        </w:numPr>
      </w:pPr>
      <w:r w:rsidRPr="008D4D5D">
        <w:t>achieving equity in health and wellbeing outcomes</w:t>
      </w:r>
    </w:p>
    <w:p w14:paraId="66181016" w14:textId="77777777" w:rsidR="00597B5E" w:rsidRPr="008D4D5D" w:rsidRDefault="00597B5E" w:rsidP="003B07D3">
      <w:pPr>
        <w:pStyle w:val="List1"/>
        <w:numPr>
          <w:ilvl w:val="0"/>
          <w:numId w:val="27"/>
        </w:numPr>
      </w:pPr>
      <w:r w:rsidRPr="008D4D5D">
        <w:t>embedding Te Tiriti o Waitangi (self-determination and Māori-aligned) across the health sector </w:t>
      </w:r>
    </w:p>
    <w:p w14:paraId="442E1587" w14:textId="77777777" w:rsidR="00597B5E" w:rsidRPr="008D4D5D" w:rsidRDefault="00597B5E" w:rsidP="003B07D3">
      <w:pPr>
        <w:pStyle w:val="List1"/>
        <w:numPr>
          <w:ilvl w:val="0"/>
          <w:numId w:val="27"/>
        </w:numPr>
      </w:pPr>
      <w:r w:rsidRPr="008D4D5D">
        <w:t>whānau-centred, culturally appropriate and community-based prevention and support services</w:t>
      </w:r>
    </w:p>
    <w:p w14:paraId="36FCA759" w14:textId="77777777" w:rsidR="00597B5E" w:rsidRPr="008D4D5D" w:rsidRDefault="00597B5E" w:rsidP="003B07D3">
      <w:pPr>
        <w:pStyle w:val="List1"/>
        <w:numPr>
          <w:ilvl w:val="0"/>
          <w:numId w:val="27"/>
        </w:numPr>
      </w:pPr>
      <w:r w:rsidRPr="008D4D5D">
        <w:t>developing a resilient, diverse, culturally responsive and sustainable health workforce</w:t>
      </w:r>
    </w:p>
    <w:p w14:paraId="15ACC9DE" w14:textId="77777777" w:rsidR="00597B5E" w:rsidRPr="008D4D5D" w:rsidRDefault="00597B5E" w:rsidP="003B07D3">
      <w:pPr>
        <w:pStyle w:val="List1"/>
        <w:numPr>
          <w:ilvl w:val="0"/>
          <w:numId w:val="27"/>
        </w:numPr>
      </w:pPr>
      <w:r w:rsidRPr="008D4D5D">
        <w:t>ensuring a financially sustainable health system</w:t>
      </w:r>
    </w:p>
    <w:p w14:paraId="20C8F688" w14:textId="77777777" w:rsidR="00597B5E" w:rsidRPr="008D4D5D" w:rsidRDefault="00597B5E" w:rsidP="003B07D3">
      <w:pPr>
        <w:pStyle w:val="List1"/>
        <w:numPr>
          <w:ilvl w:val="0"/>
          <w:numId w:val="27"/>
        </w:numPr>
      </w:pPr>
      <w:r w:rsidRPr="008D4D5D">
        <w:t>laying the foundations for the success of the future health system.</w:t>
      </w:r>
    </w:p>
    <w:p w14:paraId="58A691AD" w14:textId="77777777" w:rsidR="00597B5E" w:rsidRPr="00B65F7F" w:rsidRDefault="004C1AF3" w:rsidP="006734AE">
      <w:pPr>
        <w:pStyle w:val="HeadingLevel2NoNumber"/>
      </w:pPr>
      <w:bookmarkStart w:id="513" w:name="_heading=h.3qwpj7n" w:colFirst="0" w:colLast="0"/>
      <w:bookmarkEnd w:id="513"/>
      <w:r>
        <w:t>A9.7</w:t>
      </w:r>
      <w:r w:rsidR="00597B5E" w:rsidRPr="00B65F7F">
        <w:t xml:space="preserve"> Funding models, approaches and frameworks: United States of America</w:t>
      </w:r>
    </w:p>
    <w:p w14:paraId="092F84A0" w14:textId="77777777" w:rsidR="00597B5E" w:rsidRPr="00B65F7F" w:rsidRDefault="00597B5E" w:rsidP="00037619">
      <w:pPr>
        <w:pStyle w:val="HeadingLevel3NoNumber"/>
      </w:pPr>
      <w:r w:rsidRPr="00B65F7F">
        <w:t>Key findings</w:t>
      </w:r>
    </w:p>
    <w:p w14:paraId="7EFF9B61" w14:textId="77777777" w:rsidR="00597B5E" w:rsidRPr="00B65F7F" w:rsidRDefault="00597B5E" w:rsidP="00AD65DF">
      <w:pPr>
        <w:pStyle w:val="ListBullet2"/>
      </w:pPr>
      <w:r w:rsidRPr="00B65F7F">
        <w:rPr>
          <w:rFonts w:eastAsia="Calibri"/>
        </w:rPr>
        <w:t>The US uses a grant-based approach to fund Native American and Alaska Native health and wellbeing services.</w:t>
      </w:r>
    </w:p>
    <w:p w14:paraId="2EF8CD5A" w14:textId="77777777" w:rsidR="00597B5E" w:rsidRPr="00B65F7F" w:rsidRDefault="00597B5E" w:rsidP="00AD65DF">
      <w:pPr>
        <w:pStyle w:val="ListBullet2"/>
      </w:pPr>
      <w:r w:rsidRPr="00B65F7F">
        <w:rPr>
          <w:rFonts w:eastAsia="Calibri"/>
        </w:rPr>
        <w:t xml:space="preserve">The </w:t>
      </w:r>
      <w:r w:rsidRPr="00B65F7F">
        <w:rPr>
          <w:rFonts w:eastAsia="Calibri"/>
          <w:i/>
        </w:rPr>
        <w:t>Indian Self-Determination and Education Assistance Act 1975</w:t>
      </w:r>
      <w:r w:rsidRPr="00B65F7F">
        <w:rPr>
          <w:rFonts w:eastAsia="Calibri"/>
        </w:rPr>
        <w:t xml:space="preserve"> enables federally recognised tribes to exercise autonomy and self-determination over the planning and delivery of their health systems.</w:t>
      </w:r>
    </w:p>
    <w:p w14:paraId="19EACBF1" w14:textId="77777777" w:rsidR="00597B5E" w:rsidRPr="00B65F7F" w:rsidRDefault="00597B5E" w:rsidP="00037619">
      <w:pPr>
        <w:pStyle w:val="HeadingLevel3NoNumber"/>
      </w:pPr>
      <w:bookmarkStart w:id="514" w:name="_heading=h.qqxdkblif362" w:colFirst="0" w:colLast="0"/>
      <w:bookmarkEnd w:id="514"/>
      <w:r w:rsidRPr="00B65F7F">
        <w:t>Commissioning and funding models for Native American and Alaska Native primary healthcare in the United States of America</w:t>
      </w:r>
    </w:p>
    <w:p w14:paraId="5F9E92A6" w14:textId="77777777" w:rsidR="00597B5E" w:rsidRPr="00B65F7F" w:rsidRDefault="00597B5E" w:rsidP="00037619">
      <w:pPr>
        <w:pStyle w:val="HeadingLevel4NoNumber"/>
      </w:pPr>
      <w:bookmarkStart w:id="515" w:name="_heading=h.cgv4evrksp5v" w:colFirst="0" w:colLast="0"/>
      <w:bookmarkEnd w:id="515"/>
      <w:r w:rsidRPr="00B65F7F">
        <w:t>Context</w:t>
      </w:r>
    </w:p>
    <w:p w14:paraId="616CC9B0" w14:textId="77777777" w:rsidR="00597B5E" w:rsidRPr="00B65F7F" w:rsidRDefault="00597B5E" w:rsidP="00AD65DF">
      <w:pPr>
        <w:pStyle w:val="BodyText"/>
      </w:pPr>
      <w:r w:rsidRPr="00B65F7F">
        <w:t xml:space="preserve">The Indian Health Service (IHS) and Substance Abuse and Mental Health Services Administration (SAMHSA) </w:t>
      </w:r>
      <w:r>
        <w:t>–</w:t>
      </w:r>
      <w:r w:rsidRPr="00B65F7F">
        <w:t xml:space="preserve"> agencies within and the Department of Health and Human Services </w:t>
      </w:r>
      <w:r>
        <w:t>–</w:t>
      </w:r>
      <w:r w:rsidRPr="00B65F7F">
        <w:t xml:space="preserve"> are responsible for healthcare, mental health and alcohol and other drug misuse prevention funding to federally recognised tribes (</w:t>
      </w:r>
      <w:r w:rsidRPr="0084658E">
        <w:t>Payne</w:t>
      </w:r>
      <w:r w:rsidRPr="00B65F7F">
        <w:t xml:space="preserve"> </w:t>
      </w:r>
      <w:r>
        <w:t>et al</w:t>
      </w:r>
      <w:r w:rsidRPr="00B65F7F">
        <w:t xml:space="preserve">., 2017, </w:t>
      </w:r>
      <w:r>
        <w:t>p. </w:t>
      </w:r>
      <w:r w:rsidRPr="00B65F7F">
        <w:t xml:space="preserve">6; </w:t>
      </w:r>
      <w:r w:rsidRPr="0084658E">
        <w:t>Assistant</w:t>
      </w:r>
      <w:r w:rsidRPr="00B65F7F">
        <w:t xml:space="preserve"> Secretary for Planning and Evaluation, 2022, </w:t>
      </w:r>
      <w:r>
        <w:t>p. </w:t>
      </w:r>
      <w:r w:rsidRPr="00B65F7F">
        <w:t xml:space="preserve">4). The IHS receives funding from </w:t>
      </w:r>
      <w:r>
        <w:t>3</w:t>
      </w:r>
      <w:r w:rsidRPr="00B65F7F">
        <w:t xml:space="preserve"> major sources, including:</w:t>
      </w:r>
    </w:p>
    <w:p w14:paraId="2582478C" w14:textId="77777777" w:rsidR="00597B5E" w:rsidRPr="0084658E" w:rsidRDefault="00597B5E" w:rsidP="00AD65DF">
      <w:pPr>
        <w:pStyle w:val="ListBullet2"/>
      </w:pPr>
      <w:r w:rsidRPr="00F0334E">
        <w:t>Annual discretionary funding</w:t>
      </w:r>
      <w:r w:rsidRPr="00B65F7F">
        <w:t xml:space="preserve"> through the </w:t>
      </w:r>
      <w:r w:rsidRPr="00F0334E">
        <w:rPr>
          <w:i/>
        </w:rPr>
        <w:t xml:space="preserve">Interior/Environment </w:t>
      </w:r>
      <w:r w:rsidRPr="00F0334E">
        <w:rPr>
          <w:i/>
          <w:iCs/>
        </w:rPr>
        <w:t>Appropriations Act</w:t>
      </w:r>
      <w:r w:rsidRPr="00B65F7F">
        <w:t xml:space="preserve">, which is </w:t>
      </w:r>
      <w:r w:rsidRPr="0084658E">
        <w:t>allocated into core IHS funding, contract support costs and the upkeep of ‘Indian health Facilities’ (Congressional Research Service, 2017, p. 1).</w:t>
      </w:r>
    </w:p>
    <w:p w14:paraId="11FF7AD6" w14:textId="77777777" w:rsidR="00597B5E" w:rsidRPr="00B65F7F" w:rsidRDefault="00597B5E" w:rsidP="00AD65DF">
      <w:pPr>
        <w:pStyle w:val="ListBullet2"/>
      </w:pPr>
      <w:r w:rsidRPr="0084658E">
        <w:t xml:space="preserve">The IHS has the unique authority to </w:t>
      </w:r>
      <w:r w:rsidRPr="00F0334E">
        <w:t>collect reimbursements</w:t>
      </w:r>
      <w:r w:rsidRPr="0084658E">
        <w:t xml:space="preserve"> from Medicare, Medicaid, the State Children’s Health Insurance Program, the Department of Veterans Affairs and from non-federal sources and retain them to supplement funding for services</w:t>
      </w:r>
      <w:r w:rsidRPr="0084658E" w:rsidDel="009C6703">
        <w:t xml:space="preserve"> (</w:t>
      </w:r>
      <w:r w:rsidRPr="0084658E">
        <w:t>Congressional Rese</w:t>
      </w:r>
      <w:r w:rsidRPr="00B65F7F">
        <w:t xml:space="preserve">arch Service, 2016, </w:t>
      </w:r>
      <w:r>
        <w:t>p. </w:t>
      </w:r>
      <w:r w:rsidRPr="00B65F7F">
        <w:t xml:space="preserve">11; Assistant Secretary for Planning and Evaluation, 2022, </w:t>
      </w:r>
      <w:r>
        <w:t>p. </w:t>
      </w:r>
      <w:r w:rsidRPr="00B65F7F">
        <w:t>14)</w:t>
      </w:r>
      <w:r>
        <w:t>.</w:t>
      </w:r>
    </w:p>
    <w:p w14:paraId="11182755" w14:textId="77777777" w:rsidR="00597B5E" w:rsidRPr="00B65F7F" w:rsidRDefault="00597B5E" w:rsidP="00AD65DF">
      <w:pPr>
        <w:pStyle w:val="ListBullet2"/>
      </w:pPr>
      <w:r w:rsidRPr="00B65F7F">
        <w:t xml:space="preserve">Mandatory appropriations to support the Special Diabetes Programs for Indians (Congressional Research Service, 2017, </w:t>
      </w:r>
      <w:r>
        <w:t>p. </w:t>
      </w:r>
      <w:r w:rsidRPr="00B65F7F">
        <w:t>2)</w:t>
      </w:r>
    </w:p>
    <w:p w14:paraId="66A99535" w14:textId="77777777" w:rsidR="00597B5E" w:rsidRPr="00B65F7F" w:rsidRDefault="00597B5E" w:rsidP="00037619">
      <w:pPr>
        <w:pStyle w:val="HeadingLevel4NoNumber"/>
      </w:pPr>
      <w:bookmarkStart w:id="516" w:name="_heading=h.2a79jpdit8kx" w:colFirst="0" w:colLast="0"/>
      <w:bookmarkEnd w:id="516"/>
      <w:r w:rsidRPr="00B65F7F">
        <w:t>Benefits of current funding and commissioning approach</w:t>
      </w:r>
    </w:p>
    <w:p w14:paraId="12CE0E57" w14:textId="77777777" w:rsidR="00597B5E" w:rsidRPr="00B65F7F" w:rsidRDefault="00597B5E" w:rsidP="00AD65DF">
      <w:pPr>
        <w:pStyle w:val="ListBullet2"/>
      </w:pPr>
      <w:r w:rsidRPr="00B65F7F">
        <w:t>Through annual appropriations, the IHS provides contract support costs to cover administrative costs and capital works costs, thereby enabling service providers to direct their funding to service provision (Congressional Research Service, 2016, p</w:t>
      </w:r>
      <w:r>
        <w:t>p. </w:t>
      </w:r>
      <w:r w:rsidRPr="00B65F7F">
        <w:t>15</w:t>
      </w:r>
      <w:r>
        <w:t>–</w:t>
      </w:r>
      <w:r w:rsidRPr="00B65F7F">
        <w:t>16)</w:t>
      </w:r>
      <w:r>
        <w:t>.</w:t>
      </w:r>
    </w:p>
    <w:p w14:paraId="0608CB4B" w14:textId="77777777" w:rsidR="00597B5E" w:rsidRPr="00B65F7F" w:rsidRDefault="00597B5E" w:rsidP="00AD65DF">
      <w:pPr>
        <w:pStyle w:val="ListBullet2"/>
      </w:pPr>
      <w:r w:rsidRPr="00B65F7F">
        <w:t xml:space="preserve">IHS-funded service providers </w:t>
      </w:r>
      <w:r w:rsidR="00C44EB9" w:rsidRPr="00B65F7F">
        <w:t>can</w:t>
      </w:r>
      <w:r w:rsidRPr="00B65F7F">
        <w:t xml:space="preserve"> supplement funding for services by using reimbursements collected from a range of health federal and non-federal health programs and health insurance programs </w:t>
      </w:r>
      <w:r>
        <w:t>(</w:t>
      </w:r>
      <w:r w:rsidRPr="00B65F7F">
        <w:t xml:space="preserve">Congressional Research Service, 2016, </w:t>
      </w:r>
      <w:r>
        <w:t>p. </w:t>
      </w:r>
      <w:r w:rsidRPr="00B65F7F">
        <w:t xml:space="preserve">11; Assistant Secretary for Planning and Evaluation, 2022, </w:t>
      </w:r>
      <w:r>
        <w:t>p. </w:t>
      </w:r>
      <w:r w:rsidRPr="00B65F7F">
        <w:t>14)</w:t>
      </w:r>
      <w:r>
        <w:t>.</w:t>
      </w:r>
    </w:p>
    <w:p w14:paraId="1A6BABC1" w14:textId="77777777" w:rsidR="00597B5E" w:rsidRPr="00B65F7F" w:rsidRDefault="00597B5E" w:rsidP="00AD65DF">
      <w:pPr>
        <w:pStyle w:val="ListBullet2"/>
      </w:pPr>
      <w:r w:rsidRPr="00B65F7F">
        <w:t xml:space="preserve">As part of their annual budget formulation processes, the IHS ‘takes into account tribal priorities’ </w:t>
      </w:r>
      <w:r>
        <w:t>w</w:t>
      </w:r>
      <w:r w:rsidRPr="00B65F7F">
        <w:t xml:space="preserve">hen developing </w:t>
      </w:r>
      <w:r>
        <w:t>its</w:t>
      </w:r>
      <w:r w:rsidRPr="00B65F7F">
        <w:t xml:space="preserve"> annual IHS budget request to Congress (Assistant Secretary for Planning and Evaluation, 2022, </w:t>
      </w:r>
      <w:r>
        <w:t>p. </w:t>
      </w:r>
      <w:r w:rsidRPr="00B65F7F">
        <w:t>14)</w:t>
      </w:r>
      <w:r>
        <w:t>.</w:t>
      </w:r>
    </w:p>
    <w:p w14:paraId="2FA8C4BC" w14:textId="77777777" w:rsidR="00597B5E" w:rsidRPr="00B65F7F" w:rsidRDefault="00597B5E" w:rsidP="00037619">
      <w:pPr>
        <w:pStyle w:val="HeadingLevel4NoNumber"/>
      </w:pPr>
      <w:bookmarkStart w:id="517" w:name="_heading=h.ugujysf53bj" w:colFirst="0" w:colLast="0"/>
      <w:bookmarkEnd w:id="517"/>
      <w:r w:rsidRPr="00B65F7F">
        <w:t>Drawbacks of current funding and commissioning approach</w:t>
      </w:r>
    </w:p>
    <w:p w14:paraId="78902DEB" w14:textId="77777777" w:rsidR="00597B5E" w:rsidRPr="00B65F7F" w:rsidRDefault="00597B5E" w:rsidP="00AD65DF">
      <w:pPr>
        <w:pStyle w:val="ListBullet2"/>
      </w:pPr>
      <w:r w:rsidRPr="00B65F7F">
        <w:t xml:space="preserve">Congress has a moral obligation, not a legal obligation, to allocate funding to the IHS. Congress recently reaffirmed its obligations to provide healthcare to Native Americans and Alaska Natives through the reauthorisation of the </w:t>
      </w:r>
      <w:r w:rsidRPr="00F0334E">
        <w:rPr>
          <w:i/>
        </w:rPr>
        <w:t>Indigenous Health Care Improvement Act</w:t>
      </w:r>
      <w:r w:rsidRPr="00B65F7F">
        <w:t xml:space="preserve"> (Congressional Research Service, 2016, </w:t>
      </w:r>
      <w:r>
        <w:t>p. </w:t>
      </w:r>
      <w:r w:rsidRPr="00B65F7F">
        <w:t>1)</w:t>
      </w:r>
      <w:r>
        <w:t>.</w:t>
      </w:r>
    </w:p>
    <w:p w14:paraId="4E3E9777" w14:textId="77777777" w:rsidR="00597B5E" w:rsidRPr="00B65F7F" w:rsidRDefault="00597B5E" w:rsidP="00AD65DF">
      <w:pPr>
        <w:pStyle w:val="ListBullet2"/>
      </w:pPr>
      <w:r w:rsidRPr="00B65F7F">
        <w:t xml:space="preserve">The largest portion of IHS funding is Congressional discretionary funding which is renewed annually and is prone to significant lapses in funding due to government shutdowns (Assistant Secretary for Planning and Evaluation, 2022, </w:t>
      </w:r>
      <w:r>
        <w:t>p. </w:t>
      </w:r>
      <w:r w:rsidRPr="00B65F7F">
        <w:t>14).</w:t>
      </w:r>
    </w:p>
    <w:p w14:paraId="52459D40" w14:textId="77777777" w:rsidR="00597B5E" w:rsidRPr="00B65F7F" w:rsidRDefault="00597B5E" w:rsidP="00037619">
      <w:pPr>
        <w:pStyle w:val="HeadingLevel4NoNumber"/>
      </w:pPr>
      <w:r w:rsidRPr="00B65F7F">
        <w:t>Background</w:t>
      </w:r>
    </w:p>
    <w:p w14:paraId="53AE851A" w14:textId="77777777" w:rsidR="00597B5E" w:rsidRPr="00B65F7F" w:rsidRDefault="00597B5E" w:rsidP="00AD65DF">
      <w:pPr>
        <w:pStyle w:val="BodyText"/>
      </w:pPr>
      <w:r w:rsidRPr="00B65F7F">
        <w:t>According to 2020 Census data for the United States of America, 9.7 million people identify as Native American and Alaska Native, and 87% of these people live off reservations or land trusts (</w:t>
      </w:r>
      <w:r w:rsidRPr="0084658E">
        <w:t>Jones</w:t>
      </w:r>
      <w:r w:rsidRPr="00B65F7F">
        <w:t xml:space="preserve"> </w:t>
      </w:r>
      <w:r>
        <w:t>et al</w:t>
      </w:r>
      <w:r w:rsidRPr="00B65F7F">
        <w:t xml:space="preserve">., 2021; </w:t>
      </w:r>
      <w:r w:rsidRPr="0084658E">
        <w:t>Office</w:t>
      </w:r>
      <w:r w:rsidRPr="00B65F7F">
        <w:t xml:space="preserve"> of Minority Health, 2022). As of 2019, the states with the largest Native American and Alaska Native populations were Arizona, California, Oklahoma, New Mexico, Texas, North Carolina, Alaska, Washington, South Dakota and New York (Office of Minority Health, 2022). </w:t>
      </w:r>
    </w:p>
    <w:p w14:paraId="69352304" w14:textId="77777777" w:rsidR="00597B5E" w:rsidRPr="00B65F7F" w:rsidRDefault="00597B5E" w:rsidP="00AD65DF">
      <w:pPr>
        <w:pStyle w:val="BodyText"/>
      </w:pPr>
      <w:r w:rsidRPr="00B65F7F">
        <w:t xml:space="preserve">The </w:t>
      </w:r>
      <w:r w:rsidRPr="00B65F7F">
        <w:rPr>
          <w:i/>
        </w:rPr>
        <w:t>Indian Self-Determination and Education Assistance Act 1975</w:t>
      </w:r>
      <w:r w:rsidRPr="00B65F7F">
        <w:t xml:space="preserve"> enables federally recognised tribes (of which there are 574) to exercise self-determination in relation to health, education and social services by exercising autonomy over the planning and delivery of their health systems (</w:t>
      </w:r>
      <w:r w:rsidRPr="0084658E">
        <w:t>Halseth</w:t>
      </w:r>
      <w:r w:rsidRPr="00B65F7F">
        <w:t xml:space="preserve"> &amp; Murdock, 2020, </w:t>
      </w:r>
      <w:r>
        <w:t>p. </w:t>
      </w:r>
      <w:r w:rsidRPr="00B65F7F">
        <w:t xml:space="preserve">25). Federally recognised tribes can choose if ‘they would like to manage specific health programs, have Indian Health Services manage them or use a combination of self-governance delivery systems’ (Halseth &amp; Murdock, 2020, </w:t>
      </w:r>
      <w:r>
        <w:t>p. </w:t>
      </w:r>
      <w:r w:rsidRPr="00B65F7F">
        <w:t>25).</w:t>
      </w:r>
    </w:p>
    <w:p w14:paraId="368D31DC" w14:textId="77777777" w:rsidR="00597B5E" w:rsidRDefault="00597B5E" w:rsidP="00AD65DF">
      <w:pPr>
        <w:pStyle w:val="BodyText"/>
        <w:rPr>
          <w:rFonts w:asciiTheme="majorHAnsi" w:eastAsiaTheme="majorEastAsia" w:hAnsiTheme="majorHAnsi" w:cs="Arial (Headings CS)"/>
          <w:b/>
          <w:sz w:val="28"/>
        </w:rPr>
      </w:pPr>
      <w:r w:rsidRPr="00B65F7F">
        <w:t>The following identifies several examples from the US that demonstrate many of the guiding principles that have been considered by the literature.</w:t>
      </w:r>
    </w:p>
    <w:p w14:paraId="61BEA3DB" w14:textId="77777777" w:rsidR="00597B5E" w:rsidRPr="00B65F7F" w:rsidRDefault="00597B5E" w:rsidP="00037619">
      <w:pPr>
        <w:pStyle w:val="HeadingLevel3NoNumber"/>
      </w:pPr>
      <w:r w:rsidRPr="009B45FC">
        <w:t>Southcentral Foundation's</w:t>
      </w:r>
      <w:r w:rsidRPr="00B65F7F">
        <w:t xml:space="preserve"> Nuka System of Care</w:t>
      </w:r>
    </w:p>
    <w:p w14:paraId="69A0E7B7" w14:textId="6E9D6ADB" w:rsidR="00597B5E" w:rsidRPr="00B65F7F" w:rsidRDefault="002A08FA" w:rsidP="00DD0673">
      <w:pPr>
        <w:pStyle w:val="CaptionTable"/>
        <w:rPr>
          <w:rFonts w:eastAsia="Calibri"/>
        </w:rPr>
      </w:pPr>
      <w:bookmarkStart w:id="518" w:name="_heading=h.l7a3n9" w:colFirst="0" w:colLast="0"/>
      <w:bookmarkStart w:id="519" w:name="_Toc145604972"/>
      <w:bookmarkStart w:id="520" w:name="_Toc145617844"/>
      <w:bookmarkStart w:id="521" w:name="_Toc156932116"/>
      <w:bookmarkEnd w:id="518"/>
      <w:r>
        <w:t>Table A9.</w:t>
      </w:r>
      <w:r>
        <w:fldChar w:fldCharType="begin"/>
      </w:r>
      <w:r>
        <w:instrText xml:space="preserve"> SEQ Table_A9 \* ARABIC </w:instrText>
      </w:r>
      <w:r>
        <w:fldChar w:fldCharType="separate"/>
      </w:r>
      <w:r w:rsidR="00934D5E">
        <w:rPr>
          <w:noProof/>
        </w:rPr>
        <w:t>23</w:t>
      </w:r>
      <w:r>
        <w:fldChar w:fldCharType="end"/>
      </w:r>
      <w:r w:rsidR="00597B5E">
        <w:t>:</w:t>
      </w:r>
      <w:r w:rsidR="00DD0673">
        <w:t xml:space="preserve"> </w:t>
      </w:r>
      <w:r w:rsidR="00597B5E" w:rsidRPr="00B65F7F">
        <w:rPr>
          <w:rFonts w:eastAsia="Calibri"/>
        </w:rPr>
        <w:t>The Nuka System of Care alignment with guiding principles</w:t>
      </w:r>
      <w:bookmarkEnd w:id="519"/>
      <w:bookmarkEnd w:id="520"/>
      <w:bookmarkEnd w:id="521"/>
    </w:p>
    <w:tbl>
      <w:tblPr>
        <w:tblStyle w:val="Newtableforresport"/>
        <w:tblW w:w="9618" w:type="dxa"/>
        <w:tblInd w:w="10" w:type="dxa"/>
        <w:tblLayout w:type="fixed"/>
        <w:tblLook w:val="0420" w:firstRow="1" w:lastRow="0" w:firstColumn="0" w:lastColumn="0" w:noHBand="0" w:noVBand="1"/>
        <w:tblCaption w:val="Table A9.23: The Nuka System of Care alignment with guiding principles"/>
        <w:tblDescription w:val="The table describes how the guiding principles of funding transition align with the Nuka System of Care. The first column lists the guiding principles of funding transition. The second column provides a description of how the Nuka System of Care aligns with the relevant guiding principle in the first column. "/>
      </w:tblPr>
      <w:tblGrid>
        <w:gridCol w:w="3392"/>
        <w:gridCol w:w="6226"/>
      </w:tblGrid>
      <w:tr w:rsidR="00597B5E" w:rsidRPr="0033162B" w14:paraId="636D95FD" w14:textId="77777777" w:rsidTr="009D4C69">
        <w:trPr>
          <w:cnfStyle w:val="100000000000" w:firstRow="1" w:lastRow="0" w:firstColumn="0" w:lastColumn="0" w:oddVBand="0" w:evenVBand="0" w:oddHBand="0" w:evenHBand="0" w:firstRowFirstColumn="0" w:firstRowLastColumn="0" w:lastRowFirstColumn="0" w:lastRowLastColumn="0"/>
          <w:tblHeader/>
        </w:trPr>
        <w:tc>
          <w:tcPr>
            <w:tcW w:w="3392" w:type="dxa"/>
          </w:tcPr>
          <w:p w14:paraId="5CE64B8B" w14:textId="77777777" w:rsidR="00597B5E" w:rsidRPr="0033162B" w:rsidRDefault="00597B5E" w:rsidP="00024E8D">
            <w:pPr>
              <w:pStyle w:val="TableHeading"/>
              <w:rPr>
                <w:rFonts w:eastAsia="Calibri"/>
                <w:b w:val="0"/>
              </w:rPr>
            </w:pPr>
            <w:r w:rsidRPr="0033162B">
              <w:rPr>
                <w:rFonts w:eastAsia="Calibri"/>
              </w:rPr>
              <w:t>Element</w:t>
            </w:r>
          </w:p>
        </w:tc>
        <w:tc>
          <w:tcPr>
            <w:tcW w:w="6226" w:type="dxa"/>
          </w:tcPr>
          <w:p w14:paraId="09ECFB33" w14:textId="77777777" w:rsidR="00597B5E" w:rsidRPr="0033162B" w:rsidRDefault="00597B5E" w:rsidP="00024E8D">
            <w:pPr>
              <w:pStyle w:val="TableHeading"/>
              <w:rPr>
                <w:rFonts w:eastAsia="Calibri"/>
                <w:b w:val="0"/>
              </w:rPr>
            </w:pPr>
            <w:r w:rsidRPr="0033162B">
              <w:rPr>
                <w:rFonts w:eastAsia="Calibri"/>
              </w:rPr>
              <w:t>Description</w:t>
            </w:r>
          </w:p>
        </w:tc>
      </w:tr>
      <w:tr w:rsidR="00597B5E" w:rsidRPr="00B65F7F" w14:paraId="3E3B4F40" w14:textId="77777777" w:rsidTr="006F6DD1">
        <w:trPr>
          <w:cnfStyle w:val="000000100000" w:firstRow="0" w:lastRow="0" w:firstColumn="0" w:lastColumn="0" w:oddVBand="0" w:evenVBand="0" w:oddHBand="1" w:evenHBand="0" w:firstRowFirstColumn="0" w:firstRowLastColumn="0" w:lastRowFirstColumn="0" w:lastRowLastColumn="0"/>
        </w:trPr>
        <w:tc>
          <w:tcPr>
            <w:tcW w:w="3392" w:type="dxa"/>
          </w:tcPr>
          <w:p w14:paraId="7E1FE92B" w14:textId="77777777" w:rsidR="00597B5E" w:rsidRPr="00B65F7F" w:rsidRDefault="00597B5E" w:rsidP="00AD65DF">
            <w:pPr>
              <w:pStyle w:val="TableText"/>
              <w:rPr>
                <w:rFonts w:eastAsia="Calibri"/>
              </w:rPr>
            </w:pPr>
            <w:r w:rsidRPr="00B65F7F">
              <w:rPr>
                <w:rFonts w:eastAsia="Calibri"/>
                <w:highlight w:val="white"/>
              </w:rPr>
              <w:t>Indigenous self-determination</w:t>
            </w:r>
          </w:p>
        </w:tc>
        <w:tc>
          <w:tcPr>
            <w:tcW w:w="6226" w:type="dxa"/>
            <w:vMerge w:val="restart"/>
          </w:tcPr>
          <w:p w14:paraId="294103CB" w14:textId="77777777" w:rsidR="00597B5E" w:rsidRPr="00B65F7F" w:rsidRDefault="00597B5E" w:rsidP="00AD65DF">
            <w:pPr>
              <w:pStyle w:val="TableText"/>
              <w:rPr>
                <w:rFonts w:eastAsia="Calibri"/>
              </w:rPr>
            </w:pPr>
            <w:r w:rsidRPr="00B65F7F">
              <w:rPr>
                <w:rFonts w:eastAsia="Calibri"/>
                <w:highlight w:val="white"/>
              </w:rPr>
              <w:t>The act of the Southcentral Foundation managing Alaska Native health programs in Southcentral Alaska is an inherent act of self-determination. This is further bolstered by Southcentral Foundation aligning and improving their services and programs in response to the needs, values and feedback of Alaska Native ‘customer-owners’.</w:t>
            </w:r>
          </w:p>
        </w:tc>
      </w:tr>
      <w:tr w:rsidR="00597B5E" w:rsidRPr="00B65F7F" w14:paraId="7A3D766F" w14:textId="77777777" w:rsidTr="006F6DD1">
        <w:trPr>
          <w:cnfStyle w:val="000000010000" w:firstRow="0" w:lastRow="0" w:firstColumn="0" w:lastColumn="0" w:oddVBand="0" w:evenVBand="0" w:oddHBand="0" w:evenHBand="1" w:firstRowFirstColumn="0" w:firstRowLastColumn="0" w:lastRowFirstColumn="0" w:lastRowLastColumn="0"/>
        </w:trPr>
        <w:tc>
          <w:tcPr>
            <w:tcW w:w="3392" w:type="dxa"/>
          </w:tcPr>
          <w:p w14:paraId="045C0F30" w14:textId="77777777" w:rsidR="00597B5E" w:rsidRPr="00B65F7F" w:rsidRDefault="00597B5E" w:rsidP="00AD65DF">
            <w:pPr>
              <w:pStyle w:val="TableText"/>
              <w:rPr>
                <w:rFonts w:eastAsia="Calibri"/>
              </w:rPr>
            </w:pPr>
            <w:r w:rsidRPr="00B65F7F">
              <w:rPr>
                <w:rFonts w:eastAsia="Calibri"/>
                <w:highlight w:val="white"/>
              </w:rPr>
              <w:t>Community partnerships, co-design and ownership</w:t>
            </w:r>
          </w:p>
        </w:tc>
        <w:tc>
          <w:tcPr>
            <w:tcW w:w="6226" w:type="dxa"/>
            <w:vMerge/>
          </w:tcPr>
          <w:p w14:paraId="5ABF5C1C" w14:textId="77777777" w:rsidR="00597B5E" w:rsidRPr="00B65F7F" w:rsidRDefault="00597B5E" w:rsidP="00AD65DF">
            <w:pPr>
              <w:pStyle w:val="TableText"/>
              <w:rPr>
                <w:rFonts w:eastAsia="Calibri"/>
              </w:rPr>
            </w:pPr>
          </w:p>
        </w:tc>
      </w:tr>
      <w:tr w:rsidR="00597B5E" w:rsidRPr="00B65F7F" w14:paraId="085C3746" w14:textId="77777777" w:rsidTr="006F6DD1">
        <w:trPr>
          <w:cnfStyle w:val="000000100000" w:firstRow="0" w:lastRow="0" w:firstColumn="0" w:lastColumn="0" w:oddVBand="0" w:evenVBand="0" w:oddHBand="1" w:evenHBand="0" w:firstRowFirstColumn="0" w:firstRowLastColumn="0" w:lastRowFirstColumn="0" w:lastRowLastColumn="0"/>
        </w:trPr>
        <w:tc>
          <w:tcPr>
            <w:tcW w:w="3392" w:type="dxa"/>
          </w:tcPr>
          <w:p w14:paraId="22F57F7B" w14:textId="77777777" w:rsidR="00597B5E" w:rsidRPr="00B65F7F" w:rsidRDefault="00597B5E" w:rsidP="00AD65DF">
            <w:pPr>
              <w:pStyle w:val="TableText"/>
              <w:rPr>
                <w:rFonts w:eastAsia="Calibri"/>
              </w:rPr>
            </w:pPr>
            <w:r w:rsidRPr="00B65F7F">
              <w:rPr>
                <w:rFonts w:eastAsia="Calibri"/>
                <w:highlight w:val="white"/>
              </w:rPr>
              <w:t>Culturally safe and responsive healthcare</w:t>
            </w:r>
          </w:p>
        </w:tc>
        <w:tc>
          <w:tcPr>
            <w:tcW w:w="6226" w:type="dxa"/>
            <w:vMerge/>
          </w:tcPr>
          <w:p w14:paraId="3F284E9A" w14:textId="77777777" w:rsidR="00597B5E" w:rsidRPr="00B65F7F" w:rsidRDefault="00597B5E" w:rsidP="00AD65DF">
            <w:pPr>
              <w:pStyle w:val="TableText"/>
              <w:rPr>
                <w:rFonts w:eastAsia="Calibri"/>
              </w:rPr>
            </w:pPr>
          </w:p>
        </w:tc>
      </w:tr>
      <w:tr w:rsidR="00597B5E" w:rsidRPr="00B65F7F" w14:paraId="38D244AA" w14:textId="77777777" w:rsidTr="006F6DD1">
        <w:trPr>
          <w:cnfStyle w:val="000000010000" w:firstRow="0" w:lastRow="0" w:firstColumn="0" w:lastColumn="0" w:oddVBand="0" w:evenVBand="0" w:oddHBand="0" w:evenHBand="1" w:firstRowFirstColumn="0" w:firstRowLastColumn="0" w:lastRowFirstColumn="0" w:lastRowLastColumn="0"/>
        </w:trPr>
        <w:tc>
          <w:tcPr>
            <w:tcW w:w="3392" w:type="dxa"/>
          </w:tcPr>
          <w:p w14:paraId="54C13D4A" w14:textId="77777777" w:rsidR="00597B5E" w:rsidRPr="00B65F7F" w:rsidRDefault="00597B5E" w:rsidP="00AD65DF">
            <w:pPr>
              <w:pStyle w:val="TableText"/>
              <w:rPr>
                <w:rFonts w:eastAsia="Calibri"/>
              </w:rPr>
            </w:pPr>
            <w:r w:rsidRPr="00B65F7F">
              <w:rPr>
                <w:rFonts w:eastAsia="Calibri"/>
                <w:highlight w:val="white"/>
              </w:rPr>
              <w:t>Holistic understandings of health and wellbeing</w:t>
            </w:r>
          </w:p>
        </w:tc>
        <w:tc>
          <w:tcPr>
            <w:tcW w:w="6226" w:type="dxa"/>
          </w:tcPr>
          <w:p w14:paraId="145916F4" w14:textId="77777777" w:rsidR="00597B5E" w:rsidRPr="00B65F7F" w:rsidRDefault="00597B5E" w:rsidP="00AD65DF">
            <w:pPr>
              <w:pStyle w:val="TableText"/>
              <w:rPr>
                <w:rFonts w:eastAsia="Calibri"/>
              </w:rPr>
            </w:pPr>
            <w:r w:rsidRPr="00B65F7F">
              <w:rPr>
                <w:rFonts w:eastAsia="Calibri"/>
                <w:highlight w:val="white"/>
              </w:rPr>
              <w:t>Southcentral Foundation’s approach to healthcare includes ensuring the holistic needs of Alaska Natives are met in a timely manner that promotes continuity of care and wellness.</w:t>
            </w:r>
          </w:p>
        </w:tc>
      </w:tr>
    </w:tbl>
    <w:p w14:paraId="75A1062C" w14:textId="77777777" w:rsidR="00597B5E" w:rsidRPr="00B65F7F" w:rsidRDefault="00597B5E" w:rsidP="00037619">
      <w:pPr>
        <w:pStyle w:val="HeadingLevel4NoNumber"/>
      </w:pPr>
      <w:r w:rsidRPr="00B65F7F">
        <w:t>Overview</w:t>
      </w:r>
    </w:p>
    <w:p w14:paraId="3D76ACB6" w14:textId="77777777" w:rsidR="00597B5E" w:rsidRPr="00B65F7F" w:rsidRDefault="00597B5E" w:rsidP="00AD65DF">
      <w:pPr>
        <w:pStyle w:val="BodyText"/>
      </w:pPr>
      <w:r w:rsidRPr="00B65F7F">
        <w:t>In accordance with self-determination, almost all of Alaska’s health programs are managed by Alaska Native tribes and organisations. As Mark Trahant (</w:t>
      </w:r>
      <w:r w:rsidR="002B46E5" w:rsidRPr="00B65F7F">
        <w:t>Shoshone Bannock</w:t>
      </w:r>
      <w:r w:rsidRPr="00B65F7F">
        <w:t xml:space="preserve"> tribe) notes, federal funding and resources have been reassigned and ‘redesigned to build a system based on Alaska Native ownership’ (</w:t>
      </w:r>
      <w:r w:rsidRPr="0084658E">
        <w:t>Trahant</w:t>
      </w:r>
      <w:r>
        <w:t xml:space="preserve">, </w:t>
      </w:r>
      <w:r w:rsidRPr="00B65F7F">
        <w:t>2018). </w:t>
      </w:r>
    </w:p>
    <w:p w14:paraId="0CCC9D29" w14:textId="77777777" w:rsidR="00597B5E" w:rsidRPr="00B65F7F" w:rsidRDefault="00597B5E" w:rsidP="00AD65DF">
      <w:pPr>
        <w:pStyle w:val="BodyText"/>
      </w:pPr>
      <w:r w:rsidRPr="00B65F7F">
        <w:t>Now, the Southcentral Foundation serves more than 60,000 Alaska Native and Native American peoples in Southcentral Alaska (</w:t>
      </w:r>
      <w:r w:rsidRPr="0084658E">
        <w:t>Gottlieb</w:t>
      </w:r>
      <w:r w:rsidRPr="00B65F7F">
        <w:t xml:space="preserve">, 2013, </w:t>
      </w:r>
      <w:r>
        <w:t>p. </w:t>
      </w:r>
      <w:r w:rsidRPr="00B65F7F">
        <w:t>1). Their system of care is underpinned by the notion that Alaska Native and Native American healthcare should be guided and owned by Native health service users and their feedback. It should prioritise accessibility and continuity of care; practise holistic approach to care rooted in Alaska Native peoples’ traditions and beliefs; and centre the importance of relationships between service users, families, communities and service providers (</w:t>
      </w:r>
      <w:r w:rsidRPr="0084658E">
        <w:t>Gottlieb</w:t>
      </w:r>
      <w:r w:rsidRPr="00B65F7F">
        <w:t xml:space="preserve">, 2013; </w:t>
      </w:r>
      <w:r w:rsidRPr="0084658E">
        <w:t>Halseth</w:t>
      </w:r>
      <w:r w:rsidRPr="00B65F7F">
        <w:t xml:space="preserve"> &amp; Murdock, 2020, </w:t>
      </w:r>
      <w:r>
        <w:t>p. </w:t>
      </w:r>
      <w:r w:rsidRPr="00B65F7F">
        <w:t xml:space="preserve">26; </w:t>
      </w:r>
      <w:r w:rsidRPr="0084658E">
        <w:t>Southcentral</w:t>
      </w:r>
      <w:r w:rsidRPr="00B65F7F">
        <w:t xml:space="preserve"> Foundation, n.d.). </w:t>
      </w:r>
    </w:p>
    <w:p w14:paraId="20B5D59C" w14:textId="77777777" w:rsidR="00597B5E" w:rsidRPr="00B65F7F" w:rsidRDefault="00597B5E" w:rsidP="00AD65DF">
      <w:pPr>
        <w:pStyle w:val="BodyText"/>
      </w:pPr>
      <w:r w:rsidRPr="00B65F7F">
        <w:t>Additionally, Southcentral Foundation – to ensure reciprocal accountability – has established a set of goals, objectives and measures related to its performance in ‘customer-owner satisfaction, commitment to quality, improved work environments, continued improvement of systems and processes, increased Alaska Native employment in the health sector, as well as progress on health outcomes across a range of indicators, reporting on an annual basis’ (Halseth &amp; Murdock, 2020, p</w:t>
      </w:r>
      <w:r>
        <w:t>p. </w:t>
      </w:r>
      <w:r w:rsidRPr="00B65F7F">
        <w:t>26–27). </w:t>
      </w:r>
    </w:p>
    <w:p w14:paraId="7AD07F7C" w14:textId="77777777" w:rsidR="00597B5E" w:rsidRPr="00B65F7F" w:rsidRDefault="00597B5E" w:rsidP="00037619">
      <w:pPr>
        <w:pStyle w:val="HeadingLevel3NoNumber"/>
      </w:pPr>
      <w:bookmarkStart w:id="522" w:name="_heading=h.aidzry7ru0c3" w:colFirst="0" w:colLast="0"/>
      <w:bookmarkEnd w:id="522"/>
      <w:r w:rsidRPr="00B65F7F">
        <w:t xml:space="preserve">Good Health and Wellness in Indian Country </w:t>
      </w:r>
    </w:p>
    <w:p w14:paraId="2BB7B2A2" w14:textId="77777777" w:rsidR="00597B5E" w:rsidRPr="00B65F7F" w:rsidRDefault="00597B5E" w:rsidP="00037619">
      <w:pPr>
        <w:pStyle w:val="HeadingLevel4NoNumber"/>
      </w:pPr>
      <w:bookmarkStart w:id="523" w:name="_heading=h.5axenusttn5o" w:colFirst="0" w:colLast="0"/>
      <w:bookmarkEnd w:id="523"/>
      <w:r w:rsidRPr="00B65F7F">
        <w:t>Key findings</w:t>
      </w:r>
    </w:p>
    <w:p w14:paraId="414CAA9F" w14:textId="77777777" w:rsidR="00597B5E" w:rsidRPr="00B65F7F" w:rsidRDefault="00597B5E" w:rsidP="0018380C">
      <w:pPr>
        <w:pStyle w:val="ListBullet2"/>
      </w:pPr>
      <w:r>
        <w:t xml:space="preserve">The approach of </w:t>
      </w:r>
      <w:r w:rsidRPr="00B65F7F">
        <w:t>Good Health and Wellness in Indian Country</w:t>
      </w:r>
      <w:r>
        <w:t xml:space="preserve"> </w:t>
      </w:r>
      <w:r w:rsidRPr="00D27DD4">
        <w:t>(GHWIC)</w:t>
      </w:r>
      <w:r w:rsidRPr="00B65F7F">
        <w:t xml:space="preserve"> to funding administration-area-level tribal organisations as part of Component Two funding arrangements can expand the reach of limited resources to more tribal partners than would usually be possible by funding individual tribes (</w:t>
      </w:r>
      <w:r w:rsidRPr="0084658E">
        <w:t>Andrade</w:t>
      </w:r>
      <w:r w:rsidRPr="00B65F7F">
        <w:t xml:space="preserve"> </w:t>
      </w:r>
      <w:r>
        <w:t>et al</w:t>
      </w:r>
      <w:r w:rsidRPr="00B65F7F">
        <w:t>., 2019).</w:t>
      </w:r>
    </w:p>
    <w:p w14:paraId="353A7153" w14:textId="4E3CFB2F" w:rsidR="00597B5E" w:rsidRPr="00B65F7F" w:rsidRDefault="002A08FA" w:rsidP="002A08FA">
      <w:pPr>
        <w:pStyle w:val="CaptionTable"/>
      </w:pPr>
      <w:bookmarkStart w:id="524" w:name="_Toc145604973"/>
      <w:bookmarkStart w:id="525" w:name="_Toc145617845"/>
      <w:bookmarkStart w:id="526" w:name="_Toc156932117"/>
      <w:r>
        <w:t>Table A9.</w:t>
      </w:r>
      <w:r>
        <w:fldChar w:fldCharType="begin"/>
      </w:r>
      <w:r>
        <w:instrText xml:space="preserve"> SEQ Table_A9 \* ARABIC </w:instrText>
      </w:r>
      <w:r>
        <w:fldChar w:fldCharType="separate"/>
      </w:r>
      <w:r w:rsidR="00934D5E">
        <w:rPr>
          <w:noProof/>
        </w:rPr>
        <w:t>24</w:t>
      </w:r>
      <w:r>
        <w:fldChar w:fldCharType="end"/>
      </w:r>
      <w:r w:rsidR="00597B5E">
        <w:t>:</w:t>
      </w:r>
      <w:r w:rsidR="00DC38E3">
        <w:t xml:space="preserve"> </w:t>
      </w:r>
      <w:r w:rsidR="00597B5E" w:rsidRPr="00B65F7F">
        <w:t>Good Health and Wellness in Indian Country alignment with guiding principles</w:t>
      </w:r>
      <w:bookmarkEnd w:id="524"/>
      <w:bookmarkEnd w:id="525"/>
      <w:bookmarkEnd w:id="526"/>
    </w:p>
    <w:tbl>
      <w:tblPr>
        <w:tblStyle w:val="Newtableforresport"/>
        <w:tblW w:w="9618" w:type="dxa"/>
        <w:tblInd w:w="10" w:type="dxa"/>
        <w:tblLayout w:type="fixed"/>
        <w:tblLook w:val="0420" w:firstRow="1" w:lastRow="0" w:firstColumn="0" w:lastColumn="0" w:noHBand="0" w:noVBand="1"/>
        <w:tblCaption w:val="Table A9.24: Good Health and Wellness in Indian Country alignment with guiding principles"/>
        <w:tblDescription w:val="The table describes how the guiding principles of funding transition align with Good Health and Wellness in Indian Country. The first column lists the guiding principles of funding transition. The second column provides a description of how Good Health and Wellness in Indian Country aligns with the relevant guiding principle in the first column. "/>
      </w:tblPr>
      <w:tblGrid>
        <w:gridCol w:w="4526"/>
        <w:gridCol w:w="5092"/>
      </w:tblGrid>
      <w:tr w:rsidR="00597B5E" w:rsidRPr="0033162B" w14:paraId="074AEE46" w14:textId="77777777" w:rsidTr="006F6DD1">
        <w:trPr>
          <w:cnfStyle w:val="100000000000" w:firstRow="1" w:lastRow="0" w:firstColumn="0" w:lastColumn="0" w:oddVBand="0" w:evenVBand="0" w:oddHBand="0" w:evenHBand="0" w:firstRowFirstColumn="0" w:firstRowLastColumn="0" w:lastRowFirstColumn="0" w:lastRowLastColumn="0"/>
          <w:tblHeader/>
        </w:trPr>
        <w:tc>
          <w:tcPr>
            <w:tcW w:w="4526" w:type="dxa"/>
          </w:tcPr>
          <w:p w14:paraId="1E1A55A5" w14:textId="77777777" w:rsidR="00597B5E" w:rsidRPr="0033162B" w:rsidRDefault="00597B5E" w:rsidP="00024E8D">
            <w:pPr>
              <w:pStyle w:val="TableHeading"/>
              <w:rPr>
                <w:b w:val="0"/>
              </w:rPr>
            </w:pPr>
            <w:r w:rsidRPr="0033162B">
              <w:t>Guiding principle</w:t>
            </w:r>
          </w:p>
        </w:tc>
        <w:tc>
          <w:tcPr>
            <w:tcW w:w="5092" w:type="dxa"/>
          </w:tcPr>
          <w:p w14:paraId="73546245" w14:textId="77777777" w:rsidR="00597B5E" w:rsidRPr="0033162B" w:rsidRDefault="00597B5E" w:rsidP="00024E8D">
            <w:pPr>
              <w:pStyle w:val="TableHeading"/>
              <w:rPr>
                <w:b w:val="0"/>
              </w:rPr>
            </w:pPr>
            <w:r w:rsidRPr="0033162B">
              <w:t>Description</w:t>
            </w:r>
          </w:p>
        </w:tc>
      </w:tr>
      <w:tr w:rsidR="00597B5E" w:rsidRPr="00B65F7F" w14:paraId="095ABBBB" w14:textId="77777777" w:rsidTr="006F6DD1">
        <w:trPr>
          <w:cnfStyle w:val="000000100000" w:firstRow="0" w:lastRow="0" w:firstColumn="0" w:lastColumn="0" w:oddVBand="0" w:evenVBand="0" w:oddHBand="1" w:evenHBand="0" w:firstRowFirstColumn="0" w:firstRowLastColumn="0" w:lastRowFirstColumn="0" w:lastRowLastColumn="0"/>
        </w:trPr>
        <w:tc>
          <w:tcPr>
            <w:tcW w:w="4526" w:type="dxa"/>
          </w:tcPr>
          <w:p w14:paraId="60A3BAFC" w14:textId="77777777" w:rsidR="00597B5E" w:rsidRPr="00B65F7F" w:rsidRDefault="00597B5E" w:rsidP="0018380C">
            <w:pPr>
              <w:pStyle w:val="TableText"/>
            </w:pPr>
            <w:r w:rsidRPr="00B65F7F">
              <w:t>Indigenous self-determination</w:t>
            </w:r>
          </w:p>
        </w:tc>
        <w:tc>
          <w:tcPr>
            <w:tcW w:w="5092" w:type="dxa"/>
            <w:vMerge w:val="restart"/>
          </w:tcPr>
          <w:p w14:paraId="0449414C" w14:textId="26975014" w:rsidR="00597B5E" w:rsidRPr="00B65F7F" w:rsidRDefault="00597B5E" w:rsidP="0018380C">
            <w:pPr>
              <w:pStyle w:val="TableText"/>
            </w:pPr>
            <w:r w:rsidRPr="00B65F7F">
              <w:t xml:space="preserve">The </w:t>
            </w:r>
            <w:r w:rsidR="002B46E5" w:rsidRPr="00B65F7F">
              <w:t>Center</w:t>
            </w:r>
            <w:r w:rsidR="00866E23">
              <w:t>s</w:t>
            </w:r>
            <w:r w:rsidRPr="00B65F7F">
              <w:t xml:space="preserve"> for Disease Control and Prevention fund tribes, Urban Indian Organizations and tribal organisations to implement community-chosen and culturally adapted strategies and initiatives to address chronic disease prevention and health promotion (</w:t>
            </w:r>
            <w:r w:rsidR="00866E23">
              <w:t>Centers</w:t>
            </w:r>
            <w:r w:rsidRPr="00B65F7F">
              <w:t xml:space="preserve"> for Disease Control and Prevention</w:t>
            </w:r>
            <w:r>
              <w:t>,</w:t>
            </w:r>
            <w:r w:rsidRPr="00B65F7F">
              <w:t xml:space="preserve"> 2020a).</w:t>
            </w:r>
          </w:p>
        </w:tc>
      </w:tr>
      <w:tr w:rsidR="00597B5E" w:rsidRPr="00B65F7F" w14:paraId="282DE4CA" w14:textId="77777777" w:rsidTr="006F6DD1">
        <w:trPr>
          <w:cnfStyle w:val="000000010000" w:firstRow="0" w:lastRow="0" w:firstColumn="0" w:lastColumn="0" w:oddVBand="0" w:evenVBand="0" w:oddHBand="0" w:evenHBand="1" w:firstRowFirstColumn="0" w:firstRowLastColumn="0" w:lastRowFirstColumn="0" w:lastRowLastColumn="0"/>
        </w:trPr>
        <w:tc>
          <w:tcPr>
            <w:tcW w:w="4526" w:type="dxa"/>
          </w:tcPr>
          <w:p w14:paraId="78E0B478" w14:textId="77777777" w:rsidR="00597B5E" w:rsidRPr="00B65F7F" w:rsidRDefault="00597B5E" w:rsidP="0018380C">
            <w:pPr>
              <w:pStyle w:val="TableText"/>
            </w:pPr>
            <w:r w:rsidRPr="00B65F7F">
              <w:t>Community partnerships, co-design and ownership</w:t>
            </w:r>
          </w:p>
        </w:tc>
        <w:tc>
          <w:tcPr>
            <w:tcW w:w="5092" w:type="dxa"/>
            <w:vMerge/>
          </w:tcPr>
          <w:p w14:paraId="5F7860FE" w14:textId="77777777" w:rsidR="00597B5E" w:rsidRPr="00B65F7F" w:rsidRDefault="00597B5E" w:rsidP="0018380C">
            <w:pPr>
              <w:pStyle w:val="TableText"/>
            </w:pPr>
          </w:p>
        </w:tc>
      </w:tr>
      <w:tr w:rsidR="00597B5E" w:rsidRPr="00B65F7F" w14:paraId="6CFF5E59" w14:textId="77777777" w:rsidTr="006F6DD1">
        <w:trPr>
          <w:cnfStyle w:val="000000100000" w:firstRow="0" w:lastRow="0" w:firstColumn="0" w:lastColumn="0" w:oddVBand="0" w:evenVBand="0" w:oddHBand="1" w:evenHBand="0" w:firstRowFirstColumn="0" w:firstRowLastColumn="0" w:lastRowFirstColumn="0" w:lastRowLastColumn="0"/>
        </w:trPr>
        <w:tc>
          <w:tcPr>
            <w:tcW w:w="4526" w:type="dxa"/>
          </w:tcPr>
          <w:p w14:paraId="03AEDE2C" w14:textId="77777777" w:rsidR="00597B5E" w:rsidRPr="00B65F7F" w:rsidRDefault="00597B5E" w:rsidP="0018380C">
            <w:pPr>
              <w:pStyle w:val="TableText"/>
            </w:pPr>
            <w:r w:rsidRPr="00B65F7F">
              <w:t>Strengths-based and place-based approaches</w:t>
            </w:r>
          </w:p>
        </w:tc>
        <w:tc>
          <w:tcPr>
            <w:tcW w:w="5092" w:type="dxa"/>
            <w:vMerge/>
          </w:tcPr>
          <w:p w14:paraId="668DE7B8" w14:textId="77777777" w:rsidR="00597B5E" w:rsidRPr="00B65F7F" w:rsidRDefault="00597B5E" w:rsidP="0018380C">
            <w:pPr>
              <w:pStyle w:val="TableText"/>
            </w:pPr>
          </w:p>
        </w:tc>
      </w:tr>
      <w:tr w:rsidR="00597B5E" w:rsidRPr="00B65F7F" w14:paraId="12726BF0" w14:textId="77777777" w:rsidTr="006F6DD1">
        <w:trPr>
          <w:cnfStyle w:val="000000010000" w:firstRow="0" w:lastRow="0" w:firstColumn="0" w:lastColumn="0" w:oddVBand="0" w:evenVBand="0" w:oddHBand="0" w:evenHBand="1" w:firstRowFirstColumn="0" w:firstRowLastColumn="0" w:lastRowFirstColumn="0" w:lastRowLastColumn="0"/>
        </w:trPr>
        <w:tc>
          <w:tcPr>
            <w:tcW w:w="4526" w:type="dxa"/>
          </w:tcPr>
          <w:p w14:paraId="1BD37ABD" w14:textId="77777777" w:rsidR="00597B5E" w:rsidRPr="00B65F7F" w:rsidRDefault="00597B5E" w:rsidP="0018380C">
            <w:pPr>
              <w:pStyle w:val="TableText"/>
            </w:pPr>
            <w:r w:rsidRPr="00B65F7F">
              <w:t>Culturally safe and responsive healthcare</w:t>
            </w:r>
          </w:p>
        </w:tc>
        <w:tc>
          <w:tcPr>
            <w:tcW w:w="5092" w:type="dxa"/>
            <w:vMerge/>
          </w:tcPr>
          <w:p w14:paraId="1B18689F" w14:textId="77777777" w:rsidR="00597B5E" w:rsidRPr="00B65F7F" w:rsidRDefault="00597B5E" w:rsidP="0018380C">
            <w:pPr>
              <w:pStyle w:val="TableText"/>
            </w:pPr>
          </w:p>
        </w:tc>
      </w:tr>
      <w:tr w:rsidR="00597B5E" w:rsidRPr="00B65F7F" w14:paraId="1AC36D74" w14:textId="77777777" w:rsidTr="006F6DD1">
        <w:trPr>
          <w:cnfStyle w:val="000000100000" w:firstRow="0" w:lastRow="0" w:firstColumn="0" w:lastColumn="0" w:oddVBand="0" w:evenVBand="0" w:oddHBand="1" w:evenHBand="0" w:firstRowFirstColumn="0" w:firstRowLastColumn="0" w:lastRowFirstColumn="0" w:lastRowLastColumn="0"/>
        </w:trPr>
        <w:tc>
          <w:tcPr>
            <w:tcW w:w="4526" w:type="dxa"/>
          </w:tcPr>
          <w:p w14:paraId="4AA3974D" w14:textId="77777777" w:rsidR="00597B5E" w:rsidRPr="00B65F7F" w:rsidRDefault="00597B5E" w:rsidP="0018380C">
            <w:pPr>
              <w:pStyle w:val="TableText"/>
            </w:pPr>
            <w:r w:rsidRPr="00B65F7F">
              <w:t>Systems-based approach</w:t>
            </w:r>
          </w:p>
        </w:tc>
        <w:tc>
          <w:tcPr>
            <w:tcW w:w="5092" w:type="dxa"/>
            <w:vMerge/>
          </w:tcPr>
          <w:p w14:paraId="00F038E6" w14:textId="77777777" w:rsidR="00597B5E" w:rsidRPr="00B65F7F" w:rsidRDefault="00597B5E" w:rsidP="0018380C">
            <w:pPr>
              <w:pStyle w:val="TableText"/>
            </w:pPr>
          </w:p>
        </w:tc>
      </w:tr>
      <w:tr w:rsidR="00597B5E" w:rsidRPr="00B65F7F" w14:paraId="45D40C8C" w14:textId="77777777" w:rsidTr="006F6DD1">
        <w:trPr>
          <w:cnfStyle w:val="000000010000" w:firstRow="0" w:lastRow="0" w:firstColumn="0" w:lastColumn="0" w:oddVBand="0" w:evenVBand="0" w:oddHBand="0" w:evenHBand="1" w:firstRowFirstColumn="0" w:firstRowLastColumn="0" w:lastRowFirstColumn="0" w:lastRowLastColumn="0"/>
        </w:trPr>
        <w:tc>
          <w:tcPr>
            <w:tcW w:w="4526" w:type="dxa"/>
          </w:tcPr>
          <w:p w14:paraId="564AC0D3" w14:textId="77777777" w:rsidR="00597B5E" w:rsidRPr="00B65F7F" w:rsidRDefault="00597B5E" w:rsidP="0018380C">
            <w:pPr>
              <w:pStyle w:val="TableText"/>
            </w:pPr>
            <w:r w:rsidRPr="00B65F7F">
              <w:t>Holistic understandings of Indigenous health and wellbeing</w:t>
            </w:r>
          </w:p>
        </w:tc>
        <w:tc>
          <w:tcPr>
            <w:tcW w:w="5092" w:type="dxa"/>
            <w:vMerge/>
          </w:tcPr>
          <w:p w14:paraId="0CD44126" w14:textId="77777777" w:rsidR="00597B5E" w:rsidRPr="00B65F7F" w:rsidRDefault="00597B5E" w:rsidP="0018380C">
            <w:pPr>
              <w:pStyle w:val="TableText"/>
            </w:pPr>
          </w:p>
        </w:tc>
      </w:tr>
      <w:tr w:rsidR="00597B5E" w:rsidRPr="00B65F7F" w14:paraId="5A4872C9" w14:textId="77777777" w:rsidTr="006F6DD1">
        <w:trPr>
          <w:cnfStyle w:val="000000100000" w:firstRow="0" w:lastRow="0" w:firstColumn="0" w:lastColumn="0" w:oddVBand="0" w:evenVBand="0" w:oddHBand="1" w:evenHBand="0" w:firstRowFirstColumn="0" w:firstRowLastColumn="0" w:lastRowFirstColumn="0" w:lastRowLastColumn="0"/>
        </w:trPr>
        <w:tc>
          <w:tcPr>
            <w:tcW w:w="4526" w:type="dxa"/>
          </w:tcPr>
          <w:p w14:paraId="72F2241C" w14:textId="77777777" w:rsidR="00597B5E" w:rsidRPr="00B65F7F" w:rsidRDefault="00597B5E" w:rsidP="0018380C">
            <w:pPr>
              <w:pStyle w:val="TableText"/>
            </w:pPr>
            <w:r w:rsidRPr="00B65F7F">
              <w:t>Indigenous governance and leadership</w:t>
            </w:r>
          </w:p>
        </w:tc>
        <w:tc>
          <w:tcPr>
            <w:tcW w:w="5092" w:type="dxa"/>
          </w:tcPr>
          <w:p w14:paraId="4E602A6D" w14:textId="15E7C418" w:rsidR="00597B5E" w:rsidRPr="00B65F7F" w:rsidRDefault="00597B5E" w:rsidP="0018380C">
            <w:pPr>
              <w:pStyle w:val="TableText"/>
            </w:pPr>
            <w:r w:rsidRPr="00B65F7F">
              <w:t>The Alaska Native Tribal Health Consortium serves as the coordinating centre for the GHWIC program. They oversee projects and provide organisational, logistical, communication and evaluation support to GHWIC awardees (</w:t>
            </w:r>
            <w:r w:rsidR="002B46E5" w:rsidRPr="00B65F7F">
              <w:t>Center</w:t>
            </w:r>
            <w:r w:rsidR="00866E23">
              <w:t>s</w:t>
            </w:r>
            <w:r w:rsidRPr="00B65F7F">
              <w:t xml:space="preserve"> for Disease Control and Prevention 2020a).</w:t>
            </w:r>
          </w:p>
        </w:tc>
      </w:tr>
    </w:tbl>
    <w:p w14:paraId="28686509" w14:textId="77777777" w:rsidR="00597B5E" w:rsidRPr="00B65F7F" w:rsidRDefault="00597B5E" w:rsidP="00037619">
      <w:pPr>
        <w:pStyle w:val="HeadingLevel4NoNumber"/>
      </w:pPr>
      <w:bookmarkStart w:id="527" w:name="_heading=h.xjz3ci4okqo9" w:colFirst="0" w:colLast="0"/>
      <w:bookmarkEnd w:id="527"/>
      <w:r w:rsidRPr="00B65F7F">
        <w:t>Overview</w:t>
      </w:r>
    </w:p>
    <w:p w14:paraId="47F8BFD8" w14:textId="79D01D08" w:rsidR="00597B5E" w:rsidRPr="00B65F7F" w:rsidRDefault="00597B5E" w:rsidP="0018380C">
      <w:pPr>
        <w:pStyle w:val="BodyText"/>
      </w:pPr>
      <w:r w:rsidRPr="00B65F7F">
        <w:t xml:space="preserve">The GHWIC is a </w:t>
      </w:r>
      <w:r>
        <w:t>5</w:t>
      </w:r>
      <w:r w:rsidRPr="00B65F7F">
        <w:t xml:space="preserve">-year program launched by the </w:t>
      </w:r>
      <w:r w:rsidR="002B46E5" w:rsidRPr="00B65F7F">
        <w:t>Center</w:t>
      </w:r>
      <w:r w:rsidR="00866E23">
        <w:t>s</w:t>
      </w:r>
      <w:r w:rsidRPr="00B65F7F">
        <w:t xml:space="preserve"> for Disease Control and Prevention (2014</w:t>
      </w:r>
      <w:r>
        <w:t>–</w:t>
      </w:r>
      <w:r w:rsidRPr="00B65F7F">
        <w:t>2019, 2019</w:t>
      </w:r>
      <w:r>
        <w:t>–</w:t>
      </w:r>
      <w:r w:rsidRPr="00B65F7F">
        <w:t xml:space="preserve">2024) that provides funding </w:t>
      </w:r>
      <w:r>
        <w:t xml:space="preserve">of </w:t>
      </w:r>
      <w:r w:rsidRPr="00B65F7F">
        <w:t xml:space="preserve">USD$78 million to Native American and Alaska Native communities and tribal organisations to deliver a coordinated and holistic approach to health promotion and chronic disease prevention (Andrade </w:t>
      </w:r>
      <w:r>
        <w:t>et al</w:t>
      </w:r>
      <w:r w:rsidRPr="00B65F7F">
        <w:t xml:space="preserve">., 2019; </w:t>
      </w:r>
      <w:r w:rsidR="002B46E5" w:rsidRPr="00B65F7F">
        <w:t>Center</w:t>
      </w:r>
      <w:r w:rsidR="00866E23">
        <w:t>s</w:t>
      </w:r>
      <w:r w:rsidRPr="00B65F7F">
        <w:t xml:space="preserve"> for Disease Control and Prevention, 2020a). The long-term goals of the program include reducing type 2 diabetes, reducing commercial tobacco use, reducing high blood pressure and cholesterol levels, increasing the intake of healthy foods, increasing physical activity and increasing breastfeeding (</w:t>
      </w:r>
      <w:r w:rsidR="002B46E5" w:rsidRPr="00B65F7F">
        <w:t>Center</w:t>
      </w:r>
      <w:r w:rsidR="00866E23">
        <w:t>s</w:t>
      </w:r>
      <w:r w:rsidRPr="00B65F7F">
        <w:t xml:space="preserve"> for Disease Control and Prevention, 2020a).</w:t>
      </w:r>
    </w:p>
    <w:p w14:paraId="2CE49670" w14:textId="3FF6C254" w:rsidR="00597B5E" w:rsidRPr="00B65F7F" w:rsidRDefault="00597B5E" w:rsidP="0018380C">
      <w:pPr>
        <w:pStyle w:val="BodyText"/>
        <w:rPr>
          <w:color w:val="212121"/>
          <w:highlight w:val="white"/>
        </w:rPr>
      </w:pPr>
      <w:r w:rsidRPr="00B65F7F">
        <w:t xml:space="preserve">The GHWIC program delivery is strengthened by leveraging learnings from prior </w:t>
      </w:r>
      <w:r w:rsidR="002B46E5" w:rsidRPr="00B65F7F">
        <w:t>Center</w:t>
      </w:r>
      <w:r w:rsidR="00866E23">
        <w:t>s</w:t>
      </w:r>
      <w:r w:rsidRPr="00B65F7F">
        <w:t xml:space="preserve"> for Disease Control and Prevention chronic disease programs and seeks to support organisations to build on their cultural strengths, use ‘culturally developed and adapted practices’, incorporate ‘tribal wisdom to protect and promote holistic health’ and effectively address health concerns to enable integrated, holistic and culturally</w:t>
      </w:r>
      <w:r>
        <w:t xml:space="preserve"> </w:t>
      </w:r>
      <w:r w:rsidRPr="00B65F7F">
        <w:t xml:space="preserve">relevant service delivery (Andrade </w:t>
      </w:r>
      <w:r>
        <w:t>et al</w:t>
      </w:r>
      <w:r w:rsidRPr="00B65F7F">
        <w:t>., 2019).</w:t>
      </w:r>
    </w:p>
    <w:p w14:paraId="586C1FC7" w14:textId="7889E542" w:rsidR="00597B5E" w:rsidRPr="00B65F7F" w:rsidRDefault="00597B5E" w:rsidP="0018380C">
      <w:pPr>
        <w:pStyle w:val="BodyText"/>
      </w:pPr>
      <w:r w:rsidRPr="00B65F7F">
        <w:t xml:space="preserve">The </w:t>
      </w:r>
      <w:r w:rsidR="002B46E5" w:rsidRPr="00B65F7F">
        <w:t>Center</w:t>
      </w:r>
      <w:r w:rsidR="00866E23">
        <w:t>s</w:t>
      </w:r>
      <w:r w:rsidRPr="00B65F7F">
        <w:t xml:space="preserve"> for Disease Control and Prevention funds 27 GHWIC recipients </w:t>
      </w:r>
      <w:r>
        <w:t>–</w:t>
      </w:r>
      <w:r w:rsidRPr="00B65F7F">
        <w:t xml:space="preserve"> including tribes, villages, tribal organisations and Tribal Epidemiology </w:t>
      </w:r>
      <w:r w:rsidR="002B46E5" w:rsidRPr="00B65F7F">
        <w:t>Center</w:t>
      </w:r>
      <w:r w:rsidRPr="00B65F7F">
        <w:t xml:space="preserve"> (TECs) </w:t>
      </w:r>
      <w:r>
        <w:t>–</w:t>
      </w:r>
      <w:r w:rsidRPr="00B65F7F">
        <w:t xml:space="preserve"> across </w:t>
      </w:r>
      <w:r>
        <w:t>3</w:t>
      </w:r>
      <w:r w:rsidRPr="00B65F7F">
        <w:t xml:space="preserve"> components:</w:t>
      </w:r>
    </w:p>
    <w:p w14:paraId="470BEE02" w14:textId="5D2CFF86" w:rsidR="00597B5E" w:rsidRPr="00B65F7F" w:rsidRDefault="00597B5E" w:rsidP="0018380C">
      <w:pPr>
        <w:pStyle w:val="ListBullet2"/>
        <w:rPr>
          <w:b/>
        </w:rPr>
      </w:pPr>
      <w:r w:rsidRPr="00B65F7F">
        <w:rPr>
          <w:b/>
        </w:rPr>
        <w:t xml:space="preserve">Component One: </w:t>
      </w:r>
      <w:r w:rsidRPr="00B65F7F">
        <w:t>funds tribes and Urban Indian Organizations to work on ‘community</w:t>
      </w:r>
      <w:r>
        <w:t>-</w:t>
      </w:r>
      <w:r w:rsidRPr="00B65F7F">
        <w:t>chosen and culturally adapted strategies’ to prevent chronic disease, undertake health promotion initiatives and strengthen healthcare and service integration (</w:t>
      </w:r>
      <w:r w:rsidR="002B46E5" w:rsidRPr="00B65F7F">
        <w:t>Center</w:t>
      </w:r>
      <w:r w:rsidR="00866E23">
        <w:t>s</w:t>
      </w:r>
      <w:r w:rsidRPr="00B65F7F">
        <w:t xml:space="preserve"> for Disease Control and Prevention, 2020a). </w:t>
      </w:r>
    </w:p>
    <w:p w14:paraId="2FB69EF7" w14:textId="22539CE9" w:rsidR="00597B5E" w:rsidRPr="00B65F7F" w:rsidRDefault="00597B5E" w:rsidP="0018380C">
      <w:pPr>
        <w:pStyle w:val="ListBullet2"/>
        <w:rPr>
          <w:b/>
        </w:rPr>
      </w:pPr>
      <w:r w:rsidRPr="00B65F7F">
        <w:rPr>
          <w:b/>
        </w:rPr>
        <w:t xml:space="preserve">Component Two: </w:t>
      </w:r>
      <w:r w:rsidRPr="00B65F7F">
        <w:t>funds Tribal Organizations to provide funding to over 90 additional tribes and Urban Indian Organizations in their Indian Health Service Area and Urban Area</w:t>
      </w:r>
      <w:r>
        <w:t>,</w:t>
      </w:r>
      <w:r w:rsidRPr="00B65F7F">
        <w:t xml:space="preserve"> thereby enabling the program to reach further across communities (</w:t>
      </w:r>
      <w:r w:rsidR="002B46E5" w:rsidRPr="00B65F7F">
        <w:t>Center</w:t>
      </w:r>
      <w:r w:rsidR="00866E23">
        <w:t>s</w:t>
      </w:r>
      <w:r w:rsidRPr="00B65F7F">
        <w:t xml:space="preserve"> for Disease Control and Prevention, </w:t>
      </w:r>
      <w:r w:rsidRPr="00B80D68">
        <w:t>2020b</w:t>
      </w:r>
      <w:r w:rsidRPr="00B65F7F">
        <w:t>).</w:t>
      </w:r>
    </w:p>
    <w:p w14:paraId="0BFD3436" w14:textId="20EADEAF" w:rsidR="00597B5E" w:rsidRPr="00B65F7F" w:rsidRDefault="00597B5E" w:rsidP="0018380C">
      <w:pPr>
        <w:pStyle w:val="ListBullet2"/>
        <w:rPr>
          <w:b/>
        </w:rPr>
      </w:pPr>
      <w:r w:rsidRPr="00B65F7F">
        <w:rPr>
          <w:b/>
        </w:rPr>
        <w:t xml:space="preserve">Component Three: </w:t>
      </w:r>
      <w:r w:rsidRPr="00B65F7F">
        <w:t xml:space="preserve">funds Alaska Native Tribal Health Consortium Inc. ‘to serve as a program-wide coordinating </w:t>
      </w:r>
      <w:r w:rsidR="002B46E5" w:rsidRPr="00B65F7F">
        <w:t>centre</w:t>
      </w:r>
      <w:r w:rsidRPr="00B65F7F">
        <w:t xml:space="preserve"> supporting peer learning, evaluation, and communication across’ recipients (</w:t>
      </w:r>
      <w:r w:rsidR="002B46E5" w:rsidRPr="00B65F7F">
        <w:t>Center</w:t>
      </w:r>
      <w:r w:rsidR="00866E23">
        <w:t>s</w:t>
      </w:r>
      <w:r w:rsidRPr="00B65F7F">
        <w:t xml:space="preserve"> for Disease Control and Prevention</w:t>
      </w:r>
      <w:r w:rsidR="00866E23">
        <w:t>,</w:t>
      </w:r>
      <w:r w:rsidRPr="00B65F7F">
        <w:t xml:space="preserve"> 2020b). This model enables the Alaska Native Tribal Health Consortium to develop its administrative capacity, workforce and infrastructure and provide place-based support (Andrade </w:t>
      </w:r>
      <w:r>
        <w:t>et al</w:t>
      </w:r>
      <w:r w:rsidRPr="00B65F7F">
        <w:t>., 2019) and facilitate culturally</w:t>
      </w:r>
      <w:r>
        <w:t xml:space="preserve"> </w:t>
      </w:r>
      <w:r w:rsidRPr="00B65F7F">
        <w:t>relevant communities of practice (</w:t>
      </w:r>
      <w:r w:rsidRPr="00B80D68">
        <w:t>Williams</w:t>
      </w:r>
      <w:r w:rsidRPr="00B65F7F">
        <w:t xml:space="preserve"> </w:t>
      </w:r>
      <w:r>
        <w:t>et al</w:t>
      </w:r>
      <w:r w:rsidRPr="00B65F7F">
        <w:t>., 2019).</w:t>
      </w:r>
    </w:p>
    <w:p w14:paraId="42A7C08D" w14:textId="77777777" w:rsidR="00037619" w:rsidRDefault="00C44EB9" w:rsidP="0018380C">
      <w:pPr>
        <w:pStyle w:val="BodyText1stparaafterlist"/>
      </w:pPr>
      <w:bookmarkStart w:id="528" w:name="_heading=h.5wqrl6dhw3e8" w:colFirst="0" w:colLast="0"/>
      <w:bookmarkEnd w:id="528"/>
      <w:r w:rsidRPr="00B65F7F">
        <w:t>Several</w:t>
      </w:r>
      <w:r w:rsidR="00597B5E" w:rsidRPr="00B65F7F">
        <w:t xml:space="preserve"> practical concerns and challenges remain, including difficulties ‘providing coordinated and consistent technical support across multiple program areas’, time-consuming approval processes preventing grantees from spending award money, difficulty recruiting and retaining staff and complex reporting requirements (Andrade </w:t>
      </w:r>
      <w:r w:rsidR="00597B5E">
        <w:t>et al</w:t>
      </w:r>
      <w:r w:rsidR="00597B5E" w:rsidRPr="00B65F7F">
        <w:t xml:space="preserve">., 2019). </w:t>
      </w:r>
    </w:p>
    <w:p w14:paraId="0BC8C43A" w14:textId="3892BC43" w:rsidR="00597B5E" w:rsidRPr="00B65F7F" w:rsidRDefault="00597B5E" w:rsidP="00037619">
      <w:pPr>
        <w:pStyle w:val="BodyText"/>
      </w:pPr>
    </w:p>
    <w:p w14:paraId="301C98EC" w14:textId="77777777" w:rsidR="00597B5E" w:rsidRPr="00B65F7F" w:rsidRDefault="004C1AF3" w:rsidP="006734AE">
      <w:pPr>
        <w:pStyle w:val="HeadingLevel2NoNumber"/>
      </w:pPr>
      <w:r>
        <w:t xml:space="preserve">A9.8 </w:t>
      </w:r>
      <w:r w:rsidR="00597B5E" w:rsidRPr="00B65F7F">
        <w:t>Literature review references</w:t>
      </w:r>
      <w:r w:rsidR="00BC2660">
        <w:tab/>
      </w:r>
    </w:p>
    <w:p w14:paraId="542363E2" w14:textId="77777777" w:rsidR="00597B5E" w:rsidRPr="005D6850" w:rsidRDefault="00597B5E" w:rsidP="0018380C">
      <w:pPr>
        <w:pStyle w:val="References"/>
      </w:pPr>
      <w:r w:rsidRPr="005D6850">
        <w:t>Abdullah J</w:t>
      </w:r>
      <w:r w:rsidR="00C70510" w:rsidRPr="005D6850">
        <w:t xml:space="preserve"> and</w:t>
      </w:r>
      <w:r w:rsidRPr="005D6850">
        <w:t xml:space="preserve"> Coyne C (2019)</w:t>
      </w:r>
      <w:r w:rsidRPr="005D6850">
        <w:rPr>
          <w:i/>
        </w:rPr>
        <w:t xml:space="preserve"> </w:t>
      </w:r>
      <w:hyperlink r:id="rId123" w:history="1">
        <w:r w:rsidRPr="005D6850">
          <w:rPr>
            <w:rStyle w:val="Hyperlink"/>
            <w:i/>
          </w:rPr>
          <w:t>The National Empowerment Project: Cultural, social and emotional wellbeing program evaluation, Perth 2018–2019</w:t>
        </w:r>
      </w:hyperlink>
      <w:r w:rsidR="00C70510" w:rsidRPr="005D6850">
        <w:t>,</w:t>
      </w:r>
      <w:r w:rsidRPr="005D6850">
        <w:t xml:space="preserve"> National Empowerment Project. </w:t>
      </w:r>
    </w:p>
    <w:p w14:paraId="6CBBC03F" w14:textId="77777777" w:rsidR="00597B5E" w:rsidRPr="005D6850" w:rsidRDefault="00597B5E" w:rsidP="0018380C">
      <w:pPr>
        <w:pStyle w:val="References"/>
      </w:pPr>
      <w:r w:rsidRPr="005D6850">
        <w:rPr>
          <w:lang w:val="es-CL"/>
        </w:rPr>
        <w:t>Acar M, Guo C</w:t>
      </w:r>
      <w:r w:rsidR="00C70510" w:rsidRPr="005D6850">
        <w:rPr>
          <w:lang w:val="es-CL"/>
        </w:rPr>
        <w:t xml:space="preserve"> and</w:t>
      </w:r>
      <w:r w:rsidRPr="005D6850">
        <w:rPr>
          <w:lang w:val="es-CL"/>
        </w:rPr>
        <w:t xml:space="preserve"> Yang K (2008) </w:t>
      </w:r>
      <w:r w:rsidR="00C70510" w:rsidRPr="005D6850">
        <w:rPr>
          <w:lang w:val="es-CL"/>
        </w:rPr>
        <w:t>‘</w:t>
      </w:r>
      <w:r w:rsidRPr="005D6850">
        <w:t>Accountability when hierarchical authority is absent: Views from public-private partnership practitioners</w:t>
      </w:r>
      <w:r w:rsidR="00C70510" w:rsidRPr="005D6850">
        <w:t>’,</w:t>
      </w:r>
      <w:r w:rsidRPr="005D6850">
        <w:t xml:space="preserve"> </w:t>
      </w:r>
      <w:r w:rsidRPr="005D6850">
        <w:rPr>
          <w:i/>
        </w:rPr>
        <w:t xml:space="preserve">The American Review of Public Administration </w:t>
      </w:r>
      <w:r w:rsidRPr="005D6850">
        <w:rPr>
          <w:iCs/>
        </w:rPr>
        <w:t>38</w:t>
      </w:r>
      <w:r w:rsidRPr="005D6850">
        <w:t>(1)</w:t>
      </w:r>
      <w:r w:rsidR="00C70510" w:rsidRPr="005D6850">
        <w:t>:</w:t>
      </w:r>
      <w:r w:rsidRPr="005D6850">
        <w:t xml:space="preserve"> 1–21</w:t>
      </w:r>
      <w:r w:rsidR="00C70510" w:rsidRPr="005D6850">
        <w:t>, doi:</w:t>
      </w:r>
      <w:r w:rsidRPr="005D6850">
        <w:t>10.1177/0275074007299481</w:t>
      </w:r>
      <w:r w:rsidR="00C70510" w:rsidRPr="005D6850">
        <w:t>.</w:t>
      </w:r>
      <w:r w:rsidRPr="005D6850">
        <w:t> </w:t>
      </w:r>
    </w:p>
    <w:p w14:paraId="79CB2758" w14:textId="77777777" w:rsidR="00597B5E" w:rsidRPr="005D6850" w:rsidRDefault="00597B5E" w:rsidP="0018380C">
      <w:pPr>
        <w:pStyle w:val="References"/>
      </w:pPr>
      <w:r w:rsidRPr="005D6850">
        <w:t xml:space="preserve">Agreements Treaties and Negotiated Settlements (2020) </w:t>
      </w:r>
      <w:hyperlink r:id="rId124" w:anchor=":~:text=Indigenous%20governance%3A%20The%20structures%2C%20systems,and%20responsibilities%20of%20its%20leaders" w:history="1">
        <w:r w:rsidRPr="005D6850">
          <w:rPr>
            <w:rStyle w:val="Hyperlink"/>
            <w:i/>
          </w:rPr>
          <w:t>Indigenous peoples and governance</w:t>
        </w:r>
      </w:hyperlink>
      <w:r w:rsidR="00C70510" w:rsidRPr="005D6850">
        <w:t>,</w:t>
      </w:r>
      <w:r w:rsidRPr="005D6850">
        <w:t> </w:t>
      </w:r>
      <w:r w:rsidR="00C70510" w:rsidRPr="005D6850">
        <w:t>ATSN.</w:t>
      </w:r>
    </w:p>
    <w:p w14:paraId="01B161EB" w14:textId="77777777" w:rsidR="00597B5E" w:rsidRPr="005D6850" w:rsidRDefault="00597B5E" w:rsidP="0018380C">
      <w:pPr>
        <w:pStyle w:val="References"/>
      </w:pPr>
      <w:r w:rsidRPr="005D6850">
        <w:t xml:space="preserve">AIHW (Australian Institute of Health and Welfare) (2022a) </w:t>
      </w:r>
      <w:hyperlink r:id="rId125" w:anchor="Social%20and%20emotional%20wellbeing" w:history="1">
        <w:r w:rsidRPr="005D6850">
          <w:rPr>
            <w:rStyle w:val="Hyperlink"/>
            <w:i/>
          </w:rPr>
          <w:t>Indigenous health and wellbeing</w:t>
        </w:r>
      </w:hyperlink>
      <w:r w:rsidR="00C70510" w:rsidRPr="005D6850">
        <w:t>,</w:t>
      </w:r>
      <w:r w:rsidRPr="005D6850">
        <w:t xml:space="preserve"> Australian Government</w:t>
      </w:r>
      <w:r w:rsidR="00C70510" w:rsidRPr="005D6850">
        <w:t>.</w:t>
      </w:r>
      <w:r w:rsidRPr="005D6850">
        <w:t> </w:t>
      </w:r>
    </w:p>
    <w:p w14:paraId="0D062D18" w14:textId="77777777" w:rsidR="00597B5E" w:rsidRPr="005D6850" w:rsidRDefault="00597B5E" w:rsidP="0018380C">
      <w:pPr>
        <w:pStyle w:val="References"/>
      </w:pPr>
      <w:r w:rsidRPr="005D6850">
        <w:t xml:space="preserve">AIHW (Australian Institute of Health and Welfare) (2022b) </w:t>
      </w:r>
      <w:hyperlink r:id="rId126" w:history="1">
        <w:r w:rsidRPr="005D6850">
          <w:rPr>
            <w:rStyle w:val="Hyperlink"/>
            <w:i/>
          </w:rPr>
          <w:t>Cultural safety in health care for Indigenous Australians: monitoring framework</w:t>
        </w:r>
      </w:hyperlink>
      <w:r w:rsidR="00C70510" w:rsidRPr="005D6850">
        <w:t>,</w:t>
      </w:r>
      <w:r w:rsidRPr="005D6850">
        <w:t xml:space="preserve"> Australian Government</w:t>
      </w:r>
      <w:r w:rsidR="00C70510" w:rsidRPr="005D6850">
        <w:t>.</w:t>
      </w:r>
      <w:r w:rsidRPr="005D6850">
        <w:t> </w:t>
      </w:r>
    </w:p>
    <w:p w14:paraId="40FCB874" w14:textId="77777777" w:rsidR="00597B5E" w:rsidRPr="005D6850" w:rsidRDefault="00597B5E" w:rsidP="0018380C">
      <w:pPr>
        <w:pStyle w:val="References"/>
      </w:pPr>
      <w:r w:rsidRPr="005D6850">
        <w:t xml:space="preserve">AIHW (Australian Institute of Health and Welfare) (2022c) </w:t>
      </w:r>
      <w:hyperlink r:id="rId127" w:history="1">
        <w:r w:rsidRPr="005D6850">
          <w:rPr>
            <w:rStyle w:val="Hyperlink"/>
            <w:i/>
          </w:rPr>
          <w:t>Indigenous Australians and the health system</w:t>
        </w:r>
      </w:hyperlink>
      <w:r w:rsidR="00C70510" w:rsidRPr="005D6850">
        <w:rPr>
          <w:i/>
        </w:rPr>
        <w:t>,</w:t>
      </w:r>
      <w:r w:rsidRPr="005D6850">
        <w:rPr>
          <w:i/>
        </w:rPr>
        <w:t xml:space="preserve"> </w:t>
      </w:r>
      <w:r w:rsidRPr="005D6850">
        <w:t>Australian Government. </w:t>
      </w:r>
    </w:p>
    <w:p w14:paraId="3A3D1698" w14:textId="77777777" w:rsidR="00597B5E" w:rsidRPr="005D6850" w:rsidRDefault="00597B5E" w:rsidP="0018380C">
      <w:pPr>
        <w:pStyle w:val="References"/>
        <w:rPr>
          <w:color w:val="1155CC"/>
          <w:u w:val="single"/>
        </w:rPr>
      </w:pPr>
      <w:r w:rsidRPr="005D6850">
        <w:t xml:space="preserve">AIHW (Australian Institute of Health and Welfare) (2023) </w:t>
      </w:r>
      <w:hyperlink r:id="rId128" w:history="1">
        <w:r w:rsidRPr="005D6850">
          <w:rPr>
            <w:rStyle w:val="Hyperlink"/>
            <w:i/>
          </w:rPr>
          <w:t>Aboriginal and/or Torres Strait Islander specific primary health care: results from the nKPI and OSR collections</w:t>
        </w:r>
      </w:hyperlink>
      <w:r w:rsidR="00C70510" w:rsidRPr="005D6850">
        <w:t>, Australian Government.</w:t>
      </w:r>
      <w:r w:rsidRPr="005D6850">
        <w:t xml:space="preserve"> </w:t>
      </w:r>
    </w:p>
    <w:p w14:paraId="54989551" w14:textId="77777777" w:rsidR="00597B5E" w:rsidRPr="005D6850" w:rsidRDefault="00597B5E" w:rsidP="0018380C">
      <w:pPr>
        <w:pStyle w:val="References"/>
      </w:pPr>
      <w:r w:rsidRPr="005D6850">
        <w:t>Andrade SM, Espey DK, Hall ME</w:t>
      </w:r>
      <w:r w:rsidR="00C70510" w:rsidRPr="005D6850">
        <w:t xml:space="preserve"> and</w:t>
      </w:r>
      <w:r w:rsidRPr="005D6850">
        <w:t xml:space="preserve"> Bauer UE (2019) </w:t>
      </w:r>
      <w:r w:rsidR="00C70510" w:rsidRPr="005D6850">
        <w:t>‘</w:t>
      </w:r>
      <w:r w:rsidRPr="005D6850">
        <w:t xml:space="preserve">A </w:t>
      </w:r>
      <w:r w:rsidR="00C70510" w:rsidRPr="005D6850">
        <w:t>h</w:t>
      </w:r>
      <w:r w:rsidRPr="005D6850">
        <w:t xml:space="preserve">olistic </w:t>
      </w:r>
      <w:r w:rsidR="00C70510" w:rsidRPr="005D6850">
        <w:t>a</w:t>
      </w:r>
      <w:r w:rsidRPr="005D6850">
        <w:t xml:space="preserve">pproach </w:t>
      </w:r>
      <w:r w:rsidR="00C70510" w:rsidRPr="005D6850">
        <w:t>t</w:t>
      </w:r>
      <w:r w:rsidRPr="005D6850">
        <w:t xml:space="preserve">o </w:t>
      </w:r>
      <w:r w:rsidR="00C70510" w:rsidRPr="005D6850">
        <w:t>c</w:t>
      </w:r>
      <w:r w:rsidRPr="005D6850">
        <w:t xml:space="preserve">hronic </w:t>
      </w:r>
      <w:r w:rsidR="00C70510" w:rsidRPr="005D6850">
        <w:t>d</w:t>
      </w:r>
      <w:r w:rsidRPr="005D6850">
        <w:t xml:space="preserve">isease </w:t>
      </w:r>
      <w:r w:rsidR="00C70510" w:rsidRPr="005D6850">
        <w:t>p</w:t>
      </w:r>
      <w:r w:rsidRPr="005D6850">
        <w:t xml:space="preserve">revention: </w:t>
      </w:r>
      <w:r w:rsidR="00C70510" w:rsidRPr="005D6850">
        <w:t>g</w:t>
      </w:r>
      <w:r w:rsidRPr="005D6850">
        <w:t xml:space="preserve">ood </w:t>
      </w:r>
      <w:r w:rsidR="00C70510" w:rsidRPr="005D6850">
        <w:t>h</w:t>
      </w:r>
      <w:r w:rsidRPr="005D6850">
        <w:t xml:space="preserve">ealth and </w:t>
      </w:r>
      <w:r w:rsidR="00C70510" w:rsidRPr="005D6850">
        <w:t>w</w:t>
      </w:r>
      <w:r w:rsidRPr="005D6850">
        <w:t xml:space="preserve">ellness in Indian </w:t>
      </w:r>
      <w:r w:rsidR="00C70510" w:rsidRPr="005D6850">
        <w:t>c</w:t>
      </w:r>
      <w:r w:rsidRPr="005D6850">
        <w:t>ountry</w:t>
      </w:r>
      <w:r w:rsidR="00C70510" w:rsidRPr="005D6850">
        <w:t>’,</w:t>
      </w:r>
      <w:r w:rsidRPr="005D6850">
        <w:t xml:space="preserve"> </w:t>
      </w:r>
      <w:r w:rsidRPr="005D6850">
        <w:rPr>
          <w:i/>
        </w:rPr>
        <w:t>Prev</w:t>
      </w:r>
      <w:r w:rsidR="00C70510" w:rsidRPr="005D6850">
        <w:rPr>
          <w:i/>
        </w:rPr>
        <w:t>enting</w:t>
      </w:r>
      <w:r w:rsidRPr="005D6850">
        <w:rPr>
          <w:i/>
        </w:rPr>
        <w:t xml:space="preserve"> Chronic Disease </w:t>
      </w:r>
      <w:r w:rsidRPr="005D6850">
        <w:rPr>
          <w:iCs/>
        </w:rPr>
        <w:t>16</w:t>
      </w:r>
      <w:r w:rsidR="00C70510" w:rsidRPr="005D6850">
        <w:t>:E98, doi:</w:t>
      </w:r>
      <w:hyperlink r:id="rId129" w:tgtFrame="_blank" w:history="1">
        <w:r w:rsidR="00C70510" w:rsidRPr="005D6850">
          <w:t>10.5888/pcd16.190081</w:t>
        </w:r>
      </w:hyperlink>
      <w:r w:rsidR="00C70510" w:rsidRPr="005D6850">
        <w:t>.</w:t>
      </w:r>
      <w:r w:rsidRPr="005D6850">
        <w:t xml:space="preserve"> </w:t>
      </w:r>
    </w:p>
    <w:p w14:paraId="7CA524EE" w14:textId="77777777" w:rsidR="00597B5E" w:rsidRPr="005D6850" w:rsidRDefault="00597B5E" w:rsidP="0018380C">
      <w:pPr>
        <w:pStyle w:val="References"/>
      </w:pPr>
      <w:r w:rsidRPr="005D6850">
        <w:t xml:space="preserve">Assistant Secretary for Planning and Evaluation (2022) </w:t>
      </w:r>
      <w:hyperlink r:id="rId130" w:history="1">
        <w:r w:rsidRPr="005D6850">
          <w:rPr>
            <w:rStyle w:val="Hyperlink"/>
            <w:i/>
            <w:iCs/>
          </w:rPr>
          <w:t xml:space="preserve">How </w:t>
        </w:r>
        <w:r w:rsidR="00A76771" w:rsidRPr="005D6850">
          <w:rPr>
            <w:rStyle w:val="Hyperlink"/>
            <w:i/>
            <w:iCs/>
          </w:rPr>
          <w:t>i</w:t>
        </w:r>
        <w:r w:rsidRPr="005D6850">
          <w:rPr>
            <w:rStyle w:val="Hyperlink"/>
            <w:i/>
            <w:iCs/>
          </w:rPr>
          <w:t xml:space="preserve">ncreased </w:t>
        </w:r>
        <w:r w:rsidR="00A76771" w:rsidRPr="005D6850">
          <w:rPr>
            <w:rStyle w:val="Hyperlink"/>
            <w:i/>
            <w:iCs/>
          </w:rPr>
          <w:t>f</w:t>
        </w:r>
        <w:r w:rsidRPr="005D6850">
          <w:rPr>
            <w:rStyle w:val="Hyperlink"/>
            <w:i/>
            <w:iCs/>
          </w:rPr>
          <w:t xml:space="preserve">unding </w:t>
        </w:r>
        <w:r w:rsidR="00A76771" w:rsidRPr="005D6850">
          <w:rPr>
            <w:rStyle w:val="Hyperlink"/>
            <w:i/>
            <w:iCs/>
          </w:rPr>
          <w:t>c</w:t>
        </w:r>
        <w:r w:rsidRPr="005D6850">
          <w:rPr>
            <w:rStyle w:val="Hyperlink"/>
            <w:i/>
            <w:iCs/>
          </w:rPr>
          <w:t xml:space="preserve">an </w:t>
        </w:r>
        <w:r w:rsidR="00A76771" w:rsidRPr="005D6850">
          <w:rPr>
            <w:rStyle w:val="Hyperlink"/>
            <w:i/>
            <w:iCs/>
          </w:rPr>
          <w:t>a</w:t>
        </w:r>
        <w:r w:rsidRPr="005D6850">
          <w:rPr>
            <w:rStyle w:val="Hyperlink"/>
            <w:i/>
            <w:iCs/>
          </w:rPr>
          <w:t xml:space="preserve">dvance the </w:t>
        </w:r>
        <w:r w:rsidR="00A76771" w:rsidRPr="005D6850">
          <w:rPr>
            <w:rStyle w:val="Hyperlink"/>
            <w:i/>
            <w:iCs/>
          </w:rPr>
          <w:t>m</w:t>
        </w:r>
        <w:r w:rsidRPr="005D6850">
          <w:rPr>
            <w:rStyle w:val="Hyperlink"/>
            <w:i/>
            <w:iCs/>
          </w:rPr>
          <w:t xml:space="preserve">ission of the Indian Health Service to </w:t>
        </w:r>
        <w:r w:rsidR="00A76771" w:rsidRPr="005D6850">
          <w:rPr>
            <w:rStyle w:val="Hyperlink"/>
            <w:i/>
            <w:iCs/>
          </w:rPr>
          <w:t>i</w:t>
        </w:r>
        <w:r w:rsidRPr="005D6850">
          <w:rPr>
            <w:rStyle w:val="Hyperlink"/>
            <w:i/>
            <w:iCs/>
          </w:rPr>
          <w:t xml:space="preserve">mprove </w:t>
        </w:r>
        <w:r w:rsidR="00A76771" w:rsidRPr="005D6850">
          <w:rPr>
            <w:rStyle w:val="Hyperlink"/>
            <w:i/>
            <w:iCs/>
          </w:rPr>
          <w:t>h</w:t>
        </w:r>
        <w:r w:rsidRPr="005D6850">
          <w:rPr>
            <w:rStyle w:val="Hyperlink"/>
            <w:i/>
            <w:iCs/>
          </w:rPr>
          <w:t xml:space="preserve">ealth </w:t>
        </w:r>
        <w:r w:rsidR="00A76771" w:rsidRPr="005D6850">
          <w:rPr>
            <w:rStyle w:val="Hyperlink"/>
            <w:i/>
            <w:iCs/>
          </w:rPr>
          <w:t>o</w:t>
        </w:r>
        <w:r w:rsidRPr="005D6850">
          <w:rPr>
            <w:rStyle w:val="Hyperlink"/>
            <w:i/>
            <w:iCs/>
          </w:rPr>
          <w:t>utcomes for American Indians and Alaska Natives</w:t>
        </w:r>
      </w:hyperlink>
      <w:r w:rsidR="00A76771" w:rsidRPr="005D6850">
        <w:t>, ASPE.</w:t>
      </w:r>
      <w:r w:rsidRPr="005D6850">
        <w:t xml:space="preserve"> </w:t>
      </w:r>
    </w:p>
    <w:p w14:paraId="6686BCDD" w14:textId="77777777" w:rsidR="00597B5E" w:rsidRPr="002B0CB0" w:rsidRDefault="00597B5E" w:rsidP="0018380C">
      <w:pPr>
        <w:pStyle w:val="References"/>
      </w:pPr>
      <w:r w:rsidRPr="005D6850">
        <w:t xml:space="preserve">ATSISPEP (Aboriginal and/or Torres Strait Islander Suicide Prevention Evaluation Project) (2016) </w:t>
      </w:r>
      <w:hyperlink r:id="rId131" w:history="1">
        <w:r w:rsidRPr="005D6850">
          <w:rPr>
            <w:rStyle w:val="Hyperlink"/>
            <w:i/>
            <w:iCs/>
          </w:rPr>
          <w:t>Solutions that work: what the evidence and our people tell us</w:t>
        </w:r>
      </w:hyperlink>
      <w:r w:rsidR="00A76771" w:rsidRPr="005D6850">
        <w:t>,</w:t>
      </w:r>
      <w:r w:rsidRPr="005D6850">
        <w:t xml:space="preserve"> Aboriginal and/or Torres Strait Islander Suicide Prevention Evaluation Project Report, ATSISPEP.</w:t>
      </w:r>
      <w:r w:rsidRPr="002B0CB0">
        <w:t xml:space="preserve"> </w:t>
      </w:r>
    </w:p>
    <w:p w14:paraId="5A08549B" w14:textId="77777777" w:rsidR="00597B5E" w:rsidRPr="005D6850" w:rsidRDefault="00597B5E" w:rsidP="0018380C">
      <w:pPr>
        <w:pStyle w:val="References"/>
      </w:pPr>
      <w:r w:rsidRPr="005D6850">
        <w:t>Auger M, Howell T</w:t>
      </w:r>
      <w:r w:rsidR="00A76771" w:rsidRPr="005D6850">
        <w:t xml:space="preserve"> and </w:t>
      </w:r>
      <w:r w:rsidRPr="005D6850">
        <w:t xml:space="preserve">Gomes T (2016) </w:t>
      </w:r>
      <w:r w:rsidR="002E0E6C" w:rsidRPr="005D6850">
        <w:t>‘</w:t>
      </w:r>
      <w:r w:rsidRPr="005D6850">
        <w:t>Moving towards holistic wellness, empowerment and self-determination for Indigenous peoples in Canada: Can traditional Indigenous health care practices increase ownership over health and health care decisions?</w:t>
      </w:r>
      <w:r w:rsidR="002E0E6C" w:rsidRPr="005D6850">
        <w:t>’</w:t>
      </w:r>
      <w:r w:rsidRPr="005D6850">
        <w:t xml:space="preserve"> </w:t>
      </w:r>
      <w:r w:rsidRPr="005D6850">
        <w:rPr>
          <w:i/>
        </w:rPr>
        <w:t xml:space="preserve">Canadian Journal of Public Health </w:t>
      </w:r>
      <w:r w:rsidRPr="005D6850">
        <w:rPr>
          <w:iCs/>
        </w:rPr>
        <w:t>107</w:t>
      </w:r>
      <w:r w:rsidR="00A76771" w:rsidRPr="005D6850">
        <w:t>:</w:t>
      </w:r>
      <w:r w:rsidRPr="005D6850">
        <w:t>e393–e398</w:t>
      </w:r>
      <w:r w:rsidR="00A76771" w:rsidRPr="005D6850">
        <w:t xml:space="preserve">, </w:t>
      </w:r>
      <w:r w:rsidRPr="005D6850">
        <w:t xml:space="preserve">. </w:t>
      </w:r>
      <w:r w:rsidR="00A76771" w:rsidRPr="005D6850">
        <w:t>doi:</w:t>
      </w:r>
      <w:r w:rsidRPr="005D6850">
        <w:t>10.17269/CJPH.107.5366</w:t>
      </w:r>
      <w:r w:rsidR="00A76771" w:rsidRPr="005D6850">
        <w:t>.</w:t>
      </w:r>
      <w:r w:rsidRPr="005D6850">
        <w:t> </w:t>
      </w:r>
    </w:p>
    <w:p w14:paraId="0CA2B4D9" w14:textId="77777777" w:rsidR="00A01EA1" w:rsidRPr="005D6850" w:rsidRDefault="00A01EA1" w:rsidP="0018380C">
      <w:pPr>
        <w:pStyle w:val="References"/>
      </w:pPr>
      <w:r w:rsidRPr="005D6850">
        <w:t xml:space="preserve">Australian Government (2020) </w:t>
      </w:r>
      <w:hyperlink r:id="rId132" w:history="1">
        <w:r w:rsidRPr="005D6850">
          <w:rPr>
            <w:rStyle w:val="Hyperlink"/>
            <w:i/>
          </w:rPr>
          <w:t>6. Priority Reform Two – Building the community-controlled sector</w:t>
        </w:r>
      </w:hyperlink>
      <w:r w:rsidRPr="005D6850">
        <w:t>, Closing the Gap.</w:t>
      </w:r>
    </w:p>
    <w:p w14:paraId="5900A9F2" w14:textId="77777777" w:rsidR="00597B5E" w:rsidRPr="005D6850" w:rsidRDefault="00597B5E" w:rsidP="0018380C">
      <w:pPr>
        <w:pStyle w:val="References"/>
      </w:pPr>
      <w:r w:rsidRPr="005D6850">
        <w:t xml:space="preserve">Australian Indigenous Governance Institute (n.d.) </w:t>
      </w:r>
      <w:hyperlink r:id="rId133" w:history="1">
        <w:r w:rsidRPr="005D6850">
          <w:rPr>
            <w:rStyle w:val="Hyperlink"/>
            <w:i/>
          </w:rPr>
          <w:t>2.1. Indigenous governance and culture</w:t>
        </w:r>
      </w:hyperlink>
      <w:r w:rsidR="00A01EA1" w:rsidRPr="005D6850">
        <w:t>,</w:t>
      </w:r>
      <w:r w:rsidRPr="005D6850">
        <w:t xml:space="preserve"> </w:t>
      </w:r>
      <w:r w:rsidR="00A01EA1" w:rsidRPr="005D6850">
        <w:t>AIGI.</w:t>
      </w:r>
      <w:r w:rsidRPr="005D6850">
        <w:t> </w:t>
      </w:r>
    </w:p>
    <w:p w14:paraId="09847CD6" w14:textId="77777777" w:rsidR="00597B5E" w:rsidRPr="005D6850" w:rsidRDefault="00597B5E" w:rsidP="0018380C">
      <w:pPr>
        <w:pStyle w:val="References"/>
      </w:pPr>
      <w:r w:rsidRPr="005D6850">
        <w:t xml:space="preserve">Australian Indigenous HealthInfoNet (n.d.) </w:t>
      </w:r>
      <w:hyperlink r:id="rId134" w:history="1">
        <w:r w:rsidRPr="005D6850">
          <w:rPr>
            <w:rStyle w:val="Hyperlink"/>
            <w:i/>
          </w:rPr>
          <w:t>Western Australia</w:t>
        </w:r>
      </w:hyperlink>
      <w:r w:rsidR="00A01EA1" w:rsidRPr="005D6850">
        <w:t>, Australian Indigenous HealthInfoNet.</w:t>
      </w:r>
      <w:r w:rsidRPr="005D6850">
        <w:t xml:space="preserve"> </w:t>
      </w:r>
    </w:p>
    <w:p w14:paraId="3AB5E201" w14:textId="77777777" w:rsidR="00597B5E" w:rsidRPr="005D6850" w:rsidRDefault="00597B5E" w:rsidP="0018380C">
      <w:pPr>
        <w:pStyle w:val="References"/>
      </w:pPr>
      <w:r w:rsidRPr="005D6850">
        <w:t xml:space="preserve">Australian National Audit Office (2010) </w:t>
      </w:r>
      <w:hyperlink r:id="rId135" w:history="1">
        <w:r w:rsidRPr="005D6850">
          <w:rPr>
            <w:rStyle w:val="Hyperlink"/>
            <w:i/>
          </w:rPr>
          <w:t xml:space="preserve">Direct </w:t>
        </w:r>
        <w:r w:rsidR="00A01EA1" w:rsidRPr="005D6850">
          <w:rPr>
            <w:rStyle w:val="Hyperlink"/>
            <w:i/>
          </w:rPr>
          <w:t>s</w:t>
        </w:r>
        <w:r w:rsidRPr="005D6850">
          <w:rPr>
            <w:rStyle w:val="Hyperlink"/>
            <w:i/>
          </w:rPr>
          <w:t xml:space="preserve">ource </w:t>
        </w:r>
        <w:r w:rsidR="00A01EA1" w:rsidRPr="005D6850">
          <w:rPr>
            <w:rStyle w:val="Hyperlink"/>
            <w:i/>
          </w:rPr>
          <w:t>p</w:t>
        </w:r>
        <w:r w:rsidRPr="005D6850">
          <w:rPr>
            <w:rStyle w:val="Hyperlink"/>
            <w:i/>
          </w:rPr>
          <w:t>rocurement</w:t>
        </w:r>
      </w:hyperlink>
      <w:r w:rsidR="00A01EA1" w:rsidRPr="005D6850">
        <w:t>,</w:t>
      </w:r>
      <w:r w:rsidRPr="005D6850">
        <w:t xml:space="preserve"> </w:t>
      </w:r>
      <w:r w:rsidR="00A01EA1" w:rsidRPr="005D6850">
        <w:t>ANAO.</w:t>
      </w:r>
    </w:p>
    <w:p w14:paraId="6EAC060B" w14:textId="77777777" w:rsidR="00597B5E" w:rsidRPr="002B0CB0" w:rsidRDefault="00597B5E" w:rsidP="0018380C">
      <w:pPr>
        <w:pStyle w:val="References"/>
      </w:pPr>
      <w:r w:rsidRPr="005D6850">
        <w:t xml:space="preserve">Australian National Audit Office (2018) </w:t>
      </w:r>
      <w:hyperlink r:id="rId136" w:history="1">
        <w:r w:rsidRPr="005D6850">
          <w:rPr>
            <w:rStyle w:val="Hyperlink"/>
            <w:i/>
          </w:rPr>
          <w:t>Primary Healthcare Grants under the Indigenous Australians’ Health Program</w:t>
        </w:r>
      </w:hyperlink>
      <w:r w:rsidR="00A01EA1" w:rsidRPr="005D6850">
        <w:t>,</w:t>
      </w:r>
      <w:r w:rsidRPr="005D6850">
        <w:t xml:space="preserve"> </w:t>
      </w:r>
      <w:r w:rsidR="00A01EA1" w:rsidRPr="005D6850">
        <w:t>ANAO.</w:t>
      </w:r>
    </w:p>
    <w:p w14:paraId="5870D15A" w14:textId="77777777" w:rsidR="00597B5E" w:rsidRPr="005D6850" w:rsidRDefault="00597B5E" w:rsidP="0018380C">
      <w:pPr>
        <w:pStyle w:val="References"/>
      </w:pPr>
      <w:r w:rsidRPr="005D6850">
        <w:t>Brooks-Cleator L, Phillipps B</w:t>
      </w:r>
      <w:r w:rsidR="00A01EA1" w:rsidRPr="005D6850">
        <w:t xml:space="preserve"> and</w:t>
      </w:r>
      <w:r w:rsidRPr="005D6850">
        <w:t xml:space="preserve"> Giles A (2018) </w:t>
      </w:r>
      <w:r w:rsidR="002E0E6C" w:rsidRPr="005D6850">
        <w:t>‘</w:t>
      </w:r>
      <w:r w:rsidRPr="005D6850">
        <w:t>Culturally safe health initiatives for Indigenous peoples in Canada: A scoping review</w:t>
      </w:r>
      <w:r w:rsidR="002E0E6C" w:rsidRPr="005D6850">
        <w:t>’</w:t>
      </w:r>
      <w:r w:rsidR="00A01EA1" w:rsidRPr="005D6850">
        <w:t>,</w:t>
      </w:r>
      <w:r w:rsidRPr="005D6850">
        <w:t xml:space="preserve"> </w:t>
      </w:r>
      <w:r w:rsidRPr="005D6850">
        <w:rPr>
          <w:i/>
        </w:rPr>
        <w:t xml:space="preserve">Canadian Journal of Nursing Research </w:t>
      </w:r>
      <w:r w:rsidRPr="005D6850">
        <w:rPr>
          <w:iCs/>
        </w:rPr>
        <w:t>50</w:t>
      </w:r>
      <w:r w:rsidRPr="005D6850">
        <w:t>(4)</w:t>
      </w:r>
      <w:r w:rsidR="00A01EA1" w:rsidRPr="005D6850">
        <w:t>:</w:t>
      </w:r>
      <w:r w:rsidRPr="005D6850">
        <w:t>202–213</w:t>
      </w:r>
      <w:r w:rsidR="00A01EA1" w:rsidRPr="005D6850">
        <w:t xml:space="preserve">, </w:t>
      </w:r>
      <w:r w:rsidRPr="005D6850">
        <w:t>doi</w:t>
      </w:r>
      <w:r w:rsidR="00A01EA1" w:rsidRPr="005D6850">
        <w:t>:</w:t>
      </w:r>
      <w:r w:rsidRPr="005D6850">
        <w:t>10.1177/084456211877033</w:t>
      </w:r>
      <w:r w:rsidR="00A01EA1" w:rsidRPr="005D6850">
        <w:t>.</w:t>
      </w:r>
    </w:p>
    <w:p w14:paraId="7B1C3F2F" w14:textId="77777777" w:rsidR="00597B5E" w:rsidRPr="005D6850" w:rsidRDefault="00597B5E" w:rsidP="0018380C">
      <w:pPr>
        <w:pStyle w:val="References"/>
      </w:pPr>
      <w:r w:rsidRPr="005D6850">
        <w:t>Campbell S, Jongen C, Kinchin I, Doran C</w:t>
      </w:r>
      <w:r w:rsidR="00A01EA1" w:rsidRPr="005D6850">
        <w:t xml:space="preserve"> and</w:t>
      </w:r>
      <w:r w:rsidRPr="005D6850">
        <w:t xml:space="preserve"> McCalman J (2019) </w:t>
      </w:r>
      <w:hyperlink r:id="rId137" w:history="1">
        <w:r w:rsidRPr="005D6850">
          <w:rPr>
            <w:rStyle w:val="Hyperlink"/>
            <w:i/>
          </w:rPr>
          <w:t>Transition of primary healthcare services in Yarrbah to community control: Project Report for Gurriny Yealamucka Health Service</w:t>
        </w:r>
      </w:hyperlink>
      <w:r w:rsidR="00A01EA1" w:rsidRPr="005D6850">
        <w:t>,</w:t>
      </w:r>
      <w:r w:rsidRPr="005D6850">
        <w:t xml:space="preserve"> Centre for Indigenous Health Equity Research, Central Queensland University. </w:t>
      </w:r>
    </w:p>
    <w:p w14:paraId="05B0F7F2" w14:textId="77777777" w:rsidR="00597B5E" w:rsidRPr="005D6850" w:rsidRDefault="00597B5E" w:rsidP="0018380C">
      <w:pPr>
        <w:pStyle w:val="References"/>
      </w:pPr>
      <w:r w:rsidRPr="005D6850">
        <w:t xml:space="preserve">Cawthorn M (2021) </w:t>
      </w:r>
      <w:hyperlink r:id="rId138" w:history="1">
        <w:r w:rsidRPr="005D6850">
          <w:rPr>
            <w:rStyle w:val="Hyperlink"/>
            <w:i/>
          </w:rPr>
          <w:t>Two-way governance</w:t>
        </w:r>
      </w:hyperlink>
      <w:r w:rsidR="008B2048" w:rsidRPr="005D6850">
        <w:t>, Prescribed Body Corporate.</w:t>
      </w:r>
      <w:r w:rsidRPr="005D6850">
        <w:t> </w:t>
      </w:r>
    </w:p>
    <w:p w14:paraId="7124BAC7" w14:textId="77777777" w:rsidR="00597B5E" w:rsidRPr="005D6850" w:rsidRDefault="00597B5E" w:rsidP="0018380C">
      <w:pPr>
        <w:pStyle w:val="References"/>
      </w:pPr>
      <w:r w:rsidRPr="005D6850">
        <w:t xml:space="preserve">Centers for Disease Control and Prevention (2020a) </w:t>
      </w:r>
      <w:hyperlink r:id="rId139" w:anchor=":~:text=Good%20Health%20and%20Wellness%20in%20Indian%20Country%20(GHWIC)%20is%20the,promotion%20and%20chronic%20disease%20prevention" w:history="1">
        <w:r w:rsidRPr="005D6850">
          <w:rPr>
            <w:rStyle w:val="Hyperlink"/>
            <w:i/>
          </w:rPr>
          <w:t>Good Health and Wellness in Indian Country (GHWIC)</w:t>
        </w:r>
      </w:hyperlink>
      <w:r w:rsidR="004E591C" w:rsidRPr="005D6850">
        <w:rPr>
          <w:iCs/>
        </w:rPr>
        <w:t>, CDC.</w:t>
      </w:r>
      <w:r w:rsidRPr="005D6850">
        <w:t xml:space="preserve"> </w:t>
      </w:r>
    </w:p>
    <w:p w14:paraId="291E6984" w14:textId="77777777" w:rsidR="00597B5E" w:rsidRPr="005D6850" w:rsidRDefault="00597B5E" w:rsidP="0018380C">
      <w:pPr>
        <w:pStyle w:val="References"/>
      </w:pPr>
      <w:r w:rsidRPr="005D6850">
        <w:t xml:space="preserve">Centers for Disease Control and Prevention (2020b) </w:t>
      </w:r>
      <w:hyperlink r:id="rId140" w:history="1">
        <w:r w:rsidRPr="005D6850">
          <w:rPr>
            <w:rStyle w:val="Hyperlink"/>
            <w:i/>
          </w:rPr>
          <w:t xml:space="preserve">GHWIC </w:t>
        </w:r>
        <w:r w:rsidR="004E591C" w:rsidRPr="005D6850">
          <w:rPr>
            <w:rStyle w:val="Hyperlink"/>
            <w:i/>
          </w:rPr>
          <w:t>f</w:t>
        </w:r>
        <w:r w:rsidRPr="005D6850">
          <w:rPr>
            <w:rStyle w:val="Hyperlink"/>
            <w:i/>
          </w:rPr>
          <w:t>unding</w:t>
        </w:r>
      </w:hyperlink>
      <w:r w:rsidR="004E591C" w:rsidRPr="005D6850">
        <w:t>,</w:t>
      </w:r>
      <w:r w:rsidRPr="005D6850">
        <w:t xml:space="preserve"> </w:t>
      </w:r>
      <w:r w:rsidR="004E591C" w:rsidRPr="005D6850">
        <w:t>CDC.</w:t>
      </w:r>
      <w:r w:rsidRPr="005D6850">
        <w:t xml:space="preserve"> </w:t>
      </w:r>
    </w:p>
    <w:p w14:paraId="0EC2C526" w14:textId="77777777" w:rsidR="00597B5E" w:rsidRPr="005D6850" w:rsidRDefault="00597B5E" w:rsidP="0018380C">
      <w:pPr>
        <w:pStyle w:val="References"/>
      </w:pPr>
      <w:r w:rsidRPr="005D6850">
        <w:t xml:space="preserve">Centre of Best Practice in Aboriginal and/or Torres Strait Islander Suicide Prevention </w:t>
      </w:r>
      <w:r w:rsidR="004E591C" w:rsidRPr="005D6850">
        <w:t>(</w:t>
      </w:r>
      <w:r w:rsidRPr="005D6850">
        <w:t>2022</w:t>
      </w:r>
      <w:r w:rsidR="004E591C" w:rsidRPr="005D6850">
        <w:t>)</w:t>
      </w:r>
      <w:r w:rsidRPr="005D6850">
        <w:t xml:space="preserve"> </w:t>
      </w:r>
      <w:hyperlink r:id="rId141" w:anchor="guidingprinciples" w:history="1">
        <w:r w:rsidRPr="005D6850">
          <w:rPr>
            <w:rStyle w:val="Hyperlink"/>
            <w:i/>
          </w:rPr>
          <w:t>About us</w:t>
        </w:r>
      </w:hyperlink>
      <w:r w:rsidR="004E591C" w:rsidRPr="005D6850">
        <w:t>,</w:t>
      </w:r>
      <w:r w:rsidRPr="005D6850">
        <w:t> </w:t>
      </w:r>
      <w:r w:rsidR="004E591C" w:rsidRPr="005D6850">
        <w:t>CBPATSISP.</w:t>
      </w:r>
    </w:p>
    <w:p w14:paraId="6111EE43" w14:textId="77777777" w:rsidR="00597B5E" w:rsidRPr="005D6850" w:rsidRDefault="004E591C" w:rsidP="0018380C">
      <w:pPr>
        <w:pStyle w:val="References"/>
      </w:pPr>
      <w:r w:rsidRPr="005D6850">
        <w:rPr>
          <w:color w:val="000000" w:themeColor="text1"/>
        </w:rPr>
        <w:t xml:space="preserve">Coalition of Peaks (2020) </w:t>
      </w:r>
      <w:hyperlink r:id="rId142" w:history="1">
        <w:r w:rsidRPr="005D6850">
          <w:rPr>
            <w:rStyle w:val="Hyperlink"/>
            <w:i/>
          </w:rPr>
          <w:t>National Agreement on Closing the Gap</w:t>
        </w:r>
      </w:hyperlink>
      <w:r w:rsidRPr="005D6850">
        <w:rPr>
          <w:color w:val="000000" w:themeColor="text1"/>
        </w:rPr>
        <w:t>, Coalition of Aboriginal and Torres Strait Islander Peak Organisations, and all Australian Governments.</w:t>
      </w:r>
      <w:r w:rsidR="00597B5E" w:rsidRPr="005D6850">
        <w:t xml:space="preserve"> </w:t>
      </w:r>
    </w:p>
    <w:p w14:paraId="07EE67AB" w14:textId="77777777" w:rsidR="00597B5E" w:rsidRPr="005D6850" w:rsidRDefault="00597B5E" w:rsidP="0018380C">
      <w:pPr>
        <w:pStyle w:val="References"/>
      </w:pPr>
      <w:r w:rsidRPr="005D6850">
        <w:t xml:space="preserve">Coalition of Peaks (2022) </w:t>
      </w:r>
      <w:hyperlink r:id="rId143" w:history="1">
        <w:r w:rsidRPr="005D6850">
          <w:rPr>
            <w:rStyle w:val="Hyperlink"/>
            <w:i/>
          </w:rPr>
          <w:t>Annual Report 2021</w:t>
        </w:r>
        <w:r w:rsidR="004E591C" w:rsidRPr="005D6850">
          <w:rPr>
            <w:rStyle w:val="Hyperlink"/>
            <w:i/>
          </w:rPr>
          <w:t>–</w:t>
        </w:r>
        <w:r w:rsidRPr="005D6850">
          <w:rPr>
            <w:rStyle w:val="Hyperlink"/>
            <w:i/>
          </w:rPr>
          <w:t>2022</w:t>
        </w:r>
      </w:hyperlink>
      <w:r w:rsidR="004E591C" w:rsidRPr="005D6850">
        <w:t>, Coalition of Peaks.</w:t>
      </w:r>
      <w:r w:rsidRPr="005D6850">
        <w:t xml:space="preserve"> </w:t>
      </w:r>
    </w:p>
    <w:p w14:paraId="600BD11A" w14:textId="0A52C92D" w:rsidR="00597B5E" w:rsidRPr="005D6850" w:rsidRDefault="00597B5E" w:rsidP="0018380C">
      <w:pPr>
        <w:pStyle w:val="References"/>
      </w:pPr>
      <w:r w:rsidRPr="005D6850">
        <w:t xml:space="preserve">Congressional Research Service (2016) </w:t>
      </w:r>
      <w:hyperlink r:id="rId144" w:history="1">
        <w:r w:rsidRPr="005D6850">
          <w:rPr>
            <w:rStyle w:val="Hyperlink"/>
            <w:i/>
          </w:rPr>
          <w:t>The Indian Health Service (IHS): An Overview</w:t>
        </w:r>
      </w:hyperlink>
      <w:r w:rsidR="004E591C" w:rsidRPr="005D6850">
        <w:t>,</w:t>
      </w:r>
      <w:r w:rsidRPr="005D6850">
        <w:t xml:space="preserve"> </w:t>
      </w:r>
      <w:r w:rsidR="004E591C" w:rsidRPr="005D6850">
        <w:t>CRS.</w:t>
      </w:r>
    </w:p>
    <w:p w14:paraId="4061C550" w14:textId="77777777" w:rsidR="00597B5E" w:rsidRPr="005D6850" w:rsidRDefault="00597B5E" w:rsidP="0018380C">
      <w:pPr>
        <w:pStyle w:val="References"/>
      </w:pPr>
      <w:r w:rsidRPr="005D6850">
        <w:t xml:space="preserve">Congressional Research Service (2017) </w:t>
      </w:r>
      <w:hyperlink r:id="rId145" w:history="1">
        <w:r w:rsidRPr="005D6850">
          <w:rPr>
            <w:rStyle w:val="Hyperlink"/>
            <w:i/>
          </w:rPr>
          <w:t>Indian Health Service (IHS) Funding: Fact Sheet</w:t>
        </w:r>
      </w:hyperlink>
      <w:r w:rsidR="004E591C" w:rsidRPr="005D6850">
        <w:t>,</w:t>
      </w:r>
      <w:r w:rsidRPr="005D6850">
        <w:t xml:space="preserve"> </w:t>
      </w:r>
      <w:r w:rsidR="004E591C" w:rsidRPr="005D6850">
        <w:t>CRS.</w:t>
      </w:r>
    </w:p>
    <w:p w14:paraId="01DB5300" w14:textId="77777777" w:rsidR="00EB4E2B" w:rsidRPr="005D6850" w:rsidRDefault="00EB4E2B" w:rsidP="0018380C">
      <w:pPr>
        <w:pStyle w:val="References"/>
      </w:pPr>
      <w:r w:rsidRPr="005D6850">
        <w:t xml:space="preserve">Cultural &amp; Indigenous Research Centre Australia (2022) </w:t>
      </w:r>
      <w:hyperlink r:id="rId146" w:history="1">
        <w:r w:rsidR="00DF0C24" w:rsidRPr="005D6850">
          <w:rPr>
            <w:rStyle w:val="Hyperlink"/>
            <w:i/>
            <w:iCs/>
          </w:rPr>
          <w:t>Tackling Indigenous Smoking Program: Final Evaluation Report</w:t>
        </w:r>
      </w:hyperlink>
      <w:r w:rsidR="00DF0C24" w:rsidRPr="005D6850">
        <w:rPr>
          <w:i/>
          <w:iCs/>
        </w:rPr>
        <w:t xml:space="preserve">, CIRCA. </w:t>
      </w:r>
    </w:p>
    <w:p w14:paraId="560BDEAC" w14:textId="77777777" w:rsidR="00597B5E" w:rsidRPr="005D6850" w:rsidRDefault="00597B5E" w:rsidP="0018380C">
      <w:pPr>
        <w:pStyle w:val="References"/>
      </w:pPr>
      <w:r w:rsidRPr="005D6850">
        <w:t>Currier D, King K, Oostermeijer S, Hall T, Cox A, Page A, Atkinson J, Harris M, Burgess P, Bassilios B, Carter G, Erlangsen A, Gunn J, Kõlves K, Krysinska K, Phelps A, Robinson K, Spittal M</w:t>
      </w:r>
      <w:r w:rsidR="002E0E6C" w:rsidRPr="005D6850">
        <w:t xml:space="preserve"> and</w:t>
      </w:r>
      <w:r w:rsidRPr="005D6850">
        <w:t xml:space="preserve"> Pirkis J (2020) </w:t>
      </w:r>
      <w:hyperlink r:id="rId147" w:history="1">
        <w:r w:rsidRPr="005D6850">
          <w:rPr>
            <w:rStyle w:val="Hyperlink"/>
            <w:i/>
          </w:rPr>
          <w:t>National Suicide Prevention Trial: Final evaluation report</w:t>
        </w:r>
      </w:hyperlink>
      <w:r w:rsidR="002E0E6C" w:rsidRPr="005D6850">
        <w:t>,</w:t>
      </w:r>
      <w:r w:rsidRPr="005D6850">
        <w:t xml:space="preserve"> The University of Melbourne. </w:t>
      </w:r>
    </w:p>
    <w:p w14:paraId="206A44C1" w14:textId="77777777" w:rsidR="00597B5E" w:rsidRPr="002B0CB0" w:rsidRDefault="00597B5E" w:rsidP="0018380C">
      <w:pPr>
        <w:pStyle w:val="References"/>
      </w:pPr>
      <w:r w:rsidRPr="005D6850">
        <w:t>Curtis E, Jones R, Tipene-Leach D, Walker C, Loring B, Paine S-J</w:t>
      </w:r>
      <w:r w:rsidR="001401D3" w:rsidRPr="005D6850">
        <w:t xml:space="preserve"> and</w:t>
      </w:r>
      <w:r w:rsidRPr="005D6850">
        <w:t xml:space="preserve"> Reid P (2019) </w:t>
      </w:r>
      <w:r w:rsidR="001401D3" w:rsidRPr="005D6850">
        <w:t>‘</w:t>
      </w:r>
      <w:r w:rsidRPr="005D6850">
        <w:t>Why cultural safety rather than cultural competency is required to achieve health equity: A literature review and recommended</w:t>
      </w:r>
      <w:r w:rsidRPr="002B0CB0">
        <w:t xml:space="preserve"> definition</w:t>
      </w:r>
      <w:r w:rsidR="001401D3">
        <w:t>’,</w:t>
      </w:r>
      <w:r w:rsidRPr="002B0CB0">
        <w:t xml:space="preserve"> </w:t>
      </w:r>
      <w:r w:rsidRPr="002B0CB0">
        <w:rPr>
          <w:i/>
        </w:rPr>
        <w:t xml:space="preserve">International Journal for Equity in Health </w:t>
      </w:r>
      <w:r w:rsidRPr="001401D3">
        <w:rPr>
          <w:iCs/>
        </w:rPr>
        <w:t>18</w:t>
      </w:r>
      <w:r w:rsidRPr="002B0CB0">
        <w:t>(174)</w:t>
      </w:r>
      <w:r w:rsidR="001401D3">
        <w:t>,</w:t>
      </w:r>
      <w:r w:rsidRPr="002B0CB0">
        <w:t xml:space="preserve"> </w:t>
      </w:r>
      <w:r w:rsidR="001401D3">
        <w:t>doi:</w:t>
      </w:r>
      <w:r w:rsidRPr="001401D3">
        <w:t>10.1186/s12939-019-1082-3</w:t>
      </w:r>
      <w:r w:rsidR="001401D3">
        <w:t>.</w:t>
      </w:r>
      <w:r w:rsidRPr="002B0CB0">
        <w:t> </w:t>
      </w:r>
    </w:p>
    <w:p w14:paraId="27DC698B" w14:textId="0D639AF6" w:rsidR="00597B5E" w:rsidRPr="005D6850" w:rsidRDefault="00597B5E" w:rsidP="0018380C">
      <w:pPr>
        <w:pStyle w:val="References"/>
      </w:pPr>
      <w:r w:rsidRPr="005D6850">
        <w:t>Dawson A, Harfield S, Davy C, Baker A, Kite E, Aitken G, Morey K, Braunack-Mayer A</w:t>
      </w:r>
      <w:r w:rsidR="001401D3" w:rsidRPr="005D6850">
        <w:t xml:space="preserve"> and</w:t>
      </w:r>
      <w:r w:rsidRPr="005D6850">
        <w:t xml:space="preserve"> Brown A (2021) </w:t>
      </w:r>
      <w:r w:rsidR="001401D3" w:rsidRPr="005D6850">
        <w:t>‘</w:t>
      </w:r>
      <w:r w:rsidRPr="005D6850">
        <w:t>Aboriginal community-controlled aged care: Principles, practices and actions to integrate with primary health care</w:t>
      </w:r>
      <w:r w:rsidR="001401D3" w:rsidRPr="005D6850">
        <w:t>’,</w:t>
      </w:r>
      <w:r w:rsidRPr="005D6850">
        <w:t xml:space="preserve"> </w:t>
      </w:r>
      <w:r w:rsidRPr="005D6850">
        <w:rPr>
          <w:i/>
        </w:rPr>
        <w:t>Primary Health Care Research &amp; Development</w:t>
      </w:r>
      <w:r w:rsidRPr="005D6850">
        <w:t xml:space="preserve"> 22</w:t>
      </w:r>
      <w:r w:rsidR="001401D3" w:rsidRPr="005D6850">
        <w:t>:</w:t>
      </w:r>
      <w:r w:rsidRPr="005D6850">
        <w:t>1–9</w:t>
      </w:r>
      <w:r w:rsidR="001401D3" w:rsidRPr="005D6850">
        <w:t xml:space="preserve">, doi:10.1017/S1463423621000542. </w:t>
      </w:r>
    </w:p>
    <w:p w14:paraId="4DC9D3A2" w14:textId="77777777" w:rsidR="00597B5E" w:rsidRPr="005D6850" w:rsidRDefault="00597B5E" w:rsidP="0018380C">
      <w:pPr>
        <w:pStyle w:val="References"/>
      </w:pPr>
      <w:r w:rsidRPr="005D6850">
        <w:t xml:space="preserve">Department of Communities (2022) </w:t>
      </w:r>
      <w:hyperlink r:id="rId148" w:history="1">
        <w:r w:rsidRPr="005D6850">
          <w:rPr>
            <w:rStyle w:val="Hyperlink"/>
            <w:i/>
          </w:rPr>
          <w:t>Remote Aboriginal communities</w:t>
        </w:r>
      </w:hyperlink>
      <w:r w:rsidR="001401D3" w:rsidRPr="005D6850">
        <w:t>,</w:t>
      </w:r>
      <w:r w:rsidRPr="005D6850">
        <w:t xml:space="preserve"> Government of Western Australia. </w:t>
      </w:r>
    </w:p>
    <w:p w14:paraId="52C8DB65" w14:textId="77777777" w:rsidR="00597B5E" w:rsidRPr="005D6850" w:rsidRDefault="00597B5E" w:rsidP="0018380C">
      <w:pPr>
        <w:pStyle w:val="References"/>
      </w:pPr>
      <w:r w:rsidRPr="005D6850">
        <w:t xml:space="preserve">Department of Communities, Housing and Digital Economy (2021) </w:t>
      </w:r>
      <w:hyperlink r:id="rId149" w:anchor=":~:text=What%20is%20a%20place%2Dbased,accountability%20for%20outcomes%20and%20impacts" w:history="1">
        <w:r w:rsidRPr="005D6850">
          <w:rPr>
            <w:rStyle w:val="Hyperlink"/>
            <w:i/>
          </w:rPr>
          <w:t>Place-based approaches</w:t>
        </w:r>
      </w:hyperlink>
      <w:r w:rsidR="001401D3" w:rsidRPr="005D6850">
        <w:t>,</w:t>
      </w:r>
      <w:r w:rsidRPr="005D6850">
        <w:t xml:space="preserve"> Queensland Government. </w:t>
      </w:r>
    </w:p>
    <w:p w14:paraId="7E95A0F5" w14:textId="77777777" w:rsidR="00597B5E" w:rsidRPr="005D6850" w:rsidRDefault="00597B5E" w:rsidP="0018380C">
      <w:pPr>
        <w:pStyle w:val="References"/>
      </w:pPr>
      <w:r w:rsidRPr="005D6850">
        <w:t xml:space="preserve">Department of Families, Fairness and Housing (2020) </w:t>
      </w:r>
      <w:hyperlink r:id="rId150" w:history="1">
        <w:r w:rsidRPr="005D6850">
          <w:rPr>
            <w:rStyle w:val="Hyperlink"/>
            <w:i/>
          </w:rPr>
          <w:t>Dhelk Dja Monitoring, Evaluation and Accountability Plan</w:t>
        </w:r>
      </w:hyperlink>
      <w:r w:rsidR="001401D3" w:rsidRPr="005D6850">
        <w:t>,</w:t>
      </w:r>
      <w:r w:rsidRPr="005D6850">
        <w:t xml:space="preserve"> Victorian Government. </w:t>
      </w:r>
    </w:p>
    <w:p w14:paraId="4D4CCD17" w14:textId="77777777" w:rsidR="00597B5E" w:rsidRPr="005D6850" w:rsidRDefault="00597B5E" w:rsidP="0018380C">
      <w:pPr>
        <w:pStyle w:val="References"/>
      </w:pPr>
      <w:r w:rsidRPr="005D6850">
        <w:t xml:space="preserve">Department of Finance (2021) </w:t>
      </w:r>
      <w:hyperlink r:id="rId151" w:history="1">
        <w:r w:rsidRPr="005D6850">
          <w:rPr>
            <w:rStyle w:val="Hyperlink"/>
            <w:i/>
          </w:rPr>
          <w:t xml:space="preserve">Procurement </w:t>
        </w:r>
        <w:r w:rsidR="001401D3" w:rsidRPr="005D6850">
          <w:rPr>
            <w:rStyle w:val="Hyperlink"/>
            <w:i/>
          </w:rPr>
          <w:t>p</w:t>
        </w:r>
        <w:r w:rsidRPr="005D6850">
          <w:rPr>
            <w:rStyle w:val="Hyperlink"/>
            <w:i/>
          </w:rPr>
          <w:t xml:space="preserve">rocess </w:t>
        </w:r>
        <w:r w:rsidR="001401D3" w:rsidRPr="005D6850">
          <w:rPr>
            <w:rStyle w:val="Hyperlink"/>
            <w:i/>
          </w:rPr>
          <w:t>c</w:t>
        </w:r>
        <w:r w:rsidRPr="005D6850">
          <w:rPr>
            <w:rStyle w:val="Hyperlink"/>
            <w:i/>
          </w:rPr>
          <w:t>onsiderations</w:t>
        </w:r>
      </w:hyperlink>
      <w:r w:rsidR="001401D3" w:rsidRPr="005D6850">
        <w:t xml:space="preserve">, Australian Government. </w:t>
      </w:r>
    </w:p>
    <w:p w14:paraId="3EE3F159" w14:textId="77777777" w:rsidR="004A1E61" w:rsidRPr="005D6850" w:rsidRDefault="004A1E61" w:rsidP="004A1E61">
      <w:pPr>
        <w:pStyle w:val="References"/>
      </w:pPr>
      <w:r w:rsidRPr="005D6850">
        <w:t xml:space="preserve">Department of Health (2016a) </w:t>
      </w:r>
      <w:hyperlink r:id="rId152" w:history="1">
        <w:r w:rsidRPr="005D6850">
          <w:rPr>
            <w:rStyle w:val="Hyperlink"/>
            <w:i/>
          </w:rPr>
          <w:t>Primary Health Networks (PHNs) and Aboriginal Community Controlled Health Organisations (ACCHOs) – guiding principles</w:t>
        </w:r>
      </w:hyperlink>
      <w:r w:rsidRPr="005D6850">
        <w:t>, Australian Government. </w:t>
      </w:r>
    </w:p>
    <w:p w14:paraId="49AEB202" w14:textId="77777777" w:rsidR="004A1E61" w:rsidRPr="005D6850" w:rsidRDefault="004A1E61" w:rsidP="004A1E61">
      <w:pPr>
        <w:pStyle w:val="References"/>
      </w:pPr>
      <w:r w:rsidRPr="005D6850">
        <w:t xml:space="preserve">Department of Health (2016b) </w:t>
      </w:r>
      <w:hyperlink r:id="rId153" w:history="1">
        <w:r w:rsidRPr="005D6850">
          <w:rPr>
            <w:rStyle w:val="Hyperlink"/>
            <w:i/>
          </w:rPr>
          <w:t>Primary Health Networks: Grant Programme Guidelines</w:t>
        </w:r>
      </w:hyperlink>
      <w:r w:rsidRPr="005D6850">
        <w:t>, Australian Government.</w:t>
      </w:r>
    </w:p>
    <w:p w14:paraId="4DEFC5ED" w14:textId="77777777" w:rsidR="004A1E61" w:rsidRPr="005D6850" w:rsidRDefault="004A1E61" w:rsidP="004A1E61">
      <w:pPr>
        <w:pStyle w:val="References"/>
      </w:pPr>
      <w:r w:rsidRPr="005D6850">
        <w:t xml:space="preserve">Department of Health (2018) </w:t>
      </w:r>
      <w:hyperlink r:id="rId154" w:history="1">
        <w:r w:rsidRPr="005D6850">
          <w:rPr>
            <w:rStyle w:val="Hyperlink"/>
            <w:i/>
          </w:rPr>
          <w:t>PHN Program Performance and Quality Framework</w:t>
        </w:r>
      </w:hyperlink>
      <w:r w:rsidRPr="005D6850">
        <w:t>, Australian Government.</w:t>
      </w:r>
    </w:p>
    <w:p w14:paraId="0288EEB7" w14:textId="77777777" w:rsidR="004A1E61" w:rsidRPr="005D6850" w:rsidRDefault="004A1E61" w:rsidP="004A1E61">
      <w:pPr>
        <w:pStyle w:val="References"/>
      </w:pPr>
      <w:r w:rsidRPr="005D6850">
        <w:t xml:space="preserve">Department of Health (2019) </w:t>
      </w:r>
      <w:hyperlink r:id="rId155" w:history="1">
        <w:r w:rsidRPr="005D6850">
          <w:rPr>
            <w:rStyle w:val="Hyperlink"/>
            <w:i/>
          </w:rPr>
          <w:t>A commissioning overview in the PHN context</w:t>
        </w:r>
      </w:hyperlink>
      <w:r w:rsidRPr="005D6850">
        <w:t>, Australian Government.</w:t>
      </w:r>
    </w:p>
    <w:p w14:paraId="5A3A9F3F" w14:textId="77777777" w:rsidR="004A1E61" w:rsidRPr="002B0CB0" w:rsidRDefault="004A1E61" w:rsidP="004A1E61">
      <w:pPr>
        <w:pStyle w:val="References"/>
      </w:pPr>
      <w:r w:rsidRPr="005D6850">
        <w:t xml:space="preserve">Department of Health (2020) </w:t>
      </w:r>
      <w:hyperlink r:id="rId156" w:history="1">
        <w:r w:rsidRPr="005D6850">
          <w:rPr>
            <w:rStyle w:val="Hyperlink"/>
            <w:i/>
          </w:rPr>
          <w:t>Indigenous Australians’ Health Programme Primary Health Care Funding Model Technical Factsheet</w:t>
        </w:r>
      </w:hyperlink>
      <w:r w:rsidRPr="005D6850">
        <w:t>, Australian Government.</w:t>
      </w:r>
    </w:p>
    <w:p w14:paraId="4CD91413" w14:textId="77777777" w:rsidR="004A1E61" w:rsidRDefault="004A1E61" w:rsidP="0018380C">
      <w:pPr>
        <w:pStyle w:val="References"/>
        <w:rPr>
          <w:highlight w:val="yellow"/>
        </w:rPr>
      </w:pPr>
    </w:p>
    <w:p w14:paraId="1664CF63" w14:textId="2E8559F7" w:rsidR="00597B5E" w:rsidRPr="005D6850" w:rsidRDefault="00597B5E" w:rsidP="0018380C">
      <w:pPr>
        <w:pStyle w:val="References"/>
      </w:pPr>
      <w:r w:rsidRPr="005D6850">
        <w:t xml:space="preserve">Department of Health and Aged Care (2022) </w:t>
      </w:r>
      <w:hyperlink r:id="rId157" w:history="1">
        <w:r w:rsidRPr="005D6850">
          <w:rPr>
            <w:rStyle w:val="Hyperlink"/>
            <w:i/>
          </w:rPr>
          <w:t>Analysis of suicide prevention trials: Evaluation findings</w:t>
        </w:r>
      </w:hyperlink>
      <w:r w:rsidR="001401D3" w:rsidRPr="005D6850">
        <w:t>, Australian Government.</w:t>
      </w:r>
      <w:r w:rsidRPr="005D6850">
        <w:t> </w:t>
      </w:r>
    </w:p>
    <w:p w14:paraId="3474CF40" w14:textId="77777777" w:rsidR="00597B5E" w:rsidRPr="005D6850" w:rsidRDefault="00597B5E" w:rsidP="0018380C">
      <w:pPr>
        <w:pStyle w:val="References"/>
        <w:rPr>
          <w:iCs/>
        </w:rPr>
      </w:pPr>
      <w:r w:rsidRPr="005D6850">
        <w:t xml:space="preserve">Department of Health and Aged Care (2023) </w:t>
      </w:r>
      <w:hyperlink r:id="rId158" w:history="1">
        <w:r w:rsidRPr="005D6850">
          <w:rPr>
            <w:rStyle w:val="Hyperlink"/>
            <w:i/>
          </w:rPr>
          <w:t>Indigenous Australians’ Health Programme</w:t>
        </w:r>
      </w:hyperlink>
      <w:r w:rsidR="001401D3" w:rsidRPr="005D6850">
        <w:rPr>
          <w:iCs/>
        </w:rPr>
        <w:t>,</w:t>
      </w:r>
      <w:r w:rsidRPr="005D6850">
        <w:rPr>
          <w:i/>
        </w:rPr>
        <w:t xml:space="preserve"> </w:t>
      </w:r>
      <w:r w:rsidR="001401D3" w:rsidRPr="005D6850">
        <w:rPr>
          <w:iCs/>
        </w:rPr>
        <w:t>Australian Government.</w:t>
      </w:r>
    </w:p>
    <w:p w14:paraId="003F8C44" w14:textId="77777777" w:rsidR="00597B5E" w:rsidRPr="005D6850" w:rsidRDefault="00597B5E" w:rsidP="0018380C">
      <w:pPr>
        <w:pStyle w:val="References"/>
      </w:pPr>
      <w:r w:rsidRPr="005D6850">
        <w:t xml:space="preserve">Department of Health and Human Services (2017) </w:t>
      </w:r>
      <w:hyperlink r:id="rId159" w:history="1">
        <w:r w:rsidRPr="005D6850">
          <w:rPr>
            <w:rStyle w:val="Hyperlink"/>
            <w:i/>
          </w:rPr>
          <w:t>Aboriginal governance and accountability framework</w:t>
        </w:r>
      </w:hyperlink>
      <w:r w:rsidR="001401D3" w:rsidRPr="005D6850">
        <w:t>,</w:t>
      </w:r>
      <w:r w:rsidRPr="005D6850">
        <w:t xml:space="preserve"> Victorian Government. </w:t>
      </w:r>
    </w:p>
    <w:p w14:paraId="3583EEAA" w14:textId="6DE3ACE3" w:rsidR="00A131CD" w:rsidRPr="005D6850" w:rsidRDefault="00A131CD" w:rsidP="00A131CD">
      <w:pPr>
        <w:pStyle w:val="References"/>
      </w:pPr>
      <w:r w:rsidRPr="005D6850">
        <w:t xml:space="preserve">Department of the Prime Minister and Cabinet (2022) </w:t>
      </w:r>
      <w:hyperlink r:id="rId160" w:history="1">
        <w:r w:rsidRPr="005D6850">
          <w:rPr>
            <w:rStyle w:val="Hyperlink"/>
            <w:i/>
            <w:iCs/>
          </w:rPr>
          <w:t>Closing the gap</w:t>
        </w:r>
      </w:hyperlink>
      <w:r w:rsidRPr="005D6850">
        <w:t>, Commonwealth of Australia.</w:t>
      </w:r>
    </w:p>
    <w:p w14:paraId="10C5344F" w14:textId="77777777" w:rsidR="00597B5E" w:rsidRPr="005D6850" w:rsidRDefault="00597B5E" w:rsidP="0018380C">
      <w:pPr>
        <w:pStyle w:val="References"/>
      </w:pPr>
      <w:r w:rsidRPr="005D6850">
        <w:t>Dreise T</w:t>
      </w:r>
      <w:r w:rsidR="00784C0E" w:rsidRPr="005D6850">
        <w:t xml:space="preserve"> and</w:t>
      </w:r>
      <w:r w:rsidRPr="005D6850">
        <w:t xml:space="preserve"> Mazurski E (2018) </w:t>
      </w:r>
      <w:hyperlink r:id="rId161" w:history="1">
        <w:r w:rsidRPr="005D6850">
          <w:rPr>
            <w:rStyle w:val="Hyperlink"/>
            <w:i/>
            <w:iCs/>
          </w:rPr>
          <w:t>Weaving knowledges: Knowledge exchange, co-design and community-based participatory research and evaluation in Aboriginal communities</w:t>
        </w:r>
      </w:hyperlink>
      <w:r w:rsidR="00213B39" w:rsidRPr="005D6850">
        <w:t>,</w:t>
      </w:r>
      <w:r w:rsidRPr="005D6850">
        <w:t xml:space="preserve"> Aboriginal Affairs New South Wales. </w:t>
      </w:r>
    </w:p>
    <w:p w14:paraId="787475AA" w14:textId="77777777" w:rsidR="00597B5E" w:rsidRPr="005D6850" w:rsidRDefault="00597B5E" w:rsidP="0018380C">
      <w:pPr>
        <w:pStyle w:val="References"/>
        <w:rPr>
          <w:color w:val="1155CC"/>
          <w:u w:val="single"/>
        </w:rPr>
      </w:pPr>
      <w:r w:rsidRPr="005D6850">
        <w:t>Dudgeon P, Scrine C, Cox A</w:t>
      </w:r>
      <w:r w:rsidR="00213B39" w:rsidRPr="005D6850">
        <w:t xml:space="preserve"> and</w:t>
      </w:r>
      <w:r w:rsidRPr="005D6850">
        <w:t xml:space="preserve"> Walker R (2014) </w:t>
      </w:r>
      <w:hyperlink r:id="rId162" w:history="1">
        <w:r w:rsidRPr="005D6850">
          <w:rPr>
            <w:rStyle w:val="Hyperlink"/>
            <w:i/>
          </w:rPr>
          <w:t>Voices of the people: The National Empowerment Project</w:t>
        </w:r>
      </w:hyperlink>
      <w:r w:rsidR="00213B39" w:rsidRPr="005D6850">
        <w:t>,</w:t>
      </w:r>
      <w:r w:rsidRPr="005D6850">
        <w:t xml:space="preserve"> The National Empowerment Project. </w:t>
      </w:r>
    </w:p>
    <w:p w14:paraId="26D2F917" w14:textId="77777777" w:rsidR="00597B5E" w:rsidRPr="005D6850" w:rsidRDefault="00597B5E" w:rsidP="0018380C">
      <w:pPr>
        <w:pStyle w:val="References"/>
      </w:pPr>
      <w:r w:rsidRPr="005D6850">
        <w:t>Eni R, Phillips-Beck W, Kyoon Achan G, Lavoie JG, Kinew KA</w:t>
      </w:r>
      <w:r w:rsidR="002401B6" w:rsidRPr="005D6850">
        <w:t xml:space="preserve"> and</w:t>
      </w:r>
      <w:r w:rsidRPr="005D6850">
        <w:t xml:space="preserve"> Katz A (2021) </w:t>
      </w:r>
      <w:r w:rsidR="002401B6" w:rsidRPr="005D6850">
        <w:t>‘</w:t>
      </w:r>
      <w:r w:rsidRPr="005D6850">
        <w:t>Decolonizing health in Canada: A Manitoba first nation perspective</w:t>
      </w:r>
      <w:r w:rsidR="002401B6" w:rsidRPr="005D6850">
        <w:t>’,</w:t>
      </w:r>
      <w:r w:rsidRPr="005D6850">
        <w:t xml:space="preserve"> </w:t>
      </w:r>
      <w:r w:rsidRPr="005D6850">
        <w:rPr>
          <w:i/>
        </w:rPr>
        <w:t>International Journal for Equity in Health</w:t>
      </w:r>
      <w:r w:rsidRPr="005D6850">
        <w:t xml:space="preserve"> </w:t>
      </w:r>
      <w:r w:rsidRPr="005D6850">
        <w:rPr>
          <w:iCs/>
        </w:rPr>
        <w:t>2</w:t>
      </w:r>
      <w:r w:rsidRPr="005D6850">
        <w:rPr>
          <w:i/>
        </w:rPr>
        <w:t>0</w:t>
      </w:r>
      <w:r w:rsidRPr="005D6850">
        <w:t>(206)</w:t>
      </w:r>
      <w:r w:rsidR="002401B6" w:rsidRPr="005D6850">
        <w:t>:</w:t>
      </w:r>
      <w:r w:rsidRPr="005D6850">
        <w:t>1</w:t>
      </w:r>
      <w:r w:rsidR="002401B6" w:rsidRPr="005D6850">
        <w:t>–</w:t>
      </w:r>
      <w:r w:rsidRPr="005D6850">
        <w:t>12</w:t>
      </w:r>
      <w:r w:rsidR="002401B6" w:rsidRPr="005D6850">
        <w:t>,</w:t>
      </w:r>
      <w:r w:rsidRPr="005D6850">
        <w:t xml:space="preserve"> </w:t>
      </w:r>
      <w:r w:rsidR="002401B6" w:rsidRPr="005D6850">
        <w:t>doi:</w:t>
      </w:r>
      <w:r w:rsidRPr="005D6850">
        <w:t>10.1186/s12939-021-01539-7</w:t>
      </w:r>
      <w:r w:rsidR="002401B6" w:rsidRPr="005D6850">
        <w:t>.</w:t>
      </w:r>
    </w:p>
    <w:p w14:paraId="06AAA447" w14:textId="77777777" w:rsidR="00597B5E" w:rsidRPr="005D6850" w:rsidRDefault="00597B5E" w:rsidP="0018380C">
      <w:pPr>
        <w:pStyle w:val="References"/>
      </w:pPr>
      <w:r w:rsidRPr="005D6850">
        <w:t xml:space="preserve">Environmental Health Intelligence New Zealand (2020) </w:t>
      </w:r>
      <w:hyperlink r:id="rId163" w:history="1">
        <w:r w:rsidRPr="005D6850">
          <w:rPr>
            <w:rStyle w:val="Hyperlink"/>
            <w:i/>
          </w:rPr>
          <w:t>Ethnic profile</w:t>
        </w:r>
      </w:hyperlink>
      <w:r w:rsidR="002401B6" w:rsidRPr="005D6850">
        <w:t>,</w:t>
      </w:r>
      <w:r w:rsidRPr="005D6850">
        <w:t xml:space="preserve"> Ministry of Health. </w:t>
      </w:r>
    </w:p>
    <w:p w14:paraId="5B6CDEC1" w14:textId="77777777" w:rsidR="00597B5E" w:rsidRPr="004F1EB2" w:rsidRDefault="00597B5E" w:rsidP="0018380C">
      <w:pPr>
        <w:pStyle w:val="References"/>
        <w:rPr>
          <w:iCs/>
        </w:rPr>
      </w:pPr>
      <w:r w:rsidRPr="005D6850">
        <w:t>EY (2018)</w:t>
      </w:r>
      <w:r w:rsidRPr="005D6850">
        <w:rPr>
          <w:i/>
        </w:rPr>
        <w:t xml:space="preserve"> </w:t>
      </w:r>
      <w:hyperlink r:id="rId164" w:history="1">
        <w:r w:rsidRPr="005D6850">
          <w:rPr>
            <w:rStyle w:val="Hyperlink"/>
            <w:i/>
          </w:rPr>
          <w:t>Evaluation of the Primary Health Networks Program: Final Report</w:t>
        </w:r>
      </w:hyperlink>
      <w:r w:rsidR="004F1EB2" w:rsidRPr="005D6850">
        <w:rPr>
          <w:iCs/>
        </w:rPr>
        <w:t>,</w:t>
      </w:r>
      <w:r w:rsidRPr="005D6850">
        <w:rPr>
          <w:i/>
        </w:rPr>
        <w:t xml:space="preserve"> </w:t>
      </w:r>
      <w:r w:rsidR="004F1EB2" w:rsidRPr="005D6850">
        <w:rPr>
          <w:iCs/>
        </w:rPr>
        <w:t>EY.</w:t>
      </w:r>
    </w:p>
    <w:p w14:paraId="7AAA7D55" w14:textId="77777777" w:rsidR="00597B5E" w:rsidRPr="005D6850" w:rsidRDefault="00597B5E" w:rsidP="0018380C">
      <w:pPr>
        <w:pStyle w:val="References"/>
      </w:pPr>
      <w:r w:rsidRPr="005D6850">
        <w:t xml:space="preserve">First Nations Health Authority (n.d.) </w:t>
      </w:r>
      <w:hyperlink r:id="rId165" w:history="1">
        <w:r w:rsidRPr="005D6850">
          <w:rPr>
            <w:rStyle w:val="Hyperlink"/>
            <w:i/>
          </w:rPr>
          <w:t>First Nations health governance structure in British Columbia</w:t>
        </w:r>
      </w:hyperlink>
      <w:r w:rsidR="00194D5F" w:rsidRPr="005D6850">
        <w:t>,</w:t>
      </w:r>
      <w:r w:rsidRPr="005D6850">
        <w:t> </w:t>
      </w:r>
      <w:r w:rsidR="00194D5F" w:rsidRPr="005D6850">
        <w:t>FNHA.</w:t>
      </w:r>
    </w:p>
    <w:p w14:paraId="7997234E" w14:textId="77777777" w:rsidR="00597B5E" w:rsidRPr="005D6850" w:rsidRDefault="00597B5E" w:rsidP="0018380C">
      <w:pPr>
        <w:pStyle w:val="References"/>
      </w:pPr>
      <w:r w:rsidRPr="005D6850">
        <w:t>Gardner K, Davies GP, Edwards K, McDonald J, Findlay T, Kearns R, Joshi C</w:t>
      </w:r>
      <w:r w:rsidR="008F120D" w:rsidRPr="005D6850">
        <w:t xml:space="preserve"> and</w:t>
      </w:r>
      <w:r w:rsidRPr="005D6850">
        <w:t xml:space="preserve"> Harris M (2016) </w:t>
      </w:r>
      <w:r w:rsidR="008F120D" w:rsidRPr="005D6850">
        <w:t>‘</w:t>
      </w:r>
      <w:r w:rsidRPr="005D6850">
        <w:t>A rapid review of the impact of commissioning on service use, quality, outcomes and value for money: implications for Australian policy</w:t>
      </w:r>
      <w:r w:rsidR="008F120D" w:rsidRPr="005D6850">
        <w:t>’,</w:t>
      </w:r>
      <w:r w:rsidRPr="005D6850">
        <w:t xml:space="preserve"> </w:t>
      </w:r>
      <w:r w:rsidRPr="005D6850">
        <w:rPr>
          <w:i/>
        </w:rPr>
        <w:t xml:space="preserve">Australian Journal of Primary Health </w:t>
      </w:r>
      <w:r w:rsidRPr="005D6850">
        <w:rPr>
          <w:iCs/>
        </w:rPr>
        <w:t>22</w:t>
      </w:r>
      <w:r w:rsidR="008F120D" w:rsidRPr="005D6850">
        <w:t>:</w:t>
      </w:r>
      <w:r w:rsidRPr="005D6850">
        <w:t>40</w:t>
      </w:r>
      <w:r w:rsidR="008F120D" w:rsidRPr="005D6850">
        <w:t>–</w:t>
      </w:r>
      <w:r w:rsidRPr="005D6850">
        <w:t>49</w:t>
      </w:r>
      <w:r w:rsidR="008F120D" w:rsidRPr="005D6850">
        <w:t>, doi:10.1071/PY15148.</w:t>
      </w:r>
      <w:r w:rsidRPr="005D6850">
        <w:t xml:space="preserve"> </w:t>
      </w:r>
    </w:p>
    <w:p w14:paraId="36326A16" w14:textId="77777777" w:rsidR="00597B5E" w:rsidRPr="005D6850" w:rsidRDefault="00597B5E" w:rsidP="0018380C">
      <w:pPr>
        <w:pStyle w:val="References"/>
      </w:pPr>
      <w:r w:rsidRPr="005D6850">
        <w:t>Gee G, Dudgeon P, Schultz C, Hart A</w:t>
      </w:r>
      <w:r w:rsidR="00F07E11" w:rsidRPr="005D6850">
        <w:t xml:space="preserve"> and</w:t>
      </w:r>
      <w:r w:rsidRPr="005D6850">
        <w:t xml:space="preserve"> Kelly K (2014) </w:t>
      </w:r>
      <w:r w:rsidR="00F07E11" w:rsidRPr="005D6850">
        <w:t>‘</w:t>
      </w:r>
      <w:hyperlink r:id="rId166" w:history="1">
        <w:r w:rsidRPr="005D6850">
          <w:rPr>
            <w:rStyle w:val="Hyperlink"/>
          </w:rPr>
          <w:t>Aboriginal and/or Torres Strait Islander social and emotional wellbeing</w:t>
        </w:r>
      </w:hyperlink>
      <w:r w:rsidR="00F07E11" w:rsidRPr="005D6850">
        <w:t>’,</w:t>
      </w:r>
      <w:r w:rsidRPr="005D6850">
        <w:t xml:space="preserve"> </w:t>
      </w:r>
      <w:r w:rsidR="00F07E11" w:rsidRPr="005D6850">
        <w:t>i</w:t>
      </w:r>
      <w:r w:rsidRPr="005D6850">
        <w:t>n Dudgeon</w:t>
      </w:r>
      <w:r w:rsidR="00F07E11" w:rsidRPr="005D6850">
        <w:t xml:space="preserve"> P</w:t>
      </w:r>
      <w:r w:rsidRPr="005D6850">
        <w:t>, Milroy</w:t>
      </w:r>
      <w:r w:rsidR="00F07E11" w:rsidRPr="005D6850">
        <w:t xml:space="preserve"> H and </w:t>
      </w:r>
      <w:r w:rsidRPr="005D6850">
        <w:t xml:space="preserve">Walker </w:t>
      </w:r>
      <w:r w:rsidR="00F07E11" w:rsidRPr="005D6850">
        <w:t xml:space="preserve">R </w:t>
      </w:r>
      <w:r w:rsidRPr="005D6850">
        <w:t>(</w:t>
      </w:r>
      <w:r w:rsidR="00F07E11" w:rsidRPr="005D6850">
        <w:t>e</w:t>
      </w:r>
      <w:r w:rsidRPr="005D6850">
        <w:t xml:space="preserve">ds) </w:t>
      </w:r>
      <w:r w:rsidRPr="005D6850">
        <w:rPr>
          <w:i/>
        </w:rPr>
        <w:t>Working together: Aboriginal and/or Torres Strait Islander mental health and wellbeing principles and practice</w:t>
      </w:r>
      <w:r w:rsidRPr="005D6850">
        <w:t xml:space="preserve"> (2nd ed, pp. 55–58)</w:t>
      </w:r>
      <w:r w:rsidR="00F07E11" w:rsidRPr="005D6850">
        <w:t>, Australian</w:t>
      </w:r>
      <w:r w:rsidRPr="005D6850">
        <w:t xml:space="preserve"> Government</w:t>
      </w:r>
      <w:r w:rsidR="00F07E11" w:rsidRPr="005D6850">
        <w:t>.</w:t>
      </w:r>
      <w:r w:rsidRPr="005D6850">
        <w:rPr>
          <w:color w:val="666666"/>
        </w:rPr>
        <w:t> </w:t>
      </w:r>
    </w:p>
    <w:p w14:paraId="471CA67B" w14:textId="77777777" w:rsidR="00597B5E" w:rsidRPr="005D6850" w:rsidRDefault="00597B5E" w:rsidP="0018380C">
      <w:pPr>
        <w:pStyle w:val="References"/>
        <w:rPr>
          <w:iCs/>
        </w:rPr>
      </w:pPr>
      <w:r w:rsidRPr="005D6850">
        <w:t>Gippsland PHN (n.d.)</w:t>
      </w:r>
      <w:r w:rsidRPr="005D6850">
        <w:rPr>
          <w:i/>
        </w:rPr>
        <w:t xml:space="preserve"> </w:t>
      </w:r>
      <w:hyperlink r:id="rId167" w:history="1">
        <w:r w:rsidRPr="005D6850">
          <w:rPr>
            <w:rStyle w:val="Hyperlink"/>
            <w:i/>
          </w:rPr>
          <w:t xml:space="preserve">All </w:t>
        </w:r>
        <w:r w:rsidR="00F07E11" w:rsidRPr="005D6850">
          <w:rPr>
            <w:rStyle w:val="Hyperlink"/>
            <w:i/>
          </w:rPr>
          <w:t>a</w:t>
        </w:r>
        <w:r w:rsidRPr="005D6850">
          <w:rPr>
            <w:rStyle w:val="Hyperlink"/>
            <w:i/>
          </w:rPr>
          <w:t xml:space="preserve">bout </w:t>
        </w:r>
        <w:r w:rsidR="00F07E11" w:rsidRPr="005D6850">
          <w:rPr>
            <w:rStyle w:val="Hyperlink"/>
            <w:i/>
          </w:rPr>
          <w:t>c</w:t>
        </w:r>
        <w:r w:rsidRPr="005D6850">
          <w:rPr>
            <w:rStyle w:val="Hyperlink"/>
            <w:i/>
          </w:rPr>
          <w:t xml:space="preserve">ommissioning </w:t>
        </w:r>
        <w:r w:rsidR="00F07E11" w:rsidRPr="005D6850">
          <w:rPr>
            <w:rStyle w:val="Hyperlink"/>
            <w:i/>
          </w:rPr>
          <w:t>p</w:t>
        </w:r>
        <w:r w:rsidRPr="005D6850">
          <w:rPr>
            <w:rStyle w:val="Hyperlink"/>
            <w:i/>
          </w:rPr>
          <w:t>rocess</w:t>
        </w:r>
      </w:hyperlink>
      <w:r w:rsidR="00F07E11" w:rsidRPr="005D6850">
        <w:rPr>
          <w:iCs/>
        </w:rPr>
        <w:t>,</w:t>
      </w:r>
      <w:r w:rsidRPr="005D6850">
        <w:rPr>
          <w:i/>
        </w:rPr>
        <w:t xml:space="preserve"> </w:t>
      </w:r>
      <w:r w:rsidR="00F07E11" w:rsidRPr="005D6850">
        <w:rPr>
          <w:iCs/>
        </w:rPr>
        <w:t>Australian Government.</w:t>
      </w:r>
    </w:p>
    <w:p w14:paraId="312BAA61" w14:textId="77777777" w:rsidR="00597B5E" w:rsidRPr="005D6850" w:rsidRDefault="00597B5E" w:rsidP="0018380C">
      <w:pPr>
        <w:pStyle w:val="References"/>
      </w:pPr>
      <w:r w:rsidRPr="005D6850">
        <w:t xml:space="preserve">Gottlieb K (2013) </w:t>
      </w:r>
      <w:r w:rsidR="007C5A37" w:rsidRPr="005D6850">
        <w:t>‘</w:t>
      </w:r>
      <w:r w:rsidRPr="005D6850">
        <w:t>The Nuka System of Care: improving health through ownership and relationships</w:t>
      </w:r>
      <w:r w:rsidR="007C5A37" w:rsidRPr="005D6850">
        <w:t>’,</w:t>
      </w:r>
      <w:r w:rsidRPr="005D6850">
        <w:t xml:space="preserve"> </w:t>
      </w:r>
      <w:r w:rsidRPr="005D6850">
        <w:rPr>
          <w:i/>
        </w:rPr>
        <w:t>Int</w:t>
      </w:r>
      <w:r w:rsidR="007C5A37" w:rsidRPr="005D6850">
        <w:rPr>
          <w:i/>
        </w:rPr>
        <w:t>ernational Journal of</w:t>
      </w:r>
      <w:r w:rsidRPr="005D6850">
        <w:rPr>
          <w:i/>
        </w:rPr>
        <w:t xml:space="preserve"> Circumpolar Health</w:t>
      </w:r>
      <w:r w:rsidR="007C5A37" w:rsidRPr="005D6850">
        <w:rPr>
          <w:iCs/>
        </w:rPr>
        <w:t>,</w:t>
      </w:r>
      <w:r w:rsidRPr="005D6850">
        <w:t xml:space="preserve"> </w:t>
      </w:r>
      <w:r w:rsidR="007C5A37" w:rsidRPr="005D6850">
        <w:t>72(1),</w:t>
      </w:r>
      <w:r w:rsidRPr="005D6850">
        <w:t xml:space="preserve"> doi:10.3402/ijch.v72i0.21118.</w:t>
      </w:r>
    </w:p>
    <w:p w14:paraId="73342214" w14:textId="77777777" w:rsidR="00597B5E" w:rsidRPr="005D6850" w:rsidRDefault="00597B5E" w:rsidP="0018380C">
      <w:pPr>
        <w:pStyle w:val="References"/>
      </w:pPr>
      <w:r w:rsidRPr="005D6850">
        <w:t xml:space="preserve">Government of Western Australia (2022a) </w:t>
      </w:r>
      <w:hyperlink r:id="rId168" w:history="1">
        <w:r w:rsidRPr="005D6850">
          <w:rPr>
            <w:rStyle w:val="Hyperlink"/>
            <w:i/>
          </w:rPr>
          <w:t>Mental health pilot to boost Aboriginal social and emotional wellbeing</w:t>
        </w:r>
      </w:hyperlink>
      <w:r w:rsidR="008934AC" w:rsidRPr="005D6850">
        <w:t>, Government of Western Australia.</w:t>
      </w:r>
      <w:r w:rsidRPr="005D6850">
        <w:t> </w:t>
      </w:r>
    </w:p>
    <w:p w14:paraId="320C471D" w14:textId="77777777" w:rsidR="00597B5E" w:rsidRPr="005D6850" w:rsidRDefault="00597B5E" w:rsidP="0018380C">
      <w:pPr>
        <w:pStyle w:val="References"/>
      </w:pPr>
      <w:r w:rsidRPr="005D6850">
        <w:t xml:space="preserve">Government of Western Australia (2022b) </w:t>
      </w:r>
      <w:hyperlink r:id="rId169" w:history="1">
        <w:r w:rsidRPr="005D6850">
          <w:rPr>
            <w:rStyle w:val="Hyperlink"/>
            <w:i/>
          </w:rPr>
          <w:t>Annual report on Closing the Gap</w:t>
        </w:r>
      </w:hyperlink>
      <w:r w:rsidR="008934AC" w:rsidRPr="005D6850">
        <w:t>,</w:t>
      </w:r>
      <w:r w:rsidRPr="005D6850">
        <w:t> </w:t>
      </w:r>
      <w:r w:rsidR="00C53E09" w:rsidRPr="005D6850">
        <w:t>Government of Western Australia.</w:t>
      </w:r>
    </w:p>
    <w:p w14:paraId="1C10E1F4" w14:textId="77777777" w:rsidR="00597B5E" w:rsidRPr="005D6850" w:rsidRDefault="00597B5E" w:rsidP="0018380C">
      <w:pPr>
        <w:pStyle w:val="References"/>
      </w:pPr>
      <w:r w:rsidRPr="005D6850">
        <w:t>Groves K, Moran M</w:t>
      </w:r>
      <w:r w:rsidR="00C53E09" w:rsidRPr="005D6850">
        <w:t xml:space="preserve"> and</w:t>
      </w:r>
      <w:r w:rsidRPr="005D6850">
        <w:t xml:space="preserve"> Bourne J (2022) </w:t>
      </w:r>
      <w:hyperlink r:id="rId170" w:history="1">
        <w:r w:rsidRPr="005D6850">
          <w:rPr>
            <w:rStyle w:val="Hyperlink"/>
            <w:i/>
          </w:rPr>
          <w:t>Indigenous self-governance for mental health and suicide prevention</w:t>
        </w:r>
      </w:hyperlink>
      <w:r w:rsidR="00C53E09" w:rsidRPr="005D6850">
        <w:t>,</w:t>
      </w:r>
      <w:r w:rsidRPr="005D6850">
        <w:t xml:space="preserve"> Indigenous Mental Health and Suicide Prevention Clearinghouse. </w:t>
      </w:r>
    </w:p>
    <w:p w14:paraId="4EB90CE1" w14:textId="77777777" w:rsidR="00597B5E" w:rsidRPr="002B0CB0" w:rsidRDefault="00597B5E" w:rsidP="0018380C">
      <w:pPr>
        <w:pStyle w:val="References"/>
      </w:pPr>
      <w:r w:rsidRPr="005D6850">
        <w:t>Halseth R</w:t>
      </w:r>
      <w:r w:rsidR="00C53E09" w:rsidRPr="005D6850">
        <w:t xml:space="preserve"> and</w:t>
      </w:r>
      <w:r w:rsidRPr="005D6850">
        <w:t xml:space="preserve"> Murdock L (2020) </w:t>
      </w:r>
      <w:hyperlink r:id="rId171" w:history="1">
        <w:r w:rsidRPr="005D6850">
          <w:rPr>
            <w:rStyle w:val="Hyperlink"/>
            <w:i/>
            <w:iCs/>
          </w:rPr>
          <w:t>Supporting Indigenous self-determination in health: Lessons learned from a review of best practices in health governance in Canada and internationally</w:t>
        </w:r>
      </w:hyperlink>
      <w:r w:rsidR="00682C46" w:rsidRPr="005D6850">
        <w:t>,</w:t>
      </w:r>
      <w:r w:rsidRPr="005D6850">
        <w:t xml:space="preserve"> National Collaborating Centre for Indigenous Health.</w:t>
      </w:r>
      <w:r w:rsidRPr="002B0CB0">
        <w:t> </w:t>
      </w:r>
    </w:p>
    <w:p w14:paraId="2C2FF945" w14:textId="77777777" w:rsidR="00597B5E" w:rsidRPr="005D6850" w:rsidRDefault="00597B5E" w:rsidP="0018380C">
      <w:pPr>
        <w:pStyle w:val="References"/>
      </w:pPr>
      <w:r w:rsidRPr="005D6850">
        <w:t>Harfield S, Davy C, McArthur A, Munn Z, Brown A</w:t>
      </w:r>
      <w:r w:rsidR="00682C46" w:rsidRPr="005D6850">
        <w:t xml:space="preserve"> and</w:t>
      </w:r>
      <w:r w:rsidRPr="005D6850">
        <w:t xml:space="preserve"> Brown N (2018) </w:t>
      </w:r>
      <w:r w:rsidR="00682C46" w:rsidRPr="005D6850">
        <w:t>‘</w:t>
      </w:r>
      <w:r w:rsidRPr="005D6850">
        <w:t>Characteristics of Indigenous primary health care service delivery models: A systematic scoping review</w:t>
      </w:r>
      <w:r w:rsidR="00682C46" w:rsidRPr="005D6850">
        <w:t>’,</w:t>
      </w:r>
      <w:r w:rsidRPr="005D6850">
        <w:t xml:space="preserve"> </w:t>
      </w:r>
      <w:r w:rsidRPr="005D6850">
        <w:rPr>
          <w:i/>
        </w:rPr>
        <w:t>Globalization and Health 14</w:t>
      </w:r>
      <w:r w:rsidRPr="005D6850">
        <w:t>(12)</w:t>
      </w:r>
      <w:r w:rsidR="00682C46" w:rsidRPr="005D6850">
        <w:t>:</w:t>
      </w:r>
      <w:r w:rsidRPr="005D6850">
        <w:t>1–11</w:t>
      </w:r>
      <w:r w:rsidR="00682C46" w:rsidRPr="005D6850">
        <w:t>,</w:t>
      </w:r>
      <w:r w:rsidRPr="005D6850">
        <w:t> </w:t>
      </w:r>
      <w:r w:rsidR="00682C46" w:rsidRPr="005D6850">
        <w:t>doi:10.1186/s12992-018-0332-2.</w:t>
      </w:r>
    </w:p>
    <w:p w14:paraId="4A37E159" w14:textId="77777777" w:rsidR="0018380C" w:rsidRPr="005D6850" w:rsidRDefault="00597B5E" w:rsidP="0018380C">
      <w:pPr>
        <w:pStyle w:val="References"/>
      </w:pPr>
      <w:r w:rsidRPr="005D6850">
        <w:t xml:space="preserve">Health Canada (2017) </w:t>
      </w:r>
      <w:hyperlink r:id="rId172" w:history="1">
        <w:r w:rsidRPr="005D6850">
          <w:rPr>
            <w:rStyle w:val="Hyperlink"/>
            <w:i/>
          </w:rPr>
          <w:t>Audit of Health Canada’s management of the administration of the British Columbia Tripartite Framework Agreement, March 2017</w:t>
        </w:r>
      </w:hyperlink>
      <w:r w:rsidR="00682C46" w:rsidRPr="005D6850">
        <w:t>,</w:t>
      </w:r>
      <w:r w:rsidRPr="005D6850">
        <w:t xml:space="preserve"> Government of Canada. </w:t>
      </w:r>
    </w:p>
    <w:p w14:paraId="477A8443" w14:textId="413C87F0" w:rsidR="00597B5E" w:rsidRPr="005D6850" w:rsidRDefault="00597B5E" w:rsidP="0018380C">
      <w:pPr>
        <w:pStyle w:val="References"/>
      </w:pPr>
      <w:r w:rsidRPr="005D6850">
        <w:t>Health New Zealand (2023)</w:t>
      </w:r>
      <w:r w:rsidRPr="005D6850">
        <w:rPr>
          <w:color w:val="0070C0"/>
        </w:rPr>
        <w:t xml:space="preserve"> </w:t>
      </w:r>
      <w:hyperlink r:id="rId173" w:history="1">
        <w:r w:rsidRPr="005D6850">
          <w:rPr>
            <w:rStyle w:val="Hyperlink"/>
            <w:i/>
            <w:iCs/>
          </w:rPr>
          <w:t>Enrolment with a general practice and primary health organisation</w:t>
        </w:r>
      </w:hyperlink>
      <w:r w:rsidR="00682C46" w:rsidRPr="005D6850">
        <w:t>. Health New Zealand.</w:t>
      </w:r>
    </w:p>
    <w:p w14:paraId="4230E105" w14:textId="77777777" w:rsidR="00597B5E" w:rsidRPr="005D6850" w:rsidRDefault="00597B5E" w:rsidP="0018380C">
      <w:pPr>
        <w:pStyle w:val="References"/>
      </w:pPr>
      <w:r w:rsidRPr="005D6850">
        <w:t xml:space="preserve">Health Purchasing Victoria (2015) </w:t>
      </w:r>
      <w:hyperlink r:id="rId174" w:history="1">
        <w:r w:rsidRPr="005D6850">
          <w:rPr>
            <w:rStyle w:val="Hyperlink"/>
            <w:i/>
          </w:rPr>
          <w:t xml:space="preserve">A </w:t>
        </w:r>
        <w:r w:rsidR="00682C46" w:rsidRPr="005D6850">
          <w:rPr>
            <w:rStyle w:val="Hyperlink"/>
            <w:i/>
          </w:rPr>
          <w:t>g</w:t>
        </w:r>
        <w:r w:rsidRPr="005D6850">
          <w:rPr>
            <w:rStyle w:val="Hyperlink"/>
            <w:i/>
          </w:rPr>
          <w:t xml:space="preserve">uide to </w:t>
        </w:r>
        <w:r w:rsidR="00682C46" w:rsidRPr="005D6850">
          <w:rPr>
            <w:rStyle w:val="Hyperlink"/>
            <w:i/>
          </w:rPr>
          <w:t>g</w:t>
        </w:r>
        <w:r w:rsidRPr="005D6850">
          <w:rPr>
            <w:rStyle w:val="Hyperlink"/>
            <w:i/>
          </w:rPr>
          <w:t xml:space="preserve">ood </w:t>
        </w:r>
        <w:r w:rsidR="00682C46" w:rsidRPr="005D6850">
          <w:rPr>
            <w:rStyle w:val="Hyperlink"/>
            <w:i/>
          </w:rPr>
          <w:t>p</w:t>
        </w:r>
        <w:r w:rsidRPr="005D6850">
          <w:rPr>
            <w:rStyle w:val="Hyperlink"/>
            <w:i/>
          </w:rPr>
          <w:t xml:space="preserve">rocurement in </w:t>
        </w:r>
        <w:r w:rsidR="00682C46" w:rsidRPr="005D6850">
          <w:rPr>
            <w:rStyle w:val="Hyperlink"/>
            <w:i/>
          </w:rPr>
          <w:t>h</w:t>
        </w:r>
        <w:r w:rsidRPr="005D6850">
          <w:rPr>
            <w:rStyle w:val="Hyperlink"/>
            <w:i/>
          </w:rPr>
          <w:t>ealth</w:t>
        </w:r>
      </w:hyperlink>
      <w:r w:rsidR="00682C46" w:rsidRPr="005D6850">
        <w:t>, Health Purchasing Victoria.</w:t>
      </w:r>
      <w:r w:rsidRPr="005D6850">
        <w:t xml:space="preserve"> </w:t>
      </w:r>
    </w:p>
    <w:p w14:paraId="68355F1F" w14:textId="77777777" w:rsidR="00597B5E" w:rsidRPr="005D6850" w:rsidRDefault="00597B5E" w:rsidP="0018380C">
      <w:pPr>
        <w:pStyle w:val="References"/>
      </w:pPr>
      <w:r w:rsidRPr="005D6850">
        <w:t xml:space="preserve">Health Purchasing Victoria (2017) </w:t>
      </w:r>
      <w:hyperlink r:id="rId175" w:history="1">
        <w:r w:rsidRPr="005D6850">
          <w:rPr>
            <w:rStyle w:val="Hyperlink"/>
            <w:i/>
          </w:rPr>
          <w:t>HPV Health Purchasing Policy 1</w:t>
        </w:r>
        <w:r w:rsidR="00682C46" w:rsidRPr="005D6850">
          <w:rPr>
            <w:rStyle w:val="Hyperlink"/>
            <w:i/>
          </w:rPr>
          <w:t>.</w:t>
        </w:r>
        <w:r w:rsidRPr="005D6850">
          <w:rPr>
            <w:rStyle w:val="Hyperlink"/>
            <w:i/>
          </w:rPr>
          <w:t xml:space="preserve"> Procurement Governance</w:t>
        </w:r>
      </w:hyperlink>
      <w:r w:rsidR="00682C46" w:rsidRPr="005D6850">
        <w:t>,</w:t>
      </w:r>
      <w:r w:rsidRPr="005D6850">
        <w:t xml:space="preserve"> </w:t>
      </w:r>
      <w:r w:rsidR="00682C46" w:rsidRPr="005D6850">
        <w:t>Health Purchasing Victoria.</w:t>
      </w:r>
    </w:p>
    <w:p w14:paraId="628F0E16" w14:textId="77777777" w:rsidR="00B41F9C" w:rsidRPr="005D6850" w:rsidRDefault="009824DE" w:rsidP="0018380C">
      <w:pPr>
        <w:pStyle w:val="References"/>
      </w:pPr>
      <w:r w:rsidRPr="005D6850">
        <w:t xml:space="preserve">Healthy </w:t>
      </w:r>
      <w:r w:rsidR="00597B5E" w:rsidRPr="005D6850">
        <w:t xml:space="preserve">North Coast PHN (2017) </w:t>
      </w:r>
      <w:hyperlink r:id="rId176" w:history="1">
        <w:r w:rsidR="00597B5E" w:rsidRPr="005D6850">
          <w:rPr>
            <w:rStyle w:val="Hyperlink"/>
            <w:rFonts w:eastAsia="Times New Roman"/>
            <w:i/>
            <w:iCs/>
          </w:rPr>
          <w:t xml:space="preserve">Procurement </w:t>
        </w:r>
        <w:r w:rsidR="00B41F9C" w:rsidRPr="005D6850">
          <w:rPr>
            <w:rStyle w:val="Hyperlink"/>
            <w:rFonts w:eastAsia="Times New Roman"/>
            <w:i/>
            <w:iCs/>
          </w:rPr>
          <w:t>m</w:t>
        </w:r>
        <w:r w:rsidR="00597B5E" w:rsidRPr="005D6850">
          <w:rPr>
            <w:rStyle w:val="Hyperlink"/>
            <w:rFonts w:eastAsia="Times New Roman"/>
            <w:i/>
            <w:iCs/>
          </w:rPr>
          <w:t xml:space="preserve">anual: Defining the </w:t>
        </w:r>
        <w:r w:rsidR="00B41F9C" w:rsidRPr="005D6850">
          <w:rPr>
            <w:rStyle w:val="Hyperlink"/>
            <w:rFonts w:eastAsia="Times New Roman"/>
            <w:i/>
            <w:iCs/>
          </w:rPr>
          <w:t>p</w:t>
        </w:r>
        <w:r w:rsidR="00597B5E" w:rsidRPr="005D6850">
          <w:rPr>
            <w:rStyle w:val="Hyperlink"/>
            <w:rFonts w:eastAsia="Times New Roman"/>
            <w:i/>
            <w:iCs/>
          </w:rPr>
          <w:t xml:space="preserve">rocurement </w:t>
        </w:r>
        <w:r w:rsidR="00B41F9C" w:rsidRPr="005D6850">
          <w:rPr>
            <w:rStyle w:val="Hyperlink"/>
            <w:rFonts w:eastAsia="Times New Roman"/>
            <w:i/>
            <w:iCs/>
          </w:rPr>
          <w:t>p</w:t>
        </w:r>
        <w:r w:rsidR="00597B5E" w:rsidRPr="005D6850">
          <w:rPr>
            <w:rStyle w:val="Hyperlink"/>
            <w:rFonts w:eastAsia="Times New Roman"/>
            <w:i/>
            <w:iCs/>
          </w:rPr>
          <w:t>rocess for the North Coast Primary Health Network</w:t>
        </w:r>
      </w:hyperlink>
      <w:r w:rsidR="00B41F9C" w:rsidRPr="005D6850">
        <w:t>, Healthy North Coast PHN.</w:t>
      </w:r>
    </w:p>
    <w:p w14:paraId="251C5C6D" w14:textId="77777777" w:rsidR="00597B5E" w:rsidRPr="005D6850" w:rsidRDefault="00597B5E" w:rsidP="0018380C">
      <w:pPr>
        <w:pStyle w:val="References"/>
      </w:pPr>
      <w:r w:rsidRPr="005D6850">
        <w:t xml:space="preserve">Healthy North Coast PHN (2022) </w:t>
      </w:r>
      <w:hyperlink r:id="rId177" w:history="1">
        <w:r w:rsidRPr="005D6850">
          <w:rPr>
            <w:rStyle w:val="Hyperlink"/>
            <w:i/>
          </w:rPr>
          <w:t>Commissioning</w:t>
        </w:r>
      </w:hyperlink>
      <w:r w:rsidR="00B41F9C" w:rsidRPr="005D6850">
        <w:t>,</w:t>
      </w:r>
      <w:r w:rsidRPr="005D6850">
        <w:t xml:space="preserve"> </w:t>
      </w:r>
      <w:r w:rsidR="00B41F9C" w:rsidRPr="005D6850">
        <w:t>Healthy North Coast PHN.</w:t>
      </w:r>
    </w:p>
    <w:p w14:paraId="4C1293CB" w14:textId="77777777" w:rsidR="00597B5E" w:rsidRPr="005D6850" w:rsidRDefault="00597B5E" w:rsidP="0018380C">
      <w:pPr>
        <w:pStyle w:val="References"/>
      </w:pPr>
      <w:r w:rsidRPr="005D6850">
        <w:t xml:space="preserve">IAHP Yarnes (2021) </w:t>
      </w:r>
      <w:hyperlink r:id="rId178" w:history="1">
        <w:r w:rsidRPr="005D6850">
          <w:rPr>
            <w:rStyle w:val="Hyperlink"/>
            <w:i/>
          </w:rPr>
          <w:t>The IAHP</w:t>
        </w:r>
      </w:hyperlink>
      <w:r w:rsidR="00B41F9C" w:rsidRPr="005D6850">
        <w:t>,</w:t>
      </w:r>
      <w:r w:rsidRPr="005D6850">
        <w:t xml:space="preserve"> </w:t>
      </w:r>
      <w:r w:rsidR="00B41F9C" w:rsidRPr="005D6850">
        <w:t>IAHP Yarnes.</w:t>
      </w:r>
    </w:p>
    <w:p w14:paraId="7FBCB68C" w14:textId="77777777" w:rsidR="00597B5E" w:rsidRPr="005D6850" w:rsidRDefault="00597B5E" w:rsidP="0018380C">
      <w:pPr>
        <w:pStyle w:val="References"/>
      </w:pPr>
      <w:r w:rsidRPr="005D6850">
        <w:t xml:space="preserve">Impact Co (2021) </w:t>
      </w:r>
      <w:hyperlink r:id="rId179" w:history="1">
        <w:r w:rsidRPr="005D6850">
          <w:rPr>
            <w:rStyle w:val="Hyperlink"/>
            <w:i/>
          </w:rPr>
          <w:t>Kimberley Aboriginal Suicide Prevention Trial: Final evaluation report</w:t>
        </w:r>
      </w:hyperlink>
      <w:r w:rsidR="00B41F9C" w:rsidRPr="005D6850">
        <w:t>,</w:t>
      </w:r>
      <w:r w:rsidRPr="005D6850">
        <w:t xml:space="preserve"> Western Australia Primary Health Alliance. </w:t>
      </w:r>
    </w:p>
    <w:p w14:paraId="05B416F8" w14:textId="77777777" w:rsidR="00597B5E" w:rsidRPr="005D6850" w:rsidRDefault="00597B5E" w:rsidP="0018380C">
      <w:pPr>
        <w:pStyle w:val="References"/>
      </w:pPr>
      <w:r w:rsidRPr="005D6850">
        <w:t xml:space="preserve">Indigenous Services Canada (2018) </w:t>
      </w:r>
      <w:hyperlink r:id="rId180" w:history="1">
        <w:r w:rsidRPr="005D6850">
          <w:rPr>
            <w:rStyle w:val="Hyperlink"/>
            <w:i/>
          </w:rPr>
          <w:t xml:space="preserve">Preventing and </w:t>
        </w:r>
        <w:r w:rsidR="00B41F9C" w:rsidRPr="005D6850">
          <w:rPr>
            <w:rStyle w:val="Hyperlink"/>
            <w:i/>
          </w:rPr>
          <w:t>m</w:t>
        </w:r>
        <w:r w:rsidRPr="005D6850">
          <w:rPr>
            <w:rStyle w:val="Hyperlink"/>
            <w:i/>
          </w:rPr>
          <w:t xml:space="preserve">anaging </w:t>
        </w:r>
        <w:r w:rsidR="00B41F9C" w:rsidRPr="005D6850">
          <w:rPr>
            <w:rStyle w:val="Hyperlink"/>
            <w:i/>
          </w:rPr>
          <w:t>c</w:t>
        </w:r>
        <w:r w:rsidRPr="005D6850">
          <w:rPr>
            <w:rStyle w:val="Hyperlink"/>
            <w:i/>
          </w:rPr>
          <w:t xml:space="preserve">hronic </w:t>
        </w:r>
        <w:r w:rsidR="00B41F9C" w:rsidRPr="005D6850">
          <w:rPr>
            <w:rStyle w:val="Hyperlink"/>
            <w:i/>
          </w:rPr>
          <w:t>d</w:t>
        </w:r>
        <w:r w:rsidRPr="005D6850">
          <w:rPr>
            <w:rStyle w:val="Hyperlink"/>
            <w:i/>
          </w:rPr>
          <w:t xml:space="preserve">isease in First Nations </w:t>
        </w:r>
        <w:r w:rsidR="00B41F9C" w:rsidRPr="005D6850">
          <w:rPr>
            <w:rStyle w:val="Hyperlink"/>
            <w:i/>
          </w:rPr>
          <w:t>c</w:t>
        </w:r>
        <w:r w:rsidRPr="005D6850">
          <w:rPr>
            <w:rStyle w:val="Hyperlink"/>
            <w:i/>
          </w:rPr>
          <w:t xml:space="preserve">ommunities: A </w:t>
        </w:r>
        <w:r w:rsidR="00B41F9C" w:rsidRPr="005D6850">
          <w:rPr>
            <w:rStyle w:val="Hyperlink"/>
            <w:i/>
          </w:rPr>
          <w:t>g</w:t>
        </w:r>
        <w:r w:rsidRPr="005D6850">
          <w:rPr>
            <w:rStyle w:val="Hyperlink"/>
            <w:i/>
          </w:rPr>
          <w:t xml:space="preserve">uidance </w:t>
        </w:r>
        <w:r w:rsidR="00B41F9C" w:rsidRPr="005D6850">
          <w:rPr>
            <w:rStyle w:val="Hyperlink"/>
            <w:i/>
          </w:rPr>
          <w:t>f</w:t>
        </w:r>
        <w:r w:rsidRPr="005D6850">
          <w:rPr>
            <w:rStyle w:val="Hyperlink"/>
            <w:i/>
          </w:rPr>
          <w:t>ramework</w:t>
        </w:r>
      </w:hyperlink>
      <w:r w:rsidR="00B41F9C" w:rsidRPr="005D6850">
        <w:t>,</w:t>
      </w:r>
      <w:r w:rsidRPr="005D6850">
        <w:t xml:space="preserve"> Government of Canada. </w:t>
      </w:r>
    </w:p>
    <w:p w14:paraId="68E1D02E" w14:textId="77777777" w:rsidR="00597B5E" w:rsidRPr="005D6850" w:rsidRDefault="00597B5E" w:rsidP="0018380C">
      <w:pPr>
        <w:pStyle w:val="References"/>
      </w:pPr>
      <w:r w:rsidRPr="005D6850">
        <w:t xml:space="preserve">Indigenous Services Canada (2019a) </w:t>
      </w:r>
      <w:hyperlink r:id="rId181" w:history="1">
        <w:r w:rsidRPr="005D6850">
          <w:rPr>
            <w:rStyle w:val="Hyperlink"/>
            <w:i/>
          </w:rPr>
          <w:t>ISC: First Nations and Tribal Councils National Funding Agreement Model for 2018–2019</w:t>
        </w:r>
      </w:hyperlink>
      <w:r w:rsidR="00B41F9C" w:rsidRPr="005D6850">
        <w:t>,</w:t>
      </w:r>
      <w:r w:rsidRPr="005D6850">
        <w:t xml:space="preserve"> Government of Canada. </w:t>
      </w:r>
    </w:p>
    <w:p w14:paraId="39FC555E" w14:textId="77777777" w:rsidR="00597B5E" w:rsidRPr="005D6850" w:rsidRDefault="00597B5E" w:rsidP="0018380C">
      <w:pPr>
        <w:pStyle w:val="References"/>
      </w:pPr>
      <w:r w:rsidRPr="005D6850">
        <w:t xml:space="preserve">Indigenous Services Canada (2019b) </w:t>
      </w:r>
      <w:hyperlink r:id="rId182" w:history="1">
        <w:r w:rsidRPr="005D6850">
          <w:rPr>
            <w:rStyle w:val="Hyperlink"/>
            <w:i/>
          </w:rPr>
          <w:t>Consistent Consolidated Financial Statements for First Nations, Tribal Councils and First Nations Political Organizations</w:t>
        </w:r>
      </w:hyperlink>
      <w:r w:rsidR="00B41F9C" w:rsidRPr="005D6850">
        <w:t>, Government of Canada.</w:t>
      </w:r>
      <w:r w:rsidRPr="005D6850">
        <w:t xml:space="preserve"> </w:t>
      </w:r>
    </w:p>
    <w:p w14:paraId="2063DD21" w14:textId="77777777" w:rsidR="00597B5E" w:rsidRPr="005D6850" w:rsidRDefault="00597B5E" w:rsidP="0018380C">
      <w:pPr>
        <w:pStyle w:val="References"/>
      </w:pPr>
      <w:r w:rsidRPr="005D6850">
        <w:t xml:space="preserve">Indigenous Services Canada (2020) </w:t>
      </w:r>
      <w:hyperlink r:id="rId183" w:history="1">
        <w:r w:rsidRPr="005D6850">
          <w:rPr>
            <w:rStyle w:val="Hyperlink"/>
            <w:i/>
          </w:rPr>
          <w:t>British Columbia First Nations health plan</w:t>
        </w:r>
      </w:hyperlink>
      <w:r w:rsidR="00B41F9C" w:rsidRPr="005D6850">
        <w:t>,</w:t>
      </w:r>
      <w:r w:rsidRPr="005D6850">
        <w:t xml:space="preserve"> Government of Canada. </w:t>
      </w:r>
    </w:p>
    <w:p w14:paraId="3226F6A2" w14:textId="77777777" w:rsidR="00597B5E" w:rsidRPr="005D6850" w:rsidRDefault="00597B5E" w:rsidP="0018380C">
      <w:pPr>
        <w:pStyle w:val="References"/>
      </w:pPr>
      <w:r w:rsidRPr="005D6850">
        <w:t xml:space="preserve">Indigenous Services Canada (2021) </w:t>
      </w:r>
      <w:hyperlink r:id="rId184" w:history="1">
        <w:r w:rsidRPr="005D6850">
          <w:rPr>
            <w:rStyle w:val="Hyperlink"/>
            <w:i/>
          </w:rPr>
          <w:t>Indigenous health care in Canada</w:t>
        </w:r>
      </w:hyperlink>
      <w:r w:rsidR="00B41F9C" w:rsidRPr="005D6850">
        <w:t>,</w:t>
      </w:r>
      <w:r w:rsidRPr="005D6850">
        <w:t xml:space="preserve"> Government of Canada. </w:t>
      </w:r>
    </w:p>
    <w:p w14:paraId="1BD06ECF" w14:textId="77777777" w:rsidR="00597B5E" w:rsidRPr="005D6850" w:rsidRDefault="00597B5E" w:rsidP="0018380C">
      <w:pPr>
        <w:pStyle w:val="References"/>
      </w:pPr>
      <w:r w:rsidRPr="005D6850">
        <w:t xml:space="preserve">Indigenous Services Canada (2022a) </w:t>
      </w:r>
      <w:hyperlink r:id="rId185" w:history="1">
        <w:r w:rsidRPr="005D6850">
          <w:rPr>
            <w:rStyle w:val="Hyperlink"/>
            <w:i/>
          </w:rPr>
          <w:t>Indigenous community support fund</w:t>
        </w:r>
      </w:hyperlink>
      <w:r w:rsidR="00B41F9C" w:rsidRPr="005D6850">
        <w:t>,</w:t>
      </w:r>
      <w:r w:rsidRPr="005D6850">
        <w:t xml:space="preserve"> Government of Canada. </w:t>
      </w:r>
    </w:p>
    <w:p w14:paraId="2637B964" w14:textId="77777777" w:rsidR="00597B5E" w:rsidRPr="005D6850" w:rsidRDefault="00597B5E" w:rsidP="0018380C">
      <w:pPr>
        <w:pStyle w:val="References"/>
      </w:pPr>
      <w:r w:rsidRPr="005D6850">
        <w:t xml:space="preserve">Indigenous Services Canada (2022b) </w:t>
      </w:r>
      <w:hyperlink r:id="rId186" w:history="1">
        <w:r w:rsidRPr="005D6850">
          <w:rPr>
            <w:rStyle w:val="Hyperlink"/>
            <w:i/>
          </w:rPr>
          <w:t>Indigenous community support fund: Distributions to communities and organizations</w:t>
        </w:r>
      </w:hyperlink>
      <w:r w:rsidR="00B41F9C" w:rsidRPr="005D6850">
        <w:t>,</w:t>
      </w:r>
      <w:r w:rsidRPr="005D6850">
        <w:t xml:space="preserve"> Government of Canada. </w:t>
      </w:r>
    </w:p>
    <w:p w14:paraId="42D00207" w14:textId="77777777" w:rsidR="00597B5E" w:rsidRPr="005D6850" w:rsidRDefault="00597B5E" w:rsidP="0018380C">
      <w:pPr>
        <w:pStyle w:val="References"/>
      </w:pPr>
      <w:r w:rsidRPr="005D6850">
        <w:t xml:space="preserve">Institute of Fiscal Studies and Democracy (2022) </w:t>
      </w:r>
      <w:hyperlink r:id="rId187" w:history="1">
        <w:r w:rsidRPr="005D6850">
          <w:rPr>
            <w:rStyle w:val="Hyperlink"/>
            <w:i/>
          </w:rPr>
          <w:t>Expert analysis: Federal funding and First Nations in Canada</w:t>
        </w:r>
      </w:hyperlink>
      <w:r w:rsidR="00B41F9C" w:rsidRPr="005D6850">
        <w:rPr>
          <w:iCs/>
        </w:rPr>
        <w:t>, IFSD.</w:t>
      </w:r>
      <w:r w:rsidRPr="005D6850">
        <w:rPr>
          <w:i/>
        </w:rPr>
        <w:t xml:space="preserve"> </w:t>
      </w:r>
    </w:p>
    <w:p w14:paraId="40EA9212" w14:textId="77777777" w:rsidR="00597B5E" w:rsidRPr="005D6850" w:rsidRDefault="00597B5E" w:rsidP="0018380C">
      <w:pPr>
        <w:pStyle w:val="References"/>
      </w:pPr>
      <w:r w:rsidRPr="005D6850">
        <w:rPr>
          <w:lang w:val="es-CL"/>
        </w:rPr>
        <w:t>Jones N, Marks R, Ramirez R</w:t>
      </w:r>
      <w:r w:rsidR="00B41F9C" w:rsidRPr="005D6850">
        <w:rPr>
          <w:lang w:val="es-CL"/>
        </w:rPr>
        <w:t xml:space="preserve"> and</w:t>
      </w:r>
      <w:r w:rsidRPr="005D6850">
        <w:rPr>
          <w:lang w:val="es-CL"/>
        </w:rPr>
        <w:t xml:space="preserve"> Ríos-Vargas M (2021) </w:t>
      </w:r>
      <w:hyperlink r:id="rId188" w:anchor=":~:text=population%20grew%2088.7%25.-,American%20Indian%20and%20Alaska%20Native%20Population,-From%202010%20to" w:history="1">
        <w:r w:rsidRPr="005D6850">
          <w:rPr>
            <w:rStyle w:val="Hyperlink"/>
            <w:i/>
          </w:rPr>
          <w:t>Improved race and ethnicity measures reveal U.S. population is much more multiracial</w:t>
        </w:r>
      </w:hyperlink>
      <w:r w:rsidR="00B41F9C" w:rsidRPr="005D6850">
        <w:t>,</w:t>
      </w:r>
      <w:r w:rsidRPr="005D6850">
        <w:t xml:space="preserve"> United States Census Bureau. </w:t>
      </w:r>
    </w:p>
    <w:p w14:paraId="01F299FB" w14:textId="77777777" w:rsidR="00597B5E" w:rsidRPr="005D6850" w:rsidRDefault="00597B5E" w:rsidP="0018380C">
      <w:pPr>
        <w:pStyle w:val="References"/>
      </w:pPr>
      <w:r w:rsidRPr="005D6850">
        <w:t>Jongen C, Campbell S, McCalman J, Fagan R, Pearson K</w:t>
      </w:r>
      <w:r w:rsidR="00B41F9C" w:rsidRPr="005D6850">
        <w:t xml:space="preserve"> and</w:t>
      </w:r>
      <w:r w:rsidRPr="005D6850">
        <w:t xml:space="preserve"> Andrews S (2020) </w:t>
      </w:r>
      <w:r w:rsidR="00B41F9C" w:rsidRPr="005D6850">
        <w:t>‘</w:t>
      </w:r>
      <w:r w:rsidRPr="005D6850">
        <w:t>Transitioning to Aboriginal community control of primary health care: the process and strategies of one community-controlled health organisation in Queensland</w:t>
      </w:r>
      <w:r w:rsidR="00B41F9C" w:rsidRPr="005D6850">
        <w:t>’,</w:t>
      </w:r>
      <w:r w:rsidRPr="005D6850">
        <w:t xml:space="preserve"> </w:t>
      </w:r>
      <w:r w:rsidRPr="005D6850">
        <w:rPr>
          <w:i/>
        </w:rPr>
        <w:t xml:space="preserve">BMC Family Practice </w:t>
      </w:r>
      <w:r w:rsidRPr="005D6850">
        <w:rPr>
          <w:iCs/>
        </w:rPr>
        <w:t>21</w:t>
      </w:r>
      <w:r w:rsidRPr="005D6850">
        <w:t>(230)</w:t>
      </w:r>
      <w:r w:rsidR="00B41F9C" w:rsidRPr="005D6850">
        <w:t>:</w:t>
      </w:r>
      <w:r w:rsidRPr="005D6850">
        <w:t>1</w:t>
      </w:r>
      <w:r w:rsidR="00B41F9C" w:rsidRPr="005D6850">
        <w:t>–</w:t>
      </w:r>
      <w:r w:rsidRPr="005D6850">
        <w:t>12</w:t>
      </w:r>
      <w:r w:rsidR="00B41F9C" w:rsidRPr="005D6850">
        <w:t xml:space="preserve">, </w:t>
      </w:r>
      <w:r w:rsidRPr="005D6850">
        <w:t>doi</w:t>
      </w:r>
      <w:r w:rsidR="00B41F9C" w:rsidRPr="005D6850">
        <w:t>:</w:t>
      </w:r>
      <w:r w:rsidRPr="005D6850">
        <w:t>10.1186/s12875-020-01300-z</w:t>
      </w:r>
      <w:r w:rsidR="00B41F9C" w:rsidRPr="005D6850">
        <w:t>.</w:t>
      </w:r>
      <w:r w:rsidRPr="005D6850">
        <w:t xml:space="preserve"> </w:t>
      </w:r>
    </w:p>
    <w:p w14:paraId="5309D2B4" w14:textId="77777777" w:rsidR="00597B5E" w:rsidRPr="005D6850" w:rsidRDefault="00597B5E" w:rsidP="0018380C">
      <w:pPr>
        <w:pStyle w:val="References"/>
      </w:pPr>
      <w:r w:rsidRPr="005D6850">
        <w:t>Kaplan G, Bo-Linn</w:t>
      </w:r>
      <w:r w:rsidR="00B95DD5" w:rsidRPr="005D6850">
        <w:t xml:space="preserve"> G</w:t>
      </w:r>
      <w:r w:rsidRPr="005D6850">
        <w:t>, Carayon</w:t>
      </w:r>
      <w:r w:rsidR="00B95DD5" w:rsidRPr="005D6850">
        <w:t xml:space="preserve"> P</w:t>
      </w:r>
      <w:r w:rsidRPr="005D6850">
        <w:t>, Pronovost</w:t>
      </w:r>
      <w:r w:rsidR="00B95DD5" w:rsidRPr="005D6850">
        <w:t xml:space="preserve"> P</w:t>
      </w:r>
      <w:r w:rsidRPr="005D6850">
        <w:t>, Rouse</w:t>
      </w:r>
      <w:r w:rsidR="00B95DD5" w:rsidRPr="005D6850">
        <w:t xml:space="preserve"> W</w:t>
      </w:r>
      <w:r w:rsidRPr="005D6850">
        <w:t>, Reid</w:t>
      </w:r>
      <w:r w:rsidR="00B95DD5" w:rsidRPr="005D6850">
        <w:t xml:space="preserve"> P</w:t>
      </w:r>
      <w:r w:rsidRPr="005D6850">
        <w:t xml:space="preserve"> and Saunders</w:t>
      </w:r>
      <w:r w:rsidR="00B95DD5" w:rsidRPr="005D6850">
        <w:t xml:space="preserve"> R</w:t>
      </w:r>
      <w:r w:rsidRPr="005D6850">
        <w:t xml:space="preserve"> </w:t>
      </w:r>
      <w:r w:rsidR="00B95DD5" w:rsidRPr="005D6850">
        <w:t>(</w:t>
      </w:r>
      <w:r w:rsidRPr="005D6850">
        <w:t>2013</w:t>
      </w:r>
      <w:r w:rsidR="00B95DD5" w:rsidRPr="005D6850">
        <w:t>)</w:t>
      </w:r>
      <w:r w:rsidRPr="005D6850">
        <w:t xml:space="preserve">. </w:t>
      </w:r>
      <w:r w:rsidR="00B95DD5" w:rsidRPr="005D6850">
        <w:t>‘</w:t>
      </w:r>
      <w:r w:rsidRPr="005D6850">
        <w:t xml:space="preserve">Bringing a </w:t>
      </w:r>
      <w:r w:rsidR="00B95DD5" w:rsidRPr="005D6850">
        <w:t>s</w:t>
      </w:r>
      <w:r w:rsidRPr="005D6850">
        <w:t xml:space="preserve">ystems </w:t>
      </w:r>
      <w:r w:rsidR="00B95DD5" w:rsidRPr="005D6850">
        <w:t>a</w:t>
      </w:r>
      <w:r w:rsidRPr="005D6850">
        <w:t xml:space="preserve">pproach to </w:t>
      </w:r>
      <w:r w:rsidR="00B95DD5" w:rsidRPr="005D6850">
        <w:t>h</w:t>
      </w:r>
      <w:r w:rsidRPr="005D6850">
        <w:t>ealth</w:t>
      </w:r>
      <w:r w:rsidR="00B95DD5" w:rsidRPr="005D6850">
        <w:t>’,</w:t>
      </w:r>
      <w:r w:rsidRPr="005D6850">
        <w:t> </w:t>
      </w:r>
      <w:r w:rsidRPr="005D6850">
        <w:rPr>
          <w:i/>
        </w:rPr>
        <w:t>NAM Perspectives</w:t>
      </w:r>
      <w:r w:rsidR="00B95DD5" w:rsidRPr="005D6850">
        <w:rPr>
          <w:iCs/>
        </w:rPr>
        <w:t>,</w:t>
      </w:r>
      <w:r w:rsidRPr="005D6850">
        <w:t> Discussion Paper, National Academy of Medicine, Washington, DC</w:t>
      </w:r>
      <w:r w:rsidR="00B95DD5" w:rsidRPr="005D6850">
        <w:t>,</w:t>
      </w:r>
      <w:r w:rsidRPr="005D6850">
        <w:t> doi</w:t>
      </w:r>
      <w:r w:rsidR="00B95DD5" w:rsidRPr="005D6850">
        <w:t>:</w:t>
      </w:r>
      <w:r w:rsidRPr="005D6850">
        <w:t>10.31478/201307a</w:t>
      </w:r>
      <w:r w:rsidR="00B95DD5" w:rsidRPr="005D6850">
        <w:t>.</w:t>
      </w:r>
    </w:p>
    <w:p w14:paraId="3AE516CA" w14:textId="77777777" w:rsidR="00597B5E" w:rsidRPr="005D6850" w:rsidRDefault="00597B5E" w:rsidP="0018380C">
      <w:pPr>
        <w:pStyle w:val="References"/>
      </w:pPr>
      <w:r w:rsidRPr="005D6850">
        <w:t>Kornelsen D, Boyer Y, Lavoie J</w:t>
      </w:r>
      <w:r w:rsidR="00B95DD5" w:rsidRPr="005D6850">
        <w:t xml:space="preserve"> and</w:t>
      </w:r>
      <w:r w:rsidRPr="005D6850">
        <w:t xml:space="preserve"> Dwyer J (2016) </w:t>
      </w:r>
      <w:r w:rsidR="00B95DD5" w:rsidRPr="005D6850">
        <w:t>‘</w:t>
      </w:r>
      <w:hyperlink r:id="rId189" w:history="1">
        <w:r w:rsidRPr="005D6850">
          <w:rPr>
            <w:rStyle w:val="Hyperlink"/>
          </w:rPr>
          <w:t>Reciprocal accountability and fiduciary duty: Implications for Indigenous health in Canada, New Zealand and Australia</w:t>
        </w:r>
      </w:hyperlink>
      <w:r w:rsidR="00B95DD5" w:rsidRPr="005D6850">
        <w:t>’,</w:t>
      </w:r>
      <w:r w:rsidRPr="005D6850">
        <w:t xml:space="preserve"> </w:t>
      </w:r>
      <w:r w:rsidRPr="005D6850">
        <w:rPr>
          <w:i/>
        </w:rPr>
        <w:t xml:space="preserve">Australian Indigenous Law Reporter </w:t>
      </w:r>
      <w:r w:rsidRPr="005D6850">
        <w:rPr>
          <w:iCs/>
        </w:rPr>
        <w:t>19</w:t>
      </w:r>
      <w:r w:rsidRPr="005D6850">
        <w:t>(2)</w:t>
      </w:r>
      <w:r w:rsidR="00B95DD5" w:rsidRPr="005D6850">
        <w:t>:</w:t>
      </w:r>
      <w:r w:rsidRPr="005D6850">
        <w:t>17–34. </w:t>
      </w:r>
    </w:p>
    <w:p w14:paraId="01A8143C" w14:textId="77777777" w:rsidR="00597B5E" w:rsidRPr="002B0CB0" w:rsidRDefault="00597B5E" w:rsidP="0018380C">
      <w:pPr>
        <w:pStyle w:val="References"/>
      </w:pPr>
      <w:r w:rsidRPr="005D6850">
        <w:t>Lavoie JG</w:t>
      </w:r>
      <w:r w:rsidR="00B95DD5" w:rsidRPr="005D6850">
        <w:t xml:space="preserve"> and</w:t>
      </w:r>
      <w:r w:rsidRPr="005D6850">
        <w:t xml:space="preserve"> Dwyer J (2016) </w:t>
      </w:r>
      <w:r w:rsidR="00B95DD5" w:rsidRPr="005D6850">
        <w:t>‘</w:t>
      </w:r>
      <w:r w:rsidRPr="005D6850">
        <w:t>Implementing Indigenous community control in health care: lessons from Canada</w:t>
      </w:r>
      <w:r w:rsidR="00B95DD5" w:rsidRPr="005D6850">
        <w:t>’,</w:t>
      </w:r>
      <w:r w:rsidRPr="005D6850">
        <w:t xml:space="preserve"> </w:t>
      </w:r>
      <w:r w:rsidRPr="005D6850">
        <w:rPr>
          <w:i/>
        </w:rPr>
        <w:t xml:space="preserve">Australian Health Review </w:t>
      </w:r>
      <w:r w:rsidRPr="005D6850">
        <w:rPr>
          <w:iCs/>
        </w:rPr>
        <w:t>40</w:t>
      </w:r>
      <w:r w:rsidR="00B95DD5" w:rsidRPr="005D6850">
        <w:t>:</w:t>
      </w:r>
      <w:r w:rsidRPr="005D6850">
        <w:t>453</w:t>
      </w:r>
      <w:r w:rsidR="00B95DD5" w:rsidRPr="005D6850">
        <w:t>–</w:t>
      </w:r>
      <w:r w:rsidRPr="005D6850">
        <w:t>458</w:t>
      </w:r>
      <w:r w:rsidR="00DF34CA" w:rsidRPr="005D6850">
        <w:t>, doi:10.1071/AH14101</w:t>
      </w:r>
      <w:r w:rsidRPr="005D6850">
        <w:t>.</w:t>
      </w:r>
      <w:r w:rsidRPr="002B0CB0">
        <w:t xml:space="preserve"> </w:t>
      </w:r>
    </w:p>
    <w:p w14:paraId="281CF4E6" w14:textId="77777777" w:rsidR="00597B5E" w:rsidRPr="005D6850" w:rsidRDefault="00597B5E" w:rsidP="0018380C">
      <w:pPr>
        <w:pStyle w:val="References"/>
      </w:pPr>
      <w:r w:rsidRPr="005D6850">
        <w:t xml:space="preserve">Leigh J (2008) </w:t>
      </w:r>
      <w:r w:rsidRPr="005D6850">
        <w:rPr>
          <w:i/>
          <w:iCs/>
        </w:rPr>
        <w:t>Improved integration and coordination of services: Evaluation of the Stronger Families and Communities Strategy 2000–2004 issues paper</w:t>
      </w:r>
      <w:r w:rsidR="004A6FF1" w:rsidRPr="005D6850">
        <w:t>,</w:t>
      </w:r>
      <w:r w:rsidRPr="005D6850">
        <w:t xml:space="preserve"> Department of Families, Housing, Community Services and Indigenous Affairs. </w:t>
      </w:r>
    </w:p>
    <w:p w14:paraId="79EBF0BF" w14:textId="77777777" w:rsidR="00597B5E" w:rsidRPr="005D6850" w:rsidRDefault="00597B5E" w:rsidP="0018380C">
      <w:pPr>
        <w:pStyle w:val="References"/>
      </w:pPr>
      <w:r w:rsidRPr="005D6850">
        <w:t xml:space="preserve">Lindstrom GE (2022) </w:t>
      </w:r>
      <w:r w:rsidR="004A6FF1" w:rsidRPr="005D6850">
        <w:t>‘</w:t>
      </w:r>
      <w:r w:rsidRPr="005D6850">
        <w:t>Accountability, relationality and Indigenous epistemology: Advancing an Indigenous perspective on academic integrity</w:t>
      </w:r>
      <w:r w:rsidR="004A6FF1" w:rsidRPr="005D6850">
        <w:t>’,</w:t>
      </w:r>
      <w:r w:rsidRPr="005D6850">
        <w:t xml:space="preserve"> </w:t>
      </w:r>
      <w:r w:rsidR="004A6FF1" w:rsidRPr="005D6850">
        <w:t>i</w:t>
      </w:r>
      <w:r w:rsidRPr="005D6850">
        <w:t xml:space="preserve">n Eaton </w:t>
      </w:r>
      <w:r w:rsidR="004A6FF1" w:rsidRPr="005D6850">
        <w:t xml:space="preserve">SE and </w:t>
      </w:r>
      <w:r w:rsidRPr="005D6850">
        <w:t xml:space="preserve">Christensen Hughes </w:t>
      </w:r>
      <w:r w:rsidR="004A6FF1" w:rsidRPr="005D6850">
        <w:t xml:space="preserve">J </w:t>
      </w:r>
      <w:r w:rsidRPr="005D6850">
        <w:t>(</w:t>
      </w:r>
      <w:r w:rsidR="004A6FF1" w:rsidRPr="005D6850">
        <w:t>e</w:t>
      </w:r>
      <w:r w:rsidRPr="005D6850">
        <w:t xml:space="preserve">ds) </w:t>
      </w:r>
      <w:r w:rsidRPr="005D6850">
        <w:rPr>
          <w:i/>
        </w:rPr>
        <w:t>Academic integrity in Canada: Ethics and integrity in educational contexts</w:t>
      </w:r>
      <w:r w:rsidR="004A6FF1" w:rsidRPr="005D6850">
        <w:t>,</w:t>
      </w:r>
      <w:r w:rsidRPr="005D6850">
        <w:t xml:space="preserve"> Springer</w:t>
      </w:r>
      <w:r w:rsidR="004A6FF1" w:rsidRPr="005D6850">
        <w:t>, doi:</w:t>
      </w:r>
      <w:r w:rsidR="00DF34CA" w:rsidRPr="005D6850">
        <w:t>10.1007/978-3-030-83255-1_6</w:t>
      </w:r>
      <w:r w:rsidR="004A6FF1" w:rsidRPr="005D6850">
        <w:t>.</w:t>
      </w:r>
      <w:r w:rsidRPr="005D6850">
        <w:t> </w:t>
      </w:r>
    </w:p>
    <w:p w14:paraId="6B7FC8E1" w14:textId="77777777" w:rsidR="00597B5E" w:rsidRPr="005D6850" w:rsidRDefault="00597B5E" w:rsidP="0018380C">
      <w:pPr>
        <w:pStyle w:val="References"/>
      </w:pPr>
      <w:r w:rsidRPr="005D6850">
        <w:t xml:space="preserve">Maiam nayru Wingara </w:t>
      </w:r>
      <w:r w:rsidR="00C01041" w:rsidRPr="005D6850">
        <w:t>Indigenous</w:t>
      </w:r>
      <w:r w:rsidRPr="005D6850">
        <w:t xml:space="preserve"> Data Sovereignty Collective &amp; the Australian Indigenous Governance Institute (2018) </w:t>
      </w:r>
      <w:hyperlink r:id="rId190" w:history="1">
        <w:r w:rsidRPr="005D6850">
          <w:rPr>
            <w:rStyle w:val="Hyperlink"/>
            <w:i/>
          </w:rPr>
          <w:t xml:space="preserve">Indigenous </w:t>
        </w:r>
        <w:r w:rsidR="00C01041" w:rsidRPr="005D6850">
          <w:rPr>
            <w:rStyle w:val="Hyperlink"/>
            <w:i/>
          </w:rPr>
          <w:t>d</w:t>
        </w:r>
        <w:r w:rsidRPr="005D6850">
          <w:rPr>
            <w:rStyle w:val="Hyperlink"/>
            <w:i/>
          </w:rPr>
          <w:t xml:space="preserve">ata </w:t>
        </w:r>
        <w:r w:rsidR="00C01041" w:rsidRPr="005D6850">
          <w:rPr>
            <w:rStyle w:val="Hyperlink"/>
            <w:i/>
          </w:rPr>
          <w:t>s</w:t>
        </w:r>
        <w:r w:rsidRPr="005D6850">
          <w:rPr>
            <w:rStyle w:val="Hyperlink"/>
            <w:i/>
          </w:rPr>
          <w:t xml:space="preserve">overeignty </w:t>
        </w:r>
        <w:r w:rsidR="00C01041" w:rsidRPr="005D6850">
          <w:rPr>
            <w:rStyle w:val="Hyperlink"/>
            <w:i/>
          </w:rPr>
          <w:t>c</w:t>
        </w:r>
        <w:r w:rsidRPr="005D6850">
          <w:rPr>
            <w:rStyle w:val="Hyperlink"/>
            <w:i/>
          </w:rPr>
          <w:t>ommunique</w:t>
        </w:r>
      </w:hyperlink>
      <w:r w:rsidR="00C01041" w:rsidRPr="005D6850">
        <w:rPr>
          <w:iCs/>
        </w:rPr>
        <w:t>,</w:t>
      </w:r>
      <w:r w:rsidRPr="005D6850">
        <w:t xml:space="preserve"> </w:t>
      </w:r>
      <w:r w:rsidR="00C01041" w:rsidRPr="005D6850">
        <w:t xml:space="preserve">Maiam nayru Wingara Indigenous Data Sovereignty Collective &amp; the Australian Indigenous Governance Institute. </w:t>
      </w:r>
    </w:p>
    <w:p w14:paraId="204A6124" w14:textId="77777777" w:rsidR="00597B5E" w:rsidRPr="005D6850" w:rsidRDefault="00597B5E" w:rsidP="0018380C">
      <w:pPr>
        <w:pStyle w:val="References"/>
      </w:pPr>
      <w:r w:rsidRPr="005D6850">
        <w:t>McCalman K, Jongen C</w:t>
      </w:r>
      <w:r w:rsidR="007D3D4E" w:rsidRPr="005D6850">
        <w:t xml:space="preserve"> and</w:t>
      </w:r>
      <w:r w:rsidRPr="005D6850">
        <w:t xml:space="preserve"> Bainbridge R (2017) </w:t>
      </w:r>
      <w:r w:rsidR="007D3D4E" w:rsidRPr="005D6850">
        <w:t>‘</w:t>
      </w:r>
      <w:r w:rsidRPr="005D6850">
        <w:t>Organisational systems’ approaches to improving cultural competence in healthcare: A systematic scoping review of the literature</w:t>
      </w:r>
      <w:r w:rsidR="007D3D4E" w:rsidRPr="005D6850">
        <w:t>’,</w:t>
      </w:r>
      <w:r w:rsidRPr="005D6850">
        <w:t xml:space="preserve"> </w:t>
      </w:r>
      <w:r w:rsidRPr="005D6850">
        <w:rPr>
          <w:i/>
        </w:rPr>
        <w:t xml:space="preserve">International Journal for Equity in Health </w:t>
      </w:r>
      <w:r w:rsidRPr="005D6850">
        <w:rPr>
          <w:iCs/>
        </w:rPr>
        <w:t>16</w:t>
      </w:r>
      <w:r w:rsidRPr="005D6850">
        <w:t>(78)</w:t>
      </w:r>
      <w:r w:rsidR="007D3D4E" w:rsidRPr="005D6850">
        <w:t>:</w:t>
      </w:r>
      <w:r w:rsidRPr="005D6850">
        <w:t>1–19</w:t>
      </w:r>
      <w:r w:rsidR="007D3D4E" w:rsidRPr="005D6850">
        <w:t>,</w:t>
      </w:r>
      <w:r w:rsidRPr="005D6850">
        <w:t xml:space="preserve"> </w:t>
      </w:r>
      <w:r w:rsidR="007D3D4E" w:rsidRPr="005D6850">
        <w:t>doi:1</w:t>
      </w:r>
      <w:r w:rsidRPr="005D6850">
        <w:t>0.1186/s12939-017-0571-5</w:t>
      </w:r>
      <w:r w:rsidR="007D3D4E" w:rsidRPr="005D6850">
        <w:t>.</w:t>
      </w:r>
      <w:r w:rsidRPr="005D6850">
        <w:t> </w:t>
      </w:r>
    </w:p>
    <w:p w14:paraId="607D703A" w14:textId="77777777" w:rsidR="00597B5E" w:rsidRPr="005D6850" w:rsidRDefault="00597B5E" w:rsidP="0018380C">
      <w:pPr>
        <w:pStyle w:val="References"/>
      </w:pPr>
      <w:r w:rsidRPr="005D6850">
        <w:t>McCalman K, Jongen CS, Campbell S, Fagan R, Pearson K</w:t>
      </w:r>
      <w:r w:rsidR="007D3D4E" w:rsidRPr="005D6850">
        <w:t xml:space="preserve"> and</w:t>
      </w:r>
      <w:r w:rsidRPr="005D6850">
        <w:t xml:space="preserve"> Andrews S (2021a) </w:t>
      </w:r>
      <w:r w:rsidR="007D3D4E" w:rsidRPr="005D6850">
        <w:t>‘</w:t>
      </w:r>
      <w:r w:rsidRPr="005D6850">
        <w:t xml:space="preserve">The </w:t>
      </w:r>
      <w:r w:rsidR="007D3D4E" w:rsidRPr="005D6850">
        <w:t>b</w:t>
      </w:r>
      <w:r w:rsidRPr="005D6850">
        <w:t xml:space="preserve">arriers and </w:t>
      </w:r>
      <w:r w:rsidR="007D3D4E" w:rsidRPr="005D6850">
        <w:t>e</w:t>
      </w:r>
      <w:r w:rsidRPr="005D6850">
        <w:t xml:space="preserve">nablers of </w:t>
      </w:r>
      <w:r w:rsidR="007D3D4E" w:rsidRPr="005D6850">
        <w:t>p</w:t>
      </w:r>
      <w:r w:rsidRPr="005D6850">
        <w:t xml:space="preserve">rimary </w:t>
      </w:r>
      <w:r w:rsidR="007D3D4E" w:rsidRPr="005D6850">
        <w:t>h</w:t>
      </w:r>
      <w:r w:rsidRPr="005D6850">
        <w:t xml:space="preserve">ealthcare </w:t>
      </w:r>
      <w:r w:rsidR="007D3D4E" w:rsidRPr="005D6850">
        <w:t>s</w:t>
      </w:r>
      <w:r w:rsidRPr="005D6850">
        <w:t xml:space="preserve">ervice </w:t>
      </w:r>
      <w:r w:rsidR="007D3D4E" w:rsidRPr="005D6850">
        <w:t>t</w:t>
      </w:r>
      <w:r w:rsidRPr="005D6850">
        <w:t xml:space="preserve">ransition </w:t>
      </w:r>
      <w:r w:rsidR="007D3D4E" w:rsidRPr="005D6850">
        <w:t>f</w:t>
      </w:r>
      <w:r w:rsidRPr="005D6850">
        <w:t xml:space="preserve">rom </w:t>
      </w:r>
      <w:r w:rsidR="007D3D4E" w:rsidRPr="005D6850">
        <w:t>g</w:t>
      </w:r>
      <w:r w:rsidRPr="005D6850">
        <w:t xml:space="preserve">overnment to </w:t>
      </w:r>
      <w:r w:rsidR="007D3D4E" w:rsidRPr="005D6850">
        <w:t>c</w:t>
      </w:r>
      <w:r w:rsidRPr="005D6850">
        <w:t xml:space="preserve">ommunity </w:t>
      </w:r>
      <w:r w:rsidR="007D3D4E" w:rsidRPr="005D6850">
        <w:t>c</w:t>
      </w:r>
      <w:r w:rsidRPr="005D6850">
        <w:t xml:space="preserve">ontrol in Yarrabah: A </w:t>
      </w:r>
      <w:r w:rsidR="007D3D4E" w:rsidRPr="005D6850">
        <w:t>g</w:t>
      </w:r>
      <w:r w:rsidRPr="005D6850">
        <w:t xml:space="preserve">rounded </w:t>
      </w:r>
      <w:r w:rsidR="007D3D4E" w:rsidRPr="005D6850">
        <w:t>t</w:t>
      </w:r>
      <w:r w:rsidRPr="005D6850">
        <w:t xml:space="preserve">heory </w:t>
      </w:r>
      <w:r w:rsidR="007D3D4E" w:rsidRPr="005D6850">
        <w:t>s</w:t>
      </w:r>
      <w:r w:rsidRPr="005D6850">
        <w:t>tudy</w:t>
      </w:r>
      <w:r w:rsidR="007D3D4E" w:rsidRPr="005D6850">
        <w:t>’,</w:t>
      </w:r>
      <w:r w:rsidRPr="005D6850">
        <w:t xml:space="preserve"> </w:t>
      </w:r>
      <w:r w:rsidRPr="005D6850">
        <w:rPr>
          <w:i/>
        </w:rPr>
        <w:t>Front</w:t>
      </w:r>
      <w:r w:rsidR="007D3D4E" w:rsidRPr="005D6850">
        <w:rPr>
          <w:i/>
        </w:rPr>
        <w:t>iers in</w:t>
      </w:r>
      <w:r w:rsidRPr="005D6850">
        <w:rPr>
          <w:i/>
        </w:rPr>
        <w:t xml:space="preserve"> Public Health </w:t>
      </w:r>
      <w:r w:rsidRPr="005D6850">
        <w:rPr>
          <w:iCs/>
        </w:rPr>
        <w:t>9</w:t>
      </w:r>
      <w:r w:rsidR="007D3D4E" w:rsidRPr="005D6850">
        <w:t>:</w:t>
      </w:r>
      <w:r w:rsidRPr="005D6850">
        <w:t>1</w:t>
      </w:r>
      <w:r w:rsidR="007D3D4E" w:rsidRPr="005D6850">
        <w:t>–</w:t>
      </w:r>
      <w:r w:rsidRPr="005D6850">
        <w:t>15</w:t>
      </w:r>
      <w:r w:rsidR="007D3D4E" w:rsidRPr="005D6850">
        <w:t>, doi: 0.3389/fpubh.2021.616742</w:t>
      </w:r>
      <w:r w:rsidRPr="005D6850">
        <w:t xml:space="preserve">. </w:t>
      </w:r>
    </w:p>
    <w:p w14:paraId="47474C38" w14:textId="77777777" w:rsidR="00597B5E" w:rsidRPr="005D6850" w:rsidRDefault="007D3D4E" w:rsidP="0018380C">
      <w:pPr>
        <w:pStyle w:val="References"/>
      </w:pPr>
      <w:r w:rsidRPr="005D6850">
        <w:t xml:space="preserve">McCalman K, Longbottom M, Fagan S, Fagan R, Andrews S and Miller A (2021b) ‘Leading with local solutions to keep Yarrabah safe: a grounded theory study of an Aboriginal community-controlled health organisation’s response to COVID-19’, </w:t>
      </w:r>
      <w:r w:rsidRPr="005D6850">
        <w:rPr>
          <w:i/>
        </w:rPr>
        <w:t xml:space="preserve">BMC Health Services Research </w:t>
      </w:r>
      <w:r w:rsidRPr="005D6850">
        <w:rPr>
          <w:iCs/>
        </w:rPr>
        <w:t>21</w:t>
      </w:r>
      <w:r w:rsidRPr="005D6850">
        <w:t>(1):1–15</w:t>
      </w:r>
      <w:r w:rsidR="000960DB" w:rsidRPr="005D6850">
        <w:t>, doi: 10.1186/s12913-021-06761-1</w:t>
      </w:r>
      <w:r w:rsidRPr="005D6850">
        <w:t>.</w:t>
      </w:r>
    </w:p>
    <w:p w14:paraId="1543D072" w14:textId="77777777" w:rsidR="00597B5E" w:rsidRPr="005D6850" w:rsidRDefault="00597B5E" w:rsidP="0018380C">
      <w:pPr>
        <w:pStyle w:val="References"/>
      </w:pPr>
      <w:r w:rsidRPr="005D6850">
        <w:t xml:space="preserve">Mental Health Australia (2015) </w:t>
      </w:r>
      <w:hyperlink r:id="rId191" w:history="1">
        <w:r w:rsidRPr="005D6850">
          <w:rPr>
            <w:rStyle w:val="Hyperlink"/>
            <w:i/>
          </w:rPr>
          <w:t xml:space="preserve">Discussion </w:t>
        </w:r>
        <w:r w:rsidR="007D3D4E" w:rsidRPr="005D6850">
          <w:rPr>
            <w:rStyle w:val="Hyperlink"/>
            <w:i/>
          </w:rPr>
          <w:t>p</w:t>
        </w:r>
        <w:r w:rsidRPr="005D6850">
          <w:rPr>
            <w:rStyle w:val="Hyperlink"/>
            <w:i/>
          </w:rPr>
          <w:t>aper: Options for commissioning and funding of mental health services</w:t>
        </w:r>
      </w:hyperlink>
      <w:r w:rsidR="007D3D4E" w:rsidRPr="005D6850">
        <w:t>, MH Australia.</w:t>
      </w:r>
    </w:p>
    <w:p w14:paraId="65A05F8E" w14:textId="77777777" w:rsidR="00597B5E" w:rsidRPr="005D6850" w:rsidRDefault="00597B5E" w:rsidP="0018380C">
      <w:pPr>
        <w:pStyle w:val="References"/>
      </w:pPr>
      <w:r w:rsidRPr="005D6850">
        <w:t>Mia T, Dudgeon P, Mascall C, Grogan G, Murray N</w:t>
      </w:r>
      <w:r w:rsidR="00435352" w:rsidRPr="005D6850">
        <w:t xml:space="preserve"> and</w:t>
      </w:r>
      <w:r w:rsidRPr="005D6850">
        <w:t xml:space="preserve"> Walker R (2017) </w:t>
      </w:r>
      <w:r w:rsidR="005243DD" w:rsidRPr="005D6850">
        <w:t>‘</w:t>
      </w:r>
      <w:hyperlink r:id="rId192" w:history="1">
        <w:r w:rsidRPr="005D6850">
          <w:rPr>
            <w:rStyle w:val="Hyperlink"/>
          </w:rPr>
          <w:t>An evaluation of the National Empowerment Project cultural, social and emotional wellbeing program</w:t>
        </w:r>
      </w:hyperlink>
      <w:r w:rsidR="005243DD" w:rsidRPr="005D6850">
        <w:t>’</w:t>
      </w:r>
      <w:r w:rsidR="00435352" w:rsidRPr="005D6850">
        <w:t>,</w:t>
      </w:r>
      <w:r w:rsidRPr="005D6850">
        <w:t xml:space="preserve"> </w:t>
      </w:r>
      <w:r w:rsidRPr="005D6850">
        <w:rPr>
          <w:i/>
        </w:rPr>
        <w:t xml:space="preserve">Journal of Indigenous Wellbeing: Te Mauri – Pimatisiwin </w:t>
      </w:r>
      <w:r w:rsidRPr="005D6850">
        <w:rPr>
          <w:iCs/>
        </w:rPr>
        <w:t>2</w:t>
      </w:r>
      <w:r w:rsidRPr="005D6850">
        <w:t>(2)</w:t>
      </w:r>
      <w:r w:rsidR="005243DD" w:rsidRPr="005D6850">
        <w:t>:</w:t>
      </w:r>
      <w:r w:rsidRPr="005D6850">
        <w:t>33–48. </w:t>
      </w:r>
    </w:p>
    <w:p w14:paraId="547EC8FD" w14:textId="77777777" w:rsidR="00597B5E" w:rsidRPr="005D6850" w:rsidRDefault="00597B5E" w:rsidP="0018380C">
      <w:pPr>
        <w:pStyle w:val="References"/>
      </w:pPr>
      <w:r w:rsidRPr="005D6850">
        <w:t xml:space="preserve">Ministry of Health (2014) </w:t>
      </w:r>
      <w:hyperlink r:id="rId193" w:history="1">
        <w:r w:rsidRPr="005D6850">
          <w:rPr>
            <w:rStyle w:val="Hyperlink"/>
            <w:i/>
          </w:rPr>
          <w:t>Māori health providers</w:t>
        </w:r>
      </w:hyperlink>
      <w:r w:rsidR="005243DD" w:rsidRPr="005D6850">
        <w:t>,</w:t>
      </w:r>
      <w:r w:rsidRPr="005D6850">
        <w:t xml:space="preserve"> New Zealand Government. </w:t>
      </w:r>
    </w:p>
    <w:p w14:paraId="1EF17C29" w14:textId="77777777" w:rsidR="00597B5E" w:rsidRPr="005D6850" w:rsidRDefault="00597B5E" w:rsidP="0018380C">
      <w:pPr>
        <w:pStyle w:val="References"/>
      </w:pPr>
      <w:r w:rsidRPr="005D6850">
        <w:t xml:space="preserve">Ministry of Health (2020) </w:t>
      </w:r>
      <w:hyperlink r:id="rId194" w:history="1">
        <w:r w:rsidRPr="005D6850">
          <w:rPr>
            <w:rStyle w:val="Hyperlink"/>
            <w:i/>
          </w:rPr>
          <w:t>He Korowai Oranga</w:t>
        </w:r>
      </w:hyperlink>
      <w:r w:rsidR="005243DD" w:rsidRPr="005D6850">
        <w:t>,</w:t>
      </w:r>
      <w:r w:rsidRPr="005D6850">
        <w:t xml:space="preserve"> New Zealand Government. </w:t>
      </w:r>
    </w:p>
    <w:p w14:paraId="3134FA1A" w14:textId="77777777" w:rsidR="00597B5E" w:rsidRPr="005D6850" w:rsidRDefault="00597B5E" w:rsidP="0018380C">
      <w:pPr>
        <w:pStyle w:val="References"/>
      </w:pPr>
      <w:r w:rsidRPr="005D6850">
        <w:t xml:space="preserve">Ministry of Health (2022a) </w:t>
      </w:r>
      <w:hyperlink r:id="rId195" w:history="1">
        <w:r w:rsidRPr="005D6850">
          <w:rPr>
            <w:rStyle w:val="Hyperlink"/>
            <w:i/>
          </w:rPr>
          <w:t>Pae Ora (Healthy Futures) Act</w:t>
        </w:r>
      </w:hyperlink>
      <w:r w:rsidR="005243DD" w:rsidRPr="005D6850">
        <w:rPr>
          <w:iCs/>
        </w:rPr>
        <w:t>,</w:t>
      </w:r>
      <w:r w:rsidRPr="005D6850">
        <w:rPr>
          <w:i/>
        </w:rPr>
        <w:t xml:space="preserve"> </w:t>
      </w:r>
      <w:r w:rsidRPr="005D6850">
        <w:t xml:space="preserve">New Zealand Government. </w:t>
      </w:r>
    </w:p>
    <w:p w14:paraId="586B7CAE" w14:textId="77777777" w:rsidR="00597B5E" w:rsidRPr="005D6850" w:rsidRDefault="00597B5E" w:rsidP="0018380C">
      <w:pPr>
        <w:pStyle w:val="References"/>
      </w:pPr>
      <w:r w:rsidRPr="005D6850">
        <w:t xml:space="preserve">Ministry of Health (2022b) </w:t>
      </w:r>
      <w:hyperlink r:id="rId196" w:history="1">
        <w:r w:rsidRPr="005D6850">
          <w:rPr>
            <w:rStyle w:val="Hyperlink"/>
            <w:i/>
          </w:rPr>
          <w:t>Funding to Māori health providers 2016/17 to 2020/21</w:t>
        </w:r>
      </w:hyperlink>
      <w:r w:rsidR="005243DD" w:rsidRPr="005D6850">
        <w:t>,</w:t>
      </w:r>
      <w:r w:rsidRPr="005D6850">
        <w:t xml:space="preserve"> New Zealand Government. </w:t>
      </w:r>
    </w:p>
    <w:p w14:paraId="2E9AF2C2" w14:textId="77777777" w:rsidR="00597B5E" w:rsidRPr="005D6850" w:rsidRDefault="00597B5E" w:rsidP="0018380C">
      <w:pPr>
        <w:pStyle w:val="References"/>
      </w:pPr>
      <w:r w:rsidRPr="005D6850">
        <w:t xml:space="preserve">Ministry of Health (2023) </w:t>
      </w:r>
      <w:hyperlink r:id="rId197" w:history="1">
        <w:r w:rsidRPr="005D6850">
          <w:rPr>
            <w:rStyle w:val="Hyperlink"/>
            <w:i/>
          </w:rPr>
          <w:t>Commissioning for Pae Ora Health Futures 2023</w:t>
        </w:r>
      </w:hyperlink>
      <w:r w:rsidR="005243DD" w:rsidRPr="005D6850">
        <w:t>,</w:t>
      </w:r>
      <w:r w:rsidRPr="005D6850">
        <w:t xml:space="preserve"> New Zealand Government. </w:t>
      </w:r>
    </w:p>
    <w:p w14:paraId="095FC443" w14:textId="77777777" w:rsidR="00597B5E" w:rsidRPr="005D6850" w:rsidRDefault="00597B5E" w:rsidP="0018380C">
      <w:pPr>
        <w:pStyle w:val="References"/>
      </w:pPr>
      <w:r w:rsidRPr="005D6850">
        <w:t>Mitchell E, Bandara P</w:t>
      </w:r>
      <w:r w:rsidR="004636F5" w:rsidRPr="005D6850">
        <w:t xml:space="preserve"> and</w:t>
      </w:r>
      <w:r w:rsidRPr="005D6850">
        <w:t xml:space="preserve"> Smith V (2018) </w:t>
      </w:r>
      <w:hyperlink r:id="rId198" w:history="1">
        <w:r w:rsidRPr="005D6850">
          <w:rPr>
            <w:rStyle w:val="Hyperlink"/>
            <w:i/>
            <w:iCs/>
          </w:rPr>
          <w:t>Tackling Indigenous Smoking Program: Final Evaluation Report</w:t>
        </w:r>
      </w:hyperlink>
      <w:r w:rsidR="004636F5" w:rsidRPr="005D6850">
        <w:t>,</w:t>
      </w:r>
      <w:r w:rsidRPr="005D6850">
        <w:t xml:space="preserve"> Cultural &amp; Indigenous Research Centre Australia</w:t>
      </w:r>
      <w:r w:rsidR="004636F5" w:rsidRPr="005D6850">
        <w:t>.</w:t>
      </w:r>
    </w:p>
    <w:p w14:paraId="39F8F244" w14:textId="77777777" w:rsidR="00597B5E" w:rsidRPr="002B0CB0" w:rsidRDefault="00597B5E" w:rsidP="0018380C">
      <w:pPr>
        <w:pStyle w:val="References"/>
      </w:pPr>
      <w:r w:rsidRPr="005D6850">
        <w:t xml:space="preserve">National Aboriginal and/or Torres Strait Islander Health Standing Committee (2016) </w:t>
      </w:r>
      <w:hyperlink r:id="rId199" w:history="1">
        <w:r w:rsidRPr="005D6850">
          <w:rPr>
            <w:rStyle w:val="Hyperlink"/>
            <w:i/>
          </w:rPr>
          <w:t>Cultural respect framework (2016–2026) for Aboriginal and/or Torres Strait Islander health</w:t>
        </w:r>
      </w:hyperlink>
      <w:r w:rsidR="004636F5" w:rsidRPr="005D6850">
        <w:rPr>
          <w:iCs/>
        </w:rPr>
        <w:t>,</w:t>
      </w:r>
      <w:r w:rsidRPr="005D6850">
        <w:t xml:space="preserve"> Australian Health Ministers’ Advisory Council.</w:t>
      </w:r>
      <w:r w:rsidRPr="002B0CB0">
        <w:t> </w:t>
      </w:r>
    </w:p>
    <w:p w14:paraId="1E72EFD3" w14:textId="77777777" w:rsidR="00597B5E" w:rsidRPr="005D6850" w:rsidRDefault="004636F5" w:rsidP="0018380C">
      <w:pPr>
        <w:pStyle w:val="References"/>
      </w:pPr>
      <w:r w:rsidRPr="005D6850">
        <w:t xml:space="preserve">National Aboriginal and/or Torres Strait Islander Leadership in Mental Health (2015) </w:t>
      </w:r>
      <w:hyperlink r:id="rId200" w:history="1">
        <w:r w:rsidRPr="005D6850">
          <w:rPr>
            <w:rStyle w:val="Hyperlink"/>
            <w:i/>
            <w:iCs/>
          </w:rPr>
          <w:t>Gayaa Dhuwi (Proud Spirit) Declaration: A companion declaration to the Wharerātā Declaration for use by Aboriginal and/or Torres Strait Islander peoples</w:t>
        </w:r>
      </w:hyperlink>
      <w:r w:rsidRPr="005D6850">
        <w:t>, NATSILMH.</w:t>
      </w:r>
      <w:r w:rsidR="00597B5E" w:rsidRPr="005D6850">
        <w:t> </w:t>
      </w:r>
    </w:p>
    <w:p w14:paraId="3A673251" w14:textId="77777777" w:rsidR="00597B5E" w:rsidRPr="005D6850" w:rsidRDefault="00597B5E" w:rsidP="0018380C">
      <w:pPr>
        <w:pStyle w:val="References"/>
      </w:pPr>
      <w:r w:rsidRPr="005D6850">
        <w:t xml:space="preserve">National Aboriginal Community Controlled Health Organisation (2022) </w:t>
      </w:r>
      <w:hyperlink r:id="rId201" w:history="1">
        <w:r w:rsidRPr="005D6850">
          <w:rPr>
            <w:rStyle w:val="Hyperlink"/>
            <w:i/>
          </w:rPr>
          <w:t>2022/23 Pre-budget submission</w:t>
        </w:r>
      </w:hyperlink>
      <w:r w:rsidR="004636F5" w:rsidRPr="005D6850">
        <w:t>, NACCHO.</w:t>
      </w:r>
      <w:r w:rsidRPr="005D6850">
        <w:t> </w:t>
      </w:r>
    </w:p>
    <w:p w14:paraId="24021DE7" w14:textId="77777777" w:rsidR="00597B5E" w:rsidRPr="005D6850" w:rsidRDefault="00597B5E" w:rsidP="0018380C">
      <w:pPr>
        <w:pStyle w:val="References"/>
      </w:pPr>
      <w:r w:rsidRPr="005D6850">
        <w:t xml:space="preserve">New Zealand Government (2013) </w:t>
      </w:r>
      <w:hyperlink r:id="rId202" w:history="1">
        <w:r w:rsidRPr="005D6850">
          <w:rPr>
            <w:rStyle w:val="Hyperlink"/>
            <w:i/>
          </w:rPr>
          <w:t xml:space="preserve">Competitive </w:t>
        </w:r>
        <w:r w:rsidR="00025C38" w:rsidRPr="005D6850">
          <w:rPr>
            <w:rStyle w:val="Hyperlink"/>
            <w:i/>
          </w:rPr>
          <w:t>d</w:t>
        </w:r>
        <w:r w:rsidRPr="005D6850">
          <w:rPr>
            <w:rStyle w:val="Hyperlink"/>
            <w:i/>
          </w:rPr>
          <w:t xml:space="preserve">ialogue: How </w:t>
        </w:r>
        <w:r w:rsidR="00025C38" w:rsidRPr="005D6850">
          <w:rPr>
            <w:rStyle w:val="Hyperlink"/>
            <w:i/>
          </w:rPr>
          <w:t>c</w:t>
        </w:r>
        <w:r w:rsidRPr="005D6850">
          <w:rPr>
            <w:rStyle w:val="Hyperlink"/>
            <w:i/>
          </w:rPr>
          <w:t xml:space="preserve">ompetitive </w:t>
        </w:r>
        <w:r w:rsidR="00025C38" w:rsidRPr="005D6850">
          <w:rPr>
            <w:rStyle w:val="Hyperlink"/>
            <w:i/>
          </w:rPr>
          <w:t>d</w:t>
        </w:r>
        <w:r w:rsidRPr="005D6850">
          <w:rPr>
            <w:rStyle w:val="Hyperlink"/>
            <w:i/>
          </w:rPr>
          <w:t>ialogue works in New Zealand</w:t>
        </w:r>
      </w:hyperlink>
      <w:r w:rsidR="00025C38" w:rsidRPr="005D6850">
        <w:t>, NZ Government.</w:t>
      </w:r>
      <w:r w:rsidRPr="005D6850">
        <w:t xml:space="preserve"> </w:t>
      </w:r>
    </w:p>
    <w:p w14:paraId="0041DD8B" w14:textId="77777777" w:rsidR="00597B5E" w:rsidRPr="005D6850" w:rsidRDefault="00597B5E" w:rsidP="0018380C">
      <w:pPr>
        <w:pStyle w:val="References"/>
      </w:pPr>
      <w:r w:rsidRPr="005D6850">
        <w:t xml:space="preserve">New Zealand Government </w:t>
      </w:r>
      <w:r w:rsidR="00025C38" w:rsidRPr="005D6850">
        <w:t>(</w:t>
      </w:r>
      <w:r w:rsidRPr="005D6850">
        <w:t>2022</w:t>
      </w:r>
      <w:r w:rsidR="00025C38" w:rsidRPr="005D6850">
        <w:t>)</w:t>
      </w:r>
      <w:r w:rsidRPr="005D6850">
        <w:t xml:space="preserve"> </w:t>
      </w:r>
      <w:hyperlink r:id="rId203" w:history="1">
        <w:r w:rsidRPr="005D6850">
          <w:rPr>
            <w:rStyle w:val="Hyperlink"/>
            <w:i/>
          </w:rPr>
          <w:t>Interim government policy statement on health: 2022–2024</w:t>
        </w:r>
      </w:hyperlink>
      <w:r w:rsidR="00025C38" w:rsidRPr="005D6850">
        <w:t>,</w:t>
      </w:r>
      <w:r w:rsidRPr="005D6850">
        <w:t> </w:t>
      </w:r>
      <w:r w:rsidR="00025C38" w:rsidRPr="005D6850">
        <w:t>NZ Government.</w:t>
      </w:r>
    </w:p>
    <w:p w14:paraId="79DCE0EE" w14:textId="77777777" w:rsidR="00597B5E" w:rsidRPr="005D6850" w:rsidRDefault="00597B5E" w:rsidP="0018380C">
      <w:pPr>
        <w:pStyle w:val="References"/>
        <w:rPr>
          <w:color w:val="1155CC"/>
          <w:u w:val="single"/>
        </w:rPr>
      </w:pPr>
      <w:r w:rsidRPr="005D6850">
        <w:t xml:space="preserve">New Zealand Government (n.d.) </w:t>
      </w:r>
      <w:hyperlink r:id="rId204" w:history="1">
        <w:r w:rsidRPr="005D6850">
          <w:rPr>
            <w:rStyle w:val="Hyperlink"/>
            <w:i/>
          </w:rPr>
          <w:t>Government procurement principles</w:t>
        </w:r>
      </w:hyperlink>
      <w:r w:rsidR="00025C38" w:rsidRPr="005D6850">
        <w:t>,</w:t>
      </w:r>
      <w:r w:rsidRPr="005D6850">
        <w:t xml:space="preserve"> ​</w:t>
      </w:r>
      <w:r w:rsidR="00025C38" w:rsidRPr="005D6850">
        <w:t>NZ Government.</w:t>
      </w:r>
    </w:p>
    <w:p w14:paraId="29ADF696" w14:textId="77777777" w:rsidR="00597B5E" w:rsidRPr="005D6850" w:rsidRDefault="005B2E58" w:rsidP="0018380C">
      <w:pPr>
        <w:pStyle w:val="References"/>
      </w:pPr>
      <w:r w:rsidRPr="005D6850">
        <w:t>Ninomiya MM, George N, George J, Linklater R, Bull J, Plain S, Graham K, Bernards S, Peach L, Stergiopoulos V, Kurdyak P, McKinley G, Donnelly P and Wells S (2020) ‘</w:t>
      </w:r>
      <w:hyperlink r:id="rId205" w:history="1">
        <w:r w:rsidRPr="005D6850">
          <w:rPr>
            <w:rStyle w:val="Hyperlink"/>
          </w:rPr>
          <w:t>A community-driven and evidence-based approach to developing mental wellness strategies in First Nations: a program protocol</w:t>
        </w:r>
      </w:hyperlink>
      <w:r w:rsidRPr="005D6850">
        <w:t xml:space="preserve">’, </w:t>
      </w:r>
      <w:r w:rsidRPr="005D6850">
        <w:rPr>
          <w:i/>
        </w:rPr>
        <w:t>Research Involvement and Engagement</w:t>
      </w:r>
      <w:r w:rsidRPr="005D6850">
        <w:t xml:space="preserve"> </w:t>
      </w:r>
      <w:r w:rsidRPr="005D6850">
        <w:rPr>
          <w:iCs/>
        </w:rPr>
        <w:t>6</w:t>
      </w:r>
      <w:r w:rsidRPr="005D6850">
        <w:t>(5):1–12. </w:t>
      </w:r>
    </w:p>
    <w:p w14:paraId="11D99E67" w14:textId="77777777" w:rsidR="00597B5E" w:rsidRPr="005D6850" w:rsidRDefault="00597B5E" w:rsidP="0018380C">
      <w:pPr>
        <w:pStyle w:val="References"/>
      </w:pPr>
      <w:r w:rsidRPr="005D6850">
        <w:t xml:space="preserve">Nous (n.d.) </w:t>
      </w:r>
      <w:hyperlink r:id="rId206" w:history="1">
        <w:r w:rsidRPr="005D6850">
          <w:rPr>
            <w:rStyle w:val="Hyperlink"/>
            <w:i/>
          </w:rPr>
          <w:t>Working with a Cape York Indigenous community to design a needs-based service delivery model</w:t>
        </w:r>
      </w:hyperlink>
      <w:r w:rsidR="005B2E58" w:rsidRPr="005D6850">
        <w:rPr>
          <w:iCs/>
        </w:rPr>
        <w:t>,</w:t>
      </w:r>
      <w:r w:rsidR="005B2E58" w:rsidRPr="005D6850">
        <w:t xml:space="preserve"> Nous.</w:t>
      </w:r>
      <w:r w:rsidRPr="005D6850">
        <w:t> </w:t>
      </w:r>
    </w:p>
    <w:p w14:paraId="649E9AF3" w14:textId="77777777" w:rsidR="00597B5E" w:rsidRPr="002B0CB0" w:rsidRDefault="00597B5E" w:rsidP="0018380C">
      <w:pPr>
        <w:pStyle w:val="References"/>
      </w:pPr>
      <w:r w:rsidRPr="005D6850">
        <w:t xml:space="preserve">NSW Government (2016) </w:t>
      </w:r>
      <w:hyperlink r:id="rId207" w:history="1">
        <w:r w:rsidR="00446CD7" w:rsidRPr="005D6850">
          <w:rPr>
            <w:rStyle w:val="Hyperlink"/>
            <w:i/>
          </w:rPr>
          <w:t>NSW Government commissioning and contestability practice guide</w:t>
        </w:r>
      </w:hyperlink>
      <w:r w:rsidR="005B2E58" w:rsidRPr="005D6850">
        <w:t>, NSW Government.</w:t>
      </w:r>
      <w:r w:rsidRPr="002B0CB0">
        <w:t xml:space="preserve"> </w:t>
      </w:r>
    </w:p>
    <w:p w14:paraId="33AB4BB2" w14:textId="77777777" w:rsidR="00597B5E" w:rsidRPr="00FE4875" w:rsidRDefault="00597B5E" w:rsidP="0018380C">
      <w:pPr>
        <w:pStyle w:val="References"/>
      </w:pPr>
      <w:r w:rsidRPr="00FE4875">
        <w:t xml:space="preserve">Nunkuwarrin Yunti of South Australia (2019) </w:t>
      </w:r>
      <w:hyperlink r:id="rId208" w:history="1">
        <w:r w:rsidRPr="00FE4875">
          <w:rPr>
            <w:rStyle w:val="Hyperlink"/>
            <w:i/>
          </w:rPr>
          <w:t>Workshop on challenges and opportunities in relation to strengthening the social and emotional wellbeing workforce</w:t>
        </w:r>
      </w:hyperlink>
      <w:r w:rsidR="00446CD7" w:rsidRPr="00FE4875">
        <w:t>, Nunkuwarrin Yunti.</w:t>
      </w:r>
      <w:r w:rsidRPr="00FE4875">
        <w:t> </w:t>
      </w:r>
    </w:p>
    <w:p w14:paraId="4D83C953" w14:textId="77777777" w:rsidR="00597B5E" w:rsidRPr="00FE4875" w:rsidRDefault="00597B5E" w:rsidP="0018380C">
      <w:pPr>
        <w:pStyle w:val="References"/>
      </w:pPr>
      <w:r w:rsidRPr="00FE4875">
        <w:t xml:space="preserve">Ochoa P (1996) </w:t>
      </w:r>
      <w:r w:rsidR="00446CD7" w:rsidRPr="00FE4875">
        <w:t>‘</w:t>
      </w:r>
      <w:r w:rsidRPr="00FE4875">
        <w:t>The historical moments of postcolonial writing: Beyond colonialism’s binary</w:t>
      </w:r>
      <w:r w:rsidR="00446CD7" w:rsidRPr="00FE4875">
        <w:t>’,</w:t>
      </w:r>
      <w:r w:rsidRPr="00FE4875">
        <w:t xml:space="preserve"> </w:t>
      </w:r>
      <w:r w:rsidRPr="00FE4875">
        <w:rPr>
          <w:i/>
        </w:rPr>
        <w:t xml:space="preserve">Tulsa Studies in Women’s Literature </w:t>
      </w:r>
      <w:r w:rsidRPr="00FE4875">
        <w:rPr>
          <w:iCs/>
        </w:rPr>
        <w:t>15</w:t>
      </w:r>
      <w:r w:rsidRPr="00FE4875">
        <w:t>(2)</w:t>
      </w:r>
      <w:r w:rsidR="00446CD7" w:rsidRPr="00FE4875">
        <w:t>:</w:t>
      </w:r>
      <w:r w:rsidRPr="00FE4875">
        <w:t>221–229</w:t>
      </w:r>
      <w:r w:rsidR="00446CD7" w:rsidRPr="00FE4875">
        <w:t>, doi:10.2307/464132</w:t>
      </w:r>
      <w:r w:rsidRPr="00FE4875">
        <w:t>.</w:t>
      </w:r>
    </w:p>
    <w:p w14:paraId="53CF50F0" w14:textId="77777777" w:rsidR="00597B5E" w:rsidRPr="00FE4875" w:rsidRDefault="00597B5E" w:rsidP="0018380C">
      <w:pPr>
        <w:pStyle w:val="References"/>
      </w:pPr>
      <w:r w:rsidRPr="00FE4875">
        <w:t xml:space="preserve">OECD (2009) </w:t>
      </w:r>
      <w:hyperlink r:id="rId209" w:history="1">
        <w:r w:rsidRPr="00FE4875">
          <w:rPr>
            <w:rStyle w:val="Hyperlink"/>
            <w:i/>
          </w:rPr>
          <w:t xml:space="preserve">OECD </w:t>
        </w:r>
        <w:r w:rsidR="00446CD7" w:rsidRPr="00FE4875">
          <w:rPr>
            <w:rStyle w:val="Hyperlink"/>
            <w:i/>
          </w:rPr>
          <w:t>p</w:t>
        </w:r>
        <w:r w:rsidRPr="00FE4875">
          <w:rPr>
            <w:rStyle w:val="Hyperlink"/>
            <w:i/>
          </w:rPr>
          <w:t xml:space="preserve">rinciples for </w:t>
        </w:r>
        <w:r w:rsidR="00446CD7" w:rsidRPr="00FE4875">
          <w:rPr>
            <w:rStyle w:val="Hyperlink"/>
            <w:i/>
          </w:rPr>
          <w:t>i</w:t>
        </w:r>
        <w:r w:rsidRPr="00FE4875">
          <w:rPr>
            <w:rStyle w:val="Hyperlink"/>
            <w:i/>
          </w:rPr>
          <w:t xml:space="preserve">ntegrity in </w:t>
        </w:r>
        <w:r w:rsidR="00446CD7" w:rsidRPr="00FE4875">
          <w:rPr>
            <w:rStyle w:val="Hyperlink"/>
            <w:i/>
          </w:rPr>
          <w:t>p</w:t>
        </w:r>
        <w:r w:rsidRPr="00FE4875">
          <w:rPr>
            <w:rStyle w:val="Hyperlink"/>
            <w:i/>
          </w:rPr>
          <w:t xml:space="preserve">ublic </w:t>
        </w:r>
        <w:r w:rsidR="00446CD7" w:rsidRPr="00FE4875">
          <w:rPr>
            <w:rStyle w:val="Hyperlink"/>
            <w:i/>
          </w:rPr>
          <w:t>p</w:t>
        </w:r>
        <w:r w:rsidRPr="00FE4875">
          <w:rPr>
            <w:rStyle w:val="Hyperlink"/>
            <w:i/>
          </w:rPr>
          <w:t>rocurement</w:t>
        </w:r>
      </w:hyperlink>
      <w:r w:rsidR="00446CD7" w:rsidRPr="00FE4875">
        <w:t>, OECD.</w:t>
      </w:r>
      <w:r w:rsidRPr="00FE4875">
        <w:t xml:space="preserve"> </w:t>
      </w:r>
    </w:p>
    <w:p w14:paraId="5360F495" w14:textId="77777777" w:rsidR="00597B5E" w:rsidRPr="00FE4875" w:rsidRDefault="00597B5E" w:rsidP="0018380C">
      <w:pPr>
        <w:pStyle w:val="References"/>
      </w:pPr>
      <w:r w:rsidRPr="00FE4875">
        <w:t xml:space="preserve">Office of Minority Health (2022) </w:t>
      </w:r>
      <w:hyperlink r:id="rId210" w:history="1">
        <w:r w:rsidRPr="00FE4875">
          <w:rPr>
            <w:rStyle w:val="Hyperlink"/>
            <w:i/>
          </w:rPr>
          <w:t>Profile: American Indian/Alaska Native</w:t>
        </w:r>
      </w:hyperlink>
      <w:r w:rsidR="00446CD7" w:rsidRPr="00FE4875">
        <w:t>,</w:t>
      </w:r>
      <w:r w:rsidRPr="00FE4875">
        <w:t xml:space="preserve"> US Department of Health and Human Services. </w:t>
      </w:r>
    </w:p>
    <w:p w14:paraId="4993D976" w14:textId="77777777" w:rsidR="00597B5E" w:rsidRPr="00FE4875" w:rsidRDefault="00597B5E" w:rsidP="0018380C">
      <w:pPr>
        <w:pStyle w:val="References"/>
      </w:pPr>
      <w:r w:rsidRPr="00FE4875">
        <w:t>Oliver-Baxter J</w:t>
      </w:r>
      <w:r w:rsidR="00235406" w:rsidRPr="00FE4875">
        <w:t xml:space="preserve"> and</w:t>
      </w:r>
      <w:r w:rsidRPr="00FE4875">
        <w:t xml:space="preserve"> Brown L (2013) </w:t>
      </w:r>
      <w:r w:rsidR="00235406" w:rsidRPr="00FE4875">
        <w:t>‘</w:t>
      </w:r>
      <w:hyperlink r:id="rId211" w:history="1">
        <w:r w:rsidRPr="00FE4875">
          <w:rPr>
            <w:rStyle w:val="Hyperlink"/>
          </w:rPr>
          <w:t>Primary health care funding models</w:t>
        </w:r>
      </w:hyperlink>
      <w:r w:rsidR="00235406" w:rsidRPr="00FE4875">
        <w:t>’,</w:t>
      </w:r>
      <w:r w:rsidRPr="00FE4875">
        <w:t xml:space="preserve"> </w:t>
      </w:r>
      <w:r w:rsidRPr="00FE4875">
        <w:rPr>
          <w:i/>
          <w:iCs/>
        </w:rPr>
        <w:t>PHCRIS RESEARCH ROUNDup</w:t>
      </w:r>
      <w:r w:rsidRPr="00FE4875">
        <w:t xml:space="preserve"> 33</w:t>
      </w:r>
      <w:r w:rsidR="00235406" w:rsidRPr="00FE4875">
        <w:t>:</w:t>
      </w:r>
      <w:r w:rsidRPr="00FE4875">
        <w:t>1</w:t>
      </w:r>
      <w:r w:rsidR="00235406" w:rsidRPr="00FE4875">
        <w:t>–</w:t>
      </w:r>
      <w:r w:rsidRPr="00FE4875">
        <w:t xml:space="preserve">2. </w:t>
      </w:r>
    </w:p>
    <w:p w14:paraId="480A5BD5" w14:textId="77777777" w:rsidR="00597B5E" w:rsidRPr="002B0CB0" w:rsidRDefault="00597B5E" w:rsidP="0018380C">
      <w:pPr>
        <w:pStyle w:val="References"/>
      </w:pPr>
      <w:r w:rsidRPr="00FE4875">
        <w:t>Page IS, Leitch E, Gossip K, Charlson F, Comben C</w:t>
      </w:r>
      <w:r w:rsidR="00235406" w:rsidRPr="00FE4875">
        <w:t xml:space="preserve"> and</w:t>
      </w:r>
      <w:r w:rsidRPr="00FE4875">
        <w:t xml:space="preserve"> Dominic S (2022) </w:t>
      </w:r>
      <w:r w:rsidR="00235406" w:rsidRPr="00FE4875">
        <w:t>‘</w:t>
      </w:r>
      <w:r w:rsidRPr="00FE4875">
        <w:t>Modelling mental health service needs of Aboriginal and/or Torres Strait Islander peoples: a review of existing evidence and expert consensus</w:t>
      </w:r>
      <w:r w:rsidR="00235406" w:rsidRPr="00FE4875">
        <w:t>’,</w:t>
      </w:r>
      <w:r w:rsidRPr="00FE4875">
        <w:t xml:space="preserve"> </w:t>
      </w:r>
      <w:r w:rsidRPr="00FE4875">
        <w:rPr>
          <w:i/>
        </w:rPr>
        <w:t xml:space="preserve">Australian and New Zealand Journal of Public Health </w:t>
      </w:r>
      <w:r w:rsidRPr="00FE4875">
        <w:rPr>
          <w:iCs/>
        </w:rPr>
        <w:t>46</w:t>
      </w:r>
      <w:r w:rsidRPr="00FE4875">
        <w:t>(2)</w:t>
      </w:r>
      <w:r w:rsidR="00235406" w:rsidRPr="00FE4875">
        <w:t>:</w:t>
      </w:r>
      <w:r w:rsidRPr="00FE4875">
        <w:t>177–185</w:t>
      </w:r>
      <w:r w:rsidR="00235406" w:rsidRPr="00FE4875">
        <w:t xml:space="preserve">, </w:t>
      </w:r>
      <w:r w:rsidRPr="00FE4875">
        <w:t>doi</w:t>
      </w:r>
      <w:r w:rsidR="00235406" w:rsidRPr="00FE4875">
        <w:t>:</w:t>
      </w:r>
      <w:r w:rsidRPr="00FE4875">
        <w:t>10.1111/1753-6405.13202</w:t>
      </w:r>
      <w:r w:rsidR="00235406" w:rsidRPr="00FE4875">
        <w:t>.</w:t>
      </w:r>
    </w:p>
    <w:p w14:paraId="5071DDA9" w14:textId="77777777" w:rsidR="00597B5E" w:rsidRPr="00FE4875" w:rsidRDefault="00597B5E" w:rsidP="0018380C">
      <w:pPr>
        <w:pStyle w:val="References"/>
      </w:pPr>
      <w:r w:rsidRPr="00395AD7">
        <w:t>Parliamentary Couns</w:t>
      </w:r>
      <w:r w:rsidRPr="002B0CB0">
        <w:t xml:space="preserve">el Office (2022) </w:t>
      </w:r>
      <w:hyperlink r:id="rId212" w:anchor="DLM80486" w:history="1">
        <w:r w:rsidRPr="00920050">
          <w:rPr>
            <w:rStyle w:val="Hyperlink"/>
            <w:i/>
          </w:rPr>
          <w:t>New Zealand Public Health and Disability Act 2000</w:t>
        </w:r>
      </w:hyperlink>
      <w:r w:rsidR="00920050">
        <w:t>,</w:t>
      </w:r>
      <w:r w:rsidRPr="002B0CB0">
        <w:t xml:space="preserve"> New Zealand </w:t>
      </w:r>
      <w:r w:rsidRPr="00FE4875">
        <w:t>Government. </w:t>
      </w:r>
    </w:p>
    <w:p w14:paraId="3B5169B9" w14:textId="77777777" w:rsidR="00597B5E" w:rsidRPr="00FE4875" w:rsidRDefault="00597B5E" w:rsidP="0018380C">
      <w:pPr>
        <w:pStyle w:val="References"/>
      </w:pPr>
      <w:r w:rsidRPr="00FE4875">
        <w:t>Payne HE, Steele M, Bingham JL</w:t>
      </w:r>
      <w:r w:rsidR="000960DB" w:rsidRPr="00FE4875">
        <w:t xml:space="preserve"> and</w:t>
      </w:r>
      <w:r w:rsidRPr="00FE4875">
        <w:t xml:space="preserve"> Sloan CD (2017) </w:t>
      </w:r>
      <w:r w:rsidR="000960DB" w:rsidRPr="00FE4875">
        <w:t>‘</w:t>
      </w:r>
      <w:r w:rsidRPr="00FE4875">
        <w:t>Identifying and reducing disparities in mental health outcomes among American Indians and Alaskan Natives using public health, mental healthcare and legal perspectives</w:t>
      </w:r>
      <w:r w:rsidR="000960DB" w:rsidRPr="00FE4875">
        <w:t>’,</w:t>
      </w:r>
      <w:r w:rsidRPr="00FE4875">
        <w:t xml:space="preserve"> </w:t>
      </w:r>
      <w:r w:rsidRPr="00FE4875">
        <w:rPr>
          <w:i/>
        </w:rPr>
        <w:t xml:space="preserve">Administration and Policy in Mental Health and Mental Health Services </w:t>
      </w:r>
      <w:r w:rsidRPr="00FE4875">
        <w:rPr>
          <w:iCs/>
        </w:rPr>
        <w:t>45</w:t>
      </w:r>
      <w:r w:rsidRPr="00FE4875">
        <w:t>(1)</w:t>
      </w:r>
      <w:r w:rsidR="000960DB" w:rsidRPr="00FE4875">
        <w:t>:</w:t>
      </w:r>
      <w:r w:rsidRPr="00FE4875">
        <w:t>5–14</w:t>
      </w:r>
      <w:r w:rsidR="000960DB" w:rsidRPr="00FE4875">
        <w:t>, doi: 10.1007/s10488-016-0777-7.</w:t>
      </w:r>
    </w:p>
    <w:p w14:paraId="3D51A311" w14:textId="77777777" w:rsidR="00597B5E" w:rsidRPr="00FE4875" w:rsidRDefault="00597B5E" w:rsidP="0018380C">
      <w:pPr>
        <w:pStyle w:val="References"/>
      </w:pPr>
      <w:r w:rsidRPr="00FE4875">
        <w:t>Pennestri F, Lippi G</w:t>
      </w:r>
      <w:r w:rsidR="000960DB" w:rsidRPr="00FE4875">
        <w:t xml:space="preserve"> and</w:t>
      </w:r>
      <w:r w:rsidRPr="00FE4875">
        <w:t xml:space="preserve"> Banfi G (2019) </w:t>
      </w:r>
      <w:r w:rsidR="000960DB" w:rsidRPr="00FE4875">
        <w:t>‘</w:t>
      </w:r>
      <w:r w:rsidRPr="00FE4875">
        <w:t>Pay less and spend more</w:t>
      </w:r>
      <w:r w:rsidR="000960DB" w:rsidRPr="00FE4875">
        <w:t xml:space="preserve"> – </w:t>
      </w:r>
      <w:r w:rsidRPr="00FE4875">
        <w:t>the real value in healthcare procurement</w:t>
      </w:r>
      <w:r w:rsidR="000960DB" w:rsidRPr="00FE4875">
        <w:t>’,</w:t>
      </w:r>
      <w:r w:rsidRPr="00FE4875">
        <w:t xml:space="preserve"> </w:t>
      </w:r>
      <w:r w:rsidRPr="00FE4875">
        <w:rPr>
          <w:i/>
          <w:iCs/>
        </w:rPr>
        <w:t xml:space="preserve">Annals of Translational Medicine </w:t>
      </w:r>
      <w:r w:rsidRPr="00FE4875">
        <w:t>7(22)</w:t>
      </w:r>
      <w:r w:rsidR="000960DB" w:rsidRPr="00FE4875">
        <w:t>:</w:t>
      </w:r>
      <w:r w:rsidRPr="00FE4875">
        <w:t>1</w:t>
      </w:r>
      <w:r w:rsidR="000960DB" w:rsidRPr="00FE4875">
        <w:t>–</w:t>
      </w:r>
      <w:r w:rsidRPr="00FE4875">
        <w:t>6</w:t>
      </w:r>
      <w:r w:rsidR="000C6BC1" w:rsidRPr="00FE4875">
        <w:t>, doi:10.21037/atm.2019.10.93</w:t>
      </w:r>
      <w:r w:rsidRPr="00FE4875">
        <w:t>.</w:t>
      </w:r>
      <w:r w:rsidR="000960DB" w:rsidRPr="00FE4875">
        <w:t xml:space="preserve"> </w:t>
      </w:r>
    </w:p>
    <w:p w14:paraId="7FE99A3D" w14:textId="77777777" w:rsidR="00597B5E" w:rsidRPr="00FE4875" w:rsidRDefault="00597B5E" w:rsidP="0018380C">
      <w:pPr>
        <w:pStyle w:val="References"/>
      </w:pPr>
      <w:r w:rsidRPr="00FE4875">
        <w:t xml:space="preserve">Productivity Commission (2020) </w:t>
      </w:r>
      <w:hyperlink r:id="rId213" w:history="1">
        <w:r w:rsidRPr="00FE4875">
          <w:rPr>
            <w:rStyle w:val="Hyperlink"/>
            <w:i/>
          </w:rPr>
          <w:t>Mental health</w:t>
        </w:r>
      </w:hyperlink>
      <w:r w:rsidR="002F7934" w:rsidRPr="00FE4875">
        <w:t>, Report no. 95. PC, Canberra.</w:t>
      </w:r>
      <w:r w:rsidRPr="00FE4875">
        <w:t> </w:t>
      </w:r>
    </w:p>
    <w:p w14:paraId="3FCF18E9" w14:textId="77777777" w:rsidR="00597B5E" w:rsidRPr="00FE4875" w:rsidRDefault="00597B5E" w:rsidP="0018380C">
      <w:pPr>
        <w:pStyle w:val="References"/>
      </w:pPr>
      <w:r w:rsidRPr="00FE4875">
        <w:t>Puszka S, Walsh C Markham F</w:t>
      </w:r>
      <w:r w:rsidR="002F7934" w:rsidRPr="00FE4875">
        <w:t>,</w:t>
      </w:r>
      <w:r w:rsidRPr="00FE4875">
        <w:t xml:space="preserve"> Barney J, Yap M</w:t>
      </w:r>
      <w:r w:rsidR="002F7934" w:rsidRPr="00FE4875">
        <w:t xml:space="preserve"> and</w:t>
      </w:r>
      <w:r w:rsidRPr="00FE4875">
        <w:t xml:space="preserve"> Dreise T (2022) </w:t>
      </w:r>
      <w:r w:rsidR="002F7934" w:rsidRPr="00FE4875">
        <w:t>‘</w:t>
      </w:r>
      <w:r w:rsidRPr="00FE4875">
        <w:t>Community-based social care models for Indigenous people with disability: A scoping review of scholarly and policy literature</w:t>
      </w:r>
      <w:r w:rsidR="002F7934" w:rsidRPr="00FE4875">
        <w:t>’,</w:t>
      </w:r>
      <w:r w:rsidRPr="00FE4875">
        <w:t xml:space="preserve"> </w:t>
      </w:r>
      <w:r w:rsidRPr="00FE4875">
        <w:rPr>
          <w:i/>
        </w:rPr>
        <w:t>Health and Social Care in the Community</w:t>
      </w:r>
      <w:r w:rsidRPr="00FE4875">
        <w:t xml:space="preserve"> </w:t>
      </w:r>
      <w:r w:rsidR="002F7934" w:rsidRPr="00FE4875">
        <w:t>30(6):</w:t>
      </w:r>
      <w:r w:rsidRPr="00FE4875">
        <w:t>1–17</w:t>
      </w:r>
      <w:r w:rsidR="002F7934" w:rsidRPr="00FE4875">
        <w:t>, doi:</w:t>
      </w:r>
      <w:r w:rsidRPr="00FE4875">
        <w:t>10.1111/hsc.14040</w:t>
      </w:r>
      <w:r w:rsidR="002F7934" w:rsidRPr="00FE4875">
        <w:t>.</w:t>
      </w:r>
    </w:p>
    <w:p w14:paraId="06FB7B23" w14:textId="77777777" w:rsidR="00597B5E" w:rsidRPr="00FE4875" w:rsidRDefault="00597B5E" w:rsidP="0018380C">
      <w:pPr>
        <w:pStyle w:val="References"/>
      </w:pPr>
      <w:r w:rsidRPr="00FE4875">
        <w:t xml:space="preserve">PwC (2018) </w:t>
      </w:r>
      <w:hyperlink r:id="rId214" w:history="1">
        <w:r w:rsidRPr="00FE4875">
          <w:rPr>
            <w:rStyle w:val="Hyperlink"/>
            <w:i/>
            <w:iCs/>
          </w:rPr>
          <w:t>Healthcare: Funding for value</w:t>
        </w:r>
      </w:hyperlink>
      <w:r w:rsidR="002F7934" w:rsidRPr="00FE4875">
        <w:t>, PwC.</w:t>
      </w:r>
      <w:r w:rsidRPr="00FE4875">
        <w:t xml:space="preserve"> </w:t>
      </w:r>
    </w:p>
    <w:p w14:paraId="78AFB50B" w14:textId="77777777" w:rsidR="00597B5E" w:rsidRPr="002B0CB0" w:rsidRDefault="00597B5E" w:rsidP="0018380C">
      <w:pPr>
        <w:pStyle w:val="References"/>
      </w:pPr>
      <w:r w:rsidRPr="00FE4875">
        <w:t xml:space="preserve">Reddy S (2017) </w:t>
      </w:r>
      <w:r w:rsidR="002F7934" w:rsidRPr="00FE4875">
        <w:t>‘</w:t>
      </w:r>
      <w:r w:rsidRPr="00FE4875">
        <w:t>Exploration of funding models to support hybridisation of Australian primary health care</w:t>
      </w:r>
      <w:r w:rsidRPr="002B0CB0">
        <w:t xml:space="preserve"> organisations</w:t>
      </w:r>
      <w:r w:rsidR="002F7934">
        <w:t>’,</w:t>
      </w:r>
      <w:r w:rsidRPr="002B0CB0">
        <w:t xml:space="preserve"> </w:t>
      </w:r>
      <w:r w:rsidRPr="002F7934">
        <w:rPr>
          <w:i/>
          <w:iCs/>
        </w:rPr>
        <w:t>Journal of Primary Health Care</w:t>
      </w:r>
      <w:r w:rsidRPr="002B0CB0">
        <w:t xml:space="preserve"> 9(3)</w:t>
      </w:r>
      <w:r w:rsidR="002F7934">
        <w:t>:</w:t>
      </w:r>
      <w:r w:rsidRPr="002B0CB0">
        <w:t>208</w:t>
      </w:r>
      <w:r w:rsidR="002F7934">
        <w:t>–</w:t>
      </w:r>
      <w:r w:rsidRPr="002B0CB0">
        <w:t>211</w:t>
      </w:r>
      <w:r w:rsidR="002F7934">
        <w:t>,</w:t>
      </w:r>
      <w:r w:rsidRPr="002B0CB0">
        <w:t xml:space="preserve"> </w:t>
      </w:r>
      <w:r w:rsidR="002F7934">
        <w:t>doi:</w:t>
      </w:r>
      <w:r w:rsidR="002F7934" w:rsidRPr="002F7934">
        <w:t>10.1071/HC17014</w:t>
      </w:r>
      <w:r w:rsidR="002F7934">
        <w:t>.</w:t>
      </w:r>
      <w:r w:rsidRPr="002B0CB0">
        <w:t xml:space="preserve"> </w:t>
      </w:r>
    </w:p>
    <w:p w14:paraId="07C16434" w14:textId="77777777" w:rsidR="00597B5E" w:rsidRPr="00FE4875" w:rsidRDefault="00597B5E" w:rsidP="0018380C">
      <w:pPr>
        <w:pStyle w:val="References"/>
      </w:pPr>
      <w:r w:rsidRPr="00FE4875">
        <w:t>Reifels L, Nicholas A, Fletcher J, Bassilios B, King K, Ewen S</w:t>
      </w:r>
      <w:r w:rsidR="00F97B9B" w:rsidRPr="00FE4875">
        <w:t xml:space="preserve"> and</w:t>
      </w:r>
      <w:r w:rsidRPr="00FE4875">
        <w:t xml:space="preserve"> Pirkis J (2018) </w:t>
      </w:r>
      <w:r w:rsidR="00F97B9B" w:rsidRPr="00FE4875">
        <w:t>‘</w:t>
      </w:r>
      <w:r w:rsidRPr="00FE4875">
        <w:t>Enhanced primary mental health care for Indigenous Australians: Service implementation strategies and perspectives of providers</w:t>
      </w:r>
      <w:r w:rsidR="00F97B9B" w:rsidRPr="00FE4875">
        <w:t>’,</w:t>
      </w:r>
      <w:r w:rsidRPr="00FE4875">
        <w:t xml:space="preserve"> </w:t>
      </w:r>
      <w:r w:rsidRPr="00FE4875">
        <w:rPr>
          <w:i/>
        </w:rPr>
        <w:t xml:space="preserve">Global Health Research and Policy </w:t>
      </w:r>
      <w:r w:rsidRPr="00FE4875">
        <w:rPr>
          <w:iCs/>
        </w:rPr>
        <w:t>3</w:t>
      </w:r>
      <w:r w:rsidRPr="00FE4875">
        <w:t>(16)</w:t>
      </w:r>
      <w:r w:rsidR="00F97B9B" w:rsidRPr="00FE4875">
        <w:t>:</w:t>
      </w:r>
      <w:r w:rsidRPr="00FE4875">
        <w:t>1–14</w:t>
      </w:r>
      <w:r w:rsidR="00F97B9B" w:rsidRPr="00FE4875">
        <w:t>, doi:</w:t>
      </w:r>
      <w:r w:rsidR="002F7934" w:rsidRPr="00FE4875">
        <w:t>10.1186/s41256-018-0071-1</w:t>
      </w:r>
      <w:r w:rsidR="00F97B9B" w:rsidRPr="00FE4875">
        <w:t>.</w:t>
      </w:r>
      <w:r w:rsidRPr="00FE4875">
        <w:t> </w:t>
      </w:r>
    </w:p>
    <w:p w14:paraId="212DE673" w14:textId="77777777" w:rsidR="00597B5E" w:rsidRPr="00FE4875" w:rsidRDefault="00597B5E" w:rsidP="0018380C">
      <w:pPr>
        <w:pStyle w:val="References"/>
      </w:pPr>
      <w:r w:rsidRPr="00FE4875">
        <w:t>Roa T, Beggs JR, Williams J</w:t>
      </w:r>
      <w:r w:rsidR="00D74D4E" w:rsidRPr="00FE4875">
        <w:t xml:space="preserve"> and </w:t>
      </w:r>
      <w:r w:rsidRPr="00FE4875">
        <w:t xml:space="preserve">Moller H (2010) </w:t>
      </w:r>
      <w:r w:rsidR="00D74D4E" w:rsidRPr="00FE4875">
        <w:t>‘</w:t>
      </w:r>
      <w:r w:rsidRPr="00FE4875">
        <w:t>New Zealand’s performance based research funding (PBRF) model undermines Māori research</w:t>
      </w:r>
      <w:r w:rsidR="00D74D4E" w:rsidRPr="00FE4875">
        <w:t>’,</w:t>
      </w:r>
      <w:r w:rsidRPr="00FE4875">
        <w:t xml:space="preserve"> </w:t>
      </w:r>
      <w:r w:rsidRPr="00FE4875">
        <w:rPr>
          <w:i/>
        </w:rPr>
        <w:t xml:space="preserve">Journal of the Royal Society of New Zealand </w:t>
      </w:r>
      <w:r w:rsidRPr="00FE4875">
        <w:rPr>
          <w:iCs/>
        </w:rPr>
        <w:t>39</w:t>
      </w:r>
      <w:r w:rsidRPr="00FE4875">
        <w:t>(4)</w:t>
      </w:r>
      <w:r w:rsidR="00D74D4E" w:rsidRPr="00FE4875">
        <w:t>:</w:t>
      </w:r>
      <w:r w:rsidRPr="00FE4875">
        <w:t>233–238</w:t>
      </w:r>
      <w:r w:rsidR="00D74D4E" w:rsidRPr="00FE4875">
        <w:t>, doi:</w:t>
      </w:r>
      <w:r w:rsidRPr="00FE4875">
        <w:t>10.1080/0301422090951058</w:t>
      </w:r>
      <w:r w:rsidR="00D74D4E" w:rsidRPr="00FE4875">
        <w:t>.</w:t>
      </w:r>
    </w:p>
    <w:p w14:paraId="78EE8F28" w14:textId="77777777" w:rsidR="00597B5E" w:rsidRPr="00FE4875" w:rsidRDefault="00597B5E" w:rsidP="0018380C">
      <w:pPr>
        <w:pStyle w:val="References"/>
      </w:pPr>
      <w:r w:rsidRPr="00FE4875">
        <w:t>Rosenberg S</w:t>
      </w:r>
      <w:r w:rsidR="00D74D4E" w:rsidRPr="00FE4875">
        <w:t xml:space="preserve"> and</w:t>
      </w:r>
      <w:r w:rsidRPr="00FE4875">
        <w:t xml:space="preserve"> Roberts R (2021) </w:t>
      </w:r>
      <w:r w:rsidR="00D74D4E" w:rsidRPr="00FE4875">
        <w:t>‘</w:t>
      </w:r>
      <w:r w:rsidRPr="00FE4875">
        <w:t xml:space="preserve">Models of service delivery and funding of mental health </w:t>
      </w:r>
      <w:r w:rsidRPr="00FE4875">
        <w:rPr>
          <w:iCs/>
        </w:rPr>
        <w:t>services</w:t>
      </w:r>
      <w:r w:rsidR="00D74D4E" w:rsidRPr="00FE4875">
        <w:rPr>
          <w:iCs/>
        </w:rPr>
        <w:t>’, in</w:t>
      </w:r>
      <w:r w:rsidRPr="00FE4875">
        <w:t xml:space="preserve"> Carey </w:t>
      </w:r>
      <w:r w:rsidR="00D74D4E" w:rsidRPr="00FE4875">
        <w:t xml:space="preserve">TA and </w:t>
      </w:r>
      <w:r w:rsidRPr="00FE4875">
        <w:t xml:space="preserve">Gullifer </w:t>
      </w:r>
      <w:r w:rsidR="00D74D4E" w:rsidRPr="00FE4875">
        <w:t xml:space="preserve">J </w:t>
      </w:r>
      <w:r w:rsidRPr="00FE4875">
        <w:t>(</w:t>
      </w:r>
      <w:r w:rsidR="00D74D4E" w:rsidRPr="00FE4875">
        <w:t>e</w:t>
      </w:r>
      <w:r w:rsidRPr="00FE4875">
        <w:t>ds)</w:t>
      </w:r>
      <w:r w:rsidRPr="00FE4875">
        <w:rPr>
          <w:i/>
        </w:rPr>
        <w:t xml:space="preserve"> Handbook of rural, remote, and very remote mental health</w:t>
      </w:r>
      <w:r w:rsidR="00D74D4E" w:rsidRPr="00FE4875">
        <w:t>,</w:t>
      </w:r>
      <w:r w:rsidRPr="00FE4875">
        <w:t xml:space="preserve"> Springer</w:t>
      </w:r>
      <w:r w:rsidR="00D74D4E" w:rsidRPr="00FE4875">
        <w:t>, doi:10.1007/978-981-15-6631-8_8</w:t>
      </w:r>
      <w:r w:rsidRPr="00FE4875">
        <w:t>.</w:t>
      </w:r>
    </w:p>
    <w:p w14:paraId="72F6F960" w14:textId="77777777" w:rsidR="00597B5E" w:rsidRPr="00FE4875" w:rsidRDefault="00597B5E" w:rsidP="0018380C">
      <w:pPr>
        <w:pStyle w:val="References"/>
      </w:pPr>
      <w:r w:rsidRPr="00FE4875">
        <w:t xml:space="preserve">SA Health (2020) </w:t>
      </w:r>
      <w:hyperlink r:id="rId215" w:history="1">
        <w:r w:rsidRPr="00FE4875">
          <w:rPr>
            <w:rStyle w:val="Hyperlink"/>
            <w:i/>
          </w:rPr>
          <w:t xml:space="preserve">Commissioning </w:t>
        </w:r>
        <w:r w:rsidR="00C5351E" w:rsidRPr="00FE4875">
          <w:rPr>
            <w:rStyle w:val="Hyperlink"/>
            <w:i/>
          </w:rPr>
          <w:t>f</w:t>
        </w:r>
        <w:r w:rsidRPr="00FE4875">
          <w:rPr>
            <w:rStyle w:val="Hyperlink"/>
            <w:i/>
          </w:rPr>
          <w:t>ramework</w:t>
        </w:r>
      </w:hyperlink>
      <w:r w:rsidR="00C5351E" w:rsidRPr="00FE4875">
        <w:t>,</w:t>
      </w:r>
      <w:r w:rsidRPr="00FE4875">
        <w:t xml:space="preserve"> Government of South Australia. </w:t>
      </w:r>
    </w:p>
    <w:p w14:paraId="07C9BDDB" w14:textId="77777777" w:rsidR="00597B5E" w:rsidRPr="00FE4875" w:rsidRDefault="00597B5E" w:rsidP="0018380C">
      <w:pPr>
        <w:pStyle w:val="References"/>
      </w:pPr>
      <w:r w:rsidRPr="00FE4875">
        <w:t xml:space="preserve">School of Indigenous Studies (2015) </w:t>
      </w:r>
      <w:hyperlink r:id="rId216" w:history="1">
        <w:r w:rsidRPr="00FE4875">
          <w:rPr>
            <w:rStyle w:val="Hyperlink"/>
            <w:i/>
          </w:rPr>
          <w:t>National Empowerment Project</w:t>
        </w:r>
      </w:hyperlink>
      <w:r w:rsidR="00F54835" w:rsidRPr="00FE4875">
        <w:t>,</w:t>
      </w:r>
      <w:r w:rsidRPr="00FE4875">
        <w:t xml:space="preserve"> University of Western Australia. </w:t>
      </w:r>
    </w:p>
    <w:p w14:paraId="61853646" w14:textId="77777777" w:rsidR="00597B5E" w:rsidRPr="002B0CB0" w:rsidRDefault="00597B5E" w:rsidP="0018380C">
      <w:pPr>
        <w:pStyle w:val="References"/>
      </w:pPr>
      <w:r w:rsidRPr="00FE4875">
        <w:t xml:space="preserve">Smith D (2015) </w:t>
      </w:r>
      <w:hyperlink r:id="rId217" w:history="1">
        <w:r w:rsidRPr="00FE4875">
          <w:rPr>
            <w:rStyle w:val="Hyperlink"/>
            <w:i/>
          </w:rPr>
          <w:t>Organising Aboriginal governance: Pathways to self-determined success in the Northern Territory, Australia</w:t>
        </w:r>
      </w:hyperlink>
      <w:r w:rsidR="00F54835">
        <w:t>,</w:t>
      </w:r>
      <w:r w:rsidRPr="002B0CB0">
        <w:t> </w:t>
      </w:r>
      <w:r w:rsidR="00F54835" w:rsidRPr="00F54835">
        <w:t>Aboriginal Peak Organisations of the Northern Territory</w:t>
      </w:r>
      <w:r w:rsidR="00F54835">
        <w:t>.</w:t>
      </w:r>
    </w:p>
    <w:p w14:paraId="4E8012B7" w14:textId="77777777" w:rsidR="00F54835" w:rsidRPr="00FE4875" w:rsidRDefault="00F54835" w:rsidP="0018380C">
      <w:pPr>
        <w:pStyle w:val="References"/>
      </w:pPr>
      <w:r w:rsidRPr="00FE4875">
        <w:t>Sones R, Hopkins C, Manson S, Watson R, Durie M and Naquin V (2010) ‘</w:t>
      </w:r>
      <w:hyperlink r:id="rId218" w:history="1">
        <w:r w:rsidRPr="00FE4875">
          <w:rPr>
            <w:rStyle w:val="Hyperlink"/>
          </w:rPr>
          <w:t>The Wharerata Declaration – the development of indigenous leaders in mental health</w:t>
        </w:r>
      </w:hyperlink>
      <w:r w:rsidRPr="00FE4875">
        <w:t xml:space="preserve">’, </w:t>
      </w:r>
      <w:r w:rsidRPr="00FE4875">
        <w:rPr>
          <w:i/>
        </w:rPr>
        <w:t>The International Journal of Leadership in Public Services</w:t>
      </w:r>
      <w:r w:rsidRPr="00FE4875">
        <w:t xml:space="preserve"> </w:t>
      </w:r>
      <w:r w:rsidRPr="00FE4875">
        <w:rPr>
          <w:iCs/>
        </w:rPr>
        <w:t>6</w:t>
      </w:r>
      <w:r w:rsidRPr="00FE4875">
        <w:t>(1):53–63. </w:t>
      </w:r>
    </w:p>
    <w:p w14:paraId="225AD6EA" w14:textId="77777777" w:rsidR="00597B5E" w:rsidRPr="00FE4875" w:rsidRDefault="00597B5E" w:rsidP="0018380C">
      <w:pPr>
        <w:pStyle w:val="References"/>
        <w:rPr>
          <w:lang w:val="es-CL"/>
        </w:rPr>
      </w:pPr>
      <w:r w:rsidRPr="00FE4875">
        <w:t xml:space="preserve">Southcentral Foundation (n.d.) </w:t>
      </w:r>
      <w:hyperlink r:id="rId219" w:history="1">
        <w:r w:rsidRPr="00FE4875">
          <w:rPr>
            <w:rStyle w:val="Hyperlink"/>
            <w:i/>
          </w:rPr>
          <w:t>Nuka System of Care</w:t>
        </w:r>
      </w:hyperlink>
      <w:r w:rsidR="00F54835" w:rsidRPr="00FE4875">
        <w:t>, Southcentral Foundation.</w:t>
      </w:r>
      <w:r w:rsidRPr="00FE4875">
        <w:rPr>
          <w:lang w:val="es-CL"/>
        </w:rPr>
        <w:t> </w:t>
      </w:r>
    </w:p>
    <w:p w14:paraId="11F3A015" w14:textId="77777777" w:rsidR="00597B5E" w:rsidRPr="00FE4875" w:rsidRDefault="00597B5E" w:rsidP="0018380C">
      <w:pPr>
        <w:pStyle w:val="References"/>
      </w:pPr>
      <w:r w:rsidRPr="00FE4875">
        <w:rPr>
          <w:lang w:val="es-CL"/>
        </w:rPr>
        <w:t xml:space="preserve">Stats NZ </w:t>
      </w:r>
      <w:r w:rsidRPr="00FE4875">
        <w:t xml:space="preserve">(2022a) </w:t>
      </w:r>
      <w:hyperlink r:id="rId220" w:history="1">
        <w:r w:rsidRPr="00FE4875">
          <w:rPr>
            <w:rStyle w:val="Hyperlink"/>
            <w:i/>
          </w:rPr>
          <w:t>National population estimates: At 30 June 2022</w:t>
        </w:r>
      </w:hyperlink>
      <w:r w:rsidR="00F54835" w:rsidRPr="00FE4875">
        <w:rPr>
          <w:iCs/>
        </w:rPr>
        <w:t>,</w:t>
      </w:r>
      <w:r w:rsidRPr="00FE4875">
        <w:rPr>
          <w:i/>
        </w:rPr>
        <w:t xml:space="preserve"> </w:t>
      </w:r>
      <w:r w:rsidRPr="00FE4875">
        <w:t>New Zealand Government. </w:t>
      </w:r>
    </w:p>
    <w:p w14:paraId="4A510DA2" w14:textId="77777777" w:rsidR="00597B5E" w:rsidRPr="002B0CB0" w:rsidRDefault="00597B5E" w:rsidP="0018380C">
      <w:pPr>
        <w:pStyle w:val="References"/>
      </w:pPr>
      <w:r w:rsidRPr="00FE4875">
        <w:t xml:space="preserve">Stats NZ (2022b) </w:t>
      </w:r>
      <w:hyperlink r:id="rId221" w:anchor=":~:text=New%20Zealand%27s%20estimated%20M%C4%81ori%20ethnic%20population%20was%20875%2C000" w:history="1">
        <w:r w:rsidRPr="00FE4875">
          <w:rPr>
            <w:rStyle w:val="Hyperlink"/>
            <w:i/>
          </w:rPr>
          <w:t>Māori population estimates: Mean year ended 31 December 2021</w:t>
        </w:r>
      </w:hyperlink>
      <w:r w:rsidR="00B71B33" w:rsidRPr="00FE4875">
        <w:t>,</w:t>
      </w:r>
      <w:r w:rsidRPr="00FE4875">
        <w:t xml:space="preserve"> New Zealand Government.</w:t>
      </w:r>
      <w:r w:rsidRPr="002B0CB0">
        <w:t> </w:t>
      </w:r>
    </w:p>
    <w:p w14:paraId="2284EF0C" w14:textId="77777777" w:rsidR="00597B5E" w:rsidRPr="00FE4875" w:rsidRDefault="00597B5E" w:rsidP="0018380C">
      <w:pPr>
        <w:pStyle w:val="References"/>
      </w:pPr>
      <w:r w:rsidRPr="00FE4875">
        <w:t>Stewart J, Lohoar S</w:t>
      </w:r>
      <w:r w:rsidR="00B71B33" w:rsidRPr="00FE4875">
        <w:t xml:space="preserve"> and</w:t>
      </w:r>
      <w:r w:rsidRPr="00FE4875">
        <w:t xml:space="preserve"> Higgins D (2011) </w:t>
      </w:r>
      <w:hyperlink r:id="rId222" w:history="1">
        <w:r w:rsidRPr="00FE4875">
          <w:rPr>
            <w:rStyle w:val="Hyperlink"/>
            <w:i/>
          </w:rPr>
          <w:t>Effective practices for service delivery coordination in Indigenous communities</w:t>
        </w:r>
      </w:hyperlink>
      <w:r w:rsidR="00B71B33" w:rsidRPr="00FE4875">
        <w:t>,</w:t>
      </w:r>
      <w:r w:rsidRPr="00FE4875">
        <w:t xml:space="preserve"> Closing the Gap Clearinghouse. </w:t>
      </w:r>
    </w:p>
    <w:p w14:paraId="60D3681D" w14:textId="77777777" w:rsidR="00597B5E" w:rsidRPr="00FE4875" w:rsidRDefault="00597B5E" w:rsidP="0018380C">
      <w:pPr>
        <w:pStyle w:val="References"/>
      </w:pPr>
      <w:r w:rsidRPr="00FE4875">
        <w:rPr>
          <w:rFonts w:eastAsia="Times New Roman"/>
        </w:rPr>
        <w:t xml:space="preserve">Tackling Indigenous Smoking (n.d.) </w:t>
      </w:r>
      <w:hyperlink r:id="rId223" w:history="1">
        <w:r w:rsidRPr="00FE4875">
          <w:rPr>
            <w:rStyle w:val="Hyperlink"/>
            <w:rFonts w:eastAsia="Times New Roman"/>
            <w:i/>
            <w:iCs/>
          </w:rPr>
          <w:t>About the Tackling Indigenous Smoking Resource and Information Centre</w:t>
        </w:r>
      </w:hyperlink>
      <w:r w:rsidR="00B71B33" w:rsidRPr="00FE4875">
        <w:rPr>
          <w:rFonts w:eastAsia="Times New Roman"/>
        </w:rPr>
        <w:t>,</w:t>
      </w:r>
      <w:r w:rsidRPr="00FE4875">
        <w:rPr>
          <w:rFonts w:eastAsia="Times New Roman"/>
          <w:i/>
          <w:iCs/>
        </w:rPr>
        <w:t xml:space="preserve"> </w:t>
      </w:r>
      <w:r w:rsidRPr="00FE4875">
        <w:rPr>
          <w:rFonts w:eastAsia="Times New Roman"/>
        </w:rPr>
        <w:t>Australian Indigenous HealthInfoNet. </w:t>
      </w:r>
      <w:r w:rsidRPr="00FE4875">
        <w:t xml:space="preserve"> </w:t>
      </w:r>
    </w:p>
    <w:p w14:paraId="294E08B0" w14:textId="77777777" w:rsidR="00597B5E" w:rsidRPr="00FE4875" w:rsidRDefault="00597B5E" w:rsidP="0018380C">
      <w:pPr>
        <w:pStyle w:val="References"/>
        <w:rPr>
          <w:lang w:val="es-CL"/>
        </w:rPr>
      </w:pPr>
      <w:r w:rsidRPr="00FE4875">
        <w:t xml:space="preserve">Te Aka Whai Ora (2022) </w:t>
      </w:r>
      <w:hyperlink r:id="rId224" w:history="1">
        <w:r w:rsidRPr="00FE4875">
          <w:rPr>
            <w:rStyle w:val="Hyperlink"/>
            <w:i/>
          </w:rPr>
          <w:t>Ā mātou mahi | Our work and priorities</w:t>
        </w:r>
      </w:hyperlink>
      <w:r w:rsidR="00B71B33" w:rsidRPr="00FE4875">
        <w:t>, Te Aka Whai Ora.</w:t>
      </w:r>
      <w:r w:rsidRPr="00FE4875">
        <w:rPr>
          <w:lang w:val="es-CL"/>
        </w:rPr>
        <w:t> </w:t>
      </w:r>
    </w:p>
    <w:p w14:paraId="31B00DD9" w14:textId="77777777" w:rsidR="00597B5E" w:rsidRPr="00FE4875" w:rsidRDefault="00597B5E" w:rsidP="0018380C">
      <w:pPr>
        <w:pStyle w:val="References"/>
      </w:pPr>
      <w:r w:rsidRPr="00FE4875">
        <w:rPr>
          <w:lang w:val="es-CL"/>
        </w:rPr>
        <w:t xml:space="preserve">Te Whatu Ora &amp; Te Aka Whai Ora </w:t>
      </w:r>
      <w:r w:rsidRPr="00FE4875">
        <w:t xml:space="preserve">(2022) </w:t>
      </w:r>
      <w:hyperlink r:id="rId225" w:history="1">
        <w:r w:rsidRPr="00FE4875">
          <w:rPr>
            <w:rStyle w:val="Hyperlink"/>
            <w:i/>
          </w:rPr>
          <w:t>Te Pae Tata: Interim New Zealand health plan 2022</w:t>
        </w:r>
      </w:hyperlink>
      <w:r w:rsidR="00B71B33" w:rsidRPr="00FE4875">
        <w:t>,</w:t>
      </w:r>
      <w:r w:rsidRPr="00FE4875">
        <w:t> </w:t>
      </w:r>
      <w:r w:rsidR="00B71B33" w:rsidRPr="00FE4875">
        <w:t>Te Whatu Ora &amp; Te Aka Whai Ora.</w:t>
      </w:r>
    </w:p>
    <w:p w14:paraId="4A10035D" w14:textId="2BC9221E" w:rsidR="00597B5E" w:rsidRPr="00FE4875" w:rsidRDefault="00597B5E" w:rsidP="0018380C">
      <w:pPr>
        <w:pStyle w:val="References"/>
      </w:pPr>
      <w:r w:rsidRPr="00FE4875">
        <w:t xml:space="preserve">Thunderbird Partnership </w:t>
      </w:r>
      <w:r w:rsidR="00867C2C" w:rsidRPr="00FE4875">
        <w:t xml:space="preserve">Foundation </w:t>
      </w:r>
      <w:r w:rsidRPr="00FE4875">
        <w:t xml:space="preserve">&amp; Health Canada (2015) </w:t>
      </w:r>
      <w:hyperlink r:id="rId226" w:history="1">
        <w:r w:rsidRPr="00FE4875">
          <w:rPr>
            <w:rStyle w:val="Hyperlink"/>
            <w:i/>
          </w:rPr>
          <w:t>First Nations wellness continuum framework</w:t>
        </w:r>
      </w:hyperlink>
      <w:r w:rsidR="00B71B33" w:rsidRPr="00FE4875">
        <w:t>,</w:t>
      </w:r>
      <w:r w:rsidRPr="00FE4875">
        <w:t> </w:t>
      </w:r>
      <w:r w:rsidR="00B71B33" w:rsidRPr="00FE4875">
        <w:t xml:space="preserve">Thunderbird Partnership </w:t>
      </w:r>
      <w:r w:rsidR="00867C2C" w:rsidRPr="00FE4875">
        <w:t xml:space="preserve">Foundation </w:t>
      </w:r>
      <w:r w:rsidR="00B71B33" w:rsidRPr="00FE4875">
        <w:t>&amp; Health Canada.</w:t>
      </w:r>
    </w:p>
    <w:p w14:paraId="635DF634" w14:textId="77777777" w:rsidR="00597B5E" w:rsidRPr="00FE4875" w:rsidRDefault="00597B5E" w:rsidP="0018380C">
      <w:pPr>
        <w:pStyle w:val="References"/>
      </w:pPr>
      <w:r w:rsidRPr="00FE4875">
        <w:t xml:space="preserve">Trahant M (2018) </w:t>
      </w:r>
      <w:r w:rsidR="00034DD1" w:rsidRPr="00FE4875">
        <w:t>‘</w:t>
      </w:r>
      <w:hyperlink r:id="rId227" w:history="1">
        <w:r w:rsidRPr="00FE4875">
          <w:rPr>
            <w:rStyle w:val="Hyperlink"/>
            <w:iCs/>
          </w:rPr>
          <w:t>Trahant: Customer/owners are key to the Nuka Model of health care in Anchorage</w:t>
        </w:r>
      </w:hyperlink>
      <w:r w:rsidR="00034DD1" w:rsidRPr="00FE4875">
        <w:rPr>
          <w:iCs/>
        </w:rPr>
        <w:t>’,</w:t>
      </w:r>
      <w:r w:rsidRPr="00FE4875">
        <w:t xml:space="preserve"> </w:t>
      </w:r>
      <w:r w:rsidRPr="00FE4875">
        <w:rPr>
          <w:i/>
          <w:iCs/>
        </w:rPr>
        <w:t>Indian Country Today</w:t>
      </w:r>
      <w:r w:rsidR="00034DD1" w:rsidRPr="00FE4875">
        <w:t>,</w:t>
      </w:r>
      <w:r w:rsidRPr="00FE4875">
        <w:t> </w:t>
      </w:r>
      <w:r w:rsidR="00034DD1" w:rsidRPr="00FE4875">
        <w:t>September 13.</w:t>
      </w:r>
    </w:p>
    <w:p w14:paraId="26BB068E" w14:textId="77777777" w:rsidR="00597B5E" w:rsidRPr="00FE4875" w:rsidRDefault="00597B5E" w:rsidP="0018380C">
      <w:pPr>
        <w:pStyle w:val="References"/>
      </w:pPr>
      <w:r w:rsidRPr="00FE4875">
        <w:t xml:space="preserve">Transforming Indigenous Health and Wellbeing (2022) </w:t>
      </w:r>
      <w:r w:rsidRPr="00FE4875">
        <w:rPr>
          <w:i/>
        </w:rPr>
        <w:t xml:space="preserve">Social and emotional wellbeing gathering #3 report </w:t>
      </w:r>
      <w:r w:rsidRPr="00FE4875">
        <w:t>[Unpublished]</w:t>
      </w:r>
      <w:r w:rsidR="00DF454A" w:rsidRPr="00FE4875">
        <w:t>,</w:t>
      </w:r>
      <w:r w:rsidRPr="00FE4875">
        <w:t xml:space="preserve"> University of Western Australia.</w:t>
      </w:r>
    </w:p>
    <w:p w14:paraId="6FF72B02" w14:textId="77777777" w:rsidR="00597B5E" w:rsidRPr="00FE4875" w:rsidRDefault="00597B5E" w:rsidP="0018380C">
      <w:pPr>
        <w:pStyle w:val="References"/>
      </w:pPr>
      <w:r w:rsidRPr="00FE4875">
        <w:t>Tulchinsky TH</w:t>
      </w:r>
      <w:r w:rsidR="00DF454A" w:rsidRPr="00FE4875">
        <w:t xml:space="preserve"> and</w:t>
      </w:r>
      <w:r w:rsidRPr="00FE4875">
        <w:t xml:space="preserve"> Varavikova EA (2014) </w:t>
      </w:r>
      <w:r w:rsidR="009E3D81" w:rsidRPr="00FE4875">
        <w:t>‘</w:t>
      </w:r>
      <w:r w:rsidRPr="00FE4875">
        <w:t xml:space="preserve">Measuring </w:t>
      </w:r>
      <w:r w:rsidR="00DF454A" w:rsidRPr="00FE4875">
        <w:t>c</w:t>
      </w:r>
      <w:r w:rsidRPr="00FE4875">
        <w:t xml:space="preserve">osts: The </w:t>
      </w:r>
      <w:r w:rsidR="00DF454A" w:rsidRPr="00FE4875">
        <w:t>e</w:t>
      </w:r>
      <w:r w:rsidRPr="00FE4875">
        <w:t xml:space="preserve">conomics of </w:t>
      </w:r>
      <w:r w:rsidR="00DF454A" w:rsidRPr="00FE4875">
        <w:t>h</w:t>
      </w:r>
      <w:r w:rsidRPr="00FE4875">
        <w:t>ealth</w:t>
      </w:r>
      <w:r w:rsidR="009E3D81" w:rsidRPr="00FE4875">
        <w:t>’</w:t>
      </w:r>
      <w:r w:rsidR="00DF454A" w:rsidRPr="00FE4875">
        <w:t>, in</w:t>
      </w:r>
      <w:r w:rsidRPr="00FE4875">
        <w:t xml:space="preserve"> Tulchinsky </w:t>
      </w:r>
      <w:r w:rsidR="00DF454A" w:rsidRPr="00FE4875">
        <w:t xml:space="preserve">TH </w:t>
      </w:r>
      <w:r w:rsidRPr="00FE4875">
        <w:t xml:space="preserve">and Varavikova </w:t>
      </w:r>
      <w:r w:rsidR="00DF454A" w:rsidRPr="00FE4875">
        <w:t xml:space="preserve">EA </w:t>
      </w:r>
      <w:r w:rsidRPr="00FE4875">
        <w:t>(</w:t>
      </w:r>
      <w:r w:rsidR="00DF454A" w:rsidRPr="00FE4875">
        <w:t>e</w:t>
      </w:r>
      <w:r w:rsidRPr="00FE4875">
        <w:t xml:space="preserve">ds) </w:t>
      </w:r>
      <w:r w:rsidRPr="00FE4875">
        <w:rPr>
          <w:i/>
          <w:iCs/>
        </w:rPr>
        <w:t>The New Public Health</w:t>
      </w:r>
      <w:r w:rsidR="009E3D81" w:rsidRPr="00FE4875">
        <w:t xml:space="preserve">, </w:t>
      </w:r>
      <w:r w:rsidR="00DF454A" w:rsidRPr="00FE4875">
        <w:t xml:space="preserve">3rd edn, </w:t>
      </w:r>
      <w:r w:rsidR="009E3D81" w:rsidRPr="00FE4875">
        <w:t xml:space="preserve">Academic Press, </w:t>
      </w:r>
      <w:r w:rsidR="00DF454A" w:rsidRPr="00FE4875">
        <w:t>doi:</w:t>
      </w:r>
      <w:r w:rsidRPr="00FE4875">
        <w:t>10.1016/B978-0-12-415766-8.00011-2</w:t>
      </w:r>
      <w:r w:rsidR="00DF454A" w:rsidRPr="00FE4875">
        <w:t>.</w:t>
      </w:r>
      <w:r w:rsidRPr="00FE4875">
        <w:t xml:space="preserve"> </w:t>
      </w:r>
    </w:p>
    <w:p w14:paraId="7839D91E" w14:textId="77777777" w:rsidR="00597B5E" w:rsidRPr="00FE4875" w:rsidRDefault="00597B5E" w:rsidP="0018380C">
      <w:pPr>
        <w:pStyle w:val="References"/>
      </w:pPr>
      <w:r w:rsidRPr="00FE4875">
        <w:t xml:space="preserve">United Nations (2007) </w:t>
      </w:r>
      <w:hyperlink r:id="rId228" w:history="1">
        <w:r w:rsidRPr="00FE4875">
          <w:rPr>
            <w:rStyle w:val="Hyperlink"/>
            <w:i/>
          </w:rPr>
          <w:t>United Nations declaration on the rights of Indigenous peoples</w:t>
        </w:r>
      </w:hyperlink>
      <w:r w:rsidR="009E3D81" w:rsidRPr="00FE4875">
        <w:t>, UN, Geneva.</w:t>
      </w:r>
      <w:r w:rsidRPr="00FE4875">
        <w:t> </w:t>
      </w:r>
    </w:p>
    <w:p w14:paraId="5E4B5B98" w14:textId="77777777" w:rsidR="00597B5E" w:rsidRPr="00FE4875" w:rsidRDefault="00597B5E" w:rsidP="0018380C">
      <w:pPr>
        <w:pStyle w:val="References"/>
      </w:pPr>
      <w:r w:rsidRPr="00FE4875">
        <w:t xml:space="preserve">United Nations (n.d.) </w:t>
      </w:r>
      <w:hyperlink r:id="rId229" w:history="1">
        <w:r w:rsidRPr="00FE4875">
          <w:rPr>
            <w:rStyle w:val="Hyperlink"/>
            <w:i/>
          </w:rPr>
          <w:t>Capacity-building</w:t>
        </w:r>
      </w:hyperlink>
      <w:r w:rsidR="009E3D81" w:rsidRPr="00FE4875">
        <w:t>, UN, Geneva.</w:t>
      </w:r>
      <w:r w:rsidRPr="00FE4875">
        <w:t> </w:t>
      </w:r>
    </w:p>
    <w:p w14:paraId="0C05AE43" w14:textId="77777777" w:rsidR="00597B5E" w:rsidRPr="00FE4875" w:rsidRDefault="00597B5E" w:rsidP="0018380C">
      <w:pPr>
        <w:pStyle w:val="References"/>
      </w:pPr>
      <w:r w:rsidRPr="00FE4875">
        <w:t xml:space="preserve">University of British Columbia (n.d.) </w:t>
      </w:r>
      <w:hyperlink r:id="rId230" w:anchor=":~:text=A%20%E2%80%9CBand%E2%80%9D%2C%20or%20%E2%80%9C,Majesty%2C%20have%20been%20set%20apart%E2%80%9D" w:history="1">
        <w:r w:rsidRPr="00FE4875">
          <w:rPr>
            <w:rStyle w:val="Hyperlink"/>
            <w:i/>
          </w:rPr>
          <w:t>Bands</w:t>
        </w:r>
      </w:hyperlink>
      <w:r w:rsidR="009E3D81" w:rsidRPr="00FE4875">
        <w:t>, UBC.</w:t>
      </w:r>
      <w:r w:rsidRPr="00FE4875">
        <w:t> </w:t>
      </w:r>
    </w:p>
    <w:p w14:paraId="50FB0439" w14:textId="77777777" w:rsidR="00597B5E" w:rsidRPr="002B0CB0" w:rsidRDefault="00597B5E" w:rsidP="0018380C">
      <w:pPr>
        <w:pStyle w:val="References"/>
      </w:pPr>
      <w:r w:rsidRPr="00FE4875">
        <w:t xml:space="preserve">University of Western Australia (2022) </w:t>
      </w:r>
      <w:hyperlink r:id="rId231" w:history="1">
        <w:r w:rsidRPr="00FE4875">
          <w:rPr>
            <w:rStyle w:val="Hyperlink"/>
            <w:i/>
          </w:rPr>
          <w:t>AHCWA SEWB pilot evaluation</w:t>
        </w:r>
      </w:hyperlink>
      <w:r w:rsidR="009E3D81" w:rsidRPr="00FE4875">
        <w:t>, UWA.</w:t>
      </w:r>
      <w:r w:rsidRPr="002B0CB0">
        <w:t> </w:t>
      </w:r>
    </w:p>
    <w:p w14:paraId="48DDEE46" w14:textId="77777777" w:rsidR="00597B5E" w:rsidRPr="00FE4875" w:rsidRDefault="00597B5E" w:rsidP="0018380C">
      <w:pPr>
        <w:pStyle w:val="References"/>
      </w:pPr>
      <w:r w:rsidRPr="00FE4875">
        <w:t xml:space="preserve">Victorian Government (2021) </w:t>
      </w:r>
      <w:hyperlink r:id="rId232" w:history="1">
        <w:r w:rsidRPr="00FE4875">
          <w:rPr>
            <w:rStyle w:val="Hyperlink"/>
            <w:i/>
          </w:rPr>
          <w:t>A framework for place-based approaches</w:t>
        </w:r>
      </w:hyperlink>
      <w:r w:rsidR="009E3D81" w:rsidRPr="00FE4875">
        <w:t>, Victorian Government.</w:t>
      </w:r>
      <w:r w:rsidRPr="00FE4875">
        <w:t> </w:t>
      </w:r>
    </w:p>
    <w:p w14:paraId="050ADF08" w14:textId="77777777" w:rsidR="00597B5E" w:rsidRPr="00FE4875" w:rsidRDefault="00597B5E" w:rsidP="0018380C">
      <w:pPr>
        <w:pStyle w:val="References"/>
      </w:pPr>
      <w:r w:rsidRPr="00FE4875">
        <w:t xml:space="preserve">Wereta W (1994) </w:t>
      </w:r>
      <w:r w:rsidR="009E3D81" w:rsidRPr="00FE4875">
        <w:t>‘</w:t>
      </w:r>
      <w:hyperlink r:id="rId233" w:history="1">
        <w:r w:rsidRPr="00FE4875">
          <w:rPr>
            <w:rStyle w:val="Hyperlink"/>
          </w:rPr>
          <w:t>Māori demographic trends</w:t>
        </w:r>
      </w:hyperlink>
      <w:r w:rsidR="009E3D81" w:rsidRPr="00FE4875">
        <w:t>’,</w:t>
      </w:r>
      <w:r w:rsidRPr="00FE4875">
        <w:t xml:space="preserve"> </w:t>
      </w:r>
      <w:r w:rsidRPr="00FE4875">
        <w:rPr>
          <w:i/>
        </w:rPr>
        <w:t>Social Policy Journal of New Zealand</w:t>
      </w:r>
      <w:r w:rsidRPr="00FE4875">
        <w:t xml:space="preserve"> 3</w:t>
      </w:r>
      <w:r w:rsidR="009E3D81" w:rsidRPr="00FE4875">
        <w:t>:</w:t>
      </w:r>
      <w:r w:rsidRPr="00FE4875">
        <w:t>1–10.</w:t>
      </w:r>
    </w:p>
    <w:p w14:paraId="0D1AE317" w14:textId="77777777" w:rsidR="00597B5E" w:rsidRPr="00FE4875" w:rsidRDefault="00597B5E" w:rsidP="0018380C">
      <w:pPr>
        <w:pStyle w:val="References"/>
      </w:pPr>
      <w:r w:rsidRPr="00FE4875">
        <w:t>Williams SL, Kaigler A, Amistag A, Espey DK</w:t>
      </w:r>
      <w:r w:rsidR="00CF67F2" w:rsidRPr="00FE4875">
        <w:t xml:space="preserve"> and</w:t>
      </w:r>
      <w:r w:rsidRPr="00FE4875">
        <w:t xml:space="preserve"> Struminger BB (2019) </w:t>
      </w:r>
      <w:r w:rsidR="00CF67F2" w:rsidRPr="00FE4875">
        <w:t>‘</w:t>
      </w:r>
      <w:r w:rsidRPr="00FE4875">
        <w:t xml:space="preserve">Creating a </w:t>
      </w:r>
      <w:r w:rsidR="00CF67F2" w:rsidRPr="00FE4875">
        <w:t>p</w:t>
      </w:r>
      <w:r w:rsidRPr="00FE4875">
        <w:t xml:space="preserve">ublic </w:t>
      </w:r>
      <w:r w:rsidR="00CF67F2" w:rsidRPr="00FE4875">
        <w:t>h</w:t>
      </w:r>
      <w:r w:rsidRPr="00FE4875">
        <w:t xml:space="preserve">ealth </w:t>
      </w:r>
      <w:r w:rsidR="00CF67F2" w:rsidRPr="00FE4875">
        <w:t>c</w:t>
      </w:r>
      <w:r w:rsidRPr="00FE4875">
        <w:t xml:space="preserve">ommunity of </w:t>
      </w:r>
      <w:r w:rsidR="00CF67F2" w:rsidRPr="00FE4875">
        <w:t>p</w:t>
      </w:r>
      <w:r w:rsidRPr="00FE4875">
        <w:t xml:space="preserve">ractice to </w:t>
      </w:r>
      <w:r w:rsidR="00CF67F2" w:rsidRPr="00FE4875">
        <w:t>s</w:t>
      </w:r>
      <w:r w:rsidRPr="00FE4875">
        <w:t xml:space="preserve">upport American Indian and Alaska Native </w:t>
      </w:r>
      <w:r w:rsidR="00CF67F2" w:rsidRPr="00FE4875">
        <w:t>c</w:t>
      </w:r>
      <w:r w:rsidRPr="00FE4875">
        <w:t xml:space="preserve">ommunities in </w:t>
      </w:r>
      <w:r w:rsidR="00CF67F2" w:rsidRPr="00FE4875">
        <w:t>a</w:t>
      </w:r>
      <w:r w:rsidRPr="00FE4875">
        <w:t xml:space="preserve">ddressing </w:t>
      </w:r>
      <w:r w:rsidR="00CF67F2" w:rsidRPr="00FE4875">
        <w:t>c</w:t>
      </w:r>
      <w:r w:rsidRPr="00FE4875">
        <w:t xml:space="preserve">hronic </w:t>
      </w:r>
      <w:r w:rsidR="00CF67F2" w:rsidRPr="00FE4875">
        <w:t>d</w:t>
      </w:r>
      <w:r w:rsidRPr="00FE4875">
        <w:t>isease</w:t>
      </w:r>
      <w:r w:rsidR="00CF67F2" w:rsidRPr="00FE4875">
        <w:t>’,</w:t>
      </w:r>
      <w:r w:rsidRPr="00FE4875">
        <w:t xml:space="preserve"> </w:t>
      </w:r>
      <w:r w:rsidRPr="00FE4875">
        <w:rPr>
          <w:i/>
        </w:rPr>
        <w:t xml:space="preserve">Preventing Chronic Disease </w:t>
      </w:r>
      <w:r w:rsidRPr="00FE4875">
        <w:rPr>
          <w:iCs/>
        </w:rPr>
        <w:t>16</w:t>
      </w:r>
      <w:r w:rsidR="00CF67F2" w:rsidRPr="00FE4875">
        <w:t>, doi:/10.5888/pcd16.190193</w:t>
      </w:r>
      <w:r w:rsidRPr="00FE4875">
        <w:t xml:space="preserve">. </w:t>
      </w:r>
    </w:p>
    <w:p w14:paraId="5B86B123" w14:textId="77777777" w:rsidR="00597B5E" w:rsidRDefault="00597B5E" w:rsidP="0018380C">
      <w:pPr>
        <w:pStyle w:val="References"/>
      </w:pPr>
      <w:r w:rsidRPr="00FE4875">
        <w:t>World Health Organization</w:t>
      </w:r>
      <w:r w:rsidR="00CF67F2" w:rsidRPr="00FE4875">
        <w:t xml:space="preserve"> </w:t>
      </w:r>
      <w:r w:rsidRPr="00FE4875">
        <w:t xml:space="preserve">(n.d.) </w:t>
      </w:r>
      <w:hyperlink r:id="rId234" w:anchor=":~:text=Fairness%2C%20integrity%2C%20transparency%20and%20equal%20treatment" w:history="1">
        <w:r w:rsidRPr="00FE4875">
          <w:rPr>
            <w:rStyle w:val="Hyperlink"/>
            <w:i/>
          </w:rPr>
          <w:t>WHO Procurement: Guiding principles</w:t>
        </w:r>
      </w:hyperlink>
      <w:r w:rsidR="00CF67F2" w:rsidRPr="00FE4875">
        <w:t>, WHO.</w:t>
      </w:r>
      <w:r w:rsidRPr="00B65F7F">
        <w:t xml:space="preserve"> </w:t>
      </w:r>
    </w:p>
    <w:p w14:paraId="59466601" w14:textId="77777777" w:rsidR="00597B5E" w:rsidRPr="00522EC6" w:rsidRDefault="00597B5E" w:rsidP="00597B5E">
      <w:pPr>
        <w:rPr>
          <w:rFonts w:ascii="Calibri" w:eastAsia="Calibri" w:hAnsi="Calibri" w:cs="Calibri"/>
          <w:color w:val="000000"/>
          <w:sz w:val="22"/>
          <w:szCs w:val="22"/>
        </w:rPr>
      </w:pPr>
      <w:r>
        <w:br w:type="page"/>
      </w:r>
      <w:bookmarkStart w:id="529" w:name="Appendix6"/>
      <w:bookmarkEnd w:id="493"/>
    </w:p>
    <w:p w14:paraId="7CC4097A" w14:textId="6FAD5C3E" w:rsidR="00DF0482" w:rsidRPr="00B65F7F" w:rsidRDefault="00DF0482" w:rsidP="001611E1">
      <w:pPr>
        <w:pStyle w:val="Heading1App"/>
      </w:pPr>
      <w:bookmarkStart w:id="530" w:name="App10_notitle"/>
      <w:bookmarkStart w:id="531" w:name="Appendix5"/>
      <w:bookmarkStart w:id="532" w:name="_Toc145955270"/>
      <w:bookmarkStart w:id="533" w:name="Appendix10"/>
      <w:bookmarkStart w:id="534" w:name="_Toc156932021"/>
      <w:bookmarkStart w:id="535" w:name="_Toc145955271"/>
      <w:r w:rsidRPr="00B65F7F">
        <w:t xml:space="preserve">Appendix </w:t>
      </w:r>
      <w:r w:rsidR="00AD2A40">
        <w:t>10</w:t>
      </w:r>
      <w:bookmarkEnd w:id="530"/>
      <w:r w:rsidR="006C172C">
        <w:t xml:space="preserve"> –</w:t>
      </w:r>
      <w:r w:rsidRPr="00B65F7F">
        <w:t xml:space="preserve"> </w:t>
      </w:r>
      <w:r w:rsidRPr="009D28AD">
        <w:t>Commissioned</w:t>
      </w:r>
      <w:r w:rsidRPr="00B65F7F">
        <w:t xml:space="preserve"> service </w:t>
      </w:r>
      <w:bookmarkEnd w:id="531"/>
      <w:r>
        <w:t>methodology and limitations</w:t>
      </w:r>
      <w:bookmarkEnd w:id="532"/>
      <w:bookmarkEnd w:id="533"/>
      <w:bookmarkEnd w:id="534"/>
    </w:p>
    <w:p w14:paraId="07AC9AB7" w14:textId="77777777" w:rsidR="00DF0482" w:rsidRPr="00B65F7F" w:rsidRDefault="004C1AF3" w:rsidP="006734AE">
      <w:pPr>
        <w:pStyle w:val="HeadingLevel2NoNumber"/>
      </w:pPr>
      <w:r>
        <w:t xml:space="preserve">A10.1 </w:t>
      </w:r>
      <w:r w:rsidR="00DF0482">
        <w:t>Data analysis limitations</w:t>
      </w:r>
    </w:p>
    <w:p w14:paraId="03B808AB" w14:textId="77777777" w:rsidR="00DF0482" w:rsidRPr="00B65F7F" w:rsidRDefault="00DF0482" w:rsidP="00AA6F87">
      <w:pPr>
        <w:pStyle w:val="BodyText"/>
      </w:pPr>
      <w:r w:rsidRPr="00B65F7F">
        <w:t xml:space="preserve">Analysis of the data was limited by several factors: </w:t>
      </w:r>
    </w:p>
    <w:p w14:paraId="463145B6" w14:textId="77777777" w:rsidR="00DF0482" w:rsidRPr="008D4D5D" w:rsidRDefault="00DF0482" w:rsidP="003B07D3">
      <w:pPr>
        <w:pStyle w:val="List1"/>
        <w:numPr>
          <w:ilvl w:val="0"/>
          <w:numId w:val="28"/>
        </w:numPr>
      </w:pPr>
      <w:r w:rsidRPr="008D4D5D">
        <w:rPr>
          <w:b/>
          <w:bCs/>
        </w:rPr>
        <w:t>Some key lines of enquiry could not be analysed due to inadequate documentation and data available:</w:t>
      </w:r>
      <w:r w:rsidRPr="008D4D5D">
        <w:t xml:space="preserve"> Detailed analysis on how contracts are administered, whether funding is spent appropriately by service providers once awarded a contract by a commissioning body (and how it is spent), and the governance of contracts could not be provided. This is due to the inability to complete an exhaustive analysis of all contracts within the scope of the </w:t>
      </w:r>
      <w:r w:rsidR="00D44FD2" w:rsidRPr="008D4D5D">
        <w:t>R</w:t>
      </w:r>
      <w:r w:rsidRPr="008D4D5D">
        <w:t xml:space="preserve">eview. </w:t>
      </w:r>
    </w:p>
    <w:p w14:paraId="6B4C3CCB" w14:textId="77777777" w:rsidR="00DF0482" w:rsidRPr="008D4D5D" w:rsidRDefault="00DF0482" w:rsidP="003B07D3">
      <w:pPr>
        <w:pStyle w:val="List1"/>
        <w:numPr>
          <w:ilvl w:val="0"/>
          <w:numId w:val="28"/>
        </w:numPr>
      </w:pPr>
      <w:r w:rsidRPr="008D4D5D">
        <w:rPr>
          <w:b/>
          <w:bCs/>
        </w:rPr>
        <w:t>Some data received may be inaccurate, incomplete or tagged inconsistently:</w:t>
      </w:r>
      <w:r w:rsidRPr="008D4D5D">
        <w:t xml:space="preserve"> In circumstances where information is inaccurate, incomplete and/or inconsistent, considerable effort was made to address these gaps. Of note, the primary database titled All PHNs - 2020-21 Commissioned Services Report (used for the analysis provided) required significant data cleaning. This database also contained the following gaps:</w:t>
      </w:r>
    </w:p>
    <w:p w14:paraId="66C5243D" w14:textId="77777777" w:rsidR="00DF0482" w:rsidRPr="00B65F7F" w:rsidRDefault="00DF0482" w:rsidP="008D4D5D">
      <w:pPr>
        <w:pStyle w:val="List2"/>
      </w:pPr>
      <w:r w:rsidRPr="00B65F7F">
        <w:t xml:space="preserve">Data contained errors, including data being placed into incorrect fields. In these instances, the data was manually manipulated into the correct rows/columns. Although diligence was taken in completing this activity, there may be a small margin of error or instances where existing errors were not identified. </w:t>
      </w:r>
    </w:p>
    <w:p w14:paraId="340C38F7" w14:textId="77777777" w:rsidR="00DF0482" w:rsidRPr="00B65F7F" w:rsidRDefault="00DF0482" w:rsidP="008D4D5D">
      <w:pPr>
        <w:pStyle w:val="List2"/>
      </w:pPr>
      <w:r w:rsidRPr="00B65F7F">
        <w:t xml:space="preserve">Data is unable to provide insight into how funding is specifically spent by service providers once a contract has been awarded, or to which community/sub-region it has been allocated. </w:t>
      </w:r>
    </w:p>
    <w:p w14:paraId="53F2186C" w14:textId="77777777" w:rsidR="00DF0482" w:rsidRDefault="00DF0482" w:rsidP="008D4D5D">
      <w:pPr>
        <w:pStyle w:val="List2"/>
      </w:pPr>
      <w:r w:rsidRPr="00B65F7F">
        <w:t xml:space="preserve">Many service providers were either incorrectly tagged as ‘ACCHO/AMS’ or were incomplete. Where possible, these organisations have been manually tagged to provide findings. Although diligence was taken in completing this activity, there may be a small margin of error. </w:t>
      </w:r>
    </w:p>
    <w:p w14:paraId="099FC606" w14:textId="77777777" w:rsidR="00DF0482" w:rsidRDefault="00DF0482" w:rsidP="00AA6F87">
      <w:pPr>
        <w:pStyle w:val="BodyText1stparaafterlist"/>
      </w:pPr>
      <w:r w:rsidRPr="00CA4A2C">
        <w:t>Due</w:t>
      </w:r>
      <w:r>
        <w:t xml:space="preserve"> to the above:</w:t>
      </w:r>
    </w:p>
    <w:p w14:paraId="517C7F0A" w14:textId="77777777" w:rsidR="00DF0482" w:rsidRPr="008D4D5D" w:rsidRDefault="00DF0482" w:rsidP="003B07D3">
      <w:pPr>
        <w:pStyle w:val="List1"/>
        <w:numPr>
          <w:ilvl w:val="0"/>
          <w:numId w:val="28"/>
        </w:numPr>
        <w:rPr>
          <w:b/>
          <w:bCs/>
        </w:rPr>
      </w:pPr>
      <w:r w:rsidRPr="008D4D5D">
        <w:rPr>
          <w:b/>
          <w:bCs/>
        </w:rPr>
        <w:t>Contract numbers and values may not reflect the exact contracts and values of contracts that related to the Relevant Health Programs.</w:t>
      </w:r>
    </w:p>
    <w:p w14:paraId="30227894" w14:textId="77777777" w:rsidR="00DF0482" w:rsidRPr="008D4D5D" w:rsidRDefault="00DF0482" w:rsidP="003B07D3">
      <w:pPr>
        <w:pStyle w:val="List1"/>
        <w:numPr>
          <w:ilvl w:val="0"/>
          <w:numId w:val="28"/>
        </w:numPr>
        <w:rPr>
          <w:b/>
          <w:bCs/>
        </w:rPr>
      </w:pPr>
      <w:r w:rsidRPr="008D4D5D">
        <w:rPr>
          <w:b/>
          <w:bCs/>
        </w:rPr>
        <w:t>Detailed analysis and findings based on contract length was not possible.</w:t>
      </w:r>
    </w:p>
    <w:p w14:paraId="3578865B" w14:textId="77777777" w:rsidR="00DF0482" w:rsidRPr="00B65F7F" w:rsidRDefault="00DF0482" w:rsidP="00AA6F87">
      <w:pPr>
        <w:pStyle w:val="BodyText1stparaafterlist"/>
        <w:rPr>
          <w:b/>
        </w:rPr>
      </w:pPr>
      <w:r>
        <w:t>T</w:t>
      </w:r>
      <w:r w:rsidRPr="00CA4A2C">
        <w:t>he</w:t>
      </w:r>
      <w:r>
        <w:t xml:space="preserve"> identified </w:t>
      </w:r>
      <w:r w:rsidRPr="00CA4A2C">
        <w:t xml:space="preserve">limitations and the strategy undertaken to </w:t>
      </w:r>
      <w:r>
        <w:t>address</w:t>
      </w:r>
      <w:r w:rsidRPr="00CA4A2C">
        <w:t xml:space="preserve"> them </w:t>
      </w:r>
      <w:r>
        <w:t>is</w:t>
      </w:r>
      <w:r w:rsidRPr="00CA4A2C">
        <w:t xml:space="preserve"> outlined below.</w:t>
      </w:r>
    </w:p>
    <w:p w14:paraId="6BC71A90" w14:textId="77777777" w:rsidR="00DF0482" w:rsidRPr="00B65F7F" w:rsidRDefault="004C1AF3" w:rsidP="006734AE">
      <w:pPr>
        <w:pStyle w:val="HeadingLevel2NoNumber"/>
      </w:pPr>
      <w:bookmarkStart w:id="536" w:name="Methodology"/>
      <w:bookmarkStart w:id="537" w:name="_Toc120206143"/>
      <w:bookmarkStart w:id="538" w:name="_Toc124427626"/>
      <w:r>
        <w:t xml:space="preserve">A10.2 </w:t>
      </w:r>
      <w:r w:rsidR="00DF0482" w:rsidRPr="00B65F7F">
        <w:t xml:space="preserve">Methodology </w:t>
      </w:r>
      <w:bookmarkEnd w:id="536"/>
      <w:r w:rsidR="00DF0482" w:rsidRPr="00B65F7F">
        <w:t>and assumptions</w:t>
      </w:r>
      <w:bookmarkEnd w:id="537"/>
      <w:bookmarkEnd w:id="538"/>
    </w:p>
    <w:p w14:paraId="5052E76B" w14:textId="77777777" w:rsidR="00DF0482" w:rsidRDefault="00DF0482" w:rsidP="00AA6F87">
      <w:pPr>
        <w:pStyle w:val="BodyText"/>
      </w:pPr>
      <w:r>
        <w:t xml:space="preserve">PHN </w:t>
      </w:r>
      <w:r w:rsidR="00D44FD2">
        <w:t>d</w:t>
      </w:r>
      <w:r w:rsidRPr="00B65F7F">
        <w:t xml:space="preserve">ata provided by </w:t>
      </w:r>
      <w:r w:rsidR="00D44FD2">
        <w:t>DoHAC</w:t>
      </w:r>
      <w:r w:rsidRPr="00B65F7F">
        <w:t xml:space="preserve"> </w:t>
      </w:r>
      <w:r>
        <w:t>has</w:t>
      </w:r>
      <w:r w:rsidRPr="00B65F7F">
        <w:t xml:space="preserve"> been used to </w:t>
      </w:r>
      <w:r>
        <w:t>analyse</w:t>
      </w:r>
      <w:r w:rsidRPr="00B65F7F">
        <w:t xml:space="preserve"> the Relevant Health </w:t>
      </w:r>
      <w:r>
        <w:t>Programs data</w:t>
      </w:r>
      <w:r w:rsidRPr="00B65F7F">
        <w:t xml:space="preserve">. </w:t>
      </w:r>
      <w:r w:rsidRPr="005515B6">
        <w:t xml:space="preserve">Any </w:t>
      </w:r>
      <w:r>
        <w:t xml:space="preserve">schedules, </w:t>
      </w:r>
      <w:r w:rsidRPr="005515B6">
        <w:t xml:space="preserve">activities and associated funding outside of the Indigenous Mental Health </w:t>
      </w:r>
      <w:r>
        <w:t xml:space="preserve">and ITC program </w:t>
      </w:r>
      <w:r w:rsidRPr="005515B6">
        <w:t>quarantined funding stream</w:t>
      </w:r>
      <w:r>
        <w:t>s are</w:t>
      </w:r>
      <w:r w:rsidRPr="005515B6">
        <w:t xml:space="preserve"> not in scope for consideration of transition of funding</w:t>
      </w:r>
      <w:r>
        <w:t xml:space="preserve"> and were therefore excluded from analysis (upon advice from </w:t>
      </w:r>
      <w:r w:rsidR="00D44FD2">
        <w:t>DoHAC</w:t>
      </w:r>
      <w:r>
        <w:t>).</w:t>
      </w:r>
    </w:p>
    <w:p w14:paraId="1784DD4C" w14:textId="77777777" w:rsidR="00DF0482" w:rsidRPr="00B65F7F" w:rsidRDefault="00DF0482" w:rsidP="00AA6F87">
      <w:pPr>
        <w:pStyle w:val="BodyText"/>
      </w:pPr>
      <w:r w:rsidRPr="005515B6">
        <w:t xml:space="preserve">Activities outside of the Indigenous Mental Health </w:t>
      </w:r>
      <w:r>
        <w:t>and ITC program</w:t>
      </w:r>
      <w:r w:rsidRPr="005515B6">
        <w:t xml:space="preserve"> quarantined funding </w:t>
      </w:r>
      <w:r>
        <w:t>may</w:t>
      </w:r>
      <w:r w:rsidRPr="005515B6">
        <w:t xml:space="preserve"> include (but </w:t>
      </w:r>
      <w:r w:rsidR="00D44FD2">
        <w:t xml:space="preserve">are </w:t>
      </w:r>
      <w:r w:rsidRPr="005515B6">
        <w:t xml:space="preserve">not limited to) those funded for COVID-19 emergency response, national suicide prevention trial sites and Way Back support, and activities funded by the flexible funding. </w:t>
      </w:r>
    </w:p>
    <w:p w14:paraId="5F2A75E3" w14:textId="77777777" w:rsidR="00DF0482" w:rsidRPr="00B65F7F" w:rsidRDefault="00DF0482" w:rsidP="00AA6F87">
      <w:pPr>
        <w:pStyle w:val="BodyText"/>
      </w:pPr>
      <w:r>
        <w:t>All contracts were cleaned</w:t>
      </w:r>
      <w:r w:rsidRPr="00B65F7F">
        <w:t xml:space="preserve"> </w:t>
      </w:r>
      <w:r>
        <w:t>are</w:t>
      </w:r>
      <w:r w:rsidRPr="00B65F7F">
        <w:t xml:space="preserve"> coded as follows</w:t>
      </w:r>
      <w:r w:rsidR="00D44FD2">
        <w:t>.</w:t>
      </w:r>
    </w:p>
    <w:p w14:paraId="7AF97807" w14:textId="77777777" w:rsidR="00DF0482" w:rsidRPr="00FA600E" w:rsidRDefault="00DF0482" w:rsidP="006401AA">
      <w:pPr>
        <w:pStyle w:val="HeadingLevel3NoNumber"/>
      </w:pPr>
      <w:r w:rsidRPr="00FA600E">
        <w:t>I</w:t>
      </w:r>
      <w:r>
        <w:t xml:space="preserve">ntegrated </w:t>
      </w:r>
      <w:r w:rsidRPr="00FA600E">
        <w:t>T</w:t>
      </w:r>
      <w:r>
        <w:t xml:space="preserve">eam </w:t>
      </w:r>
      <w:r w:rsidRPr="00FA600E">
        <w:t>C</w:t>
      </w:r>
      <w:r>
        <w:t>are</w:t>
      </w:r>
      <w:r w:rsidRPr="00FA600E">
        <w:t xml:space="preserve"> activity funding</w:t>
      </w:r>
    </w:p>
    <w:p w14:paraId="4F7E9A54" w14:textId="77777777" w:rsidR="00DF0482" w:rsidRDefault="00DF0482" w:rsidP="00AA6F87">
      <w:pPr>
        <w:pStyle w:val="BodyText"/>
      </w:pPr>
      <w:r>
        <w:t>To determine whether activities were relevant under the Integrated Team Care (ITC) program, scheduled services were filtered by ‘Integrated Team Care’ and similar tags such as:</w:t>
      </w:r>
    </w:p>
    <w:p w14:paraId="46F37709" w14:textId="77777777" w:rsidR="00DF0482" w:rsidRDefault="00DF0482" w:rsidP="00AA6F87">
      <w:pPr>
        <w:pStyle w:val="ListBullet2"/>
      </w:pPr>
      <w:r>
        <w:t>Integrated Team Care</w:t>
      </w:r>
    </w:p>
    <w:p w14:paraId="052A6B0A" w14:textId="77777777" w:rsidR="00DF0482" w:rsidRDefault="00DF0482" w:rsidP="00AA6F87">
      <w:pPr>
        <w:pStyle w:val="ListBullet2"/>
      </w:pPr>
      <w:r>
        <w:t>Integrated Team Care (ITC)</w:t>
      </w:r>
    </w:p>
    <w:p w14:paraId="47591F25" w14:textId="77777777" w:rsidR="00DF0482" w:rsidRDefault="00DF0482" w:rsidP="00AA6F87">
      <w:pPr>
        <w:pStyle w:val="ListBullet2"/>
      </w:pPr>
      <w:r>
        <w:t>Indigenous Australians</w:t>
      </w:r>
      <w:r w:rsidR="00D44FD2">
        <w:t>’</w:t>
      </w:r>
      <w:r>
        <w:t xml:space="preserve"> Health Programme - ITC</w:t>
      </w:r>
    </w:p>
    <w:p w14:paraId="410CB757" w14:textId="77777777" w:rsidR="00DF0482" w:rsidRDefault="00DF0482" w:rsidP="00AA6F87">
      <w:pPr>
        <w:pStyle w:val="BodyText1stparaafterlist"/>
      </w:pPr>
      <w:r>
        <w:t xml:space="preserve">Any PHN flexible funding that was used on ITC were excluded. </w:t>
      </w:r>
    </w:p>
    <w:p w14:paraId="1FE269D6" w14:textId="77777777" w:rsidR="00DF0482" w:rsidRPr="00FA600E" w:rsidRDefault="00DF0482" w:rsidP="006401AA">
      <w:pPr>
        <w:pStyle w:val="HeadingLevel3NoNumber"/>
      </w:pPr>
      <w:r w:rsidRPr="00FA600E">
        <w:t xml:space="preserve">Mental health and suicide prevention funding </w:t>
      </w:r>
    </w:p>
    <w:p w14:paraId="4C02F96E" w14:textId="77777777" w:rsidR="00DF0482" w:rsidRDefault="00DF0482" w:rsidP="00AA6F87">
      <w:pPr>
        <w:pStyle w:val="BodyText"/>
      </w:pPr>
      <w:r>
        <w:t>To determine whether activities were relevant to mental health and suicide prevention, and to exhaustively capture all relevant data, manual cleaning and coding was required. To do so, the following steps were taken:</w:t>
      </w:r>
    </w:p>
    <w:p w14:paraId="2927BDC4" w14:textId="77777777" w:rsidR="00DF0482" w:rsidRPr="008D4D5D" w:rsidRDefault="00DF0482" w:rsidP="003B07D3">
      <w:pPr>
        <w:pStyle w:val="List1"/>
        <w:numPr>
          <w:ilvl w:val="0"/>
          <w:numId w:val="29"/>
        </w:numPr>
      </w:pPr>
      <w:r w:rsidRPr="008D4D5D">
        <w:t>Manual analysis was undertaken to determine whether services at a schedule level should be included. This included Indigenous Mental Health quarantined funding streams under:</w:t>
      </w:r>
    </w:p>
    <w:p w14:paraId="74A7C2A5" w14:textId="77777777" w:rsidR="00DF0482" w:rsidRPr="008D4D5D" w:rsidRDefault="00DF0482" w:rsidP="008D4D5D">
      <w:pPr>
        <w:pStyle w:val="List2"/>
      </w:pPr>
      <w:r w:rsidRPr="008D4D5D">
        <w:t>Primary Mental Health Care (PMHC) Schedule</w:t>
      </w:r>
    </w:p>
    <w:p w14:paraId="62E327DB" w14:textId="77777777" w:rsidR="00DF0482" w:rsidRPr="008D4D5D" w:rsidRDefault="00DF0482" w:rsidP="008D4D5D">
      <w:pPr>
        <w:pStyle w:val="List2"/>
      </w:pPr>
      <w:r w:rsidRPr="008D4D5D">
        <w:t>Indigenous Mental Health (IMH)</w:t>
      </w:r>
    </w:p>
    <w:p w14:paraId="3F7CD666" w14:textId="77777777" w:rsidR="00DF0482" w:rsidRPr="008D4D5D" w:rsidRDefault="00DF0482" w:rsidP="003B07D3">
      <w:pPr>
        <w:pStyle w:val="List1"/>
        <w:numPr>
          <w:ilvl w:val="0"/>
          <w:numId w:val="29"/>
        </w:numPr>
      </w:pPr>
      <w:r w:rsidRPr="008D4D5D">
        <w:t xml:space="preserve">For each specific service schedule in step 1, the data was filtered by searching for ‘ATSI’, ‘Aboriginal’, ‘Indigenous’, ‘Torres Strait Islander’ and ‘First Nations’ to determine if the field: Description of services or field: Activity service contained these terms. Cells containing these terms were then manually analysed to determine if the services were relevant to Indigenous mental health and suicide prevention activities. Those determined to be incorrectly tagged were filtered out of the data analysis. </w:t>
      </w:r>
    </w:p>
    <w:p w14:paraId="3339D8BA" w14:textId="77777777" w:rsidR="00DF0482" w:rsidRPr="000123E5" w:rsidRDefault="00DF0482" w:rsidP="006401AA">
      <w:pPr>
        <w:pStyle w:val="HeadingLevel3NoNumber"/>
      </w:pPr>
      <w:r>
        <w:t>Exclusions</w:t>
      </w:r>
    </w:p>
    <w:p w14:paraId="4D3C30F6" w14:textId="77777777" w:rsidR="00DF0482" w:rsidRDefault="00DF0482" w:rsidP="00AA6F87">
      <w:pPr>
        <w:pStyle w:val="BodyText"/>
      </w:pPr>
      <w:r>
        <w:t xml:space="preserve">All the following PHN scheduled services were excluded from the analysis, including in the situations where contracts were provided to ACCHOs and/or specific to Indigenous communities (upon on advice from </w:t>
      </w:r>
      <w:r w:rsidR="000855E9">
        <w:t>DoHAC</w:t>
      </w:r>
      <w:r>
        <w:t>):</w:t>
      </w:r>
    </w:p>
    <w:p w14:paraId="192F1B98" w14:textId="77777777" w:rsidR="00DF0482" w:rsidRPr="00CA4A2C" w:rsidRDefault="00DF0482" w:rsidP="00AA6F87">
      <w:pPr>
        <w:pStyle w:val="ListBullet2"/>
      </w:pPr>
      <w:r w:rsidRPr="00CA4A2C">
        <w:t>National Suicide Prevention Trial (NSPT</w:t>
      </w:r>
      <w:r>
        <w:t>)</w:t>
      </w:r>
    </w:p>
    <w:p w14:paraId="3F4261F9" w14:textId="77777777" w:rsidR="00DF0482" w:rsidRDefault="00DF0482" w:rsidP="00AA6F87">
      <w:pPr>
        <w:pStyle w:val="ListBullet2"/>
      </w:pPr>
      <w:r w:rsidRPr="00CA4A2C">
        <w:t>After Hours Mental Health</w:t>
      </w:r>
    </w:p>
    <w:p w14:paraId="70B5596F" w14:textId="77777777" w:rsidR="00DF0482" w:rsidRDefault="00DF0482" w:rsidP="00AA6F87">
      <w:pPr>
        <w:pStyle w:val="ListBullet2"/>
      </w:pPr>
      <w:r w:rsidRPr="00CA4A2C">
        <w:t xml:space="preserve">Psychosocial Supports </w:t>
      </w:r>
      <w:r w:rsidR="00D44FD2">
        <w:t>–</w:t>
      </w:r>
      <w:r w:rsidRPr="00CA4A2C">
        <w:t xml:space="preserve"> Communities of Interest</w:t>
      </w:r>
    </w:p>
    <w:p w14:paraId="7834D834" w14:textId="77777777" w:rsidR="00DF0482" w:rsidRDefault="00DF0482" w:rsidP="00AA6F87">
      <w:pPr>
        <w:pStyle w:val="ListBullet2"/>
      </w:pPr>
      <w:r>
        <w:t>Core funding – Flex</w:t>
      </w:r>
    </w:p>
    <w:p w14:paraId="1E573DDA" w14:textId="77777777" w:rsidR="00DF0482" w:rsidRDefault="00DF0482" w:rsidP="00AA6F87">
      <w:pPr>
        <w:pStyle w:val="ListBullet2"/>
      </w:pPr>
      <w:r>
        <w:t xml:space="preserve">COVID-19 related contracts </w:t>
      </w:r>
    </w:p>
    <w:p w14:paraId="13EC8A85" w14:textId="77777777" w:rsidR="00DF0482" w:rsidRDefault="00DF0482" w:rsidP="00AA6F87">
      <w:pPr>
        <w:pStyle w:val="ListBullet2"/>
      </w:pPr>
      <w:r>
        <w:t>Bushfire, flooding and other natural disaster related contracts</w:t>
      </w:r>
    </w:p>
    <w:p w14:paraId="748ADE3D" w14:textId="77777777" w:rsidR="00DF0482" w:rsidRDefault="00DF0482" w:rsidP="00AA6F87">
      <w:pPr>
        <w:pStyle w:val="ListBullet2"/>
      </w:pPr>
      <w:r>
        <w:t>Headspace contracts</w:t>
      </w:r>
    </w:p>
    <w:p w14:paraId="0E7CC6C5" w14:textId="77777777" w:rsidR="00DF0482" w:rsidRDefault="00DF0482" w:rsidP="00AA6F87">
      <w:pPr>
        <w:pStyle w:val="ListBullet2"/>
      </w:pPr>
      <w:r w:rsidRPr="000123E5">
        <w:t>Community</w:t>
      </w:r>
      <w:r w:rsidR="000855E9">
        <w:t>-b</w:t>
      </w:r>
      <w:r w:rsidRPr="000123E5">
        <w:t xml:space="preserve">ased </w:t>
      </w:r>
      <w:r w:rsidR="000855E9">
        <w:t>s</w:t>
      </w:r>
      <w:r w:rsidRPr="000123E5">
        <w:t xml:space="preserve">uicide </w:t>
      </w:r>
      <w:r w:rsidR="000855E9">
        <w:t>p</w:t>
      </w:r>
      <w:r w:rsidRPr="000123E5">
        <w:t>revention</w:t>
      </w:r>
    </w:p>
    <w:p w14:paraId="63E229BD" w14:textId="77777777" w:rsidR="00DF0482" w:rsidRDefault="00DF0482" w:rsidP="00AA6F87">
      <w:pPr>
        <w:pStyle w:val="ListBullet2"/>
      </w:pPr>
      <w:r>
        <w:t xml:space="preserve">Any non-service delivery contacts (i.e. the use of consultants or evaluators) </w:t>
      </w:r>
    </w:p>
    <w:p w14:paraId="76681E02" w14:textId="77777777" w:rsidR="00DF0482" w:rsidRDefault="00DF0482" w:rsidP="00AA6F87">
      <w:pPr>
        <w:pStyle w:val="ListBullet2"/>
      </w:pPr>
      <w:r>
        <w:t>Alcohol and drug-related services</w:t>
      </w:r>
      <w:r w:rsidR="000855E9">
        <w:t>.</w:t>
      </w:r>
    </w:p>
    <w:p w14:paraId="13543794" w14:textId="77777777" w:rsidR="00DF0482" w:rsidRDefault="000855E9" w:rsidP="00AA6F87">
      <w:pPr>
        <w:pStyle w:val="BodyText1stparaafterlist"/>
      </w:pPr>
      <w:r>
        <w:t>It is</w:t>
      </w:r>
      <w:r w:rsidR="00DF0482">
        <w:t xml:space="preserve"> noted that despite being diligently analysed and exhaustively searched, this strategy may lead to the omission of a small amount of data from the findings. </w:t>
      </w:r>
    </w:p>
    <w:p w14:paraId="20E4DE31" w14:textId="77777777" w:rsidR="00DF0482" w:rsidRDefault="00DF0482" w:rsidP="006401AA">
      <w:pPr>
        <w:pStyle w:val="HeadingLevel3NoNumber"/>
      </w:pPr>
      <w:r>
        <w:t>Indigenous service provider tagging</w:t>
      </w:r>
    </w:p>
    <w:p w14:paraId="072CC4D6" w14:textId="77777777" w:rsidR="00DF0482" w:rsidRDefault="00DF0482" w:rsidP="00AA6F87">
      <w:pPr>
        <w:pStyle w:val="BodyText"/>
        <w:rPr>
          <w:b/>
        </w:rPr>
      </w:pPr>
      <w:r>
        <w:t>It was assumed that data relating to the tagging of an organisation as an ACCHO or AMS was correct, except in the following circumstances:</w:t>
      </w:r>
    </w:p>
    <w:p w14:paraId="5B8800B6" w14:textId="77777777" w:rsidR="00DF0482" w:rsidRDefault="00DF0482" w:rsidP="00AA6F87">
      <w:pPr>
        <w:pStyle w:val="ListBullet2"/>
        <w:rPr>
          <w:b/>
        </w:rPr>
      </w:pPr>
      <w:r>
        <w:t>Blank cells were manually updated based on identifying organisations with ‘Aboriginal’ or ‘Indigenous’ in their name.</w:t>
      </w:r>
    </w:p>
    <w:p w14:paraId="0B901E16" w14:textId="77777777" w:rsidR="00DF0482" w:rsidRDefault="00DF0482" w:rsidP="00AA6F87">
      <w:pPr>
        <w:pStyle w:val="ListBullet2"/>
      </w:pPr>
      <w:r>
        <w:t xml:space="preserve">For rows where the ACCHO/AMS cell was labelled as ‘No’, a manual search was undertaken to identify organisations with ‘Aboriginal’ or ‘Indigenous’ in their service name and relabelled as ‘Yes’. </w:t>
      </w:r>
    </w:p>
    <w:p w14:paraId="32DEEEE9" w14:textId="77777777" w:rsidR="00DF0482" w:rsidRDefault="00C44EB9" w:rsidP="00AA6F87">
      <w:pPr>
        <w:pStyle w:val="ListBullet2"/>
        <w:rPr>
          <w:i/>
        </w:rPr>
      </w:pPr>
      <w:r>
        <w:t>Several</w:t>
      </w:r>
      <w:r w:rsidR="00DF0482">
        <w:t xml:space="preserve"> services were categorised as ‘No’ but do not have the search terms ‘Aboriginal’ or ‘Indigenous’ in their name. Despite best efforts, there may be some situations where Indigenous service providers have not been identified (for example Dardi Munwurro Pty Ltd.).</w:t>
      </w:r>
    </w:p>
    <w:p w14:paraId="2D802DF9" w14:textId="77777777" w:rsidR="00DF0482" w:rsidRPr="00DD4E74" w:rsidRDefault="00DF0482" w:rsidP="00AA6F87">
      <w:pPr>
        <w:pStyle w:val="ListBullet2"/>
      </w:pPr>
      <w:r>
        <w:t xml:space="preserve">Within the </w:t>
      </w:r>
      <w:r w:rsidRPr="00B74413">
        <w:rPr>
          <w:bCs/>
        </w:rPr>
        <w:t>ACCHO/AMS</w:t>
      </w:r>
      <w:r>
        <w:rPr>
          <w:b/>
        </w:rPr>
        <w:t xml:space="preserve"> </w:t>
      </w:r>
      <w:r>
        <w:t xml:space="preserve">field, all Aboriginal and/or Torres Strait Islander organisations, such as land councils and SEWB providers, </w:t>
      </w:r>
      <w:r w:rsidRPr="00B74413">
        <w:rPr>
          <w:bCs/>
        </w:rPr>
        <w:t>were included</w:t>
      </w:r>
      <w:r w:rsidRPr="000855E9">
        <w:rPr>
          <w:bCs/>
        </w:rPr>
        <w:t>.</w:t>
      </w:r>
      <w:r>
        <w:rPr>
          <w:b/>
        </w:rPr>
        <w:t xml:space="preserve"> </w:t>
      </w:r>
      <w:r>
        <w:t>These organisations are referred to as Indigenous service providers.</w:t>
      </w:r>
    </w:p>
    <w:bookmarkEnd w:id="529"/>
    <w:bookmarkEnd w:id="535"/>
    <w:p w14:paraId="29706E51" w14:textId="77777777" w:rsidR="00681A01" w:rsidRDefault="00681A01">
      <w:pPr>
        <w:rPr>
          <w:rFonts w:asciiTheme="majorHAnsi" w:eastAsiaTheme="majorEastAsia" w:hAnsiTheme="majorHAnsi" w:cs="Arial (Headings CS)"/>
          <w:b/>
          <w:bCs/>
          <w:sz w:val="40"/>
          <w:lang w:eastAsia="en-US" w:bidi="en-US"/>
        </w:rPr>
      </w:pPr>
      <w:r>
        <w:br w:type="page"/>
      </w:r>
    </w:p>
    <w:p w14:paraId="5944F07E" w14:textId="454709E2" w:rsidR="00681A01" w:rsidRDefault="00681A01" w:rsidP="001611E1">
      <w:pPr>
        <w:pStyle w:val="Heading1App"/>
      </w:pPr>
      <w:bookmarkStart w:id="539" w:name="App11_notitle"/>
      <w:bookmarkStart w:id="540" w:name="App11_withtitle"/>
      <w:bookmarkStart w:id="541" w:name="_Toc156932022"/>
      <w:r w:rsidRPr="00B65F7F">
        <w:t xml:space="preserve">Appendix </w:t>
      </w:r>
      <w:r w:rsidR="00AD2A40">
        <w:t>11</w:t>
      </w:r>
      <w:bookmarkEnd w:id="539"/>
      <w:r w:rsidR="006C172C">
        <w:t xml:space="preserve"> –</w:t>
      </w:r>
      <w:r w:rsidRPr="00B65F7F">
        <w:t xml:space="preserve"> </w:t>
      </w:r>
      <w:r w:rsidRPr="00681A01">
        <w:t>Framework for the Early Adopter Period</w:t>
      </w:r>
      <w:bookmarkEnd w:id="540"/>
      <w:bookmarkEnd w:id="541"/>
    </w:p>
    <w:p w14:paraId="44CAEE29" w14:textId="77777777" w:rsidR="007315DF" w:rsidRDefault="00681A01" w:rsidP="00AA6F87">
      <w:pPr>
        <w:pStyle w:val="BodyText"/>
      </w:pPr>
      <w:r>
        <w:t xml:space="preserve">The following framework provides additional details on the process of implementing the Early Adopter Period </w:t>
      </w:r>
      <w:r w:rsidR="00413FC9">
        <w:t xml:space="preserve">(EAP) </w:t>
      </w:r>
      <w:r>
        <w:t>(Phase</w:t>
      </w:r>
      <w:r w:rsidR="007D5461">
        <w:t>s</w:t>
      </w:r>
      <w:r>
        <w:t xml:space="preserve"> </w:t>
      </w:r>
      <w:r w:rsidR="00173776">
        <w:t>2</w:t>
      </w:r>
      <w:r>
        <w:t xml:space="preserve"> and </w:t>
      </w:r>
      <w:r w:rsidR="00173776">
        <w:t>3</w:t>
      </w:r>
      <w:r>
        <w:t xml:space="preserve"> of the Transformation Roadmap)</w:t>
      </w:r>
      <w:r w:rsidR="007315DF">
        <w:t xml:space="preserve">. This framework includes structure and advice on: </w:t>
      </w:r>
    </w:p>
    <w:p w14:paraId="381F7350" w14:textId="77777777" w:rsidR="007315DF" w:rsidRPr="008D4D5D" w:rsidRDefault="007315DF" w:rsidP="003B07D3">
      <w:pPr>
        <w:pStyle w:val="List1"/>
        <w:numPr>
          <w:ilvl w:val="0"/>
          <w:numId w:val="30"/>
        </w:numPr>
      </w:pPr>
      <w:r w:rsidRPr="008D4D5D">
        <w:t>Who can be an early adopter</w:t>
      </w:r>
    </w:p>
    <w:p w14:paraId="2997846D" w14:textId="77777777" w:rsidR="007315DF" w:rsidRPr="008D4D5D" w:rsidRDefault="007315DF" w:rsidP="003B07D3">
      <w:pPr>
        <w:pStyle w:val="List1"/>
        <w:numPr>
          <w:ilvl w:val="0"/>
          <w:numId w:val="30"/>
        </w:numPr>
      </w:pPr>
      <w:r w:rsidRPr="008D4D5D">
        <w:t>Example criteria for selecting early adopters</w:t>
      </w:r>
    </w:p>
    <w:p w14:paraId="34C02490" w14:textId="77777777" w:rsidR="007315DF" w:rsidRPr="008D4D5D" w:rsidRDefault="007315DF" w:rsidP="003B07D3">
      <w:pPr>
        <w:pStyle w:val="List1"/>
        <w:numPr>
          <w:ilvl w:val="0"/>
          <w:numId w:val="30"/>
        </w:numPr>
      </w:pPr>
      <w:r w:rsidRPr="008D4D5D">
        <w:t>Potential organisation to target in the EOI process</w:t>
      </w:r>
    </w:p>
    <w:p w14:paraId="4A476F6B" w14:textId="77777777" w:rsidR="007315DF" w:rsidRPr="008D4D5D" w:rsidRDefault="007315DF" w:rsidP="003B07D3">
      <w:pPr>
        <w:pStyle w:val="List1"/>
        <w:numPr>
          <w:ilvl w:val="0"/>
          <w:numId w:val="30"/>
        </w:numPr>
      </w:pPr>
      <w:r w:rsidRPr="008D4D5D">
        <w:t xml:space="preserve">Formative </w:t>
      </w:r>
      <w:r w:rsidR="00F27827" w:rsidRPr="008D4D5D">
        <w:t>e</w:t>
      </w:r>
      <w:r w:rsidRPr="008D4D5D">
        <w:t xml:space="preserve">valuation </w:t>
      </w:r>
      <w:r w:rsidR="00F27827" w:rsidRPr="008D4D5D">
        <w:t>k</w:t>
      </w:r>
      <w:r w:rsidRPr="008D4D5D">
        <w:t xml:space="preserve">ey </w:t>
      </w:r>
      <w:r w:rsidR="00F27827" w:rsidRPr="008D4D5D">
        <w:t>l</w:t>
      </w:r>
      <w:r w:rsidRPr="008D4D5D">
        <w:t xml:space="preserve">ines of </w:t>
      </w:r>
      <w:r w:rsidR="00F27827" w:rsidRPr="008D4D5D">
        <w:t>e</w:t>
      </w:r>
      <w:r w:rsidRPr="008D4D5D">
        <w:t>nquiry</w:t>
      </w:r>
      <w:r w:rsidR="00F27827" w:rsidRPr="008D4D5D">
        <w:t>.</w:t>
      </w:r>
      <w:r w:rsidRPr="008D4D5D">
        <w:t xml:space="preserve"> </w:t>
      </w:r>
    </w:p>
    <w:p w14:paraId="318A442C" w14:textId="77777777" w:rsidR="007315DF" w:rsidRPr="008D25BF" w:rsidRDefault="004C1AF3" w:rsidP="006734AE">
      <w:pPr>
        <w:pStyle w:val="HeadingLevel2NoNumber"/>
      </w:pPr>
      <w:r>
        <w:t xml:space="preserve">A11.1 </w:t>
      </w:r>
      <w:r w:rsidR="007315DF" w:rsidRPr="008D25BF">
        <w:t>Who can be an early adopter </w:t>
      </w:r>
    </w:p>
    <w:p w14:paraId="20661FD5" w14:textId="77777777" w:rsidR="007315DF" w:rsidRPr="008D25BF" w:rsidRDefault="007315DF" w:rsidP="00AA6F87">
      <w:pPr>
        <w:pStyle w:val="BodyText"/>
      </w:pPr>
      <w:r w:rsidRPr="008D25BF">
        <w:t xml:space="preserve">An early adopter can be any Indigenous organisation that would be considered </w:t>
      </w:r>
      <w:r w:rsidR="00F05FC6">
        <w:t xml:space="preserve">able to </w:t>
      </w:r>
      <w:r w:rsidRPr="008D25BF">
        <w:t>assume the role of the funding body and administer the Relevant Health Programs in:</w:t>
      </w:r>
    </w:p>
    <w:p w14:paraId="08DFEBAD" w14:textId="77777777" w:rsidR="007315DF" w:rsidRPr="008D25BF" w:rsidRDefault="007315DF" w:rsidP="00565D16">
      <w:pPr>
        <w:pStyle w:val="ListBullet2"/>
      </w:pPr>
      <w:r w:rsidRPr="008D25BF">
        <w:rPr>
          <w:b/>
          <w:bCs/>
        </w:rPr>
        <w:t xml:space="preserve">Arrangement A1 – State/territory model: </w:t>
      </w:r>
      <w:r w:rsidRPr="008D25BF">
        <w:t>Aboriginal and/or Torres Strait Islander community-controlled bodies such as:</w:t>
      </w:r>
    </w:p>
    <w:p w14:paraId="1160EF4B" w14:textId="77777777" w:rsidR="007315DF" w:rsidRPr="008D25BF" w:rsidRDefault="00F05FC6" w:rsidP="00565D16">
      <w:pPr>
        <w:pStyle w:val="ListBullet3"/>
      </w:pPr>
      <w:r>
        <w:t>s</w:t>
      </w:r>
      <w:r w:rsidR="007315DF" w:rsidRPr="008D25BF">
        <w:t>tate and territory NACCHO affiliates </w:t>
      </w:r>
    </w:p>
    <w:p w14:paraId="4EC8C080" w14:textId="77777777" w:rsidR="007315DF" w:rsidRPr="008D25BF" w:rsidRDefault="00F05FC6" w:rsidP="00565D16">
      <w:pPr>
        <w:pStyle w:val="ListBullet3"/>
      </w:pPr>
      <w:r>
        <w:t>o</w:t>
      </w:r>
      <w:r w:rsidR="007315DF" w:rsidRPr="008D25BF">
        <w:t>ther established state or territory-level Aboriginal and/or Torres Strait Islander community-controlled organisations</w:t>
      </w:r>
    </w:p>
    <w:p w14:paraId="068DC772" w14:textId="77777777" w:rsidR="007315DF" w:rsidRPr="008D25BF" w:rsidRDefault="00F05FC6" w:rsidP="00565D16">
      <w:pPr>
        <w:pStyle w:val="ListBullet3"/>
      </w:pPr>
      <w:r>
        <w:t>n</w:t>
      </w:r>
      <w:r w:rsidR="007315DF" w:rsidRPr="008D25BF">
        <w:t>ewly developed (or in the process of forming) state or territory-level Aboriginal and/or Torres Strait Islander community-controlled</w:t>
      </w:r>
      <w:r>
        <w:t xml:space="preserve"> organisations.</w:t>
      </w:r>
    </w:p>
    <w:p w14:paraId="082904D5" w14:textId="77777777" w:rsidR="007315DF" w:rsidRPr="008D25BF" w:rsidRDefault="007315DF" w:rsidP="00565D16">
      <w:pPr>
        <w:pStyle w:val="ListBullet2"/>
      </w:pPr>
      <w:r w:rsidRPr="008D25BF">
        <w:rPr>
          <w:b/>
          <w:bCs/>
        </w:rPr>
        <w:t xml:space="preserve">Arrangement A2 – Regional model: </w:t>
      </w:r>
      <w:r w:rsidRPr="008D25BF">
        <w:t>Aboriginal and/or Torres Strait Islander community-controlled bodies such as:</w:t>
      </w:r>
    </w:p>
    <w:p w14:paraId="28AB1D7F" w14:textId="77777777" w:rsidR="007315DF" w:rsidRPr="008D25BF" w:rsidRDefault="00F05FC6" w:rsidP="00565D16">
      <w:pPr>
        <w:pStyle w:val="ListBullet3"/>
      </w:pPr>
      <w:r>
        <w:t>a</w:t>
      </w:r>
      <w:r w:rsidR="007315DF" w:rsidRPr="008D25BF">
        <w:t>n established regional body, organisation, alliance or consortium</w:t>
      </w:r>
    </w:p>
    <w:p w14:paraId="47975ADE" w14:textId="77777777" w:rsidR="007315DF" w:rsidRPr="008D25BF" w:rsidRDefault="00F05FC6" w:rsidP="00565D16">
      <w:pPr>
        <w:pStyle w:val="ListBullet3"/>
      </w:pPr>
      <w:r>
        <w:t>a</w:t>
      </w:r>
      <w:r w:rsidR="007315DF" w:rsidRPr="008D25BF">
        <w:t xml:space="preserve"> newly developed (or in the process of forming) regional body, organisation, alliance or consortium</w:t>
      </w:r>
      <w:r>
        <w:t>.</w:t>
      </w:r>
    </w:p>
    <w:p w14:paraId="1485C64D" w14:textId="77777777" w:rsidR="007315DF" w:rsidRPr="008D25BF" w:rsidRDefault="007315DF" w:rsidP="00565D16">
      <w:pPr>
        <w:pStyle w:val="ListBullet2"/>
      </w:pPr>
      <w:r w:rsidRPr="008D25BF">
        <w:rPr>
          <w:b/>
          <w:bCs/>
        </w:rPr>
        <w:t>Arrangement C – National model:</w:t>
      </w:r>
      <w:r w:rsidRPr="008D25BF">
        <w:t xml:space="preserve"> NACCHO to administer the Relevant Health Programs as the funding body.</w:t>
      </w:r>
    </w:p>
    <w:p w14:paraId="6B152EAB" w14:textId="725DE4CB" w:rsidR="007315DF" w:rsidRDefault="00F05FC6" w:rsidP="00565D16">
      <w:pPr>
        <w:pStyle w:val="BodyText1stparaafterlist"/>
      </w:pPr>
      <w:r>
        <w:t>T</w:t>
      </w:r>
      <w:r w:rsidR="003C1AD9">
        <w:t xml:space="preserve">he </w:t>
      </w:r>
      <w:r>
        <w:t>R</w:t>
      </w:r>
      <w:r w:rsidR="003C1AD9">
        <w:t>eview identified that the</w:t>
      </w:r>
      <w:r w:rsidR="007315DF" w:rsidRPr="008D25BF">
        <w:t xml:space="preserve"> recommended </w:t>
      </w:r>
      <w:r w:rsidR="00FD62FF">
        <w:t xml:space="preserve">future-state </w:t>
      </w:r>
      <w:r w:rsidR="007315DF" w:rsidRPr="008D25BF">
        <w:t xml:space="preserve">funding arrangements </w:t>
      </w:r>
      <w:r w:rsidR="003C1AD9">
        <w:t>are</w:t>
      </w:r>
      <w:r w:rsidR="007315DF" w:rsidRPr="008D25BF">
        <w:t xml:space="preserve"> Arrangement A1 and/or Arrangement A2 only. However, during the validation and refinement of the report and recommendations, the Review Team, in collaboration with </w:t>
      </w:r>
      <w:r>
        <w:t>DoHAC</w:t>
      </w:r>
      <w:r w:rsidR="007315DF" w:rsidRPr="008D25BF">
        <w:t xml:space="preserve">, agreed that Arrangement C could be considered as part of the </w:t>
      </w:r>
      <w:r w:rsidR="00413FC9">
        <w:t>EAP</w:t>
      </w:r>
      <w:r w:rsidR="007315DF" w:rsidRPr="008D25BF">
        <w:t>.</w:t>
      </w:r>
      <w:r w:rsidR="00A9038D">
        <w:t xml:space="preserve"> The way </w:t>
      </w:r>
      <w:r w:rsidR="00B060C5">
        <w:t>that</w:t>
      </w:r>
      <w:r w:rsidR="00A9038D">
        <w:t xml:space="preserve"> Arrangements A1, A2 and C could </w:t>
      </w:r>
      <w:r w:rsidR="00723E9A">
        <w:t xml:space="preserve">be considered alongside </w:t>
      </w:r>
      <w:r w:rsidR="00B060C5">
        <w:t xml:space="preserve">each </w:t>
      </w:r>
      <w:r w:rsidR="00723E9A">
        <w:t>other as part of</w:t>
      </w:r>
      <w:r w:rsidR="00A9038D">
        <w:t xml:space="preserve"> the EAP is considered further in </w:t>
      </w:r>
      <w:r w:rsidR="009C3202">
        <w:fldChar w:fldCharType="begin"/>
      </w:r>
      <w:r w:rsidR="009C3202">
        <w:instrText xml:space="preserve"> REF _Ref156659127 \h </w:instrText>
      </w:r>
      <w:r w:rsidR="009C3202">
        <w:fldChar w:fldCharType="separate"/>
      </w:r>
      <w:r w:rsidR="00934D5E">
        <w:t>Box A11.</w:t>
      </w:r>
      <w:r w:rsidR="00934D5E">
        <w:rPr>
          <w:noProof/>
        </w:rPr>
        <w:t>1</w:t>
      </w:r>
      <w:r w:rsidR="009C3202">
        <w:fldChar w:fldCharType="end"/>
      </w:r>
      <w:r w:rsidR="00A9038D">
        <w:t xml:space="preserve"> below. </w:t>
      </w:r>
    </w:p>
    <w:p w14:paraId="26AC46E4" w14:textId="2297E07B" w:rsidR="00A9038D" w:rsidRPr="00B65F7F" w:rsidRDefault="009C3202" w:rsidP="009C3202">
      <w:pPr>
        <w:pStyle w:val="CaptionBox"/>
      </w:pPr>
      <w:bookmarkStart w:id="542" w:name="_Ref156659127"/>
      <w:bookmarkStart w:id="543" w:name="_Toc156932070"/>
      <w:r>
        <w:t>Box A11.</w:t>
      </w:r>
      <w:r>
        <w:fldChar w:fldCharType="begin"/>
      </w:r>
      <w:r>
        <w:instrText xml:space="preserve"> SEQ Box_A11. \* ARABIC </w:instrText>
      </w:r>
      <w:r>
        <w:fldChar w:fldCharType="separate"/>
      </w:r>
      <w:r w:rsidR="00934D5E">
        <w:rPr>
          <w:noProof/>
        </w:rPr>
        <w:t>1</w:t>
      </w:r>
      <w:r>
        <w:fldChar w:fldCharType="end"/>
      </w:r>
      <w:bookmarkEnd w:id="542"/>
      <w:r>
        <w:t xml:space="preserve">: </w:t>
      </w:r>
      <w:r w:rsidR="0027342E">
        <w:t>Testing arrangements A1, A2 and C during the EAP</w:t>
      </w:r>
      <w:bookmarkEnd w:id="543"/>
    </w:p>
    <w:tbl>
      <w:tblPr>
        <w:tblStyle w:val="NintiBox"/>
        <w:tblW w:w="0" w:type="auto"/>
        <w:tblLayout w:type="fixed"/>
        <w:tblCellMar>
          <w:bottom w:w="170" w:type="dxa"/>
        </w:tblCellMar>
        <w:tblLook w:val="04A0" w:firstRow="1" w:lastRow="0" w:firstColumn="1" w:lastColumn="0" w:noHBand="0" w:noVBand="1"/>
      </w:tblPr>
      <w:tblGrid>
        <w:gridCol w:w="9633"/>
      </w:tblGrid>
      <w:tr w:rsidR="00A9038D" w:rsidRPr="00B65F7F" w14:paraId="69F55F0F" w14:textId="77777777" w:rsidTr="005A3343">
        <w:trPr>
          <w:trHeight w:val="104"/>
        </w:trPr>
        <w:tc>
          <w:tcPr>
            <w:tcW w:w="9633" w:type="dxa"/>
          </w:tcPr>
          <w:p w14:paraId="3A285A8A" w14:textId="6AFDB9E4" w:rsidR="00756D0A" w:rsidRDefault="00A9038D" w:rsidP="00565D16">
            <w:pPr>
              <w:pStyle w:val="BodyText"/>
            </w:pPr>
            <w:r>
              <w:t xml:space="preserve">For Arrangement C to operate alongside Arrangements A1 and A2 </w:t>
            </w:r>
            <w:r w:rsidR="00F43CC7">
              <w:t xml:space="preserve">in the EAP, </w:t>
            </w:r>
            <w:r w:rsidR="0027342E">
              <w:t xml:space="preserve">it will be critical that </w:t>
            </w:r>
            <w:r w:rsidR="006F325F">
              <w:t>each</w:t>
            </w:r>
            <w:r w:rsidR="0027342E">
              <w:t xml:space="preserve"> arrangement</w:t>
            </w:r>
            <w:r w:rsidR="00756D0A">
              <w:t xml:space="preserve"> can be delivered, tested and evaluated independent</w:t>
            </w:r>
            <w:r w:rsidR="006F325F">
              <w:t>ly</w:t>
            </w:r>
            <w:r w:rsidR="00756D0A">
              <w:t xml:space="preserve"> of </w:t>
            </w:r>
            <w:r w:rsidR="00B060C5">
              <w:t>the</w:t>
            </w:r>
            <w:r w:rsidR="00756D0A">
              <w:t xml:space="preserve"> other</w:t>
            </w:r>
            <w:r w:rsidR="00B060C5">
              <w:t>s</w:t>
            </w:r>
            <w:r w:rsidR="00756D0A">
              <w:t>. For this to occur, the most important consideration is that each arrangement is geographically distinct.</w:t>
            </w:r>
          </w:p>
          <w:p w14:paraId="39264570" w14:textId="77777777" w:rsidR="006F325F" w:rsidRDefault="00756D0A" w:rsidP="00565D16">
            <w:pPr>
              <w:pStyle w:val="BodyText"/>
            </w:pPr>
            <w:r>
              <w:t xml:space="preserve">To </w:t>
            </w:r>
            <w:r w:rsidR="00A9038D">
              <w:t xml:space="preserve">avoid any geographic overlap between </w:t>
            </w:r>
            <w:r w:rsidR="006F325F">
              <w:t xml:space="preserve">the arrangements, the NTCO </w:t>
            </w:r>
            <w:r w:rsidR="00A17FE6">
              <w:t>will</w:t>
            </w:r>
            <w:r w:rsidR="006F325F">
              <w:t xml:space="preserve"> be responsible for defining the organisations to be selected to participate in the EAP and the arrangements (i.e. A1, A2 or C) that each organisation will operate according to. In doing so, the NTCO will need to ensure that the geographic footprint of each participating EAP organisation is distinct. </w:t>
            </w:r>
          </w:p>
          <w:p w14:paraId="0C42A358" w14:textId="53781A95" w:rsidR="00791CDE" w:rsidRDefault="006F325F" w:rsidP="00565D16">
            <w:pPr>
              <w:pStyle w:val="BodyText"/>
            </w:pPr>
            <w:r>
              <w:t xml:space="preserve">For organisations </w:t>
            </w:r>
            <w:r w:rsidR="0064221D">
              <w:t xml:space="preserve">operating </w:t>
            </w:r>
            <w:r w:rsidR="00791CDE">
              <w:t>in line with</w:t>
            </w:r>
            <w:r w:rsidR="0064221D">
              <w:t xml:space="preserve"> Arrangements A1 and A2, determining the geographic footprint is relatively simple</w:t>
            </w:r>
            <w:r w:rsidR="00B060C5">
              <w:t>,</w:t>
            </w:r>
            <w:r w:rsidR="0064221D">
              <w:t xml:space="preserve"> because </w:t>
            </w:r>
            <w:r w:rsidR="00B060C5">
              <w:t>it</w:t>
            </w:r>
            <w:r w:rsidR="0064221D">
              <w:t xml:space="preserve"> will cover either an entire state or territory (under Arrangement A1) or a defined region (under Arrangement A2). However, with Arrangement C, this becomes slightly more challenging, as Arrangement C does not have a prescribed geographic footprint. </w:t>
            </w:r>
          </w:p>
          <w:p w14:paraId="73812FA5" w14:textId="41A0B360" w:rsidR="006F325F" w:rsidRDefault="00FF6FDB" w:rsidP="00565D16">
            <w:pPr>
              <w:pStyle w:val="BodyText"/>
            </w:pPr>
            <w:r>
              <w:t>To ensure there is no geographic overlap between Arrangement C and Arrangements A1 and A2, the NTCO will</w:t>
            </w:r>
            <w:r w:rsidR="00155E73">
              <w:t xml:space="preserve">, therefore, need </w:t>
            </w:r>
            <w:r w:rsidR="00B060C5">
              <w:t xml:space="preserve">first </w:t>
            </w:r>
            <w:r w:rsidR="00155E73">
              <w:t>to determine the geographic footprints of</w:t>
            </w:r>
            <w:r>
              <w:t xml:space="preserve"> the organisations operating under Arrangements A1 and A2. Having done so, the NTCO will then be able to determine the geographies in which Arrangement C </w:t>
            </w:r>
            <w:r w:rsidR="00791CDE" w:rsidRPr="00791CDE">
              <w:rPr>
                <w:i/>
                <w:iCs/>
              </w:rPr>
              <w:t>must not</w:t>
            </w:r>
            <w:r>
              <w:t xml:space="preserve"> operate within during the EAP. An example of how this may work in practice is described below. </w:t>
            </w:r>
          </w:p>
          <w:p w14:paraId="3E0DD47D" w14:textId="6761FBA2" w:rsidR="00A9038D" w:rsidRPr="00565D16" w:rsidRDefault="00FF6FDB" w:rsidP="00565D16">
            <w:pPr>
              <w:pStyle w:val="BodyText"/>
              <w:rPr>
                <w:b/>
                <w:bCs/>
              </w:rPr>
            </w:pPr>
            <w:r w:rsidRPr="00565D16">
              <w:rPr>
                <w:b/>
                <w:bCs/>
              </w:rPr>
              <w:t xml:space="preserve">Example </w:t>
            </w:r>
            <w:r w:rsidR="008D4D5D">
              <w:rPr>
                <w:b/>
                <w:bCs/>
              </w:rPr>
              <w:t>a</w:t>
            </w:r>
            <w:r w:rsidRPr="00565D16">
              <w:rPr>
                <w:b/>
                <w:bCs/>
              </w:rPr>
              <w:t>rrangements under the EAP</w:t>
            </w:r>
          </w:p>
          <w:p w14:paraId="339D8984" w14:textId="77777777" w:rsidR="00FF6FDB" w:rsidRDefault="004551C9" w:rsidP="00565D16">
            <w:pPr>
              <w:pStyle w:val="BodyText"/>
            </w:pPr>
            <w:r>
              <w:t>Having followed the process to select organisations for the EAP, the NTCO identifies that the following organisations should be included in the EAP to trial Arrangements A1 and A2:</w:t>
            </w:r>
          </w:p>
          <w:p w14:paraId="3DB15915" w14:textId="77777777" w:rsidR="004551C9" w:rsidRDefault="004551C9" w:rsidP="00565D16">
            <w:pPr>
              <w:pStyle w:val="ListBullet2"/>
            </w:pPr>
            <w:r>
              <w:t>Aboriginal Health Council of Western Australia – for the entire state of Western Australia (Arrangement A1)</w:t>
            </w:r>
          </w:p>
          <w:p w14:paraId="57B34315" w14:textId="4D0E3D45" w:rsidR="004551C9" w:rsidRDefault="004551C9" w:rsidP="00565D16">
            <w:pPr>
              <w:pStyle w:val="ListBullet2"/>
            </w:pPr>
            <w:r w:rsidRPr="008D25BF">
              <w:t xml:space="preserve">The Institute for Urban Indigenous </w:t>
            </w:r>
            <w:r w:rsidR="00791CDE" w:rsidRPr="008D25BF">
              <w:t>Health</w:t>
            </w:r>
            <w:r w:rsidR="00791CDE">
              <w:t xml:space="preserve"> –</w:t>
            </w:r>
            <w:r>
              <w:t xml:space="preserve"> for </w:t>
            </w:r>
            <w:r w:rsidR="00791CDE">
              <w:t>the</w:t>
            </w:r>
            <w:r>
              <w:t xml:space="preserve"> South East Queensland</w:t>
            </w:r>
            <w:r w:rsidRPr="008D25BF">
              <w:t xml:space="preserve"> </w:t>
            </w:r>
            <w:r w:rsidR="00791CDE">
              <w:t xml:space="preserve">region </w:t>
            </w:r>
            <w:r>
              <w:t>(Arrangement</w:t>
            </w:r>
            <w:r w:rsidR="00B060C5">
              <w:t> </w:t>
            </w:r>
            <w:r>
              <w:t>A2)</w:t>
            </w:r>
          </w:p>
          <w:p w14:paraId="13216F46" w14:textId="3CFFE8C8" w:rsidR="004551C9" w:rsidRDefault="004551C9" w:rsidP="00565D16">
            <w:pPr>
              <w:pStyle w:val="ListBullet2"/>
            </w:pPr>
            <w:r w:rsidRPr="008D25BF">
              <w:t>Nukal Murra Alliance</w:t>
            </w:r>
            <w:r>
              <w:t xml:space="preserve"> – for the Western Queensland</w:t>
            </w:r>
            <w:r w:rsidR="00791CDE">
              <w:t xml:space="preserve"> region</w:t>
            </w:r>
            <w:r>
              <w:t xml:space="preserve"> (Arrangement A2)</w:t>
            </w:r>
            <w:r w:rsidR="00B060C5">
              <w:t>.</w:t>
            </w:r>
          </w:p>
          <w:p w14:paraId="04B68076" w14:textId="77777777" w:rsidR="004551C9" w:rsidRDefault="004551C9" w:rsidP="00B060C5">
            <w:pPr>
              <w:pStyle w:val="BodyText1stparaafterlist"/>
            </w:pPr>
            <w:r>
              <w:t xml:space="preserve">With the above arrangement confirmed, the NTCO </w:t>
            </w:r>
            <w:r w:rsidR="00155E73">
              <w:t>may</w:t>
            </w:r>
            <w:r>
              <w:t xml:space="preserve"> then select NACCHO to administer Arrangement C in any geographies other than those covered by the organisations listed above. This will allow, for example, NACCHO to engage relevant organisations operating in the Northern Territory, South Australia and Victoria to participate in </w:t>
            </w:r>
            <w:r w:rsidR="00AA109F">
              <w:t>Arrangement C.</w:t>
            </w:r>
          </w:p>
          <w:p w14:paraId="686AF2E6" w14:textId="0CD5BD71" w:rsidR="00AA109F" w:rsidRPr="00FF6FDB" w:rsidRDefault="00AA109F" w:rsidP="00565D16">
            <w:pPr>
              <w:pStyle w:val="BodyText"/>
            </w:pPr>
            <w:r>
              <w:t>While several other scenarios may allow for the effective co-existence of Arrangements A1, A2 and C</w:t>
            </w:r>
            <w:r w:rsidR="00791CDE">
              <w:t xml:space="preserve"> during the EAP</w:t>
            </w:r>
            <w:r>
              <w:t xml:space="preserve">, the example provided demonstrates the responsibility of the NTCO to effectively manage the organisations participating in the EAP, the respective arrangements they will operate </w:t>
            </w:r>
            <w:r w:rsidR="00A00940">
              <w:t>in line with</w:t>
            </w:r>
            <w:r>
              <w:t xml:space="preserve"> and the geographic footprint of each organisation.  </w:t>
            </w:r>
          </w:p>
        </w:tc>
      </w:tr>
    </w:tbl>
    <w:p w14:paraId="054CA5CF" w14:textId="77777777" w:rsidR="00A9038D" w:rsidRPr="008D25BF" w:rsidRDefault="00A9038D" w:rsidP="00292E56">
      <w:pPr>
        <w:pStyle w:val="BodyText"/>
      </w:pPr>
    </w:p>
    <w:p w14:paraId="6881A421" w14:textId="77777777" w:rsidR="007315DF" w:rsidRPr="008D25BF" w:rsidRDefault="004C1AF3" w:rsidP="006734AE">
      <w:pPr>
        <w:pStyle w:val="HeadingLevel2NoNumber"/>
      </w:pPr>
      <w:r>
        <w:t xml:space="preserve">A11.2 </w:t>
      </w:r>
      <w:r w:rsidR="007315DF" w:rsidRPr="008D25BF">
        <w:t xml:space="preserve">Example </w:t>
      </w:r>
      <w:r w:rsidR="00F05FC6">
        <w:t>c</w:t>
      </w:r>
      <w:r w:rsidR="007315DF" w:rsidRPr="008D25BF">
        <w:t>riteria</w:t>
      </w:r>
    </w:p>
    <w:p w14:paraId="50826D17" w14:textId="77777777" w:rsidR="0041452D" w:rsidRDefault="007315DF" w:rsidP="00565D16">
      <w:pPr>
        <w:pStyle w:val="BodyText"/>
      </w:pPr>
      <w:r w:rsidRPr="008D25BF">
        <w:t xml:space="preserve">When submitting EOIs, organisations must be able to demonstrate their ability to meet, uphold or work towards the ‘principles and enablers of future funding arrangements’. </w:t>
      </w:r>
    </w:p>
    <w:p w14:paraId="369FE2CC" w14:textId="77777777" w:rsidR="007315DF" w:rsidRPr="008D25BF" w:rsidRDefault="007315DF" w:rsidP="00565D16">
      <w:pPr>
        <w:pStyle w:val="BodyText"/>
      </w:pPr>
      <w:r w:rsidRPr="008D25BF">
        <w:t>The criteria to assess each organisation</w:t>
      </w:r>
      <w:r w:rsidR="00F05FC6">
        <w:t>’</w:t>
      </w:r>
      <w:r w:rsidRPr="008D25BF">
        <w:t>s ability to be an early adopter may include some of the following considerations:</w:t>
      </w:r>
    </w:p>
    <w:p w14:paraId="2ECC84FA" w14:textId="77777777" w:rsidR="007315DF" w:rsidRPr="008D25BF" w:rsidRDefault="007315DF" w:rsidP="00565D16">
      <w:pPr>
        <w:pStyle w:val="ListBullet2"/>
      </w:pPr>
      <w:r w:rsidRPr="008D25BF">
        <w:rPr>
          <w:b/>
          <w:bCs/>
        </w:rPr>
        <w:t>Willingness and capacity to lead the transition:</w:t>
      </w:r>
      <w:r w:rsidRPr="008D25BF">
        <w:t xml:space="preserve"> The organisation should be willing and able to take on a leadership role in the transition.</w:t>
      </w:r>
    </w:p>
    <w:p w14:paraId="77162EA1" w14:textId="77777777" w:rsidR="007315DF" w:rsidRPr="008D25BF" w:rsidRDefault="007315DF" w:rsidP="00565D16">
      <w:pPr>
        <w:pStyle w:val="ListBullet2"/>
      </w:pPr>
      <w:r w:rsidRPr="008D25BF">
        <w:rPr>
          <w:b/>
          <w:bCs/>
        </w:rPr>
        <w:t>Experience and expertise in relevant areas:</w:t>
      </w:r>
      <w:r w:rsidRPr="008D25BF">
        <w:t xml:space="preserve"> The organisation and/or their team should have a track record of experience and expertise in delivering or supporting health services to Aboriginal and Torres Strait Islander people.</w:t>
      </w:r>
    </w:p>
    <w:p w14:paraId="2907BF17" w14:textId="77777777" w:rsidR="007315DF" w:rsidRPr="008D25BF" w:rsidRDefault="007315DF" w:rsidP="00565D16">
      <w:pPr>
        <w:pStyle w:val="ListBullet2"/>
      </w:pPr>
      <w:r w:rsidRPr="008D25BF">
        <w:rPr>
          <w:b/>
          <w:bCs/>
        </w:rPr>
        <w:t xml:space="preserve">Financial stability and sustainability: </w:t>
      </w:r>
      <w:r w:rsidRPr="008D25BF">
        <w:t>The organisation should be able to demonstrate financial stability and have the capacity to manage the transition effectively (with the necessary additional financial support from the NTCO)</w:t>
      </w:r>
    </w:p>
    <w:p w14:paraId="293A9EB6" w14:textId="77777777" w:rsidR="007315DF" w:rsidRPr="008D25BF" w:rsidRDefault="007315DF" w:rsidP="00565D16">
      <w:pPr>
        <w:pStyle w:val="ListBullet2"/>
      </w:pPr>
      <w:r w:rsidRPr="008D25BF">
        <w:rPr>
          <w:b/>
          <w:bCs/>
        </w:rPr>
        <w:t xml:space="preserve">Commitment to community control: </w:t>
      </w:r>
      <w:r w:rsidRPr="008D25BF">
        <w:t>The organisation should be committed to Aboriginal and Torres Strait Islander community control and self-determination.</w:t>
      </w:r>
    </w:p>
    <w:p w14:paraId="48E77F4A" w14:textId="77777777" w:rsidR="007315DF" w:rsidRPr="008D25BF" w:rsidRDefault="00BF38D6" w:rsidP="00565D16">
      <w:pPr>
        <w:pStyle w:val="ListBullet2"/>
      </w:pPr>
      <w:r>
        <w:rPr>
          <w:b/>
          <w:bCs/>
        </w:rPr>
        <w:t>Established</w:t>
      </w:r>
      <w:r w:rsidR="007315DF" w:rsidRPr="008D25BF">
        <w:rPr>
          <w:b/>
          <w:bCs/>
        </w:rPr>
        <w:t xml:space="preserve"> governance and management:</w:t>
      </w:r>
      <w:r w:rsidR="007315DF" w:rsidRPr="008D25BF">
        <w:t xml:space="preserve"> The organisation should have </w:t>
      </w:r>
      <w:r>
        <w:t xml:space="preserve">established </w:t>
      </w:r>
      <w:r w:rsidR="007315DF" w:rsidRPr="008D25BF">
        <w:t>governance and management structures in place.</w:t>
      </w:r>
    </w:p>
    <w:p w14:paraId="740B052F" w14:textId="77777777" w:rsidR="007315DF" w:rsidRPr="008D25BF" w:rsidRDefault="007315DF" w:rsidP="00565D16">
      <w:pPr>
        <w:pStyle w:val="ListBullet2"/>
      </w:pPr>
      <w:r w:rsidRPr="008D25BF">
        <w:rPr>
          <w:b/>
          <w:bCs/>
        </w:rPr>
        <w:t>Capacity to represent the Aboriginal and</w:t>
      </w:r>
      <w:r w:rsidR="00BF38D6">
        <w:rPr>
          <w:b/>
          <w:bCs/>
        </w:rPr>
        <w:t>/or</w:t>
      </w:r>
      <w:r w:rsidRPr="008D25BF">
        <w:rPr>
          <w:b/>
          <w:bCs/>
        </w:rPr>
        <w:t xml:space="preserve"> Torres Strait Islander communities in their catchment:</w:t>
      </w:r>
      <w:r w:rsidRPr="008D25BF">
        <w:t xml:space="preserve"> The organisation and/or their team should be able to represent the interests of Aboriginal and</w:t>
      </w:r>
      <w:r w:rsidR="00BF38D6">
        <w:t>/or</w:t>
      </w:r>
      <w:r w:rsidRPr="008D25BF">
        <w:t xml:space="preserve"> Torres Strait Islander communities in the state or territory.</w:t>
      </w:r>
    </w:p>
    <w:p w14:paraId="65D2CAF7" w14:textId="77777777" w:rsidR="007315DF" w:rsidRPr="008D25BF" w:rsidRDefault="007315DF" w:rsidP="00565D16">
      <w:pPr>
        <w:pStyle w:val="ListBullet2"/>
      </w:pPr>
      <w:r w:rsidRPr="008D25BF">
        <w:rPr>
          <w:b/>
          <w:bCs/>
        </w:rPr>
        <w:t>Ability to administer the Relevant Health Programs in the state or territory:</w:t>
      </w:r>
      <w:r w:rsidRPr="008D25BF">
        <w:t xml:space="preserve"> The organisation and/or their team should have the capacity to administer the Relevant Health Programs in the state or territory, including the ability to undertake all relevant functions, including understanding needs, managing funding and collecting data.</w:t>
      </w:r>
    </w:p>
    <w:p w14:paraId="62C15F56" w14:textId="77777777" w:rsidR="007315DF" w:rsidRPr="008D25BF" w:rsidRDefault="007315DF" w:rsidP="00565D16">
      <w:pPr>
        <w:pStyle w:val="ListBullet2"/>
      </w:pPr>
      <w:r w:rsidRPr="008D25BF">
        <w:rPr>
          <w:b/>
          <w:bCs/>
        </w:rPr>
        <w:t xml:space="preserve">Ability to work with and maintain strong relationships with non-Indigenous service providers: </w:t>
      </w:r>
      <w:r w:rsidRPr="008D25BF">
        <w:t>The organisation and/or their team should be able to demonstrate how they engage and work with non-Indigenous service providers in their catchment, particularly to ensure geographic coverage of services and choice of provider for the Relevant Health Programs.</w:t>
      </w:r>
    </w:p>
    <w:p w14:paraId="2F735EE1" w14:textId="77777777" w:rsidR="007315DF" w:rsidRPr="008D25BF" w:rsidRDefault="007315DF" w:rsidP="00565D16">
      <w:pPr>
        <w:pStyle w:val="ListBullet2"/>
      </w:pPr>
      <w:r w:rsidRPr="008D25BF">
        <w:rPr>
          <w:b/>
          <w:bCs/>
        </w:rPr>
        <w:t>Experience in working with Aboriginal and</w:t>
      </w:r>
      <w:r w:rsidR="003C088D">
        <w:rPr>
          <w:b/>
          <w:bCs/>
        </w:rPr>
        <w:t>/or</w:t>
      </w:r>
      <w:r w:rsidRPr="008D25BF">
        <w:rPr>
          <w:b/>
          <w:bCs/>
        </w:rPr>
        <w:t xml:space="preserve"> Torres Strait Islander communities in the catchment:</w:t>
      </w:r>
      <w:r w:rsidRPr="008D25BF">
        <w:t xml:space="preserve"> The organisation and/or their team should have experience in working with Aboriginal and</w:t>
      </w:r>
      <w:r w:rsidR="003C088D">
        <w:t>/or</w:t>
      </w:r>
      <w:r w:rsidRPr="008D25BF">
        <w:t xml:space="preserve"> Torres Strait Islander communities in their catchment and be familiar with the local needs and priorities.</w:t>
      </w:r>
    </w:p>
    <w:p w14:paraId="780BA225" w14:textId="77777777" w:rsidR="007315DF" w:rsidRPr="008D25BF" w:rsidRDefault="007315DF" w:rsidP="00565D16">
      <w:pPr>
        <w:pStyle w:val="BodyText1stparaafterlist"/>
      </w:pPr>
      <w:r w:rsidRPr="008D25BF">
        <w:t>In addition to the above criteria, the selection process should also consider the following factors:</w:t>
      </w:r>
    </w:p>
    <w:p w14:paraId="71585F6C" w14:textId="77777777" w:rsidR="007315DF" w:rsidRPr="008D25BF" w:rsidRDefault="007315DF" w:rsidP="00565D16">
      <w:pPr>
        <w:pStyle w:val="ListBullet2"/>
      </w:pPr>
      <w:r w:rsidRPr="008D25BF">
        <w:rPr>
          <w:b/>
          <w:bCs/>
        </w:rPr>
        <w:t xml:space="preserve">Geographic representation: </w:t>
      </w:r>
      <w:r w:rsidRPr="008D25BF">
        <w:t xml:space="preserve">The organisations selected should represent a diversity of geographic areas, including urban, rural and remote areas where possible. This would assist in undertaking the </w:t>
      </w:r>
      <w:r w:rsidR="00F05FC6">
        <w:t>f</w:t>
      </w:r>
      <w:r w:rsidRPr="008D25BF">
        <w:t xml:space="preserve">ormative </w:t>
      </w:r>
      <w:r w:rsidR="00F05FC6">
        <w:t>e</w:t>
      </w:r>
      <w:r w:rsidRPr="008D25BF">
        <w:t>valuation process. </w:t>
      </w:r>
    </w:p>
    <w:p w14:paraId="6651A758" w14:textId="77777777" w:rsidR="007315DF" w:rsidRPr="008D25BF" w:rsidRDefault="007315DF" w:rsidP="00565D16">
      <w:pPr>
        <w:pStyle w:val="ListBullet2"/>
      </w:pPr>
      <w:r w:rsidRPr="008D25BF">
        <w:rPr>
          <w:b/>
          <w:bCs/>
        </w:rPr>
        <w:t xml:space="preserve">Diversity of organisational structures and arrangements: </w:t>
      </w:r>
      <w:r w:rsidRPr="008D25BF">
        <w:t>The organisations selected should represent a diversity of organisational structures and arrangements, including Arrangements A1, A2 and C, and established and newly formed organisations (where possible).</w:t>
      </w:r>
    </w:p>
    <w:p w14:paraId="658DD793" w14:textId="77777777" w:rsidR="007315DF" w:rsidRPr="008D25BF" w:rsidRDefault="007315DF" w:rsidP="00565D16">
      <w:pPr>
        <w:pStyle w:val="ListBullet2"/>
      </w:pPr>
      <w:r w:rsidRPr="008D25BF">
        <w:rPr>
          <w:b/>
          <w:bCs/>
        </w:rPr>
        <w:t>Commitment to innovation:</w:t>
      </w:r>
      <w:r w:rsidRPr="008D25BF">
        <w:t xml:space="preserve"> The organisations selected should be committed to innovation and be willing to try new approaches to funding arrangements beyond the status quo of existing arrangements through PHNs. </w:t>
      </w:r>
    </w:p>
    <w:p w14:paraId="0D93FEDE" w14:textId="77777777" w:rsidR="007315DF" w:rsidRPr="008D25BF" w:rsidRDefault="007315DF" w:rsidP="00565D16">
      <w:pPr>
        <w:pStyle w:val="BodyText1stparaafterlist"/>
      </w:pPr>
      <w:r w:rsidRPr="008D25BF">
        <w:t>The selection process should be transparent and fair, and all organisations should have an opportunity to apply. The NTCO should also provide clear feedback to all applicants.</w:t>
      </w:r>
    </w:p>
    <w:p w14:paraId="01A543AC" w14:textId="77777777" w:rsidR="007315DF" w:rsidRPr="008D25BF" w:rsidRDefault="004C1AF3" w:rsidP="006734AE">
      <w:pPr>
        <w:pStyle w:val="HeadingLevel2NoNumber"/>
      </w:pPr>
      <w:r>
        <w:t xml:space="preserve">A11.3 </w:t>
      </w:r>
      <w:r w:rsidR="007315DF" w:rsidRPr="008D25BF">
        <w:t xml:space="preserve">Potential </w:t>
      </w:r>
      <w:r w:rsidR="00F05FC6">
        <w:t>o</w:t>
      </w:r>
      <w:r w:rsidR="007315DF" w:rsidRPr="008D25BF">
        <w:t xml:space="preserve">rganisations to </w:t>
      </w:r>
      <w:r w:rsidR="00F05FC6">
        <w:t>p</w:t>
      </w:r>
      <w:r w:rsidR="003C088D">
        <w:t xml:space="preserve">roactively </w:t>
      </w:r>
      <w:r w:rsidR="00F05FC6">
        <w:t>e</w:t>
      </w:r>
      <w:r w:rsidR="003C088D">
        <w:t>ngage</w:t>
      </w:r>
      <w:r w:rsidR="007315DF" w:rsidRPr="008D25BF">
        <w:t xml:space="preserve"> for the EOI </w:t>
      </w:r>
      <w:r w:rsidR="00F05FC6">
        <w:t>p</w:t>
      </w:r>
      <w:r w:rsidR="007315DF" w:rsidRPr="008D25BF">
        <w:t>rocess </w:t>
      </w:r>
    </w:p>
    <w:p w14:paraId="3C21D9BA" w14:textId="77777777" w:rsidR="007315DF" w:rsidRPr="008D25BF" w:rsidRDefault="007315DF" w:rsidP="00565D16">
      <w:pPr>
        <w:pStyle w:val="BodyText"/>
      </w:pPr>
      <w:r w:rsidRPr="008D25BF">
        <w:t xml:space="preserve">Throughout this </w:t>
      </w:r>
      <w:r w:rsidR="00F05FC6">
        <w:t>R</w:t>
      </w:r>
      <w:r w:rsidRPr="008D25BF">
        <w:t xml:space="preserve">eview, a number of organisations have been identified </w:t>
      </w:r>
      <w:r w:rsidR="00F21FAB">
        <w:t xml:space="preserve">(either by the organisation themselves, or via nominations by other organisations) </w:t>
      </w:r>
      <w:r w:rsidRPr="008D25BF">
        <w:t xml:space="preserve">as potential candidates for the EAP. </w:t>
      </w:r>
      <w:r w:rsidR="007366BE">
        <w:t xml:space="preserve">These </w:t>
      </w:r>
      <w:r w:rsidRPr="008D25BF">
        <w:t>are examples of organisations that may have:</w:t>
      </w:r>
    </w:p>
    <w:p w14:paraId="79AA8FE8" w14:textId="77777777" w:rsidR="007315DF" w:rsidRPr="008D25BF" w:rsidRDefault="002F4930" w:rsidP="00565D16">
      <w:pPr>
        <w:pStyle w:val="ListBullet2"/>
      </w:pPr>
      <w:r>
        <w:t>a</w:t>
      </w:r>
      <w:r w:rsidR="007315DF" w:rsidRPr="008D25BF">
        <w:t xml:space="preserve"> proven track record of working with Aboriginal and</w:t>
      </w:r>
      <w:r w:rsidR="007366BE">
        <w:t>/or</w:t>
      </w:r>
      <w:r w:rsidR="007315DF" w:rsidRPr="008D25BF">
        <w:t xml:space="preserve"> Torres Strait Islander communities</w:t>
      </w:r>
    </w:p>
    <w:p w14:paraId="1F5FACB2" w14:textId="77777777" w:rsidR="007315DF" w:rsidRPr="008D25BF" w:rsidRDefault="002F4930" w:rsidP="00565D16">
      <w:pPr>
        <w:pStyle w:val="ListBullet2"/>
      </w:pPr>
      <w:r>
        <w:t>c</w:t>
      </w:r>
      <w:r w:rsidR="007315DF" w:rsidRPr="008D25BF">
        <w:t>ommitment to community control and self-determination</w:t>
      </w:r>
    </w:p>
    <w:p w14:paraId="3470F46B" w14:textId="77777777" w:rsidR="007315DF" w:rsidRPr="008D25BF" w:rsidRDefault="002F4930" w:rsidP="00565D16">
      <w:pPr>
        <w:pStyle w:val="ListBullet2"/>
      </w:pPr>
      <w:r>
        <w:t>r</w:t>
      </w:r>
      <w:r w:rsidR="007315DF" w:rsidRPr="008D25BF">
        <w:t xml:space="preserve">elative interest, </w:t>
      </w:r>
      <w:r w:rsidR="007315DF" w:rsidRPr="008D25BF">
        <w:rPr>
          <w:color w:val="1F1F1F"/>
        </w:rPr>
        <w:t>capacity and expertise to deliver on a recommended future funding arrangement</w:t>
      </w:r>
      <w:r>
        <w:rPr>
          <w:color w:val="1F1F1F"/>
        </w:rPr>
        <w:t>.</w:t>
      </w:r>
    </w:p>
    <w:p w14:paraId="6C5D78D9" w14:textId="77777777" w:rsidR="007315DF" w:rsidRPr="008D25BF" w:rsidRDefault="007315DF" w:rsidP="00565D16">
      <w:pPr>
        <w:pStyle w:val="BodyText1stparaafterlist"/>
      </w:pPr>
      <w:r w:rsidRPr="008D25BF">
        <w:t>These organisations are</w:t>
      </w:r>
      <w:r w:rsidR="002F4930">
        <w:t xml:space="preserve"> d</w:t>
      </w:r>
      <w:r w:rsidR="002F4930">
        <w:rPr>
          <w:rFonts w:cs="Times New Roman"/>
        </w:rPr>
        <w:t>escribed further below</w:t>
      </w:r>
      <w:r w:rsidR="002F4930" w:rsidRPr="0098562E">
        <w:t>.</w:t>
      </w:r>
    </w:p>
    <w:p w14:paraId="58F1FDB7" w14:textId="77777777" w:rsidR="007315DF" w:rsidRPr="00565D16" w:rsidRDefault="007315DF" w:rsidP="00565D16">
      <w:pPr>
        <w:pStyle w:val="BodyText"/>
        <w:rPr>
          <w:b/>
          <w:bCs/>
        </w:rPr>
      </w:pPr>
      <w:r w:rsidRPr="00565D16">
        <w:rPr>
          <w:b/>
          <w:bCs/>
        </w:rPr>
        <w:t>State/territory organisations (Arrangement A1)</w:t>
      </w:r>
    </w:p>
    <w:p w14:paraId="569F2A13" w14:textId="77777777" w:rsidR="00F21FAB" w:rsidRPr="00F21FAB" w:rsidRDefault="007315DF" w:rsidP="00565D16">
      <w:pPr>
        <w:pStyle w:val="ListBullet2"/>
      </w:pPr>
      <w:r w:rsidRPr="009A37DD">
        <w:rPr>
          <w:b/>
          <w:bCs/>
        </w:rPr>
        <w:t>State and territory-based NACCHO affiliates (peak organisations):</w:t>
      </w:r>
      <w:r w:rsidRPr="008D25BF">
        <w:t xml:space="preserve"> Certain state and territory peak organisations expressed interest in and are well-positioned to take on the lead role as an early adopter at a state or territory level. They have a strong understanding of the local context and the needs of Aboriginal and Torres Strait Islander communities, with a level of capacity that other smaller existing organisations may not have. The state and territory-based NACCHO affiliate that indicated interest in taking on the lead role </w:t>
      </w:r>
      <w:r w:rsidR="009A37DD">
        <w:t xml:space="preserve">is the </w:t>
      </w:r>
      <w:r w:rsidRPr="00F21FAB">
        <w:t>A</w:t>
      </w:r>
      <w:r w:rsidR="00F21FAB" w:rsidRPr="00F21FAB">
        <w:t>boriginal Health Council of Western Australia</w:t>
      </w:r>
      <w:r w:rsidR="009A37DD">
        <w:t>.</w:t>
      </w:r>
    </w:p>
    <w:p w14:paraId="331DF784" w14:textId="77777777" w:rsidR="007315DF" w:rsidRPr="00565D16" w:rsidRDefault="007315DF" w:rsidP="00565D16">
      <w:pPr>
        <w:pStyle w:val="BodyText1stparaafterlist"/>
        <w:keepNext/>
        <w:rPr>
          <w:b/>
          <w:bCs/>
        </w:rPr>
      </w:pPr>
      <w:r w:rsidRPr="00565D16">
        <w:rPr>
          <w:b/>
          <w:bCs/>
        </w:rPr>
        <w:t>Regional organisations (Arrangement A1)</w:t>
      </w:r>
    </w:p>
    <w:p w14:paraId="1FAD49EA" w14:textId="77777777" w:rsidR="007315DF" w:rsidRPr="008D25BF" w:rsidRDefault="007315DF" w:rsidP="00565D16">
      <w:pPr>
        <w:pStyle w:val="ListBullet2"/>
      </w:pPr>
      <w:r w:rsidRPr="008D25BF">
        <w:rPr>
          <w:b/>
          <w:bCs/>
        </w:rPr>
        <w:t xml:space="preserve">The Institute for Urban Indigenous Health (IUIH): </w:t>
      </w:r>
      <w:r w:rsidRPr="008D25BF">
        <w:t>IUIH is a leading provider of healthcare services to Aboriginal and Torres Strait Islander people in South East Queensland. They have a strong commitment to community control and self-determination, and they are known for their innovative approaches to service delivery.</w:t>
      </w:r>
    </w:p>
    <w:p w14:paraId="55F94A02" w14:textId="77777777" w:rsidR="007315DF" w:rsidRPr="008D25BF" w:rsidRDefault="007315DF" w:rsidP="00565D16">
      <w:pPr>
        <w:pStyle w:val="ListBullet2"/>
      </w:pPr>
      <w:r w:rsidRPr="008D25BF">
        <w:rPr>
          <w:b/>
          <w:bCs/>
        </w:rPr>
        <w:t>Kimberley Aboriginal Medical Services (KAMS):</w:t>
      </w:r>
      <w:r w:rsidRPr="008D25BF">
        <w:t xml:space="preserve"> KAMS has a long history of providing high-quality healthcare services to Aboriginal and Torres Strait Islander people in the region and has taken the lead role (essentially undertaking many of the functions of a funding body) as part of the Kimberley Aboriginal Suicide Prevention Trail. </w:t>
      </w:r>
    </w:p>
    <w:p w14:paraId="57990AD0" w14:textId="77777777" w:rsidR="007315DF" w:rsidRPr="008D25BF" w:rsidRDefault="007315DF" w:rsidP="00565D16">
      <w:pPr>
        <w:pStyle w:val="ListBullet2"/>
      </w:pPr>
      <w:r w:rsidRPr="008D25BF">
        <w:rPr>
          <w:b/>
          <w:bCs/>
        </w:rPr>
        <w:t>Nukal Murra Alliance:</w:t>
      </w:r>
      <w:r w:rsidRPr="008D25BF">
        <w:t xml:space="preserve"> The Nukal Murra Alliance has experience in supporting innovation and co-commissioning of mental health and chronic disease support services within their region.</w:t>
      </w:r>
    </w:p>
    <w:p w14:paraId="2540B078" w14:textId="77777777" w:rsidR="007315DF" w:rsidRPr="008D25BF" w:rsidRDefault="007315DF" w:rsidP="00565D16">
      <w:pPr>
        <w:pStyle w:val="ListBullet2"/>
        <w:rPr>
          <w:b/>
          <w:bCs/>
        </w:rPr>
      </w:pPr>
      <w:r w:rsidRPr="008D25BF">
        <w:rPr>
          <w:b/>
          <w:bCs/>
        </w:rPr>
        <w:t>Torres &amp; Cape Health Care Commissioning Fund (TORCH):</w:t>
      </w:r>
      <w:r w:rsidRPr="008D25BF">
        <w:t xml:space="preserve"> While the fund will not be established until 1 July 2024, and the timelines for the staged transfer of commissioning funds to TORCH Commissioning Entity might not fit within timelines for the </w:t>
      </w:r>
      <w:r w:rsidR="00413FC9">
        <w:t>EAP</w:t>
      </w:r>
      <w:r w:rsidRPr="008D25BF">
        <w:t>, TORCH provides a unique and valuable opportunity to leverage the new Torres and Cape Health Care Community-Controlled Commissioning Entity for the Torres and Cape region.</w:t>
      </w:r>
    </w:p>
    <w:p w14:paraId="3DBEBC71" w14:textId="77777777" w:rsidR="007315DF" w:rsidRPr="00565D16" w:rsidRDefault="007315DF" w:rsidP="00565D16">
      <w:pPr>
        <w:pStyle w:val="BodyText1stparaafterlist"/>
        <w:rPr>
          <w:b/>
          <w:bCs/>
        </w:rPr>
      </w:pPr>
      <w:r w:rsidRPr="00565D16">
        <w:rPr>
          <w:b/>
          <w:bCs/>
        </w:rPr>
        <w:t>National organisations (Arrangement C)</w:t>
      </w:r>
    </w:p>
    <w:p w14:paraId="59501484" w14:textId="77777777" w:rsidR="007315DF" w:rsidRPr="008D25BF" w:rsidRDefault="007315DF" w:rsidP="00565D16">
      <w:pPr>
        <w:pStyle w:val="ListBullet2"/>
      </w:pPr>
      <w:r w:rsidRPr="008D25BF">
        <w:rPr>
          <w:b/>
          <w:bCs/>
        </w:rPr>
        <w:t>NACCHO</w:t>
      </w:r>
      <w:r w:rsidRPr="008D25BF">
        <w:t>: NACCHO has a deep understanding of the needs and priorities of Aboriginal and Torres Strait Islander communities, and they are well-positioned as an early adopter given their experience with Culture Care Connect. If invited to the EOI process, this should be done on the basis that NACCHO works with a select number of their member services to transition (rather than all members in the early adopter period)</w:t>
      </w:r>
      <w:r w:rsidR="002F14E3">
        <w:t>.</w:t>
      </w:r>
    </w:p>
    <w:p w14:paraId="702FE125" w14:textId="77777777" w:rsidR="007315DF" w:rsidRPr="008D25BF" w:rsidRDefault="007315DF" w:rsidP="00565D16">
      <w:pPr>
        <w:pStyle w:val="BodyText1stparaafterlist"/>
      </w:pPr>
      <w:r w:rsidRPr="008D25BF">
        <w:t xml:space="preserve">The NTCO may target these organisations through </w:t>
      </w:r>
      <w:r w:rsidRPr="008D25BF">
        <w:rPr>
          <w:b/>
          <w:bCs/>
        </w:rPr>
        <w:t>targeted outreach</w:t>
      </w:r>
      <w:r w:rsidRPr="008D25BF">
        <w:t xml:space="preserve"> through their existing networks and relationships to explain the purpose of the EOI and the benefits of participating in the </w:t>
      </w:r>
      <w:r w:rsidR="00413FC9">
        <w:t>EAP</w:t>
      </w:r>
      <w:r w:rsidRPr="008D25BF">
        <w:t>, before sending a direct invitation to each of organisation.</w:t>
      </w:r>
    </w:p>
    <w:p w14:paraId="77DD366F" w14:textId="77777777" w:rsidR="007315DF" w:rsidRPr="008D25BF" w:rsidRDefault="004C1AF3" w:rsidP="006734AE">
      <w:pPr>
        <w:pStyle w:val="HeadingLevel2NoNumber"/>
      </w:pPr>
      <w:r>
        <w:t xml:space="preserve">A11.4 </w:t>
      </w:r>
      <w:r w:rsidR="005D17A3">
        <w:t xml:space="preserve">Preliminary </w:t>
      </w:r>
      <w:r w:rsidR="00710166">
        <w:t>lines of enquiry for the f</w:t>
      </w:r>
      <w:r w:rsidR="007315DF" w:rsidRPr="008D25BF">
        <w:t xml:space="preserve">ormative </w:t>
      </w:r>
      <w:r w:rsidR="00710166">
        <w:t>e</w:t>
      </w:r>
      <w:r w:rsidR="007315DF" w:rsidRPr="008D25BF">
        <w:t>valuation</w:t>
      </w:r>
    </w:p>
    <w:p w14:paraId="7C7E3309" w14:textId="77777777" w:rsidR="007315DF" w:rsidRPr="008D25BF" w:rsidRDefault="007315DF" w:rsidP="006401AA">
      <w:pPr>
        <w:pStyle w:val="HeadingLevel3NoNumber"/>
      </w:pPr>
      <w:r w:rsidRPr="008D25BF">
        <w:t xml:space="preserve">Overall </w:t>
      </w:r>
      <w:r w:rsidR="002F14E3">
        <w:t>a</w:t>
      </w:r>
      <w:r w:rsidRPr="008D25BF">
        <w:t>ssessment</w:t>
      </w:r>
    </w:p>
    <w:p w14:paraId="1078E412" w14:textId="77777777" w:rsidR="007315DF" w:rsidRPr="008D25BF" w:rsidRDefault="007315DF" w:rsidP="00DD2C76">
      <w:pPr>
        <w:pStyle w:val="ListBullet2"/>
      </w:pPr>
      <w:r w:rsidRPr="008D25BF">
        <w:t>What is the overall level of satisfaction with the new funding arrangements?</w:t>
      </w:r>
    </w:p>
    <w:p w14:paraId="08D24D80" w14:textId="77777777" w:rsidR="007315DF" w:rsidRPr="008D25BF" w:rsidRDefault="007315DF" w:rsidP="00DD2C76">
      <w:pPr>
        <w:pStyle w:val="ListBullet2"/>
      </w:pPr>
      <w:r w:rsidRPr="008D25BF">
        <w:t>What are the key strengths and weaknesses of the new funding arrangements?</w:t>
      </w:r>
    </w:p>
    <w:p w14:paraId="06F3DB81" w14:textId="77777777" w:rsidR="007315DF" w:rsidRPr="008D25BF" w:rsidRDefault="007315DF" w:rsidP="00DD2C76">
      <w:pPr>
        <w:pStyle w:val="ListBullet2"/>
      </w:pPr>
      <w:r w:rsidRPr="008D25BF">
        <w:t>What are the potential unintended consequences of the new funding arrangements?</w:t>
      </w:r>
    </w:p>
    <w:p w14:paraId="54389996" w14:textId="77777777" w:rsidR="007315DF" w:rsidRDefault="007315DF" w:rsidP="00DD2C76">
      <w:pPr>
        <w:pStyle w:val="ListBullet2"/>
      </w:pPr>
      <w:r w:rsidRPr="008D25BF">
        <w:t xml:space="preserve">What are the lessons learned from the </w:t>
      </w:r>
      <w:r w:rsidR="00710166">
        <w:t>EAP</w:t>
      </w:r>
      <w:r w:rsidRPr="008D25BF">
        <w:t>?</w:t>
      </w:r>
    </w:p>
    <w:p w14:paraId="1A68F266" w14:textId="77777777" w:rsidR="007315DF" w:rsidRPr="008D25BF" w:rsidRDefault="007315DF" w:rsidP="006401AA">
      <w:pPr>
        <w:pStyle w:val="HeadingLevel3NoNumber"/>
      </w:pPr>
      <w:r w:rsidRPr="008D25BF">
        <w:t>Process</w:t>
      </w:r>
    </w:p>
    <w:p w14:paraId="472803E7" w14:textId="77777777" w:rsidR="007315DF" w:rsidRPr="008D25BF" w:rsidRDefault="007315DF" w:rsidP="00DD2C76">
      <w:pPr>
        <w:pStyle w:val="ListBullet2"/>
      </w:pPr>
      <w:r w:rsidRPr="008D25BF">
        <w:t>How has the transition to the new funding arrangements been managed?</w:t>
      </w:r>
    </w:p>
    <w:p w14:paraId="652A8E61" w14:textId="77777777" w:rsidR="007315DF" w:rsidRPr="008D25BF" w:rsidRDefault="007315DF" w:rsidP="00DD2C76">
      <w:pPr>
        <w:pStyle w:val="ListBullet2"/>
      </w:pPr>
      <w:r w:rsidRPr="008D25BF">
        <w:t>What has been the level of communication and engagement with stakeholders?</w:t>
      </w:r>
    </w:p>
    <w:p w14:paraId="2CA51ACC" w14:textId="77777777" w:rsidR="007315DF" w:rsidRPr="008D25BF" w:rsidRDefault="007315DF" w:rsidP="00DD2C76">
      <w:pPr>
        <w:pStyle w:val="ListBullet2"/>
      </w:pPr>
      <w:r w:rsidRPr="008D25BF">
        <w:t>What challenges have been encountered during the transition?</w:t>
      </w:r>
    </w:p>
    <w:p w14:paraId="5501CBBD" w14:textId="77777777" w:rsidR="007315DF" w:rsidRPr="008D25BF" w:rsidRDefault="007315DF" w:rsidP="00DD2C76">
      <w:pPr>
        <w:pStyle w:val="ListBullet2"/>
      </w:pPr>
      <w:r w:rsidRPr="008D25BF">
        <w:t>What recommendations can be made for improving the transition process?</w:t>
      </w:r>
    </w:p>
    <w:p w14:paraId="40F20460" w14:textId="77777777" w:rsidR="007315DF" w:rsidRPr="008D25BF" w:rsidRDefault="007315DF" w:rsidP="006401AA">
      <w:pPr>
        <w:pStyle w:val="HeadingLevel3NoNumber"/>
      </w:pPr>
      <w:r w:rsidRPr="008D25BF">
        <w:t>Governance</w:t>
      </w:r>
    </w:p>
    <w:p w14:paraId="1F9EB43D" w14:textId="77777777" w:rsidR="007315DF" w:rsidRPr="008D25BF" w:rsidRDefault="007315DF" w:rsidP="00DD2C76">
      <w:pPr>
        <w:pStyle w:val="ListBullet2"/>
      </w:pPr>
      <w:r w:rsidRPr="008D25BF">
        <w:t xml:space="preserve">How is the new </w:t>
      </w:r>
      <w:r w:rsidR="00413FC9">
        <w:t>e</w:t>
      </w:r>
      <w:r w:rsidRPr="008D25BF">
        <w:t xml:space="preserve">arly </w:t>
      </w:r>
      <w:r w:rsidR="00413FC9">
        <w:t>a</w:t>
      </w:r>
      <w:r w:rsidRPr="007315DF">
        <w:t>dopter</w:t>
      </w:r>
      <w:r w:rsidRPr="008D25BF">
        <w:t xml:space="preserve"> </w:t>
      </w:r>
      <w:r w:rsidR="003D7C4D">
        <w:t>e</w:t>
      </w:r>
      <w:r w:rsidRPr="008D25BF">
        <w:t>ntity being governed?</w:t>
      </w:r>
    </w:p>
    <w:p w14:paraId="26754813" w14:textId="77777777" w:rsidR="007315DF" w:rsidRPr="008D25BF" w:rsidRDefault="007315DF" w:rsidP="00DD2C76">
      <w:pPr>
        <w:pStyle w:val="ListBullet2"/>
      </w:pPr>
      <w:r w:rsidRPr="008D25BF">
        <w:t>What are the roles and responsibilities of the different stakeholders?</w:t>
      </w:r>
    </w:p>
    <w:p w14:paraId="7C5AD86A" w14:textId="77777777" w:rsidR="007315DF" w:rsidRPr="008D25BF" w:rsidRDefault="007315DF" w:rsidP="00DD2C76">
      <w:pPr>
        <w:pStyle w:val="ListBullet2"/>
      </w:pPr>
      <w:r w:rsidRPr="008D25BF">
        <w:t xml:space="preserve">How is the new </w:t>
      </w:r>
      <w:r w:rsidR="00413FC9">
        <w:t>e</w:t>
      </w:r>
      <w:r w:rsidRPr="008D25BF">
        <w:t xml:space="preserve">arly </w:t>
      </w:r>
      <w:r w:rsidR="00413FC9">
        <w:t>a</w:t>
      </w:r>
      <w:r w:rsidRPr="007315DF">
        <w:t>dopter</w:t>
      </w:r>
      <w:r w:rsidRPr="008D25BF">
        <w:t xml:space="preserve"> </w:t>
      </w:r>
      <w:r w:rsidR="003D7C4D">
        <w:t>e</w:t>
      </w:r>
      <w:r w:rsidRPr="008D25BF">
        <w:t>ntity accountable to its stakeholders?</w:t>
      </w:r>
    </w:p>
    <w:p w14:paraId="442D60B4" w14:textId="77777777" w:rsidR="007315DF" w:rsidRPr="008D25BF" w:rsidRDefault="007315DF" w:rsidP="00DD2C76">
      <w:pPr>
        <w:pStyle w:val="ListBullet2"/>
      </w:pPr>
      <w:r w:rsidRPr="008D25BF">
        <w:t xml:space="preserve">What recommendations can be made for improving the governance of any new </w:t>
      </w:r>
      <w:r w:rsidR="003D7C4D">
        <w:t>e</w:t>
      </w:r>
      <w:r w:rsidRPr="008D25BF">
        <w:t>ntity?</w:t>
      </w:r>
    </w:p>
    <w:p w14:paraId="1BE3BF85" w14:textId="4AFC2EEA" w:rsidR="007315DF" w:rsidRPr="008D25BF" w:rsidRDefault="007315DF" w:rsidP="006401AA">
      <w:pPr>
        <w:pStyle w:val="HeadingLevel3NoNumber"/>
      </w:pPr>
      <w:r w:rsidRPr="008D25BF">
        <w:t xml:space="preserve">Funding </w:t>
      </w:r>
      <w:r w:rsidR="006401AA">
        <w:t>a</w:t>
      </w:r>
      <w:r w:rsidRPr="008D25BF">
        <w:t>llocation</w:t>
      </w:r>
    </w:p>
    <w:p w14:paraId="0B371AE6" w14:textId="77777777" w:rsidR="007315DF" w:rsidRPr="008D25BF" w:rsidRDefault="007315DF" w:rsidP="00DD2C76">
      <w:pPr>
        <w:pStyle w:val="ListBullet2"/>
      </w:pPr>
      <w:r w:rsidRPr="008D25BF">
        <w:t>How are funds being allocated under the new funding arrangements?</w:t>
      </w:r>
    </w:p>
    <w:p w14:paraId="5C0FAB44" w14:textId="77777777" w:rsidR="007315DF" w:rsidRPr="008D25BF" w:rsidRDefault="007315DF" w:rsidP="00DD2C76">
      <w:pPr>
        <w:pStyle w:val="ListBullet2"/>
      </w:pPr>
      <w:r w:rsidRPr="008D25BF">
        <w:t xml:space="preserve">How are funds being used to achieve the </w:t>
      </w:r>
      <w:r w:rsidR="003760FD">
        <w:t>transformation features</w:t>
      </w:r>
      <w:r w:rsidRPr="008D25BF">
        <w:t>?</w:t>
      </w:r>
    </w:p>
    <w:p w14:paraId="602A3501" w14:textId="77777777" w:rsidR="007315DF" w:rsidRPr="008D25BF" w:rsidRDefault="007315DF" w:rsidP="00DD2C76">
      <w:pPr>
        <w:pStyle w:val="ListBullet2"/>
      </w:pPr>
      <w:r w:rsidRPr="008D25BF">
        <w:t>What is the level of transparency and accountability in the funding allocation process?</w:t>
      </w:r>
    </w:p>
    <w:p w14:paraId="4E405761" w14:textId="77777777" w:rsidR="007315DF" w:rsidRPr="008D25BF" w:rsidRDefault="007315DF" w:rsidP="00DD2C76">
      <w:pPr>
        <w:pStyle w:val="ListBullet2"/>
      </w:pPr>
      <w:r w:rsidRPr="008D25BF">
        <w:t>What recommendations can be made for improving the funding allocation process?</w:t>
      </w:r>
    </w:p>
    <w:p w14:paraId="15651349" w14:textId="77777777" w:rsidR="007315DF" w:rsidRPr="008D25BF" w:rsidRDefault="007315DF" w:rsidP="006401AA">
      <w:pPr>
        <w:pStyle w:val="HeadingLevel3NoNumber"/>
      </w:pPr>
      <w:r w:rsidRPr="008D25BF">
        <w:t>Outcomes</w:t>
      </w:r>
      <w:r>
        <w:t xml:space="preserve"> </w:t>
      </w:r>
    </w:p>
    <w:p w14:paraId="61A19256" w14:textId="77777777" w:rsidR="007315DF" w:rsidRDefault="007315DF" w:rsidP="00DD2C76">
      <w:pPr>
        <w:pStyle w:val="ListBullet2"/>
      </w:pPr>
      <w:r w:rsidRPr="008D25BF">
        <w:t xml:space="preserve">What early progress has been made towards achieving the </w:t>
      </w:r>
      <w:r w:rsidR="003760FD">
        <w:t xml:space="preserve">key principles of the recommended future state funding arrangements (i.e. </w:t>
      </w:r>
      <w:r w:rsidR="003760FD" w:rsidRPr="00BE0EEF">
        <w:t>Aboriginal and/or Torres Strait Islander leadership and community empowermen</w:t>
      </w:r>
      <w:r w:rsidR="003760FD">
        <w:t>t, a</w:t>
      </w:r>
      <w:r w:rsidR="003760FD" w:rsidRPr="00BE0EEF">
        <w:t xml:space="preserve"> First Nation’s holistic model</w:t>
      </w:r>
      <w:r w:rsidR="003760FD">
        <w:t>, a strengths-based approach, and a culturally safe and accessible system)</w:t>
      </w:r>
      <w:r w:rsidRPr="008D25BF">
        <w:t>?</w:t>
      </w:r>
    </w:p>
    <w:p w14:paraId="0E77DDA3" w14:textId="77777777" w:rsidR="007315DF" w:rsidRPr="008D25BF" w:rsidRDefault="007315DF" w:rsidP="00DD2C76">
      <w:pPr>
        <w:pStyle w:val="ListBullet2"/>
      </w:pPr>
      <w:r w:rsidRPr="00EC6361">
        <w:t xml:space="preserve">What early progress has been made towards </w:t>
      </w:r>
      <w:r>
        <w:t>meeting the key principles of the recommended future state funding arrangements</w:t>
      </w:r>
      <w:r w:rsidRPr="00EC6361">
        <w:t>?</w:t>
      </w:r>
    </w:p>
    <w:p w14:paraId="277E7B60" w14:textId="77777777" w:rsidR="007315DF" w:rsidRPr="008D25BF" w:rsidRDefault="007315DF" w:rsidP="00DD2C76">
      <w:pPr>
        <w:pStyle w:val="ListBullet2"/>
      </w:pPr>
      <w:r w:rsidRPr="008D25BF">
        <w:t xml:space="preserve">What are the challenges to achieving the </w:t>
      </w:r>
      <w:r w:rsidR="003760FD">
        <w:t>key principles of the recommended future state funding arrangements</w:t>
      </w:r>
      <w:r w:rsidRPr="008D25BF">
        <w:t>?</w:t>
      </w:r>
    </w:p>
    <w:p w14:paraId="3A4FDE74" w14:textId="77777777" w:rsidR="007315DF" w:rsidRPr="008D25BF" w:rsidRDefault="007315DF" w:rsidP="00DD2C76">
      <w:pPr>
        <w:pStyle w:val="ListBullet2"/>
      </w:pPr>
      <w:r w:rsidRPr="008D25BF">
        <w:t xml:space="preserve">What recommendations can be made for achieving the </w:t>
      </w:r>
      <w:r w:rsidR="003760FD">
        <w:t>key principles of the recommended future state funding arrangements</w:t>
      </w:r>
      <w:r w:rsidRPr="008D25BF">
        <w:t>?</w:t>
      </w:r>
    </w:p>
    <w:p w14:paraId="2515D40C" w14:textId="77777777" w:rsidR="007315DF" w:rsidRPr="008D25BF" w:rsidRDefault="007315DF" w:rsidP="00DD2C76">
      <w:pPr>
        <w:pStyle w:val="BodyText"/>
      </w:pPr>
    </w:p>
    <w:p w14:paraId="517483E9" w14:textId="77777777" w:rsidR="007315DF" w:rsidRPr="008D25BF" w:rsidRDefault="007315DF" w:rsidP="00DD2C76">
      <w:pPr>
        <w:pStyle w:val="BodyText"/>
      </w:pPr>
      <w:r w:rsidRPr="008D25BF">
        <w:t xml:space="preserve">It is important to note that a </w:t>
      </w:r>
      <w:r w:rsidR="003D7C4D">
        <w:t>f</w:t>
      </w:r>
      <w:r w:rsidRPr="008D25BF">
        <w:t xml:space="preserve">ormative </w:t>
      </w:r>
      <w:r w:rsidR="003D7C4D">
        <w:t>e</w:t>
      </w:r>
      <w:r w:rsidRPr="008D25BF">
        <w:t xml:space="preserve">valuation is an ongoing process that should be conducted throughout the </w:t>
      </w:r>
      <w:r w:rsidR="00413FC9">
        <w:t>EAP</w:t>
      </w:r>
      <w:r w:rsidRPr="008D25BF">
        <w:t xml:space="preserve"> period. This will allow for the identification of any issues or challenges early on and make the necessary adjustments to ensure the success of the new funding arrangements.</w:t>
      </w:r>
    </w:p>
    <w:p w14:paraId="7DF55A48" w14:textId="77777777" w:rsidR="007315DF" w:rsidRPr="007315DF" w:rsidRDefault="007315DF" w:rsidP="007315DF">
      <w:pPr>
        <w:rPr>
          <w:rFonts w:ascii="Times New Roman" w:hAnsi="Times New Roman"/>
        </w:rPr>
      </w:pPr>
    </w:p>
    <w:p w14:paraId="489577CA" w14:textId="77777777" w:rsidR="00BE0EEF" w:rsidRDefault="00BE0EEF">
      <w:pPr>
        <w:rPr>
          <w:rFonts w:cstheme="minorHAnsi"/>
          <w:bCs/>
          <w:sz w:val="22"/>
          <w:szCs w:val="22"/>
          <w:lang w:eastAsia="en-US" w:bidi="en-US"/>
        </w:rPr>
      </w:pPr>
      <w:r>
        <w:br w:type="page"/>
      </w:r>
    </w:p>
    <w:p w14:paraId="29214EFC" w14:textId="143E3527" w:rsidR="0087510E" w:rsidRDefault="00BE0EEF" w:rsidP="001611E1">
      <w:pPr>
        <w:pStyle w:val="Heading1App"/>
      </w:pPr>
      <w:bookmarkStart w:id="544" w:name="App12_notitle"/>
      <w:bookmarkStart w:id="545" w:name="_Toc156932023"/>
      <w:r w:rsidRPr="003D7C4D">
        <w:t xml:space="preserve">Appendix </w:t>
      </w:r>
      <w:r w:rsidR="00AD2A40" w:rsidRPr="003D7C4D">
        <w:t>12</w:t>
      </w:r>
      <w:bookmarkEnd w:id="544"/>
      <w:r w:rsidR="006C172C">
        <w:t xml:space="preserve"> –</w:t>
      </w:r>
      <w:r w:rsidRPr="003D7C4D">
        <w:t xml:space="preserve"> </w:t>
      </w:r>
      <w:r w:rsidR="0087510E" w:rsidRPr="003D7C4D">
        <w:t>Ass</w:t>
      </w:r>
      <w:r w:rsidR="0087510E">
        <w:t>essments of arrangements</w:t>
      </w:r>
      <w:bookmarkEnd w:id="545"/>
    </w:p>
    <w:p w14:paraId="7DDFE1C6" w14:textId="77777777" w:rsidR="007315DF" w:rsidRDefault="0087510E" w:rsidP="00DD2C76">
      <w:pPr>
        <w:pStyle w:val="BodyText"/>
      </w:pPr>
      <w:r>
        <w:t xml:space="preserve">This appendix provides </w:t>
      </w:r>
      <w:r w:rsidR="00A9763F">
        <w:t>2</w:t>
      </w:r>
      <w:r>
        <w:t xml:space="preserve"> assessments of the future</w:t>
      </w:r>
      <w:r w:rsidR="00A9763F">
        <w:t>-</w:t>
      </w:r>
      <w:r>
        <w:t xml:space="preserve">state funding arrangements. The first assessment is based on the preferences outlined by each stakeholder </w:t>
      </w:r>
      <w:r w:rsidR="00E50C14">
        <w:t>engaged in the co-</w:t>
      </w:r>
      <w:r w:rsidR="00A9763F">
        <w:t>design</w:t>
      </w:r>
      <w:r w:rsidR="00E50C14">
        <w:t xml:space="preserve"> yarns.</w:t>
      </w:r>
    </w:p>
    <w:p w14:paraId="10E56D08" w14:textId="77777777" w:rsidR="00E50C14" w:rsidRDefault="00E50C14" w:rsidP="00DD2C76">
      <w:pPr>
        <w:pStyle w:val="BodyText"/>
      </w:pPr>
      <w:r>
        <w:t xml:space="preserve">The second assessment is based on the </w:t>
      </w:r>
      <w:r w:rsidR="00867831">
        <w:t>Review Team</w:t>
      </w:r>
      <w:r>
        <w:t xml:space="preserve">’s </w:t>
      </w:r>
      <w:r w:rsidR="007C665C">
        <w:t>assessment</w:t>
      </w:r>
      <w:r>
        <w:t xml:space="preserve"> of each arrangement and how likely the arrangement is to achieve select benefits based on the National Agreement on Closing the Gap, the </w:t>
      </w:r>
      <w:r w:rsidR="00A9763F">
        <w:t>k</w:t>
      </w:r>
      <w:r>
        <w:t xml:space="preserve">ey </w:t>
      </w:r>
      <w:r w:rsidR="00A9763F">
        <w:t>p</w:t>
      </w:r>
      <w:r>
        <w:t xml:space="preserve">rinciples and </w:t>
      </w:r>
      <w:r w:rsidR="00A9763F">
        <w:t>e</w:t>
      </w:r>
      <w:r w:rsidR="007C665C">
        <w:t>nablers</w:t>
      </w:r>
      <w:r>
        <w:t xml:space="preserve"> of </w:t>
      </w:r>
      <w:r w:rsidR="00A9763F">
        <w:t>t</w:t>
      </w:r>
      <w:r>
        <w:t>he future</w:t>
      </w:r>
      <w:r w:rsidR="00A9763F">
        <w:t>-</w:t>
      </w:r>
      <w:r>
        <w:t xml:space="preserve">state funding </w:t>
      </w:r>
      <w:r w:rsidR="007C665C">
        <w:t>arrangements</w:t>
      </w:r>
      <w:r>
        <w:t xml:space="preserve">, and other identified benefits. </w:t>
      </w:r>
    </w:p>
    <w:p w14:paraId="4C94885F" w14:textId="77777777" w:rsidR="00BE0EEF" w:rsidRPr="00C87CCD" w:rsidRDefault="004C1AF3" w:rsidP="006734AE">
      <w:pPr>
        <w:pStyle w:val="HeadingLevel2NoNumber"/>
      </w:pPr>
      <w:r>
        <w:t xml:space="preserve">A12.1 </w:t>
      </w:r>
      <w:r w:rsidR="0087510E" w:rsidRPr="00C87CCD">
        <w:t>Table of initial preferences for different arrangements</w:t>
      </w:r>
    </w:p>
    <w:p w14:paraId="794094C0" w14:textId="1CC07598" w:rsidR="00BE0EEF" w:rsidRPr="00B65F7F" w:rsidRDefault="00BE0EEF" w:rsidP="00DD2C76">
      <w:pPr>
        <w:pStyle w:val="BodyText"/>
      </w:pPr>
      <w:r w:rsidRPr="00C87CCD">
        <w:t xml:space="preserve">To provide additional context on how the arrangements detailed above were determined as the preferred future-state funding arrangements, </w:t>
      </w:r>
      <w:r w:rsidR="00C87CCD">
        <w:fldChar w:fldCharType="begin"/>
      </w:r>
      <w:r w:rsidR="00C87CCD">
        <w:instrText xml:space="preserve"> REF _Ref151928601 \h </w:instrText>
      </w:r>
      <w:r w:rsidR="00C87CCD">
        <w:fldChar w:fldCharType="separate"/>
      </w:r>
      <w:r w:rsidR="00934D5E">
        <w:t>Table A12.</w:t>
      </w:r>
      <w:r w:rsidR="00934D5E">
        <w:rPr>
          <w:noProof/>
        </w:rPr>
        <w:t>1</w:t>
      </w:r>
      <w:r w:rsidR="00C87CCD">
        <w:fldChar w:fldCharType="end"/>
      </w:r>
      <w:r w:rsidR="00C87CCD">
        <w:t xml:space="preserve"> </w:t>
      </w:r>
      <w:r w:rsidRPr="00C87CCD">
        <w:t>below is a generalised overview</w:t>
      </w:r>
      <w:r w:rsidRPr="00C87CCD">
        <w:rPr>
          <w:b/>
          <w:bCs/>
        </w:rPr>
        <w:t xml:space="preserve"> </w:t>
      </w:r>
      <w:r w:rsidRPr="00C87CCD">
        <w:t>of the initial preferences for different arrangements by the ACCHO sector (sector) and state/territory-based affiliates. The purpose of</w:t>
      </w:r>
      <w:r w:rsidRPr="00B65F7F">
        <w:t xml:space="preserve"> providing the initial preferences of stakeholders is to highlight the differing views of the stakeholders engaged. </w:t>
      </w:r>
    </w:p>
    <w:p w14:paraId="3D978DB3" w14:textId="77777777" w:rsidR="00BE0EEF" w:rsidRPr="00B65F7F" w:rsidRDefault="00BE0EEF" w:rsidP="00DD2C76">
      <w:pPr>
        <w:pStyle w:val="BodyText"/>
      </w:pPr>
      <w:r w:rsidRPr="00B65F7F">
        <w:t xml:space="preserve">To establish the initial preferences in each state and territory, participants in the co-design </w:t>
      </w:r>
      <w:r>
        <w:t>yarns</w:t>
      </w:r>
      <w:r w:rsidRPr="00B65F7F">
        <w:t xml:space="preserve"> were provided with a briefing paper outlining 5 options for the future</w:t>
      </w:r>
      <w:r>
        <w:t>-state</w:t>
      </w:r>
      <w:r w:rsidRPr="00B65F7F">
        <w:t xml:space="preserve"> funding arrangements. During the co-design </w:t>
      </w:r>
      <w:r>
        <w:t>yarns</w:t>
      </w:r>
      <w:r w:rsidRPr="00B65F7F">
        <w:t>, participants (</w:t>
      </w:r>
      <w:r>
        <w:t>including representatives from</w:t>
      </w:r>
      <w:r w:rsidRPr="00B65F7F">
        <w:t xml:space="preserve"> the non-Indigenous sector and state/territory-based affiliates) worked through the options in detail to understand the potential benefits and challenges and consider how each option may work in their region/s and community. </w:t>
      </w:r>
    </w:p>
    <w:p w14:paraId="7A23E0EB" w14:textId="77777777" w:rsidR="00BE0EEF" w:rsidRDefault="00BE0EEF" w:rsidP="00DD2C76">
      <w:pPr>
        <w:pStyle w:val="BodyText"/>
        <w:sectPr w:rsidR="00BE0EEF" w:rsidSect="002B05C0">
          <w:headerReference w:type="default" r:id="rId235"/>
          <w:footerReference w:type="default" r:id="rId236"/>
          <w:pgSz w:w="11907" w:h="16840" w:code="9"/>
          <w:pgMar w:top="1134" w:right="1134" w:bottom="1276" w:left="1134" w:header="720" w:footer="720" w:gutter="0"/>
          <w:cols w:space="720"/>
          <w:docGrid w:linePitch="326"/>
        </w:sectPr>
      </w:pPr>
      <w:r w:rsidRPr="00B65F7F">
        <w:t xml:space="preserve">Following the co-design </w:t>
      </w:r>
      <w:r>
        <w:t>yarns,</w:t>
      </w:r>
      <w:r w:rsidRPr="00B65F7F">
        <w:t xml:space="preserve"> the discussions and views </w:t>
      </w:r>
      <w:r>
        <w:t xml:space="preserve">gathered </w:t>
      </w:r>
      <w:r w:rsidRPr="00B65F7F">
        <w:t>were uploaded to an online engagement platform, where organisations and participants who were unable attend the workshop</w:t>
      </w:r>
      <w:r>
        <w:t>s</w:t>
      </w:r>
      <w:r w:rsidRPr="00B65F7F">
        <w:t xml:space="preserve"> were invited to provide their views and feedback on the options. </w:t>
      </w:r>
    </w:p>
    <w:p w14:paraId="4D788FDB" w14:textId="73D2F677" w:rsidR="00BE0EEF" w:rsidRPr="00B65F7F" w:rsidRDefault="00C87CCD" w:rsidP="00C87CCD">
      <w:pPr>
        <w:pStyle w:val="CaptionTable"/>
        <w:rPr>
          <w:bCs/>
        </w:rPr>
      </w:pPr>
      <w:bookmarkStart w:id="546" w:name="_Ref151928601"/>
      <w:bookmarkStart w:id="547" w:name="_Toc145604944"/>
      <w:bookmarkStart w:id="548" w:name="_Toc156932118"/>
      <w:r>
        <w:t>Table A12.</w:t>
      </w:r>
      <w:r>
        <w:fldChar w:fldCharType="begin"/>
      </w:r>
      <w:r>
        <w:instrText xml:space="preserve"> SEQ Table_A12 \* ARABIC </w:instrText>
      </w:r>
      <w:r>
        <w:fldChar w:fldCharType="separate"/>
      </w:r>
      <w:r w:rsidR="00934D5E">
        <w:rPr>
          <w:noProof/>
        </w:rPr>
        <w:t>1</w:t>
      </w:r>
      <w:r>
        <w:fldChar w:fldCharType="end"/>
      </w:r>
      <w:bookmarkEnd w:id="546"/>
      <w:r w:rsidR="00BE0EEF" w:rsidRPr="00B65F7F">
        <w:t xml:space="preserve">: </w:t>
      </w:r>
      <w:r w:rsidR="00BE0EEF">
        <w:t>P</w:t>
      </w:r>
      <w:r w:rsidR="00BE0EEF" w:rsidRPr="00B65F7F">
        <w:t>references of stakeholders</w:t>
      </w:r>
      <w:r w:rsidR="00BE0EEF">
        <w:t xml:space="preserve"> who participated in the </w:t>
      </w:r>
      <w:r>
        <w:t>c</w:t>
      </w:r>
      <w:r w:rsidR="00BE0EEF">
        <w:t xml:space="preserve">o-design </w:t>
      </w:r>
      <w:r>
        <w:t>y</w:t>
      </w:r>
      <w:r w:rsidR="00BE0EEF">
        <w:t>arns</w:t>
      </w:r>
      <w:bookmarkEnd w:id="547"/>
      <w:bookmarkEnd w:id="548"/>
    </w:p>
    <w:tbl>
      <w:tblPr>
        <w:tblpPr w:leftFromText="180" w:rightFromText="180" w:vertAnchor="text" w:horzAnchor="margin" w:tblpX="-150" w:tblpY="1155"/>
        <w:tblOverlap w:val="never"/>
        <w:tblW w:w="7655" w:type="dxa"/>
        <w:shd w:val="clear" w:color="auto" w:fill="EFA31F" w:themeFill="background2"/>
        <w:tblCellMar>
          <w:left w:w="0" w:type="dxa"/>
          <w:right w:w="0" w:type="dxa"/>
        </w:tblCellMar>
        <w:tblLook w:val="0420" w:firstRow="1" w:lastRow="0" w:firstColumn="0" w:lastColumn="0" w:noHBand="0" w:noVBand="1"/>
      </w:tblPr>
      <w:tblGrid>
        <w:gridCol w:w="7655"/>
      </w:tblGrid>
      <w:tr w:rsidR="00BE0EEF" w:rsidRPr="00B65F7F" w14:paraId="48C37B8E" w14:textId="77777777" w:rsidTr="00E93B27">
        <w:trPr>
          <w:trHeight w:val="20"/>
        </w:trPr>
        <w:tc>
          <w:tcPr>
            <w:tcW w:w="7655" w:type="dxa"/>
            <w:tcBorders>
              <w:top w:val="single" w:sz="6" w:space="0" w:color="9E9E9E"/>
              <w:left w:val="single" w:sz="6" w:space="0" w:color="9E9E9E"/>
              <w:bottom w:val="single" w:sz="6" w:space="0" w:color="9E9E9E"/>
              <w:right w:val="single" w:sz="6" w:space="0" w:color="9E9E9E"/>
            </w:tcBorders>
            <w:shd w:val="clear" w:color="auto" w:fill="EFA31F" w:themeFill="background2"/>
            <w:tcMar>
              <w:top w:w="72" w:type="dxa"/>
              <w:left w:w="144" w:type="dxa"/>
              <w:bottom w:w="72" w:type="dxa"/>
              <w:right w:w="144" w:type="dxa"/>
            </w:tcMar>
            <w:vAlign w:val="center"/>
          </w:tcPr>
          <w:p w14:paraId="2533A166" w14:textId="750928A3" w:rsidR="00BE0EEF" w:rsidRPr="00B65F7F" w:rsidRDefault="00BE0EEF" w:rsidP="00DD2C76">
            <w:pPr>
              <w:pStyle w:val="TableText"/>
              <w:rPr>
                <w:rFonts w:ascii="Calibri" w:hAnsi="Calibri" w:cs="Calibri"/>
                <w:sz w:val="18"/>
                <w:szCs w:val="18"/>
              </w:rPr>
            </w:pPr>
            <w:r w:rsidRPr="00DD2C76">
              <w:rPr>
                <w:b/>
                <w:bCs/>
              </w:rPr>
              <w:t xml:space="preserve">Note: </w:t>
            </w:r>
            <w:r w:rsidR="00C87CCD" w:rsidRPr="00DD2C76">
              <w:rPr>
                <w:b/>
                <w:bCs/>
              </w:rPr>
              <w:fldChar w:fldCharType="begin"/>
            </w:r>
            <w:r w:rsidR="00C87CCD" w:rsidRPr="00DD2C76">
              <w:rPr>
                <w:b/>
                <w:bCs/>
              </w:rPr>
              <w:instrText xml:space="preserve"> REF _Ref151928601 \h  \* MERGEFORMAT </w:instrText>
            </w:r>
            <w:r w:rsidR="00C87CCD" w:rsidRPr="00DD2C76">
              <w:rPr>
                <w:b/>
                <w:bCs/>
              </w:rPr>
            </w:r>
            <w:r w:rsidR="00C87CCD" w:rsidRPr="00DD2C76">
              <w:rPr>
                <w:b/>
                <w:bCs/>
              </w:rPr>
              <w:fldChar w:fldCharType="separate"/>
            </w:r>
            <w:r w:rsidR="00934D5E" w:rsidRPr="00934D5E">
              <w:rPr>
                <w:b/>
                <w:bCs/>
              </w:rPr>
              <w:t>Table A12.1</w:t>
            </w:r>
            <w:r w:rsidR="00C87CCD" w:rsidRPr="00DD2C76">
              <w:rPr>
                <w:b/>
                <w:bCs/>
              </w:rPr>
              <w:fldChar w:fldCharType="end"/>
            </w:r>
            <w:r w:rsidRPr="00DD2C76">
              <w:rPr>
                <w:b/>
                <w:bCs/>
              </w:rPr>
              <w:t xml:space="preserve"> should not be viewed as each jurisdiction’s final preference or recommendation.</w:t>
            </w:r>
            <w:r w:rsidRPr="00B65F7F">
              <w:t xml:space="preserve"> Rather, the initial preferences are based on a consensus view from the organisations and individuals who participated in the co-design, which were not necessarily a representative sample of ACCOs and other providers.</w:t>
            </w:r>
          </w:p>
        </w:tc>
      </w:tr>
    </w:tbl>
    <w:tbl>
      <w:tblPr>
        <w:tblW w:w="4080" w:type="dxa"/>
        <w:jc w:val="right"/>
        <w:tblCellMar>
          <w:left w:w="0" w:type="dxa"/>
          <w:right w:w="0" w:type="dxa"/>
        </w:tblCellMar>
        <w:tblLook w:val="0420" w:firstRow="1" w:lastRow="0" w:firstColumn="0" w:lastColumn="0" w:noHBand="0" w:noVBand="1"/>
      </w:tblPr>
      <w:tblGrid>
        <w:gridCol w:w="760"/>
        <w:gridCol w:w="3320"/>
      </w:tblGrid>
      <w:tr w:rsidR="00BE0EEF" w:rsidRPr="00B65F7F" w14:paraId="3DED8BB4" w14:textId="77777777" w:rsidTr="006F6DD1">
        <w:trPr>
          <w:trHeight w:val="20"/>
          <w:jc w:val="right"/>
        </w:trPr>
        <w:tc>
          <w:tcPr>
            <w:tcW w:w="4080" w:type="dxa"/>
            <w:gridSpan w:val="2"/>
            <w:tcBorders>
              <w:top w:val="single" w:sz="6" w:space="0" w:color="9E9E9E"/>
              <w:left w:val="single" w:sz="6" w:space="0" w:color="9E9E9E"/>
              <w:bottom w:val="single" w:sz="6" w:space="0" w:color="9E9E9E"/>
              <w:right w:val="single" w:sz="6" w:space="0" w:color="9E9E9E"/>
            </w:tcBorders>
            <w:shd w:val="clear" w:color="auto" w:fill="auto"/>
            <w:tcMar>
              <w:top w:w="72" w:type="dxa"/>
              <w:left w:w="144" w:type="dxa"/>
              <w:bottom w:w="72" w:type="dxa"/>
              <w:right w:w="144" w:type="dxa"/>
            </w:tcMar>
            <w:vAlign w:val="center"/>
          </w:tcPr>
          <w:p w14:paraId="0E67C497" w14:textId="77777777" w:rsidR="00BE0EEF" w:rsidRPr="00DD2C76" w:rsidRDefault="00BE0EEF" w:rsidP="00DD2C76">
            <w:pPr>
              <w:pStyle w:val="TableText"/>
              <w:rPr>
                <w:sz w:val="18"/>
                <w:szCs w:val="18"/>
              </w:rPr>
            </w:pPr>
            <w:r w:rsidRPr="00DD2C76">
              <w:rPr>
                <w:sz w:val="18"/>
                <w:szCs w:val="18"/>
              </w:rPr>
              <w:t>Legend</w:t>
            </w:r>
          </w:p>
        </w:tc>
      </w:tr>
      <w:tr w:rsidR="00BE0EEF" w:rsidRPr="00B65F7F" w14:paraId="0CCC6663" w14:textId="77777777" w:rsidTr="001A3F9F">
        <w:trPr>
          <w:trHeight w:val="20"/>
          <w:jc w:val="right"/>
        </w:trPr>
        <w:tc>
          <w:tcPr>
            <w:tcW w:w="760" w:type="dxa"/>
            <w:tcBorders>
              <w:top w:val="single" w:sz="6" w:space="0" w:color="9E9E9E"/>
              <w:left w:val="single" w:sz="6" w:space="0" w:color="9E9E9E"/>
              <w:bottom w:val="single" w:sz="6" w:space="0" w:color="9E9E9E"/>
              <w:right w:val="single" w:sz="6" w:space="0" w:color="9E9E9E"/>
            </w:tcBorders>
            <w:shd w:val="clear" w:color="auto" w:fill="004A53" w:themeFill="accent3" w:themeFillShade="80"/>
            <w:tcMar>
              <w:top w:w="72" w:type="dxa"/>
              <w:left w:w="144" w:type="dxa"/>
              <w:bottom w:w="72" w:type="dxa"/>
              <w:right w:w="144" w:type="dxa"/>
            </w:tcMar>
            <w:vAlign w:val="center"/>
            <w:hideMark/>
          </w:tcPr>
          <w:p w14:paraId="5D1550BB" w14:textId="77777777" w:rsidR="00BE0EEF" w:rsidRPr="00DD2C76" w:rsidRDefault="00BE0EEF" w:rsidP="00DD2C76">
            <w:pPr>
              <w:pStyle w:val="TableText"/>
              <w:spacing w:before="0" w:after="0"/>
              <w:rPr>
                <w:sz w:val="18"/>
                <w:szCs w:val="18"/>
              </w:rPr>
            </w:pPr>
            <w:r w:rsidRPr="00DD2C76">
              <w:rPr>
                <w:sz w:val="18"/>
                <w:szCs w:val="18"/>
              </w:rPr>
              <w:t>Y</w:t>
            </w:r>
          </w:p>
        </w:tc>
        <w:tc>
          <w:tcPr>
            <w:tcW w:w="3320" w:type="dxa"/>
            <w:tcBorders>
              <w:top w:val="single" w:sz="6" w:space="0" w:color="9E9E9E"/>
              <w:left w:val="single" w:sz="6" w:space="0" w:color="9E9E9E"/>
              <w:bottom w:val="single" w:sz="6" w:space="0" w:color="9E9E9E"/>
              <w:right w:val="single" w:sz="6" w:space="0" w:color="9E9E9E"/>
            </w:tcBorders>
            <w:shd w:val="clear" w:color="auto" w:fill="auto"/>
            <w:tcMar>
              <w:top w:w="72" w:type="dxa"/>
              <w:left w:w="144" w:type="dxa"/>
              <w:bottom w:w="72" w:type="dxa"/>
              <w:right w:w="144" w:type="dxa"/>
            </w:tcMar>
            <w:hideMark/>
          </w:tcPr>
          <w:p w14:paraId="15C6F5B2" w14:textId="77777777" w:rsidR="00BE0EEF" w:rsidRPr="00DD2C76" w:rsidRDefault="00BE0EEF" w:rsidP="00DD2C76">
            <w:pPr>
              <w:pStyle w:val="TableText"/>
              <w:spacing w:before="0" w:after="0"/>
              <w:rPr>
                <w:sz w:val="18"/>
                <w:szCs w:val="18"/>
              </w:rPr>
            </w:pPr>
            <w:r w:rsidRPr="00DD2C76">
              <w:rPr>
                <w:b/>
                <w:bCs/>
                <w:sz w:val="18"/>
                <w:szCs w:val="18"/>
              </w:rPr>
              <w:t>Yes</w:t>
            </w:r>
            <w:r w:rsidRPr="00DD2C76">
              <w:rPr>
                <w:sz w:val="18"/>
                <w:szCs w:val="18"/>
              </w:rPr>
              <w:t xml:space="preserve"> – Agree that this model is possible</w:t>
            </w:r>
          </w:p>
        </w:tc>
      </w:tr>
      <w:tr w:rsidR="00BE0EEF" w:rsidRPr="00B65F7F" w14:paraId="69992F7F" w14:textId="77777777" w:rsidTr="001A3F9F">
        <w:trPr>
          <w:trHeight w:val="20"/>
          <w:jc w:val="right"/>
        </w:trPr>
        <w:tc>
          <w:tcPr>
            <w:tcW w:w="760" w:type="dxa"/>
            <w:tcBorders>
              <w:top w:val="single" w:sz="6" w:space="0" w:color="9E9E9E"/>
              <w:left w:val="single" w:sz="6" w:space="0" w:color="9E9E9E"/>
              <w:bottom w:val="single" w:sz="6" w:space="0" w:color="9E9E9E"/>
              <w:right w:val="single" w:sz="6" w:space="0" w:color="9E9E9E"/>
            </w:tcBorders>
            <w:shd w:val="clear" w:color="auto" w:fill="0196A7" w:themeFill="accent3"/>
            <w:tcMar>
              <w:top w:w="72" w:type="dxa"/>
              <w:left w:w="144" w:type="dxa"/>
              <w:bottom w:w="72" w:type="dxa"/>
              <w:right w:w="144" w:type="dxa"/>
            </w:tcMar>
            <w:vAlign w:val="center"/>
            <w:hideMark/>
          </w:tcPr>
          <w:p w14:paraId="1880AAB3" w14:textId="77777777" w:rsidR="00BE0EEF" w:rsidRPr="00DD2C76" w:rsidRDefault="00BE0EEF" w:rsidP="00DD2C76">
            <w:pPr>
              <w:pStyle w:val="TableText"/>
              <w:spacing w:before="0" w:after="0"/>
              <w:rPr>
                <w:sz w:val="18"/>
                <w:szCs w:val="18"/>
              </w:rPr>
            </w:pPr>
            <w:r w:rsidRPr="00DD2C76">
              <w:rPr>
                <w:sz w:val="18"/>
                <w:szCs w:val="18"/>
              </w:rPr>
              <w:t>C</w:t>
            </w:r>
          </w:p>
        </w:tc>
        <w:tc>
          <w:tcPr>
            <w:tcW w:w="3320" w:type="dxa"/>
            <w:tcBorders>
              <w:top w:val="single" w:sz="6" w:space="0" w:color="9E9E9E"/>
              <w:left w:val="single" w:sz="6" w:space="0" w:color="9E9E9E"/>
              <w:bottom w:val="single" w:sz="6" w:space="0" w:color="9E9E9E"/>
              <w:right w:val="single" w:sz="6" w:space="0" w:color="9E9E9E"/>
            </w:tcBorders>
            <w:shd w:val="clear" w:color="auto" w:fill="auto"/>
            <w:tcMar>
              <w:top w:w="72" w:type="dxa"/>
              <w:left w:w="144" w:type="dxa"/>
              <w:bottom w:w="72" w:type="dxa"/>
              <w:right w:w="144" w:type="dxa"/>
            </w:tcMar>
            <w:hideMark/>
          </w:tcPr>
          <w:p w14:paraId="1B215A7D" w14:textId="77777777" w:rsidR="00BE0EEF" w:rsidRPr="00DD2C76" w:rsidRDefault="00BE0EEF" w:rsidP="00DD2C76">
            <w:pPr>
              <w:pStyle w:val="TableText"/>
              <w:spacing w:before="0" w:after="0"/>
              <w:rPr>
                <w:sz w:val="18"/>
                <w:szCs w:val="18"/>
              </w:rPr>
            </w:pPr>
            <w:r w:rsidRPr="00DD2C76">
              <w:rPr>
                <w:b/>
                <w:bCs/>
                <w:sz w:val="18"/>
                <w:szCs w:val="18"/>
              </w:rPr>
              <w:t>Conditional</w:t>
            </w:r>
            <w:r w:rsidRPr="00DD2C76">
              <w:rPr>
                <w:sz w:val="18"/>
                <w:szCs w:val="18"/>
              </w:rPr>
              <w:t xml:space="preserve"> – under specific or nuanced circumstances this model is acceptable </w:t>
            </w:r>
          </w:p>
        </w:tc>
      </w:tr>
      <w:tr w:rsidR="00BE0EEF" w:rsidRPr="00B65F7F" w14:paraId="4A164F93" w14:textId="77777777" w:rsidTr="006F6DD1">
        <w:trPr>
          <w:trHeight w:val="20"/>
          <w:jc w:val="right"/>
        </w:trPr>
        <w:tc>
          <w:tcPr>
            <w:tcW w:w="760" w:type="dxa"/>
            <w:tcBorders>
              <w:top w:val="single" w:sz="6" w:space="0" w:color="9E9E9E"/>
              <w:left w:val="single" w:sz="6" w:space="0" w:color="9E9E9E"/>
              <w:bottom w:val="single" w:sz="6" w:space="0" w:color="9E9E9E"/>
              <w:right w:val="single" w:sz="6" w:space="0" w:color="9E9E9E"/>
            </w:tcBorders>
            <w:shd w:val="clear" w:color="auto" w:fill="FCEDD2"/>
            <w:tcMar>
              <w:top w:w="72" w:type="dxa"/>
              <w:left w:w="144" w:type="dxa"/>
              <w:bottom w:w="72" w:type="dxa"/>
              <w:right w:w="144" w:type="dxa"/>
            </w:tcMar>
            <w:vAlign w:val="center"/>
            <w:hideMark/>
          </w:tcPr>
          <w:p w14:paraId="34BFFCEB" w14:textId="77777777" w:rsidR="00BE0EEF" w:rsidRPr="00DD2C76" w:rsidRDefault="00BE0EEF" w:rsidP="00DD2C76">
            <w:pPr>
              <w:pStyle w:val="TableText"/>
              <w:spacing w:before="0" w:after="0"/>
              <w:rPr>
                <w:sz w:val="18"/>
                <w:szCs w:val="18"/>
              </w:rPr>
            </w:pPr>
            <w:r w:rsidRPr="00DD2C76">
              <w:rPr>
                <w:sz w:val="18"/>
                <w:szCs w:val="18"/>
              </w:rPr>
              <w:t>/</w:t>
            </w:r>
          </w:p>
        </w:tc>
        <w:tc>
          <w:tcPr>
            <w:tcW w:w="3320" w:type="dxa"/>
            <w:tcBorders>
              <w:top w:val="single" w:sz="6" w:space="0" w:color="9E9E9E"/>
              <w:left w:val="single" w:sz="6" w:space="0" w:color="9E9E9E"/>
              <w:bottom w:val="single" w:sz="6" w:space="0" w:color="9E9E9E"/>
              <w:right w:val="single" w:sz="6" w:space="0" w:color="9E9E9E"/>
            </w:tcBorders>
            <w:shd w:val="clear" w:color="auto" w:fill="auto"/>
            <w:tcMar>
              <w:top w:w="72" w:type="dxa"/>
              <w:left w:w="144" w:type="dxa"/>
              <w:bottom w:w="72" w:type="dxa"/>
              <w:right w:w="144" w:type="dxa"/>
            </w:tcMar>
            <w:hideMark/>
          </w:tcPr>
          <w:p w14:paraId="44569EC9" w14:textId="77777777" w:rsidR="00BE0EEF" w:rsidRPr="00DD2C76" w:rsidRDefault="00BE0EEF" w:rsidP="00DD2C76">
            <w:pPr>
              <w:pStyle w:val="TableText"/>
              <w:spacing w:before="0" w:after="0"/>
              <w:rPr>
                <w:sz w:val="18"/>
                <w:szCs w:val="18"/>
              </w:rPr>
            </w:pPr>
            <w:r w:rsidRPr="00DD2C76">
              <w:rPr>
                <w:b/>
                <w:bCs/>
                <w:sz w:val="18"/>
                <w:szCs w:val="18"/>
              </w:rPr>
              <w:t>Unclear</w:t>
            </w:r>
            <w:r w:rsidRPr="00DD2C76">
              <w:rPr>
                <w:sz w:val="18"/>
                <w:szCs w:val="18"/>
              </w:rPr>
              <w:t xml:space="preserve"> – Specifics were not discussed or agreed to for various reasons </w:t>
            </w:r>
          </w:p>
        </w:tc>
      </w:tr>
      <w:tr w:rsidR="00BE0EEF" w:rsidRPr="00B65F7F" w14:paraId="213D0C89" w14:textId="77777777" w:rsidTr="001A3F9F">
        <w:trPr>
          <w:trHeight w:val="20"/>
          <w:jc w:val="right"/>
        </w:trPr>
        <w:tc>
          <w:tcPr>
            <w:tcW w:w="760" w:type="dxa"/>
            <w:tcBorders>
              <w:top w:val="single" w:sz="6" w:space="0" w:color="9E9E9E"/>
              <w:left w:val="single" w:sz="6" w:space="0" w:color="9E9E9E"/>
              <w:bottom w:val="single" w:sz="6" w:space="0" w:color="9E9E9E"/>
              <w:right w:val="single" w:sz="6" w:space="0" w:color="9E9E9E"/>
            </w:tcBorders>
            <w:shd w:val="clear" w:color="auto" w:fill="EFA31F" w:themeFill="accent4"/>
            <w:tcMar>
              <w:top w:w="72" w:type="dxa"/>
              <w:left w:w="144" w:type="dxa"/>
              <w:bottom w:w="72" w:type="dxa"/>
              <w:right w:w="144" w:type="dxa"/>
            </w:tcMar>
            <w:vAlign w:val="center"/>
            <w:hideMark/>
          </w:tcPr>
          <w:p w14:paraId="54F789FA" w14:textId="77777777" w:rsidR="00BE0EEF" w:rsidRPr="00DD2C76" w:rsidRDefault="00BE0EEF" w:rsidP="00DD2C76">
            <w:pPr>
              <w:pStyle w:val="TableText"/>
              <w:spacing w:before="0" w:after="0"/>
              <w:rPr>
                <w:sz w:val="18"/>
                <w:szCs w:val="18"/>
              </w:rPr>
            </w:pPr>
            <w:r w:rsidRPr="00DD2C76">
              <w:rPr>
                <w:sz w:val="18"/>
                <w:szCs w:val="18"/>
              </w:rPr>
              <w:t>N</w:t>
            </w:r>
          </w:p>
        </w:tc>
        <w:tc>
          <w:tcPr>
            <w:tcW w:w="3320" w:type="dxa"/>
            <w:tcBorders>
              <w:top w:val="single" w:sz="6" w:space="0" w:color="9E9E9E"/>
              <w:left w:val="single" w:sz="6" w:space="0" w:color="9E9E9E"/>
              <w:bottom w:val="single" w:sz="6" w:space="0" w:color="9E9E9E"/>
              <w:right w:val="single" w:sz="6" w:space="0" w:color="9E9E9E"/>
            </w:tcBorders>
            <w:shd w:val="clear" w:color="auto" w:fill="auto"/>
            <w:tcMar>
              <w:top w:w="72" w:type="dxa"/>
              <w:left w:w="144" w:type="dxa"/>
              <w:bottom w:w="72" w:type="dxa"/>
              <w:right w:w="144" w:type="dxa"/>
            </w:tcMar>
            <w:hideMark/>
          </w:tcPr>
          <w:p w14:paraId="377511EA" w14:textId="77777777" w:rsidR="00BE0EEF" w:rsidRPr="00DD2C76" w:rsidRDefault="00BE0EEF" w:rsidP="00DD2C76">
            <w:pPr>
              <w:pStyle w:val="TableText"/>
              <w:spacing w:before="0" w:after="0"/>
              <w:rPr>
                <w:sz w:val="18"/>
                <w:szCs w:val="18"/>
              </w:rPr>
            </w:pPr>
            <w:r w:rsidRPr="00DD2C76">
              <w:rPr>
                <w:b/>
                <w:bCs/>
                <w:sz w:val="18"/>
                <w:szCs w:val="18"/>
              </w:rPr>
              <w:t>No</w:t>
            </w:r>
            <w:r w:rsidRPr="00DD2C76">
              <w:rPr>
                <w:sz w:val="18"/>
                <w:szCs w:val="18"/>
              </w:rPr>
              <w:t xml:space="preserve"> – This model is not preferred</w:t>
            </w:r>
          </w:p>
        </w:tc>
      </w:tr>
    </w:tbl>
    <w:p w14:paraId="3E16A508" w14:textId="77777777" w:rsidR="00BE0EEF" w:rsidRPr="00B65F7F" w:rsidRDefault="00BE0EEF" w:rsidP="00292E56">
      <w:pPr>
        <w:pStyle w:val="BodyText"/>
      </w:pPr>
    </w:p>
    <w:tbl>
      <w:tblPr>
        <w:tblW w:w="14714" w:type="dxa"/>
        <w:tblInd w:w="-150" w:type="dxa"/>
        <w:tblCellMar>
          <w:left w:w="0" w:type="dxa"/>
          <w:right w:w="0" w:type="dxa"/>
        </w:tblCellMar>
        <w:tblLook w:val="0420" w:firstRow="1" w:lastRow="0" w:firstColumn="0" w:lastColumn="0" w:noHBand="0" w:noVBand="1"/>
        <w:tblCaption w:val="Table A12.1: Preferences of stakeholders who participated in the co-design yarns"/>
        <w:tblDescription w:val="The table describes the preferences of each Australian state and territory for different funding arrangements. Note that the table does not indicate each jurisdiction's final preference, and is based on a consensus view from the organisations and individuals who participated in the co-design of the Review.  &#10;&#10;The first column lists different funding arrangement models. The second column shows preferences for the New South Wales (NSW) region. There are sub columns under each main state or territory column that show the preferences of the ACCHO Sector compared with the NACCHO affiliate. For example, under the main NSW column, the preferences of the Aboriginal Health and Medical Research Council (the NACCHO affiliate for NSW) are compared with preferences of the Sector in NSW. There are four levels of preference. The first preference is 'Yes - Agree that this model is possible', which is indicated by a 'Y' letter on a dark blue background. The second preference is 'Conditional - under specific or nuanced circumstances this model is acceptable', which is indiated by a 'C' letter on a teal background. The third preference is 'Unclear - specifics were not discussed or agreed to for various reasons', which is indicated by a '/' symbol on a cream background. The fourth preference is 'No - This model is not preferred', which is indicated by an 'N' letter on an orange background.  &#10;&#10;Columns three to nine list the preferences of states and territories in this order: Victoria, Queensland, South Australia, Western Australia, Tasmania, Northern Territory and Australian Capital Territory. The third to ninth columns follow the same format as the second column, with a main column naming the relevant state or territory, and two sub-columns beneath comparing ACCHO Sector preferences with the relevant NACCHO affiliate.  &#10;&#10;The tenth column shows the preferences of NACCHO (National) for different funding arrangements. "/>
      </w:tblPr>
      <w:tblGrid>
        <w:gridCol w:w="1465"/>
        <w:gridCol w:w="767"/>
        <w:gridCol w:w="768"/>
        <w:gridCol w:w="768"/>
        <w:gridCol w:w="768"/>
        <w:gridCol w:w="768"/>
        <w:gridCol w:w="767"/>
        <w:gridCol w:w="768"/>
        <w:gridCol w:w="768"/>
        <w:gridCol w:w="768"/>
        <w:gridCol w:w="768"/>
        <w:gridCol w:w="767"/>
        <w:gridCol w:w="768"/>
        <w:gridCol w:w="768"/>
        <w:gridCol w:w="768"/>
        <w:gridCol w:w="768"/>
        <w:gridCol w:w="768"/>
        <w:gridCol w:w="964"/>
      </w:tblGrid>
      <w:tr w:rsidR="00BE0EEF" w:rsidRPr="00B65F7F" w14:paraId="3F92DED5" w14:textId="77777777" w:rsidTr="009D4C69">
        <w:trPr>
          <w:cantSplit/>
          <w:tblHeader/>
        </w:trPr>
        <w:tc>
          <w:tcPr>
            <w:tcW w:w="0" w:type="auto"/>
            <w:vMerge w:val="restart"/>
            <w:tcBorders>
              <w:top w:val="single" w:sz="6" w:space="0" w:color="9E9E9E"/>
              <w:left w:val="single" w:sz="6" w:space="0" w:color="9E9E9E"/>
              <w:bottom w:val="single" w:sz="6" w:space="0" w:color="9E9E9E"/>
              <w:right w:val="single" w:sz="6" w:space="0" w:color="9E9E9E"/>
            </w:tcBorders>
            <w:shd w:val="clear" w:color="auto" w:fill="auto"/>
            <w:tcMar>
              <w:top w:w="72" w:type="dxa"/>
              <w:left w:w="144" w:type="dxa"/>
              <w:bottom w:w="72" w:type="dxa"/>
              <w:right w:w="144" w:type="dxa"/>
            </w:tcMar>
            <w:vAlign w:val="bottom"/>
            <w:hideMark/>
          </w:tcPr>
          <w:p w14:paraId="05C605C4" w14:textId="77777777" w:rsidR="00BE0EEF" w:rsidRPr="00DD2C76" w:rsidRDefault="00BE0EEF" w:rsidP="00DD2C76">
            <w:pPr>
              <w:pStyle w:val="TableText"/>
              <w:spacing w:before="0" w:after="0"/>
              <w:rPr>
                <w:b/>
                <w:bCs/>
                <w:sz w:val="18"/>
                <w:szCs w:val="18"/>
              </w:rPr>
            </w:pPr>
            <w:r w:rsidRPr="00DD2C76">
              <w:rPr>
                <w:b/>
                <w:bCs/>
                <w:sz w:val="18"/>
                <w:szCs w:val="18"/>
              </w:rPr>
              <w:t>Model</w:t>
            </w:r>
          </w:p>
        </w:tc>
        <w:tc>
          <w:tcPr>
            <w:tcW w:w="1535" w:type="dxa"/>
            <w:gridSpan w:val="2"/>
            <w:tcBorders>
              <w:top w:val="single" w:sz="6" w:space="0" w:color="9E9E9E"/>
              <w:left w:val="single" w:sz="6" w:space="0" w:color="9E9E9E"/>
              <w:bottom w:val="single" w:sz="6" w:space="0" w:color="9E9E9E"/>
              <w:right w:val="single" w:sz="6" w:space="0" w:color="9E9E9E"/>
            </w:tcBorders>
            <w:shd w:val="clear" w:color="auto" w:fill="595959" w:themeFill="text1" w:themeFillTint="A6"/>
            <w:tcMar>
              <w:top w:w="72" w:type="dxa"/>
              <w:left w:w="144" w:type="dxa"/>
              <w:bottom w:w="72" w:type="dxa"/>
              <w:right w:w="144" w:type="dxa"/>
            </w:tcMar>
            <w:vAlign w:val="center"/>
            <w:hideMark/>
          </w:tcPr>
          <w:p w14:paraId="18D7EC39" w14:textId="77777777" w:rsidR="00BE0EEF" w:rsidRPr="00DD2C76" w:rsidRDefault="00BE0EEF" w:rsidP="00DD2C76">
            <w:pPr>
              <w:pStyle w:val="TableHeading"/>
              <w:spacing w:before="0" w:after="0"/>
              <w:rPr>
                <w:b/>
                <w:bCs/>
                <w:sz w:val="18"/>
                <w:szCs w:val="18"/>
              </w:rPr>
            </w:pPr>
            <w:r w:rsidRPr="00DD2C76">
              <w:rPr>
                <w:b/>
                <w:bCs/>
                <w:sz w:val="18"/>
                <w:szCs w:val="18"/>
              </w:rPr>
              <w:t>New South Wales</w:t>
            </w:r>
          </w:p>
        </w:tc>
        <w:tc>
          <w:tcPr>
            <w:tcW w:w="1536" w:type="dxa"/>
            <w:gridSpan w:val="2"/>
            <w:tcBorders>
              <w:top w:val="single" w:sz="6" w:space="0" w:color="9E9E9E"/>
              <w:left w:val="single" w:sz="6" w:space="0" w:color="9E9E9E"/>
              <w:bottom w:val="single" w:sz="6" w:space="0" w:color="9E9E9E"/>
              <w:right w:val="single" w:sz="6" w:space="0" w:color="9E9E9E"/>
            </w:tcBorders>
            <w:shd w:val="clear" w:color="auto" w:fill="595959" w:themeFill="text1" w:themeFillTint="A6"/>
            <w:tcMar>
              <w:top w:w="72" w:type="dxa"/>
              <w:left w:w="144" w:type="dxa"/>
              <w:bottom w:w="72" w:type="dxa"/>
              <w:right w:w="144" w:type="dxa"/>
            </w:tcMar>
            <w:vAlign w:val="center"/>
            <w:hideMark/>
          </w:tcPr>
          <w:p w14:paraId="2E8E0D24" w14:textId="77777777" w:rsidR="00BE0EEF" w:rsidRPr="00DD2C76" w:rsidRDefault="00BE0EEF" w:rsidP="00DD2C76">
            <w:pPr>
              <w:pStyle w:val="TableHeading"/>
              <w:spacing w:before="0" w:after="0"/>
              <w:rPr>
                <w:b/>
                <w:bCs/>
                <w:sz w:val="18"/>
                <w:szCs w:val="18"/>
              </w:rPr>
            </w:pPr>
            <w:r w:rsidRPr="00DD2C76">
              <w:rPr>
                <w:b/>
                <w:bCs/>
                <w:sz w:val="18"/>
                <w:szCs w:val="18"/>
              </w:rPr>
              <w:t>Victoria</w:t>
            </w:r>
          </w:p>
        </w:tc>
        <w:tc>
          <w:tcPr>
            <w:tcW w:w="1535" w:type="dxa"/>
            <w:gridSpan w:val="2"/>
            <w:tcBorders>
              <w:top w:val="single" w:sz="6" w:space="0" w:color="9E9E9E"/>
              <w:left w:val="single" w:sz="6" w:space="0" w:color="9E9E9E"/>
              <w:bottom w:val="single" w:sz="6" w:space="0" w:color="9E9E9E"/>
              <w:right w:val="single" w:sz="6" w:space="0" w:color="9E9E9E"/>
            </w:tcBorders>
            <w:shd w:val="clear" w:color="auto" w:fill="595959" w:themeFill="text1" w:themeFillTint="A6"/>
            <w:tcMar>
              <w:top w:w="72" w:type="dxa"/>
              <w:left w:w="144" w:type="dxa"/>
              <w:bottom w:w="72" w:type="dxa"/>
              <w:right w:w="144" w:type="dxa"/>
            </w:tcMar>
            <w:vAlign w:val="center"/>
            <w:hideMark/>
          </w:tcPr>
          <w:p w14:paraId="1A9AEE07" w14:textId="77777777" w:rsidR="00BE0EEF" w:rsidRPr="00DD2C76" w:rsidRDefault="00BE0EEF" w:rsidP="00DD2C76">
            <w:pPr>
              <w:pStyle w:val="TableHeading"/>
              <w:spacing w:before="0" w:after="0"/>
              <w:rPr>
                <w:b/>
                <w:bCs/>
                <w:sz w:val="18"/>
                <w:szCs w:val="18"/>
              </w:rPr>
            </w:pPr>
            <w:r w:rsidRPr="00DD2C76">
              <w:rPr>
                <w:b/>
                <w:bCs/>
                <w:sz w:val="18"/>
                <w:szCs w:val="18"/>
              </w:rPr>
              <w:t>Queensland</w:t>
            </w:r>
          </w:p>
        </w:tc>
        <w:tc>
          <w:tcPr>
            <w:tcW w:w="1536" w:type="dxa"/>
            <w:gridSpan w:val="2"/>
            <w:tcBorders>
              <w:top w:val="single" w:sz="6" w:space="0" w:color="9E9E9E"/>
              <w:left w:val="single" w:sz="6" w:space="0" w:color="9E9E9E"/>
              <w:bottom w:val="single" w:sz="6" w:space="0" w:color="9E9E9E"/>
              <w:right w:val="single" w:sz="6" w:space="0" w:color="9E9E9E"/>
            </w:tcBorders>
            <w:shd w:val="clear" w:color="auto" w:fill="595959" w:themeFill="text1" w:themeFillTint="A6"/>
            <w:tcMar>
              <w:top w:w="72" w:type="dxa"/>
              <w:left w:w="144" w:type="dxa"/>
              <w:bottom w:w="72" w:type="dxa"/>
              <w:right w:w="144" w:type="dxa"/>
            </w:tcMar>
            <w:vAlign w:val="center"/>
            <w:hideMark/>
          </w:tcPr>
          <w:p w14:paraId="44AA551D" w14:textId="77777777" w:rsidR="00BE0EEF" w:rsidRPr="00DD2C76" w:rsidRDefault="00BE0EEF" w:rsidP="00DD2C76">
            <w:pPr>
              <w:pStyle w:val="TableHeading"/>
              <w:spacing w:before="0" w:after="0"/>
              <w:rPr>
                <w:b/>
                <w:bCs/>
                <w:sz w:val="18"/>
                <w:szCs w:val="18"/>
              </w:rPr>
            </w:pPr>
            <w:r w:rsidRPr="00DD2C76">
              <w:rPr>
                <w:b/>
                <w:bCs/>
                <w:sz w:val="18"/>
                <w:szCs w:val="18"/>
              </w:rPr>
              <w:t>South Australia</w:t>
            </w:r>
          </w:p>
        </w:tc>
        <w:tc>
          <w:tcPr>
            <w:tcW w:w="1536" w:type="dxa"/>
            <w:gridSpan w:val="2"/>
            <w:tcBorders>
              <w:top w:val="single" w:sz="6" w:space="0" w:color="9E9E9E"/>
              <w:left w:val="single" w:sz="6" w:space="0" w:color="9E9E9E"/>
              <w:bottom w:val="single" w:sz="6" w:space="0" w:color="9E9E9E"/>
              <w:right w:val="single" w:sz="6" w:space="0" w:color="9E9E9E"/>
            </w:tcBorders>
            <w:shd w:val="clear" w:color="auto" w:fill="595959" w:themeFill="text1" w:themeFillTint="A6"/>
            <w:tcMar>
              <w:top w:w="72" w:type="dxa"/>
              <w:left w:w="144" w:type="dxa"/>
              <w:bottom w:w="72" w:type="dxa"/>
              <w:right w:w="144" w:type="dxa"/>
            </w:tcMar>
            <w:vAlign w:val="center"/>
            <w:hideMark/>
          </w:tcPr>
          <w:p w14:paraId="559019D1" w14:textId="77777777" w:rsidR="00BE0EEF" w:rsidRPr="00DD2C76" w:rsidRDefault="00BE0EEF" w:rsidP="00DD2C76">
            <w:pPr>
              <w:pStyle w:val="TableHeading"/>
              <w:spacing w:before="0" w:after="0"/>
              <w:rPr>
                <w:b/>
                <w:bCs/>
                <w:sz w:val="18"/>
                <w:szCs w:val="18"/>
              </w:rPr>
            </w:pPr>
            <w:r w:rsidRPr="00DD2C76">
              <w:rPr>
                <w:b/>
                <w:bCs/>
                <w:sz w:val="18"/>
                <w:szCs w:val="18"/>
              </w:rPr>
              <w:t>Western Australia</w:t>
            </w:r>
          </w:p>
        </w:tc>
        <w:tc>
          <w:tcPr>
            <w:tcW w:w="1535" w:type="dxa"/>
            <w:gridSpan w:val="2"/>
            <w:tcBorders>
              <w:top w:val="single" w:sz="6" w:space="0" w:color="9E9E9E"/>
              <w:left w:val="single" w:sz="6" w:space="0" w:color="9E9E9E"/>
              <w:bottom w:val="single" w:sz="6" w:space="0" w:color="9E9E9E"/>
              <w:right w:val="single" w:sz="6" w:space="0" w:color="9E9E9E"/>
            </w:tcBorders>
            <w:shd w:val="clear" w:color="auto" w:fill="595959" w:themeFill="text1" w:themeFillTint="A6"/>
            <w:tcMar>
              <w:top w:w="72" w:type="dxa"/>
              <w:left w:w="144" w:type="dxa"/>
              <w:bottom w:w="72" w:type="dxa"/>
              <w:right w:w="144" w:type="dxa"/>
            </w:tcMar>
            <w:vAlign w:val="center"/>
            <w:hideMark/>
          </w:tcPr>
          <w:p w14:paraId="143B506E" w14:textId="77777777" w:rsidR="00BE0EEF" w:rsidRPr="00DD2C76" w:rsidRDefault="00BE0EEF" w:rsidP="00DD2C76">
            <w:pPr>
              <w:pStyle w:val="TableHeading"/>
              <w:spacing w:before="0" w:after="0"/>
              <w:rPr>
                <w:b/>
                <w:bCs/>
                <w:sz w:val="18"/>
                <w:szCs w:val="18"/>
              </w:rPr>
            </w:pPr>
            <w:r w:rsidRPr="00DD2C76">
              <w:rPr>
                <w:b/>
                <w:bCs/>
                <w:sz w:val="18"/>
                <w:szCs w:val="18"/>
              </w:rPr>
              <w:t>Tasmania</w:t>
            </w:r>
          </w:p>
        </w:tc>
        <w:tc>
          <w:tcPr>
            <w:tcW w:w="1536" w:type="dxa"/>
            <w:gridSpan w:val="2"/>
            <w:tcBorders>
              <w:top w:val="single" w:sz="6" w:space="0" w:color="9E9E9E"/>
              <w:left w:val="single" w:sz="6" w:space="0" w:color="9E9E9E"/>
              <w:bottom w:val="single" w:sz="6" w:space="0" w:color="9E9E9E"/>
              <w:right w:val="single" w:sz="6" w:space="0" w:color="9E9E9E"/>
            </w:tcBorders>
            <w:shd w:val="clear" w:color="auto" w:fill="595959" w:themeFill="text1" w:themeFillTint="A6"/>
            <w:tcMar>
              <w:top w:w="72" w:type="dxa"/>
              <w:left w:w="144" w:type="dxa"/>
              <w:bottom w:w="72" w:type="dxa"/>
              <w:right w:w="144" w:type="dxa"/>
            </w:tcMar>
            <w:vAlign w:val="center"/>
            <w:hideMark/>
          </w:tcPr>
          <w:p w14:paraId="428935D9" w14:textId="77777777" w:rsidR="00BE0EEF" w:rsidRPr="00DD2C76" w:rsidRDefault="00BE0EEF" w:rsidP="00DD2C76">
            <w:pPr>
              <w:pStyle w:val="TableHeading"/>
              <w:spacing w:before="0" w:after="0"/>
              <w:rPr>
                <w:b/>
                <w:bCs/>
                <w:sz w:val="18"/>
                <w:szCs w:val="18"/>
              </w:rPr>
            </w:pPr>
            <w:r w:rsidRPr="00DD2C76">
              <w:rPr>
                <w:b/>
                <w:bCs/>
                <w:sz w:val="18"/>
                <w:szCs w:val="18"/>
              </w:rPr>
              <w:t>Northern Territory</w:t>
            </w:r>
          </w:p>
        </w:tc>
        <w:tc>
          <w:tcPr>
            <w:tcW w:w="1536" w:type="dxa"/>
            <w:gridSpan w:val="2"/>
            <w:tcBorders>
              <w:top w:val="single" w:sz="6" w:space="0" w:color="9E9E9E"/>
              <w:left w:val="single" w:sz="6" w:space="0" w:color="9E9E9E"/>
              <w:bottom w:val="single" w:sz="6" w:space="0" w:color="9E9E9E"/>
              <w:right w:val="single" w:sz="6" w:space="0" w:color="9E9E9E"/>
            </w:tcBorders>
            <w:shd w:val="clear" w:color="auto" w:fill="595959" w:themeFill="text1" w:themeFillTint="A6"/>
            <w:tcMar>
              <w:top w:w="72" w:type="dxa"/>
              <w:left w:w="144" w:type="dxa"/>
              <w:bottom w:w="72" w:type="dxa"/>
              <w:right w:w="144" w:type="dxa"/>
            </w:tcMar>
            <w:vAlign w:val="center"/>
            <w:hideMark/>
          </w:tcPr>
          <w:p w14:paraId="24E38DEA" w14:textId="77777777" w:rsidR="00BE0EEF" w:rsidRPr="00DD2C76" w:rsidRDefault="00BE0EEF" w:rsidP="00DD2C76">
            <w:pPr>
              <w:pStyle w:val="TableHeading"/>
              <w:spacing w:before="0" w:after="0"/>
              <w:rPr>
                <w:b/>
                <w:bCs/>
                <w:sz w:val="18"/>
                <w:szCs w:val="18"/>
              </w:rPr>
            </w:pPr>
            <w:r w:rsidRPr="00DD2C76">
              <w:rPr>
                <w:b/>
                <w:bCs/>
                <w:sz w:val="18"/>
                <w:szCs w:val="18"/>
              </w:rPr>
              <w:t>Australian Capital Territory</w:t>
            </w:r>
          </w:p>
        </w:tc>
        <w:tc>
          <w:tcPr>
            <w:tcW w:w="964" w:type="dxa"/>
            <w:tcBorders>
              <w:top w:val="single" w:sz="6" w:space="0" w:color="9E9E9E"/>
              <w:left w:val="single" w:sz="6" w:space="0" w:color="9E9E9E"/>
              <w:bottom w:val="single" w:sz="6" w:space="0" w:color="9E9E9E"/>
              <w:right w:val="single" w:sz="6" w:space="0" w:color="9E9E9E"/>
            </w:tcBorders>
            <w:shd w:val="clear" w:color="auto" w:fill="595959" w:themeFill="text1" w:themeFillTint="A6"/>
            <w:tcMar>
              <w:top w:w="72" w:type="dxa"/>
              <w:left w:w="144" w:type="dxa"/>
              <w:bottom w:w="72" w:type="dxa"/>
              <w:right w:w="144" w:type="dxa"/>
            </w:tcMar>
            <w:vAlign w:val="center"/>
            <w:hideMark/>
          </w:tcPr>
          <w:p w14:paraId="48C819CE" w14:textId="77777777" w:rsidR="00BE0EEF" w:rsidRPr="00DD2C76" w:rsidRDefault="00BE0EEF" w:rsidP="00DD2C76">
            <w:pPr>
              <w:pStyle w:val="TableHeading"/>
              <w:spacing w:before="0" w:after="0"/>
              <w:rPr>
                <w:b/>
                <w:bCs/>
                <w:sz w:val="18"/>
                <w:szCs w:val="18"/>
              </w:rPr>
            </w:pPr>
            <w:r w:rsidRPr="00DD2C76">
              <w:rPr>
                <w:b/>
                <w:bCs/>
                <w:sz w:val="18"/>
                <w:szCs w:val="18"/>
              </w:rPr>
              <w:t>National</w:t>
            </w:r>
          </w:p>
        </w:tc>
      </w:tr>
      <w:tr w:rsidR="00BE0EEF" w:rsidRPr="00B65F7F" w14:paraId="321B3813" w14:textId="77777777" w:rsidTr="009D4C69">
        <w:trPr>
          <w:trHeight w:val="1007"/>
          <w:tblHeader/>
        </w:trPr>
        <w:tc>
          <w:tcPr>
            <w:tcW w:w="0" w:type="auto"/>
            <w:vMerge/>
            <w:tcBorders>
              <w:top w:val="single" w:sz="6" w:space="0" w:color="9E9E9E"/>
              <w:left w:val="single" w:sz="6" w:space="0" w:color="9E9E9E"/>
              <w:bottom w:val="single" w:sz="6" w:space="0" w:color="9E9E9E"/>
              <w:right w:val="single" w:sz="6" w:space="0" w:color="9E9E9E"/>
            </w:tcBorders>
            <w:shd w:val="clear" w:color="auto" w:fill="auto"/>
            <w:vAlign w:val="center"/>
            <w:hideMark/>
          </w:tcPr>
          <w:p w14:paraId="007B79E8" w14:textId="77777777" w:rsidR="00BE0EEF" w:rsidRPr="00DD2C76" w:rsidRDefault="00BE0EEF" w:rsidP="00DD2C76">
            <w:pPr>
              <w:pStyle w:val="TableText"/>
              <w:spacing w:before="0" w:after="0"/>
              <w:rPr>
                <w:b/>
                <w:bCs/>
                <w:sz w:val="18"/>
                <w:szCs w:val="18"/>
              </w:rPr>
            </w:pPr>
          </w:p>
        </w:tc>
        <w:tc>
          <w:tcPr>
            <w:tcW w:w="767" w:type="dxa"/>
            <w:tcBorders>
              <w:top w:val="single" w:sz="6" w:space="0" w:color="9E9E9E"/>
              <w:left w:val="single" w:sz="6" w:space="0" w:color="9E9E9E"/>
              <w:bottom w:val="single" w:sz="6" w:space="0" w:color="9E9E9E"/>
              <w:right w:val="single" w:sz="6" w:space="0" w:color="9E9E9E"/>
            </w:tcBorders>
            <w:shd w:val="clear" w:color="auto" w:fill="F2F2F2" w:themeFill="background1" w:themeFillShade="F2"/>
            <w:tcMar>
              <w:top w:w="72" w:type="dxa"/>
              <w:left w:w="144" w:type="dxa"/>
              <w:bottom w:w="72" w:type="dxa"/>
              <w:right w:w="144" w:type="dxa"/>
            </w:tcMar>
            <w:textDirection w:val="btLr"/>
            <w:vAlign w:val="center"/>
            <w:hideMark/>
          </w:tcPr>
          <w:p w14:paraId="1C007BAC" w14:textId="151E143D" w:rsidR="00BE0EEF" w:rsidRPr="00DD2C76" w:rsidRDefault="00BE0EEF" w:rsidP="00DD2C76">
            <w:pPr>
              <w:pStyle w:val="TableText"/>
              <w:spacing w:before="0" w:after="0"/>
              <w:rPr>
                <w:b/>
                <w:bCs/>
                <w:sz w:val="18"/>
                <w:szCs w:val="18"/>
              </w:rPr>
            </w:pPr>
            <w:r w:rsidRPr="00DD2C76">
              <w:rPr>
                <w:b/>
                <w:bCs/>
                <w:sz w:val="18"/>
                <w:szCs w:val="18"/>
              </w:rPr>
              <w:t>Secto</w:t>
            </w:r>
            <w:r w:rsidR="009F351B">
              <w:rPr>
                <w:b/>
                <w:bCs/>
                <w:sz w:val="18"/>
                <w:szCs w:val="18"/>
              </w:rPr>
              <w:t>Y</w:t>
            </w:r>
            <w:r w:rsidRPr="00DD2C76">
              <w:rPr>
                <w:b/>
                <w:bCs/>
                <w:sz w:val="18"/>
                <w:szCs w:val="18"/>
              </w:rPr>
              <w:t>r</w:t>
            </w:r>
          </w:p>
        </w:tc>
        <w:tc>
          <w:tcPr>
            <w:tcW w:w="768" w:type="dxa"/>
            <w:tcBorders>
              <w:top w:val="single" w:sz="6" w:space="0" w:color="9E9E9E"/>
              <w:left w:val="single" w:sz="6" w:space="0" w:color="9E9E9E"/>
              <w:bottom w:val="single" w:sz="6" w:space="0" w:color="9E9E9E"/>
              <w:right w:val="single" w:sz="6" w:space="0" w:color="9E9E9E"/>
            </w:tcBorders>
            <w:shd w:val="clear" w:color="auto" w:fill="F2F2F2" w:themeFill="background1" w:themeFillShade="F2"/>
            <w:tcMar>
              <w:top w:w="72" w:type="dxa"/>
              <w:left w:w="144" w:type="dxa"/>
              <w:bottom w:w="72" w:type="dxa"/>
              <w:right w:w="144" w:type="dxa"/>
            </w:tcMar>
            <w:textDirection w:val="btLr"/>
            <w:vAlign w:val="center"/>
            <w:hideMark/>
          </w:tcPr>
          <w:p w14:paraId="5995266A" w14:textId="77777777" w:rsidR="00BE0EEF" w:rsidRPr="00DD2C76" w:rsidRDefault="00BE0EEF" w:rsidP="00DD2C76">
            <w:pPr>
              <w:pStyle w:val="TableText"/>
              <w:spacing w:before="0" w:after="0"/>
              <w:rPr>
                <w:b/>
                <w:bCs/>
                <w:sz w:val="18"/>
                <w:szCs w:val="18"/>
              </w:rPr>
            </w:pPr>
            <w:r w:rsidRPr="00DD2C76">
              <w:rPr>
                <w:b/>
                <w:bCs/>
                <w:sz w:val="18"/>
                <w:szCs w:val="18"/>
              </w:rPr>
              <w:t>AH&amp;MRC</w:t>
            </w:r>
          </w:p>
        </w:tc>
        <w:tc>
          <w:tcPr>
            <w:tcW w:w="768" w:type="dxa"/>
            <w:tcBorders>
              <w:top w:val="single" w:sz="6" w:space="0" w:color="9E9E9E"/>
              <w:left w:val="single" w:sz="6" w:space="0" w:color="9E9E9E"/>
              <w:bottom w:val="single" w:sz="6" w:space="0" w:color="9E9E9E"/>
              <w:right w:val="single" w:sz="6" w:space="0" w:color="9E9E9E"/>
            </w:tcBorders>
            <w:shd w:val="clear" w:color="auto" w:fill="F2F2F2" w:themeFill="background1" w:themeFillShade="F2"/>
            <w:tcMar>
              <w:top w:w="72" w:type="dxa"/>
              <w:left w:w="144" w:type="dxa"/>
              <w:bottom w:w="72" w:type="dxa"/>
              <w:right w:w="144" w:type="dxa"/>
            </w:tcMar>
            <w:textDirection w:val="btLr"/>
            <w:vAlign w:val="center"/>
            <w:hideMark/>
          </w:tcPr>
          <w:p w14:paraId="49EF86F0" w14:textId="77777777" w:rsidR="00BE0EEF" w:rsidRPr="00DD2C76" w:rsidRDefault="00BE0EEF" w:rsidP="00DD2C76">
            <w:pPr>
              <w:pStyle w:val="TableText"/>
              <w:spacing w:before="0" w:after="0"/>
              <w:rPr>
                <w:b/>
                <w:bCs/>
                <w:sz w:val="18"/>
                <w:szCs w:val="18"/>
              </w:rPr>
            </w:pPr>
            <w:r w:rsidRPr="00DD2C76">
              <w:rPr>
                <w:b/>
                <w:bCs/>
                <w:sz w:val="18"/>
                <w:szCs w:val="18"/>
              </w:rPr>
              <w:t>Sector</w:t>
            </w:r>
          </w:p>
        </w:tc>
        <w:tc>
          <w:tcPr>
            <w:tcW w:w="768" w:type="dxa"/>
            <w:tcBorders>
              <w:top w:val="single" w:sz="6" w:space="0" w:color="9E9E9E"/>
              <w:left w:val="single" w:sz="6" w:space="0" w:color="9E9E9E"/>
              <w:bottom w:val="single" w:sz="6" w:space="0" w:color="9E9E9E"/>
              <w:right w:val="single" w:sz="6" w:space="0" w:color="9E9E9E"/>
            </w:tcBorders>
            <w:shd w:val="clear" w:color="auto" w:fill="F2F2F2" w:themeFill="background1" w:themeFillShade="F2"/>
            <w:tcMar>
              <w:top w:w="72" w:type="dxa"/>
              <w:left w:w="144" w:type="dxa"/>
              <w:bottom w:w="72" w:type="dxa"/>
              <w:right w:w="144" w:type="dxa"/>
            </w:tcMar>
            <w:textDirection w:val="btLr"/>
            <w:vAlign w:val="center"/>
            <w:hideMark/>
          </w:tcPr>
          <w:p w14:paraId="05187FEE" w14:textId="77777777" w:rsidR="00BE0EEF" w:rsidRPr="00DD2C76" w:rsidRDefault="00BE0EEF" w:rsidP="00DD2C76">
            <w:pPr>
              <w:pStyle w:val="TableText"/>
              <w:spacing w:before="0" w:after="0"/>
              <w:rPr>
                <w:b/>
                <w:bCs/>
                <w:sz w:val="18"/>
                <w:szCs w:val="18"/>
              </w:rPr>
            </w:pPr>
            <w:r w:rsidRPr="00DD2C76">
              <w:rPr>
                <w:b/>
                <w:bCs/>
                <w:sz w:val="18"/>
                <w:szCs w:val="18"/>
              </w:rPr>
              <w:t>VACCHO</w:t>
            </w:r>
          </w:p>
        </w:tc>
        <w:tc>
          <w:tcPr>
            <w:tcW w:w="768" w:type="dxa"/>
            <w:tcBorders>
              <w:top w:val="single" w:sz="6" w:space="0" w:color="9E9E9E"/>
              <w:left w:val="single" w:sz="6" w:space="0" w:color="9E9E9E"/>
              <w:bottom w:val="single" w:sz="6" w:space="0" w:color="9E9E9E"/>
              <w:right w:val="single" w:sz="6" w:space="0" w:color="9E9E9E"/>
            </w:tcBorders>
            <w:shd w:val="clear" w:color="auto" w:fill="F2F2F2" w:themeFill="background1" w:themeFillShade="F2"/>
            <w:tcMar>
              <w:top w:w="72" w:type="dxa"/>
              <w:left w:w="144" w:type="dxa"/>
              <w:bottom w:w="72" w:type="dxa"/>
              <w:right w:w="144" w:type="dxa"/>
            </w:tcMar>
            <w:textDirection w:val="btLr"/>
            <w:vAlign w:val="center"/>
            <w:hideMark/>
          </w:tcPr>
          <w:p w14:paraId="17F07FAA" w14:textId="77777777" w:rsidR="00BE0EEF" w:rsidRPr="00DD2C76" w:rsidRDefault="00BE0EEF" w:rsidP="00DD2C76">
            <w:pPr>
              <w:pStyle w:val="TableText"/>
              <w:spacing w:before="0" w:after="0"/>
              <w:rPr>
                <w:b/>
                <w:bCs/>
                <w:sz w:val="18"/>
                <w:szCs w:val="18"/>
              </w:rPr>
            </w:pPr>
            <w:r w:rsidRPr="00DD2C76">
              <w:rPr>
                <w:b/>
                <w:bCs/>
                <w:sz w:val="18"/>
                <w:szCs w:val="18"/>
              </w:rPr>
              <w:t>Sector</w:t>
            </w:r>
          </w:p>
        </w:tc>
        <w:tc>
          <w:tcPr>
            <w:tcW w:w="767" w:type="dxa"/>
            <w:tcBorders>
              <w:top w:val="single" w:sz="6" w:space="0" w:color="9E9E9E"/>
              <w:left w:val="single" w:sz="6" w:space="0" w:color="9E9E9E"/>
              <w:bottom w:val="single" w:sz="6" w:space="0" w:color="9E9E9E"/>
              <w:right w:val="single" w:sz="6" w:space="0" w:color="9E9E9E"/>
            </w:tcBorders>
            <w:shd w:val="clear" w:color="auto" w:fill="F2F2F2" w:themeFill="background1" w:themeFillShade="F2"/>
            <w:tcMar>
              <w:top w:w="72" w:type="dxa"/>
              <w:left w:w="144" w:type="dxa"/>
              <w:bottom w:w="72" w:type="dxa"/>
              <w:right w:w="144" w:type="dxa"/>
            </w:tcMar>
            <w:textDirection w:val="btLr"/>
            <w:vAlign w:val="center"/>
            <w:hideMark/>
          </w:tcPr>
          <w:p w14:paraId="005E6B10" w14:textId="77777777" w:rsidR="00BE0EEF" w:rsidRPr="00DD2C76" w:rsidRDefault="00BE0EEF" w:rsidP="00DD2C76">
            <w:pPr>
              <w:pStyle w:val="TableText"/>
              <w:spacing w:before="0" w:after="0"/>
              <w:rPr>
                <w:b/>
                <w:bCs/>
                <w:sz w:val="18"/>
                <w:szCs w:val="18"/>
              </w:rPr>
            </w:pPr>
            <w:r w:rsidRPr="00DD2C76">
              <w:rPr>
                <w:b/>
                <w:bCs/>
                <w:sz w:val="18"/>
                <w:szCs w:val="18"/>
              </w:rPr>
              <w:t>QAIHC</w:t>
            </w:r>
          </w:p>
        </w:tc>
        <w:tc>
          <w:tcPr>
            <w:tcW w:w="768" w:type="dxa"/>
            <w:tcBorders>
              <w:top w:val="single" w:sz="6" w:space="0" w:color="9E9E9E"/>
              <w:left w:val="single" w:sz="6" w:space="0" w:color="9E9E9E"/>
              <w:bottom w:val="single" w:sz="6" w:space="0" w:color="9E9E9E"/>
              <w:right w:val="single" w:sz="6" w:space="0" w:color="9E9E9E"/>
            </w:tcBorders>
            <w:shd w:val="clear" w:color="auto" w:fill="F2F2F2" w:themeFill="background1" w:themeFillShade="F2"/>
            <w:tcMar>
              <w:top w:w="72" w:type="dxa"/>
              <w:left w:w="144" w:type="dxa"/>
              <w:bottom w:w="72" w:type="dxa"/>
              <w:right w:w="144" w:type="dxa"/>
            </w:tcMar>
            <w:textDirection w:val="btLr"/>
            <w:vAlign w:val="center"/>
            <w:hideMark/>
          </w:tcPr>
          <w:p w14:paraId="413DF12C" w14:textId="77777777" w:rsidR="00BE0EEF" w:rsidRPr="00DD2C76" w:rsidRDefault="00BE0EEF" w:rsidP="00DD2C76">
            <w:pPr>
              <w:pStyle w:val="TableText"/>
              <w:spacing w:before="0" w:after="0"/>
              <w:rPr>
                <w:b/>
                <w:bCs/>
                <w:sz w:val="18"/>
                <w:szCs w:val="18"/>
              </w:rPr>
            </w:pPr>
            <w:r w:rsidRPr="00DD2C76">
              <w:rPr>
                <w:b/>
                <w:bCs/>
                <w:sz w:val="18"/>
                <w:szCs w:val="18"/>
              </w:rPr>
              <w:t>Sector</w:t>
            </w:r>
          </w:p>
        </w:tc>
        <w:tc>
          <w:tcPr>
            <w:tcW w:w="768" w:type="dxa"/>
            <w:tcBorders>
              <w:top w:val="single" w:sz="6" w:space="0" w:color="9E9E9E"/>
              <w:left w:val="single" w:sz="6" w:space="0" w:color="9E9E9E"/>
              <w:bottom w:val="single" w:sz="6" w:space="0" w:color="9E9E9E"/>
              <w:right w:val="single" w:sz="6" w:space="0" w:color="9E9E9E"/>
            </w:tcBorders>
            <w:shd w:val="clear" w:color="auto" w:fill="F2F2F2" w:themeFill="background1" w:themeFillShade="F2"/>
            <w:tcMar>
              <w:top w:w="72" w:type="dxa"/>
              <w:left w:w="144" w:type="dxa"/>
              <w:bottom w:w="72" w:type="dxa"/>
              <w:right w:w="144" w:type="dxa"/>
            </w:tcMar>
            <w:textDirection w:val="btLr"/>
            <w:vAlign w:val="center"/>
            <w:hideMark/>
          </w:tcPr>
          <w:p w14:paraId="0059ECD9" w14:textId="77777777" w:rsidR="00BE0EEF" w:rsidRPr="00DD2C76" w:rsidRDefault="00BE0EEF" w:rsidP="00DD2C76">
            <w:pPr>
              <w:pStyle w:val="TableText"/>
              <w:spacing w:before="0" w:after="0"/>
              <w:rPr>
                <w:b/>
                <w:bCs/>
                <w:sz w:val="18"/>
                <w:szCs w:val="18"/>
              </w:rPr>
            </w:pPr>
            <w:r w:rsidRPr="00DD2C76">
              <w:rPr>
                <w:b/>
                <w:bCs/>
                <w:sz w:val="18"/>
                <w:szCs w:val="18"/>
              </w:rPr>
              <w:t>AHCSA</w:t>
            </w:r>
          </w:p>
        </w:tc>
        <w:tc>
          <w:tcPr>
            <w:tcW w:w="768" w:type="dxa"/>
            <w:tcBorders>
              <w:top w:val="single" w:sz="6" w:space="0" w:color="9E9E9E"/>
              <w:left w:val="single" w:sz="6" w:space="0" w:color="9E9E9E"/>
              <w:bottom w:val="single" w:sz="6" w:space="0" w:color="9E9E9E"/>
              <w:right w:val="single" w:sz="6" w:space="0" w:color="9E9E9E"/>
            </w:tcBorders>
            <w:shd w:val="clear" w:color="auto" w:fill="F2F2F2" w:themeFill="background1" w:themeFillShade="F2"/>
            <w:tcMar>
              <w:top w:w="72" w:type="dxa"/>
              <w:left w:w="144" w:type="dxa"/>
              <w:bottom w:w="72" w:type="dxa"/>
              <w:right w:w="144" w:type="dxa"/>
            </w:tcMar>
            <w:textDirection w:val="btLr"/>
            <w:vAlign w:val="center"/>
            <w:hideMark/>
          </w:tcPr>
          <w:p w14:paraId="14DFE3C0" w14:textId="77777777" w:rsidR="00BE0EEF" w:rsidRPr="00DD2C76" w:rsidRDefault="00BE0EEF" w:rsidP="00DD2C76">
            <w:pPr>
              <w:pStyle w:val="TableText"/>
              <w:spacing w:before="0" w:after="0"/>
              <w:rPr>
                <w:b/>
                <w:bCs/>
                <w:sz w:val="18"/>
                <w:szCs w:val="18"/>
              </w:rPr>
            </w:pPr>
            <w:r w:rsidRPr="00DD2C76">
              <w:rPr>
                <w:b/>
                <w:bCs/>
                <w:sz w:val="18"/>
                <w:szCs w:val="18"/>
              </w:rPr>
              <w:t>Sector</w:t>
            </w:r>
          </w:p>
        </w:tc>
        <w:tc>
          <w:tcPr>
            <w:tcW w:w="768" w:type="dxa"/>
            <w:tcBorders>
              <w:top w:val="single" w:sz="6" w:space="0" w:color="9E9E9E"/>
              <w:left w:val="single" w:sz="6" w:space="0" w:color="9E9E9E"/>
              <w:bottom w:val="single" w:sz="6" w:space="0" w:color="9E9E9E"/>
              <w:right w:val="single" w:sz="6" w:space="0" w:color="9E9E9E"/>
            </w:tcBorders>
            <w:shd w:val="clear" w:color="auto" w:fill="F2F2F2" w:themeFill="background1" w:themeFillShade="F2"/>
            <w:tcMar>
              <w:top w:w="72" w:type="dxa"/>
              <w:left w:w="144" w:type="dxa"/>
              <w:bottom w:w="72" w:type="dxa"/>
              <w:right w:w="144" w:type="dxa"/>
            </w:tcMar>
            <w:textDirection w:val="btLr"/>
            <w:vAlign w:val="center"/>
            <w:hideMark/>
          </w:tcPr>
          <w:p w14:paraId="6C3108F3" w14:textId="77777777" w:rsidR="00BE0EEF" w:rsidRPr="00DD2C76" w:rsidRDefault="00BE0EEF" w:rsidP="00DD2C76">
            <w:pPr>
              <w:pStyle w:val="TableText"/>
              <w:spacing w:before="0" w:after="0"/>
              <w:rPr>
                <w:b/>
                <w:bCs/>
                <w:sz w:val="18"/>
                <w:szCs w:val="18"/>
              </w:rPr>
            </w:pPr>
            <w:r w:rsidRPr="00DD2C76">
              <w:rPr>
                <w:b/>
                <w:bCs/>
                <w:sz w:val="18"/>
                <w:szCs w:val="18"/>
              </w:rPr>
              <w:t>AHCWA</w:t>
            </w:r>
          </w:p>
        </w:tc>
        <w:tc>
          <w:tcPr>
            <w:tcW w:w="767" w:type="dxa"/>
            <w:tcBorders>
              <w:top w:val="single" w:sz="6" w:space="0" w:color="9E9E9E"/>
              <w:left w:val="single" w:sz="6" w:space="0" w:color="9E9E9E"/>
              <w:bottom w:val="single" w:sz="6" w:space="0" w:color="9E9E9E"/>
              <w:right w:val="single" w:sz="6" w:space="0" w:color="9E9E9E"/>
            </w:tcBorders>
            <w:shd w:val="clear" w:color="auto" w:fill="F2F2F2" w:themeFill="background1" w:themeFillShade="F2"/>
            <w:tcMar>
              <w:top w:w="72" w:type="dxa"/>
              <w:left w:w="144" w:type="dxa"/>
              <w:bottom w:w="72" w:type="dxa"/>
              <w:right w:w="144" w:type="dxa"/>
            </w:tcMar>
            <w:textDirection w:val="btLr"/>
            <w:vAlign w:val="center"/>
            <w:hideMark/>
          </w:tcPr>
          <w:p w14:paraId="3031566F" w14:textId="77777777" w:rsidR="00BE0EEF" w:rsidRPr="00DD2C76" w:rsidRDefault="00BE0EEF" w:rsidP="00DD2C76">
            <w:pPr>
              <w:pStyle w:val="TableText"/>
              <w:spacing w:before="0" w:after="0"/>
              <w:rPr>
                <w:b/>
                <w:bCs/>
                <w:sz w:val="18"/>
                <w:szCs w:val="18"/>
              </w:rPr>
            </w:pPr>
            <w:r w:rsidRPr="00DD2C76">
              <w:rPr>
                <w:b/>
                <w:bCs/>
                <w:sz w:val="18"/>
                <w:szCs w:val="18"/>
              </w:rPr>
              <w:t>Non-TAC members</w:t>
            </w:r>
          </w:p>
        </w:tc>
        <w:tc>
          <w:tcPr>
            <w:tcW w:w="768" w:type="dxa"/>
            <w:tcBorders>
              <w:top w:val="single" w:sz="6" w:space="0" w:color="9E9E9E"/>
              <w:left w:val="single" w:sz="6" w:space="0" w:color="9E9E9E"/>
              <w:bottom w:val="single" w:sz="6" w:space="0" w:color="9E9E9E"/>
              <w:right w:val="single" w:sz="6" w:space="0" w:color="9E9E9E"/>
            </w:tcBorders>
            <w:shd w:val="clear" w:color="auto" w:fill="F2F2F2" w:themeFill="background1" w:themeFillShade="F2"/>
            <w:tcMar>
              <w:top w:w="72" w:type="dxa"/>
              <w:left w:w="144" w:type="dxa"/>
              <w:bottom w:w="72" w:type="dxa"/>
              <w:right w:w="144" w:type="dxa"/>
            </w:tcMar>
            <w:textDirection w:val="btLr"/>
            <w:vAlign w:val="center"/>
            <w:hideMark/>
          </w:tcPr>
          <w:p w14:paraId="6FCDAB7A" w14:textId="77777777" w:rsidR="00BE0EEF" w:rsidRPr="00DD2C76" w:rsidRDefault="00BE0EEF" w:rsidP="00DD2C76">
            <w:pPr>
              <w:pStyle w:val="TableText"/>
              <w:spacing w:before="0" w:after="0"/>
              <w:rPr>
                <w:b/>
                <w:bCs/>
                <w:sz w:val="18"/>
                <w:szCs w:val="18"/>
              </w:rPr>
            </w:pPr>
            <w:r w:rsidRPr="00DD2C76">
              <w:rPr>
                <w:b/>
                <w:bCs/>
                <w:sz w:val="18"/>
                <w:szCs w:val="18"/>
              </w:rPr>
              <w:t>TAC</w:t>
            </w:r>
          </w:p>
        </w:tc>
        <w:tc>
          <w:tcPr>
            <w:tcW w:w="768" w:type="dxa"/>
            <w:tcBorders>
              <w:top w:val="single" w:sz="6" w:space="0" w:color="9E9E9E"/>
              <w:left w:val="single" w:sz="6" w:space="0" w:color="9E9E9E"/>
              <w:bottom w:val="single" w:sz="6" w:space="0" w:color="9E9E9E"/>
              <w:right w:val="single" w:sz="6" w:space="0" w:color="9E9E9E"/>
            </w:tcBorders>
            <w:shd w:val="clear" w:color="auto" w:fill="F2F2F2" w:themeFill="background1" w:themeFillShade="F2"/>
            <w:tcMar>
              <w:top w:w="72" w:type="dxa"/>
              <w:left w:w="144" w:type="dxa"/>
              <w:bottom w:w="72" w:type="dxa"/>
              <w:right w:w="144" w:type="dxa"/>
            </w:tcMar>
            <w:textDirection w:val="btLr"/>
            <w:vAlign w:val="center"/>
            <w:hideMark/>
          </w:tcPr>
          <w:p w14:paraId="40384847" w14:textId="77777777" w:rsidR="00BE0EEF" w:rsidRPr="00DD2C76" w:rsidRDefault="00BE0EEF" w:rsidP="00DD2C76">
            <w:pPr>
              <w:pStyle w:val="TableText"/>
              <w:spacing w:before="0" w:after="0"/>
              <w:rPr>
                <w:b/>
                <w:bCs/>
                <w:sz w:val="18"/>
                <w:szCs w:val="18"/>
              </w:rPr>
            </w:pPr>
            <w:r w:rsidRPr="00DD2C76">
              <w:rPr>
                <w:b/>
                <w:bCs/>
                <w:sz w:val="18"/>
                <w:szCs w:val="18"/>
              </w:rPr>
              <w:t>Sector</w:t>
            </w:r>
          </w:p>
        </w:tc>
        <w:tc>
          <w:tcPr>
            <w:tcW w:w="768" w:type="dxa"/>
            <w:tcBorders>
              <w:top w:val="single" w:sz="6" w:space="0" w:color="9E9E9E"/>
              <w:left w:val="single" w:sz="6" w:space="0" w:color="9E9E9E"/>
              <w:bottom w:val="single" w:sz="6" w:space="0" w:color="9E9E9E"/>
              <w:right w:val="single" w:sz="6" w:space="0" w:color="9E9E9E"/>
            </w:tcBorders>
            <w:shd w:val="clear" w:color="auto" w:fill="F2F2F2" w:themeFill="background1" w:themeFillShade="F2"/>
            <w:tcMar>
              <w:top w:w="72" w:type="dxa"/>
              <w:left w:w="144" w:type="dxa"/>
              <w:bottom w:w="72" w:type="dxa"/>
              <w:right w:w="144" w:type="dxa"/>
            </w:tcMar>
            <w:textDirection w:val="btLr"/>
            <w:vAlign w:val="center"/>
            <w:hideMark/>
          </w:tcPr>
          <w:p w14:paraId="4A39A748" w14:textId="77777777" w:rsidR="00BE0EEF" w:rsidRPr="00DD2C76" w:rsidRDefault="00BE0EEF" w:rsidP="00DD2C76">
            <w:pPr>
              <w:pStyle w:val="TableText"/>
              <w:spacing w:before="0" w:after="0"/>
              <w:rPr>
                <w:b/>
                <w:bCs/>
                <w:sz w:val="18"/>
                <w:szCs w:val="18"/>
              </w:rPr>
            </w:pPr>
            <w:r w:rsidRPr="00DD2C76">
              <w:rPr>
                <w:b/>
                <w:bCs/>
                <w:sz w:val="18"/>
                <w:szCs w:val="18"/>
              </w:rPr>
              <w:t>AMSANT</w:t>
            </w:r>
          </w:p>
        </w:tc>
        <w:tc>
          <w:tcPr>
            <w:tcW w:w="768" w:type="dxa"/>
            <w:tcBorders>
              <w:top w:val="single" w:sz="6" w:space="0" w:color="9E9E9E"/>
              <w:left w:val="single" w:sz="6" w:space="0" w:color="9E9E9E"/>
              <w:bottom w:val="single" w:sz="6" w:space="0" w:color="9E9E9E"/>
              <w:right w:val="single" w:sz="6" w:space="0" w:color="9E9E9E"/>
            </w:tcBorders>
            <w:shd w:val="clear" w:color="auto" w:fill="F2F2F2" w:themeFill="background1" w:themeFillShade="F2"/>
            <w:tcMar>
              <w:top w:w="72" w:type="dxa"/>
              <w:left w:w="144" w:type="dxa"/>
              <w:bottom w:w="72" w:type="dxa"/>
              <w:right w:w="144" w:type="dxa"/>
            </w:tcMar>
            <w:textDirection w:val="btLr"/>
            <w:vAlign w:val="center"/>
            <w:hideMark/>
          </w:tcPr>
          <w:p w14:paraId="20D346AE" w14:textId="77777777" w:rsidR="00BE0EEF" w:rsidRPr="00DD2C76" w:rsidRDefault="00BE0EEF" w:rsidP="00DD2C76">
            <w:pPr>
              <w:pStyle w:val="TableText"/>
              <w:spacing w:before="0" w:after="0"/>
              <w:rPr>
                <w:b/>
                <w:bCs/>
                <w:sz w:val="18"/>
                <w:szCs w:val="18"/>
              </w:rPr>
            </w:pPr>
            <w:r w:rsidRPr="00DD2C76">
              <w:rPr>
                <w:b/>
                <w:bCs/>
                <w:sz w:val="18"/>
                <w:szCs w:val="18"/>
              </w:rPr>
              <w:t>Sector </w:t>
            </w:r>
          </w:p>
        </w:tc>
        <w:tc>
          <w:tcPr>
            <w:tcW w:w="768" w:type="dxa"/>
            <w:tcBorders>
              <w:top w:val="single" w:sz="6" w:space="0" w:color="9E9E9E"/>
              <w:left w:val="single" w:sz="6" w:space="0" w:color="9E9E9E"/>
              <w:bottom w:val="single" w:sz="6" w:space="0" w:color="9E9E9E"/>
              <w:right w:val="single" w:sz="6" w:space="0" w:color="9E9E9E"/>
            </w:tcBorders>
            <w:shd w:val="clear" w:color="auto" w:fill="F2F2F2" w:themeFill="background1" w:themeFillShade="F2"/>
            <w:tcMar>
              <w:top w:w="72" w:type="dxa"/>
              <w:left w:w="144" w:type="dxa"/>
              <w:bottom w:w="72" w:type="dxa"/>
              <w:right w:w="144" w:type="dxa"/>
            </w:tcMar>
            <w:textDirection w:val="btLr"/>
            <w:vAlign w:val="center"/>
            <w:hideMark/>
          </w:tcPr>
          <w:p w14:paraId="644B4CA9" w14:textId="77777777" w:rsidR="00BE0EEF" w:rsidRPr="00DD2C76" w:rsidRDefault="00BE0EEF" w:rsidP="00DD2C76">
            <w:pPr>
              <w:pStyle w:val="TableText"/>
              <w:spacing w:before="0" w:after="0"/>
              <w:rPr>
                <w:b/>
                <w:bCs/>
                <w:sz w:val="18"/>
                <w:szCs w:val="18"/>
              </w:rPr>
            </w:pPr>
            <w:r w:rsidRPr="00DD2C76">
              <w:rPr>
                <w:b/>
                <w:bCs/>
                <w:sz w:val="18"/>
                <w:szCs w:val="18"/>
              </w:rPr>
              <w:t>Winnunga</w:t>
            </w:r>
          </w:p>
        </w:tc>
        <w:tc>
          <w:tcPr>
            <w:tcW w:w="964" w:type="dxa"/>
            <w:tcBorders>
              <w:top w:val="single" w:sz="6" w:space="0" w:color="9E9E9E"/>
              <w:left w:val="single" w:sz="6" w:space="0" w:color="9E9E9E"/>
              <w:bottom w:val="single" w:sz="6" w:space="0" w:color="9E9E9E"/>
              <w:right w:val="single" w:sz="6" w:space="0" w:color="9E9E9E"/>
            </w:tcBorders>
            <w:shd w:val="clear" w:color="auto" w:fill="F2F2F2" w:themeFill="background1" w:themeFillShade="F2"/>
            <w:tcMar>
              <w:top w:w="72" w:type="dxa"/>
              <w:left w:w="144" w:type="dxa"/>
              <w:bottom w:w="72" w:type="dxa"/>
              <w:right w:w="144" w:type="dxa"/>
            </w:tcMar>
            <w:textDirection w:val="btLr"/>
            <w:vAlign w:val="center"/>
            <w:hideMark/>
          </w:tcPr>
          <w:p w14:paraId="37C8EC3A" w14:textId="77777777" w:rsidR="00BE0EEF" w:rsidRPr="00DD2C76" w:rsidRDefault="00BE0EEF" w:rsidP="00DD2C76">
            <w:pPr>
              <w:pStyle w:val="TableText"/>
              <w:spacing w:before="0" w:after="0"/>
              <w:rPr>
                <w:b/>
                <w:bCs/>
                <w:sz w:val="18"/>
                <w:szCs w:val="18"/>
              </w:rPr>
            </w:pPr>
            <w:r w:rsidRPr="00DD2C76">
              <w:rPr>
                <w:b/>
                <w:bCs/>
                <w:sz w:val="18"/>
                <w:szCs w:val="18"/>
              </w:rPr>
              <w:t xml:space="preserve">NACCHO </w:t>
            </w:r>
          </w:p>
        </w:tc>
      </w:tr>
      <w:tr w:rsidR="001A3F9F" w:rsidRPr="00CE33C3" w14:paraId="5A719B28" w14:textId="77777777" w:rsidTr="001A3F9F">
        <w:trPr>
          <w:trHeight w:val="25"/>
        </w:trPr>
        <w:tc>
          <w:tcPr>
            <w:tcW w:w="0" w:type="auto"/>
            <w:tcBorders>
              <w:top w:val="single" w:sz="6" w:space="0" w:color="9E9E9E"/>
              <w:left w:val="single" w:sz="6" w:space="0" w:color="808080" w:themeColor="background1" w:themeShade="80"/>
              <w:bottom w:val="single" w:sz="6" w:space="0" w:color="808080" w:themeColor="background1" w:themeShade="80"/>
              <w:right w:val="single" w:sz="6" w:space="0" w:color="9E9E9E"/>
            </w:tcBorders>
            <w:shd w:val="clear" w:color="auto" w:fill="auto"/>
            <w:tcMar>
              <w:top w:w="72" w:type="dxa"/>
              <w:left w:w="144" w:type="dxa"/>
              <w:bottom w:w="72" w:type="dxa"/>
              <w:right w:w="144" w:type="dxa"/>
            </w:tcMar>
            <w:hideMark/>
          </w:tcPr>
          <w:p w14:paraId="594303EC" w14:textId="77777777" w:rsidR="00BE0EEF" w:rsidRPr="00DD2C76" w:rsidRDefault="00BE0EEF" w:rsidP="00DD2C76">
            <w:pPr>
              <w:pStyle w:val="TableText"/>
              <w:spacing w:before="0" w:after="0"/>
              <w:rPr>
                <w:b/>
                <w:bCs/>
                <w:sz w:val="18"/>
                <w:szCs w:val="18"/>
              </w:rPr>
            </w:pPr>
            <w:r w:rsidRPr="00DD2C76">
              <w:rPr>
                <w:b/>
                <w:bCs/>
                <w:sz w:val="18"/>
                <w:szCs w:val="18"/>
              </w:rPr>
              <w:t>A1 state/ territory</w:t>
            </w:r>
          </w:p>
        </w:tc>
        <w:tc>
          <w:tcPr>
            <w:tcW w:w="767" w:type="dxa"/>
            <w:tcBorders>
              <w:top w:val="single" w:sz="6" w:space="0" w:color="9E9E9E"/>
              <w:left w:val="single" w:sz="6" w:space="0" w:color="9E9E9E"/>
              <w:bottom w:val="single" w:sz="6" w:space="0" w:color="FFFFFF" w:themeColor="background1"/>
              <w:right w:val="single" w:sz="6" w:space="0" w:color="FFFFFF" w:themeColor="background1"/>
            </w:tcBorders>
            <w:shd w:val="clear" w:color="auto" w:fill="004A53" w:themeFill="accent3" w:themeFillShade="80"/>
            <w:tcMar>
              <w:top w:w="72" w:type="dxa"/>
              <w:left w:w="144" w:type="dxa"/>
              <w:bottom w:w="72" w:type="dxa"/>
              <w:right w:w="144" w:type="dxa"/>
            </w:tcMar>
            <w:vAlign w:val="center"/>
            <w:hideMark/>
          </w:tcPr>
          <w:p w14:paraId="7AFA5876" w14:textId="77777777" w:rsidR="00BE0EEF" w:rsidRPr="00CE33C3" w:rsidRDefault="00BE0EEF" w:rsidP="00DD2C76">
            <w:pPr>
              <w:pStyle w:val="TableText"/>
              <w:jc w:val="center"/>
            </w:pPr>
            <w:r w:rsidRPr="00CE33C3">
              <w:t>Y</w:t>
            </w:r>
          </w:p>
        </w:tc>
        <w:tc>
          <w:tcPr>
            <w:tcW w:w="768" w:type="dxa"/>
            <w:tcBorders>
              <w:top w:val="single" w:sz="6" w:space="0" w:color="9E9E9E"/>
              <w:left w:val="single" w:sz="6" w:space="0" w:color="FFFFFF" w:themeColor="background1"/>
              <w:bottom w:val="single" w:sz="6" w:space="0" w:color="FFFFFF" w:themeColor="background1"/>
              <w:right w:val="single" w:sz="6" w:space="0" w:color="FFFFFF" w:themeColor="background1"/>
            </w:tcBorders>
            <w:shd w:val="clear" w:color="auto" w:fill="004A53" w:themeFill="accent3" w:themeFillShade="80"/>
            <w:tcMar>
              <w:top w:w="72" w:type="dxa"/>
              <w:left w:w="144" w:type="dxa"/>
              <w:bottom w:w="72" w:type="dxa"/>
              <w:right w:w="144" w:type="dxa"/>
            </w:tcMar>
            <w:vAlign w:val="center"/>
            <w:hideMark/>
          </w:tcPr>
          <w:p w14:paraId="71209E00" w14:textId="77777777" w:rsidR="00BE0EEF" w:rsidRPr="00CE33C3" w:rsidRDefault="00BE0EEF" w:rsidP="00DD2C76">
            <w:pPr>
              <w:pStyle w:val="TableText"/>
              <w:jc w:val="center"/>
            </w:pPr>
            <w:r w:rsidRPr="00CE33C3">
              <w:t>Y</w:t>
            </w:r>
          </w:p>
        </w:tc>
        <w:tc>
          <w:tcPr>
            <w:tcW w:w="768" w:type="dxa"/>
            <w:tcBorders>
              <w:top w:val="single" w:sz="6" w:space="0" w:color="9E9E9E"/>
              <w:left w:val="single" w:sz="6" w:space="0" w:color="FFFFFF" w:themeColor="background1"/>
              <w:bottom w:val="single" w:sz="6" w:space="0" w:color="FFFFFF" w:themeColor="background1"/>
              <w:right w:val="single" w:sz="6" w:space="0" w:color="FFFFFF" w:themeColor="background1"/>
            </w:tcBorders>
            <w:shd w:val="clear" w:color="auto" w:fill="EFA31F" w:themeFill="accent4"/>
            <w:tcMar>
              <w:top w:w="72" w:type="dxa"/>
              <w:left w:w="144" w:type="dxa"/>
              <w:bottom w:w="72" w:type="dxa"/>
              <w:right w:w="144" w:type="dxa"/>
            </w:tcMar>
            <w:vAlign w:val="center"/>
            <w:hideMark/>
          </w:tcPr>
          <w:p w14:paraId="0B5A5EDD" w14:textId="77777777" w:rsidR="00BE0EEF" w:rsidRPr="00CE33C3" w:rsidRDefault="00BE0EEF" w:rsidP="00DD2C76">
            <w:pPr>
              <w:pStyle w:val="TableText"/>
              <w:jc w:val="center"/>
            </w:pPr>
            <w:r w:rsidRPr="00CE33C3">
              <w:t>N</w:t>
            </w:r>
          </w:p>
        </w:tc>
        <w:tc>
          <w:tcPr>
            <w:tcW w:w="768" w:type="dxa"/>
            <w:tcBorders>
              <w:top w:val="single" w:sz="6" w:space="0" w:color="9E9E9E"/>
              <w:left w:val="single" w:sz="6" w:space="0" w:color="FFFFFF" w:themeColor="background1"/>
              <w:bottom w:val="single" w:sz="6" w:space="0" w:color="FFFFFF" w:themeColor="background1"/>
              <w:right w:val="single" w:sz="6" w:space="0" w:color="FFFFFF" w:themeColor="background1"/>
            </w:tcBorders>
            <w:shd w:val="clear" w:color="auto" w:fill="EFA31F" w:themeFill="accent4"/>
            <w:tcMar>
              <w:top w:w="72" w:type="dxa"/>
              <w:left w:w="144" w:type="dxa"/>
              <w:bottom w:w="72" w:type="dxa"/>
              <w:right w:w="144" w:type="dxa"/>
            </w:tcMar>
            <w:vAlign w:val="center"/>
            <w:hideMark/>
          </w:tcPr>
          <w:p w14:paraId="24F5F750" w14:textId="77777777" w:rsidR="00BE0EEF" w:rsidRPr="00CE33C3" w:rsidRDefault="00BE0EEF" w:rsidP="00DD2C76">
            <w:pPr>
              <w:pStyle w:val="TableText"/>
              <w:jc w:val="center"/>
            </w:pPr>
            <w:r w:rsidRPr="00CE33C3">
              <w:t>N</w:t>
            </w:r>
          </w:p>
        </w:tc>
        <w:tc>
          <w:tcPr>
            <w:tcW w:w="768" w:type="dxa"/>
            <w:tcBorders>
              <w:top w:val="single" w:sz="6" w:space="0" w:color="9E9E9E"/>
              <w:left w:val="single" w:sz="6" w:space="0" w:color="FFFFFF" w:themeColor="background1"/>
              <w:bottom w:val="single" w:sz="6" w:space="0" w:color="FFFFFF" w:themeColor="background1"/>
              <w:right w:val="single" w:sz="6" w:space="0" w:color="FFFFFF" w:themeColor="background1"/>
            </w:tcBorders>
            <w:shd w:val="clear" w:color="auto" w:fill="EFA31F" w:themeFill="accent4"/>
            <w:tcMar>
              <w:top w:w="72" w:type="dxa"/>
              <w:left w:w="144" w:type="dxa"/>
              <w:bottom w:w="72" w:type="dxa"/>
              <w:right w:w="144" w:type="dxa"/>
            </w:tcMar>
            <w:vAlign w:val="center"/>
            <w:hideMark/>
          </w:tcPr>
          <w:p w14:paraId="0B1D864B" w14:textId="77777777" w:rsidR="00BE0EEF" w:rsidRPr="00CE33C3" w:rsidRDefault="00BE0EEF" w:rsidP="00DD2C76">
            <w:pPr>
              <w:pStyle w:val="TableText"/>
              <w:jc w:val="center"/>
            </w:pPr>
            <w:r w:rsidRPr="00CE33C3">
              <w:t>N</w:t>
            </w:r>
          </w:p>
        </w:tc>
        <w:tc>
          <w:tcPr>
            <w:tcW w:w="767" w:type="dxa"/>
            <w:tcBorders>
              <w:top w:val="single" w:sz="6" w:space="0" w:color="9E9E9E"/>
              <w:left w:val="single" w:sz="6" w:space="0" w:color="FFFFFF" w:themeColor="background1"/>
              <w:bottom w:val="single" w:sz="6" w:space="0" w:color="FFFFFF" w:themeColor="background1"/>
              <w:right w:val="single" w:sz="6" w:space="0" w:color="FFFFFF" w:themeColor="background1"/>
            </w:tcBorders>
            <w:shd w:val="clear" w:color="auto" w:fill="EFA31F" w:themeFill="accent4"/>
            <w:tcMar>
              <w:top w:w="72" w:type="dxa"/>
              <w:left w:w="144" w:type="dxa"/>
              <w:bottom w:w="72" w:type="dxa"/>
              <w:right w:w="144" w:type="dxa"/>
            </w:tcMar>
            <w:vAlign w:val="center"/>
            <w:hideMark/>
          </w:tcPr>
          <w:p w14:paraId="06B590A4" w14:textId="77777777" w:rsidR="00BE0EEF" w:rsidRPr="00CE33C3" w:rsidRDefault="00BE0EEF" w:rsidP="00DD2C76">
            <w:pPr>
              <w:pStyle w:val="TableText"/>
              <w:jc w:val="center"/>
            </w:pPr>
            <w:r w:rsidRPr="00CE33C3">
              <w:t>N</w:t>
            </w:r>
          </w:p>
        </w:tc>
        <w:tc>
          <w:tcPr>
            <w:tcW w:w="768" w:type="dxa"/>
            <w:tcBorders>
              <w:top w:val="single" w:sz="6" w:space="0" w:color="9E9E9E"/>
              <w:left w:val="single" w:sz="6" w:space="0" w:color="FFFFFF" w:themeColor="background1"/>
              <w:bottom w:val="single" w:sz="6" w:space="0" w:color="FFFFFF" w:themeColor="background1"/>
              <w:right w:val="single" w:sz="6" w:space="0" w:color="FFFFFF" w:themeColor="background1"/>
            </w:tcBorders>
            <w:shd w:val="clear" w:color="auto" w:fill="EFA31F" w:themeFill="accent4"/>
            <w:tcMar>
              <w:top w:w="72" w:type="dxa"/>
              <w:left w:w="144" w:type="dxa"/>
              <w:bottom w:w="72" w:type="dxa"/>
              <w:right w:w="144" w:type="dxa"/>
            </w:tcMar>
            <w:vAlign w:val="center"/>
            <w:hideMark/>
          </w:tcPr>
          <w:p w14:paraId="7E7A8930" w14:textId="77777777" w:rsidR="00BE0EEF" w:rsidRPr="00CE33C3" w:rsidRDefault="00BE0EEF" w:rsidP="00DD2C76">
            <w:pPr>
              <w:pStyle w:val="TableText"/>
              <w:jc w:val="center"/>
            </w:pPr>
            <w:r w:rsidRPr="00CE33C3">
              <w:t>N</w:t>
            </w:r>
          </w:p>
        </w:tc>
        <w:tc>
          <w:tcPr>
            <w:tcW w:w="768" w:type="dxa"/>
            <w:tcBorders>
              <w:top w:val="single" w:sz="6" w:space="0" w:color="9E9E9E"/>
              <w:left w:val="single" w:sz="6" w:space="0" w:color="FFFFFF" w:themeColor="background1"/>
              <w:bottom w:val="single" w:sz="6" w:space="0" w:color="FFFFFF" w:themeColor="background1"/>
              <w:right w:val="single" w:sz="6" w:space="0" w:color="FFFFFF" w:themeColor="background1"/>
            </w:tcBorders>
            <w:shd w:val="clear" w:color="auto" w:fill="EFA31F" w:themeFill="accent4"/>
            <w:tcMar>
              <w:top w:w="72" w:type="dxa"/>
              <w:left w:w="144" w:type="dxa"/>
              <w:bottom w:w="72" w:type="dxa"/>
              <w:right w:w="144" w:type="dxa"/>
            </w:tcMar>
            <w:vAlign w:val="center"/>
            <w:hideMark/>
          </w:tcPr>
          <w:p w14:paraId="3DEDFDAF" w14:textId="77777777" w:rsidR="00BE0EEF" w:rsidRPr="00CE33C3" w:rsidRDefault="00BE0EEF" w:rsidP="00DD2C76">
            <w:pPr>
              <w:pStyle w:val="TableText"/>
              <w:jc w:val="center"/>
            </w:pPr>
            <w:r w:rsidRPr="00CE33C3">
              <w:t>N</w:t>
            </w:r>
          </w:p>
        </w:tc>
        <w:tc>
          <w:tcPr>
            <w:tcW w:w="768" w:type="dxa"/>
            <w:tcBorders>
              <w:top w:val="single" w:sz="6" w:space="0" w:color="9E9E9E"/>
              <w:left w:val="single" w:sz="6" w:space="0" w:color="FFFFFF" w:themeColor="background1"/>
              <w:bottom w:val="single" w:sz="6" w:space="0" w:color="FFFFFF" w:themeColor="background1"/>
              <w:right w:val="single" w:sz="6" w:space="0" w:color="FFFFFF" w:themeColor="background1"/>
            </w:tcBorders>
            <w:shd w:val="clear" w:color="auto" w:fill="004A53" w:themeFill="accent3" w:themeFillShade="80"/>
            <w:tcMar>
              <w:top w:w="72" w:type="dxa"/>
              <w:left w:w="144" w:type="dxa"/>
              <w:bottom w:w="72" w:type="dxa"/>
              <w:right w:w="144" w:type="dxa"/>
            </w:tcMar>
            <w:vAlign w:val="center"/>
            <w:hideMark/>
          </w:tcPr>
          <w:p w14:paraId="6E29F72A" w14:textId="77777777" w:rsidR="00BE0EEF" w:rsidRPr="00CE33C3" w:rsidRDefault="00BE0EEF" w:rsidP="00DD2C76">
            <w:pPr>
              <w:pStyle w:val="TableText"/>
              <w:jc w:val="center"/>
            </w:pPr>
            <w:r w:rsidRPr="00CE33C3">
              <w:t>Y</w:t>
            </w:r>
          </w:p>
        </w:tc>
        <w:tc>
          <w:tcPr>
            <w:tcW w:w="768" w:type="dxa"/>
            <w:tcBorders>
              <w:top w:val="single" w:sz="6" w:space="0" w:color="9E9E9E"/>
              <w:left w:val="single" w:sz="6" w:space="0" w:color="FFFFFF" w:themeColor="background1"/>
              <w:bottom w:val="single" w:sz="6" w:space="0" w:color="FFFFFF" w:themeColor="background1"/>
              <w:right w:val="single" w:sz="6" w:space="0" w:color="FFFFFF" w:themeColor="background1"/>
            </w:tcBorders>
            <w:shd w:val="clear" w:color="auto" w:fill="004A53" w:themeFill="accent3" w:themeFillShade="80"/>
            <w:tcMar>
              <w:top w:w="72" w:type="dxa"/>
              <w:left w:w="144" w:type="dxa"/>
              <w:bottom w:w="72" w:type="dxa"/>
              <w:right w:w="144" w:type="dxa"/>
            </w:tcMar>
            <w:vAlign w:val="center"/>
            <w:hideMark/>
          </w:tcPr>
          <w:p w14:paraId="5AFC093B" w14:textId="77777777" w:rsidR="00BE0EEF" w:rsidRPr="00CE33C3" w:rsidRDefault="00BE0EEF" w:rsidP="00DD2C76">
            <w:pPr>
              <w:pStyle w:val="TableText"/>
              <w:jc w:val="center"/>
            </w:pPr>
            <w:r w:rsidRPr="00CE33C3">
              <w:t>Y</w:t>
            </w:r>
          </w:p>
        </w:tc>
        <w:tc>
          <w:tcPr>
            <w:tcW w:w="767" w:type="dxa"/>
            <w:tcBorders>
              <w:top w:val="single" w:sz="6" w:space="0" w:color="9E9E9E"/>
              <w:left w:val="single" w:sz="6" w:space="0" w:color="FFFFFF" w:themeColor="background1"/>
              <w:bottom w:val="single" w:sz="6" w:space="0" w:color="FFFFFF" w:themeColor="background1"/>
              <w:right w:val="single" w:sz="6" w:space="0" w:color="FFFFFF" w:themeColor="background1"/>
            </w:tcBorders>
            <w:shd w:val="clear" w:color="auto" w:fill="EFA31F" w:themeFill="accent4"/>
            <w:tcMar>
              <w:top w:w="72" w:type="dxa"/>
              <w:left w:w="144" w:type="dxa"/>
              <w:bottom w:w="72" w:type="dxa"/>
              <w:right w:w="144" w:type="dxa"/>
            </w:tcMar>
            <w:vAlign w:val="center"/>
            <w:hideMark/>
          </w:tcPr>
          <w:p w14:paraId="11FB09C2" w14:textId="77777777" w:rsidR="00BE0EEF" w:rsidRPr="00CE33C3" w:rsidRDefault="00BE0EEF" w:rsidP="00DD2C76">
            <w:pPr>
              <w:pStyle w:val="TableText"/>
              <w:jc w:val="center"/>
            </w:pPr>
            <w:r w:rsidRPr="00CE33C3">
              <w:t>N</w:t>
            </w:r>
          </w:p>
        </w:tc>
        <w:tc>
          <w:tcPr>
            <w:tcW w:w="768" w:type="dxa"/>
            <w:tcBorders>
              <w:top w:val="single" w:sz="6" w:space="0" w:color="9E9E9E"/>
              <w:left w:val="single" w:sz="6" w:space="0" w:color="FFFFFF" w:themeColor="background1"/>
              <w:bottom w:val="single" w:sz="6" w:space="0" w:color="FFFFFF" w:themeColor="background1"/>
              <w:right w:val="single" w:sz="6" w:space="0" w:color="FFFFFF" w:themeColor="background1"/>
            </w:tcBorders>
            <w:shd w:val="clear" w:color="auto" w:fill="004A53" w:themeFill="accent3" w:themeFillShade="80"/>
            <w:tcMar>
              <w:top w:w="72" w:type="dxa"/>
              <w:left w:w="144" w:type="dxa"/>
              <w:bottom w:w="72" w:type="dxa"/>
              <w:right w:w="144" w:type="dxa"/>
            </w:tcMar>
            <w:vAlign w:val="center"/>
            <w:hideMark/>
          </w:tcPr>
          <w:p w14:paraId="66B20B7A" w14:textId="77777777" w:rsidR="00BE0EEF" w:rsidRPr="00CE33C3" w:rsidRDefault="004C08D8" w:rsidP="00DD2C76">
            <w:pPr>
              <w:pStyle w:val="TableText"/>
              <w:jc w:val="center"/>
            </w:pPr>
            <w:r w:rsidRPr="00CE33C3">
              <w:t>Y</w:t>
            </w:r>
          </w:p>
        </w:tc>
        <w:tc>
          <w:tcPr>
            <w:tcW w:w="768" w:type="dxa"/>
            <w:tcBorders>
              <w:top w:val="single" w:sz="6" w:space="0" w:color="9E9E9E"/>
              <w:left w:val="single" w:sz="6" w:space="0" w:color="FFFFFF" w:themeColor="background1"/>
              <w:bottom w:val="single" w:sz="6" w:space="0" w:color="FFFFFF" w:themeColor="background1"/>
              <w:right w:val="single" w:sz="6" w:space="0" w:color="FFFFFF" w:themeColor="background1"/>
            </w:tcBorders>
            <w:shd w:val="clear" w:color="auto" w:fill="EFA31F" w:themeFill="accent4"/>
            <w:tcMar>
              <w:top w:w="72" w:type="dxa"/>
              <w:left w:w="144" w:type="dxa"/>
              <w:bottom w:w="72" w:type="dxa"/>
              <w:right w:w="144" w:type="dxa"/>
            </w:tcMar>
            <w:vAlign w:val="center"/>
            <w:hideMark/>
          </w:tcPr>
          <w:p w14:paraId="576F2368" w14:textId="77777777" w:rsidR="00BE0EEF" w:rsidRPr="00CE33C3" w:rsidRDefault="00BE0EEF" w:rsidP="00DD2C76">
            <w:pPr>
              <w:pStyle w:val="TableText"/>
              <w:jc w:val="center"/>
            </w:pPr>
            <w:r w:rsidRPr="00CE33C3">
              <w:t>N</w:t>
            </w:r>
          </w:p>
        </w:tc>
        <w:tc>
          <w:tcPr>
            <w:tcW w:w="768" w:type="dxa"/>
            <w:tcBorders>
              <w:top w:val="single" w:sz="6" w:space="0" w:color="9E9E9E"/>
              <w:left w:val="single" w:sz="6" w:space="0" w:color="FFFFFF" w:themeColor="background1"/>
              <w:bottom w:val="single" w:sz="6" w:space="0" w:color="FFFFFF" w:themeColor="background1"/>
              <w:right w:val="single" w:sz="6" w:space="0" w:color="FFFFFF" w:themeColor="background1"/>
            </w:tcBorders>
            <w:shd w:val="clear" w:color="auto" w:fill="EFA31F" w:themeFill="accent4"/>
            <w:tcMar>
              <w:top w:w="72" w:type="dxa"/>
              <w:left w:w="144" w:type="dxa"/>
              <w:bottom w:w="72" w:type="dxa"/>
              <w:right w:w="144" w:type="dxa"/>
            </w:tcMar>
            <w:vAlign w:val="center"/>
            <w:hideMark/>
          </w:tcPr>
          <w:p w14:paraId="5DAE2FAF" w14:textId="77777777" w:rsidR="00BE0EEF" w:rsidRPr="00CE33C3" w:rsidRDefault="00BE0EEF" w:rsidP="00DD2C76">
            <w:pPr>
              <w:pStyle w:val="TableText"/>
              <w:jc w:val="center"/>
            </w:pPr>
            <w:r w:rsidRPr="00CE33C3">
              <w:t>N</w:t>
            </w:r>
          </w:p>
        </w:tc>
        <w:tc>
          <w:tcPr>
            <w:tcW w:w="768" w:type="dxa"/>
            <w:tcBorders>
              <w:top w:val="single" w:sz="6" w:space="0" w:color="9E9E9E"/>
              <w:left w:val="single" w:sz="6" w:space="0" w:color="FFFFFF" w:themeColor="background1"/>
              <w:bottom w:val="single" w:sz="6" w:space="0" w:color="FFFFFF" w:themeColor="background1"/>
              <w:right w:val="single" w:sz="6" w:space="0" w:color="FFFFFF" w:themeColor="background1"/>
            </w:tcBorders>
            <w:shd w:val="clear" w:color="auto" w:fill="EFA31F" w:themeFill="accent4"/>
            <w:tcMar>
              <w:top w:w="72" w:type="dxa"/>
              <w:left w:w="144" w:type="dxa"/>
              <w:bottom w:w="72" w:type="dxa"/>
              <w:right w:w="144" w:type="dxa"/>
            </w:tcMar>
            <w:vAlign w:val="center"/>
            <w:hideMark/>
          </w:tcPr>
          <w:p w14:paraId="7E6843C8" w14:textId="77777777" w:rsidR="00BE0EEF" w:rsidRPr="00CE33C3" w:rsidRDefault="00BE0EEF" w:rsidP="00DD2C76">
            <w:pPr>
              <w:pStyle w:val="TableText"/>
              <w:jc w:val="center"/>
            </w:pPr>
            <w:r w:rsidRPr="00CE33C3">
              <w:t>N</w:t>
            </w:r>
          </w:p>
        </w:tc>
        <w:tc>
          <w:tcPr>
            <w:tcW w:w="768" w:type="dxa"/>
            <w:tcBorders>
              <w:top w:val="single" w:sz="6" w:space="0" w:color="9E9E9E"/>
              <w:left w:val="single" w:sz="6" w:space="0" w:color="FFFFFF" w:themeColor="background1"/>
              <w:bottom w:val="single" w:sz="6" w:space="0" w:color="FFFFFF" w:themeColor="background1"/>
              <w:right w:val="single" w:sz="6" w:space="0" w:color="FFFFFF" w:themeColor="background1"/>
            </w:tcBorders>
            <w:shd w:val="clear" w:color="auto" w:fill="FCEDD2"/>
            <w:tcMar>
              <w:top w:w="72" w:type="dxa"/>
              <w:left w:w="144" w:type="dxa"/>
              <w:bottom w:w="72" w:type="dxa"/>
              <w:right w:w="144" w:type="dxa"/>
            </w:tcMar>
            <w:vAlign w:val="center"/>
            <w:hideMark/>
          </w:tcPr>
          <w:p w14:paraId="00FD4F7D" w14:textId="77777777" w:rsidR="00BE0EEF" w:rsidRPr="00CE33C3" w:rsidRDefault="00BE0EEF" w:rsidP="00DD2C76">
            <w:pPr>
              <w:pStyle w:val="TableText"/>
              <w:jc w:val="center"/>
            </w:pPr>
            <w:r w:rsidRPr="00CE33C3">
              <w:t>/</w:t>
            </w:r>
          </w:p>
        </w:tc>
        <w:tc>
          <w:tcPr>
            <w:tcW w:w="964" w:type="dxa"/>
            <w:tcBorders>
              <w:top w:val="single" w:sz="6" w:space="0" w:color="9E9E9E"/>
              <w:left w:val="single" w:sz="6" w:space="0" w:color="FFFFFF" w:themeColor="background1"/>
              <w:bottom w:val="single" w:sz="6" w:space="0" w:color="FFFFFF" w:themeColor="background1"/>
              <w:right w:val="single" w:sz="6" w:space="0" w:color="9E9E9E"/>
            </w:tcBorders>
            <w:shd w:val="clear" w:color="auto" w:fill="FCEDD2"/>
            <w:tcMar>
              <w:top w:w="72" w:type="dxa"/>
              <w:left w:w="144" w:type="dxa"/>
              <w:bottom w:w="72" w:type="dxa"/>
              <w:right w:w="144" w:type="dxa"/>
            </w:tcMar>
            <w:vAlign w:val="center"/>
            <w:hideMark/>
          </w:tcPr>
          <w:p w14:paraId="10DF1D3E" w14:textId="77777777" w:rsidR="00BE0EEF" w:rsidRPr="00CE33C3" w:rsidRDefault="00BE0EEF" w:rsidP="00DD2C76">
            <w:pPr>
              <w:pStyle w:val="TableText"/>
              <w:jc w:val="center"/>
            </w:pPr>
            <w:r w:rsidRPr="00CE33C3">
              <w:t>/</w:t>
            </w:r>
          </w:p>
        </w:tc>
      </w:tr>
      <w:tr w:rsidR="001A3F9F" w:rsidRPr="00CE33C3" w14:paraId="60153F9C" w14:textId="77777777" w:rsidTr="001A3F9F">
        <w:trPr>
          <w:trHeight w:val="25"/>
        </w:trPr>
        <w:tc>
          <w:tcPr>
            <w:tcW w:w="0" w:type="auto"/>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9E9E9E"/>
            </w:tcBorders>
            <w:shd w:val="clear" w:color="auto" w:fill="auto"/>
            <w:tcMar>
              <w:top w:w="72" w:type="dxa"/>
              <w:left w:w="144" w:type="dxa"/>
              <w:bottom w:w="72" w:type="dxa"/>
              <w:right w:w="144" w:type="dxa"/>
            </w:tcMar>
            <w:hideMark/>
          </w:tcPr>
          <w:p w14:paraId="535A2562" w14:textId="77777777" w:rsidR="00BE0EEF" w:rsidRPr="00DD2C76" w:rsidRDefault="00BE0EEF" w:rsidP="00DD2C76">
            <w:pPr>
              <w:pStyle w:val="TableText"/>
              <w:spacing w:before="0" w:after="0"/>
              <w:rPr>
                <w:b/>
                <w:bCs/>
                <w:sz w:val="18"/>
                <w:szCs w:val="18"/>
              </w:rPr>
            </w:pPr>
            <w:r w:rsidRPr="00DD2C76">
              <w:rPr>
                <w:b/>
                <w:bCs/>
                <w:sz w:val="18"/>
                <w:szCs w:val="18"/>
              </w:rPr>
              <w:t xml:space="preserve">A2 </w:t>
            </w:r>
          </w:p>
          <w:p w14:paraId="44590CA6" w14:textId="77777777" w:rsidR="00BE0EEF" w:rsidRPr="00DD2C76" w:rsidRDefault="00BE0EEF" w:rsidP="00DD2C76">
            <w:pPr>
              <w:pStyle w:val="TableText"/>
              <w:spacing w:before="0" w:after="0"/>
              <w:rPr>
                <w:b/>
                <w:bCs/>
                <w:sz w:val="18"/>
                <w:szCs w:val="18"/>
              </w:rPr>
            </w:pPr>
            <w:r w:rsidRPr="00DD2C76">
              <w:rPr>
                <w:b/>
                <w:bCs/>
                <w:sz w:val="18"/>
                <w:szCs w:val="18"/>
              </w:rPr>
              <w:t xml:space="preserve">regional </w:t>
            </w:r>
          </w:p>
        </w:tc>
        <w:tc>
          <w:tcPr>
            <w:tcW w:w="767" w:type="dxa"/>
            <w:tcBorders>
              <w:top w:val="single" w:sz="6" w:space="0" w:color="FFFFFF" w:themeColor="background1"/>
              <w:left w:val="single" w:sz="6" w:space="0" w:color="9E9E9E"/>
              <w:bottom w:val="single" w:sz="6" w:space="0" w:color="FFFFFF" w:themeColor="background1"/>
              <w:right w:val="single" w:sz="6" w:space="0" w:color="FFFFFF" w:themeColor="background1"/>
            </w:tcBorders>
            <w:shd w:val="clear" w:color="auto" w:fill="004A53" w:themeFill="accent3" w:themeFillShade="80"/>
            <w:tcMar>
              <w:top w:w="72" w:type="dxa"/>
              <w:left w:w="144" w:type="dxa"/>
              <w:bottom w:w="72" w:type="dxa"/>
              <w:right w:w="144" w:type="dxa"/>
            </w:tcMar>
            <w:vAlign w:val="center"/>
            <w:hideMark/>
          </w:tcPr>
          <w:p w14:paraId="2747134C" w14:textId="77777777" w:rsidR="00BE0EEF" w:rsidRPr="00CE33C3" w:rsidRDefault="00BE0EEF" w:rsidP="00DD2C76">
            <w:pPr>
              <w:pStyle w:val="TableText"/>
              <w:jc w:val="center"/>
            </w:pPr>
            <w:r w:rsidRPr="00CE33C3">
              <w:t>Y</w:t>
            </w:r>
          </w:p>
        </w:tc>
        <w:tc>
          <w:tcPr>
            <w:tcW w:w="76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FA31F" w:themeFill="accent4"/>
            <w:tcMar>
              <w:top w:w="72" w:type="dxa"/>
              <w:left w:w="144" w:type="dxa"/>
              <w:bottom w:w="72" w:type="dxa"/>
              <w:right w:w="144" w:type="dxa"/>
            </w:tcMar>
            <w:vAlign w:val="center"/>
            <w:hideMark/>
          </w:tcPr>
          <w:p w14:paraId="6CBC2006" w14:textId="77777777" w:rsidR="00BE0EEF" w:rsidRPr="00CE33C3" w:rsidRDefault="00BE0EEF" w:rsidP="00DD2C76">
            <w:pPr>
              <w:pStyle w:val="TableText"/>
              <w:jc w:val="center"/>
            </w:pPr>
            <w:r w:rsidRPr="00CE33C3">
              <w:t>N</w:t>
            </w:r>
          </w:p>
        </w:tc>
        <w:tc>
          <w:tcPr>
            <w:tcW w:w="76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4A53" w:themeFill="accent3" w:themeFillShade="80"/>
            <w:tcMar>
              <w:top w:w="72" w:type="dxa"/>
              <w:left w:w="144" w:type="dxa"/>
              <w:bottom w:w="72" w:type="dxa"/>
              <w:right w:w="144" w:type="dxa"/>
            </w:tcMar>
            <w:vAlign w:val="center"/>
            <w:hideMark/>
          </w:tcPr>
          <w:p w14:paraId="08258915" w14:textId="77777777" w:rsidR="00BE0EEF" w:rsidRPr="00CE33C3" w:rsidRDefault="00BE0EEF" w:rsidP="00DD2C76">
            <w:pPr>
              <w:pStyle w:val="TableText"/>
              <w:jc w:val="center"/>
            </w:pPr>
            <w:r w:rsidRPr="00CE33C3">
              <w:t>Y</w:t>
            </w:r>
          </w:p>
        </w:tc>
        <w:tc>
          <w:tcPr>
            <w:tcW w:w="76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4A53" w:themeFill="accent3" w:themeFillShade="80"/>
            <w:tcMar>
              <w:top w:w="72" w:type="dxa"/>
              <w:left w:w="144" w:type="dxa"/>
              <w:bottom w:w="72" w:type="dxa"/>
              <w:right w:w="144" w:type="dxa"/>
            </w:tcMar>
            <w:vAlign w:val="center"/>
            <w:hideMark/>
          </w:tcPr>
          <w:p w14:paraId="2308AAB2" w14:textId="77777777" w:rsidR="00BE0EEF" w:rsidRPr="00CE33C3" w:rsidRDefault="00BE0EEF" w:rsidP="00DD2C76">
            <w:pPr>
              <w:pStyle w:val="TableText"/>
              <w:jc w:val="center"/>
            </w:pPr>
            <w:r w:rsidRPr="00CE33C3">
              <w:t>Y</w:t>
            </w:r>
          </w:p>
        </w:tc>
        <w:tc>
          <w:tcPr>
            <w:tcW w:w="76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4A53" w:themeFill="accent3" w:themeFillShade="80"/>
            <w:tcMar>
              <w:top w:w="72" w:type="dxa"/>
              <w:left w:w="144" w:type="dxa"/>
              <w:bottom w:w="72" w:type="dxa"/>
              <w:right w:w="144" w:type="dxa"/>
            </w:tcMar>
            <w:vAlign w:val="center"/>
            <w:hideMark/>
          </w:tcPr>
          <w:p w14:paraId="1E892DC2" w14:textId="77777777" w:rsidR="00BE0EEF" w:rsidRPr="00CE33C3" w:rsidRDefault="00BE0EEF" w:rsidP="00DD2C76">
            <w:pPr>
              <w:pStyle w:val="TableText"/>
              <w:jc w:val="center"/>
            </w:pPr>
            <w:r w:rsidRPr="00CE33C3">
              <w:t>Y</w:t>
            </w:r>
          </w:p>
        </w:tc>
        <w:tc>
          <w:tcPr>
            <w:tcW w:w="76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4A53" w:themeFill="accent3" w:themeFillShade="80"/>
            <w:tcMar>
              <w:top w:w="72" w:type="dxa"/>
              <w:left w:w="144" w:type="dxa"/>
              <w:bottom w:w="72" w:type="dxa"/>
              <w:right w:w="144" w:type="dxa"/>
            </w:tcMar>
            <w:vAlign w:val="center"/>
            <w:hideMark/>
          </w:tcPr>
          <w:p w14:paraId="0FAD1CB5" w14:textId="77777777" w:rsidR="00BE0EEF" w:rsidRPr="00CE33C3" w:rsidRDefault="00BE0EEF" w:rsidP="00DD2C76">
            <w:pPr>
              <w:pStyle w:val="TableText"/>
              <w:jc w:val="center"/>
            </w:pPr>
            <w:r w:rsidRPr="00CE33C3">
              <w:t>Y</w:t>
            </w:r>
          </w:p>
        </w:tc>
        <w:tc>
          <w:tcPr>
            <w:tcW w:w="76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4A53" w:themeFill="accent3" w:themeFillShade="80"/>
            <w:tcMar>
              <w:top w:w="72" w:type="dxa"/>
              <w:left w:w="144" w:type="dxa"/>
              <w:bottom w:w="72" w:type="dxa"/>
              <w:right w:w="144" w:type="dxa"/>
            </w:tcMar>
            <w:vAlign w:val="center"/>
            <w:hideMark/>
          </w:tcPr>
          <w:p w14:paraId="7F330C30" w14:textId="77777777" w:rsidR="00BE0EEF" w:rsidRPr="00CE33C3" w:rsidRDefault="00BE0EEF" w:rsidP="00DD2C76">
            <w:pPr>
              <w:pStyle w:val="TableText"/>
              <w:jc w:val="center"/>
            </w:pPr>
            <w:r w:rsidRPr="00CE33C3">
              <w:t>Y</w:t>
            </w:r>
          </w:p>
        </w:tc>
        <w:tc>
          <w:tcPr>
            <w:tcW w:w="76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4A53" w:themeFill="accent3" w:themeFillShade="80"/>
            <w:tcMar>
              <w:top w:w="72" w:type="dxa"/>
              <w:left w:w="144" w:type="dxa"/>
              <w:bottom w:w="72" w:type="dxa"/>
              <w:right w:w="144" w:type="dxa"/>
            </w:tcMar>
            <w:vAlign w:val="center"/>
            <w:hideMark/>
          </w:tcPr>
          <w:p w14:paraId="646795BB" w14:textId="77777777" w:rsidR="00BE0EEF" w:rsidRPr="00CE33C3" w:rsidRDefault="00BE0EEF" w:rsidP="00DD2C76">
            <w:pPr>
              <w:pStyle w:val="TableText"/>
              <w:jc w:val="center"/>
            </w:pPr>
            <w:r w:rsidRPr="00CE33C3">
              <w:t>Y</w:t>
            </w:r>
          </w:p>
        </w:tc>
        <w:tc>
          <w:tcPr>
            <w:tcW w:w="76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4A53" w:themeFill="accent3" w:themeFillShade="80"/>
            <w:tcMar>
              <w:top w:w="72" w:type="dxa"/>
              <w:left w:w="144" w:type="dxa"/>
              <w:bottom w:w="72" w:type="dxa"/>
              <w:right w:w="144" w:type="dxa"/>
            </w:tcMar>
            <w:vAlign w:val="center"/>
            <w:hideMark/>
          </w:tcPr>
          <w:p w14:paraId="74E8105B" w14:textId="77777777" w:rsidR="00BE0EEF" w:rsidRPr="00CE33C3" w:rsidRDefault="00BE0EEF" w:rsidP="00DD2C76">
            <w:pPr>
              <w:pStyle w:val="TableText"/>
              <w:jc w:val="center"/>
            </w:pPr>
            <w:r w:rsidRPr="00CE33C3">
              <w:t>Y</w:t>
            </w:r>
          </w:p>
        </w:tc>
        <w:tc>
          <w:tcPr>
            <w:tcW w:w="76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4A53" w:themeFill="accent3" w:themeFillShade="80"/>
            <w:tcMar>
              <w:top w:w="72" w:type="dxa"/>
              <w:left w:w="144" w:type="dxa"/>
              <w:bottom w:w="72" w:type="dxa"/>
              <w:right w:w="144" w:type="dxa"/>
            </w:tcMar>
            <w:vAlign w:val="center"/>
            <w:hideMark/>
          </w:tcPr>
          <w:p w14:paraId="05C862B5" w14:textId="77777777" w:rsidR="00BE0EEF" w:rsidRPr="00CE33C3" w:rsidRDefault="00BE0EEF" w:rsidP="00DD2C76">
            <w:pPr>
              <w:pStyle w:val="TableText"/>
              <w:jc w:val="center"/>
            </w:pPr>
            <w:r w:rsidRPr="00CE33C3">
              <w:t>Y</w:t>
            </w:r>
          </w:p>
        </w:tc>
        <w:tc>
          <w:tcPr>
            <w:tcW w:w="76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4A53" w:themeFill="accent3" w:themeFillShade="80"/>
            <w:tcMar>
              <w:top w:w="72" w:type="dxa"/>
              <w:left w:w="144" w:type="dxa"/>
              <w:bottom w:w="72" w:type="dxa"/>
              <w:right w:w="144" w:type="dxa"/>
            </w:tcMar>
            <w:vAlign w:val="center"/>
            <w:hideMark/>
          </w:tcPr>
          <w:p w14:paraId="737F5F97" w14:textId="77777777" w:rsidR="00BE0EEF" w:rsidRPr="00CE33C3" w:rsidRDefault="00BE0EEF" w:rsidP="00DD2C76">
            <w:pPr>
              <w:pStyle w:val="TableText"/>
              <w:jc w:val="center"/>
            </w:pPr>
            <w:r w:rsidRPr="00CE33C3">
              <w:t>Y</w:t>
            </w:r>
          </w:p>
        </w:tc>
        <w:tc>
          <w:tcPr>
            <w:tcW w:w="76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FA31F" w:themeFill="accent4"/>
            <w:tcMar>
              <w:top w:w="72" w:type="dxa"/>
              <w:left w:w="144" w:type="dxa"/>
              <w:bottom w:w="72" w:type="dxa"/>
              <w:right w:w="144" w:type="dxa"/>
            </w:tcMar>
            <w:vAlign w:val="center"/>
            <w:hideMark/>
          </w:tcPr>
          <w:p w14:paraId="788319A4" w14:textId="77777777" w:rsidR="00BE0EEF" w:rsidRPr="00CE33C3" w:rsidRDefault="00BE0EEF" w:rsidP="00DD2C76">
            <w:pPr>
              <w:pStyle w:val="TableText"/>
              <w:jc w:val="center"/>
            </w:pPr>
            <w:r w:rsidRPr="00CE33C3">
              <w:t>N</w:t>
            </w:r>
          </w:p>
        </w:tc>
        <w:tc>
          <w:tcPr>
            <w:tcW w:w="76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4A53" w:themeFill="accent3" w:themeFillShade="80"/>
            <w:tcMar>
              <w:top w:w="72" w:type="dxa"/>
              <w:left w:w="144" w:type="dxa"/>
              <w:bottom w:w="72" w:type="dxa"/>
              <w:right w:w="144" w:type="dxa"/>
            </w:tcMar>
            <w:vAlign w:val="center"/>
            <w:hideMark/>
          </w:tcPr>
          <w:p w14:paraId="587B9719" w14:textId="77777777" w:rsidR="00BE0EEF" w:rsidRPr="00CE33C3" w:rsidRDefault="00BE0EEF" w:rsidP="00DD2C76">
            <w:pPr>
              <w:pStyle w:val="TableText"/>
              <w:jc w:val="center"/>
            </w:pPr>
            <w:r w:rsidRPr="00CE33C3">
              <w:t>Y</w:t>
            </w:r>
          </w:p>
        </w:tc>
        <w:tc>
          <w:tcPr>
            <w:tcW w:w="76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FA31F" w:themeFill="accent4"/>
            <w:tcMar>
              <w:top w:w="72" w:type="dxa"/>
              <w:left w:w="144" w:type="dxa"/>
              <w:bottom w:w="72" w:type="dxa"/>
              <w:right w:w="144" w:type="dxa"/>
            </w:tcMar>
            <w:vAlign w:val="center"/>
            <w:hideMark/>
          </w:tcPr>
          <w:p w14:paraId="186070ED" w14:textId="77777777" w:rsidR="00BE0EEF" w:rsidRPr="00CE33C3" w:rsidRDefault="00BE0EEF" w:rsidP="00DD2C76">
            <w:pPr>
              <w:pStyle w:val="TableText"/>
              <w:jc w:val="center"/>
            </w:pPr>
            <w:r w:rsidRPr="00CE33C3">
              <w:t>N</w:t>
            </w:r>
          </w:p>
        </w:tc>
        <w:tc>
          <w:tcPr>
            <w:tcW w:w="76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4A53" w:themeFill="accent3" w:themeFillShade="80"/>
            <w:tcMar>
              <w:top w:w="72" w:type="dxa"/>
              <w:left w:w="144" w:type="dxa"/>
              <w:bottom w:w="72" w:type="dxa"/>
              <w:right w:w="144" w:type="dxa"/>
            </w:tcMar>
            <w:vAlign w:val="center"/>
            <w:hideMark/>
          </w:tcPr>
          <w:p w14:paraId="46D8FB94" w14:textId="77777777" w:rsidR="00BE0EEF" w:rsidRPr="00CE33C3" w:rsidRDefault="00BE0EEF" w:rsidP="00DD2C76">
            <w:pPr>
              <w:pStyle w:val="TableText"/>
              <w:jc w:val="center"/>
            </w:pPr>
            <w:r w:rsidRPr="00CE33C3">
              <w:t>Y</w:t>
            </w:r>
          </w:p>
        </w:tc>
        <w:tc>
          <w:tcPr>
            <w:tcW w:w="76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CEDD2"/>
            <w:tcMar>
              <w:top w:w="72" w:type="dxa"/>
              <w:left w:w="144" w:type="dxa"/>
              <w:bottom w:w="72" w:type="dxa"/>
              <w:right w:w="144" w:type="dxa"/>
            </w:tcMar>
            <w:vAlign w:val="center"/>
            <w:hideMark/>
          </w:tcPr>
          <w:p w14:paraId="0D38418C" w14:textId="77777777" w:rsidR="00BE0EEF" w:rsidRPr="00CE33C3" w:rsidRDefault="00BE0EEF" w:rsidP="00DD2C76">
            <w:pPr>
              <w:pStyle w:val="TableText"/>
              <w:jc w:val="center"/>
            </w:pPr>
            <w:r w:rsidRPr="00CE33C3">
              <w:t>/</w:t>
            </w:r>
          </w:p>
        </w:tc>
        <w:tc>
          <w:tcPr>
            <w:tcW w:w="964" w:type="dxa"/>
            <w:tcBorders>
              <w:top w:val="single" w:sz="6" w:space="0" w:color="FFFFFF" w:themeColor="background1"/>
              <w:left w:val="single" w:sz="6" w:space="0" w:color="FFFFFF" w:themeColor="background1"/>
              <w:bottom w:val="single" w:sz="6" w:space="0" w:color="FFFFFF" w:themeColor="background1"/>
              <w:right w:val="single" w:sz="6" w:space="0" w:color="9E9E9E"/>
            </w:tcBorders>
            <w:shd w:val="clear" w:color="auto" w:fill="FCEDD2"/>
            <w:tcMar>
              <w:top w:w="72" w:type="dxa"/>
              <w:left w:w="144" w:type="dxa"/>
              <w:bottom w:w="72" w:type="dxa"/>
              <w:right w:w="144" w:type="dxa"/>
            </w:tcMar>
            <w:vAlign w:val="center"/>
            <w:hideMark/>
          </w:tcPr>
          <w:p w14:paraId="42375719" w14:textId="77777777" w:rsidR="00BE0EEF" w:rsidRPr="00CE33C3" w:rsidRDefault="00BE0EEF" w:rsidP="00DD2C76">
            <w:pPr>
              <w:pStyle w:val="TableText"/>
              <w:jc w:val="center"/>
            </w:pPr>
            <w:r w:rsidRPr="00CE33C3">
              <w:t>/</w:t>
            </w:r>
          </w:p>
        </w:tc>
      </w:tr>
      <w:tr w:rsidR="001A3F9F" w:rsidRPr="00CE33C3" w14:paraId="1A794FA1" w14:textId="77777777" w:rsidTr="001A3F9F">
        <w:trPr>
          <w:trHeight w:val="25"/>
        </w:trPr>
        <w:tc>
          <w:tcPr>
            <w:tcW w:w="0" w:type="auto"/>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9E9E9E"/>
            </w:tcBorders>
            <w:shd w:val="clear" w:color="auto" w:fill="auto"/>
            <w:tcMar>
              <w:top w:w="72" w:type="dxa"/>
              <w:left w:w="144" w:type="dxa"/>
              <w:bottom w:w="72" w:type="dxa"/>
              <w:right w:w="144" w:type="dxa"/>
            </w:tcMar>
            <w:hideMark/>
          </w:tcPr>
          <w:p w14:paraId="2A36223C" w14:textId="77777777" w:rsidR="00BE0EEF" w:rsidRPr="00DD2C76" w:rsidRDefault="00BE0EEF" w:rsidP="00DD2C76">
            <w:pPr>
              <w:pStyle w:val="TableText"/>
              <w:spacing w:before="0" w:after="0"/>
              <w:rPr>
                <w:b/>
                <w:bCs/>
                <w:sz w:val="18"/>
                <w:szCs w:val="18"/>
              </w:rPr>
            </w:pPr>
            <w:r w:rsidRPr="00DD2C76">
              <w:rPr>
                <w:b/>
                <w:bCs/>
                <w:sz w:val="18"/>
                <w:szCs w:val="18"/>
              </w:rPr>
              <w:t xml:space="preserve">B </w:t>
            </w:r>
          </w:p>
          <w:p w14:paraId="79CC141C" w14:textId="77777777" w:rsidR="00BE0EEF" w:rsidRPr="00DD2C76" w:rsidRDefault="00BE0EEF" w:rsidP="00DD2C76">
            <w:pPr>
              <w:pStyle w:val="TableText"/>
              <w:spacing w:before="0" w:after="0"/>
              <w:rPr>
                <w:b/>
                <w:bCs/>
                <w:sz w:val="18"/>
                <w:szCs w:val="18"/>
              </w:rPr>
            </w:pPr>
            <w:r w:rsidRPr="00DD2C76">
              <w:rPr>
                <w:b/>
                <w:bCs/>
                <w:sz w:val="18"/>
                <w:szCs w:val="18"/>
              </w:rPr>
              <w:t>Direct</w:t>
            </w:r>
          </w:p>
        </w:tc>
        <w:tc>
          <w:tcPr>
            <w:tcW w:w="767" w:type="dxa"/>
            <w:tcBorders>
              <w:top w:val="single" w:sz="6" w:space="0" w:color="FFFFFF" w:themeColor="background1"/>
              <w:left w:val="single" w:sz="6" w:space="0" w:color="9E9E9E"/>
              <w:bottom w:val="single" w:sz="6" w:space="0" w:color="FFFFFF" w:themeColor="background1"/>
              <w:right w:val="single" w:sz="6" w:space="0" w:color="FFFFFF" w:themeColor="background1"/>
            </w:tcBorders>
            <w:shd w:val="clear" w:color="auto" w:fill="004A53" w:themeFill="accent3" w:themeFillShade="80"/>
            <w:tcMar>
              <w:top w:w="72" w:type="dxa"/>
              <w:left w:w="144" w:type="dxa"/>
              <w:bottom w:w="72" w:type="dxa"/>
              <w:right w:w="144" w:type="dxa"/>
            </w:tcMar>
            <w:vAlign w:val="center"/>
            <w:hideMark/>
          </w:tcPr>
          <w:p w14:paraId="252C7ED8" w14:textId="77777777" w:rsidR="00BE0EEF" w:rsidRPr="00CE33C3" w:rsidRDefault="00BE0EEF" w:rsidP="00DD2C76">
            <w:pPr>
              <w:pStyle w:val="TableText"/>
              <w:jc w:val="center"/>
            </w:pPr>
            <w:r w:rsidRPr="00CE33C3">
              <w:t>Y</w:t>
            </w:r>
          </w:p>
        </w:tc>
        <w:tc>
          <w:tcPr>
            <w:tcW w:w="76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FA31F" w:themeFill="accent4"/>
            <w:tcMar>
              <w:top w:w="72" w:type="dxa"/>
              <w:left w:w="144" w:type="dxa"/>
              <w:bottom w:w="72" w:type="dxa"/>
              <w:right w:w="144" w:type="dxa"/>
            </w:tcMar>
            <w:vAlign w:val="center"/>
            <w:hideMark/>
          </w:tcPr>
          <w:p w14:paraId="370AE3EF" w14:textId="77777777" w:rsidR="00BE0EEF" w:rsidRPr="00CE33C3" w:rsidRDefault="00BE0EEF" w:rsidP="00DD2C76">
            <w:pPr>
              <w:pStyle w:val="TableText"/>
              <w:jc w:val="center"/>
            </w:pPr>
            <w:r w:rsidRPr="00CE33C3">
              <w:t>N</w:t>
            </w:r>
          </w:p>
        </w:tc>
        <w:tc>
          <w:tcPr>
            <w:tcW w:w="76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4A53" w:themeFill="accent3" w:themeFillShade="80"/>
            <w:tcMar>
              <w:top w:w="72" w:type="dxa"/>
              <w:left w:w="144" w:type="dxa"/>
              <w:bottom w:w="72" w:type="dxa"/>
              <w:right w:w="144" w:type="dxa"/>
            </w:tcMar>
            <w:vAlign w:val="center"/>
            <w:hideMark/>
          </w:tcPr>
          <w:p w14:paraId="37D71BE5" w14:textId="77777777" w:rsidR="00BE0EEF" w:rsidRPr="00CE33C3" w:rsidRDefault="00BE0EEF" w:rsidP="00DD2C76">
            <w:pPr>
              <w:pStyle w:val="TableText"/>
              <w:jc w:val="center"/>
            </w:pPr>
            <w:r w:rsidRPr="00CE33C3">
              <w:t>Y</w:t>
            </w:r>
          </w:p>
        </w:tc>
        <w:tc>
          <w:tcPr>
            <w:tcW w:w="76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4A53" w:themeFill="accent3" w:themeFillShade="80"/>
            <w:tcMar>
              <w:top w:w="72" w:type="dxa"/>
              <w:left w:w="144" w:type="dxa"/>
              <w:bottom w:w="72" w:type="dxa"/>
              <w:right w:w="144" w:type="dxa"/>
            </w:tcMar>
            <w:vAlign w:val="center"/>
            <w:hideMark/>
          </w:tcPr>
          <w:p w14:paraId="5255F263" w14:textId="77777777" w:rsidR="00BE0EEF" w:rsidRPr="00CE33C3" w:rsidRDefault="00BE0EEF" w:rsidP="00DD2C76">
            <w:pPr>
              <w:pStyle w:val="TableText"/>
              <w:jc w:val="center"/>
            </w:pPr>
            <w:r w:rsidRPr="00CE33C3">
              <w:t>Y</w:t>
            </w:r>
          </w:p>
        </w:tc>
        <w:tc>
          <w:tcPr>
            <w:tcW w:w="76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196A7" w:themeFill="accent3"/>
            <w:tcMar>
              <w:top w:w="72" w:type="dxa"/>
              <w:left w:w="144" w:type="dxa"/>
              <w:bottom w:w="72" w:type="dxa"/>
              <w:right w:w="144" w:type="dxa"/>
            </w:tcMar>
            <w:vAlign w:val="center"/>
            <w:hideMark/>
          </w:tcPr>
          <w:p w14:paraId="4640A3C5" w14:textId="77777777" w:rsidR="00BE0EEF" w:rsidRPr="00CE33C3" w:rsidRDefault="00BE0EEF" w:rsidP="00DD2C76">
            <w:pPr>
              <w:pStyle w:val="TableText"/>
              <w:jc w:val="center"/>
            </w:pPr>
            <w:r w:rsidRPr="00CE33C3">
              <w:t>C</w:t>
            </w:r>
          </w:p>
        </w:tc>
        <w:tc>
          <w:tcPr>
            <w:tcW w:w="76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196A7" w:themeFill="accent3"/>
            <w:tcMar>
              <w:top w:w="72" w:type="dxa"/>
              <w:left w:w="144" w:type="dxa"/>
              <w:bottom w:w="72" w:type="dxa"/>
              <w:right w:w="144" w:type="dxa"/>
            </w:tcMar>
            <w:vAlign w:val="center"/>
            <w:hideMark/>
          </w:tcPr>
          <w:p w14:paraId="38D7944F" w14:textId="77777777" w:rsidR="00BE0EEF" w:rsidRPr="00CE33C3" w:rsidRDefault="00BE0EEF" w:rsidP="00DD2C76">
            <w:pPr>
              <w:pStyle w:val="TableText"/>
              <w:jc w:val="center"/>
            </w:pPr>
            <w:r w:rsidRPr="00CE33C3">
              <w:t>C</w:t>
            </w:r>
          </w:p>
        </w:tc>
        <w:tc>
          <w:tcPr>
            <w:tcW w:w="76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4A53" w:themeFill="accent3" w:themeFillShade="80"/>
            <w:tcMar>
              <w:top w:w="72" w:type="dxa"/>
              <w:left w:w="144" w:type="dxa"/>
              <w:bottom w:w="72" w:type="dxa"/>
              <w:right w:w="144" w:type="dxa"/>
            </w:tcMar>
            <w:vAlign w:val="center"/>
            <w:hideMark/>
          </w:tcPr>
          <w:p w14:paraId="41616913" w14:textId="77777777" w:rsidR="00BE0EEF" w:rsidRPr="00CE33C3" w:rsidRDefault="00BE0EEF" w:rsidP="00DD2C76">
            <w:pPr>
              <w:pStyle w:val="TableText"/>
              <w:jc w:val="center"/>
            </w:pPr>
            <w:r w:rsidRPr="00CE33C3">
              <w:t>Y</w:t>
            </w:r>
          </w:p>
        </w:tc>
        <w:tc>
          <w:tcPr>
            <w:tcW w:w="76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4A53" w:themeFill="accent3" w:themeFillShade="80"/>
            <w:tcMar>
              <w:top w:w="72" w:type="dxa"/>
              <w:left w:w="144" w:type="dxa"/>
              <w:bottom w:w="72" w:type="dxa"/>
              <w:right w:w="144" w:type="dxa"/>
            </w:tcMar>
            <w:vAlign w:val="center"/>
            <w:hideMark/>
          </w:tcPr>
          <w:p w14:paraId="5108D797" w14:textId="77777777" w:rsidR="00BE0EEF" w:rsidRPr="00CE33C3" w:rsidRDefault="00BE0EEF" w:rsidP="00DD2C76">
            <w:pPr>
              <w:pStyle w:val="TableText"/>
              <w:jc w:val="center"/>
            </w:pPr>
            <w:r w:rsidRPr="00CE33C3">
              <w:t>Y</w:t>
            </w:r>
          </w:p>
        </w:tc>
        <w:tc>
          <w:tcPr>
            <w:tcW w:w="76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196A7" w:themeFill="accent3"/>
            <w:tcMar>
              <w:top w:w="72" w:type="dxa"/>
              <w:left w:w="144" w:type="dxa"/>
              <w:bottom w:w="72" w:type="dxa"/>
              <w:right w:w="144" w:type="dxa"/>
            </w:tcMar>
            <w:vAlign w:val="center"/>
            <w:hideMark/>
          </w:tcPr>
          <w:p w14:paraId="5B43A5F4" w14:textId="77777777" w:rsidR="00BE0EEF" w:rsidRPr="00CE33C3" w:rsidRDefault="00BE0EEF" w:rsidP="00DD2C76">
            <w:pPr>
              <w:pStyle w:val="TableText"/>
              <w:jc w:val="center"/>
            </w:pPr>
            <w:r w:rsidRPr="00CE33C3">
              <w:t>C</w:t>
            </w:r>
          </w:p>
        </w:tc>
        <w:tc>
          <w:tcPr>
            <w:tcW w:w="76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196A7" w:themeFill="accent3"/>
            <w:tcMar>
              <w:top w:w="72" w:type="dxa"/>
              <w:left w:w="144" w:type="dxa"/>
              <w:bottom w:w="72" w:type="dxa"/>
              <w:right w:w="144" w:type="dxa"/>
            </w:tcMar>
            <w:vAlign w:val="center"/>
            <w:hideMark/>
          </w:tcPr>
          <w:p w14:paraId="4D426346" w14:textId="77777777" w:rsidR="00BE0EEF" w:rsidRPr="00CE33C3" w:rsidRDefault="00BE0EEF" w:rsidP="00DD2C76">
            <w:pPr>
              <w:pStyle w:val="TableText"/>
              <w:jc w:val="center"/>
            </w:pPr>
            <w:r w:rsidRPr="00CE33C3">
              <w:t>C</w:t>
            </w:r>
          </w:p>
        </w:tc>
        <w:tc>
          <w:tcPr>
            <w:tcW w:w="76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4A53" w:themeFill="accent3" w:themeFillShade="80"/>
            <w:tcMar>
              <w:top w:w="72" w:type="dxa"/>
              <w:left w:w="144" w:type="dxa"/>
              <w:bottom w:w="72" w:type="dxa"/>
              <w:right w:w="144" w:type="dxa"/>
            </w:tcMar>
            <w:vAlign w:val="center"/>
            <w:hideMark/>
          </w:tcPr>
          <w:p w14:paraId="06E741E9" w14:textId="77777777" w:rsidR="00BE0EEF" w:rsidRPr="00CE33C3" w:rsidRDefault="00BE0EEF" w:rsidP="00DD2C76">
            <w:pPr>
              <w:pStyle w:val="TableText"/>
              <w:jc w:val="center"/>
            </w:pPr>
            <w:r w:rsidRPr="00CE33C3">
              <w:t>Y</w:t>
            </w:r>
          </w:p>
        </w:tc>
        <w:tc>
          <w:tcPr>
            <w:tcW w:w="76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4A53" w:themeFill="accent3" w:themeFillShade="80"/>
            <w:tcMar>
              <w:top w:w="72" w:type="dxa"/>
              <w:left w:w="144" w:type="dxa"/>
              <w:bottom w:w="72" w:type="dxa"/>
              <w:right w:w="144" w:type="dxa"/>
            </w:tcMar>
            <w:vAlign w:val="center"/>
            <w:hideMark/>
          </w:tcPr>
          <w:p w14:paraId="0AE5116F" w14:textId="77777777" w:rsidR="00BE0EEF" w:rsidRDefault="00BE0EEF" w:rsidP="00DD2C76">
            <w:pPr>
              <w:pStyle w:val="TableText"/>
              <w:jc w:val="center"/>
            </w:pPr>
            <w:r w:rsidRPr="00CE33C3">
              <w:t>Y</w:t>
            </w:r>
          </w:p>
          <w:p w14:paraId="70D83413" w14:textId="77777777" w:rsidR="009F351B" w:rsidRPr="00CE33C3" w:rsidRDefault="009F351B" w:rsidP="00DD2C76">
            <w:pPr>
              <w:pStyle w:val="TableText"/>
              <w:jc w:val="center"/>
            </w:pPr>
          </w:p>
        </w:tc>
        <w:tc>
          <w:tcPr>
            <w:tcW w:w="76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196A7" w:themeFill="accent3"/>
            <w:tcMar>
              <w:top w:w="72" w:type="dxa"/>
              <w:left w:w="144" w:type="dxa"/>
              <w:bottom w:w="72" w:type="dxa"/>
              <w:right w:w="144" w:type="dxa"/>
            </w:tcMar>
            <w:vAlign w:val="center"/>
            <w:hideMark/>
          </w:tcPr>
          <w:p w14:paraId="3152B217" w14:textId="77777777" w:rsidR="00BE0EEF" w:rsidRPr="00CE33C3" w:rsidRDefault="00BE0EEF" w:rsidP="00DD2C76">
            <w:pPr>
              <w:pStyle w:val="TableText"/>
              <w:jc w:val="center"/>
            </w:pPr>
            <w:r w:rsidRPr="00CE33C3">
              <w:t>C</w:t>
            </w:r>
          </w:p>
        </w:tc>
        <w:tc>
          <w:tcPr>
            <w:tcW w:w="76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4A53" w:themeFill="accent3" w:themeFillShade="80"/>
            <w:tcMar>
              <w:top w:w="72" w:type="dxa"/>
              <w:left w:w="144" w:type="dxa"/>
              <w:bottom w:w="72" w:type="dxa"/>
              <w:right w:w="144" w:type="dxa"/>
            </w:tcMar>
            <w:vAlign w:val="center"/>
            <w:hideMark/>
          </w:tcPr>
          <w:p w14:paraId="4C86F97E" w14:textId="77777777" w:rsidR="00BE0EEF" w:rsidRPr="00CE33C3" w:rsidRDefault="00BE0EEF" w:rsidP="00DD2C76">
            <w:pPr>
              <w:pStyle w:val="TableText"/>
              <w:jc w:val="center"/>
            </w:pPr>
            <w:r w:rsidRPr="00CE33C3">
              <w:t>Y</w:t>
            </w:r>
          </w:p>
        </w:tc>
        <w:tc>
          <w:tcPr>
            <w:tcW w:w="76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FA31F" w:themeFill="accent4"/>
            <w:tcMar>
              <w:top w:w="72" w:type="dxa"/>
              <w:left w:w="144" w:type="dxa"/>
              <w:bottom w:w="72" w:type="dxa"/>
              <w:right w:w="144" w:type="dxa"/>
            </w:tcMar>
            <w:vAlign w:val="center"/>
            <w:hideMark/>
          </w:tcPr>
          <w:p w14:paraId="711E2825" w14:textId="77777777" w:rsidR="00BE0EEF" w:rsidRPr="00CE33C3" w:rsidRDefault="00BE0EEF" w:rsidP="00DD2C76">
            <w:pPr>
              <w:pStyle w:val="TableText"/>
              <w:jc w:val="center"/>
            </w:pPr>
            <w:r w:rsidRPr="00CE33C3">
              <w:t>N</w:t>
            </w:r>
          </w:p>
        </w:tc>
        <w:tc>
          <w:tcPr>
            <w:tcW w:w="76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FCEDD2"/>
            <w:tcMar>
              <w:top w:w="72" w:type="dxa"/>
              <w:left w:w="144" w:type="dxa"/>
              <w:bottom w:w="72" w:type="dxa"/>
              <w:right w:w="144" w:type="dxa"/>
            </w:tcMar>
            <w:vAlign w:val="center"/>
            <w:hideMark/>
          </w:tcPr>
          <w:p w14:paraId="2CF6F753" w14:textId="77777777" w:rsidR="00BE0EEF" w:rsidRPr="00CE33C3" w:rsidRDefault="00BE0EEF" w:rsidP="00DD2C76">
            <w:pPr>
              <w:pStyle w:val="TableText"/>
              <w:jc w:val="center"/>
            </w:pPr>
            <w:r w:rsidRPr="00CE33C3">
              <w:t>/</w:t>
            </w:r>
          </w:p>
        </w:tc>
        <w:tc>
          <w:tcPr>
            <w:tcW w:w="964" w:type="dxa"/>
            <w:tcBorders>
              <w:top w:val="single" w:sz="6" w:space="0" w:color="FFFFFF" w:themeColor="background1"/>
              <w:left w:val="single" w:sz="6" w:space="0" w:color="FFFFFF" w:themeColor="background1"/>
              <w:bottom w:val="single" w:sz="6" w:space="0" w:color="FFFFFF" w:themeColor="background1"/>
              <w:right w:val="single" w:sz="6" w:space="0" w:color="9E9E9E"/>
            </w:tcBorders>
            <w:shd w:val="clear" w:color="auto" w:fill="FCEDD2"/>
            <w:tcMar>
              <w:top w:w="72" w:type="dxa"/>
              <w:left w:w="144" w:type="dxa"/>
              <w:bottom w:w="72" w:type="dxa"/>
              <w:right w:w="144" w:type="dxa"/>
            </w:tcMar>
            <w:vAlign w:val="center"/>
            <w:hideMark/>
          </w:tcPr>
          <w:p w14:paraId="197AE393" w14:textId="77777777" w:rsidR="00BE0EEF" w:rsidRPr="00CE33C3" w:rsidRDefault="00BE0EEF" w:rsidP="00DD2C76">
            <w:pPr>
              <w:pStyle w:val="TableText"/>
              <w:jc w:val="center"/>
            </w:pPr>
            <w:r w:rsidRPr="00CE33C3">
              <w:t>/</w:t>
            </w:r>
          </w:p>
        </w:tc>
      </w:tr>
      <w:tr w:rsidR="001A3F9F" w:rsidRPr="00CE33C3" w14:paraId="3F67966C" w14:textId="77777777" w:rsidTr="001A3F9F">
        <w:trPr>
          <w:trHeight w:val="25"/>
        </w:trPr>
        <w:tc>
          <w:tcPr>
            <w:tcW w:w="0" w:type="auto"/>
            <w:tcBorders>
              <w:top w:val="single" w:sz="6" w:space="0" w:color="808080" w:themeColor="background1" w:themeShade="80"/>
              <w:left w:val="single" w:sz="6" w:space="0" w:color="808080" w:themeColor="background1" w:themeShade="80"/>
              <w:bottom w:val="single" w:sz="6" w:space="0" w:color="9E9E9E"/>
              <w:right w:val="single" w:sz="6" w:space="0" w:color="9E9E9E"/>
            </w:tcBorders>
            <w:shd w:val="clear" w:color="auto" w:fill="auto"/>
            <w:tcMar>
              <w:top w:w="72" w:type="dxa"/>
              <w:left w:w="144" w:type="dxa"/>
              <w:bottom w:w="72" w:type="dxa"/>
              <w:right w:w="144" w:type="dxa"/>
            </w:tcMar>
            <w:hideMark/>
          </w:tcPr>
          <w:p w14:paraId="3AF08312" w14:textId="77777777" w:rsidR="00BE0EEF" w:rsidRPr="00DD2C76" w:rsidRDefault="00BE0EEF" w:rsidP="00DD2C76">
            <w:pPr>
              <w:pStyle w:val="TableText"/>
              <w:spacing w:before="0" w:after="0"/>
              <w:rPr>
                <w:b/>
                <w:bCs/>
                <w:sz w:val="18"/>
                <w:szCs w:val="18"/>
              </w:rPr>
            </w:pPr>
            <w:r w:rsidRPr="00DD2C76">
              <w:rPr>
                <w:b/>
                <w:bCs/>
                <w:sz w:val="18"/>
                <w:szCs w:val="18"/>
              </w:rPr>
              <w:t>C</w:t>
            </w:r>
            <w:r w:rsidRPr="00DD2C76">
              <w:rPr>
                <w:b/>
                <w:bCs/>
                <w:sz w:val="18"/>
                <w:szCs w:val="18"/>
              </w:rPr>
              <w:br/>
              <w:t>National</w:t>
            </w:r>
          </w:p>
          <w:p w14:paraId="37E10A21" w14:textId="77777777" w:rsidR="00BE0EEF" w:rsidRPr="00DD2C76" w:rsidRDefault="00BE0EEF" w:rsidP="00DD2C76">
            <w:pPr>
              <w:pStyle w:val="TableText"/>
              <w:spacing w:before="0" w:after="0"/>
              <w:rPr>
                <w:b/>
                <w:bCs/>
                <w:sz w:val="18"/>
                <w:szCs w:val="18"/>
              </w:rPr>
            </w:pPr>
          </w:p>
        </w:tc>
        <w:tc>
          <w:tcPr>
            <w:tcW w:w="767" w:type="dxa"/>
            <w:tcBorders>
              <w:top w:val="single" w:sz="6" w:space="0" w:color="FFFFFF" w:themeColor="background1"/>
              <w:left w:val="single" w:sz="6" w:space="0" w:color="9E9E9E"/>
              <w:bottom w:val="single" w:sz="6" w:space="0" w:color="9E9E9E"/>
              <w:right w:val="single" w:sz="6" w:space="0" w:color="FFFFFF" w:themeColor="background1"/>
            </w:tcBorders>
            <w:shd w:val="clear" w:color="auto" w:fill="0196A7" w:themeFill="accent3"/>
            <w:tcMar>
              <w:top w:w="72" w:type="dxa"/>
              <w:left w:w="144" w:type="dxa"/>
              <w:bottom w:w="72" w:type="dxa"/>
              <w:right w:w="144" w:type="dxa"/>
            </w:tcMar>
            <w:vAlign w:val="center"/>
            <w:hideMark/>
          </w:tcPr>
          <w:p w14:paraId="4F4E5D7E" w14:textId="77777777" w:rsidR="00BE0EEF" w:rsidRPr="00CE33C3" w:rsidRDefault="00BE0EEF" w:rsidP="00DD2C76">
            <w:pPr>
              <w:pStyle w:val="TableText"/>
              <w:jc w:val="center"/>
            </w:pPr>
            <w:r w:rsidRPr="00CE33C3">
              <w:t>C</w:t>
            </w:r>
          </w:p>
        </w:tc>
        <w:tc>
          <w:tcPr>
            <w:tcW w:w="768" w:type="dxa"/>
            <w:tcBorders>
              <w:top w:val="single" w:sz="6" w:space="0" w:color="FFFFFF" w:themeColor="background1"/>
              <w:left w:val="single" w:sz="6" w:space="0" w:color="FFFFFF" w:themeColor="background1"/>
              <w:bottom w:val="single" w:sz="6" w:space="0" w:color="9E9E9E"/>
              <w:right w:val="single" w:sz="6" w:space="0" w:color="FFFFFF" w:themeColor="background1"/>
            </w:tcBorders>
            <w:shd w:val="clear" w:color="auto" w:fill="EFA31F" w:themeFill="accent4"/>
            <w:tcMar>
              <w:top w:w="72" w:type="dxa"/>
              <w:left w:w="144" w:type="dxa"/>
              <w:bottom w:w="72" w:type="dxa"/>
              <w:right w:w="144" w:type="dxa"/>
            </w:tcMar>
            <w:vAlign w:val="center"/>
            <w:hideMark/>
          </w:tcPr>
          <w:p w14:paraId="0C658BE2" w14:textId="77777777" w:rsidR="00BE0EEF" w:rsidRPr="00CE33C3" w:rsidRDefault="00BE0EEF" w:rsidP="00DD2C76">
            <w:pPr>
              <w:pStyle w:val="TableText"/>
              <w:jc w:val="center"/>
            </w:pPr>
            <w:r w:rsidRPr="00CE33C3">
              <w:t>N</w:t>
            </w:r>
          </w:p>
        </w:tc>
        <w:tc>
          <w:tcPr>
            <w:tcW w:w="768" w:type="dxa"/>
            <w:tcBorders>
              <w:top w:val="single" w:sz="6" w:space="0" w:color="FFFFFF" w:themeColor="background1"/>
              <w:left w:val="single" w:sz="6" w:space="0" w:color="FFFFFF" w:themeColor="background1"/>
              <w:bottom w:val="single" w:sz="6" w:space="0" w:color="9E9E9E"/>
              <w:right w:val="single" w:sz="6" w:space="0" w:color="FFFFFF" w:themeColor="background1"/>
            </w:tcBorders>
            <w:shd w:val="clear" w:color="auto" w:fill="EFA31F" w:themeFill="accent4"/>
            <w:tcMar>
              <w:top w:w="72" w:type="dxa"/>
              <w:left w:w="144" w:type="dxa"/>
              <w:bottom w:w="72" w:type="dxa"/>
              <w:right w:w="144" w:type="dxa"/>
            </w:tcMar>
            <w:vAlign w:val="center"/>
            <w:hideMark/>
          </w:tcPr>
          <w:p w14:paraId="2EB4202A" w14:textId="77777777" w:rsidR="00BE0EEF" w:rsidRPr="00CE33C3" w:rsidRDefault="00BE0EEF" w:rsidP="00DD2C76">
            <w:pPr>
              <w:pStyle w:val="TableText"/>
              <w:jc w:val="center"/>
            </w:pPr>
            <w:r w:rsidRPr="00CE33C3">
              <w:t>N</w:t>
            </w:r>
          </w:p>
        </w:tc>
        <w:tc>
          <w:tcPr>
            <w:tcW w:w="768" w:type="dxa"/>
            <w:tcBorders>
              <w:top w:val="single" w:sz="6" w:space="0" w:color="FFFFFF" w:themeColor="background1"/>
              <w:left w:val="single" w:sz="6" w:space="0" w:color="FFFFFF" w:themeColor="background1"/>
              <w:bottom w:val="single" w:sz="6" w:space="0" w:color="9E9E9E"/>
              <w:right w:val="single" w:sz="6" w:space="0" w:color="FFFFFF" w:themeColor="background1"/>
            </w:tcBorders>
            <w:shd w:val="clear" w:color="auto" w:fill="EFA31F" w:themeFill="accent4"/>
            <w:tcMar>
              <w:top w:w="72" w:type="dxa"/>
              <w:left w:w="144" w:type="dxa"/>
              <w:bottom w:w="72" w:type="dxa"/>
              <w:right w:w="144" w:type="dxa"/>
            </w:tcMar>
            <w:vAlign w:val="center"/>
            <w:hideMark/>
          </w:tcPr>
          <w:p w14:paraId="4F42B489" w14:textId="77777777" w:rsidR="00BE0EEF" w:rsidRPr="00CE33C3" w:rsidRDefault="00BE0EEF" w:rsidP="00DD2C76">
            <w:pPr>
              <w:pStyle w:val="TableText"/>
              <w:jc w:val="center"/>
            </w:pPr>
            <w:r w:rsidRPr="00CE33C3">
              <w:t>N</w:t>
            </w:r>
          </w:p>
        </w:tc>
        <w:tc>
          <w:tcPr>
            <w:tcW w:w="768" w:type="dxa"/>
            <w:tcBorders>
              <w:top w:val="single" w:sz="6" w:space="0" w:color="FFFFFF" w:themeColor="background1"/>
              <w:left w:val="single" w:sz="6" w:space="0" w:color="FFFFFF" w:themeColor="background1"/>
              <w:bottom w:val="single" w:sz="6" w:space="0" w:color="9E9E9E"/>
              <w:right w:val="single" w:sz="6" w:space="0" w:color="FFFFFF" w:themeColor="background1"/>
            </w:tcBorders>
            <w:shd w:val="clear" w:color="auto" w:fill="EFA31F" w:themeFill="accent4"/>
            <w:tcMar>
              <w:top w:w="72" w:type="dxa"/>
              <w:left w:w="144" w:type="dxa"/>
              <w:bottom w:w="72" w:type="dxa"/>
              <w:right w:w="144" w:type="dxa"/>
            </w:tcMar>
            <w:vAlign w:val="center"/>
            <w:hideMark/>
          </w:tcPr>
          <w:p w14:paraId="4D14DE56" w14:textId="77777777" w:rsidR="00BE0EEF" w:rsidRPr="00CE33C3" w:rsidRDefault="00BE0EEF" w:rsidP="00DD2C76">
            <w:pPr>
              <w:pStyle w:val="TableText"/>
              <w:jc w:val="center"/>
            </w:pPr>
            <w:r w:rsidRPr="00CE33C3">
              <w:t>N</w:t>
            </w:r>
          </w:p>
        </w:tc>
        <w:tc>
          <w:tcPr>
            <w:tcW w:w="767" w:type="dxa"/>
            <w:tcBorders>
              <w:top w:val="single" w:sz="6" w:space="0" w:color="FFFFFF" w:themeColor="background1"/>
              <w:left w:val="single" w:sz="6" w:space="0" w:color="FFFFFF" w:themeColor="background1"/>
              <w:bottom w:val="single" w:sz="6" w:space="0" w:color="9E9E9E"/>
              <w:right w:val="single" w:sz="6" w:space="0" w:color="FFFFFF" w:themeColor="background1"/>
            </w:tcBorders>
            <w:shd w:val="clear" w:color="auto" w:fill="EFA31F" w:themeFill="accent4"/>
            <w:tcMar>
              <w:top w:w="72" w:type="dxa"/>
              <w:left w:w="144" w:type="dxa"/>
              <w:bottom w:w="72" w:type="dxa"/>
              <w:right w:w="144" w:type="dxa"/>
            </w:tcMar>
            <w:vAlign w:val="center"/>
            <w:hideMark/>
          </w:tcPr>
          <w:p w14:paraId="34A258AB" w14:textId="77777777" w:rsidR="00BE0EEF" w:rsidRPr="00CE33C3" w:rsidRDefault="00BE0EEF" w:rsidP="00DD2C76">
            <w:pPr>
              <w:pStyle w:val="TableText"/>
              <w:jc w:val="center"/>
            </w:pPr>
            <w:r w:rsidRPr="00CE33C3">
              <w:t>N</w:t>
            </w:r>
          </w:p>
        </w:tc>
        <w:tc>
          <w:tcPr>
            <w:tcW w:w="768" w:type="dxa"/>
            <w:tcBorders>
              <w:top w:val="single" w:sz="6" w:space="0" w:color="FFFFFF" w:themeColor="background1"/>
              <w:left w:val="single" w:sz="6" w:space="0" w:color="FFFFFF" w:themeColor="background1"/>
              <w:bottom w:val="single" w:sz="6" w:space="0" w:color="9E9E9E"/>
              <w:right w:val="single" w:sz="6" w:space="0" w:color="FFFFFF" w:themeColor="background1"/>
            </w:tcBorders>
            <w:shd w:val="clear" w:color="auto" w:fill="EFA31F" w:themeFill="accent4"/>
            <w:tcMar>
              <w:top w:w="72" w:type="dxa"/>
              <w:left w:w="144" w:type="dxa"/>
              <w:bottom w:w="72" w:type="dxa"/>
              <w:right w:w="144" w:type="dxa"/>
            </w:tcMar>
            <w:vAlign w:val="center"/>
            <w:hideMark/>
          </w:tcPr>
          <w:p w14:paraId="53306047" w14:textId="77777777" w:rsidR="00BE0EEF" w:rsidRPr="00CE33C3" w:rsidRDefault="00BE0EEF" w:rsidP="00DD2C76">
            <w:pPr>
              <w:pStyle w:val="TableText"/>
              <w:jc w:val="center"/>
            </w:pPr>
            <w:r w:rsidRPr="00CE33C3">
              <w:t>N</w:t>
            </w:r>
          </w:p>
        </w:tc>
        <w:tc>
          <w:tcPr>
            <w:tcW w:w="768" w:type="dxa"/>
            <w:tcBorders>
              <w:top w:val="single" w:sz="6" w:space="0" w:color="FFFFFF" w:themeColor="background1"/>
              <w:left w:val="single" w:sz="6" w:space="0" w:color="FFFFFF" w:themeColor="background1"/>
              <w:bottom w:val="single" w:sz="6" w:space="0" w:color="9E9E9E"/>
              <w:right w:val="single" w:sz="6" w:space="0" w:color="FFFFFF" w:themeColor="background1"/>
            </w:tcBorders>
            <w:shd w:val="clear" w:color="auto" w:fill="EFA31F" w:themeFill="accent4"/>
            <w:tcMar>
              <w:top w:w="72" w:type="dxa"/>
              <w:left w:w="144" w:type="dxa"/>
              <w:bottom w:w="72" w:type="dxa"/>
              <w:right w:w="144" w:type="dxa"/>
            </w:tcMar>
            <w:vAlign w:val="center"/>
            <w:hideMark/>
          </w:tcPr>
          <w:p w14:paraId="01EA5A90" w14:textId="77777777" w:rsidR="00BE0EEF" w:rsidRPr="00CE33C3" w:rsidRDefault="00BE0EEF" w:rsidP="00DD2C76">
            <w:pPr>
              <w:pStyle w:val="TableText"/>
              <w:jc w:val="center"/>
            </w:pPr>
            <w:r w:rsidRPr="00CE33C3">
              <w:t>N</w:t>
            </w:r>
          </w:p>
        </w:tc>
        <w:tc>
          <w:tcPr>
            <w:tcW w:w="768" w:type="dxa"/>
            <w:tcBorders>
              <w:top w:val="single" w:sz="6" w:space="0" w:color="FFFFFF" w:themeColor="background1"/>
              <w:left w:val="single" w:sz="6" w:space="0" w:color="FFFFFF" w:themeColor="background1"/>
              <w:bottom w:val="single" w:sz="6" w:space="0" w:color="9E9E9E"/>
              <w:right w:val="single" w:sz="6" w:space="0" w:color="FFFFFF" w:themeColor="background1"/>
            </w:tcBorders>
            <w:shd w:val="clear" w:color="auto" w:fill="0196A7" w:themeFill="accent3"/>
            <w:tcMar>
              <w:top w:w="72" w:type="dxa"/>
              <w:left w:w="144" w:type="dxa"/>
              <w:bottom w:w="72" w:type="dxa"/>
              <w:right w:w="144" w:type="dxa"/>
            </w:tcMar>
            <w:vAlign w:val="center"/>
            <w:hideMark/>
          </w:tcPr>
          <w:p w14:paraId="16A106D4" w14:textId="77777777" w:rsidR="00BE0EEF" w:rsidRPr="00CE33C3" w:rsidRDefault="00BE0EEF" w:rsidP="00DD2C76">
            <w:pPr>
              <w:pStyle w:val="TableText"/>
              <w:jc w:val="center"/>
            </w:pPr>
            <w:r w:rsidRPr="00CE33C3">
              <w:t>C</w:t>
            </w:r>
          </w:p>
        </w:tc>
        <w:tc>
          <w:tcPr>
            <w:tcW w:w="768" w:type="dxa"/>
            <w:tcBorders>
              <w:top w:val="single" w:sz="6" w:space="0" w:color="FFFFFF" w:themeColor="background1"/>
              <w:left w:val="single" w:sz="6" w:space="0" w:color="FFFFFF" w:themeColor="background1"/>
              <w:bottom w:val="single" w:sz="6" w:space="0" w:color="9E9E9E"/>
              <w:right w:val="single" w:sz="6" w:space="0" w:color="FFFFFF" w:themeColor="background1"/>
            </w:tcBorders>
            <w:shd w:val="clear" w:color="auto" w:fill="0196A7" w:themeFill="accent3"/>
            <w:tcMar>
              <w:top w:w="72" w:type="dxa"/>
              <w:left w:w="144" w:type="dxa"/>
              <w:bottom w:w="72" w:type="dxa"/>
              <w:right w:w="144" w:type="dxa"/>
            </w:tcMar>
            <w:vAlign w:val="center"/>
            <w:hideMark/>
          </w:tcPr>
          <w:p w14:paraId="3A8FB58E" w14:textId="77777777" w:rsidR="00BE0EEF" w:rsidRPr="00CE33C3" w:rsidRDefault="00BE0EEF" w:rsidP="00DD2C76">
            <w:pPr>
              <w:pStyle w:val="TableText"/>
              <w:jc w:val="center"/>
            </w:pPr>
            <w:r w:rsidRPr="00CE33C3">
              <w:t>C</w:t>
            </w:r>
          </w:p>
        </w:tc>
        <w:tc>
          <w:tcPr>
            <w:tcW w:w="767" w:type="dxa"/>
            <w:tcBorders>
              <w:top w:val="single" w:sz="6" w:space="0" w:color="FFFFFF" w:themeColor="background1"/>
              <w:left w:val="single" w:sz="6" w:space="0" w:color="FFFFFF" w:themeColor="background1"/>
              <w:bottom w:val="single" w:sz="6" w:space="0" w:color="9E9E9E"/>
              <w:right w:val="single" w:sz="6" w:space="0" w:color="FFFFFF" w:themeColor="background1"/>
            </w:tcBorders>
            <w:shd w:val="clear" w:color="auto" w:fill="EFA31F" w:themeFill="accent4"/>
            <w:tcMar>
              <w:top w:w="72" w:type="dxa"/>
              <w:left w:w="144" w:type="dxa"/>
              <w:bottom w:w="72" w:type="dxa"/>
              <w:right w:w="144" w:type="dxa"/>
            </w:tcMar>
            <w:vAlign w:val="center"/>
            <w:hideMark/>
          </w:tcPr>
          <w:p w14:paraId="3634DE74" w14:textId="77777777" w:rsidR="00BE0EEF" w:rsidRPr="00CE33C3" w:rsidRDefault="00BE0EEF" w:rsidP="00DD2C76">
            <w:pPr>
              <w:pStyle w:val="TableText"/>
              <w:jc w:val="center"/>
            </w:pPr>
            <w:r w:rsidRPr="00CE33C3">
              <w:t>N</w:t>
            </w:r>
          </w:p>
        </w:tc>
        <w:tc>
          <w:tcPr>
            <w:tcW w:w="768" w:type="dxa"/>
            <w:tcBorders>
              <w:top w:val="single" w:sz="6" w:space="0" w:color="FFFFFF" w:themeColor="background1"/>
              <w:left w:val="single" w:sz="6" w:space="0" w:color="FFFFFF" w:themeColor="background1"/>
              <w:bottom w:val="single" w:sz="6" w:space="0" w:color="9E9E9E"/>
              <w:right w:val="single" w:sz="6" w:space="0" w:color="FFFFFF" w:themeColor="background1"/>
            </w:tcBorders>
            <w:shd w:val="clear" w:color="auto" w:fill="EFA31F" w:themeFill="accent4"/>
            <w:tcMar>
              <w:top w:w="72" w:type="dxa"/>
              <w:left w:w="144" w:type="dxa"/>
              <w:bottom w:w="72" w:type="dxa"/>
              <w:right w:w="144" w:type="dxa"/>
            </w:tcMar>
            <w:vAlign w:val="center"/>
            <w:hideMark/>
          </w:tcPr>
          <w:p w14:paraId="2546E820" w14:textId="77777777" w:rsidR="00BE0EEF" w:rsidRPr="00CE33C3" w:rsidRDefault="00BE0EEF" w:rsidP="00DD2C76">
            <w:pPr>
              <w:pStyle w:val="TableText"/>
              <w:jc w:val="center"/>
            </w:pPr>
            <w:r w:rsidRPr="00CE33C3">
              <w:t>N</w:t>
            </w:r>
          </w:p>
        </w:tc>
        <w:tc>
          <w:tcPr>
            <w:tcW w:w="768" w:type="dxa"/>
            <w:tcBorders>
              <w:top w:val="single" w:sz="6" w:space="0" w:color="FFFFFF" w:themeColor="background1"/>
              <w:left w:val="single" w:sz="6" w:space="0" w:color="FFFFFF" w:themeColor="background1"/>
              <w:bottom w:val="single" w:sz="6" w:space="0" w:color="9E9E9E"/>
              <w:right w:val="single" w:sz="6" w:space="0" w:color="FFFFFF" w:themeColor="background1"/>
            </w:tcBorders>
            <w:shd w:val="clear" w:color="auto" w:fill="EFA31F" w:themeFill="accent4"/>
            <w:tcMar>
              <w:top w:w="72" w:type="dxa"/>
              <w:left w:w="144" w:type="dxa"/>
              <w:bottom w:w="72" w:type="dxa"/>
              <w:right w:w="144" w:type="dxa"/>
            </w:tcMar>
            <w:vAlign w:val="center"/>
            <w:hideMark/>
          </w:tcPr>
          <w:p w14:paraId="2C43E141" w14:textId="77777777" w:rsidR="00BE0EEF" w:rsidRPr="00CE33C3" w:rsidRDefault="00BE0EEF" w:rsidP="00DD2C76">
            <w:pPr>
              <w:pStyle w:val="TableText"/>
              <w:jc w:val="center"/>
            </w:pPr>
            <w:r w:rsidRPr="00CE33C3">
              <w:t>N</w:t>
            </w:r>
          </w:p>
        </w:tc>
        <w:tc>
          <w:tcPr>
            <w:tcW w:w="768" w:type="dxa"/>
            <w:tcBorders>
              <w:top w:val="single" w:sz="6" w:space="0" w:color="FFFFFF" w:themeColor="background1"/>
              <w:left w:val="single" w:sz="6" w:space="0" w:color="FFFFFF" w:themeColor="background1"/>
              <w:bottom w:val="single" w:sz="6" w:space="0" w:color="9E9E9E"/>
              <w:right w:val="single" w:sz="6" w:space="0" w:color="FFFFFF" w:themeColor="background1"/>
            </w:tcBorders>
            <w:shd w:val="clear" w:color="auto" w:fill="0196A7" w:themeFill="accent3"/>
            <w:tcMar>
              <w:top w:w="72" w:type="dxa"/>
              <w:left w:w="144" w:type="dxa"/>
              <w:bottom w:w="72" w:type="dxa"/>
              <w:right w:w="144" w:type="dxa"/>
            </w:tcMar>
            <w:vAlign w:val="center"/>
            <w:hideMark/>
          </w:tcPr>
          <w:p w14:paraId="432534FC" w14:textId="77777777" w:rsidR="00BE0EEF" w:rsidRPr="00CE33C3" w:rsidRDefault="00BE0EEF" w:rsidP="00DD2C76">
            <w:pPr>
              <w:pStyle w:val="TableText"/>
              <w:jc w:val="center"/>
            </w:pPr>
            <w:r w:rsidRPr="00CE33C3">
              <w:t>C</w:t>
            </w:r>
          </w:p>
        </w:tc>
        <w:tc>
          <w:tcPr>
            <w:tcW w:w="768" w:type="dxa"/>
            <w:tcBorders>
              <w:top w:val="single" w:sz="6" w:space="0" w:color="FFFFFF" w:themeColor="background1"/>
              <w:left w:val="single" w:sz="6" w:space="0" w:color="FFFFFF" w:themeColor="background1"/>
              <w:bottom w:val="single" w:sz="6" w:space="0" w:color="9E9E9E"/>
              <w:right w:val="single" w:sz="6" w:space="0" w:color="FFFFFF" w:themeColor="background1"/>
            </w:tcBorders>
            <w:shd w:val="clear" w:color="auto" w:fill="EFA31F" w:themeFill="accent4"/>
            <w:tcMar>
              <w:top w:w="72" w:type="dxa"/>
              <w:left w:w="144" w:type="dxa"/>
              <w:bottom w:w="72" w:type="dxa"/>
              <w:right w:w="144" w:type="dxa"/>
            </w:tcMar>
            <w:vAlign w:val="center"/>
            <w:hideMark/>
          </w:tcPr>
          <w:p w14:paraId="056E6E22" w14:textId="77777777" w:rsidR="00BE0EEF" w:rsidRPr="00CE33C3" w:rsidRDefault="00BE0EEF" w:rsidP="00DD2C76">
            <w:pPr>
              <w:pStyle w:val="TableText"/>
              <w:jc w:val="center"/>
            </w:pPr>
            <w:r w:rsidRPr="00CE33C3">
              <w:t>N</w:t>
            </w:r>
          </w:p>
        </w:tc>
        <w:tc>
          <w:tcPr>
            <w:tcW w:w="768" w:type="dxa"/>
            <w:tcBorders>
              <w:top w:val="single" w:sz="6" w:space="0" w:color="FFFFFF" w:themeColor="background1"/>
              <w:left w:val="single" w:sz="6" w:space="0" w:color="FFFFFF" w:themeColor="background1"/>
              <w:bottom w:val="single" w:sz="6" w:space="0" w:color="9E9E9E"/>
              <w:right w:val="single" w:sz="6" w:space="0" w:color="FFFFFF" w:themeColor="background1"/>
            </w:tcBorders>
            <w:shd w:val="clear" w:color="auto" w:fill="FCEDD2"/>
            <w:tcMar>
              <w:top w:w="72" w:type="dxa"/>
              <w:left w:w="144" w:type="dxa"/>
              <w:bottom w:w="72" w:type="dxa"/>
              <w:right w:w="144" w:type="dxa"/>
            </w:tcMar>
            <w:vAlign w:val="center"/>
            <w:hideMark/>
          </w:tcPr>
          <w:p w14:paraId="7883C5DF" w14:textId="77777777" w:rsidR="00BE0EEF" w:rsidRPr="00CE33C3" w:rsidRDefault="00BE0EEF" w:rsidP="00DD2C76">
            <w:pPr>
              <w:pStyle w:val="TableText"/>
              <w:jc w:val="center"/>
            </w:pPr>
            <w:r w:rsidRPr="00CE33C3">
              <w:t>/</w:t>
            </w:r>
          </w:p>
        </w:tc>
        <w:tc>
          <w:tcPr>
            <w:tcW w:w="964" w:type="dxa"/>
            <w:tcBorders>
              <w:top w:val="single" w:sz="6" w:space="0" w:color="FFFFFF" w:themeColor="background1"/>
              <w:left w:val="single" w:sz="6" w:space="0" w:color="FFFFFF" w:themeColor="background1"/>
              <w:bottom w:val="single" w:sz="6" w:space="0" w:color="9E9E9E"/>
              <w:right w:val="single" w:sz="6" w:space="0" w:color="9E9E9E"/>
            </w:tcBorders>
            <w:shd w:val="clear" w:color="auto" w:fill="004A53" w:themeFill="accent3" w:themeFillShade="80"/>
            <w:tcMar>
              <w:top w:w="72" w:type="dxa"/>
              <w:left w:w="144" w:type="dxa"/>
              <w:bottom w:w="72" w:type="dxa"/>
              <w:right w:w="144" w:type="dxa"/>
            </w:tcMar>
            <w:vAlign w:val="center"/>
            <w:hideMark/>
          </w:tcPr>
          <w:p w14:paraId="724AECB3" w14:textId="77777777" w:rsidR="00BE0EEF" w:rsidRPr="00CE33C3" w:rsidRDefault="00BE0EEF" w:rsidP="00DD2C76">
            <w:pPr>
              <w:pStyle w:val="TableText"/>
              <w:jc w:val="center"/>
            </w:pPr>
            <w:r w:rsidRPr="00CE33C3">
              <w:t>Y</w:t>
            </w:r>
          </w:p>
        </w:tc>
      </w:tr>
    </w:tbl>
    <w:p w14:paraId="04028FC5" w14:textId="77777777" w:rsidR="00BE0EEF" w:rsidRDefault="00BE0EEF" w:rsidP="00BE0EEF">
      <w:pPr>
        <w:shd w:val="clear" w:color="auto" w:fill="FFFFFF"/>
        <w:spacing w:before="360"/>
        <w:rPr>
          <w:rFonts w:ascii="Arial" w:hAnsi="Arial" w:cs="Arial"/>
          <w:color w:val="1F1F1F"/>
        </w:rPr>
      </w:pPr>
      <w:bookmarkStart w:id="549" w:name="_g1awhy3or2e8"/>
      <w:bookmarkEnd w:id="549"/>
    </w:p>
    <w:p w14:paraId="71522692" w14:textId="77777777" w:rsidR="00BE0EEF" w:rsidRDefault="00BE0EEF">
      <w:pPr>
        <w:rPr>
          <w:rFonts w:ascii="Arial" w:hAnsi="Arial" w:cs="Arial"/>
          <w:color w:val="1F1F1F"/>
        </w:rPr>
      </w:pPr>
      <w:r>
        <w:rPr>
          <w:rFonts w:ascii="Arial" w:hAnsi="Arial" w:cs="Arial"/>
          <w:color w:val="1F1F1F"/>
        </w:rPr>
        <w:br w:type="page"/>
      </w:r>
    </w:p>
    <w:p w14:paraId="779E9D1B" w14:textId="77777777" w:rsidR="0087510E" w:rsidRPr="0087510E" w:rsidRDefault="004C1AF3" w:rsidP="006734AE">
      <w:pPr>
        <w:pStyle w:val="HeadingLevel2NoNumber"/>
      </w:pPr>
      <w:r>
        <w:t xml:space="preserve">A12.2 </w:t>
      </w:r>
      <w:r w:rsidR="0087510E" w:rsidRPr="0087510E">
        <w:t>T</w:t>
      </w:r>
      <w:r w:rsidR="0087510E" w:rsidRPr="00BE0EEF">
        <w:t xml:space="preserve">able of </w:t>
      </w:r>
      <w:r w:rsidR="0087510E" w:rsidRPr="0087510E">
        <w:t>benefit possibility</w:t>
      </w:r>
      <w:r w:rsidR="0087510E">
        <w:t xml:space="preserve"> assessment</w:t>
      </w:r>
    </w:p>
    <w:p w14:paraId="1AFE0E92" w14:textId="3905D337" w:rsidR="0087510E" w:rsidRDefault="00BE0EEF" w:rsidP="00DD2C76">
      <w:pPr>
        <w:pStyle w:val="BodyText"/>
      </w:pPr>
      <w:r w:rsidRPr="00BE0EEF">
        <w:t>The table of benefit</w:t>
      </w:r>
      <w:r w:rsidR="0087510E">
        <w:t xml:space="preserve"> possibility</w:t>
      </w:r>
      <w:r w:rsidRPr="00BE0EEF">
        <w:t xml:space="preserve"> </w:t>
      </w:r>
      <w:r w:rsidR="0087510E">
        <w:t xml:space="preserve">assessment </w:t>
      </w:r>
      <w:r w:rsidR="00784EDC">
        <w:t>(</w:t>
      </w:r>
      <w:r w:rsidR="001159F4">
        <w:fldChar w:fldCharType="begin"/>
      </w:r>
      <w:r w:rsidR="001159F4">
        <w:instrText xml:space="preserve"> REF _Ref152083456 \h </w:instrText>
      </w:r>
      <w:r w:rsidR="001159F4">
        <w:fldChar w:fldCharType="separate"/>
      </w:r>
      <w:r w:rsidR="00934D5E">
        <w:t>Table A12.</w:t>
      </w:r>
      <w:r w:rsidR="00934D5E">
        <w:rPr>
          <w:noProof/>
        </w:rPr>
        <w:t>2</w:t>
      </w:r>
      <w:r w:rsidR="001159F4">
        <w:fldChar w:fldCharType="end"/>
      </w:r>
      <w:r w:rsidR="001159F4">
        <w:t>)</w:t>
      </w:r>
      <w:r w:rsidRPr="00BE0EEF">
        <w:t>is a way to compare the different arrangement for future</w:t>
      </w:r>
      <w:r w:rsidR="00C87CCD">
        <w:t>-</w:t>
      </w:r>
      <w:r w:rsidRPr="00BE0EEF">
        <w:t>state funding arrangements. The benefits are rated based on how likely it is that they will be met under the conditions and arrangements of each arrangement.</w:t>
      </w:r>
      <w:r w:rsidR="0087510E">
        <w:t xml:space="preserve"> The benefits are structured into:</w:t>
      </w:r>
    </w:p>
    <w:p w14:paraId="1F81B0F6" w14:textId="77777777" w:rsidR="0087510E" w:rsidRDefault="00C87CCD" w:rsidP="00DD2C76">
      <w:pPr>
        <w:pStyle w:val="ListBullet2"/>
      </w:pPr>
      <w:r>
        <w:t>t</w:t>
      </w:r>
      <w:r w:rsidR="0087510E">
        <w:t xml:space="preserve">he </w:t>
      </w:r>
      <w:r>
        <w:t>4</w:t>
      </w:r>
      <w:r w:rsidR="0087510E" w:rsidRPr="0087510E">
        <w:t xml:space="preserve"> priorities of the National Agreement on Closing the Gap</w:t>
      </w:r>
    </w:p>
    <w:p w14:paraId="4D6E9081" w14:textId="77777777" w:rsidR="0087510E" w:rsidRDefault="00C87CCD" w:rsidP="00DD2C76">
      <w:pPr>
        <w:pStyle w:val="ListBullet2"/>
      </w:pPr>
      <w:r>
        <w:t>t</w:t>
      </w:r>
      <w:r w:rsidR="0087510E" w:rsidRPr="0087510E">
        <w:t xml:space="preserve">he </w:t>
      </w:r>
      <w:r>
        <w:t>4</w:t>
      </w:r>
      <w:r w:rsidR="0087510E">
        <w:t xml:space="preserve"> </w:t>
      </w:r>
      <w:r>
        <w:t>k</w:t>
      </w:r>
      <w:r w:rsidR="0087510E" w:rsidRPr="0087510E">
        <w:t xml:space="preserve">ey </w:t>
      </w:r>
      <w:r>
        <w:t>p</w:t>
      </w:r>
      <w:r w:rsidR="0087510E" w:rsidRPr="0087510E">
        <w:t>rinciples of future</w:t>
      </w:r>
      <w:r>
        <w:t>-</w:t>
      </w:r>
      <w:r w:rsidR="0087510E" w:rsidRPr="0087510E">
        <w:t>state funding arrangements</w:t>
      </w:r>
    </w:p>
    <w:p w14:paraId="25AA751D" w14:textId="77777777" w:rsidR="0087510E" w:rsidRDefault="00C87CCD" w:rsidP="00DD2C76">
      <w:pPr>
        <w:pStyle w:val="ListBullet2"/>
      </w:pPr>
      <w:r>
        <w:t>t</w:t>
      </w:r>
      <w:r w:rsidR="0087510E">
        <w:t xml:space="preserve">he 21 </w:t>
      </w:r>
      <w:r>
        <w:t>e</w:t>
      </w:r>
      <w:r w:rsidR="0087510E">
        <w:t>nablers of the future</w:t>
      </w:r>
      <w:r>
        <w:t>-</w:t>
      </w:r>
      <w:r w:rsidR="0087510E">
        <w:t>state funding arrangements</w:t>
      </w:r>
    </w:p>
    <w:p w14:paraId="175BA19E" w14:textId="77777777" w:rsidR="0087510E" w:rsidRPr="0087510E" w:rsidRDefault="00C87CCD" w:rsidP="00DD2C76">
      <w:pPr>
        <w:pStyle w:val="ListBullet2"/>
      </w:pPr>
      <w:r>
        <w:t>o</w:t>
      </w:r>
      <w:r w:rsidR="0087510E">
        <w:t>ther benefits identified</w:t>
      </w:r>
      <w:r>
        <w:t>.</w:t>
      </w:r>
    </w:p>
    <w:p w14:paraId="3153FA33" w14:textId="77777777" w:rsidR="00BE0EEF" w:rsidRPr="00BE0EEF" w:rsidRDefault="00BE0EEF" w:rsidP="00DD2C76">
      <w:pPr>
        <w:pStyle w:val="BodyText"/>
      </w:pPr>
      <w:r w:rsidRPr="00BE0EEF">
        <w:t>The ratings are:</w:t>
      </w:r>
    </w:p>
    <w:p w14:paraId="7DB23B29" w14:textId="77777777" w:rsidR="00BE0EEF" w:rsidRPr="00BE0EEF" w:rsidRDefault="00BE0EEF" w:rsidP="00DD2C76">
      <w:pPr>
        <w:pStyle w:val="ListBullet2"/>
      </w:pPr>
      <w:r w:rsidRPr="00BE0EEF">
        <w:rPr>
          <w:b/>
          <w:bCs/>
        </w:rPr>
        <w:t>N/A or not possible:</w:t>
      </w:r>
      <w:r w:rsidRPr="00BE0EEF">
        <w:t xml:space="preserve"> This means that it is not possible for the benefit to be met under the funding arrangement.</w:t>
      </w:r>
    </w:p>
    <w:p w14:paraId="39947C6C" w14:textId="77777777" w:rsidR="00BE0EEF" w:rsidRPr="00BE0EEF" w:rsidRDefault="00BE0EEF" w:rsidP="00DD2C76">
      <w:pPr>
        <w:pStyle w:val="ListBullet2"/>
      </w:pPr>
      <w:r w:rsidRPr="00BE0EEF">
        <w:rPr>
          <w:b/>
          <w:bCs/>
        </w:rPr>
        <w:t xml:space="preserve">Marginally possible: </w:t>
      </w:r>
      <w:r w:rsidRPr="00BE0EEF">
        <w:t>This means that it is possible for the benefit to be met, but it is not likely.</w:t>
      </w:r>
    </w:p>
    <w:p w14:paraId="1075FDB3" w14:textId="77777777" w:rsidR="00BE0EEF" w:rsidRPr="00BE0EEF" w:rsidRDefault="00BE0EEF" w:rsidP="00DD2C76">
      <w:pPr>
        <w:pStyle w:val="ListBullet2"/>
      </w:pPr>
      <w:r w:rsidRPr="00BE0EEF">
        <w:rPr>
          <w:b/>
          <w:bCs/>
        </w:rPr>
        <w:t>Possible:</w:t>
      </w:r>
      <w:r w:rsidRPr="00BE0EEF">
        <w:t xml:space="preserve"> This means that it is possible for the benefit to be met, but it is not guaranteed.</w:t>
      </w:r>
    </w:p>
    <w:p w14:paraId="199273ED" w14:textId="77777777" w:rsidR="00BE0EEF" w:rsidRPr="00BE0EEF" w:rsidRDefault="00BE0EEF" w:rsidP="00DD2C76">
      <w:pPr>
        <w:pStyle w:val="ListBullet2"/>
      </w:pPr>
      <w:r w:rsidRPr="00BE0EEF">
        <w:rPr>
          <w:b/>
          <w:bCs/>
        </w:rPr>
        <w:t xml:space="preserve">Very possible: </w:t>
      </w:r>
      <w:r w:rsidRPr="00BE0EEF">
        <w:t>This means that it is very likely that the benefit will be met.</w:t>
      </w:r>
    </w:p>
    <w:p w14:paraId="227611E8" w14:textId="77777777" w:rsidR="0087510E" w:rsidRDefault="00BE0EEF" w:rsidP="00DD2C76">
      <w:pPr>
        <w:pStyle w:val="BodyText1stparaafterlist"/>
      </w:pPr>
      <w:r w:rsidRPr="00BE0EEF">
        <w:t xml:space="preserve">The table also </w:t>
      </w:r>
      <w:r w:rsidR="0087510E">
        <w:t>briefly explains</w:t>
      </w:r>
      <w:r w:rsidRPr="00BE0EEF">
        <w:t xml:space="preserve"> why </w:t>
      </w:r>
      <w:r w:rsidR="004C08D8">
        <w:t>each arrangement</w:t>
      </w:r>
      <w:r w:rsidR="00C87CCD">
        <w:t>’</w:t>
      </w:r>
      <w:r w:rsidR="004C08D8">
        <w:t>s benefit is rated differently</w:t>
      </w:r>
      <w:r w:rsidRPr="00BE0EEF">
        <w:t>. This explanation is meant to help understand the different trade-offs between the arrangements. Where all arrangements have the same rating, no explanation is provided. </w:t>
      </w:r>
    </w:p>
    <w:p w14:paraId="2699BDB6" w14:textId="77777777" w:rsidR="00BE0EEF" w:rsidRDefault="00BE0EEF" w:rsidP="00DD2C76">
      <w:pPr>
        <w:pStyle w:val="BodyText"/>
      </w:pPr>
      <w:r w:rsidRPr="00BE0EEF">
        <w:t xml:space="preserve">It is important to note that the ratings in the table </w:t>
      </w:r>
      <w:r w:rsidR="000B58F6">
        <w:t xml:space="preserve">have been </w:t>
      </w:r>
      <w:r w:rsidR="004C08D8">
        <w:t xml:space="preserve">subjectively </w:t>
      </w:r>
      <w:r w:rsidR="000B58F6">
        <w:t>determined by the Review Team</w:t>
      </w:r>
      <w:r w:rsidRPr="00BE0EEF">
        <w:t xml:space="preserve">. </w:t>
      </w:r>
      <w:r w:rsidRPr="004C08D8">
        <w:rPr>
          <w:b/>
          <w:bCs/>
        </w:rPr>
        <w:t>This means they should not be taken as a definitive assessment of the arrangements</w:t>
      </w:r>
      <w:r w:rsidRPr="00BE0EEF">
        <w:t>. Instead, they should be used as a guide to help you compare the arrangements and make an informed decision.</w:t>
      </w:r>
    </w:p>
    <w:p w14:paraId="730FAD15" w14:textId="77777777" w:rsidR="001A3F9F" w:rsidRDefault="001A3F9F">
      <w:pPr>
        <w:rPr>
          <w:rFonts w:cstheme="minorHAnsi"/>
          <w:b/>
          <w:sz w:val="20"/>
          <w:szCs w:val="18"/>
          <w:lang w:eastAsia="en-US" w:bidi="en-US"/>
        </w:rPr>
      </w:pPr>
      <w:r>
        <w:br w:type="page"/>
      </w:r>
    </w:p>
    <w:p w14:paraId="3B6FE0C9" w14:textId="54CD18D9" w:rsidR="00C87CCD" w:rsidRPr="00B65F7F" w:rsidRDefault="00C87CCD" w:rsidP="00C87CCD">
      <w:pPr>
        <w:pStyle w:val="CaptionTable"/>
        <w:rPr>
          <w:bCs/>
        </w:rPr>
      </w:pPr>
      <w:bookmarkStart w:id="550" w:name="_Ref152083456"/>
      <w:bookmarkStart w:id="551" w:name="_Toc156932119"/>
      <w:r>
        <w:t>Table A12.</w:t>
      </w:r>
      <w:r>
        <w:fldChar w:fldCharType="begin"/>
      </w:r>
      <w:r>
        <w:instrText xml:space="preserve"> SEQ Table_A12 \* ARABIC </w:instrText>
      </w:r>
      <w:r>
        <w:fldChar w:fldCharType="separate"/>
      </w:r>
      <w:r w:rsidR="00934D5E">
        <w:rPr>
          <w:noProof/>
        </w:rPr>
        <w:t>2</w:t>
      </w:r>
      <w:r>
        <w:fldChar w:fldCharType="end"/>
      </w:r>
      <w:bookmarkEnd w:id="550"/>
      <w:r w:rsidRPr="00B65F7F">
        <w:t xml:space="preserve">: </w:t>
      </w:r>
      <w:r>
        <w:t>Table of benefit possibility assessment</w:t>
      </w:r>
      <w:bookmarkEnd w:id="551"/>
    </w:p>
    <w:tbl>
      <w:tblPr>
        <w:tblW w:w="14591" w:type="dxa"/>
        <w:tblCellMar>
          <w:top w:w="15" w:type="dxa"/>
          <w:left w:w="15" w:type="dxa"/>
          <w:bottom w:w="15" w:type="dxa"/>
          <w:right w:w="15" w:type="dxa"/>
        </w:tblCellMar>
        <w:tblLook w:val="04A0" w:firstRow="1" w:lastRow="0" w:firstColumn="1" w:lastColumn="0" w:noHBand="0" w:noVBand="1"/>
      </w:tblPr>
      <w:tblGrid>
        <w:gridCol w:w="3647"/>
        <w:gridCol w:w="3648"/>
        <w:gridCol w:w="3648"/>
        <w:gridCol w:w="3648"/>
      </w:tblGrid>
      <w:tr w:rsidR="00BE0EEF" w:rsidRPr="00BE0EEF" w14:paraId="3D8604F5" w14:textId="77777777" w:rsidTr="004D6177">
        <w:trPr>
          <w:trHeight w:val="226"/>
        </w:trPr>
        <w:tc>
          <w:tcPr>
            <w:tcW w:w="14591" w:type="dxa"/>
            <w:gridSpan w:val="4"/>
            <w:tcBorders>
              <w:top w:val="single" w:sz="8" w:space="0" w:color="000000"/>
              <w:left w:val="single" w:sz="8" w:space="0" w:color="000000"/>
              <w:bottom w:val="single" w:sz="8" w:space="0" w:color="000000"/>
              <w:right w:val="single" w:sz="8" w:space="0" w:color="000000"/>
            </w:tcBorders>
            <w:tcMar>
              <w:top w:w="57" w:type="dxa"/>
              <w:left w:w="100" w:type="dxa"/>
              <w:bottom w:w="57" w:type="dxa"/>
              <w:right w:w="100" w:type="dxa"/>
            </w:tcMar>
            <w:hideMark/>
          </w:tcPr>
          <w:p w14:paraId="4E0F56E9" w14:textId="77777777" w:rsidR="00BE0EEF" w:rsidRPr="00DD2C76" w:rsidRDefault="00BE0EEF" w:rsidP="00024E8D">
            <w:pPr>
              <w:pStyle w:val="TableHeading"/>
              <w:rPr>
                <w:b/>
                <w:bCs/>
              </w:rPr>
            </w:pPr>
            <w:r w:rsidRPr="00DD2C76">
              <w:rPr>
                <w:b/>
                <w:bCs/>
                <w:color w:val="auto"/>
              </w:rPr>
              <w:t>Legend</w:t>
            </w:r>
          </w:p>
        </w:tc>
      </w:tr>
      <w:tr w:rsidR="00BE0EEF" w:rsidRPr="00BE0EEF" w14:paraId="0806CB75" w14:textId="77777777" w:rsidTr="00E93B27">
        <w:tc>
          <w:tcPr>
            <w:tcW w:w="3647" w:type="dxa"/>
            <w:tcBorders>
              <w:top w:val="single" w:sz="8" w:space="0" w:color="000000"/>
              <w:left w:val="single" w:sz="8" w:space="0" w:color="000000"/>
              <w:bottom w:val="single" w:sz="8" w:space="0" w:color="000000"/>
              <w:right w:val="single" w:sz="8" w:space="0" w:color="000000"/>
            </w:tcBorders>
            <w:shd w:val="clear" w:color="auto" w:fill="98002E" w:themeFill="text2"/>
            <w:tcMar>
              <w:top w:w="57" w:type="dxa"/>
              <w:left w:w="100" w:type="dxa"/>
              <w:bottom w:w="57" w:type="dxa"/>
              <w:right w:w="100" w:type="dxa"/>
            </w:tcMar>
            <w:hideMark/>
          </w:tcPr>
          <w:p w14:paraId="5978FC73" w14:textId="77777777" w:rsidR="00BE0EEF" w:rsidRPr="00BE0EEF" w:rsidRDefault="00BE0EEF" w:rsidP="001536F8">
            <w:pPr>
              <w:pStyle w:val="TableText"/>
            </w:pPr>
            <w:r w:rsidRPr="00BE0EEF">
              <w:rPr>
                <w:b/>
              </w:rPr>
              <w:t>N/A or not possible</w:t>
            </w:r>
            <w:r w:rsidR="00C87CCD">
              <w:rPr>
                <w:b/>
              </w:rPr>
              <w:t>:</w:t>
            </w:r>
            <w:r w:rsidRPr="00BE0EEF">
              <w:t xml:space="preserve"> </w:t>
            </w:r>
            <w:r w:rsidR="00C87CCD">
              <w:t>I</w:t>
            </w:r>
            <w:r w:rsidRPr="00BE0EEF">
              <w:t>t</w:t>
            </w:r>
            <w:r w:rsidR="000B58F6">
              <w:t xml:space="preserve"> i</w:t>
            </w:r>
            <w:r w:rsidRPr="00BE0EEF">
              <w:t>s not possible that this will be met due to a decision or sphere of influence sitting out of the scope of those involved.</w:t>
            </w:r>
            <w:r w:rsidR="000B479E">
              <w:t xml:space="preserve"> </w:t>
            </w:r>
          </w:p>
          <w:p w14:paraId="1179B2A1" w14:textId="77777777" w:rsidR="00BE0EEF" w:rsidRPr="00BE0EEF" w:rsidRDefault="00BE0EEF" w:rsidP="001536F8">
            <w:pPr>
              <w:pStyle w:val="TableText"/>
              <w:rPr>
                <w:rFonts w:asciiTheme="majorHAnsi" w:hAnsiTheme="majorHAnsi" w:cstheme="majorHAnsi"/>
                <w:sz w:val="22"/>
                <w:szCs w:val="22"/>
              </w:rPr>
            </w:pPr>
          </w:p>
        </w:tc>
        <w:tc>
          <w:tcPr>
            <w:tcW w:w="3648" w:type="dxa"/>
            <w:tcBorders>
              <w:top w:val="single" w:sz="8" w:space="0" w:color="000000"/>
              <w:left w:val="single" w:sz="8" w:space="0" w:color="000000"/>
              <w:bottom w:val="single" w:sz="8" w:space="0" w:color="000000"/>
              <w:right w:val="single" w:sz="8" w:space="0" w:color="000000"/>
            </w:tcBorders>
            <w:shd w:val="clear" w:color="auto" w:fill="EFA31F" w:themeFill="background2"/>
            <w:tcMar>
              <w:top w:w="57" w:type="dxa"/>
              <w:left w:w="100" w:type="dxa"/>
              <w:bottom w:w="57" w:type="dxa"/>
              <w:right w:w="100" w:type="dxa"/>
            </w:tcMar>
            <w:hideMark/>
          </w:tcPr>
          <w:p w14:paraId="04C67EB8" w14:textId="77777777" w:rsidR="00BE0EEF" w:rsidRPr="00BE0EEF" w:rsidRDefault="00BE0EEF" w:rsidP="001536F8">
            <w:pPr>
              <w:pStyle w:val="TableText"/>
              <w:rPr>
                <w:rFonts w:asciiTheme="majorHAnsi" w:hAnsiTheme="majorHAnsi" w:cstheme="majorHAnsi"/>
                <w:sz w:val="22"/>
                <w:szCs w:val="22"/>
              </w:rPr>
            </w:pPr>
            <w:r w:rsidRPr="00BE0EEF">
              <w:rPr>
                <w:b/>
              </w:rPr>
              <w:t>Marginally possible</w:t>
            </w:r>
            <w:r w:rsidR="00C87CCD">
              <w:rPr>
                <w:b/>
              </w:rPr>
              <w:t>:</w:t>
            </w:r>
            <w:r w:rsidRPr="00BE0EEF">
              <w:t xml:space="preserve"> </w:t>
            </w:r>
            <w:r w:rsidR="00C87CCD">
              <w:t>I</w:t>
            </w:r>
            <w:r w:rsidRPr="00BE0EEF">
              <w:t>t</w:t>
            </w:r>
            <w:r w:rsidR="000B58F6">
              <w:t xml:space="preserve"> i</w:t>
            </w:r>
            <w:r w:rsidRPr="00BE0EEF">
              <w:t>s marginally possible that this will occur due to particularly difficult conditions, or conditions that are out of the scope of those involved. </w:t>
            </w:r>
          </w:p>
        </w:tc>
        <w:tc>
          <w:tcPr>
            <w:tcW w:w="3648" w:type="dxa"/>
            <w:tcBorders>
              <w:top w:val="single" w:sz="8" w:space="0" w:color="000000"/>
              <w:left w:val="single" w:sz="8" w:space="0" w:color="000000"/>
              <w:bottom w:val="single" w:sz="8" w:space="0" w:color="000000"/>
              <w:right w:val="single" w:sz="8" w:space="0" w:color="000000"/>
            </w:tcBorders>
            <w:shd w:val="clear" w:color="auto" w:fill="ABD8E1"/>
            <w:tcMar>
              <w:top w:w="57" w:type="dxa"/>
              <w:left w:w="100" w:type="dxa"/>
              <w:bottom w:w="57" w:type="dxa"/>
              <w:right w:w="100" w:type="dxa"/>
            </w:tcMar>
            <w:hideMark/>
          </w:tcPr>
          <w:p w14:paraId="4DF7FD1C" w14:textId="77777777" w:rsidR="00BE0EEF" w:rsidRPr="00BE0EEF" w:rsidRDefault="00BE0EEF" w:rsidP="001536F8">
            <w:pPr>
              <w:pStyle w:val="TableText"/>
            </w:pPr>
            <w:r w:rsidRPr="00BE0EEF">
              <w:rPr>
                <w:b/>
              </w:rPr>
              <w:t>Possible</w:t>
            </w:r>
            <w:r w:rsidR="00C87CCD">
              <w:rPr>
                <w:b/>
              </w:rPr>
              <w:t>:</w:t>
            </w:r>
            <w:r w:rsidRPr="00BE0EEF">
              <w:t xml:space="preserve"> </w:t>
            </w:r>
            <w:r w:rsidR="00C87CCD">
              <w:t>I</w:t>
            </w:r>
            <w:r w:rsidRPr="00BE0EEF">
              <w:t>t</w:t>
            </w:r>
            <w:r w:rsidR="000B58F6">
              <w:t xml:space="preserve"> i</w:t>
            </w:r>
            <w:r w:rsidRPr="00BE0EEF">
              <w:t xml:space="preserve">s possible </w:t>
            </w:r>
            <w:r w:rsidRPr="00E93B27">
              <w:t>that this can be met under the conditions and arrangements set by the fund</w:t>
            </w:r>
            <w:r w:rsidRPr="00BE0EEF">
              <w:t>ing body for this funding arrangement. </w:t>
            </w:r>
          </w:p>
        </w:tc>
        <w:tc>
          <w:tcPr>
            <w:tcW w:w="3648" w:type="dxa"/>
            <w:tcBorders>
              <w:top w:val="single" w:sz="8" w:space="0" w:color="000000"/>
              <w:left w:val="single" w:sz="8" w:space="0" w:color="000000"/>
              <w:bottom w:val="single" w:sz="8" w:space="0" w:color="000000"/>
              <w:right w:val="single" w:sz="8" w:space="0" w:color="000000"/>
            </w:tcBorders>
            <w:shd w:val="clear" w:color="auto" w:fill="0196A7" w:themeFill="accent3"/>
            <w:tcMar>
              <w:top w:w="57" w:type="dxa"/>
              <w:left w:w="100" w:type="dxa"/>
              <w:bottom w:w="57" w:type="dxa"/>
              <w:right w:w="100" w:type="dxa"/>
            </w:tcMar>
            <w:hideMark/>
          </w:tcPr>
          <w:p w14:paraId="3DB5F1B7" w14:textId="77777777" w:rsidR="00BE0EEF" w:rsidRPr="00BE0EEF" w:rsidRDefault="00BE0EEF" w:rsidP="001536F8">
            <w:pPr>
              <w:pStyle w:val="TableText"/>
            </w:pPr>
            <w:r w:rsidRPr="00BE0EEF">
              <w:rPr>
                <w:b/>
              </w:rPr>
              <w:t>Very possible</w:t>
            </w:r>
            <w:r w:rsidR="00C87CCD">
              <w:rPr>
                <w:b/>
              </w:rPr>
              <w:t>:</w:t>
            </w:r>
            <w:r w:rsidRPr="00BE0EEF">
              <w:t xml:space="preserve"> </w:t>
            </w:r>
            <w:r w:rsidR="00C87CCD">
              <w:t>I</w:t>
            </w:r>
            <w:r w:rsidRPr="00BE0EEF">
              <w:t>t</w:t>
            </w:r>
            <w:r w:rsidR="000B58F6">
              <w:t xml:space="preserve"> i</w:t>
            </w:r>
            <w:r w:rsidRPr="00BE0EEF">
              <w:t>s very likely and/or guaranteed that this will be met under the conditions and arrangements set by the funding body for this funding arrangement. </w:t>
            </w:r>
          </w:p>
        </w:tc>
      </w:tr>
    </w:tbl>
    <w:p w14:paraId="07B7F00B" w14:textId="77777777" w:rsidR="00BE0EEF" w:rsidRPr="00BE0EEF" w:rsidRDefault="00BE0EEF" w:rsidP="004D6177">
      <w:pPr>
        <w:shd w:val="clear" w:color="auto" w:fill="FFFFFF"/>
        <w:spacing w:after="120"/>
        <w:rPr>
          <w:rFonts w:asciiTheme="majorHAnsi" w:hAnsiTheme="majorHAnsi" w:cstheme="majorHAnsi"/>
          <w:sz w:val="22"/>
          <w:szCs w:val="22"/>
        </w:rPr>
      </w:pPr>
    </w:p>
    <w:tbl>
      <w:tblPr>
        <w:tblW w:w="14596" w:type="dxa"/>
        <w:tblCellMar>
          <w:top w:w="15" w:type="dxa"/>
          <w:left w:w="15" w:type="dxa"/>
          <w:bottom w:w="15" w:type="dxa"/>
          <w:right w:w="15" w:type="dxa"/>
        </w:tblCellMar>
        <w:tblLook w:val="04A0" w:firstRow="1" w:lastRow="0" w:firstColumn="1" w:lastColumn="0" w:noHBand="0" w:noVBand="1"/>
        <w:tblCaption w:val="Table A12.2: Table of benefit possibility assessment"/>
        <w:tblDescription w:val="The table describes the possibility of achieving different factors under different funding arrangements. &#10;&#10;The legend at the top describes different levels of possibility. The first level is 'N/A or not possible: It is not possible that this will be met due to a decision or sphere of influence sitting out of the scope of those involved.' This level is on a dark red background. The second level is 'Marginally possible: It is marginally possible that this will occur due to particularly difficult conditions, or conditions that are out of the scope of those involved.' This level is on an orange background. The third level is 'Possible: It is possible that this can be met under the conditions and arrangements set by the funding body for this funding arrangement.' This level is on a light blue background. The fourth level is 'Very possible: It is very likely and/or guaranteed that this will be met under the conditions and arrangements set by the funding body for this funding arrangement.' This level is on a teal background.&#10;&#10;Different factors are interspersed throughout the table, and are inserted on a single grey row that has no columns. This format has been used to give the effect of a title and creates small tables within the larger table. Factors inserted into the table include (in this order): Priority Reforms of the National Agreement on Closing the Gap, Key Principles of Future State Funding Arrangements, Enablers of Future State Funding Arrangements, and Other Benefits identified. &#10;&#10;The main table has five columns. Under each factor header row, the first column lists different benefits associated with this factor. For example, under the factor header row of 'Priority Reforms of the National Agreement on Closing the Gap', the four Priority Reforms of the National Agreement on Closing the Gap are listed as benefits. &#10;&#10;The second to fifth columns show different funding arrangements, in this order: Arrangement A1 State/Territory model, Arrangement A2 Regional Model, Arrangement B Direct Model, and Arrangement C National Model. Under each column, it describes the possibility of a benefit being realised under the relevant funding arrangement. For example, achieving the benefit of Priority Reform 1 is described as 'possible' under Arrangement A1 State/Territory Model. &#10;"/>
      </w:tblPr>
      <w:tblGrid>
        <w:gridCol w:w="3370"/>
        <w:gridCol w:w="3071"/>
        <w:gridCol w:w="2753"/>
        <w:gridCol w:w="2890"/>
        <w:gridCol w:w="2512"/>
      </w:tblGrid>
      <w:tr w:rsidR="00E93B27" w:rsidRPr="00E93B27" w14:paraId="097AFCCD" w14:textId="77777777" w:rsidTr="00E93B27">
        <w:trPr>
          <w:cantSplit/>
          <w:trHeight w:val="589"/>
          <w:tblHeader/>
        </w:trPr>
        <w:tc>
          <w:tcPr>
            <w:tcW w:w="3370" w:type="dxa"/>
            <w:tcBorders>
              <w:top w:val="single" w:sz="4" w:space="0" w:color="auto"/>
              <w:left w:val="single" w:sz="4" w:space="0" w:color="auto"/>
              <w:bottom w:val="single" w:sz="4" w:space="0" w:color="auto"/>
              <w:right w:val="single" w:sz="4" w:space="0" w:color="auto"/>
            </w:tcBorders>
            <w:shd w:val="clear" w:color="auto" w:fill="595959" w:themeFill="text1" w:themeFillTint="A6"/>
            <w:tcMar>
              <w:top w:w="57" w:type="dxa"/>
              <w:left w:w="102" w:type="dxa"/>
              <w:bottom w:w="57" w:type="dxa"/>
              <w:right w:w="102" w:type="dxa"/>
            </w:tcMar>
            <w:hideMark/>
          </w:tcPr>
          <w:p w14:paraId="368093BD" w14:textId="745A4F16" w:rsidR="00BE0EEF" w:rsidRPr="00BE0EEF" w:rsidRDefault="006C711F" w:rsidP="00A33243">
            <w:pPr>
              <w:jc w:val="center"/>
              <w:rPr>
                <w:rFonts w:asciiTheme="majorHAnsi" w:hAnsiTheme="majorHAnsi" w:cstheme="majorHAnsi"/>
                <w:b/>
                <w:bCs/>
                <w:sz w:val="22"/>
                <w:szCs w:val="22"/>
              </w:rPr>
            </w:pPr>
            <w:r w:rsidRPr="006C711F">
              <w:rPr>
                <w:rFonts w:asciiTheme="majorHAnsi" w:hAnsiTheme="majorHAnsi" w:cstheme="majorHAnsi"/>
                <w:b/>
                <w:bCs/>
                <w:color w:val="FFFFFF" w:themeColor="background1"/>
                <w:sz w:val="22"/>
                <w:szCs w:val="22"/>
              </w:rPr>
              <w:t>Benefits</w:t>
            </w:r>
          </w:p>
        </w:tc>
        <w:tc>
          <w:tcPr>
            <w:tcW w:w="3071" w:type="dxa"/>
            <w:tcBorders>
              <w:top w:val="single" w:sz="4" w:space="0" w:color="auto"/>
              <w:left w:val="single" w:sz="4" w:space="0" w:color="auto"/>
              <w:bottom w:val="single" w:sz="4" w:space="0" w:color="auto"/>
              <w:right w:val="single" w:sz="4" w:space="0" w:color="auto"/>
            </w:tcBorders>
            <w:shd w:val="clear" w:color="auto" w:fill="595959" w:themeFill="text1" w:themeFillTint="A6"/>
            <w:tcMar>
              <w:top w:w="57" w:type="dxa"/>
              <w:left w:w="102" w:type="dxa"/>
              <w:bottom w:w="57" w:type="dxa"/>
              <w:right w:w="102" w:type="dxa"/>
            </w:tcMar>
            <w:hideMark/>
          </w:tcPr>
          <w:p w14:paraId="7DB086E8" w14:textId="77777777" w:rsidR="00BE0EEF" w:rsidRPr="001536F8" w:rsidRDefault="00BE0EEF" w:rsidP="001536F8">
            <w:pPr>
              <w:pStyle w:val="TableHeading"/>
              <w:jc w:val="center"/>
              <w:rPr>
                <w:b/>
                <w:bCs/>
              </w:rPr>
            </w:pPr>
            <w:r w:rsidRPr="001536F8">
              <w:rPr>
                <w:b/>
                <w:bCs/>
              </w:rPr>
              <w:t>Arrangement A1</w:t>
            </w:r>
          </w:p>
          <w:p w14:paraId="78347CE5" w14:textId="77777777" w:rsidR="00BE0EEF" w:rsidRPr="001536F8" w:rsidRDefault="00BE0EEF" w:rsidP="001536F8">
            <w:pPr>
              <w:pStyle w:val="TableHeading"/>
              <w:jc w:val="center"/>
              <w:rPr>
                <w:b/>
                <w:bCs/>
              </w:rPr>
            </w:pPr>
            <w:r w:rsidRPr="001536F8">
              <w:rPr>
                <w:b/>
                <w:bCs/>
              </w:rPr>
              <w:t>State/territory model</w:t>
            </w:r>
          </w:p>
        </w:tc>
        <w:tc>
          <w:tcPr>
            <w:tcW w:w="0" w:type="auto"/>
            <w:tcBorders>
              <w:top w:val="single" w:sz="4" w:space="0" w:color="auto"/>
              <w:left w:val="single" w:sz="4" w:space="0" w:color="auto"/>
              <w:bottom w:val="single" w:sz="4" w:space="0" w:color="auto"/>
              <w:right w:val="single" w:sz="4" w:space="0" w:color="auto"/>
            </w:tcBorders>
            <w:shd w:val="clear" w:color="auto" w:fill="595959" w:themeFill="text1" w:themeFillTint="A6"/>
            <w:tcMar>
              <w:top w:w="57" w:type="dxa"/>
              <w:left w:w="102" w:type="dxa"/>
              <w:bottom w:w="57" w:type="dxa"/>
              <w:right w:w="102" w:type="dxa"/>
            </w:tcMar>
            <w:hideMark/>
          </w:tcPr>
          <w:p w14:paraId="10A85EBF" w14:textId="77777777" w:rsidR="00BE0EEF" w:rsidRPr="001536F8" w:rsidRDefault="00BE0EEF" w:rsidP="001536F8">
            <w:pPr>
              <w:pStyle w:val="TableHeading"/>
              <w:jc w:val="center"/>
              <w:rPr>
                <w:b/>
                <w:bCs/>
              </w:rPr>
            </w:pPr>
            <w:r w:rsidRPr="001536F8">
              <w:rPr>
                <w:b/>
                <w:bCs/>
              </w:rPr>
              <w:t>Arrangement A2</w:t>
            </w:r>
          </w:p>
          <w:p w14:paraId="26477B1D" w14:textId="77777777" w:rsidR="00BE0EEF" w:rsidRPr="001536F8" w:rsidRDefault="00BE0EEF" w:rsidP="001536F8">
            <w:pPr>
              <w:pStyle w:val="TableHeading"/>
              <w:jc w:val="center"/>
              <w:rPr>
                <w:b/>
                <w:bCs/>
              </w:rPr>
            </w:pPr>
            <w:r w:rsidRPr="001536F8">
              <w:rPr>
                <w:b/>
                <w:bCs/>
              </w:rPr>
              <w:t>Regional model</w:t>
            </w:r>
          </w:p>
        </w:tc>
        <w:tc>
          <w:tcPr>
            <w:tcW w:w="2890" w:type="dxa"/>
            <w:tcBorders>
              <w:top w:val="single" w:sz="4" w:space="0" w:color="auto"/>
              <w:left w:val="single" w:sz="4" w:space="0" w:color="auto"/>
              <w:bottom w:val="single" w:sz="4" w:space="0" w:color="auto"/>
              <w:right w:val="single" w:sz="4" w:space="0" w:color="auto"/>
            </w:tcBorders>
            <w:shd w:val="clear" w:color="auto" w:fill="595959" w:themeFill="text1" w:themeFillTint="A6"/>
            <w:tcMar>
              <w:top w:w="57" w:type="dxa"/>
              <w:left w:w="102" w:type="dxa"/>
              <w:bottom w:w="57" w:type="dxa"/>
              <w:right w:w="102" w:type="dxa"/>
            </w:tcMar>
            <w:hideMark/>
          </w:tcPr>
          <w:p w14:paraId="1F4AC414" w14:textId="77777777" w:rsidR="00BE0EEF" w:rsidRPr="001536F8" w:rsidRDefault="00BE0EEF" w:rsidP="001536F8">
            <w:pPr>
              <w:pStyle w:val="TableHeading"/>
              <w:jc w:val="center"/>
              <w:rPr>
                <w:b/>
                <w:bCs/>
              </w:rPr>
            </w:pPr>
            <w:r w:rsidRPr="001536F8">
              <w:rPr>
                <w:b/>
                <w:bCs/>
              </w:rPr>
              <w:t>Arrangement B</w:t>
            </w:r>
          </w:p>
          <w:p w14:paraId="1251041E" w14:textId="77777777" w:rsidR="00BE0EEF" w:rsidRPr="001536F8" w:rsidRDefault="00BE0EEF" w:rsidP="001536F8">
            <w:pPr>
              <w:pStyle w:val="TableHeading"/>
              <w:jc w:val="center"/>
              <w:rPr>
                <w:b/>
                <w:bCs/>
              </w:rPr>
            </w:pPr>
            <w:r w:rsidRPr="001536F8">
              <w:rPr>
                <w:b/>
                <w:bCs/>
              </w:rPr>
              <w:t>Direct model</w:t>
            </w:r>
          </w:p>
        </w:tc>
        <w:tc>
          <w:tcPr>
            <w:tcW w:w="2512" w:type="dxa"/>
            <w:tcBorders>
              <w:top w:val="single" w:sz="4" w:space="0" w:color="auto"/>
              <w:left w:val="single" w:sz="4" w:space="0" w:color="auto"/>
              <w:bottom w:val="single" w:sz="4" w:space="0" w:color="auto"/>
              <w:right w:val="single" w:sz="4" w:space="0" w:color="auto"/>
            </w:tcBorders>
            <w:shd w:val="clear" w:color="auto" w:fill="595959" w:themeFill="text1" w:themeFillTint="A6"/>
            <w:tcMar>
              <w:top w:w="57" w:type="dxa"/>
              <w:left w:w="102" w:type="dxa"/>
              <w:bottom w:w="57" w:type="dxa"/>
              <w:right w:w="102" w:type="dxa"/>
            </w:tcMar>
            <w:hideMark/>
          </w:tcPr>
          <w:p w14:paraId="4917A600" w14:textId="77777777" w:rsidR="00BE0EEF" w:rsidRPr="001536F8" w:rsidRDefault="00BE0EEF" w:rsidP="001536F8">
            <w:pPr>
              <w:pStyle w:val="TableHeading"/>
              <w:jc w:val="center"/>
              <w:rPr>
                <w:b/>
                <w:bCs/>
              </w:rPr>
            </w:pPr>
            <w:r w:rsidRPr="001536F8">
              <w:rPr>
                <w:b/>
                <w:bCs/>
              </w:rPr>
              <w:t>Arrangement C</w:t>
            </w:r>
          </w:p>
          <w:p w14:paraId="2B482332" w14:textId="77777777" w:rsidR="00BE0EEF" w:rsidRPr="001536F8" w:rsidRDefault="00BE0EEF" w:rsidP="001536F8">
            <w:pPr>
              <w:pStyle w:val="TableHeading"/>
              <w:jc w:val="center"/>
              <w:rPr>
                <w:b/>
                <w:bCs/>
              </w:rPr>
            </w:pPr>
            <w:r w:rsidRPr="001536F8">
              <w:rPr>
                <w:b/>
                <w:bCs/>
              </w:rPr>
              <w:t>N</w:t>
            </w:r>
            <w:r w:rsidR="00047251" w:rsidRPr="001536F8">
              <w:rPr>
                <w:b/>
                <w:bCs/>
              </w:rPr>
              <w:t>ational</w:t>
            </w:r>
            <w:r w:rsidRPr="001536F8">
              <w:rPr>
                <w:b/>
                <w:bCs/>
              </w:rPr>
              <w:t xml:space="preserve"> model</w:t>
            </w:r>
          </w:p>
        </w:tc>
      </w:tr>
      <w:tr w:rsidR="00BE0EEF" w:rsidRPr="00BE0EEF" w14:paraId="2B6F8E3B" w14:textId="77777777" w:rsidTr="00E93B27">
        <w:trPr>
          <w:cantSplit/>
          <w:trHeight w:val="400"/>
        </w:trPr>
        <w:tc>
          <w:tcPr>
            <w:tcW w:w="14596" w:type="dxa"/>
            <w:gridSpan w:val="5"/>
            <w:tcBorders>
              <w:top w:val="single" w:sz="4" w:space="0" w:color="auto"/>
              <w:left w:val="single" w:sz="8" w:space="0" w:color="000000"/>
              <w:bottom w:val="single" w:sz="8" w:space="0" w:color="000000"/>
              <w:right w:val="single" w:sz="8" w:space="0" w:color="000000"/>
            </w:tcBorders>
            <w:shd w:val="clear" w:color="auto" w:fill="F2F2F2" w:themeFill="background1" w:themeFillShade="F2"/>
            <w:tcMar>
              <w:top w:w="57" w:type="dxa"/>
              <w:left w:w="102" w:type="dxa"/>
              <w:bottom w:w="57" w:type="dxa"/>
              <w:right w:w="102" w:type="dxa"/>
            </w:tcMar>
            <w:hideMark/>
          </w:tcPr>
          <w:p w14:paraId="4E40EA76" w14:textId="77777777" w:rsidR="00BE0EEF" w:rsidRPr="001536F8" w:rsidRDefault="00BE0EEF" w:rsidP="00024E8D">
            <w:pPr>
              <w:pStyle w:val="TableHeading"/>
              <w:rPr>
                <w:b/>
                <w:bCs/>
              </w:rPr>
            </w:pPr>
            <w:r w:rsidRPr="001536F8">
              <w:rPr>
                <w:b/>
                <w:bCs/>
                <w:color w:val="auto"/>
              </w:rPr>
              <w:t>Priority Reforms of the National Agreement on Closing the Gap </w:t>
            </w:r>
          </w:p>
        </w:tc>
      </w:tr>
      <w:tr w:rsidR="003D1CAE" w:rsidRPr="00BE0EEF" w14:paraId="754528A3" w14:textId="77777777" w:rsidTr="00E93B27">
        <w:trPr>
          <w:cantSplit/>
        </w:trPr>
        <w:tc>
          <w:tcPr>
            <w:tcW w:w="337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02" w:type="dxa"/>
              <w:bottom w:w="57" w:type="dxa"/>
              <w:right w:w="102" w:type="dxa"/>
            </w:tcMar>
            <w:hideMark/>
          </w:tcPr>
          <w:p w14:paraId="71B02D58" w14:textId="77777777" w:rsidR="00BE0EEF" w:rsidRPr="001536F8" w:rsidRDefault="00BE0EEF" w:rsidP="001536F8">
            <w:pPr>
              <w:pStyle w:val="TableText"/>
              <w:rPr>
                <w:b/>
                <w:bCs/>
              </w:rPr>
            </w:pPr>
            <w:r w:rsidRPr="001536F8">
              <w:rPr>
                <w:b/>
                <w:bCs/>
              </w:rPr>
              <w:t>Priority Reform 1</w:t>
            </w:r>
          </w:p>
          <w:p w14:paraId="0EC886DA" w14:textId="77777777" w:rsidR="00BE0EEF" w:rsidRPr="00BE0EEF" w:rsidRDefault="00BE0EEF" w:rsidP="001536F8">
            <w:pPr>
              <w:pStyle w:val="TableText"/>
            </w:pPr>
            <w:r w:rsidRPr="00BE0EEF">
              <w:t xml:space="preserve">Formal </w:t>
            </w:r>
            <w:r w:rsidR="00E50A2D">
              <w:t>p</w:t>
            </w:r>
            <w:r w:rsidRPr="00BE0EEF">
              <w:t xml:space="preserve">artnerships and </w:t>
            </w:r>
            <w:r w:rsidR="00E50A2D">
              <w:t>s</w:t>
            </w:r>
            <w:r w:rsidRPr="00BE0EEF">
              <w:t xml:space="preserve">hared </w:t>
            </w:r>
            <w:r w:rsidR="00E50A2D">
              <w:t>d</w:t>
            </w:r>
            <w:r w:rsidRPr="00BE0EEF">
              <w:t>ecision</w:t>
            </w:r>
            <w:r w:rsidR="00E50A2D">
              <w:t>-m</w:t>
            </w:r>
            <w:r w:rsidRPr="00BE0EEF">
              <w:t>aking</w:t>
            </w:r>
          </w:p>
        </w:tc>
        <w:tc>
          <w:tcPr>
            <w:tcW w:w="3071" w:type="dxa"/>
            <w:tcBorders>
              <w:top w:val="single" w:sz="8" w:space="0" w:color="000000"/>
              <w:left w:val="single" w:sz="8" w:space="0" w:color="000000"/>
              <w:bottom w:val="single" w:sz="8" w:space="0" w:color="000000"/>
              <w:right w:val="single" w:sz="8" w:space="0" w:color="000000"/>
            </w:tcBorders>
            <w:shd w:val="clear" w:color="auto" w:fill="ABD8E1"/>
            <w:tcMar>
              <w:top w:w="57" w:type="dxa"/>
              <w:left w:w="102" w:type="dxa"/>
              <w:bottom w:w="57" w:type="dxa"/>
              <w:right w:w="102" w:type="dxa"/>
            </w:tcMar>
            <w:hideMark/>
          </w:tcPr>
          <w:p w14:paraId="3DEA12AA" w14:textId="77777777" w:rsidR="00BE0EEF" w:rsidRPr="00BE0EEF" w:rsidRDefault="00BE0EEF" w:rsidP="001536F8">
            <w:pPr>
              <w:pStyle w:val="TableText"/>
              <w:jc w:val="center"/>
            </w:pPr>
            <w:r w:rsidRPr="00BE0EEF">
              <w:t>Possible</w:t>
            </w:r>
          </w:p>
        </w:tc>
        <w:tc>
          <w:tcPr>
            <w:tcW w:w="0" w:type="auto"/>
            <w:tcBorders>
              <w:top w:val="single" w:sz="8" w:space="0" w:color="000000"/>
              <w:left w:val="single" w:sz="8" w:space="0" w:color="000000"/>
              <w:bottom w:val="single" w:sz="8" w:space="0" w:color="000000"/>
              <w:right w:val="single" w:sz="8" w:space="0" w:color="000000"/>
            </w:tcBorders>
            <w:shd w:val="clear" w:color="auto" w:fill="ABD8E1"/>
            <w:tcMar>
              <w:top w:w="57" w:type="dxa"/>
              <w:left w:w="102" w:type="dxa"/>
              <w:bottom w:w="57" w:type="dxa"/>
              <w:right w:w="102" w:type="dxa"/>
            </w:tcMar>
            <w:hideMark/>
          </w:tcPr>
          <w:p w14:paraId="57DAE9CF" w14:textId="77777777" w:rsidR="00BE0EEF" w:rsidRPr="00BE0EEF" w:rsidRDefault="00BE0EEF" w:rsidP="001536F8">
            <w:pPr>
              <w:pStyle w:val="TableText"/>
              <w:jc w:val="center"/>
            </w:pPr>
            <w:r w:rsidRPr="00BE0EEF">
              <w:t>Possible</w:t>
            </w:r>
          </w:p>
        </w:tc>
        <w:tc>
          <w:tcPr>
            <w:tcW w:w="2890" w:type="dxa"/>
            <w:tcBorders>
              <w:top w:val="single" w:sz="8" w:space="0" w:color="000000"/>
              <w:left w:val="single" w:sz="8" w:space="0" w:color="000000"/>
              <w:bottom w:val="single" w:sz="8" w:space="0" w:color="000000"/>
              <w:right w:val="single" w:sz="8" w:space="0" w:color="000000"/>
            </w:tcBorders>
            <w:shd w:val="clear" w:color="auto" w:fill="ABD8E1"/>
            <w:tcMar>
              <w:top w:w="57" w:type="dxa"/>
              <w:left w:w="102" w:type="dxa"/>
              <w:bottom w:w="57" w:type="dxa"/>
              <w:right w:w="102" w:type="dxa"/>
            </w:tcMar>
            <w:hideMark/>
          </w:tcPr>
          <w:p w14:paraId="0448932D" w14:textId="77777777" w:rsidR="00BE0EEF" w:rsidRPr="00BE0EEF" w:rsidRDefault="00BE0EEF" w:rsidP="001536F8">
            <w:pPr>
              <w:pStyle w:val="TableText"/>
              <w:jc w:val="center"/>
            </w:pPr>
            <w:r w:rsidRPr="00BE0EEF">
              <w:t>Possible</w:t>
            </w:r>
          </w:p>
        </w:tc>
        <w:tc>
          <w:tcPr>
            <w:tcW w:w="2512" w:type="dxa"/>
            <w:tcBorders>
              <w:top w:val="single" w:sz="8" w:space="0" w:color="000000"/>
              <w:left w:val="single" w:sz="8" w:space="0" w:color="000000"/>
              <w:bottom w:val="single" w:sz="8" w:space="0" w:color="000000"/>
              <w:right w:val="single" w:sz="8" w:space="0" w:color="000000"/>
            </w:tcBorders>
            <w:shd w:val="clear" w:color="auto" w:fill="ABD8E1"/>
            <w:tcMar>
              <w:top w:w="57" w:type="dxa"/>
              <w:left w:w="102" w:type="dxa"/>
              <w:bottom w:w="57" w:type="dxa"/>
              <w:right w:w="102" w:type="dxa"/>
            </w:tcMar>
            <w:hideMark/>
          </w:tcPr>
          <w:p w14:paraId="6F42EB2E" w14:textId="77777777" w:rsidR="00BE0EEF" w:rsidRPr="00BE0EEF" w:rsidRDefault="00BE0EEF" w:rsidP="001536F8">
            <w:pPr>
              <w:pStyle w:val="TableText"/>
              <w:jc w:val="center"/>
            </w:pPr>
            <w:r w:rsidRPr="00BE0EEF">
              <w:t>Possible</w:t>
            </w:r>
          </w:p>
        </w:tc>
      </w:tr>
      <w:tr w:rsidR="003D1CAE" w:rsidRPr="00BE0EEF" w14:paraId="48F8AA1D" w14:textId="77777777" w:rsidTr="00E93B27">
        <w:trPr>
          <w:cantSplit/>
        </w:trPr>
        <w:tc>
          <w:tcPr>
            <w:tcW w:w="337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02" w:type="dxa"/>
              <w:bottom w:w="57" w:type="dxa"/>
              <w:right w:w="102" w:type="dxa"/>
            </w:tcMar>
            <w:hideMark/>
          </w:tcPr>
          <w:p w14:paraId="7934E8D3" w14:textId="77777777" w:rsidR="00BE0EEF" w:rsidRPr="001536F8" w:rsidRDefault="00BE0EEF" w:rsidP="001536F8">
            <w:pPr>
              <w:pStyle w:val="TableText"/>
              <w:rPr>
                <w:b/>
                <w:bCs/>
              </w:rPr>
            </w:pPr>
            <w:r w:rsidRPr="001536F8">
              <w:rPr>
                <w:b/>
                <w:bCs/>
              </w:rPr>
              <w:t>Priority Reform 2</w:t>
            </w:r>
          </w:p>
          <w:p w14:paraId="7DD4F157" w14:textId="77777777" w:rsidR="00BE0EEF" w:rsidRPr="00BE0EEF" w:rsidRDefault="00BE0EEF" w:rsidP="001536F8">
            <w:pPr>
              <w:pStyle w:val="TableText"/>
            </w:pPr>
            <w:r w:rsidRPr="00BE0EEF">
              <w:t>Building the community-controlled sector </w:t>
            </w:r>
          </w:p>
        </w:tc>
        <w:tc>
          <w:tcPr>
            <w:tcW w:w="3071" w:type="dxa"/>
            <w:tcBorders>
              <w:top w:val="single" w:sz="8" w:space="0" w:color="000000"/>
              <w:left w:val="single" w:sz="8" w:space="0" w:color="000000"/>
              <w:bottom w:val="single" w:sz="8" w:space="0" w:color="000000"/>
              <w:right w:val="single" w:sz="8" w:space="0" w:color="000000"/>
            </w:tcBorders>
            <w:shd w:val="clear" w:color="auto" w:fill="0196A7" w:themeFill="accent3"/>
            <w:tcMar>
              <w:top w:w="57" w:type="dxa"/>
              <w:left w:w="102" w:type="dxa"/>
              <w:bottom w:w="57" w:type="dxa"/>
              <w:right w:w="102" w:type="dxa"/>
            </w:tcMar>
            <w:hideMark/>
          </w:tcPr>
          <w:p w14:paraId="52BFEC5A" w14:textId="77777777" w:rsidR="00BE0EEF" w:rsidRDefault="00BE0EEF" w:rsidP="001536F8">
            <w:pPr>
              <w:pStyle w:val="TableText"/>
              <w:jc w:val="center"/>
            </w:pPr>
            <w:r w:rsidRPr="00BB10DC">
              <w:rPr>
                <w:b/>
              </w:rPr>
              <w:t>Very</w:t>
            </w:r>
            <w:r w:rsidRPr="00BE0EEF">
              <w:t xml:space="preserve"> possible</w:t>
            </w:r>
          </w:p>
          <w:p w14:paraId="6D3B9F33" w14:textId="77777777" w:rsidR="00331870" w:rsidRPr="00BE0EEF" w:rsidRDefault="00331870" w:rsidP="001536F8">
            <w:pPr>
              <w:pStyle w:val="TableText"/>
              <w:jc w:val="center"/>
            </w:pPr>
          </w:p>
        </w:tc>
        <w:tc>
          <w:tcPr>
            <w:tcW w:w="0" w:type="auto"/>
            <w:tcBorders>
              <w:top w:val="single" w:sz="8" w:space="0" w:color="000000"/>
              <w:left w:val="single" w:sz="8" w:space="0" w:color="000000"/>
              <w:bottom w:val="single" w:sz="8" w:space="0" w:color="000000"/>
              <w:right w:val="single" w:sz="8" w:space="0" w:color="000000"/>
            </w:tcBorders>
            <w:shd w:val="clear" w:color="auto" w:fill="0196A7" w:themeFill="accent3"/>
            <w:tcMar>
              <w:top w:w="57" w:type="dxa"/>
              <w:left w:w="102" w:type="dxa"/>
              <w:bottom w:w="57" w:type="dxa"/>
              <w:right w:w="102" w:type="dxa"/>
            </w:tcMar>
            <w:hideMark/>
          </w:tcPr>
          <w:p w14:paraId="23574677" w14:textId="77777777" w:rsidR="00BE0EEF" w:rsidRPr="00BE0EEF" w:rsidRDefault="00BE0EEF" w:rsidP="001536F8">
            <w:pPr>
              <w:pStyle w:val="TableText"/>
              <w:jc w:val="center"/>
            </w:pPr>
            <w:r w:rsidRPr="00BB10DC">
              <w:rPr>
                <w:b/>
              </w:rPr>
              <w:t>Very</w:t>
            </w:r>
            <w:r w:rsidRPr="00BE0EEF">
              <w:t xml:space="preserve"> possible</w:t>
            </w:r>
          </w:p>
        </w:tc>
        <w:tc>
          <w:tcPr>
            <w:tcW w:w="2890" w:type="dxa"/>
            <w:tcBorders>
              <w:top w:val="single" w:sz="8" w:space="0" w:color="000000"/>
              <w:left w:val="single" w:sz="8" w:space="0" w:color="000000"/>
              <w:bottom w:val="single" w:sz="8" w:space="0" w:color="000000"/>
              <w:right w:val="single" w:sz="8" w:space="0" w:color="000000"/>
            </w:tcBorders>
            <w:shd w:val="clear" w:color="auto" w:fill="0196A7" w:themeFill="accent3"/>
            <w:tcMar>
              <w:top w:w="57" w:type="dxa"/>
              <w:left w:w="102" w:type="dxa"/>
              <w:bottom w:w="57" w:type="dxa"/>
              <w:right w:w="102" w:type="dxa"/>
            </w:tcMar>
            <w:hideMark/>
          </w:tcPr>
          <w:p w14:paraId="6636FC19" w14:textId="77777777" w:rsidR="00BE0EEF" w:rsidRPr="00BE0EEF" w:rsidRDefault="00BE0EEF" w:rsidP="001536F8">
            <w:pPr>
              <w:pStyle w:val="TableText"/>
              <w:jc w:val="center"/>
            </w:pPr>
            <w:r w:rsidRPr="00BB10DC">
              <w:rPr>
                <w:b/>
              </w:rPr>
              <w:t>Very</w:t>
            </w:r>
            <w:r w:rsidRPr="00BE0EEF">
              <w:t xml:space="preserve"> possible</w:t>
            </w:r>
          </w:p>
        </w:tc>
        <w:tc>
          <w:tcPr>
            <w:tcW w:w="2512" w:type="dxa"/>
            <w:tcBorders>
              <w:top w:val="single" w:sz="8" w:space="0" w:color="000000"/>
              <w:left w:val="single" w:sz="8" w:space="0" w:color="000000"/>
              <w:bottom w:val="single" w:sz="8" w:space="0" w:color="000000"/>
              <w:right w:val="single" w:sz="8" w:space="0" w:color="000000"/>
            </w:tcBorders>
            <w:shd w:val="clear" w:color="auto" w:fill="0196A7" w:themeFill="accent3"/>
            <w:tcMar>
              <w:top w:w="57" w:type="dxa"/>
              <w:left w:w="102" w:type="dxa"/>
              <w:bottom w:w="57" w:type="dxa"/>
              <w:right w:w="102" w:type="dxa"/>
            </w:tcMar>
            <w:hideMark/>
          </w:tcPr>
          <w:p w14:paraId="6672461D" w14:textId="77777777" w:rsidR="00BE0EEF" w:rsidRPr="00BE0EEF" w:rsidRDefault="00BE0EEF" w:rsidP="001536F8">
            <w:pPr>
              <w:pStyle w:val="TableText"/>
              <w:jc w:val="center"/>
            </w:pPr>
            <w:r w:rsidRPr="00BB10DC">
              <w:rPr>
                <w:b/>
              </w:rPr>
              <w:t>Very</w:t>
            </w:r>
            <w:r w:rsidRPr="00BE0EEF">
              <w:t xml:space="preserve"> possible</w:t>
            </w:r>
          </w:p>
        </w:tc>
      </w:tr>
      <w:tr w:rsidR="003D1CAE" w:rsidRPr="00BE0EEF" w14:paraId="3DC8C549" w14:textId="77777777" w:rsidTr="00E93B27">
        <w:trPr>
          <w:cantSplit/>
        </w:trPr>
        <w:tc>
          <w:tcPr>
            <w:tcW w:w="337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02" w:type="dxa"/>
              <w:bottom w:w="57" w:type="dxa"/>
              <w:right w:w="102" w:type="dxa"/>
            </w:tcMar>
            <w:hideMark/>
          </w:tcPr>
          <w:p w14:paraId="06A303BD" w14:textId="77777777" w:rsidR="00BE0EEF" w:rsidRPr="001536F8" w:rsidRDefault="00BE0EEF" w:rsidP="001536F8">
            <w:pPr>
              <w:pStyle w:val="TableText"/>
              <w:rPr>
                <w:b/>
                <w:bCs/>
              </w:rPr>
            </w:pPr>
            <w:r w:rsidRPr="001536F8">
              <w:rPr>
                <w:b/>
                <w:bCs/>
              </w:rPr>
              <w:t>Priority Reform 3</w:t>
            </w:r>
          </w:p>
          <w:p w14:paraId="36D31E09" w14:textId="77777777" w:rsidR="00BE0EEF" w:rsidRPr="00BE0EEF" w:rsidRDefault="00BE0EEF" w:rsidP="001536F8">
            <w:pPr>
              <w:pStyle w:val="TableText"/>
            </w:pPr>
            <w:r w:rsidRPr="00BE0EEF">
              <w:t xml:space="preserve">Transforming </w:t>
            </w:r>
            <w:r w:rsidR="00E50A2D">
              <w:t>g</w:t>
            </w:r>
            <w:r w:rsidRPr="00BE0EEF">
              <w:t xml:space="preserve">overnment </w:t>
            </w:r>
            <w:r w:rsidR="00E50A2D">
              <w:t>o</w:t>
            </w:r>
            <w:r w:rsidRPr="00BE0EEF">
              <w:t>rganisations</w:t>
            </w:r>
          </w:p>
        </w:tc>
        <w:tc>
          <w:tcPr>
            <w:tcW w:w="3071" w:type="dxa"/>
            <w:tcBorders>
              <w:top w:val="single" w:sz="8" w:space="0" w:color="000000"/>
              <w:left w:val="single" w:sz="8" w:space="0" w:color="000000"/>
              <w:bottom w:val="single" w:sz="8" w:space="0" w:color="000000"/>
              <w:right w:val="single" w:sz="8" w:space="0" w:color="000000"/>
            </w:tcBorders>
            <w:shd w:val="clear" w:color="auto" w:fill="ABD8E1"/>
            <w:tcMar>
              <w:top w:w="57" w:type="dxa"/>
              <w:left w:w="102" w:type="dxa"/>
              <w:bottom w:w="57" w:type="dxa"/>
              <w:right w:w="102" w:type="dxa"/>
            </w:tcMar>
            <w:hideMark/>
          </w:tcPr>
          <w:p w14:paraId="5C3417D5" w14:textId="77777777" w:rsidR="00BE0EEF" w:rsidRPr="00BE0EEF" w:rsidRDefault="00BE0EEF" w:rsidP="001536F8">
            <w:pPr>
              <w:pStyle w:val="TableText"/>
              <w:jc w:val="center"/>
            </w:pPr>
            <w:r w:rsidRPr="00BE0EEF">
              <w:t>Possible</w:t>
            </w:r>
          </w:p>
        </w:tc>
        <w:tc>
          <w:tcPr>
            <w:tcW w:w="0" w:type="auto"/>
            <w:tcBorders>
              <w:top w:val="single" w:sz="8" w:space="0" w:color="000000"/>
              <w:left w:val="single" w:sz="8" w:space="0" w:color="000000"/>
              <w:bottom w:val="single" w:sz="8" w:space="0" w:color="000000"/>
              <w:right w:val="single" w:sz="8" w:space="0" w:color="000000"/>
            </w:tcBorders>
            <w:shd w:val="clear" w:color="auto" w:fill="ABD8E1"/>
            <w:tcMar>
              <w:top w:w="57" w:type="dxa"/>
              <w:left w:w="102" w:type="dxa"/>
              <w:bottom w:w="57" w:type="dxa"/>
              <w:right w:w="102" w:type="dxa"/>
            </w:tcMar>
            <w:hideMark/>
          </w:tcPr>
          <w:p w14:paraId="55833B0B" w14:textId="77777777" w:rsidR="00BE0EEF" w:rsidRPr="00BE0EEF" w:rsidRDefault="00BE0EEF" w:rsidP="001536F8">
            <w:pPr>
              <w:pStyle w:val="TableText"/>
              <w:jc w:val="center"/>
            </w:pPr>
            <w:r w:rsidRPr="00BE0EEF">
              <w:t>Possible</w:t>
            </w:r>
          </w:p>
        </w:tc>
        <w:tc>
          <w:tcPr>
            <w:tcW w:w="2890" w:type="dxa"/>
            <w:tcBorders>
              <w:top w:val="single" w:sz="8" w:space="0" w:color="000000"/>
              <w:left w:val="single" w:sz="8" w:space="0" w:color="000000"/>
              <w:bottom w:val="single" w:sz="8" w:space="0" w:color="000000"/>
              <w:right w:val="single" w:sz="8" w:space="0" w:color="000000"/>
            </w:tcBorders>
            <w:shd w:val="clear" w:color="auto" w:fill="ABD8E1"/>
            <w:tcMar>
              <w:top w:w="57" w:type="dxa"/>
              <w:left w:w="102" w:type="dxa"/>
              <w:bottom w:w="57" w:type="dxa"/>
              <w:right w:w="102" w:type="dxa"/>
            </w:tcMar>
            <w:hideMark/>
          </w:tcPr>
          <w:p w14:paraId="267CE7B8" w14:textId="77777777" w:rsidR="00BE0EEF" w:rsidRPr="00BE0EEF" w:rsidRDefault="00BE0EEF" w:rsidP="001536F8">
            <w:pPr>
              <w:pStyle w:val="TableText"/>
              <w:jc w:val="center"/>
            </w:pPr>
            <w:r w:rsidRPr="00BE0EEF">
              <w:t>Possible</w:t>
            </w:r>
          </w:p>
        </w:tc>
        <w:tc>
          <w:tcPr>
            <w:tcW w:w="2512" w:type="dxa"/>
            <w:tcBorders>
              <w:top w:val="single" w:sz="8" w:space="0" w:color="000000"/>
              <w:left w:val="single" w:sz="8" w:space="0" w:color="000000"/>
              <w:bottom w:val="single" w:sz="8" w:space="0" w:color="000000"/>
              <w:right w:val="single" w:sz="8" w:space="0" w:color="000000"/>
            </w:tcBorders>
            <w:shd w:val="clear" w:color="auto" w:fill="ABD8E1"/>
            <w:tcMar>
              <w:top w:w="57" w:type="dxa"/>
              <w:left w:w="102" w:type="dxa"/>
              <w:bottom w:w="57" w:type="dxa"/>
              <w:right w:w="102" w:type="dxa"/>
            </w:tcMar>
            <w:hideMark/>
          </w:tcPr>
          <w:p w14:paraId="20D245B4" w14:textId="77777777" w:rsidR="00BE0EEF" w:rsidRPr="00BE0EEF" w:rsidRDefault="00BE0EEF" w:rsidP="001536F8">
            <w:pPr>
              <w:pStyle w:val="TableText"/>
              <w:jc w:val="center"/>
            </w:pPr>
            <w:r w:rsidRPr="00BE0EEF">
              <w:t>Possible</w:t>
            </w:r>
          </w:p>
        </w:tc>
      </w:tr>
      <w:tr w:rsidR="003D1CAE" w:rsidRPr="00BE0EEF" w14:paraId="620F2201" w14:textId="77777777" w:rsidTr="00E93B27">
        <w:trPr>
          <w:cantSplit/>
        </w:trPr>
        <w:tc>
          <w:tcPr>
            <w:tcW w:w="337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02" w:type="dxa"/>
              <w:bottom w:w="57" w:type="dxa"/>
              <w:right w:w="102" w:type="dxa"/>
            </w:tcMar>
            <w:hideMark/>
          </w:tcPr>
          <w:p w14:paraId="5A455284" w14:textId="77777777" w:rsidR="00BE0EEF" w:rsidRPr="001536F8" w:rsidRDefault="00BE0EEF" w:rsidP="001536F8">
            <w:pPr>
              <w:pStyle w:val="TableText"/>
              <w:rPr>
                <w:b/>
                <w:bCs/>
              </w:rPr>
            </w:pPr>
            <w:r w:rsidRPr="001536F8">
              <w:rPr>
                <w:b/>
                <w:bCs/>
              </w:rPr>
              <w:t>Priority Reform 4</w:t>
            </w:r>
          </w:p>
          <w:p w14:paraId="307B795B" w14:textId="77777777" w:rsidR="00BE0EEF" w:rsidRPr="00BE0EEF" w:rsidRDefault="00BE0EEF" w:rsidP="001536F8">
            <w:pPr>
              <w:pStyle w:val="TableText"/>
            </w:pPr>
            <w:r w:rsidRPr="00BE0EEF">
              <w:t xml:space="preserve">Shared </w:t>
            </w:r>
            <w:r w:rsidR="00E50A2D">
              <w:t>a</w:t>
            </w:r>
            <w:r w:rsidRPr="00BE0EEF">
              <w:t xml:space="preserve">ccess to </w:t>
            </w:r>
            <w:r w:rsidR="00E50A2D">
              <w:t>d</w:t>
            </w:r>
            <w:r w:rsidRPr="00BE0EEF">
              <w:t xml:space="preserve">ata and </w:t>
            </w:r>
            <w:r w:rsidR="00E50A2D">
              <w:t>i</w:t>
            </w:r>
            <w:r w:rsidRPr="00BE0EEF">
              <w:t xml:space="preserve">nformation at a </w:t>
            </w:r>
            <w:r w:rsidR="00E50A2D">
              <w:t>r</w:t>
            </w:r>
            <w:r w:rsidRPr="00BE0EEF">
              <w:t xml:space="preserve">egional </w:t>
            </w:r>
            <w:r w:rsidR="00E50A2D">
              <w:t>l</w:t>
            </w:r>
            <w:r w:rsidRPr="00BE0EEF">
              <w:t>evel</w:t>
            </w:r>
          </w:p>
        </w:tc>
        <w:tc>
          <w:tcPr>
            <w:tcW w:w="3071" w:type="dxa"/>
            <w:tcBorders>
              <w:top w:val="single" w:sz="8" w:space="0" w:color="000000"/>
              <w:left w:val="single" w:sz="8" w:space="0" w:color="000000"/>
              <w:bottom w:val="single" w:sz="8" w:space="0" w:color="000000"/>
              <w:right w:val="single" w:sz="8" w:space="0" w:color="000000"/>
            </w:tcBorders>
            <w:shd w:val="clear" w:color="auto" w:fill="ABD8E1"/>
            <w:tcMar>
              <w:top w:w="57" w:type="dxa"/>
              <w:left w:w="102" w:type="dxa"/>
              <w:bottom w:w="57" w:type="dxa"/>
              <w:right w:w="102" w:type="dxa"/>
            </w:tcMar>
            <w:hideMark/>
          </w:tcPr>
          <w:p w14:paraId="0BEB6503" w14:textId="77777777" w:rsidR="00BE0EEF" w:rsidRPr="00BE0EEF" w:rsidRDefault="00BE0EEF" w:rsidP="001536F8">
            <w:pPr>
              <w:pStyle w:val="TableText"/>
              <w:jc w:val="center"/>
            </w:pPr>
            <w:r w:rsidRPr="00BE0EEF">
              <w:t>Possible</w:t>
            </w:r>
          </w:p>
        </w:tc>
        <w:tc>
          <w:tcPr>
            <w:tcW w:w="0" w:type="auto"/>
            <w:tcBorders>
              <w:top w:val="single" w:sz="8" w:space="0" w:color="000000"/>
              <w:left w:val="single" w:sz="8" w:space="0" w:color="000000"/>
              <w:bottom w:val="single" w:sz="8" w:space="0" w:color="000000"/>
              <w:right w:val="single" w:sz="8" w:space="0" w:color="000000"/>
            </w:tcBorders>
            <w:shd w:val="clear" w:color="auto" w:fill="ABD8E1"/>
            <w:tcMar>
              <w:top w:w="57" w:type="dxa"/>
              <w:left w:w="102" w:type="dxa"/>
              <w:bottom w:w="57" w:type="dxa"/>
              <w:right w:w="102" w:type="dxa"/>
            </w:tcMar>
            <w:hideMark/>
          </w:tcPr>
          <w:p w14:paraId="608EEC78" w14:textId="77777777" w:rsidR="00BE0EEF" w:rsidRPr="00BE0EEF" w:rsidRDefault="00BE0EEF" w:rsidP="001536F8">
            <w:pPr>
              <w:pStyle w:val="TableText"/>
              <w:jc w:val="center"/>
            </w:pPr>
            <w:r w:rsidRPr="00BE0EEF">
              <w:t>Possible</w:t>
            </w:r>
          </w:p>
        </w:tc>
        <w:tc>
          <w:tcPr>
            <w:tcW w:w="2890" w:type="dxa"/>
            <w:tcBorders>
              <w:top w:val="single" w:sz="8" w:space="0" w:color="000000"/>
              <w:left w:val="single" w:sz="8" w:space="0" w:color="000000"/>
              <w:bottom w:val="single" w:sz="8" w:space="0" w:color="000000"/>
              <w:right w:val="single" w:sz="8" w:space="0" w:color="000000"/>
            </w:tcBorders>
            <w:shd w:val="clear" w:color="auto" w:fill="ABD8E1"/>
            <w:tcMar>
              <w:top w:w="57" w:type="dxa"/>
              <w:left w:w="102" w:type="dxa"/>
              <w:bottom w:w="57" w:type="dxa"/>
              <w:right w:w="102" w:type="dxa"/>
            </w:tcMar>
            <w:hideMark/>
          </w:tcPr>
          <w:p w14:paraId="6612A344" w14:textId="77777777" w:rsidR="00BE0EEF" w:rsidRPr="00BE0EEF" w:rsidRDefault="00BE0EEF" w:rsidP="001536F8">
            <w:pPr>
              <w:pStyle w:val="TableText"/>
              <w:jc w:val="center"/>
            </w:pPr>
            <w:r w:rsidRPr="00BE0EEF">
              <w:t>Possible</w:t>
            </w:r>
          </w:p>
        </w:tc>
        <w:tc>
          <w:tcPr>
            <w:tcW w:w="2512" w:type="dxa"/>
            <w:tcBorders>
              <w:top w:val="single" w:sz="8" w:space="0" w:color="000000"/>
              <w:left w:val="single" w:sz="8" w:space="0" w:color="000000"/>
              <w:bottom w:val="single" w:sz="8" w:space="0" w:color="000000"/>
              <w:right w:val="single" w:sz="8" w:space="0" w:color="000000"/>
            </w:tcBorders>
            <w:shd w:val="clear" w:color="auto" w:fill="ABD8E1"/>
            <w:tcMar>
              <w:top w:w="57" w:type="dxa"/>
              <w:left w:w="102" w:type="dxa"/>
              <w:bottom w:w="57" w:type="dxa"/>
              <w:right w:w="102" w:type="dxa"/>
            </w:tcMar>
            <w:hideMark/>
          </w:tcPr>
          <w:p w14:paraId="740E4237" w14:textId="77777777" w:rsidR="00BE0EEF" w:rsidRPr="00BE0EEF" w:rsidRDefault="00BE0EEF" w:rsidP="001536F8">
            <w:pPr>
              <w:pStyle w:val="TableText"/>
              <w:jc w:val="center"/>
            </w:pPr>
            <w:r w:rsidRPr="00BE0EEF">
              <w:t>Possible</w:t>
            </w:r>
          </w:p>
        </w:tc>
      </w:tr>
      <w:tr w:rsidR="00BE0EEF" w:rsidRPr="00BE0EEF" w14:paraId="64EBCD02" w14:textId="77777777" w:rsidTr="00E93B27">
        <w:trPr>
          <w:cantSplit/>
          <w:trHeight w:val="355"/>
        </w:trPr>
        <w:tc>
          <w:tcPr>
            <w:tcW w:w="14596" w:type="dxa"/>
            <w:gridSpan w:val="5"/>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57" w:type="dxa"/>
              <w:left w:w="102" w:type="dxa"/>
              <w:bottom w:w="57" w:type="dxa"/>
              <w:right w:w="102" w:type="dxa"/>
            </w:tcMar>
            <w:hideMark/>
          </w:tcPr>
          <w:p w14:paraId="79985B19" w14:textId="77777777" w:rsidR="00BE0EEF" w:rsidRPr="001536F8" w:rsidRDefault="00BE0EEF" w:rsidP="001536F8">
            <w:pPr>
              <w:pStyle w:val="TableHeading"/>
              <w:keepNext/>
              <w:rPr>
                <w:b/>
                <w:bCs/>
              </w:rPr>
            </w:pPr>
            <w:r w:rsidRPr="001536F8">
              <w:rPr>
                <w:b/>
                <w:bCs/>
                <w:color w:val="auto"/>
              </w:rPr>
              <w:t>Key principles of future state funding arrangements </w:t>
            </w:r>
          </w:p>
        </w:tc>
      </w:tr>
      <w:tr w:rsidR="003D5690" w:rsidRPr="00BE0EEF" w14:paraId="6B07D23C" w14:textId="77777777" w:rsidTr="00E93B27">
        <w:trPr>
          <w:cantSplit/>
          <w:trHeight w:val="400"/>
        </w:trPr>
        <w:tc>
          <w:tcPr>
            <w:tcW w:w="3370" w:type="dxa"/>
            <w:tcBorders>
              <w:top w:val="single" w:sz="8" w:space="0" w:color="000000"/>
              <w:left w:val="single" w:sz="8" w:space="0" w:color="000000"/>
              <w:bottom w:val="single" w:sz="8" w:space="0" w:color="000000"/>
              <w:right w:val="single" w:sz="8" w:space="0" w:color="000000"/>
            </w:tcBorders>
            <w:tcMar>
              <w:top w:w="57" w:type="dxa"/>
              <w:left w:w="102" w:type="dxa"/>
              <w:bottom w:w="57" w:type="dxa"/>
              <w:right w:w="102" w:type="dxa"/>
            </w:tcMar>
            <w:hideMark/>
          </w:tcPr>
          <w:p w14:paraId="4524BA64" w14:textId="77777777" w:rsidR="00BE0EEF" w:rsidRPr="001536F8" w:rsidRDefault="00BE0EEF" w:rsidP="001536F8">
            <w:pPr>
              <w:pStyle w:val="TableText"/>
              <w:rPr>
                <w:b/>
                <w:bCs/>
              </w:rPr>
            </w:pPr>
            <w:r w:rsidRPr="001536F8">
              <w:rPr>
                <w:b/>
                <w:bCs/>
              </w:rPr>
              <w:t>Key principle 1</w:t>
            </w:r>
          </w:p>
          <w:p w14:paraId="2D0F610D" w14:textId="77777777" w:rsidR="00BE0EEF" w:rsidRPr="00BE0EEF" w:rsidRDefault="00BE0EEF" w:rsidP="001536F8">
            <w:pPr>
              <w:pStyle w:val="TableText"/>
            </w:pPr>
            <w:r w:rsidRPr="00BE0EEF">
              <w:t>Aboriginal and/or Torres Strait Islander leadership and community empowerment</w:t>
            </w:r>
          </w:p>
        </w:tc>
        <w:tc>
          <w:tcPr>
            <w:tcW w:w="3071" w:type="dxa"/>
            <w:tcBorders>
              <w:top w:val="single" w:sz="8" w:space="0" w:color="000000"/>
              <w:left w:val="single" w:sz="8" w:space="0" w:color="000000"/>
              <w:bottom w:val="single" w:sz="8" w:space="0" w:color="000000"/>
              <w:right w:val="single" w:sz="8" w:space="0" w:color="000000"/>
            </w:tcBorders>
            <w:shd w:val="clear" w:color="auto" w:fill="0196A7" w:themeFill="accent3"/>
            <w:tcMar>
              <w:top w:w="57" w:type="dxa"/>
              <w:left w:w="102" w:type="dxa"/>
              <w:bottom w:w="57" w:type="dxa"/>
              <w:right w:w="102" w:type="dxa"/>
            </w:tcMar>
            <w:hideMark/>
          </w:tcPr>
          <w:p w14:paraId="420AF794" w14:textId="77777777" w:rsidR="00BE0EEF" w:rsidRPr="00BE0EEF" w:rsidRDefault="00BE0EEF" w:rsidP="001536F8">
            <w:pPr>
              <w:pStyle w:val="TableText"/>
              <w:jc w:val="center"/>
            </w:pPr>
            <w:r w:rsidRPr="00BE0EEF">
              <w:rPr>
                <w:b/>
              </w:rPr>
              <w:t>Very</w:t>
            </w:r>
            <w:r w:rsidRPr="00BE0EEF">
              <w:t xml:space="preserve"> possible</w:t>
            </w:r>
          </w:p>
        </w:tc>
        <w:tc>
          <w:tcPr>
            <w:tcW w:w="0" w:type="auto"/>
            <w:tcBorders>
              <w:top w:val="single" w:sz="8" w:space="0" w:color="000000"/>
              <w:left w:val="single" w:sz="8" w:space="0" w:color="000000"/>
              <w:bottom w:val="single" w:sz="8" w:space="0" w:color="000000"/>
              <w:right w:val="single" w:sz="8" w:space="0" w:color="000000"/>
            </w:tcBorders>
            <w:shd w:val="clear" w:color="auto" w:fill="0196A7" w:themeFill="accent3"/>
            <w:tcMar>
              <w:top w:w="57" w:type="dxa"/>
              <w:left w:w="102" w:type="dxa"/>
              <w:bottom w:w="57" w:type="dxa"/>
              <w:right w:w="102" w:type="dxa"/>
            </w:tcMar>
            <w:hideMark/>
          </w:tcPr>
          <w:p w14:paraId="39C8CA06" w14:textId="77777777" w:rsidR="00BE0EEF" w:rsidRPr="00BE0EEF" w:rsidRDefault="00BE0EEF" w:rsidP="001536F8">
            <w:pPr>
              <w:pStyle w:val="TableText"/>
              <w:jc w:val="center"/>
            </w:pPr>
            <w:r w:rsidRPr="00BE0EEF">
              <w:rPr>
                <w:b/>
              </w:rPr>
              <w:t>Very</w:t>
            </w:r>
            <w:r w:rsidRPr="00BE0EEF">
              <w:t xml:space="preserve"> possible</w:t>
            </w:r>
          </w:p>
        </w:tc>
        <w:tc>
          <w:tcPr>
            <w:tcW w:w="2890"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66FB192D" w14:textId="77777777" w:rsidR="00BE0EEF" w:rsidRPr="00BE0EEF" w:rsidRDefault="00BE0EEF" w:rsidP="001536F8">
            <w:pPr>
              <w:pStyle w:val="TableText"/>
              <w:jc w:val="center"/>
            </w:pPr>
            <w:r w:rsidRPr="00BE0EEF">
              <w:t>Possible</w:t>
            </w:r>
          </w:p>
          <w:p w14:paraId="4A01BAC0" w14:textId="77777777" w:rsidR="00BE0EEF" w:rsidRPr="00BE0EEF" w:rsidRDefault="00BE0EEF" w:rsidP="001536F8">
            <w:pPr>
              <w:pStyle w:val="TableText"/>
              <w:jc w:val="center"/>
            </w:pPr>
            <w:r w:rsidRPr="00BE0EEF">
              <w:t>It is possible that leadership and community empowerment can be met in this model. However</w:t>
            </w:r>
            <w:r w:rsidR="00E50A2D">
              <w:t>,</w:t>
            </w:r>
            <w:r w:rsidRPr="00BE0EEF">
              <w:t xml:space="preserve"> due to the role of </w:t>
            </w:r>
            <w:r w:rsidR="00E50A2D">
              <w:t>DoHAC</w:t>
            </w:r>
            <w:r w:rsidRPr="00BE0EEF">
              <w:t>, it</w:t>
            </w:r>
            <w:r w:rsidR="005605DD">
              <w:t xml:space="preserve"> i</w:t>
            </w:r>
            <w:r w:rsidRPr="00BE0EEF">
              <w:t>s possible that this w</w:t>
            </w:r>
            <w:r w:rsidR="005605DD">
              <w:t xml:space="preserve">ill </w:t>
            </w:r>
            <w:r w:rsidR="004C08D8">
              <w:t>occur.</w:t>
            </w:r>
          </w:p>
        </w:tc>
        <w:tc>
          <w:tcPr>
            <w:tcW w:w="2512" w:type="dxa"/>
            <w:tcBorders>
              <w:top w:val="single" w:sz="8" w:space="0" w:color="000000"/>
              <w:left w:val="single" w:sz="8" w:space="0" w:color="000000"/>
              <w:bottom w:val="single" w:sz="8" w:space="0" w:color="000000"/>
              <w:right w:val="single" w:sz="8" w:space="0" w:color="000000"/>
            </w:tcBorders>
            <w:shd w:val="clear" w:color="auto" w:fill="0196A7" w:themeFill="accent3"/>
            <w:tcMar>
              <w:top w:w="57" w:type="dxa"/>
              <w:left w:w="102" w:type="dxa"/>
              <w:bottom w:w="57" w:type="dxa"/>
              <w:right w:w="102" w:type="dxa"/>
            </w:tcMar>
            <w:hideMark/>
          </w:tcPr>
          <w:p w14:paraId="3F6624B4" w14:textId="77777777" w:rsidR="00BE0EEF" w:rsidRPr="00BE0EEF" w:rsidRDefault="00BE0EEF" w:rsidP="001536F8">
            <w:pPr>
              <w:pStyle w:val="TableText"/>
              <w:jc w:val="center"/>
            </w:pPr>
            <w:r w:rsidRPr="00BE0EEF">
              <w:rPr>
                <w:b/>
              </w:rPr>
              <w:t>Very</w:t>
            </w:r>
            <w:r w:rsidRPr="00BE0EEF">
              <w:t xml:space="preserve"> possible</w:t>
            </w:r>
          </w:p>
          <w:p w14:paraId="4C9AD5C5" w14:textId="77777777" w:rsidR="00BE0EEF" w:rsidRPr="00BE0EEF" w:rsidRDefault="00BE0EEF" w:rsidP="001536F8">
            <w:pPr>
              <w:pStyle w:val="TableText"/>
              <w:jc w:val="center"/>
            </w:pPr>
          </w:p>
        </w:tc>
      </w:tr>
      <w:tr w:rsidR="003D1CAE" w:rsidRPr="00BE0EEF" w14:paraId="2DF849EF" w14:textId="77777777" w:rsidTr="00E93B27">
        <w:trPr>
          <w:cantSplit/>
          <w:trHeight w:val="400"/>
        </w:trPr>
        <w:tc>
          <w:tcPr>
            <w:tcW w:w="3370" w:type="dxa"/>
            <w:tcBorders>
              <w:top w:val="single" w:sz="8" w:space="0" w:color="000000"/>
              <w:left w:val="single" w:sz="8" w:space="0" w:color="000000"/>
              <w:bottom w:val="single" w:sz="8" w:space="0" w:color="000000"/>
              <w:right w:val="single" w:sz="8" w:space="0" w:color="000000"/>
            </w:tcBorders>
            <w:tcMar>
              <w:top w:w="57" w:type="dxa"/>
              <w:left w:w="102" w:type="dxa"/>
              <w:bottom w:w="57" w:type="dxa"/>
              <w:right w:w="102" w:type="dxa"/>
            </w:tcMar>
            <w:hideMark/>
          </w:tcPr>
          <w:p w14:paraId="261948AD" w14:textId="77777777" w:rsidR="00BE0EEF" w:rsidRPr="001536F8" w:rsidRDefault="00BE0EEF" w:rsidP="001536F8">
            <w:pPr>
              <w:pStyle w:val="TableText"/>
              <w:rPr>
                <w:b/>
                <w:bCs/>
              </w:rPr>
            </w:pPr>
            <w:r w:rsidRPr="001536F8">
              <w:rPr>
                <w:b/>
                <w:bCs/>
              </w:rPr>
              <w:t>Key principle 2</w:t>
            </w:r>
          </w:p>
          <w:p w14:paraId="3305D882" w14:textId="77777777" w:rsidR="00BE0EEF" w:rsidRPr="00BE0EEF" w:rsidRDefault="00BE0EEF" w:rsidP="001536F8">
            <w:pPr>
              <w:pStyle w:val="TableText"/>
            </w:pPr>
            <w:r w:rsidRPr="00BE0EEF">
              <w:t>A First Nation’s holistic model </w:t>
            </w:r>
          </w:p>
        </w:tc>
        <w:tc>
          <w:tcPr>
            <w:tcW w:w="3071"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024FCDE5" w14:textId="77777777" w:rsidR="00BE0EEF" w:rsidRPr="00BE0EEF" w:rsidRDefault="00BE0EEF" w:rsidP="001536F8">
            <w:pPr>
              <w:pStyle w:val="TableText"/>
              <w:jc w:val="center"/>
            </w:pPr>
            <w:r w:rsidRPr="00BE0EEF">
              <w:t>Possible</w:t>
            </w:r>
          </w:p>
        </w:tc>
        <w:tc>
          <w:tcPr>
            <w:tcW w:w="0" w:type="auto"/>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4A9A756D" w14:textId="77777777" w:rsidR="00BE0EEF" w:rsidRPr="00BE0EEF" w:rsidRDefault="00BE0EEF" w:rsidP="001536F8">
            <w:pPr>
              <w:pStyle w:val="TableText"/>
              <w:jc w:val="center"/>
            </w:pPr>
            <w:r w:rsidRPr="00BE0EEF">
              <w:t>Possible</w:t>
            </w:r>
          </w:p>
        </w:tc>
        <w:tc>
          <w:tcPr>
            <w:tcW w:w="2890"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2297A906" w14:textId="77777777" w:rsidR="00BE0EEF" w:rsidRPr="00BE0EEF" w:rsidRDefault="00BE0EEF" w:rsidP="001536F8">
            <w:pPr>
              <w:pStyle w:val="TableText"/>
              <w:jc w:val="center"/>
            </w:pPr>
            <w:r w:rsidRPr="00BE0EEF">
              <w:t>Possible</w:t>
            </w:r>
          </w:p>
        </w:tc>
        <w:tc>
          <w:tcPr>
            <w:tcW w:w="2512"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2F3C0E2B" w14:textId="77777777" w:rsidR="00BE0EEF" w:rsidRPr="00BE0EEF" w:rsidRDefault="00BE0EEF" w:rsidP="001536F8">
            <w:pPr>
              <w:pStyle w:val="TableText"/>
              <w:jc w:val="center"/>
            </w:pPr>
            <w:r w:rsidRPr="00BE0EEF">
              <w:t>Possible</w:t>
            </w:r>
          </w:p>
        </w:tc>
      </w:tr>
      <w:tr w:rsidR="003D1CAE" w:rsidRPr="00BE0EEF" w14:paraId="55297C3B" w14:textId="77777777" w:rsidTr="00E93B27">
        <w:trPr>
          <w:cantSplit/>
          <w:trHeight w:val="400"/>
        </w:trPr>
        <w:tc>
          <w:tcPr>
            <w:tcW w:w="3370" w:type="dxa"/>
            <w:tcBorders>
              <w:top w:val="single" w:sz="8" w:space="0" w:color="000000"/>
              <w:left w:val="single" w:sz="8" w:space="0" w:color="000000"/>
              <w:bottom w:val="single" w:sz="8" w:space="0" w:color="000000"/>
              <w:right w:val="single" w:sz="8" w:space="0" w:color="000000"/>
            </w:tcBorders>
            <w:tcMar>
              <w:top w:w="57" w:type="dxa"/>
              <w:left w:w="102" w:type="dxa"/>
              <w:bottom w:w="57" w:type="dxa"/>
              <w:right w:w="102" w:type="dxa"/>
            </w:tcMar>
            <w:hideMark/>
          </w:tcPr>
          <w:p w14:paraId="29392626" w14:textId="77777777" w:rsidR="00BE0EEF" w:rsidRPr="001536F8" w:rsidRDefault="00BE0EEF" w:rsidP="001536F8">
            <w:pPr>
              <w:pStyle w:val="TableText"/>
              <w:rPr>
                <w:b/>
                <w:bCs/>
              </w:rPr>
            </w:pPr>
            <w:r w:rsidRPr="001536F8">
              <w:rPr>
                <w:b/>
                <w:bCs/>
              </w:rPr>
              <w:t>Key principle 3</w:t>
            </w:r>
          </w:p>
          <w:p w14:paraId="10794EDB" w14:textId="77777777" w:rsidR="00BE0EEF" w:rsidRPr="00BE0EEF" w:rsidRDefault="00BE0EEF" w:rsidP="001536F8">
            <w:pPr>
              <w:pStyle w:val="TableText"/>
            </w:pPr>
            <w:r w:rsidRPr="00BE0EEF">
              <w:t>A strengths-based approach </w:t>
            </w:r>
          </w:p>
        </w:tc>
        <w:tc>
          <w:tcPr>
            <w:tcW w:w="3071"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18D2F33D" w14:textId="77777777" w:rsidR="00BE0EEF" w:rsidRPr="00BE0EEF" w:rsidRDefault="00BE0EEF" w:rsidP="001536F8">
            <w:pPr>
              <w:pStyle w:val="TableText"/>
              <w:jc w:val="center"/>
            </w:pPr>
            <w:r w:rsidRPr="00BE0EEF">
              <w:t>Possible</w:t>
            </w:r>
          </w:p>
        </w:tc>
        <w:tc>
          <w:tcPr>
            <w:tcW w:w="0" w:type="auto"/>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6FCA302B" w14:textId="77777777" w:rsidR="00BE0EEF" w:rsidRPr="00BE0EEF" w:rsidRDefault="00BE0EEF" w:rsidP="001536F8">
            <w:pPr>
              <w:pStyle w:val="TableText"/>
              <w:jc w:val="center"/>
            </w:pPr>
            <w:r w:rsidRPr="00BE0EEF">
              <w:t>Possible</w:t>
            </w:r>
          </w:p>
        </w:tc>
        <w:tc>
          <w:tcPr>
            <w:tcW w:w="2890"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3AA6C6A0" w14:textId="77777777" w:rsidR="00BE0EEF" w:rsidRPr="00BE0EEF" w:rsidRDefault="00BE0EEF" w:rsidP="001536F8">
            <w:pPr>
              <w:pStyle w:val="TableText"/>
              <w:jc w:val="center"/>
            </w:pPr>
            <w:r w:rsidRPr="00BE0EEF">
              <w:t>Possible</w:t>
            </w:r>
          </w:p>
        </w:tc>
        <w:tc>
          <w:tcPr>
            <w:tcW w:w="2512"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2B1EBC45" w14:textId="77777777" w:rsidR="00BE0EEF" w:rsidRPr="00BE0EEF" w:rsidRDefault="00BE0EEF" w:rsidP="001536F8">
            <w:pPr>
              <w:pStyle w:val="TableText"/>
              <w:jc w:val="center"/>
            </w:pPr>
            <w:r w:rsidRPr="00BE0EEF">
              <w:t>Possible</w:t>
            </w:r>
          </w:p>
        </w:tc>
      </w:tr>
      <w:tr w:rsidR="003D1CAE" w:rsidRPr="00BE0EEF" w14:paraId="1C58D014" w14:textId="77777777" w:rsidTr="00E93B27">
        <w:trPr>
          <w:cantSplit/>
          <w:trHeight w:val="400"/>
        </w:trPr>
        <w:tc>
          <w:tcPr>
            <w:tcW w:w="3370" w:type="dxa"/>
            <w:tcBorders>
              <w:top w:val="single" w:sz="8" w:space="0" w:color="000000"/>
              <w:left w:val="single" w:sz="8" w:space="0" w:color="000000"/>
              <w:bottom w:val="single" w:sz="8" w:space="0" w:color="000000"/>
              <w:right w:val="single" w:sz="8" w:space="0" w:color="000000"/>
            </w:tcBorders>
            <w:tcMar>
              <w:top w:w="57" w:type="dxa"/>
              <w:left w:w="102" w:type="dxa"/>
              <w:bottom w:w="57" w:type="dxa"/>
              <w:right w:w="102" w:type="dxa"/>
            </w:tcMar>
            <w:hideMark/>
          </w:tcPr>
          <w:p w14:paraId="338FC31E" w14:textId="77777777" w:rsidR="00BE0EEF" w:rsidRPr="001536F8" w:rsidRDefault="00BE0EEF" w:rsidP="001536F8">
            <w:pPr>
              <w:pStyle w:val="TableText"/>
              <w:rPr>
                <w:b/>
                <w:bCs/>
              </w:rPr>
            </w:pPr>
            <w:r w:rsidRPr="001536F8">
              <w:rPr>
                <w:b/>
                <w:bCs/>
              </w:rPr>
              <w:t>Key principle 4</w:t>
            </w:r>
          </w:p>
          <w:p w14:paraId="2D3D2E04" w14:textId="77777777" w:rsidR="00BE0EEF" w:rsidRPr="00BE0EEF" w:rsidRDefault="00BE0EEF" w:rsidP="001536F8">
            <w:pPr>
              <w:pStyle w:val="TableText"/>
            </w:pPr>
            <w:r w:rsidRPr="00BE0EEF">
              <w:t>A culturally safe and accessible system </w:t>
            </w:r>
          </w:p>
        </w:tc>
        <w:tc>
          <w:tcPr>
            <w:tcW w:w="3071"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1F1B1A4F" w14:textId="77777777" w:rsidR="00BE0EEF" w:rsidRPr="00BE0EEF" w:rsidRDefault="00BE0EEF" w:rsidP="001536F8">
            <w:pPr>
              <w:pStyle w:val="TableText"/>
              <w:jc w:val="center"/>
            </w:pPr>
            <w:r w:rsidRPr="00BE0EEF">
              <w:t>Possible</w:t>
            </w:r>
          </w:p>
        </w:tc>
        <w:tc>
          <w:tcPr>
            <w:tcW w:w="0" w:type="auto"/>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6DCD0DC8" w14:textId="77777777" w:rsidR="00BE0EEF" w:rsidRPr="00BE0EEF" w:rsidRDefault="00BE0EEF" w:rsidP="001536F8">
            <w:pPr>
              <w:pStyle w:val="TableText"/>
              <w:jc w:val="center"/>
            </w:pPr>
            <w:r w:rsidRPr="00BE0EEF">
              <w:t>Possible</w:t>
            </w:r>
          </w:p>
        </w:tc>
        <w:tc>
          <w:tcPr>
            <w:tcW w:w="2890"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6E969DA0" w14:textId="77777777" w:rsidR="00BE0EEF" w:rsidRPr="00BE0EEF" w:rsidRDefault="00BE0EEF" w:rsidP="001536F8">
            <w:pPr>
              <w:pStyle w:val="TableText"/>
              <w:jc w:val="center"/>
            </w:pPr>
            <w:r w:rsidRPr="00BE0EEF">
              <w:t>Possible</w:t>
            </w:r>
          </w:p>
        </w:tc>
        <w:tc>
          <w:tcPr>
            <w:tcW w:w="2512"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2329F997" w14:textId="77777777" w:rsidR="00BE0EEF" w:rsidRPr="00BE0EEF" w:rsidRDefault="00BE0EEF" w:rsidP="001536F8">
            <w:pPr>
              <w:pStyle w:val="TableText"/>
              <w:jc w:val="center"/>
            </w:pPr>
            <w:r w:rsidRPr="00BE0EEF">
              <w:t>Possible</w:t>
            </w:r>
          </w:p>
        </w:tc>
      </w:tr>
      <w:tr w:rsidR="00BE0EEF" w:rsidRPr="00BE0EEF" w14:paraId="485A9BC6" w14:textId="77777777" w:rsidTr="00E93B27">
        <w:trPr>
          <w:cantSplit/>
          <w:trHeight w:val="440"/>
        </w:trPr>
        <w:tc>
          <w:tcPr>
            <w:tcW w:w="14596" w:type="dxa"/>
            <w:gridSpan w:val="5"/>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57" w:type="dxa"/>
              <w:left w:w="102" w:type="dxa"/>
              <w:bottom w:w="57" w:type="dxa"/>
              <w:right w:w="102" w:type="dxa"/>
            </w:tcMar>
            <w:hideMark/>
          </w:tcPr>
          <w:p w14:paraId="163347EA" w14:textId="77777777" w:rsidR="00BE0EEF" w:rsidRPr="001536F8" w:rsidRDefault="00BE0EEF" w:rsidP="00024E8D">
            <w:pPr>
              <w:pStyle w:val="TableHeading"/>
              <w:rPr>
                <w:b/>
                <w:bCs/>
              </w:rPr>
            </w:pPr>
            <w:r w:rsidRPr="001536F8">
              <w:rPr>
                <w:b/>
                <w:bCs/>
                <w:color w:val="auto"/>
              </w:rPr>
              <w:t>Enablers of future state funding arrangements </w:t>
            </w:r>
          </w:p>
        </w:tc>
      </w:tr>
      <w:tr w:rsidR="00AC2011" w:rsidRPr="00BE0EEF" w14:paraId="23AB0244" w14:textId="77777777" w:rsidTr="00E93B27">
        <w:trPr>
          <w:cantSplit/>
          <w:trHeight w:val="240"/>
        </w:trPr>
        <w:tc>
          <w:tcPr>
            <w:tcW w:w="3370" w:type="dxa"/>
            <w:tcBorders>
              <w:top w:val="single" w:sz="8" w:space="0" w:color="000000"/>
              <w:left w:val="single" w:sz="8" w:space="0" w:color="000000"/>
              <w:bottom w:val="single" w:sz="8" w:space="0" w:color="000000"/>
              <w:right w:val="single" w:sz="8" w:space="0" w:color="000000"/>
            </w:tcBorders>
            <w:tcMar>
              <w:top w:w="57" w:type="dxa"/>
              <w:left w:w="102" w:type="dxa"/>
              <w:bottom w:w="57" w:type="dxa"/>
              <w:right w:w="102" w:type="dxa"/>
            </w:tcMar>
            <w:hideMark/>
          </w:tcPr>
          <w:p w14:paraId="5716C482" w14:textId="77777777" w:rsidR="00AC2011" w:rsidRPr="00BE0EEF" w:rsidRDefault="00AC2011" w:rsidP="00E73B5C">
            <w:pPr>
              <w:pStyle w:val="TableText"/>
            </w:pPr>
            <w:r w:rsidRPr="00BE0EEF">
              <w:t>1</w:t>
            </w:r>
            <w:r>
              <w:t xml:space="preserve"> </w:t>
            </w:r>
            <w:r w:rsidRPr="00BE0EEF">
              <w:t>– Aboriginal and/or Torres Strait Islander communities lead the process</w:t>
            </w:r>
          </w:p>
        </w:tc>
        <w:tc>
          <w:tcPr>
            <w:tcW w:w="3071"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1F7D974E" w14:textId="77777777" w:rsidR="00AC2011" w:rsidRPr="00BE0EEF" w:rsidRDefault="00AC2011" w:rsidP="00E73B5C">
            <w:pPr>
              <w:pStyle w:val="TableText"/>
              <w:jc w:val="center"/>
            </w:pPr>
            <w:r w:rsidRPr="00BE0EEF">
              <w:rPr>
                <w:color w:val="340C1A"/>
              </w:rPr>
              <w:t>Possible</w:t>
            </w:r>
          </w:p>
        </w:tc>
        <w:tc>
          <w:tcPr>
            <w:tcW w:w="0" w:type="auto"/>
            <w:tcBorders>
              <w:top w:val="single" w:sz="8" w:space="0" w:color="000000"/>
              <w:left w:val="single" w:sz="8" w:space="0" w:color="000000"/>
              <w:bottom w:val="single" w:sz="8" w:space="0" w:color="000000"/>
              <w:right w:val="single" w:sz="8" w:space="0" w:color="000000"/>
            </w:tcBorders>
            <w:shd w:val="clear" w:color="auto" w:fill="0196A7" w:themeFill="accent3"/>
            <w:tcMar>
              <w:top w:w="57" w:type="dxa"/>
              <w:left w:w="102" w:type="dxa"/>
              <w:bottom w:w="57" w:type="dxa"/>
              <w:right w:w="102" w:type="dxa"/>
            </w:tcMar>
            <w:hideMark/>
          </w:tcPr>
          <w:p w14:paraId="30224A47" w14:textId="77777777" w:rsidR="00AC2011" w:rsidRPr="00BE0EEF" w:rsidRDefault="00AC2011" w:rsidP="00E73B5C">
            <w:pPr>
              <w:pStyle w:val="TableText"/>
              <w:jc w:val="center"/>
            </w:pPr>
            <w:r w:rsidRPr="00BE0EEF">
              <w:rPr>
                <w:b/>
                <w:color w:val="340C1A"/>
              </w:rPr>
              <w:t>Very</w:t>
            </w:r>
            <w:r w:rsidRPr="00BE0EEF">
              <w:rPr>
                <w:color w:val="340C1A"/>
              </w:rPr>
              <w:t xml:space="preserve"> possible</w:t>
            </w:r>
          </w:p>
          <w:p w14:paraId="2E884F73" w14:textId="77777777" w:rsidR="00AC2011" w:rsidRPr="00BE0EEF" w:rsidRDefault="00AC2011" w:rsidP="00E73B5C">
            <w:pPr>
              <w:pStyle w:val="TableText"/>
              <w:jc w:val="center"/>
            </w:pPr>
            <w:r w:rsidRPr="00BE0EEF">
              <w:rPr>
                <w:color w:val="340C1A"/>
              </w:rPr>
              <w:t>Due to the nature of the model, local communities are much closer to the process</w:t>
            </w:r>
          </w:p>
          <w:p w14:paraId="3E5CB775" w14:textId="77777777" w:rsidR="00AC2011" w:rsidRPr="00BE0EEF" w:rsidRDefault="00AC2011" w:rsidP="00E73B5C">
            <w:pPr>
              <w:pStyle w:val="TableText"/>
              <w:jc w:val="center"/>
            </w:pPr>
          </w:p>
        </w:tc>
        <w:tc>
          <w:tcPr>
            <w:tcW w:w="2890" w:type="dxa"/>
            <w:tcBorders>
              <w:top w:val="single" w:sz="8" w:space="0" w:color="000000"/>
              <w:left w:val="single" w:sz="8" w:space="0" w:color="000000"/>
              <w:bottom w:val="single" w:sz="8" w:space="0" w:color="000000"/>
              <w:right w:val="single" w:sz="8" w:space="0" w:color="000000"/>
            </w:tcBorders>
            <w:shd w:val="clear" w:color="auto" w:fill="0196A7" w:themeFill="accent3"/>
            <w:tcMar>
              <w:top w:w="57" w:type="dxa"/>
              <w:left w:w="102" w:type="dxa"/>
              <w:bottom w:w="57" w:type="dxa"/>
              <w:right w:w="102" w:type="dxa"/>
            </w:tcMar>
            <w:hideMark/>
          </w:tcPr>
          <w:p w14:paraId="05F6E4B1" w14:textId="77777777" w:rsidR="00AC2011" w:rsidRPr="00BE0EEF" w:rsidRDefault="00AC2011" w:rsidP="00E73B5C">
            <w:pPr>
              <w:pStyle w:val="TableText"/>
              <w:jc w:val="center"/>
            </w:pPr>
            <w:r w:rsidRPr="00BE0EEF">
              <w:rPr>
                <w:b/>
                <w:color w:val="340C1A"/>
              </w:rPr>
              <w:t>Very</w:t>
            </w:r>
            <w:r w:rsidRPr="00BE0EEF">
              <w:rPr>
                <w:color w:val="340C1A"/>
              </w:rPr>
              <w:t xml:space="preserve"> possible</w:t>
            </w:r>
          </w:p>
          <w:p w14:paraId="6BAFFDF7" w14:textId="77777777" w:rsidR="00AC2011" w:rsidRPr="00BE0EEF" w:rsidRDefault="00AC2011" w:rsidP="00E73B5C">
            <w:pPr>
              <w:pStyle w:val="TableText"/>
              <w:jc w:val="center"/>
            </w:pPr>
            <w:r w:rsidRPr="00BE0EEF">
              <w:rPr>
                <w:color w:val="340C1A"/>
              </w:rPr>
              <w:t>Due to the nature of the model, local communities are much closer to the process</w:t>
            </w:r>
          </w:p>
        </w:tc>
        <w:tc>
          <w:tcPr>
            <w:tcW w:w="2512"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59AED840" w14:textId="77777777" w:rsidR="00AC2011" w:rsidRPr="00BE0EEF" w:rsidRDefault="00AC2011" w:rsidP="00E73B5C">
            <w:pPr>
              <w:pStyle w:val="TableText"/>
              <w:jc w:val="center"/>
            </w:pPr>
            <w:r w:rsidRPr="00BE0EEF">
              <w:rPr>
                <w:color w:val="340C1A"/>
              </w:rPr>
              <w:t>Possible</w:t>
            </w:r>
          </w:p>
        </w:tc>
      </w:tr>
      <w:tr w:rsidR="00AC2011" w:rsidRPr="00BE0EEF" w14:paraId="2585A2DF" w14:textId="77777777" w:rsidTr="00E93B27">
        <w:trPr>
          <w:cantSplit/>
          <w:trHeight w:val="240"/>
        </w:trPr>
        <w:tc>
          <w:tcPr>
            <w:tcW w:w="3370" w:type="dxa"/>
            <w:tcBorders>
              <w:top w:val="single" w:sz="8" w:space="0" w:color="000000"/>
              <w:left w:val="single" w:sz="8" w:space="0" w:color="000000"/>
              <w:bottom w:val="single" w:sz="8" w:space="0" w:color="000000"/>
              <w:right w:val="single" w:sz="8" w:space="0" w:color="000000"/>
            </w:tcBorders>
            <w:tcMar>
              <w:top w:w="57" w:type="dxa"/>
              <w:left w:w="102" w:type="dxa"/>
              <w:bottom w:w="57" w:type="dxa"/>
              <w:right w:w="102" w:type="dxa"/>
            </w:tcMar>
            <w:hideMark/>
          </w:tcPr>
          <w:p w14:paraId="7282BD92" w14:textId="77777777" w:rsidR="00AC2011" w:rsidRPr="00BE0EEF" w:rsidRDefault="00AC2011" w:rsidP="00E73B5C">
            <w:pPr>
              <w:pStyle w:val="TableText"/>
            </w:pPr>
            <w:r w:rsidRPr="00BE0EEF">
              <w:rPr>
                <w:color w:val="340C1A"/>
              </w:rPr>
              <w:t>2 – Place-based and Aboriginal and/or Torres Strait Islander–led governance arrangements</w:t>
            </w:r>
          </w:p>
        </w:tc>
        <w:tc>
          <w:tcPr>
            <w:tcW w:w="3071"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1CAF8633" w14:textId="77777777" w:rsidR="00AC2011" w:rsidRPr="00BE0EEF" w:rsidRDefault="00AC2011" w:rsidP="00E73B5C">
            <w:pPr>
              <w:pStyle w:val="TableText"/>
              <w:jc w:val="center"/>
            </w:pPr>
            <w:r w:rsidRPr="00BE0EEF">
              <w:rPr>
                <w:color w:val="340C1A"/>
              </w:rPr>
              <w:t>Possible</w:t>
            </w:r>
          </w:p>
        </w:tc>
        <w:tc>
          <w:tcPr>
            <w:tcW w:w="0" w:type="auto"/>
            <w:tcBorders>
              <w:top w:val="single" w:sz="8" w:space="0" w:color="000000"/>
              <w:left w:val="single" w:sz="8" w:space="0" w:color="000000"/>
              <w:bottom w:val="single" w:sz="8" w:space="0" w:color="000000"/>
              <w:right w:val="single" w:sz="8" w:space="0" w:color="000000"/>
            </w:tcBorders>
            <w:shd w:val="clear" w:color="auto" w:fill="0196A7" w:themeFill="accent3"/>
            <w:tcMar>
              <w:top w:w="57" w:type="dxa"/>
              <w:left w:w="102" w:type="dxa"/>
              <w:bottom w:w="57" w:type="dxa"/>
              <w:right w:w="102" w:type="dxa"/>
            </w:tcMar>
            <w:hideMark/>
          </w:tcPr>
          <w:p w14:paraId="14BC0542" w14:textId="77777777" w:rsidR="00AC2011" w:rsidRPr="00BE0EEF" w:rsidRDefault="00AC2011" w:rsidP="00E73B5C">
            <w:pPr>
              <w:pStyle w:val="TableText"/>
              <w:jc w:val="center"/>
            </w:pPr>
            <w:r w:rsidRPr="00BE0EEF">
              <w:rPr>
                <w:b/>
                <w:color w:val="340C1A"/>
              </w:rPr>
              <w:t>Very</w:t>
            </w:r>
            <w:r w:rsidRPr="00BE0EEF">
              <w:rPr>
                <w:color w:val="340C1A"/>
              </w:rPr>
              <w:t xml:space="preserve"> possible</w:t>
            </w:r>
          </w:p>
          <w:p w14:paraId="0C226755" w14:textId="77777777" w:rsidR="00AC2011" w:rsidRPr="00BE0EEF" w:rsidRDefault="00AC2011" w:rsidP="00E73B5C">
            <w:pPr>
              <w:pStyle w:val="TableText"/>
              <w:jc w:val="center"/>
            </w:pPr>
            <w:r w:rsidRPr="00BE0EEF">
              <w:rPr>
                <w:color w:val="340C1A"/>
              </w:rPr>
              <w:t>Due to the nature of the model, local communities are much closer to the</w:t>
            </w:r>
            <w:r>
              <w:rPr>
                <w:color w:val="340C1A"/>
              </w:rPr>
              <w:t xml:space="preserve"> </w:t>
            </w:r>
            <w:r w:rsidRPr="00BE0EEF">
              <w:rPr>
                <w:color w:val="340C1A"/>
              </w:rPr>
              <w:t>governance arrangements</w:t>
            </w:r>
          </w:p>
        </w:tc>
        <w:tc>
          <w:tcPr>
            <w:tcW w:w="2890" w:type="dxa"/>
            <w:tcBorders>
              <w:top w:val="single" w:sz="8" w:space="0" w:color="000000"/>
              <w:left w:val="single" w:sz="8" w:space="0" w:color="000000"/>
              <w:bottom w:val="single" w:sz="8" w:space="0" w:color="000000"/>
              <w:right w:val="single" w:sz="8" w:space="0" w:color="000000"/>
            </w:tcBorders>
            <w:shd w:val="clear" w:color="auto" w:fill="0196A7" w:themeFill="accent3"/>
            <w:tcMar>
              <w:top w:w="57" w:type="dxa"/>
              <w:left w:w="102" w:type="dxa"/>
              <w:bottom w:w="57" w:type="dxa"/>
              <w:right w:w="102" w:type="dxa"/>
            </w:tcMar>
            <w:hideMark/>
          </w:tcPr>
          <w:p w14:paraId="1EE2DDC1" w14:textId="77777777" w:rsidR="00AC2011" w:rsidRPr="00BE0EEF" w:rsidRDefault="00AC2011" w:rsidP="00E73B5C">
            <w:pPr>
              <w:pStyle w:val="TableText"/>
              <w:jc w:val="center"/>
            </w:pPr>
            <w:r w:rsidRPr="00BE0EEF">
              <w:rPr>
                <w:b/>
                <w:color w:val="340C1A"/>
              </w:rPr>
              <w:t>Very</w:t>
            </w:r>
            <w:r w:rsidRPr="00BE0EEF">
              <w:rPr>
                <w:color w:val="340C1A"/>
              </w:rPr>
              <w:t xml:space="preserve"> possible</w:t>
            </w:r>
          </w:p>
          <w:p w14:paraId="0061FF99" w14:textId="77777777" w:rsidR="00AC2011" w:rsidRPr="00BE0EEF" w:rsidRDefault="00AC2011" w:rsidP="00E73B5C">
            <w:pPr>
              <w:pStyle w:val="TableText"/>
              <w:jc w:val="center"/>
            </w:pPr>
            <w:r w:rsidRPr="00BE0EEF">
              <w:rPr>
                <w:color w:val="340C1A"/>
              </w:rPr>
              <w:t>Due to the nature of the model, local communities are much closer to the</w:t>
            </w:r>
            <w:r>
              <w:rPr>
                <w:color w:val="340C1A"/>
              </w:rPr>
              <w:t xml:space="preserve"> </w:t>
            </w:r>
            <w:r w:rsidRPr="00BE0EEF">
              <w:rPr>
                <w:color w:val="340C1A"/>
              </w:rPr>
              <w:t>governance arrangements</w:t>
            </w:r>
          </w:p>
        </w:tc>
        <w:tc>
          <w:tcPr>
            <w:tcW w:w="2512"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4A9732D3" w14:textId="77777777" w:rsidR="00AC2011" w:rsidRPr="00BE0EEF" w:rsidRDefault="00AC2011" w:rsidP="00E73B5C">
            <w:pPr>
              <w:pStyle w:val="TableText"/>
              <w:jc w:val="center"/>
            </w:pPr>
            <w:r w:rsidRPr="00BE0EEF">
              <w:rPr>
                <w:color w:val="340C1A"/>
              </w:rPr>
              <w:t>Possible</w:t>
            </w:r>
          </w:p>
        </w:tc>
      </w:tr>
      <w:tr w:rsidR="00AC2011" w:rsidRPr="00BE0EEF" w14:paraId="7176356E" w14:textId="77777777" w:rsidTr="00E93B27">
        <w:trPr>
          <w:cantSplit/>
        </w:trPr>
        <w:tc>
          <w:tcPr>
            <w:tcW w:w="337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02" w:type="dxa"/>
              <w:bottom w:w="57" w:type="dxa"/>
              <w:right w:w="102" w:type="dxa"/>
            </w:tcMar>
            <w:hideMark/>
          </w:tcPr>
          <w:p w14:paraId="12C5FB30" w14:textId="77777777" w:rsidR="00AC2011" w:rsidRPr="00BE0EEF" w:rsidRDefault="008775D2" w:rsidP="00E73B5C">
            <w:pPr>
              <w:pStyle w:val="TableText"/>
            </w:pPr>
            <w:r>
              <w:t>3</w:t>
            </w:r>
            <w:r w:rsidR="00AC2011">
              <w:t xml:space="preserve"> </w:t>
            </w:r>
            <w:r w:rsidR="00AC2011" w:rsidRPr="00BE0EEF">
              <w:t>– Ongoing and accessible feedback mechanisms</w:t>
            </w:r>
          </w:p>
        </w:tc>
        <w:tc>
          <w:tcPr>
            <w:tcW w:w="3071"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5042206D" w14:textId="77777777" w:rsidR="00AC2011" w:rsidRPr="00BE0EEF" w:rsidRDefault="00AC2011" w:rsidP="00E73B5C">
            <w:pPr>
              <w:pStyle w:val="TableText"/>
              <w:jc w:val="center"/>
            </w:pPr>
            <w:r w:rsidRPr="00BE0EEF">
              <w:t>Possible</w:t>
            </w:r>
          </w:p>
        </w:tc>
        <w:tc>
          <w:tcPr>
            <w:tcW w:w="0" w:type="auto"/>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13E2D416" w14:textId="77777777" w:rsidR="00AC2011" w:rsidRPr="00BE0EEF" w:rsidRDefault="00AC2011" w:rsidP="00E73B5C">
            <w:pPr>
              <w:pStyle w:val="TableText"/>
              <w:jc w:val="center"/>
            </w:pPr>
            <w:r w:rsidRPr="00BE0EEF">
              <w:t>Possible</w:t>
            </w:r>
          </w:p>
        </w:tc>
        <w:tc>
          <w:tcPr>
            <w:tcW w:w="2890"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7FEF0556" w14:textId="77777777" w:rsidR="00AC2011" w:rsidRPr="00BE0EEF" w:rsidRDefault="00AC2011" w:rsidP="00E73B5C">
            <w:pPr>
              <w:pStyle w:val="TableText"/>
              <w:jc w:val="center"/>
            </w:pPr>
            <w:r w:rsidRPr="00BE0EEF">
              <w:t>Possible</w:t>
            </w:r>
          </w:p>
        </w:tc>
        <w:tc>
          <w:tcPr>
            <w:tcW w:w="2512"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0FACC109" w14:textId="77777777" w:rsidR="00AC2011" w:rsidRPr="00BE0EEF" w:rsidRDefault="00AC2011" w:rsidP="00E73B5C">
            <w:pPr>
              <w:pStyle w:val="TableText"/>
              <w:jc w:val="center"/>
            </w:pPr>
            <w:r w:rsidRPr="00BE0EEF">
              <w:t>Possible</w:t>
            </w:r>
          </w:p>
        </w:tc>
      </w:tr>
      <w:tr w:rsidR="003D1CAE" w:rsidRPr="00BE0EEF" w14:paraId="5390EB14" w14:textId="77777777" w:rsidTr="00E93B27">
        <w:trPr>
          <w:cantSplit/>
        </w:trPr>
        <w:tc>
          <w:tcPr>
            <w:tcW w:w="337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02" w:type="dxa"/>
              <w:bottom w:w="57" w:type="dxa"/>
              <w:right w:w="102" w:type="dxa"/>
            </w:tcMar>
            <w:hideMark/>
          </w:tcPr>
          <w:p w14:paraId="5EECC1E2" w14:textId="77777777" w:rsidR="00E50A2D" w:rsidRPr="00BE0EEF" w:rsidRDefault="008775D2" w:rsidP="00E73B5C">
            <w:pPr>
              <w:pStyle w:val="TableText"/>
            </w:pPr>
            <w:r>
              <w:t>4</w:t>
            </w:r>
            <w:r w:rsidR="00E50A2D" w:rsidRPr="00BE0EEF">
              <w:t xml:space="preserve"> – Data sovereignty</w:t>
            </w:r>
          </w:p>
        </w:tc>
        <w:tc>
          <w:tcPr>
            <w:tcW w:w="3071"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3BD6DDC8" w14:textId="77777777" w:rsidR="00E50A2D" w:rsidRPr="00BE0EEF" w:rsidRDefault="00E50A2D" w:rsidP="00E73B5C">
            <w:pPr>
              <w:pStyle w:val="TableText"/>
              <w:jc w:val="center"/>
            </w:pPr>
            <w:r w:rsidRPr="00BE0EEF">
              <w:t>Possible</w:t>
            </w:r>
          </w:p>
        </w:tc>
        <w:tc>
          <w:tcPr>
            <w:tcW w:w="0" w:type="auto"/>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3D0723F6" w14:textId="77777777" w:rsidR="00E50A2D" w:rsidRPr="00BE0EEF" w:rsidRDefault="00E50A2D" w:rsidP="00E73B5C">
            <w:pPr>
              <w:pStyle w:val="TableText"/>
              <w:jc w:val="center"/>
            </w:pPr>
            <w:r w:rsidRPr="00BE0EEF">
              <w:t>Possible</w:t>
            </w:r>
          </w:p>
        </w:tc>
        <w:tc>
          <w:tcPr>
            <w:tcW w:w="2890" w:type="dxa"/>
            <w:tcBorders>
              <w:top w:val="single" w:sz="8" w:space="0" w:color="000000"/>
              <w:left w:val="single" w:sz="8" w:space="0" w:color="000000"/>
              <w:bottom w:val="single" w:sz="8" w:space="0" w:color="000000"/>
              <w:right w:val="single" w:sz="8" w:space="0" w:color="000000"/>
            </w:tcBorders>
            <w:shd w:val="clear" w:color="auto" w:fill="EFA31F" w:themeFill="background2"/>
            <w:tcMar>
              <w:top w:w="57" w:type="dxa"/>
              <w:left w:w="102" w:type="dxa"/>
              <w:bottom w:w="57" w:type="dxa"/>
              <w:right w:w="102" w:type="dxa"/>
            </w:tcMar>
            <w:hideMark/>
          </w:tcPr>
          <w:p w14:paraId="55FB7A32" w14:textId="77777777" w:rsidR="00E50A2D" w:rsidRPr="00BE0EEF" w:rsidRDefault="00E50A2D" w:rsidP="00E73B5C">
            <w:pPr>
              <w:pStyle w:val="TableText"/>
              <w:jc w:val="center"/>
            </w:pPr>
            <w:r>
              <w:rPr>
                <w:b/>
              </w:rPr>
              <w:t>Marginally</w:t>
            </w:r>
            <w:r w:rsidRPr="00BE0EEF">
              <w:t xml:space="preserve"> possible</w:t>
            </w:r>
          </w:p>
          <w:p w14:paraId="2B8BA43C" w14:textId="77777777" w:rsidR="00E50A2D" w:rsidRPr="00BE0EEF" w:rsidRDefault="00E50A2D" w:rsidP="00E73B5C">
            <w:pPr>
              <w:pStyle w:val="TableText"/>
              <w:jc w:val="center"/>
            </w:pPr>
            <w:r w:rsidRPr="00BE0EEF">
              <w:t xml:space="preserve">Due to the role of </w:t>
            </w:r>
            <w:r w:rsidR="00140DE5">
              <w:t>DoHAC</w:t>
            </w:r>
            <w:r>
              <w:t xml:space="preserve">, it is </w:t>
            </w:r>
            <w:r w:rsidRPr="00BE0EEF">
              <w:t xml:space="preserve">possible that this </w:t>
            </w:r>
            <w:r>
              <w:t>will not</w:t>
            </w:r>
            <w:r w:rsidRPr="00BE0EEF">
              <w:t xml:space="preserve"> be upheld</w:t>
            </w:r>
          </w:p>
        </w:tc>
        <w:tc>
          <w:tcPr>
            <w:tcW w:w="2512"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272863FF" w14:textId="77777777" w:rsidR="00E50A2D" w:rsidRPr="00BE0EEF" w:rsidRDefault="00E50A2D" w:rsidP="00E73B5C">
            <w:pPr>
              <w:pStyle w:val="TableText"/>
              <w:jc w:val="center"/>
            </w:pPr>
            <w:r w:rsidRPr="00BE0EEF">
              <w:t>Possible</w:t>
            </w:r>
          </w:p>
        </w:tc>
      </w:tr>
      <w:tr w:rsidR="003D1CAE" w:rsidRPr="00BE0EEF" w14:paraId="1CF24E6E" w14:textId="77777777" w:rsidTr="00E93B27">
        <w:trPr>
          <w:cantSplit/>
        </w:trPr>
        <w:tc>
          <w:tcPr>
            <w:tcW w:w="337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02" w:type="dxa"/>
              <w:bottom w:w="57" w:type="dxa"/>
              <w:right w:w="102" w:type="dxa"/>
            </w:tcMar>
            <w:hideMark/>
          </w:tcPr>
          <w:p w14:paraId="79973601" w14:textId="77777777" w:rsidR="00E50A2D" w:rsidRPr="00BE0EEF" w:rsidRDefault="008775D2" w:rsidP="00E73B5C">
            <w:pPr>
              <w:pStyle w:val="TableText"/>
            </w:pPr>
            <w:r>
              <w:t>5</w:t>
            </w:r>
            <w:r w:rsidR="00E50A2D" w:rsidRPr="00BE0EEF">
              <w:t xml:space="preserve"> – A true understanding and use of partnerships/co-design</w:t>
            </w:r>
          </w:p>
        </w:tc>
        <w:tc>
          <w:tcPr>
            <w:tcW w:w="3071"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38FFB91A" w14:textId="77777777" w:rsidR="00E50A2D" w:rsidRPr="00BE0EEF" w:rsidRDefault="00E50A2D" w:rsidP="00E73B5C">
            <w:pPr>
              <w:pStyle w:val="TableText"/>
              <w:jc w:val="center"/>
            </w:pPr>
            <w:r w:rsidRPr="00BE0EEF">
              <w:t>Possible</w:t>
            </w:r>
          </w:p>
        </w:tc>
        <w:tc>
          <w:tcPr>
            <w:tcW w:w="0" w:type="auto"/>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456CF422" w14:textId="77777777" w:rsidR="00E50A2D" w:rsidRPr="00BE0EEF" w:rsidRDefault="00E50A2D" w:rsidP="00E73B5C">
            <w:pPr>
              <w:pStyle w:val="TableText"/>
              <w:jc w:val="center"/>
            </w:pPr>
            <w:r w:rsidRPr="00BE0EEF">
              <w:t>Possible</w:t>
            </w:r>
          </w:p>
        </w:tc>
        <w:tc>
          <w:tcPr>
            <w:tcW w:w="2890" w:type="dxa"/>
            <w:tcBorders>
              <w:top w:val="single" w:sz="8" w:space="0" w:color="000000"/>
              <w:left w:val="single" w:sz="8" w:space="0" w:color="000000"/>
              <w:bottom w:val="single" w:sz="8" w:space="0" w:color="000000"/>
              <w:right w:val="single" w:sz="8" w:space="0" w:color="000000"/>
            </w:tcBorders>
            <w:shd w:val="clear" w:color="auto" w:fill="EFA31F" w:themeFill="background2"/>
            <w:tcMar>
              <w:top w:w="57" w:type="dxa"/>
              <w:left w:w="102" w:type="dxa"/>
              <w:bottom w:w="57" w:type="dxa"/>
              <w:right w:w="102" w:type="dxa"/>
            </w:tcMar>
            <w:hideMark/>
          </w:tcPr>
          <w:p w14:paraId="7FDEA672" w14:textId="77777777" w:rsidR="00E50A2D" w:rsidRPr="00BE0EEF" w:rsidRDefault="00E50A2D" w:rsidP="00E73B5C">
            <w:pPr>
              <w:pStyle w:val="TableText"/>
              <w:jc w:val="center"/>
            </w:pPr>
            <w:r>
              <w:rPr>
                <w:b/>
              </w:rPr>
              <w:t>Marginally</w:t>
            </w:r>
            <w:r w:rsidRPr="00BE0EEF">
              <w:t xml:space="preserve"> possible</w:t>
            </w:r>
          </w:p>
          <w:p w14:paraId="1BA46B69" w14:textId="77777777" w:rsidR="00E50A2D" w:rsidRPr="00BE0EEF" w:rsidRDefault="00E50A2D" w:rsidP="00E73B5C">
            <w:pPr>
              <w:pStyle w:val="TableText"/>
              <w:jc w:val="center"/>
            </w:pPr>
            <w:r w:rsidRPr="00BE0EEF">
              <w:t xml:space="preserve">Due to the role of </w:t>
            </w:r>
            <w:r w:rsidR="00140DE5">
              <w:t>DoHAC</w:t>
            </w:r>
            <w:r w:rsidRPr="00BE0EEF">
              <w:t>, it’s possible that this w</w:t>
            </w:r>
            <w:r w:rsidR="00140DE5">
              <w:t>ill not</w:t>
            </w:r>
            <w:r w:rsidRPr="00BE0EEF">
              <w:t xml:space="preserve"> be upheld</w:t>
            </w:r>
          </w:p>
        </w:tc>
        <w:tc>
          <w:tcPr>
            <w:tcW w:w="2512"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0DB968B3" w14:textId="77777777" w:rsidR="00E50A2D" w:rsidRPr="00BE0EEF" w:rsidRDefault="00E50A2D" w:rsidP="00E73B5C">
            <w:pPr>
              <w:pStyle w:val="TableText"/>
              <w:jc w:val="center"/>
            </w:pPr>
            <w:r w:rsidRPr="00BE0EEF">
              <w:t>Possible</w:t>
            </w:r>
          </w:p>
        </w:tc>
      </w:tr>
      <w:tr w:rsidR="003D1CAE" w:rsidRPr="00BE0EEF" w14:paraId="573501A1" w14:textId="77777777" w:rsidTr="00E93B27">
        <w:trPr>
          <w:cantSplit/>
        </w:trPr>
        <w:tc>
          <w:tcPr>
            <w:tcW w:w="337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02" w:type="dxa"/>
              <w:bottom w:w="57" w:type="dxa"/>
              <w:right w:w="102" w:type="dxa"/>
            </w:tcMar>
            <w:hideMark/>
          </w:tcPr>
          <w:p w14:paraId="16B79CAB" w14:textId="77777777" w:rsidR="00E50A2D" w:rsidRPr="00BE0EEF" w:rsidRDefault="008775D2" w:rsidP="00E73B5C">
            <w:pPr>
              <w:pStyle w:val="TableText"/>
            </w:pPr>
            <w:r>
              <w:t>6</w:t>
            </w:r>
            <w:r w:rsidR="00E50A2D" w:rsidRPr="00BE0EEF">
              <w:t xml:space="preserve"> – Longer funding cycles </w:t>
            </w:r>
          </w:p>
        </w:tc>
        <w:tc>
          <w:tcPr>
            <w:tcW w:w="3071" w:type="dxa"/>
            <w:tcBorders>
              <w:top w:val="single" w:sz="8" w:space="0" w:color="000000"/>
              <w:left w:val="single" w:sz="8" w:space="0" w:color="000000"/>
              <w:bottom w:val="single" w:sz="8" w:space="0" w:color="000000"/>
              <w:right w:val="single" w:sz="8" w:space="0" w:color="000000"/>
            </w:tcBorders>
            <w:shd w:val="clear" w:color="auto" w:fill="98002E" w:themeFill="text2"/>
            <w:tcMar>
              <w:top w:w="57" w:type="dxa"/>
              <w:left w:w="102" w:type="dxa"/>
              <w:bottom w:w="57" w:type="dxa"/>
              <w:right w:w="102" w:type="dxa"/>
            </w:tcMar>
            <w:hideMark/>
          </w:tcPr>
          <w:p w14:paraId="1D020345" w14:textId="77777777" w:rsidR="00E50A2D" w:rsidRPr="00E73B5C" w:rsidRDefault="00E50A2D" w:rsidP="00E73B5C">
            <w:pPr>
              <w:pStyle w:val="TableText"/>
              <w:jc w:val="center"/>
              <w:rPr>
                <w:b/>
                <w:bCs/>
              </w:rPr>
            </w:pPr>
            <w:r w:rsidRPr="00E73B5C">
              <w:rPr>
                <w:b/>
                <w:bCs/>
              </w:rPr>
              <w:t>N/A</w:t>
            </w:r>
          </w:p>
          <w:p w14:paraId="71443BEA" w14:textId="77777777" w:rsidR="00E50A2D" w:rsidRPr="00BE0EEF" w:rsidRDefault="00E50A2D" w:rsidP="00E73B5C">
            <w:pPr>
              <w:pStyle w:val="TableText"/>
              <w:jc w:val="center"/>
            </w:pPr>
            <w:r w:rsidRPr="00BE0EEF">
              <w:t xml:space="preserve">Sits with </w:t>
            </w:r>
            <w:r w:rsidR="00140DE5">
              <w:t>DoHAC</w:t>
            </w:r>
          </w:p>
        </w:tc>
        <w:tc>
          <w:tcPr>
            <w:tcW w:w="0" w:type="auto"/>
            <w:tcBorders>
              <w:top w:val="single" w:sz="8" w:space="0" w:color="000000"/>
              <w:left w:val="single" w:sz="8" w:space="0" w:color="000000"/>
              <w:bottom w:val="single" w:sz="8" w:space="0" w:color="000000"/>
              <w:right w:val="single" w:sz="8" w:space="0" w:color="000000"/>
            </w:tcBorders>
            <w:shd w:val="clear" w:color="auto" w:fill="98002E" w:themeFill="text2"/>
            <w:tcMar>
              <w:top w:w="57" w:type="dxa"/>
              <w:left w:w="102" w:type="dxa"/>
              <w:bottom w:w="57" w:type="dxa"/>
              <w:right w:w="102" w:type="dxa"/>
            </w:tcMar>
            <w:hideMark/>
          </w:tcPr>
          <w:p w14:paraId="61BB75A5" w14:textId="77777777" w:rsidR="00E50A2D" w:rsidRPr="00E73B5C" w:rsidRDefault="00E50A2D" w:rsidP="00E73B5C">
            <w:pPr>
              <w:pStyle w:val="TableText"/>
              <w:jc w:val="center"/>
              <w:rPr>
                <w:b/>
                <w:bCs/>
              </w:rPr>
            </w:pPr>
            <w:r w:rsidRPr="00E73B5C">
              <w:rPr>
                <w:b/>
                <w:bCs/>
              </w:rPr>
              <w:t>N/A</w:t>
            </w:r>
          </w:p>
          <w:p w14:paraId="6F9D1B85" w14:textId="77777777" w:rsidR="00E50A2D" w:rsidRPr="00BE0EEF" w:rsidRDefault="00E50A2D" w:rsidP="00E73B5C">
            <w:pPr>
              <w:pStyle w:val="TableText"/>
              <w:jc w:val="center"/>
            </w:pPr>
            <w:r w:rsidRPr="00BE0EEF">
              <w:t xml:space="preserve">Sits with </w:t>
            </w:r>
            <w:r w:rsidR="00140DE5">
              <w:t>DoHAC</w:t>
            </w:r>
          </w:p>
        </w:tc>
        <w:tc>
          <w:tcPr>
            <w:tcW w:w="2890" w:type="dxa"/>
            <w:tcBorders>
              <w:top w:val="single" w:sz="8" w:space="0" w:color="000000"/>
              <w:left w:val="single" w:sz="8" w:space="0" w:color="000000"/>
              <w:bottom w:val="single" w:sz="8" w:space="0" w:color="000000"/>
              <w:right w:val="single" w:sz="8" w:space="0" w:color="000000"/>
            </w:tcBorders>
            <w:shd w:val="clear" w:color="auto" w:fill="98002E" w:themeFill="text2"/>
            <w:tcMar>
              <w:top w:w="57" w:type="dxa"/>
              <w:left w:w="102" w:type="dxa"/>
              <w:bottom w:w="57" w:type="dxa"/>
              <w:right w:w="102" w:type="dxa"/>
            </w:tcMar>
            <w:hideMark/>
          </w:tcPr>
          <w:p w14:paraId="7935C2B0" w14:textId="77777777" w:rsidR="00E50A2D" w:rsidRPr="00E73B5C" w:rsidRDefault="00E50A2D" w:rsidP="00E73B5C">
            <w:pPr>
              <w:pStyle w:val="TableText"/>
              <w:jc w:val="center"/>
              <w:rPr>
                <w:b/>
                <w:bCs/>
              </w:rPr>
            </w:pPr>
            <w:r w:rsidRPr="00E73B5C">
              <w:rPr>
                <w:b/>
                <w:bCs/>
              </w:rPr>
              <w:t>N/A</w:t>
            </w:r>
          </w:p>
          <w:p w14:paraId="1E7AC011" w14:textId="77777777" w:rsidR="00E50A2D" w:rsidRPr="00BE0EEF" w:rsidRDefault="00E50A2D" w:rsidP="00E73B5C">
            <w:pPr>
              <w:pStyle w:val="TableText"/>
              <w:jc w:val="center"/>
            </w:pPr>
            <w:r w:rsidRPr="00BE0EEF">
              <w:t xml:space="preserve">Sits with </w:t>
            </w:r>
            <w:r w:rsidR="00140DE5">
              <w:t>DoHAC</w:t>
            </w:r>
          </w:p>
        </w:tc>
        <w:tc>
          <w:tcPr>
            <w:tcW w:w="2512" w:type="dxa"/>
            <w:tcBorders>
              <w:top w:val="single" w:sz="8" w:space="0" w:color="000000"/>
              <w:left w:val="single" w:sz="8" w:space="0" w:color="000000"/>
              <w:bottom w:val="single" w:sz="8" w:space="0" w:color="000000"/>
              <w:right w:val="single" w:sz="8" w:space="0" w:color="000000"/>
            </w:tcBorders>
            <w:shd w:val="clear" w:color="auto" w:fill="98002E" w:themeFill="text2"/>
            <w:tcMar>
              <w:top w:w="57" w:type="dxa"/>
              <w:left w:w="102" w:type="dxa"/>
              <w:bottom w:w="57" w:type="dxa"/>
              <w:right w:w="102" w:type="dxa"/>
            </w:tcMar>
            <w:hideMark/>
          </w:tcPr>
          <w:p w14:paraId="662715D4" w14:textId="77777777" w:rsidR="00E50A2D" w:rsidRPr="00E73B5C" w:rsidRDefault="00E50A2D" w:rsidP="00E73B5C">
            <w:pPr>
              <w:pStyle w:val="TableText"/>
              <w:jc w:val="center"/>
              <w:rPr>
                <w:b/>
                <w:bCs/>
              </w:rPr>
            </w:pPr>
            <w:r w:rsidRPr="00E73B5C">
              <w:rPr>
                <w:b/>
                <w:bCs/>
              </w:rPr>
              <w:t>N/A</w:t>
            </w:r>
          </w:p>
          <w:p w14:paraId="047D5510" w14:textId="77777777" w:rsidR="00E50A2D" w:rsidRPr="00BE0EEF" w:rsidRDefault="00E50A2D" w:rsidP="00E73B5C">
            <w:pPr>
              <w:pStyle w:val="TableText"/>
              <w:jc w:val="center"/>
            </w:pPr>
            <w:r w:rsidRPr="00BE0EEF">
              <w:t xml:space="preserve">Sits with </w:t>
            </w:r>
            <w:r w:rsidR="00140DE5">
              <w:t>DoHAC</w:t>
            </w:r>
          </w:p>
        </w:tc>
      </w:tr>
      <w:tr w:rsidR="003D1CAE" w:rsidRPr="00BE0EEF" w14:paraId="36F086B3" w14:textId="77777777" w:rsidTr="00E93B27">
        <w:trPr>
          <w:cantSplit/>
        </w:trPr>
        <w:tc>
          <w:tcPr>
            <w:tcW w:w="337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02" w:type="dxa"/>
              <w:bottom w:w="57" w:type="dxa"/>
              <w:right w:w="102" w:type="dxa"/>
            </w:tcMar>
            <w:hideMark/>
          </w:tcPr>
          <w:p w14:paraId="278C6DE2" w14:textId="77777777" w:rsidR="00E50A2D" w:rsidRPr="00BE0EEF" w:rsidRDefault="008775D2" w:rsidP="00E73B5C">
            <w:pPr>
              <w:pStyle w:val="TableText"/>
            </w:pPr>
            <w:r>
              <w:t>7</w:t>
            </w:r>
            <w:r w:rsidR="00E50A2D" w:rsidRPr="00BE0EEF">
              <w:t xml:space="preserve"> – Universal coverage with no geographical gaps</w:t>
            </w:r>
          </w:p>
        </w:tc>
        <w:tc>
          <w:tcPr>
            <w:tcW w:w="3071" w:type="dxa"/>
            <w:tcBorders>
              <w:top w:val="single" w:sz="8" w:space="0" w:color="000000"/>
              <w:left w:val="single" w:sz="8" w:space="0" w:color="000000"/>
              <w:bottom w:val="single" w:sz="8" w:space="0" w:color="000000"/>
              <w:right w:val="single" w:sz="8" w:space="0" w:color="000000"/>
            </w:tcBorders>
            <w:shd w:val="clear" w:color="auto" w:fill="98002E" w:themeFill="text2"/>
            <w:tcMar>
              <w:top w:w="57" w:type="dxa"/>
              <w:left w:w="102" w:type="dxa"/>
              <w:bottom w:w="57" w:type="dxa"/>
              <w:right w:w="102" w:type="dxa"/>
            </w:tcMar>
            <w:hideMark/>
          </w:tcPr>
          <w:p w14:paraId="51603C42" w14:textId="77777777" w:rsidR="00E50A2D" w:rsidRPr="00E73B5C" w:rsidRDefault="00E50A2D" w:rsidP="00E73B5C">
            <w:pPr>
              <w:pStyle w:val="TableText"/>
              <w:jc w:val="center"/>
              <w:rPr>
                <w:b/>
                <w:bCs/>
              </w:rPr>
            </w:pPr>
            <w:r w:rsidRPr="00E73B5C">
              <w:rPr>
                <w:b/>
                <w:bCs/>
              </w:rPr>
              <w:t>N/A</w:t>
            </w:r>
          </w:p>
          <w:p w14:paraId="73F4A2EA" w14:textId="77777777" w:rsidR="00E50A2D" w:rsidRPr="00BE0EEF" w:rsidRDefault="00E50A2D" w:rsidP="00E73B5C">
            <w:pPr>
              <w:pStyle w:val="TableText"/>
              <w:jc w:val="center"/>
            </w:pPr>
            <w:r w:rsidRPr="00BE0EEF">
              <w:t xml:space="preserve">Sits with </w:t>
            </w:r>
            <w:r w:rsidR="00140DE5">
              <w:t>DoHAC</w:t>
            </w:r>
          </w:p>
        </w:tc>
        <w:tc>
          <w:tcPr>
            <w:tcW w:w="0" w:type="auto"/>
            <w:tcBorders>
              <w:top w:val="single" w:sz="8" w:space="0" w:color="000000"/>
              <w:left w:val="single" w:sz="8" w:space="0" w:color="000000"/>
              <w:bottom w:val="single" w:sz="8" w:space="0" w:color="000000"/>
              <w:right w:val="single" w:sz="8" w:space="0" w:color="000000"/>
            </w:tcBorders>
            <w:shd w:val="clear" w:color="auto" w:fill="98002E" w:themeFill="text2"/>
            <w:tcMar>
              <w:top w:w="57" w:type="dxa"/>
              <w:left w:w="102" w:type="dxa"/>
              <w:bottom w:w="57" w:type="dxa"/>
              <w:right w:w="102" w:type="dxa"/>
            </w:tcMar>
            <w:hideMark/>
          </w:tcPr>
          <w:p w14:paraId="0B1ADD47" w14:textId="77777777" w:rsidR="00E50A2D" w:rsidRPr="00E73B5C" w:rsidRDefault="00E50A2D" w:rsidP="00E73B5C">
            <w:pPr>
              <w:pStyle w:val="TableText"/>
              <w:jc w:val="center"/>
              <w:rPr>
                <w:b/>
                <w:bCs/>
              </w:rPr>
            </w:pPr>
            <w:r w:rsidRPr="00E73B5C">
              <w:rPr>
                <w:b/>
                <w:bCs/>
              </w:rPr>
              <w:t>N/A</w:t>
            </w:r>
          </w:p>
          <w:p w14:paraId="20A7A06C" w14:textId="77777777" w:rsidR="00E50A2D" w:rsidRPr="00BE0EEF" w:rsidRDefault="00E50A2D" w:rsidP="00E73B5C">
            <w:pPr>
              <w:pStyle w:val="TableText"/>
              <w:jc w:val="center"/>
            </w:pPr>
            <w:r w:rsidRPr="00BE0EEF">
              <w:t xml:space="preserve">Sits with </w:t>
            </w:r>
            <w:r w:rsidR="00140DE5">
              <w:t>DoHAC</w:t>
            </w:r>
          </w:p>
        </w:tc>
        <w:tc>
          <w:tcPr>
            <w:tcW w:w="2890" w:type="dxa"/>
            <w:tcBorders>
              <w:top w:val="single" w:sz="8" w:space="0" w:color="000000"/>
              <w:left w:val="single" w:sz="8" w:space="0" w:color="000000"/>
              <w:bottom w:val="single" w:sz="8" w:space="0" w:color="000000"/>
              <w:right w:val="single" w:sz="8" w:space="0" w:color="000000"/>
            </w:tcBorders>
            <w:shd w:val="clear" w:color="auto" w:fill="98002E" w:themeFill="text2"/>
            <w:tcMar>
              <w:top w:w="57" w:type="dxa"/>
              <w:left w:w="102" w:type="dxa"/>
              <w:bottom w:w="57" w:type="dxa"/>
              <w:right w:w="102" w:type="dxa"/>
            </w:tcMar>
            <w:hideMark/>
          </w:tcPr>
          <w:p w14:paraId="59C2087A" w14:textId="77777777" w:rsidR="00E50A2D" w:rsidRPr="00E73B5C" w:rsidRDefault="00E50A2D" w:rsidP="00E73B5C">
            <w:pPr>
              <w:pStyle w:val="TableText"/>
              <w:jc w:val="center"/>
              <w:rPr>
                <w:b/>
                <w:bCs/>
              </w:rPr>
            </w:pPr>
            <w:r w:rsidRPr="00E73B5C">
              <w:rPr>
                <w:b/>
                <w:bCs/>
              </w:rPr>
              <w:t>N/A</w:t>
            </w:r>
          </w:p>
          <w:p w14:paraId="03CC27D6" w14:textId="77777777" w:rsidR="00E50A2D" w:rsidRPr="00BE0EEF" w:rsidRDefault="00E50A2D" w:rsidP="00E73B5C">
            <w:pPr>
              <w:pStyle w:val="TableText"/>
              <w:jc w:val="center"/>
            </w:pPr>
            <w:r w:rsidRPr="00BE0EEF">
              <w:t xml:space="preserve">Sits with </w:t>
            </w:r>
            <w:r w:rsidR="00140DE5">
              <w:t>DoHAC</w:t>
            </w:r>
          </w:p>
        </w:tc>
        <w:tc>
          <w:tcPr>
            <w:tcW w:w="2512" w:type="dxa"/>
            <w:tcBorders>
              <w:top w:val="single" w:sz="8" w:space="0" w:color="000000"/>
              <w:left w:val="single" w:sz="8" w:space="0" w:color="000000"/>
              <w:bottom w:val="single" w:sz="8" w:space="0" w:color="000000"/>
              <w:right w:val="single" w:sz="8" w:space="0" w:color="000000"/>
            </w:tcBorders>
            <w:shd w:val="clear" w:color="auto" w:fill="98002E" w:themeFill="text2"/>
            <w:tcMar>
              <w:top w:w="57" w:type="dxa"/>
              <w:left w:w="102" w:type="dxa"/>
              <w:bottom w:w="57" w:type="dxa"/>
              <w:right w:w="102" w:type="dxa"/>
            </w:tcMar>
            <w:hideMark/>
          </w:tcPr>
          <w:p w14:paraId="4A20E55A" w14:textId="77777777" w:rsidR="00E50A2D" w:rsidRPr="00E73B5C" w:rsidRDefault="00E50A2D" w:rsidP="00E73B5C">
            <w:pPr>
              <w:pStyle w:val="TableText"/>
              <w:jc w:val="center"/>
              <w:rPr>
                <w:b/>
                <w:bCs/>
              </w:rPr>
            </w:pPr>
            <w:r w:rsidRPr="00E73B5C">
              <w:rPr>
                <w:b/>
                <w:bCs/>
              </w:rPr>
              <w:t>N/A</w:t>
            </w:r>
          </w:p>
          <w:p w14:paraId="6B0B98C4" w14:textId="77777777" w:rsidR="00E50A2D" w:rsidRPr="00BE0EEF" w:rsidRDefault="00E50A2D" w:rsidP="00E73B5C">
            <w:pPr>
              <w:pStyle w:val="TableText"/>
              <w:jc w:val="center"/>
            </w:pPr>
            <w:r w:rsidRPr="00BE0EEF">
              <w:t xml:space="preserve">Sits with </w:t>
            </w:r>
            <w:r w:rsidR="00140DE5">
              <w:t>DoHAC</w:t>
            </w:r>
          </w:p>
        </w:tc>
      </w:tr>
      <w:tr w:rsidR="003D1CAE" w:rsidRPr="00BE0EEF" w14:paraId="5D0E9432" w14:textId="77777777" w:rsidTr="00E93B27">
        <w:trPr>
          <w:cantSplit/>
        </w:trPr>
        <w:tc>
          <w:tcPr>
            <w:tcW w:w="337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02" w:type="dxa"/>
              <w:bottom w:w="57" w:type="dxa"/>
              <w:right w:w="102" w:type="dxa"/>
            </w:tcMar>
            <w:hideMark/>
          </w:tcPr>
          <w:p w14:paraId="446C3F4B" w14:textId="77777777" w:rsidR="00E50A2D" w:rsidRPr="00BE0EEF" w:rsidRDefault="008775D2" w:rsidP="00E73B5C">
            <w:pPr>
              <w:pStyle w:val="TableText"/>
            </w:pPr>
            <w:r>
              <w:t>8</w:t>
            </w:r>
            <w:r w:rsidR="00E50A2D" w:rsidRPr="00BE0EEF">
              <w:t xml:space="preserve"> – Consolidated and pooled funding </w:t>
            </w:r>
          </w:p>
        </w:tc>
        <w:tc>
          <w:tcPr>
            <w:tcW w:w="3071" w:type="dxa"/>
            <w:tcBorders>
              <w:top w:val="single" w:sz="8" w:space="0" w:color="000000"/>
              <w:left w:val="single" w:sz="8" w:space="0" w:color="000000"/>
              <w:bottom w:val="single" w:sz="8" w:space="0" w:color="000000"/>
              <w:right w:val="single" w:sz="8" w:space="0" w:color="000000"/>
            </w:tcBorders>
            <w:shd w:val="clear" w:color="auto" w:fill="98002E" w:themeFill="text2"/>
            <w:tcMar>
              <w:top w:w="57" w:type="dxa"/>
              <w:left w:w="102" w:type="dxa"/>
              <w:bottom w:w="57" w:type="dxa"/>
              <w:right w:w="102" w:type="dxa"/>
            </w:tcMar>
            <w:hideMark/>
          </w:tcPr>
          <w:p w14:paraId="07C4F7EA" w14:textId="77777777" w:rsidR="00E50A2D" w:rsidRPr="00E73B5C" w:rsidRDefault="00E50A2D" w:rsidP="00E73B5C">
            <w:pPr>
              <w:pStyle w:val="TableText"/>
              <w:jc w:val="center"/>
              <w:rPr>
                <w:b/>
                <w:bCs/>
              </w:rPr>
            </w:pPr>
            <w:r w:rsidRPr="00E73B5C">
              <w:rPr>
                <w:b/>
                <w:bCs/>
              </w:rPr>
              <w:t>N/A</w:t>
            </w:r>
          </w:p>
          <w:p w14:paraId="2A67936B" w14:textId="77777777" w:rsidR="00E50A2D" w:rsidRPr="00BE0EEF" w:rsidRDefault="00E50A2D" w:rsidP="00E73B5C">
            <w:pPr>
              <w:pStyle w:val="TableText"/>
              <w:jc w:val="center"/>
            </w:pPr>
            <w:r w:rsidRPr="00BE0EEF">
              <w:t xml:space="preserve">Sits with </w:t>
            </w:r>
            <w:r w:rsidR="00140DE5">
              <w:t>DoHAC</w:t>
            </w:r>
          </w:p>
        </w:tc>
        <w:tc>
          <w:tcPr>
            <w:tcW w:w="0" w:type="auto"/>
            <w:tcBorders>
              <w:top w:val="single" w:sz="8" w:space="0" w:color="000000"/>
              <w:left w:val="single" w:sz="8" w:space="0" w:color="000000"/>
              <w:bottom w:val="single" w:sz="8" w:space="0" w:color="000000"/>
              <w:right w:val="single" w:sz="8" w:space="0" w:color="000000"/>
            </w:tcBorders>
            <w:shd w:val="clear" w:color="auto" w:fill="98002E" w:themeFill="text2"/>
            <w:tcMar>
              <w:top w:w="57" w:type="dxa"/>
              <w:left w:w="102" w:type="dxa"/>
              <w:bottom w:w="57" w:type="dxa"/>
              <w:right w:w="102" w:type="dxa"/>
            </w:tcMar>
            <w:hideMark/>
          </w:tcPr>
          <w:p w14:paraId="628F2751" w14:textId="77777777" w:rsidR="00E50A2D" w:rsidRPr="00E73B5C" w:rsidRDefault="00E50A2D" w:rsidP="00E73B5C">
            <w:pPr>
              <w:pStyle w:val="TableText"/>
              <w:jc w:val="center"/>
              <w:rPr>
                <w:b/>
                <w:bCs/>
              </w:rPr>
            </w:pPr>
            <w:r w:rsidRPr="00E73B5C">
              <w:rPr>
                <w:b/>
                <w:bCs/>
              </w:rPr>
              <w:t>N/A</w:t>
            </w:r>
          </w:p>
          <w:p w14:paraId="28E43827" w14:textId="77777777" w:rsidR="00E50A2D" w:rsidRPr="00BE0EEF" w:rsidRDefault="00E50A2D" w:rsidP="00E73B5C">
            <w:pPr>
              <w:pStyle w:val="TableText"/>
              <w:jc w:val="center"/>
            </w:pPr>
            <w:r w:rsidRPr="00BE0EEF">
              <w:t xml:space="preserve">Sits with </w:t>
            </w:r>
            <w:r w:rsidR="00140DE5">
              <w:t>DoHAC</w:t>
            </w:r>
          </w:p>
        </w:tc>
        <w:tc>
          <w:tcPr>
            <w:tcW w:w="2890" w:type="dxa"/>
            <w:tcBorders>
              <w:top w:val="single" w:sz="8" w:space="0" w:color="000000"/>
              <w:left w:val="single" w:sz="8" w:space="0" w:color="000000"/>
              <w:bottom w:val="single" w:sz="8" w:space="0" w:color="000000"/>
              <w:right w:val="single" w:sz="8" w:space="0" w:color="000000"/>
            </w:tcBorders>
            <w:shd w:val="clear" w:color="auto" w:fill="98002E" w:themeFill="text2"/>
            <w:tcMar>
              <w:top w:w="57" w:type="dxa"/>
              <w:left w:w="102" w:type="dxa"/>
              <w:bottom w:w="57" w:type="dxa"/>
              <w:right w:w="102" w:type="dxa"/>
            </w:tcMar>
            <w:hideMark/>
          </w:tcPr>
          <w:p w14:paraId="564AEEF5" w14:textId="77777777" w:rsidR="00E50A2D" w:rsidRPr="00E73B5C" w:rsidRDefault="00E50A2D" w:rsidP="00E73B5C">
            <w:pPr>
              <w:pStyle w:val="TableText"/>
              <w:jc w:val="center"/>
              <w:rPr>
                <w:b/>
                <w:bCs/>
              </w:rPr>
            </w:pPr>
            <w:r w:rsidRPr="00E73B5C">
              <w:rPr>
                <w:b/>
                <w:bCs/>
              </w:rPr>
              <w:t>N/A</w:t>
            </w:r>
          </w:p>
          <w:p w14:paraId="13BE0F17" w14:textId="77777777" w:rsidR="00E50A2D" w:rsidRPr="00BE0EEF" w:rsidRDefault="00E50A2D" w:rsidP="00E73B5C">
            <w:pPr>
              <w:pStyle w:val="TableText"/>
              <w:jc w:val="center"/>
            </w:pPr>
            <w:r w:rsidRPr="00BE0EEF">
              <w:t xml:space="preserve">Sits with </w:t>
            </w:r>
            <w:r w:rsidR="00140DE5">
              <w:t>DoHAC</w:t>
            </w:r>
          </w:p>
        </w:tc>
        <w:tc>
          <w:tcPr>
            <w:tcW w:w="2512" w:type="dxa"/>
            <w:tcBorders>
              <w:top w:val="single" w:sz="8" w:space="0" w:color="000000"/>
              <w:left w:val="single" w:sz="8" w:space="0" w:color="000000"/>
              <w:bottom w:val="single" w:sz="8" w:space="0" w:color="000000"/>
              <w:right w:val="single" w:sz="8" w:space="0" w:color="000000"/>
            </w:tcBorders>
            <w:shd w:val="clear" w:color="auto" w:fill="98002E" w:themeFill="text2"/>
            <w:tcMar>
              <w:top w:w="57" w:type="dxa"/>
              <w:left w:w="102" w:type="dxa"/>
              <w:bottom w:w="57" w:type="dxa"/>
              <w:right w:w="102" w:type="dxa"/>
            </w:tcMar>
            <w:hideMark/>
          </w:tcPr>
          <w:p w14:paraId="7D558FE9" w14:textId="77777777" w:rsidR="00E50A2D" w:rsidRPr="00E73B5C" w:rsidRDefault="00E50A2D" w:rsidP="00E73B5C">
            <w:pPr>
              <w:pStyle w:val="TableText"/>
              <w:jc w:val="center"/>
              <w:rPr>
                <w:b/>
                <w:bCs/>
              </w:rPr>
            </w:pPr>
            <w:r w:rsidRPr="00E73B5C">
              <w:rPr>
                <w:b/>
                <w:bCs/>
              </w:rPr>
              <w:t>N/A</w:t>
            </w:r>
          </w:p>
          <w:p w14:paraId="567EE471" w14:textId="77777777" w:rsidR="00E50A2D" w:rsidRPr="00BE0EEF" w:rsidRDefault="00E50A2D" w:rsidP="00E73B5C">
            <w:pPr>
              <w:pStyle w:val="TableText"/>
              <w:jc w:val="center"/>
            </w:pPr>
            <w:r w:rsidRPr="00BE0EEF">
              <w:t xml:space="preserve">Sits with </w:t>
            </w:r>
            <w:r w:rsidR="00140DE5">
              <w:t>DoHAC</w:t>
            </w:r>
          </w:p>
        </w:tc>
      </w:tr>
      <w:tr w:rsidR="003D1CAE" w:rsidRPr="00BE0EEF" w14:paraId="0EC68899" w14:textId="77777777" w:rsidTr="00E93B27">
        <w:trPr>
          <w:cantSplit/>
        </w:trPr>
        <w:tc>
          <w:tcPr>
            <w:tcW w:w="337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02" w:type="dxa"/>
              <w:bottom w:w="57" w:type="dxa"/>
              <w:right w:w="102" w:type="dxa"/>
            </w:tcMar>
            <w:hideMark/>
          </w:tcPr>
          <w:p w14:paraId="13583781" w14:textId="77777777" w:rsidR="00F2506D" w:rsidRPr="00BE0EEF" w:rsidRDefault="008775D2" w:rsidP="00E73B5C">
            <w:pPr>
              <w:pStyle w:val="TableText"/>
            </w:pPr>
            <w:r>
              <w:t>9</w:t>
            </w:r>
            <w:r w:rsidR="00F2506D" w:rsidRPr="00BE0EEF">
              <w:t xml:space="preserve"> – Using Aboriginal and/or Torres Strait Islander approach to health</w:t>
            </w:r>
          </w:p>
        </w:tc>
        <w:tc>
          <w:tcPr>
            <w:tcW w:w="3071"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3A561493" w14:textId="77777777" w:rsidR="00F2506D" w:rsidRPr="00BE0EEF" w:rsidRDefault="00F2506D" w:rsidP="00E73B5C">
            <w:pPr>
              <w:pStyle w:val="TableText"/>
              <w:jc w:val="center"/>
            </w:pPr>
            <w:r w:rsidRPr="00BE0EEF">
              <w:t>Possible</w:t>
            </w:r>
          </w:p>
        </w:tc>
        <w:tc>
          <w:tcPr>
            <w:tcW w:w="0" w:type="auto"/>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13601489" w14:textId="77777777" w:rsidR="00F2506D" w:rsidRPr="00BE0EEF" w:rsidRDefault="00F2506D" w:rsidP="00E73B5C">
            <w:pPr>
              <w:pStyle w:val="TableText"/>
              <w:jc w:val="center"/>
            </w:pPr>
            <w:r w:rsidRPr="00BE0EEF">
              <w:t>Possible</w:t>
            </w:r>
          </w:p>
        </w:tc>
        <w:tc>
          <w:tcPr>
            <w:tcW w:w="2890"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68008A08" w14:textId="77777777" w:rsidR="00F2506D" w:rsidRPr="00BE0EEF" w:rsidRDefault="00F2506D" w:rsidP="00E73B5C">
            <w:pPr>
              <w:pStyle w:val="TableText"/>
              <w:jc w:val="center"/>
            </w:pPr>
            <w:r w:rsidRPr="00BE0EEF">
              <w:t>Possible</w:t>
            </w:r>
          </w:p>
        </w:tc>
        <w:tc>
          <w:tcPr>
            <w:tcW w:w="2512"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77BC52EF" w14:textId="77777777" w:rsidR="00F2506D" w:rsidRPr="00BE0EEF" w:rsidRDefault="00F2506D" w:rsidP="00E73B5C">
            <w:pPr>
              <w:pStyle w:val="TableText"/>
              <w:jc w:val="center"/>
            </w:pPr>
            <w:r w:rsidRPr="00BE0EEF">
              <w:t>Possible</w:t>
            </w:r>
          </w:p>
        </w:tc>
      </w:tr>
      <w:tr w:rsidR="003D1CAE" w:rsidRPr="00BE0EEF" w14:paraId="76ECCABE" w14:textId="77777777" w:rsidTr="00E93B27">
        <w:trPr>
          <w:cantSplit/>
        </w:trPr>
        <w:tc>
          <w:tcPr>
            <w:tcW w:w="337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02" w:type="dxa"/>
              <w:bottom w:w="57" w:type="dxa"/>
              <w:right w:w="102" w:type="dxa"/>
            </w:tcMar>
            <w:hideMark/>
          </w:tcPr>
          <w:p w14:paraId="71730D1A" w14:textId="77777777" w:rsidR="00F2506D" w:rsidRPr="00BE0EEF" w:rsidRDefault="008775D2" w:rsidP="00E73B5C">
            <w:pPr>
              <w:pStyle w:val="TableText"/>
            </w:pPr>
            <w:r>
              <w:t>10</w:t>
            </w:r>
            <w:r w:rsidR="00F2506D" w:rsidRPr="00BE0EEF">
              <w:t xml:space="preserve"> – Needs-based funding and distribution</w:t>
            </w:r>
          </w:p>
        </w:tc>
        <w:tc>
          <w:tcPr>
            <w:tcW w:w="3071" w:type="dxa"/>
            <w:tcBorders>
              <w:top w:val="single" w:sz="8" w:space="0" w:color="000000"/>
              <w:left w:val="single" w:sz="8" w:space="0" w:color="000000"/>
              <w:bottom w:val="single" w:sz="8" w:space="0" w:color="000000"/>
              <w:right w:val="single" w:sz="8" w:space="0" w:color="000000"/>
            </w:tcBorders>
            <w:shd w:val="clear" w:color="auto" w:fill="98002E" w:themeFill="text2"/>
            <w:tcMar>
              <w:top w:w="57" w:type="dxa"/>
              <w:left w:w="102" w:type="dxa"/>
              <w:bottom w:w="57" w:type="dxa"/>
              <w:right w:w="102" w:type="dxa"/>
            </w:tcMar>
            <w:hideMark/>
          </w:tcPr>
          <w:p w14:paraId="65CA8F23" w14:textId="77777777" w:rsidR="00F2506D" w:rsidRPr="00E73B5C" w:rsidRDefault="00F2506D" w:rsidP="00E73B5C">
            <w:pPr>
              <w:pStyle w:val="TableText"/>
              <w:jc w:val="center"/>
              <w:rPr>
                <w:b/>
                <w:bCs/>
              </w:rPr>
            </w:pPr>
            <w:r w:rsidRPr="00E73B5C">
              <w:rPr>
                <w:b/>
                <w:bCs/>
              </w:rPr>
              <w:t>N/A</w:t>
            </w:r>
          </w:p>
          <w:p w14:paraId="26E212C0" w14:textId="77777777" w:rsidR="00F2506D" w:rsidRPr="00BE0EEF" w:rsidRDefault="00F2506D" w:rsidP="00E73B5C">
            <w:pPr>
              <w:pStyle w:val="TableText"/>
              <w:jc w:val="center"/>
            </w:pPr>
            <w:r w:rsidRPr="00BE0EEF">
              <w:t xml:space="preserve">Sits with </w:t>
            </w:r>
            <w:r w:rsidR="00140DE5">
              <w:t>DoHAC</w:t>
            </w:r>
          </w:p>
        </w:tc>
        <w:tc>
          <w:tcPr>
            <w:tcW w:w="0" w:type="auto"/>
            <w:tcBorders>
              <w:top w:val="single" w:sz="8" w:space="0" w:color="000000"/>
              <w:left w:val="single" w:sz="8" w:space="0" w:color="000000"/>
              <w:bottom w:val="single" w:sz="8" w:space="0" w:color="000000"/>
              <w:right w:val="single" w:sz="8" w:space="0" w:color="000000"/>
            </w:tcBorders>
            <w:shd w:val="clear" w:color="auto" w:fill="98002E" w:themeFill="text2"/>
            <w:tcMar>
              <w:top w:w="57" w:type="dxa"/>
              <w:left w:w="102" w:type="dxa"/>
              <w:bottom w:w="57" w:type="dxa"/>
              <w:right w:w="102" w:type="dxa"/>
            </w:tcMar>
            <w:hideMark/>
          </w:tcPr>
          <w:p w14:paraId="49F60BD8" w14:textId="77777777" w:rsidR="00F2506D" w:rsidRPr="00E73B5C" w:rsidRDefault="00F2506D" w:rsidP="00E73B5C">
            <w:pPr>
              <w:pStyle w:val="TableText"/>
              <w:jc w:val="center"/>
              <w:rPr>
                <w:b/>
                <w:bCs/>
              </w:rPr>
            </w:pPr>
            <w:r w:rsidRPr="00E73B5C">
              <w:rPr>
                <w:b/>
                <w:bCs/>
              </w:rPr>
              <w:t>N/A</w:t>
            </w:r>
          </w:p>
          <w:p w14:paraId="7F312ADE" w14:textId="77777777" w:rsidR="00F2506D" w:rsidRPr="00BE0EEF" w:rsidRDefault="00F2506D" w:rsidP="00E73B5C">
            <w:pPr>
              <w:pStyle w:val="TableText"/>
              <w:jc w:val="center"/>
            </w:pPr>
            <w:r w:rsidRPr="00BE0EEF">
              <w:t xml:space="preserve">Sits with </w:t>
            </w:r>
            <w:r w:rsidR="00140DE5">
              <w:t>DoHAC</w:t>
            </w:r>
          </w:p>
        </w:tc>
        <w:tc>
          <w:tcPr>
            <w:tcW w:w="2890" w:type="dxa"/>
            <w:tcBorders>
              <w:top w:val="single" w:sz="8" w:space="0" w:color="000000"/>
              <w:left w:val="single" w:sz="8" w:space="0" w:color="000000"/>
              <w:bottom w:val="single" w:sz="8" w:space="0" w:color="000000"/>
              <w:right w:val="single" w:sz="8" w:space="0" w:color="000000"/>
            </w:tcBorders>
            <w:shd w:val="clear" w:color="auto" w:fill="98002E" w:themeFill="text2"/>
            <w:tcMar>
              <w:top w:w="57" w:type="dxa"/>
              <w:left w:w="102" w:type="dxa"/>
              <w:bottom w:w="57" w:type="dxa"/>
              <w:right w:w="102" w:type="dxa"/>
            </w:tcMar>
            <w:hideMark/>
          </w:tcPr>
          <w:p w14:paraId="1C4678D7" w14:textId="77777777" w:rsidR="00F2506D" w:rsidRPr="00E73B5C" w:rsidRDefault="00F2506D" w:rsidP="00E73B5C">
            <w:pPr>
              <w:pStyle w:val="TableText"/>
              <w:jc w:val="center"/>
              <w:rPr>
                <w:b/>
                <w:bCs/>
              </w:rPr>
            </w:pPr>
            <w:r w:rsidRPr="00E73B5C">
              <w:rPr>
                <w:b/>
                <w:bCs/>
              </w:rPr>
              <w:t>N/A</w:t>
            </w:r>
          </w:p>
          <w:p w14:paraId="5696A30D" w14:textId="77777777" w:rsidR="00F2506D" w:rsidRPr="00BE0EEF" w:rsidRDefault="00F2506D" w:rsidP="00E73B5C">
            <w:pPr>
              <w:pStyle w:val="TableText"/>
              <w:jc w:val="center"/>
            </w:pPr>
            <w:r w:rsidRPr="00BE0EEF">
              <w:t xml:space="preserve">Sits with </w:t>
            </w:r>
            <w:r w:rsidR="00140DE5">
              <w:t>DoHAC</w:t>
            </w:r>
          </w:p>
        </w:tc>
        <w:tc>
          <w:tcPr>
            <w:tcW w:w="2512" w:type="dxa"/>
            <w:tcBorders>
              <w:top w:val="single" w:sz="8" w:space="0" w:color="000000"/>
              <w:left w:val="single" w:sz="8" w:space="0" w:color="000000"/>
              <w:bottom w:val="single" w:sz="8" w:space="0" w:color="000000"/>
              <w:right w:val="single" w:sz="8" w:space="0" w:color="000000"/>
            </w:tcBorders>
            <w:shd w:val="clear" w:color="auto" w:fill="98002E" w:themeFill="text2"/>
            <w:tcMar>
              <w:top w:w="57" w:type="dxa"/>
              <w:left w:w="102" w:type="dxa"/>
              <w:bottom w:w="57" w:type="dxa"/>
              <w:right w:w="102" w:type="dxa"/>
            </w:tcMar>
            <w:hideMark/>
          </w:tcPr>
          <w:p w14:paraId="6BFA067B" w14:textId="77777777" w:rsidR="00F2506D" w:rsidRPr="00E73B5C" w:rsidRDefault="00F2506D" w:rsidP="00E73B5C">
            <w:pPr>
              <w:pStyle w:val="TableText"/>
              <w:jc w:val="center"/>
              <w:rPr>
                <w:b/>
                <w:bCs/>
              </w:rPr>
            </w:pPr>
            <w:r w:rsidRPr="00E73B5C">
              <w:rPr>
                <w:b/>
                <w:bCs/>
              </w:rPr>
              <w:t>N/A</w:t>
            </w:r>
          </w:p>
          <w:p w14:paraId="71D797F0" w14:textId="77777777" w:rsidR="00F2506D" w:rsidRPr="00BE0EEF" w:rsidRDefault="00F2506D" w:rsidP="00E73B5C">
            <w:pPr>
              <w:pStyle w:val="TableText"/>
              <w:jc w:val="center"/>
            </w:pPr>
            <w:r w:rsidRPr="00BE0EEF">
              <w:t xml:space="preserve">Sits with </w:t>
            </w:r>
            <w:r w:rsidR="00140DE5">
              <w:t>DoHAC</w:t>
            </w:r>
          </w:p>
        </w:tc>
      </w:tr>
      <w:tr w:rsidR="003D1CAE" w:rsidRPr="00BE0EEF" w14:paraId="79E7AEBB" w14:textId="77777777" w:rsidTr="00E93B27">
        <w:trPr>
          <w:cantSplit/>
        </w:trPr>
        <w:tc>
          <w:tcPr>
            <w:tcW w:w="337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02" w:type="dxa"/>
              <w:bottom w:w="57" w:type="dxa"/>
              <w:right w:w="102" w:type="dxa"/>
            </w:tcMar>
            <w:hideMark/>
          </w:tcPr>
          <w:p w14:paraId="752AE543" w14:textId="77777777" w:rsidR="00F2506D" w:rsidRPr="00BE0EEF" w:rsidRDefault="008775D2" w:rsidP="00E73B5C">
            <w:pPr>
              <w:pStyle w:val="TableText"/>
            </w:pPr>
            <w:r>
              <w:t>11</w:t>
            </w:r>
            <w:r w:rsidR="00F2506D" w:rsidRPr="00BE0EEF">
              <w:t>– Fair and transparent funding decisions</w:t>
            </w:r>
          </w:p>
        </w:tc>
        <w:tc>
          <w:tcPr>
            <w:tcW w:w="3071"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09AA407E" w14:textId="77777777" w:rsidR="00F2506D" w:rsidRPr="00BE0EEF" w:rsidRDefault="00F2506D" w:rsidP="00E73B5C">
            <w:pPr>
              <w:pStyle w:val="TableText"/>
              <w:jc w:val="center"/>
            </w:pPr>
            <w:r w:rsidRPr="00BE0EEF">
              <w:t>Possible</w:t>
            </w:r>
          </w:p>
        </w:tc>
        <w:tc>
          <w:tcPr>
            <w:tcW w:w="0" w:type="auto"/>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6378CCB5" w14:textId="77777777" w:rsidR="00F2506D" w:rsidRPr="00BE0EEF" w:rsidRDefault="00F2506D" w:rsidP="00E73B5C">
            <w:pPr>
              <w:pStyle w:val="TableText"/>
              <w:jc w:val="center"/>
            </w:pPr>
            <w:r w:rsidRPr="00BE0EEF">
              <w:t>Possible</w:t>
            </w:r>
          </w:p>
        </w:tc>
        <w:tc>
          <w:tcPr>
            <w:tcW w:w="2890"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2C5218AB" w14:textId="77777777" w:rsidR="00F2506D" w:rsidRPr="00BE0EEF" w:rsidRDefault="00F2506D" w:rsidP="00E73B5C">
            <w:pPr>
              <w:pStyle w:val="TableText"/>
              <w:jc w:val="center"/>
            </w:pPr>
            <w:r w:rsidRPr="00BE0EEF">
              <w:t>Possible</w:t>
            </w:r>
          </w:p>
        </w:tc>
        <w:tc>
          <w:tcPr>
            <w:tcW w:w="2512"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64891496" w14:textId="77777777" w:rsidR="00F2506D" w:rsidRPr="00BE0EEF" w:rsidRDefault="00F2506D" w:rsidP="00E73B5C">
            <w:pPr>
              <w:pStyle w:val="TableText"/>
              <w:jc w:val="center"/>
            </w:pPr>
            <w:r w:rsidRPr="00BE0EEF">
              <w:t>Possible</w:t>
            </w:r>
          </w:p>
        </w:tc>
      </w:tr>
      <w:tr w:rsidR="00F2506D" w:rsidRPr="00BE0EEF" w14:paraId="673C3E19" w14:textId="77777777" w:rsidTr="00E93B27">
        <w:trPr>
          <w:cantSplit/>
        </w:trPr>
        <w:tc>
          <w:tcPr>
            <w:tcW w:w="337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02" w:type="dxa"/>
              <w:bottom w:w="57" w:type="dxa"/>
              <w:right w:w="102" w:type="dxa"/>
            </w:tcMar>
            <w:hideMark/>
          </w:tcPr>
          <w:p w14:paraId="48273FE2" w14:textId="77777777" w:rsidR="00F2506D" w:rsidRPr="00BE0EEF" w:rsidRDefault="008775D2" w:rsidP="00E73B5C">
            <w:pPr>
              <w:pStyle w:val="TableText"/>
            </w:pPr>
            <w:r>
              <w:t>12</w:t>
            </w:r>
            <w:r w:rsidR="00F2506D" w:rsidRPr="00BE0EEF">
              <w:t>– Inclusive funding processes</w:t>
            </w:r>
          </w:p>
        </w:tc>
        <w:tc>
          <w:tcPr>
            <w:tcW w:w="3071"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24CA95FF" w14:textId="77777777" w:rsidR="00F2506D" w:rsidRPr="00BE0EEF" w:rsidRDefault="00F2506D" w:rsidP="00E73B5C">
            <w:pPr>
              <w:pStyle w:val="TableText"/>
              <w:jc w:val="center"/>
            </w:pPr>
            <w:r w:rsidRPr="00BE0EEF">
              <w:t>Possible</w:t>
            </w:r>
          </w:p>
        </w:tc>
        <w:tc>
          <w:tcPr>
            <w:tcW w:w="0" w:type="auto"/>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0AE929C3" w14:textId="77777777" w:rsidR="00F2506D" w:rsidRPr="00BE0EEF" w:rsidRDefault="00F2506D" w:rsidP="00E73B5C">
            <w:pPr>
              <w:pStyle w:val="TableText"/>
              <w:jc w:val="center"/>
            </w:pPr>
            <w:r w:rsidRPr="00BE0EEF">
              <w:t>Possible</w:t>
            </w:r>
          </w:p>
        </w:tc>
        <w:tc>
          <w:tcPr>
            <w:tcW w:w="2890"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2DF3D450" w14:textId="77777777" w:rsidR="00F2506D" w:rsidRPr="00BE0EEF" w:rsidRDefault="00F2506D" w:rsidP="00E73B5C">
            <w:pPr>
              <w:pStyle w:val="TableText"/>
              <w:jc w:val="center"/>
            </w:pPr>
            <w:r w:rsidRPr="00BE0EEF">
              <w:t>Possible</w:t>
            </w:r>
          </w:p>
        </w:tc>
        <w:tc>
          <w:tcPr>
            <w:tcW w:w="2512"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7E24DCEC" w14:textId="77777777" w:rsidR="00F2506D" w:rsidRPr="00BE0EEF" w:rsidRDefault="00F2506D" w:rsidP="00E73B5C">
            <w:pPr>
              <w:pStyle w:val="TableText"/>
              <w:jc w:val="center"/>
            </w:pPr>
            <w:r w:rsidRPr="00BE0EEF">
              <w:t>Possible</w:t>
            </w:r>
          </w:p>
        </w:tc>
      </w:tr>
      <w:tr w:rsidR="00F2506D" w:rsidRPr="00BE0EEF" w14:paraId="3810EB30" w14:textId="77777777" w:rsidTr="00E93B27">
        <w:trPr>
          <w:cantSplit/>
        </w:trPr>
        <w:tc>
          <w:tcPr>
            <w:tcW w:w="337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02" w:type="dxa"/>
              <w:bottom w:w="57" w:type="dxa"/>
              <w:right w:w="102" w:type="dxa"/>
            </w:tcMar>
            <w:hideMark/>
          </w:tcPr>
          <w:p w14:paraId="0D27225F" w14:textId="77777777" w:rsidR="00F2506D" w:rsidRPr="00BE0EEF" w:rsidRDefault="00F2506D" w:rsidP="00E73B5C">
            <w:pPr>
              <w:pStyle w:val="TableText"/>
            </w:pPr>
            <w:r>
              <w:t>1</w:t>
            </w:r>
            <w:r w:rsidR="008775D2">
              <w:t>3</w:t>
            </w:r>
            <w:r w:rsidRPr="00BE0EEF">
              <w:t xml:space="preserve"> – Flexibility to meet local and unique needs</w:t>
            </w:r>
          </w:p>
        </w:tc>
        <w:tc>
          <w:tcPr>
            <w:tcW w:w="3071"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315E4F75" w14:textId="77777777" w:rsidR="00F2506D" w:rsidRPr="00BE0EEF" w:rsidRDefault="00F2506D" w:rsidP="00E73B5C">
            <w:pPr>
              <w:pStyle w:val="TableText"/>
              <w:jc w:val="center"/>
            </w:pPr>
            <w:r w:rsidRPr="00BE0EEF">
              <w:t>Possible</w:t>
            </w:r>
          </w:p>
        </w:tc>
        <w:tc>
          <w:tcPr>
            <w:tcW w:w="0" w:type="auto"/>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0A1B1725" w14:textId="77777777" w:rsidR="00F2506D" w:rsidRPr="00BE0EEF" w:rsidRDefault="00F2506D" w:rsidP="00E73B5C">
            <w:pPr>
              <w:pStyle w:val="TableText"/>
              <w:jc w:val="center"/>
            </w:pPr>
            <w:r w:rsidRPr="00BE0EEF">
              <w:t>Possible</w:t>
            </w:r>
          </w:p>
        </w:tc>
        <w:tc>
          <w:tcPr>
            <w:tcW w:w="2890"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4C539F89" w14:textId="77777777" w:rsidR="00F2506D" w:rsidRPr="00BE0EEF" w:rsidRDefault="00F2506D" w:rsidP="00E73B5C">
            <w:pPr>
              <w:pStyle w:val="TableText"/>
              <w:jc w:val="center"/>
            </w:pPr>
            <w:r w:rsidRPr="00BE0EEF">
              <w:t>Possible</w:t>
            </w:r>
          </w:p>
        </w:tc>
        <w:tc>
          <w:tcPr>
            <w:tcW w:w="2512"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3F1C3458" w14:textId="77777777" w:rsidR="00F2506D" w:rsidRPr="00BE0EEF" w:rsidRDefault="00F2506D" w:rsidP="00E73B5C">
            <w:pPr>
              <w:pStyle w:val="TableText"/>
              <w:jc w:val="center"/>
            </w:pPr>
            <w:r w:rsidRPr="00BE0EEF">
              <w:t>Possible</w:t>
            </w:r>
          </w:p>
        </w:tc>
      </w:tr>
      <w:tr w:rsidR="00F2506D" w:rsidRPr="00BE0EEF" w14:paraId="13672C0F" w14:textId="77777777" w:rsidTr="00E93B27">
        <w:trPr>
          <w:cantSplit/>
        </w:trPr>
        <w:tc>
          <w:tcPr>
            <w:tcW w:w="337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02" w:type="dxa"/>
              <w:bottom w:w="57" w:type="dxa"/>
              <w:right w:w="102" w:type="dxa"/>
            </w:tcMar>
            <w:hideMark/>
          </w:tcPr>
          <w:p w14:paraId="7C1B5465" w14:textId="77777777" w:rsidR="00F2506D" w:rsidRPr="00BE0EEF" w:rsidRDefault="00F2506D" w:rsidP="00E73B5C">
            <w:pPr>
              <w:pStyle w:val="TableText"/>
            </w:pPr>
            <w:r w:rsidRPr="00BE0EEF">
              <w:t>1</w:t>
            </w:r>
            <w:r w:rsidR="008775D2">
              <w:t>4</w:t>
            </w:r>
            <w:r w:rsidRPr="00BE0EEF">
              <w:t xml:space="preserve"> – Outcome-based reporting and KPIs</w:t>
            </w:r>
          </w:p>
        </w:tc>
        <w:tc>
          <w:tcPr>
            <w:tcW w:w="3071"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3F819D3A" w14:textId="77777777" w:rsidR="00F2506D" w:rsidRPr="00BE0EEF" w:rsidRDefault="00F2506D" w:rsidP="00E73B5C">
            <w:pPr>
              <w:pStyle w:val="TableText"/>
              <w:jc w:val="center"/>
            </w:pPr>
            <w:r w:rsidRPr="00BE0EEF">
              <w:t>Possible</w:t>
            </w:r>
          </w:p>
        </w:tc>
        <w:tc>
          <w:tcPr>
            <w:tcW w:w="0" w:type="auto"/>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6A79A18B" w14:textId="77777777" w:rsidR="00F2506D" w:rsidRPr="00BE0EEF" w:rsidRDefault="00F2506D" w:rsidP="00E73B5C">
            <w:pPr>
              <w:pStyle w:val="TableText"/>
              <w:jc w:val="center"/>
            </w:pPr>
            <w:r w:rsidRPr="00BE0EEF">
              <w:t>Possible</w:t>
            </w:r>
          </w:p>
        </w:tc>
        <w:tc>
          <w:tcPr>
            <w:tcW w:w="2890"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57374BC7" w14:textId="77777777" w:rsidR="00F2506D" w:rsidRPr="00BE0EEF" w:rsidRDefault="00F2506D" w:rsidP="00E73B5C">
            <w:pPr>
              <w:pStyle w:val="TableText"/>
              <w:jc w:val="center"/>
            </w:pPr>
            <w:r w:rsidRPr="00BE0EEF">
              <w:t>Possible</w:t>
            </w:r>
          </w:p>
        </w:tc>
        <w:tc>
          <w:tcPr>
            <w:tcW w:w="2512"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7F62FBEA" w14:textId="77777777" w:rsidR="00F2506D" w:rsidRPr="00BE0EEF" w:rsidRDefault="00F2506D" w:rsidP="00E73B5C">
            <w:pPr>
              <w:pStyle w:val="TableText"/>
              <w:jc w:val="center"/>
            </w:pPr>
            <w:r w:rsidRPr="00BE0EEF">
              <w:t>Possible</w:t>
            </w:r>
          </w:p>
        </w:tc>
      </w:tr>
      <w:tr w:rsidR="00F2506D" w:rsidRPr="00BE0EEF" w14:paraId="5D0B5C55" w14:textId="77777777" w:rsidTr="00E93B27">
        <w:trPr>
          <w:cantSplit/>
        </w:trPr>
        <w:tc>
          <w:tcPr>
            <w:tcW w:w="337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02" w:type="dxa"/>
              <w:bottom w:w="57" w:type="dxa"/>
              <w:right w:w="102" w:type="dxa"/>
            </w:tcMar>
            <w:hideMark/>
          </w:tcPr>
          <w:p w14:paraId="7811EC13" w14:textId="77777777" w:rsidR="00F2506D" w:rsidRPr="00BE0EEF" w:rsidRDefault="00F2506D" w:rsidP="00E73B5C">
            <w:pPr>
              <w:pStyle w:val="TableText"/>
            </w:pPr>
            <w:r w:rsidRPr="00BE0EEF">
              <w:t>1</w:t>
            </w:r>
            <w:r w:rsidR="008775D2">
              <w:t>5</w:t>
            </w:r>
            <w:r w:rsidRPr="00BE0EEF">
              <w:t xml:space="preserve"> – Consolidated, streamlined reporting</w:t>
            </w:r>
          </w:p>
        </w:tc>
        <w:tc>
          <w:tcPr>
            <w:tcW w:w="3071" w:type="dxa"/>
            <w:tcBorders>
              <w:top w:val="single" w:sz="8" w:space="0" w:color="000000"/>
              <w:left w:val="single" w:sz="8" w:space="0" w:color="000000"/>
              <w:bottom w:val="single" w:sz="8" w:space="0" w:color="000000"/>
              <w:right w:val="single" w:sz="8" w:space="0" w:color="000000"/>
            </w:tcBorders>
            <w:shd w:val="clear" w:color="auto" w:fill="EFA31F" w:themeFill="background2"/>
            <w:tcMar>
              <w:top w:w="57" w:type="dxa"/>
              <w:left w:w="102" w:type="dxa"/>
              <w:bottom w:w="57" w:type="dxa"/>
              <w:right w:w="102" w:type="dxa"/>
            </w:tcMar>
            <w:hideMark/>
          </w:tcPr>
          <w:p w14:paraId="629A90AF" w14:textId="77777777" w:rsidR="00F2506D" w:rsidRPr="00BE0EEF" w:rsidRDefault="00F2506D" w:rsidP="00E73B5C">
            <w:pPr>
              <w:pStyle w:val="TableText"/>
              <w:jc w:val="center"/>
            </w:pPr>
            <w:r>
              <w:rPr>
                <w:b/>
              </w:rPr>
              <w:t>Marginally</w:t>
            </w:r>
            <w:r w:rsidRPr="00BE0EEF">
              <w:t xml:space="preserve"> possible</w:t>
            </w:r>
          </w:p>
          <w:p w14:paraId="5EAD661C" w14:textId="77777777" w:rsidR="00F2506D" w:rsidRPr="00BE0EEF" w:rsidRDefault="00F2506D" w:rsidP="00E73B5C">
            <w:pPr>
              <w:pStyle w:val="TableText"/>
              <w:jc w:val="center"/>
            </w:pPr>
            <w:r w:rsidRPr="00BE0EEF">
              <w:t xml:space="preserve">Limitations may exist due to different funding bodies remaining, and the inherent role of </w:t>
            </w:r>
            <w:r w:rsidR="00140DE5">
              <w:t>DoHAC</w:t>
            </w:r>
          </w:p>
        </w:tc>
        <w:tc>
          <w:tcPr>
            <w:tcW w:w="0" w:type="auto"/>
            <w:tcBorders>
              <w:top w:val="single" w:sz="8" w:space="0" w:color="000000"/>
              <w:left w:val="single" w:sz="8" w:space="0" w:color="000000"/>
              <w:bottom w:val="single" w:sz="8" w:space="0" w:color="000000"/>
              <w:right w:val="single" w:sz="8" w:space="0" w:color="000000"/>
            </w:tcBorders>
            <w:shd w:val="clear" w:color="auto" w:fill="EFA31F" w:themeFill="background2"/>
            <w:tcMar>
              <w:top w:w="57" w:type="dxa"/>
              <w:left w:w="102" w:type="dxa"/>
              <w:bottom w:w="57" w:type="dxa"/>
              <w:right w:w="102" w:type="dxa"/>
            </w:tcMar>
            <w:hideMark/>
          </w:tcPr>
          <w:p w14:paraId="3D332686" w14:textId="77777777" w:rsidR="00F2506D" w:rsidRPr="00BE0EEF" w:rsidRDefault="00F2506D" w:rsidP="00E73B5C">
            <w:pPr>
              <w:pStyle w:val="TableText"/>
              <w:jc w:val="center"/>
            </w:pPr>
            <w:r>
              <w:rPr>
                <w:b/>
              </w:rPr>
              <w:t>Marginally</w:t>
            </w:r>
            <w:r w:rsidRPr="00BE0EEF">
              <w:t xml:space="preserve"> possible</w:t>
            </w:r>
          </w:p>
          <w:p w14:paraId="6E59C129" w14:textId="77777777" w:rsidR="00F2506D" w:rsidRPr="00BE0EEF" w:rsidRDefault="00F2506D" w:rsidP="00E73B5C">
            <w:pPr>
              <w:pStyle w:val="TableText"/>
              <w:jc w:val="center"/>
            </w:pPr>
            <w:r w:rsidRPr="00BE0EEF">
              <w:t xml:space="preserve">Limitations may exist due to different funding bodies remaining, and the inherent role of </w:t>
            </w:r>
            <w:r w:rsidR="00140DE5">
              <w:t>DoHAC</w:t>
            </w:r>
          </w:p>
        </w:tc>
        <w:tc>
          <w:tcPr>
            <w:tcW w:w="2890" w:type="dxa"/>
            <w:tcBorders>
              <w:top w:val="single" w:sz="8" w:space="0" w:color="000000"/>
              <w:left w:val="single" w:sz="8" w:space="0" w:color="000000"/>
              <w:bottom w:val="single" w:sz="8" w:space="0" w:color="000000"/>
              <w:right w:val="single" w:sz="8" w:space="0" w:color="000000"/>
            </w:tcBorders>
            <w:shd w:val="clear" w:color="auto" w:fill="EFA31F" w:themeFill="background2"/>
            <w:tcMar>
              <w:top w:w="57" w:type="dxa"/>
              <w:left w:w="102" w:type="dxa"/>
              <w:bottom w:w="57" w:type="dxa"/>
              <w:right w:w="102" w:type="dxa"/>
            </w:tcMar>
            <w:hideMark/>
          </w:tcPr>
          <w:p w14:paraId="045443F9" w14:textId="77777777" w:rsidR="00F2506D" w:rsidRPr="00BE0EEF" w:rsidRDefault="00F2506D" w:rsidP="00E73B5C">
            <w:pPr>
              <w:pStyle w:val="TableText"/>
              <w:jc w:val="center"/>
            </w:pPr>
            <w:r>
              <w:rPr>
                <w:b/>
              </w:rPr>
              <w:t>Marginally</w:t>
            </w:r>
            <w:r w:rsidRPr="00BE0EEF">
              <w:t xml:space="preserve"> possible</w:t>
            </w:r>
          </w:p>
          <w:p w14:paraId="2FC06786" w14:textId="77777777" w:rsidR="00F2506D" w:rsidRPr="00BE0EEF" w:rsidRDefault="00F2506D" w:rsidP="00E73B5C">
            <w:pPr>
              <w:pStyle w:val="TableText"/>
              <w:jc w:val="center"/>
            </w:pPr>
            <w:r w:rsidRPr="00BE0EEF">
              <w:t xml:space="preserve">Limitations may exist due to different funding bodies remaining, and the inherent role of </w:t>
            </w:r>
            <w:r w:rsidR="00140DE5">
              <w:t>DoHAC</w:t>
            </w:r>
          </w:p>
        </w:tc>
        <w:tc>
          <w:tcPr>
            <w:tcW w:w="2512" w:type="dxa"/>
            <w:tcBorders>
              <w:top w:val="single" w:sz="8" w:space="0" w:color="000000"/>
              <w:left w:val="single" w:sz="8" w:space="0" w:color="000000"/>
              <w:bottom w:val="single" w:sz="8" w:space="0" w:color="000000"/>
              <w:right w:val="single" w:sz="8" w:space="0" w:color="000000"/>
            </w:tcBorders>
            <w:shd w:val="clear" w:color="auto" w:fill="EFA31F" w:themeFill="background2"/>
            <w:tcMar>
              <w:top w:w="57" w:type="dxa"/>
              <w:left w:w="102" w:type="dxa"/>
              <w:bottom w:w="57" w:type="dxa"/>
              <w:right w:w="102" w:type="dxa"/>
            </w:tcMar>
            <w:hideMark/>
          </w:tcPr>
          <w:p w14:paraId="03503EC6" w14:textId="77777777" w:rsidR="00207841" w:rsidRDefault="00207841" w:rsidP="00E73B5C">
            <w:pPr>
              <w:pStyle w:val="TableText"/>
              <w:jc w:val="center"/>
            </w:pPr>
            <w:r w:rsidRPr="00BE0EEF">
              <w:t>Possible</w:t>
            </w:r>
          </w:p>
          <w:p w14:paraId="3884E329" w14:textId="045415EB" w:rsidR="00F2506D" w:rsidRPr="00BE0EEF" w:rsidRDefault="00207841" w:rsidP="00E73B5C">
            <w:pPr>
              <w:pStyle w:val="TableText"/>
              <w:jc w:val="center"/>
            </w:pPr>
            <w:r w:rsidRPr="007C65AD">
              <w:t>While, l</w:t>
            </w:r>
            <w:r w:rsidR="00F2506D" w:rsidRPr="007C65AD">
              <w:t>i</w:t>
            </w:r>
            <w:r w:rsidR="00F2506D" w:rsidRPr="00BE0EEF">
              <w:t>mitations may exist due to different funding bodies remaining, and the inherent role of</w:t>
            </w:r>
            <w:r w:rsidR="00F2506D">
              <w:t xml:space="preserve"> </w:t>
            </w:r>
            <w:r w:rsidR="00140DE5">
              <w:t>DoHAC</w:t>
            </w:r>
            <w:r>
              <w:t>, this arrangement would allow NACCHO to develop a nationally consistent and streamlined reporting approach</w:t>
            </w:r>
          </w:p>
        </w:tc>
      </w:tr>
      <w:tr w:rsidR="00F2506D" w:rsidRPr="00BE0EEF" w14:paraId="626E0F85" w14:textId="77777777" w:rsidTr="00E93B27">
        <w:trPr>
          <w:cantSplit/>
        </w:trPr>
        <w:tc>
          <w:tcPr>
            <w:tcW w:w="337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02" w:type="dxa"/>
              <w:bottom w:w="57" w:type="dxa"/>
              <w:right w:w="102" w:type="dxa"/>
            </w:tcMar>
            <w:hideMark/>
          </w:tcPr>
          <w:p w14:paraId="17E221D1" w14:textId="77777777" w:rsidR="00F2506D" w:rsidRPr="00BE0EEF" w:rsidRDefault="00F2506D" w:rsidP="00E73B5C">
            <w:pPr>
              <w:pStyle w:val="TableText"/>
            </w:pPr>
            <w:r w:rsidRPr="00BE0EEF">
              <w:t>1</w:t>
            </w:r>
            <w:r w:rsidR="008775D2">
              <w:t>6</w:t>
            </w:r>
            <w:r w:rsidRPr="00BE0EEF">
              <w:t xml:space="preserve"> – Transparent reporting</w:t>
            </w:r>
          </w:p>
        </w:tc>
        <w:tc>
          <w:tcPr>
            <w:tcW w:w="3071"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593808D8" w14:textId="77777777" w:rsidR="00F2506D" w:rsidRPr="00BE0EEF" w:rsidRDefault="00F2506D" w:rsidP="00E73B5C">
            <w:pPr>
              <w:pStyle w:val="TableText"/>
              <w:jc w:val="center"/>
            </w:pPr>
            <w:r w:rsidRPr="00BE0EEF">
              <w:t>Possible</w:t>
            </w:r>
          </w:p>
        </w:tc>
        <w:tc>
          <w:tcPr>
            <w:tcW w:w="0" w:type="auto"/>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55B82FF7" w14:textId="77777777" w:rsidR="00F2506D" w:rsidRPr="00BE0EEF" w:rsidRDefault="00F2506D" w:rsidP="00E73B5C">
            <w:pPr>
              <w:pStyle w:val="TableText"/>
              <w:jc w:val="center"/>
            </w:pPr>
            <w:r w:rsidRPr="00BE0EEF">
              <w:t>Possible</w:t>
            </w:r>
          </w:p>
        </w:tc>
        <w:tc>
          <w:tcPr>
            <w:tcW w:w="2890"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16150D58" w14:textId="77777777" w:rsidR="00F2506D" w:rsidRPr="00BE0EEF" w:rsidRDefault="00F2506D" w:rsidP="00E73B5C">
            <w:pPr>
              <w:pStyle w:val="TableText"/>
              <w:jc w:val="center"/>
            </w:pPr>
            <w:r w:rsidRPr="00BE0EEF">
              <w:t>Possible</w:t>
            </w:r>
          </w:p>
        </w:tc>
        <w:tc>
          <w:tcPr>
            <w:tcW w:w="2512"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40ADB10D" w14:textId="77777777" w:rsidR="00F2506D" w:rsidRPr="00BE0EEF" w:rsidRDefault="00F2506D" w:rsidP="00E73B5C">
            <w:pPr>
              <w:pStyle w:val="TableText"/>
              <w:jc w:val="center"/>
            </w:pPr>
            <w:r w:rsidRPr="00BE0EEF">
              <w:t>Possible</w:t>
            </w:r>
          </w:p>
        </w:tc>
      </w:tr>
      <w:tr w:rsidR="00140DE5" w:rsidRPr="00BE0EEF" w14:paraId="584BF29C" w14:textId="77777777" w:rsidTr="00E93B27">
        <w:trPr>
          <w:cantSplit/>
        </w:trPr>
        <w:tc>
          <w:tcPr>
            <w:tcW w:w="337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02" w:type="dxa"/>
              <w:bottom w:w="57" w:type="dxa"/>
              <w:right w:w="102" w:type="dxa"/>
            </w:tcMar>
            <w:hideMark/>
          </w:tcPr>
          <w:p w14:paraId="33564C51" w14:textId="77777777" w:rsidR="00140DE5" w:rsidRPr="00BE0EEF" w:rsidRDefault="00140DE5" w:rsidP="00E73B5C">
            <w:pPr>
              <w:pStyle w:val="TableText"/>
            </w:pPr>
            <w:r w:rsidRPr="00BE0EEF">
              <w:t>1</w:t>
            </w:r>
            <w:r w:rsidR="008775D2">
              <w:t>7</w:t>
            </w:r>
            <w:r w:rsidRPr="00BE0EEF">
              <w:t xml:space="preserve"> – Support for the broader Aboriginal and/or Torres Strait Islander workforce</w:t>
            </w:r>
          </w:p>
        </w:tc>
        <w:tc>
          <w:tcPr>
            <w:tcW w:w="3071"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10BA8197" w14:textId="77777777" w:rsidR="00140DE5" w:rsidRPr="00BE0EEF" w:rsidRDefault="00140DE5" w:rsidP="00E73B5C">
            <w:pPr>
              <w:pStyle w:val="TableText"/>
              <w:jc w:val="center"/>
            </w:pPr>
            <w:r w:rsidRPr="00BE0EEF">
              <w:t>Possible</w:t>
            </w:r>
          </w:p>
        </w:tc>
        <w:tc>
          <w:tcPr>
            <w:tcW w:w="0" w:type="auto"/>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5E0A403E" w14:textId="77777777" w:rsidR="00140DE5" w:rsidRPr="00BE0EEF" w:rsidRDefault="00140DE5" w:rsidP="00E73B5C">
            <w:pPr>
              <w:pStyle w:val="TableText"/>
              <w:jc w:val="center"/>
            </w:pPr>
            <w:r w:rsidRPr="00BE0EEF">
              <w:t>Possible</w:t>
            </w:r>
          </w:p>
        </w:tc>
        <w:tc>
          <w:tcPr>
            <w:tcW w:w="2890"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4A4F61D1" w14:textId="77777777" w:rsidR="00140DE5" w:rsidRPr="00BE0EEF" w:rsidRDefault="00140DE5" w:rsidP="00E73B5C">
            <w:pPr>
              <w:pStyle w:val="TableText"/>
              <w:jc w:val="center"/>
            </w:pPr>
            <w:r w:rsidRPr="00BE0EEF">
              <w:t>Possible</w:t>
            </w:r>
          </w:p>
        </w:tc>
        <w:tc>
          <w:tcPr>
            <w:tcW w:w="2512"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626859DA" w14:textId="77777777" w:rsidR="00140DE5" w:rsidRPr="00BE0EEF" w:rsidRDefault="00140DE5" w:rsidP="00E73B5C">
            <w:pPr>
              <w:pStyle w:val="TableText"/>
              <w:jc w:val="center"/>
            </w:pPr>
            <w:r w:rsidRPr="00BE0EEF">
              <w:t>Possible</w:t>
            </w:r>
          </w:p>
        </w:tc>
      </w:tr>
      <w:tr w:rsidR="00140DE5" w:rsidRPr="00BE0EEF" w14:paraId="14F225FE" w14:textId="77777777" w:rsidTr="00E93B27">
        <w:trPr>
          <w:cantSplit/>
        </w:trPr>
        <w:tc>
          <w:tcPr>
            <w:tcW w:w="337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02" w:type="dxa"/>
              <w:bottom w:w="57" w:type="dxa"/>
              <w:right w:w="102" w:type="dxa"/>
            </w:tcMar>
            <w:hideMark/>
          </w:tcPr>
          <w:p w14:paraId="74A73285" w14:textId="77777777" w:rsidR="00140DE5" w:rsidRPr="00BE0EEF" w:rsidRDefault="00140DE5" w:rsidP="00E73B5C">
            <w:pPr>
              <w:pStyle w:val="TableText"/>
            </w:pPr>
            <w:r w:rsidRPr="00BE0EEF">
              <w:t>1</w:t>
            </w:r>
            <w:r w:rsidR="008775D2">
              <w:t>8</w:t>
            </w:r>
            <w:r w:rsidRPr="00BE0EEF">
              <w:t xml:space="preserve"> – Interagency and jurisdictional collaboration</w:t>
            </w:r>
          </w:p>
        </w:tc>
        <w:tc>
          <w:tcPr>
            <w:tcW w:w="3071"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4D4A0F14" w14:textId="77777777" w:rsidR="00140DE5" w:rsidRPr="00BE0EEF" w:rsidRDefault="00140DE5" w:rsidP="00E73B5C">
            <w:pPr>
              <w:pStyle w:val="TableText"/>
              <w:jc w:val="center"/>
            </w:pPr>
            <w:r w:rsidRPr="00BE0EEF">
              <w:t>Possible</w:t>
            </w:r>
          </w:p>
        </w:tc>
        <w:tc>
          <w:tcPr>
            <w:tcW w:w="0" w:type="auto"/>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2D31485C" w14:textId="77777777" w:rsidR="00140DE5" w:rsidRPr="00BE0EEF" w:rsidRDefault="00140DE5" w:rsidP="00E73B5C">
            <w:pPr>
              <w:pStyle w:val="TableText"/>
              <w:jc w:val="center"/>
            </w:pPr>
            <w:r w:rsidRPr="00BE0EEF">
              <w:t>Possible</w:t>
            </w:r>
          </w:p>
        </w:tc>
        <w:tc>
          <w:tcPr>
            <w:tcW w:w="2890"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56B1BFF2" w14:textId="77777777" w:rsidR="00140DE5" w:rsidRPr="00BE0EEF" w:rsidRDefault="00140DE5" w:rsidP="00E73B5C">
            <w:pPr>
              <w:pStyle w:val="TableText"/>
              <w:jc w:val="center"/>
            </w:pPr>
            <w:r w:rsidRPr="00BE0EEF">
              <w:t>Possible</w:t>
            </w:r>
          </w:p>
        </w:tc>
        <w:tc>
          <w:tcPr>
            <w:tcW w:w="2512"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7C1D8E89" w14:textId="77777777" w:rsidR="00140DE5" w:rsidRPr="00BE0EEF" w:rsidRDefault="00140DE5" w:rsidP="00E73B5C">
            <w:pPr>
              <w:pStyle w:val="TableText"/>
              <w:jc w:val="center"/>
            </w:pPr>
            <w:r w:rsidRPr="00BE0EEF">
              <w:t>Possible</w:t>
            </w:r>
          </w:p>
        </w:tc>
      </w:tr>
      <w:tr w:rsidR="00140DE5" w:rsidRPr="00BE0EEF" w14:paraId="5FDB962A" w14:textId="77777777" w:rsidTr="00E93B27">
        <w:trPr>
          <w:cantSplit/>
        </w:trPr>
        <w:tc>
          <w:tcPr>
            <w:tcW w:w="337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02" w:type="dxa"/>
              <w:bottom w:w="57" w:type="dxa"/>
              <w:right w:w="102" w:type="dxa"/>
            </w:tcMar>
            <w:hideMark/>
          </w:tcPr>
          <w:p w14:paraId="28A83D4B" w14:textId="77777777" w:rsidR="00140DE5" w:rsidRPr="00BE0EEF" w:rsidRDefault="00140DE5" w:rsidP="00E73B5C">
            <w:pPr>
              <w:pStyle w:val="TableText"/>
            </w:pPr>
            <w:r w:rsidRPr="00BE0EEF">
              <w:t>1</w:t>
            </w:r>
            <w:r w:rsidR="008775D2">
              <w:t>9</w:t>
            </w:r>
            <w:r w:rsidRPr="00BE0EEF">
              <w:t xml:space="preserve"> – Enhance the non-Indigenous service sector with cultural safety</w:t>
            </w:r>
          </w:p>
        </w:tc>
        <w:tc>
          <w:tcPr>
            <w:tcW w:w="3071"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59442CAD" w14:textId="77777777" w:rsidR="00140DE5" w:rsidRPr="00BE0EEF" w:rsidRDefault="00140DE5" w:rsidP="00E73B5C">
            <w:pPr>
              <w:pStyle w:val="TableText"/>
              <w:jc w:val="center"/>
            </w:pPr>
            <w:r w:rsidRPr="00BE0EEF">
              <w:t>Possible</w:t>
            </w:r>
          </w:p>
        </w:tc>
        <w:tc>
          <w:tcPr>
            <w:tcW w:w="0" w:type="auto"/>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2772DF29" w14:textId="77777777" w:rsidR="00140DE5" w:rsidRPr="00BE0EEF" w:rsidRDefault="00140DE5" w:rsidP="00E73B5C">
            <w:pPr>
              <w:pStyle w:val="TableText"/>
              <w:jc w:val="center"/>
            </w:pPr>
            <w:r w:rsidRPr="00BE0EEF">
              <w:t>Possible</w:t>
            </w:r>
          </w:p>
        </w:tc>
        <w:tc>
          <w:tcPr>
            <w:tcW w:w="2890"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7CE7FA76" w14:textId="77777777" w:rsidR="00140DE5" w:rsidRPr="00BE0EEF" w:rsidRDefault="00140DE5" w:rsidP="00E73B5C">
            <w:pPr>
              <w:pStyle w:val="TableText"/>
              <w:jc w:val="center"/>
            </w:pPr>
            <w:r w:rsidRPr="00BE0EEF">
              <w:t>Possible</w:t>
            </w:r>
          </w:p>
        </w:tc>
        <w:tc>
          <w:tcPr>
            <w:tcW w:w="2512"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6A808783" w14:textId="77777777" w:rsidR="00140DE5" w:rsidRPr="00BE0EEF" w:rsidRDefault="00140DE5" w:rsidP="00E73B5C">
            <w:pPr>
              <w:pStyle w:val="TableText"/>
              <w:jc w:val="center"/>
            </w:pPr>
            <w:r w:rsidRPr="00BE0EEF">
              <w:t>Possible</w:t>
            </w:r>
          </w:p>
        </w:tc>
      </w:tr>
      <w:tr w:rsidR="00140DE5" w:rsidRPr="00BE0EEF" w14:paraId="6827D7C0" w14:textId="77777777" w:rsidTr="00E93B27">
        <w:trPr>
          <w:cantSplit/>
        </w:trPr>
        <w:tc>
          <w:tcPr>
            <w:tcW w:w="337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02" w:type="dxa"/>
              <w:bottom w:w="57" w:type="dxa"/>
              <w:right w:w="102" w:type="dxa"/>
            </w:tcMar>
            <w:hideMark/>
          </w:tcPr>
          <w:p w14:paraId="061CA07A" w14:textId="77777777" w:rsidR="00140DE5" w:rsidRPr="00BE0EEF" w:rsidRDefault="008775D2" w:rsidP="00E73B5C">
            <w:pPr>
              <w:pStyle w:val="TableText"/>
            </w:pPr>
            <w:r>
              <w:t>20</w:t>
            </w:r>
            <w:r w:rsidR="00140DE5" w:rsidRPr="00BE0EEF">
              <w:t xml:space="preserve"> – Service </w:t>
            </w:r>
            <w:r w:rsidR="00602CBE">
              <w:t>c</w:t>
            </w:r>
            <w:r w:rsidR="00140DE5" w:rsidRPr="00BE0EEF">
              <w:t>oordination</w:t>
            </w:r>
          </w:p>
        </w:tc>
        <w:tc>
          <w:tcPr>
            <w:tcW w:w="3071" w:type="dxa"/>
            <w:tcBorders>
              <w:top w:val="single" w:sz="8" w:space="0" w:color="000000"/>
              <w:left w:val="single" w:sz="8" w:space="0" w:color="000000"/>
              <w:bottom w:val="single" w:sz="8" w:space="0" w:color="000000"/>
              <w:right w:val="single" w:sz="8" w:space="0" w:color="000000"/>
            </w:tcBorders>
            <w:shd w:val="clear" w:color="auto" w:fill="EFA31F" w:themeFill="background2"/>
            <w:tcMar>
              <w:top w:w="57" w:type="dxa"/>
              <w:left w:w="102" w:type="dxa"/>
              <w:bottom w:w="57" w:type="dxa"/>
              <w:right w:w="102" w:type="dxa"/>
            </w:tcMar>
            <w:hideMark/>
          </w:tcPr>
          <w:p w14:paraId="13452C49" w14:textId="77777777" w:rsidR="00140DE5" w:rsidRPr="00BE0EEF" w:rsidRDefault="00140DE5" w:rsidP="00E73B5C">
            <w:pPr>
              <w:pStyle w:val="TableText"/>
              <w:jc w:val="center"/>
            </w:pPr>
            <w:r>
              <w:rPr>
                <w:b/>
              </w:rPr>
              <w:t>Marginally</w:t>
            </w:r>
            <w:r w:rsidRPr="00BE0EEF">
              <w:t xml:space="preserve"> possible</w:t>
            </w:r>
          </w:p>
          <w:p w14:paraId="5FC09654" w14:textId="77777777" w:rsidR="00140DE5" w:rsidRPr="00BE0EEF" w:rsidRDefault="00140DE5" w:rsidP="00E73B5C">
            <w:pPr>
              <w:pStyle w:val="TableText"/>
              <w:jc w:val="center"/>
            </w:pPr>
            <w:r w:rsidRPr="00BE0EEF">
              <w:t>Limitations may exist due to the nature of organisations being funded by different bodies for different services</w:t>
            </w:r>
          </w:p>
        </w:tc>
        <w:tc>
          <w:tcPr>
            <w:tcW w:w="0" w:type="auto"/>
            <w:tcBorders>
              <w:top w:val="single" w:sz="8" w:space="0" w:color="000000"/>
              <w:left w:val="single" w:sz="8" w:space="0" w:color="000000"/>
              <w:bottom w:val="single" w:sz="8" w:space="0" w:color="000000"/>
              <w:right w:val="single" w:sz="8" w:space="0" w:color="000000"/>
            </w:tcBorders>
            <w:shd w:val="clear" w:color="auto" w:fill="EFA31F" w:themeFill="background2"/>
            <w:tcMar>
              <w:top w:w="57" w:type="dxa"/>
              <w:left w:w="102" w:type="dxa"/>
              <w:bottom w:w="57" w:type="dxa"/>
              <w:right w:w="102" w:type="dxa"/>
            </w:tcMar>
            <w:hideMark/>
          </w:tcPr>
          <w:p w14:paraId="7A53FBFD" w14:textId="77777777" w:rsidR="00140DE5" w:rsidRPr="00BE0EEF" w:rsidRDefault="00140DE5" w:rsidP="00E73B5C">
            <w:pPr>
              <w:pStyle w:val="TableText"/>
              <w:jc w:val="center"/>
            </w:pPr>
            <w:r>
              <w:rPr>
                <w:b/>
              </w:rPr>
              <w:t>Marginally</w:t>
            </w:r>
            <w:r w:rsidRPr="00BE0EEF">
              <w:t xml:space="preserve"> possible</w:t>
            </w:r>
          </w:p>
          <w:p w14:paraId="02F71332" w14:textId="77777777" w:rsidR="00140DE5" w:rsidRPr="00BE0EEF" w:rsidRDefault="00140DE5" w:rsidP="00E73B5C">
            <w:pPr>
              <w:pStyle w:val="TableText"/>
              <w:jc w:val="center"/>
            </w:pPr>
            <w:r w:rsidRPr="00BE0EEF">
              <w:t>Limitations may exist due to the nature of organisations being funded by different bodies for different services</w:t>
            </w:r>
          </w:p>
        </w:tc>
        <w:tc>
          <w:tcPr>
            <w:tcW w:w="2890" w:type="dxa"/>
            <w:tcBorders>
              <w:top w:val="single" w:sz="8" w:space="0" w:color="000000"/>
              <w:left w:val="single" w:sz="8" w:space="0" w:color="000000"/>
              <w:bottom w:val="single" w:sz="8" w:space="0" w:color="000000"/>
              <w:right w:val="single" w:sz="8" w:space="0" w:color="000000"/>
            </w:tcBorders>
            <w:shd w:val="clear" w:color="auto" w:fill="EFA31F" w:themeFill="background2"/>
            <w:tcMar>
              <w:top w:w="57" w:type="dxa"/>
              <w:left w:w="102" w:type="dxa"/>
              <w:bottom w:w="57" w:type="dxa"/>
              <w:right w:w="102" w:type="dxa"/>
            </w:tcMar>
            <w:hideMark/>
          </w:tcPr>
          <w:p w14:paraId="5BA8296C" w14:textId="77777777" w:rsidR="00140DE5" w:rsidRPr="00BE0EEF" w:rsidRDefault="00140DE5" w:rsidP="00E73B5C">
            <w:pPr>
              <w:pStyle w:val="TableText"/>
              <w:jc w:val="center"/>
            </w:pPr>
            <w:r>
              <w:rPr>
                <w:b/>
              </w:rPr>
              <w:t>Marginally</w:t>
            </w:r>
            <w:r w:rsidRPr="00BE0EEF">
              <w:t xml:space="preserve"> possible</w:t>
            </w:r>
          </w:p>
          <w:p w14:paraId="5D4A0048" w14:textId="77777777" w:rsidR="00140DE5" w:rsidRPr="00BE0EEF" w:rsidRDefault="00140DE5" w:rsidP="00E73B5C">
            <w:pPr>
              <w:pStyle w:val="TableText"/>
              <w:jc w:val="center"/>
            </w:pPr>
            <w:r w:rsidRPr="00BE0EEF">
              <w:t>Limitations may exist due to the nature of organisations being funded by different bodies for different services</w:t>
            </w:r>
          </w:p>
        </w:tc>
        <w:tc>
          <w:tcPr>
            <w:tcW w:w="2512" w:type="dxa"/>
            <w:tcBorders>
              <w:top w:val="single" w:sz="8" w:space="0" w:color="000000"/>
              <w:left w:val="single" w:sz="8" w:space="0" w:color="000000"/>
              <w:bottom w:val="single" w:sz="8" w:space="0" w:color="000000"/>
              <w:right w:val="single" w:sz="8" w:space="0" w:color="000000"/>
            </w:tcBorders>
            <w:shd w:val="clear" w:color="auto" w:fill="EFA31F" w:themeFill="background2"/>
            <w:tcMar>
              <w:top w:w="57" w:type="dxa"/>
              <w:left w:w="102" w:type="dxa"/>
              <w:bottom w:w="57" w:type="dxa"/>
              <w:right w:w="102" w:type="dxa"/>
            </w:tcMar>
            <w:hideMark/>
          </w:tcPr>
          <w:p w14:paraId="7AF9B826" w14:textId="77777777" w:rsidR="00140DE5" w:rsidRPr="00BE0EEF" w:rsidRDefault="00140DE5" w:rsidP="00E73B5C">
            <w:pPr>
              <w:pStyle w:val="TableText"/>
              <w:jc w:val="center"/>
            </w:pPr>
            <w:r>
              <w:rPr>
                <w:b/>
              </w:rPr>
              <w:t>Marginally</w:t>
            </w:r>
            <w:r w:rsidRPr="00BE0EEF">
              <w:t xml:space="preserve"> possible</w:t>
            </w:r>
          </w:p>
          <w:p w14:paraId="591A7C85" w14:textId="77777777" w:rsidR="00140DE5" w:rsidRPr="00BE0EEF" w:rsidRDefault="00140DE5" w:rsidP="00E73B5C">
            <w:pPr>
              <w:pStyle w:val="TableText"/>
              <w:jc w:val="center"/>
            </w:pPr>
            <w:r w:rsidRPr="00BE0EEF">
              <w:t>Limitations may exist due to the nature of organisations being funded by different bodies for different services</w:t>
            </w:r>
          </w:p>
        </w:tc>
      </w:tr>
      <w:tr w:rsidR="00140DE5" w:rsidRPr="00BE0EEF" w14:paraId="500847BD" w14:textId="77777777" w:rsidTr="00E93B27">
        <w:trPr>
          <w:cantSplit/>
        </w:trPr>
        <w:tc>
          <w:tcPr>
            <w:tcW w:w="337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02" w:type="dxa"/>
              <w:bottom w:w="57" w:type="dxa"/>
              <w:right w:w="102" w:type="dxa"/>
            </w:tcMar>
            <w:hideMark/>
          </w:tcPr>
          <w:p w14:paraId="5B8CCDFE" w14:textId="77777777" w:rsidR="00140DE5" w:rsidRPr="00BE0EEF" w:rsidRDefault="008775D2" w:rsidP="00E73B5C">
            <w:pPr>
              <w:pStyle w:val="TableText"/>
            </w:pPr>
            <w:r>
              <w:t>21</w:t>
            </w:r>
            <w:r w:rsidR="00140DE5" w:rsidRPr="00BE0EEF">
              <w:t xml:space="preserve"> – No wrong door policy</w:t>
            </w:r>
          </w:p>
        </w:tc>
        <w:tc>
          <w:tcPr>
            <w:tcW w:w="3071" w:type="dxa"/>
            <w:tcBorders>
              <w:top w:val="single" w:sz="8" w:space="0" w:color="000000"/>
              <w:left w:val="single" w:sz="8" w:space="0" w:color="000000"/>
              <w:bottom w:val="single" w:sz="8" w:space="0" w:color="000000"/>
              <w:right w:val="single" w:sz="8" w:space="0" w:color="000000"/>
            </w:tcBorders>
            <w:shd w:val="clear" w:color="auto" w:fill="EFA31F" w:themeFill="background2"/>
            <w:tcMar>
              <w:top w:w="57" w:type="dxa"/>
              <w:left w:w="102" w:type="dxa"/>
              <w:bottom w:w="57" w:type="dxa"/>
              <w:right w:w="102" w:type="dxa"/>
            </w:tcMar>
            <w:hideMark/>
          </w:tcPr>
          <w:p w14:paraId="43C78308" w14:textId="77777777" w:rsidR="00140DE5" w:rsidRPr="00BE0EEF" w:rsidRDefault="00140DE5" w:rsidP="00E73B5C">
            <w:pPr>
              <w:pStyle w:val="TableText"/>
              <w:jc w:val="center"/>
            </w:pPr>
            <w:r w:rsidRPr="00E73B5C">
              <w:rPr>
                <w:b/>
                <w:bCs/>
              </w:rPr>
              <w:t>Marginally</w:t>
            </w:r>
            <w:r w:rsidRPr="00BE0EEF">
              <w:t xml:space="preserve"> possible</w:t>
            </w:r>
          </w:p>
          <w:p w14:paraId="57FAAA1D" w14:textId="77777777" w:rsidR="00140DE5" w:rsidRPr="00BE0EEF" w:rsidRDefault="00140DE5" w:rsidP="00E73B5C">
            <w:pPr>
              <w:pStyle w:val="TableText"/>
              <w:jc w:val="center"/>
            </w:pPr>
            <w:r w:rsidRPr="00BE0EEF">
              <w:t>Limitations may exist due to the nature of organisations being funded by different bodies for different services</w:t>
            </w:r>
          </w:p>
        </w:tc>
        <w:tc>
          <w:tcPr>
            <w:tcW w:w="0" w:type="auto"/>
            <w:tcBorders>
              <w:top w:val="single" w:sz="8" w:space="0" w:color="000000"/>
              <w:left w:val="single" w:sz="8" w:space="0" w:color="000000"/>
              <w:bottom w:val="single" w:sz="8" w:space="0" w:color="000000"/>
              <w:right w:val="single" w:sz="8" w:space="0" w:color="000000"/>
            </w:tcBorders>
            <w:shd w:val="clear" w:color="auto" w:fill="EFA31F" w:themeFill="background2"/>
            <w:tcMar>
              <w:top w:w="57" w:type="dxa"/>
              <w:left w:w="102" w:type="dxa"/>
              <w:bottom w:w="57" w:type="dxa"/>
              <w:right w:w="102" w:type="dxa"/>
            </w:tcMar>
            <w:hideMark/>
          </w:tcPr>
          <w:p w14:paraId="465CFD11" w14:textId="77777777" w:rsidR="00140DE5" w:rsidRPr="00BE0EEF" w:rsidRDefault="00140DE5" w:rsidP="00E73B5C">
            <w:pPr>
              <w:pStyle w:val="TableText"/>
              <w:jc w:val="center"/>
            </w:pPr>
            <w:r w:rsidRPr="00E73B5C">
              <w:rPr>
                <w:b/>
                <w:bCs/>
              </w:rPr>
              <w:t>Marginally</w:t>
            </w:r>
            <w:r w:rsidRPr="00BE0EEF">
              <w:t xml:space="preserve"> possible</w:t>
            </w:r>
          </w:p>
          <w:p w14:paraId="7865498B" w14:textId="77777777" w:rsidR="00140DE5" w:rsidRPr="00BE0EEF" w:rsidRDefault="00140DE5" w:rsidP="00E73B5C">
            <w:pPr>
              <w:pStyle w:val="TableText"/>
              <w:jc w:val="center"/>
            </w:pPr>
            <w:r w:rsidRPr="00BE0EEF">
              <w:t>Limitations may exist due to the nature of organisations being funded by different bodies for different services</w:t>
            </w:r>
          </w:p>
        </w:tc>
        <w:tc>
          <w:tcPr>
            <w:tcW w:w="2890" w:type="dxa"/>
            <w:tcBorders>
              <w:top w:val="single" w:sz="8" w:space="0" w:color="000000"/>
              <w:left w:val="single" w:sz="8" w:space="0" w:color="000000"/>
              <w:bottom w:val="single" w:sz="8" w:space="0" w:color="000000"/>
              <w:right w:val="single" w:sz="8" w:space="0" w:color="000000"/>
            </w:tcBorders>
            <w:shd w:val="clear" w:color="auto" w:fill="EFA31F" w:themeFill="background2"/>
            <w:tcMar>
              <w:top w:w="57" w:type="dxa"/>
              <w:left w:w="102" w:type="dxa"/>
              <w:bottom w:w="57" w:type="dxa"/>
              <w:right w:w="102" w:type="dxa"/>
            </w:tcMar>
            <w:hideMark/>
          </w:tcPr>
          <w:p w14:paraId="60C34790" w14:textId="77777777" w:rsidR="00140DE5" w:rsidRPr="00BE0EEF" w:rsidRDefault="00140DE5" w:rsidP="00E73B5C">
            <w:pPr>
              <w:pStyle w:val="TableText"/>
              <w:jc w:val="center"/>
            </w:pPr>
            <w:r w:rsidRPr="00E73B5C">
              <w:rPr>
                <w:b/>
                <w:bCs/>
              </w:rPr>
              <w:t>Marginally</w:t>
            </w:r>
            <w:r w:rsidRPr="00BE0EEF">
              <w:t xml:space="preserve"> possible</w:t>
            </w:r>
          </w:p>
          <w:p w14:paraId="3E9D5912" w14:textId="77777777" w:rsidR="00140DE5" w:rsidRPr="00BE0EEF" w:rsidRDefault="00140DE5" w:rsidP="00E73B5C">
            <w:pPr>
              <w:pStyle w:val="TableText"/>
              <w:jc w:val="center"/>
            </w:pPr>
            <w:r w:rsidRPr="00BE0EEF">
              <w:t>Limitations may exist due to the nature of organisations being funded by different bodies for different services</w:t>
            </w:r>
          </w:p>
        </w:tc>
        <w:tc>
          <w:tcPr>
            <w:tcW w:w="2512" w:type="dxa"/>
            <w:tcBorders>
              <w:top w:val="single" w:sz="8" w:space="0" w:color="000000"/>
              <w:left w:val="single" w:sz="8" w:space="0" w:color="000000"/>
              <w:bottom w:val="single" w:sz="8" w:space="0" w:color="000000"/>
              <w:right w:val="single" w:sz="8" w:space="0" w:color="000000"/>
            </w:tcBorders>
            <w:shd w:val="clear" w:color="auto" w:fill="EFA31F" w:themeFill="background2"/>
            <w:tcMar>
              <w:top w:w="57" w:type="dxa"/>
              <w:left w:w="102" w:type="dxa"/>
              <w:bottom w:w="57" w:type="dxa"/>
              <w:right w:w="102" w:type="dxa"/>
            </w:tcMar>
            <w:hideMark/>
          </w:tcPr>
          <w:p w14:paraId="356EE7BF" w14:textId="77777777" w:rsidR="00140DE5" w:rsidRPr="00BE0EEF" w:rsidRDefault="00140DE5" w:rsidP="00E73B5C">
            <w:pPr>
              <w:pStyle w:val="TableText"/>
              <w:jc w:val="center"/>
            </w:pPr>
            <w:r w:rsidRPr="00E73B5C">
              <w:rPr>
                <w:b/>
                <w:bCs/>
              </w:rPr>
              <w:t>Marginally</w:t>
            </w:r>
            <w:r w:rsidRPr="00BE0EEF">
              <w:t xml:space="preserve"> possible</w:t>
            </w:r>
          </w:p>
          <w:p w14:paraId="7ABD6CEA" w14:textId="77777777" w:rsidR="00140DE5" w:rsidRPr="00BE0EEF" w:rsidRDefault="00140DE5" w:rsidP="00E73B5C">
            <w:pPr>
              <w:pStyle w:val="TableText"/>
              <w:jc w:val="center"/>
            </w:pPr>
            <w:r w:rsidRPr="00BE0EEF">
              <w:t>Limitations may exist due to the nature of organisations being funded by different bodies for different services</w:t>
            </w:r>
          </w:p>
        </w:tc>
      </w:tr>
      <w:tr w:rsidR="00BE0EEF" w:rsidRPr="00BE0EEF" w14:paraId="048FD842" w14:textId="77777777" w:rsidTr="00E93B27">
        <w:trPr>
          <w:cantSplit/>
          <w:trHeight w:val="400"/>
        </w:trPr>
        <w:tc>
          <w:tcPr>
            <w:tcW w:w="14596" w:type="dxa"/>
            <w:gridSpan w:val="5"/>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57" w:type="dxa"/>
              <w:left w:w="102" w:type="dxa"/>
              <w:bottom w:w="57" w:type="dxa"/>
              <w:right w:w="102" w:type="dxa"/>
            </w:tcMar>
            <w:hideMark/>
          </w:tcPr>
          <w:p w14:paraId="68B50BBA" w14:textId="77777777" w:rsidR="00BE0EEF" w:rsidRPr="001536F8" w:rsidRDefault="00BE0EEF" w:rsidP="00024E8D">
            <w:pPr>
              <w:pStyle w:val="TableHeading"/>
              <w:rPr>
                <w:b/>
                <w:bCs/>
              </w:rPr>
            </w:pPr>
            <w:r w:rsidRPr="001536F8">
              <w:rPr>
                <w:b/>
                <w:bCs/>
                <w:color w:val="auto"/>
              </w:rPr>
              <w:t>Other benefits identified</w:t>
            </w:r>
          </w:p>
        </w:tc>
      </w:tr>
      <w:tr w:rsidR="003D5690" w:rsidRPr="00BE0EEF" w14:paraId="55C0D689" w14:textId="77777777" w:rsidTr="00E93B27">
        <w:trPr>
          <w:cantSplit/>
        </w:trPr>
        <w:tc>
          <w:tcPr>
            <w:tcW w:w="337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02" w:type="dxa"/>
              <w:bottom w:w="57" w:type="dxa"/>
              <w:right w:w="102" w:type="dxa"/>
            </w:tcMar>
            <w:hideMark/>
          </w:tcPr>
          <w:p w14:paraId="1D680EDB" w14:textId="77777777" w:rsidR="00BE0EEF" w:rsidRPr="000A0588" w:rsidRDefault="00BE0EEF" w:rsidP="000A0588">
            <w:pPr>
              <w:pStyle w:val="TableText"/>
              <w:rPr>
                <w:b/>
                <w:bCs/>
              </w:rPr>
            </w:pPr>
            <w:r w:rsidRPr="000A0588">
              <w:rPr>
                <w:b/>
                <w:bCs/>
              </w:rPr>
              <w:t>Funding certainty</w:t>
            </w:r>
          </w:p>
          <w:p w14:paraId="3C0EA7D9" w14:textId="77777777" w:rsidR="00BE0EEF" w:rsidRPr="00BE0EEF" w:rsidRDefault="00BE0EEF" w:rsidP="000A0588">
            <w:pPr>
              <w:pStyle w:val="TableText"/>
            </w:pPr>
            <w:r w:rsidRPr="00BE0EEF">
              <w:t>ACCHOs will have more predictable funding</w:t>
            </w:r>
          </w:p>
        </w:tc>
        <w:tc>
          <w:tcPr>
            <w:tcW w:w="3071" w:type="dxa"/>
            <w:tcBorders>
              <w:top w:val="single" w:sz="8" w:space="0" w:color="000000"/>
              <w:left w:val="single" w:sz="8" w:space="0" w:color="000000"/>
              <w:bottom w:val="single" w:sz="8" w:space="0" w:color="000000"/>
              <w:right w:val="single" w:sz="8" w:space="0" w:color="000000"/>
            </w:tcBorders>
            <w:shd w:val="clear" w:color="auto" w:fill="0196A7" w:themeFill="accent3"/>
            <w:tcMar>
              <w:top w:w="57" w:type="dxa"/>
              <w:left w:w="102" w:type="dxa"/>
              <w:bottom w:w="57" w:type="dxa"/>
              <w:right w:w="102" w:type="dxa"/>
            </w:tcMar>
            <w:hideMark/>
          </w:tcPr>
          <w:p w14:paraId="194A03D4" w14:textId="77777777" w:rsidR="00BE0EEF" w:rsidRPr="00BE0EEF" w:rsidRDefault="00BE0EEF" w:rsidP="000A0588">
            <w:pPr>
              <w:pStyle w:val="TableText"/>
              <w:jc w:val="center"/>
            </w:pPr>
            <w:r w:rsidRPr="00BE0EEF">
              <w:rPr>
                <w:b/>
              </w:rPr>
              <w:t>Very</w:t>
            </w:r>
            <w:r w:rsidRPr="00BE0EEF">
              <w:t xml:space="preserve"> possible</w:t>
            </w:r>
          </w:p>
        </w:tc>
        <w:tc>
          <w:tcPr>
            <w:tcW w:w="0" w:type="auto"/>
            <w:tcBorders>
              <w:top w:val="single" w:sz="8" w:space="0" w:color="000000"/>
              <w:left w:val="single" w:sz="8" w:space="0" w:color="000000"/>
              <w:bottom w:val="single" w:sz="8" w:space="0" w:color="000000"/>
              <w:right w:val="single" w:sz="8" w:space="0" w:color="000000"/>
            </w:tcBorders>
            <w:shd w:val="clear" w:color="auto" w:fill="0196A7" w:themeFill="accent3"/>
            <w:tcMar>
              <w:top w:w="57" w:type="dxa"/>
              <w:left w:w="102" w:type="dxa"/>
              <w:bottom w:w="57" w:type="dxa"/>
              <w:right w:w="102" w:type="dxa"/>
            </w:tcMar>
            <w:hideMark/>
          </w:tcPr>
          <w:p w14:paraId="4781A73E" w14:textId="77777777" w:rsidR="00BE0EEF" w:rsidRPr="00BE0EEF" w:rsidRDefault="00BE0EEF" w:rsidP="000A0588">
            <w:pPr>
              <w:pStyle w:val="TableText"/>
              <w:jc w:val="center"/>
            </w:pPr>
            <w:r w:rsidRPr="00BE0EEF">
              <w:rPr>
                <w:b/>
              </w:rPr>
              <w:t>Very</w:t>
            </w:r>
            <w:r w:rsidRPr="00BE0EEF">
              <w:t xml:space="preserve"> possible</w:t>
            </w:r>
          </w:p>
        </w:tc>
        <w:tc>
          <w:tcPr>
            <w:tcW w:w="2890"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53F9DD73" w14:textId="77777777" w:rsidR="00BE0EEF" w:rsidRPr="00BE0EEF" w:rsidRDefault="00BE0EEF" w:rsidP="000A0588">
            <w:pPr>
              <w:pStyle w:val="TableText"/>
              <w:jc w:val="center"/>
            </w:pPr>
            <w:r w:rsidRPr="00BE0EEF">
              <w:t>Possible</w:t>
            </w:r>
          </w:p>
          <w:p w14:paraId="33B15C25" w14:textId="77777777" w:rsidR="00BE0EEF" w:rsidRPr="00BE0EEF" w:rsidRDefault="00BE0EEF" w:rsidP="000A0588">
            <w:pPr>
              <w:pStyle w:val="TableText"/>
              <w:jc w:val="center"/>
            </w:pPr>
            <w:r w:rsidRPr="00BE0EEF">
              <w:t>Due to current processes</w:t>
            </w:r>
            <w:r w:rsidR="00E90059">
              <w:t xml:space="preserve"> led by </w:t>
            </w:r>
            <w:r w:rsidR="003D1CAE">
              <w:t>DoHAC</w:t>
            </w:r>
            <w:r w:rsidRPr="00BE0EEF">
              <w:t>, it is possible that existing challenges with funding certainty will remain.</w:t>
            </w:r>
          </w:p>
        </w:tc>
        <w:tc>
          <w:tcPr>
            <w:tcW w:w="2512" w:type="dxa"/>
            <w:tcBorders>
              <w:top w:val="single" w:sz="8" w:space="0" w:color="000000"/>
              <w:left w:val="single" w:sz="8" w:space="0" w:color="000000"/>
              <w:bottom w:val="single" w:sz="8" w:space="0" w:color="000000"/>
              <w:right w:val="single" w:sz="8" w:space="0" w:color="000000"/>
            </w:tcBorders>
            <w:shd w:val="clear" w:color="auto" w:fill="0196A7" w:themeFill="accent3"/>
            <w:tcMar>
              <w:top w:w="57" w:type="dxa"/>
              <w:left w:w="102" w:type="dxa"/>
              <w:bottom w:w="57" w:type="dxa"/>
              <w:right w:w="102" w:type="dxa"/>
            </w:tcMar>
            <w:hideMark/>
          </w:tcPr>
          <w:p w14:paraId="3628C957" w14:textId="77777777" w:rsidR="00BE0EEF" w:rsidRPr="00BE0EEF" w:rsidRDefault="00BE0EEF" w:rsidP="000A0588">
            <w:pPr>
              <w:pStyle w:val="TableText"/>
              <w:jc w:val="center"/>
            </w:pPr>
            <w:r w:rsidRPr="00BE0EEF">
              <w:rPr>
                <w:b/>
              </w:rPr>
              <w:t>Very</w:t>
            </w:r>
            <w:r w:rsidRPr="00BE0EEF">
              <w:t xml:space="preserve"> possible</w:t>
            </w:r>
          </w:p>
        </w:tc>
      </w:tr>
      <w:tr w:rsidR="003D5690" w:rsidRPr="00BE0EEF" w14:paraId="7F649A83" w14:textId="77777777" w:rsidTr="00E93B27">
        <w:trPr>
          <w:cantSplit/>
        </w:trPr>
        <w:tc>
          <w:tcPr>
            <w:tcW w:w="337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02" w:type="dxa"/>
              <w:bottom w:w="57" w:type="dxa"/>
              <w:right w:w="102" w:type="dxa"/>
            </w:tcMar>
            <w:hideMark/>
          </w:tcPr>
          <w:p w14:paraId="61F32DFE" w14:textId="77777777" w:rsidR="00BE0EEF" w:rsidRPr="000A0588" w:rsidRDefault="00BE0EEF" w:rsidP="000A0588">
            <w:pPr>
              <w:pStyle w:val="TableText"/>
              <w:rPr>
                <w:b/>
                <w:bCs/>
              </w:rPr>
            </w:pPr>
            <w:r w:rsidRPr="000A0588">
              <w:rPr>
                <w:b/>
                <w:bCs/>
              </w:rPr>
              <w:t>Capacity building</w:t>
            </w:r>
          </w:p>
          <w:p w14:paraId="49385C83" w14:textId="77777777" w:rsidR="00BE0EEF" w:rsidRPr="00BE0EEF" w:rsidRDefault="00BE0EEF" w:rsidP="000A0588">
            <w:pPr>
              <w:pStyle w:val="TableText"/>
            </w:pPr>
            <w:r w:rsidRPr="00BE0EEF">
              <w:t>ACCHOs can have the opportunity to improve their skills and abilities, supported by more predictable funding</w:t>
            </w:r>
          </w:p>
        </w:tc>
        <w:tc>
          <w:tcPr>
            <w:tcW w:w="3071" w:type="dxa"/>
            <w:tcBorders>
              <w:top w:val="single" w:sz="8" w:space="0" w:color="000000"/>
              <w:left w:val="single" w:sz="8" w:space="0" w:color="000000"/>
              <w:bottom w:val="single" w:sz="8" w:space="0" w:color="000000"/>
              <w:right w:val="single" w:sz="8" w:space="0" w:color="000000"/>
            </w:tcBorders>
            <w:shd w:val="clear" w:color="auto" w:fill="0196A7" w:themeFill="accent3"/>
            <w:tcMar>
              <w:top w:w="57" w:type="dxa"/>
              <w:left w:w="102" w:type="dxa"/>
              <w:bottom w:w="57" w:type="dxa"/>
              <w:right w:w="102" w:type="dxa"/>
            </w:tcMar>
            <w:hideMark/>
          </w:tcPr>
          <w:p w14:paraId="1241F55E" w14:textId="77777777" w:rsidR="00BE0EEF" w:rsidRPr="00BE0EEF" w:rsidRDefault="00BE0EEF" w:rsidP="000A0588">
            <w:pPr>
              <w:pStyle w:val="TableText"/>
              <w:jc w:val="center"/>
            </w:pPr>
            <w:r w:rsidRPr="00BE0EEF">
              <w:rPr>
                <w:b/>
              </w:rPr>
              <w:t>Very</w:t>
            </w:r>
            <w:r w:rsidRPr="00BE0EEF">
              <w:t xml:space="preserve"> possible</w:t>
            </w:r>
          </w:p>
        </w:tc>
        <w:tc>
          <w:tcPr>
            <w:tcW w:w="0" w:type="auto"/>
            <w:tcBorders>
              <w:top w:val="single" w:sz="8" w:space="0" w:color="000000"/>
              <w:left w:val="single" w:sz="8" w:space="0" w:color="000000"/>
              <w:bottom w:val="single" w:sz="8" w:space="0" w:color="000000"/>
              <w:right w:val="single" w:sz="8" w:space="0" w:color="000000"/>
            </w:tcBorders>
            <w:shd w:val="clear" w:color="auto" w:fill="0196A7" w:themeFill="accent3"/>
            <w:tcMar>
              <w:top w:w="57" w:type="dxa"/>
              <w:left w:w="102" w:type="dxa"/>
              <w:bottom w:w="57" w:type="dxa"/>
              <w:right w:w="102" w:type="dxa"/>
            </w:tcMar>
            <w:hideMark/>
          </w:tcPr>
          <w:p w14:paraId="076EE095" w14:textId="77777777" w:rsidR="00BE0EEF" w:rsidRPr="00BE0EEF" w:rsidRDefault="00BE0EEF" w:rsidP="000A0588">
            <w:pPr>
              <w:pStyle w:val="TableText"/>
              <w:jc w:val="center"/>
            </w:pPr>
            <w:r w:rsidRPr="00BE0EEF">
              <w:rPr>
                <w:b/>
              </w:rPr>
              <w:t>Very</w:t>
            </w:r>
            <w:r w:rsidRPr="00BE0EEF">
              <w:t xml:space="preserve"> possible</w:t>
            </w:r>
          </w:p>
        </w:tc>
        <w:tc>
          <w:tcPr>
            <w:tcW w:w="2890"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43AA67E8" w14:textId="77777777" w:rsidR="00BE0EEF" w:rsidRPr="00BE0EEF" w:rsidRDefault="00BE0EEF" w:rsidP="000A0588">
            <w:pPr>
              <w:pStyle w:val="TableText"/>
              <w:jc w:val="center"/>
            </w:pPr>
            <w:r w:rsidRPr="00BE0EEF">
              <w:t>Possible</w:t>
            </w:r>
          </w:p>
          <w:p w14:paraId="7B60F676" w14:textId="77777777" w:rsidR="00BE0EEF" w:rsidRPr="00BE0EEF" w:rsidRDefault="00BE0EEF" w:rsidP="000A0588">
            <w:pPr>
              <w:pStyle w:val="TableText"/>
              <w:jc w:val="center"/>
            </w:pPr>
            <w:r w:rsidRPr="00BE0EEF">
              <w:t>Due to current processes</w:t>
            </w:r>
            <w:r w:rsidR="00E90059">
              <w:t xml:space="preserve"> led by </w:t>
            </w:r>
            <w:r w:rsidR="003D1CAE">
              <w:t>DoHAC</w:t>
            </w:r>
            <w:r w:rsidRPr="00BE0EEF">
              <w:t>, it is possible that existing challenges with funding certainty will remain.</w:t>
            </w:r>
          </w:p>
        </w:tc>
        <w:tc>
          <w:tcPr>
            <w:tcW w:w="2512" w:type="dxa"/>
            <w:tcBorders>
              <w:top w:val="single" w:sz="8" w:space="0" w:color="000000"/>
              <w:left w:val="single" w:sz="8" w:space="0" w:color="000000"/>
              <w:bottom w:val="single" w:sz="8" w:space="0" w:color="000000"/>
              <w:right w:val="single" w:sz="8" w:space="0" w:color="000000"/>
            </w:tcBorders>
            <w:shd w:val="clear" w:color="auto" w:fill="0196A7" w:themeFill="accent3"/>
            <w:tcMar>
              <w:top w:w="57" w:type="dxa"/>
              <w:left w:w="102" w:type="dxa"/>
              <w:bottom w:w="57" w:type="dxa"/>
              <w:right w:w="102" w:type="dxa"/>
            </w:tcMar>
            <w:hideMark/>
          </w:tcPr>
          <w:p w14:paraId="51DBFC23" w14:textId="77777777" w:rsidR="00BE0EEF" w:rsidRPr="00BE0EEF" w:rsidRDefault="00BE0EEF" w:rsidP="000A0588">
            <w:pPr>
              <w:pStyle w:val="TableText"/>
              <w:jc w:val="center"/>
            </w:pPr>
            <w:r w:rsidRPr="00BE0EEF">
              <w:rPr>
                <w:b/>
              </w:rPr>
              <w:t>Very</w:t>
            </w:r>
            <w:r w:rsidRPr="00BE0EEF">
              <w:t xml:space="preserve"> possible</w:t>
            </w:r>
          </w:p>
        </w:tc>
      </w:tr>
      <w:tr w:rsidR="003D5690" w:rsidRPr="00BE0EEF" w14:paraId="4C5871A3" w14:textId="77777777" w:rsidTr="00E93B27">
        <w:trPr>
          <w:cantSplit/>
        </w:trPr>
        <w:tc>
          <w:tcPr>
            <w:tcW w:w="337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02" w:type="dxa"/>
              <w:bottom w:w="57" w:type="dxa"/>
              <w:right w:w="102" w:type="dxa"/>
            </w:tcMar>
            <w:hideMark/>
          </w:tcPr>
          <w:p w14:paraId="51887E96" w14:textId="77777777" w:rsidR="00BE0EEF" w:rsidRPr="000A0588" w:rsidRDefault="00BE0EEF" w:rsidP="000A0588">
            <w:pPr>
              <w:pStyle w:val="TableText"/>
              <w:rPr>
                <w:b/>
                <w:bCs/>
              </w:rPr>
            </w:pPr>
            <w:r w:rsidRPr="000A0588">
              <w:rPr>
                <w:b/>
                <w:bCs/>
              </w:rPr>
              <w:t>Streamlined back-of-house functions</w:t>
            </w:r>
          </w:p>
          <w:p w14:paraId="7C6D2904" w14:textId="77777777" w:rsidR="00BE0EEF" w:rsidRPr="00BE0EEF" w:rsidRDefault="00BE0EEF" w:rsidP="000A0588">
            <w:pPr>
              <w:pStyle w:val="TableText"/>
            </w:pPr>
            <w:r w:rsidRPr="00BE0EEF">
              <w:t>Organisations can collaborate to make back-office tasks, such as training, administration and other similar activities, more efficient</w:t>
            </w:r>
          </w:p>
        </w:tc>
        <w:tc>
          <w:tcPr>
            <w:tcW w:w="3071" w:type="dxa"/>
            <w:tcBorders>
              <w:top w:val="single" w:sz="8" w:space="0" w:color="000000"/>
              <w:left w:val="single" w:sz="8" w:space="0" w:color="000000"/>
              <w:bottom w:val="single" w:sz="8" w:space="0" w:color="000000"/>
              <w:right w:val="single" w:sz="8" w:space="0" w:color="000000"/>
            </w:tcBorders>
            <w:shd w:val="clear" w:color="auto" w:fill="0196A7" w:themeFill="accent3"/>
            <w:tcMar>
              <w:top w:w="57" w:type="dxa"/>
              <w:left w:w="102" w:type="dxa"/>
              <w:bottom w:w="57" w:type="dxa"/>
              <w:right w:w="102" w:type="dxa"/>
            </w:tcMar>
            <w:hideMark/>
          </w:tcPr>
          <w:p w14:paraId="02CB6735" w14:textId="77777777" w:rsidR="00BE0EEF" w:rsidRPr="00BE0EEF" w:rsidRDefault="00BE0EEF" w:rsidP="000A0588">
            <w:pPr>
              <w:pStyle w:val="TableText"/>
              <w:jc w:val="center"/>
            </w:pPr>
            <w:r w:rsidRPr="00BE0EEF">
              <w:rPr>
                <w:b/>
              </w:rPr>
              <w:t>Very</w:t>
            </w:r>
            <w:r w:rsidRPr="00BE0EEF">
              <w:t xml:space="preserve"> possible</w:t>
            </w:r>
          </w:p>
          <w:p w14:paraId="50430D2E" w14:textId="77777777" w:rsidR="00BE0EEF" w:rsidRPr="00BE0EEF" w:rsidRDefault="00BE0EEF" w:rsidP="000A0588">
            <w:pPr>
              <w:pStyle w:val="TableText"/>
              <w:jc w:val="center"/>
            </w:pPr>
            <w:r w:rsidRPr="00BE0EEF">
              <w:t>Due to the reach and scale of state/territory organisations, it is very possible that organisations can leverage their size to improve efficiencies</w:t>
            </w:r>
          </w:p>
        </w:tc>
        <w:tc>
          <w:tcPr>
            <w:tcW w:w="0" w:type="auto"/>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375D8F01" w14:textId="77777777" w:rsidR="00BE0EEF" w:rsidRPr="00BE0EEF" w:rsidRDefault="00BE0EEF" w:rsidP="000A0588">
            <w:pPr>
              <w:pStyle w:val="TableText"/>
              <w:jc w:val="center"/>
            </w:pPr>
            <w:r w:rsidRPr="00BE0EEF">
              <w:t>Possible</w:t>
            </w:r>
          </w:p>
          <w:p w14:paraId="1B43FC6C" w14:textId="77777777" w:rsidR="00BE0EEF" w:rsidRPr="00BE0EEF" w:rsidRDefault="00BE0EEF" w:rsidP="000A0588">
            <w:pPr>
              <w:pStyle w:val="TableText"/>
              <w:jc w:val="center"/>
            </w:pPr>
            <w:r w:rsidRPr="00BE0EEF">
              <w:t>Due to the reach and scale of some regional organisations, it is very possible that organisations can leverage their size to improve efficiencies</w:t>
            </w:r>
          </w:p>
        </w:tc>
        <w:tc>
          <w:tcPr>
            <w:tcW w:w="2890" w:type="dxa"/>
            <w:tcBorders>
              <w:top w:val="single" w:sz="8" w:space="0" w:color="000000"/>
              <w:left w:val="single" w:sz="8" w:space="0" w:color="000000"/>
              <w:bottom w:val="single" w:sz="8" w:space="0" w:color="000000"/>
              <w:right w:val="single" w:sz="8" w:space="0" w:color="000000"/>
            </w:tcBorders>
            <w:shd w:val="clear" w:color="auto" w:fill="EFA31F" w:themeFill="background2"/>
            <w:tcMar>
              <w:top w:w="57" w:type="dxa"/>
              <w:left w:w="102" w:type="dxa"/>
              <w:bottom w:w="57" w:type="dxa"/>
              <w:right w:w="102" w:type="dxa"/>
            </w:tcMar>
            <w:hideMark/>
          </w:tcPr>
          <w:p w14:paraId="1A3773A8" w14:textId="77777777" w:rsidR="00BE0EEF" w:rsidRPr="00BE0EEF" w:rsidRDefault="00BE0EEF" w:rsidP="000A0588">
            <w:pPr>
              <w:pStyle w:val="TableText"/>
              <w:jc w:val="center"/>
            </w:pPr>
            <w:r>
              <w:rPr>
                <w:b/>
              </w:rPr>
              <w:t>Marginally</w:t>
            </w:r>
            <w:r w:rsidRPr="00BE0EEF">
              <w:t xml:space="preserve"> possible</w:t>
            </w:r>
          </w:p>
          <w:p w14:paraId="5C5CC541" w14:textId="77777777" w:rsidR="00BE0EEF" w:rsidRPr="00BE0EEF" w:rsidRDefault="00BE0EEF" w:rsidP="000A0588">
            <w:pPr>
              <w:pStyle w:val="TableText"/>
              <w:jc w:val="center"/>
            </w:pPr>
            <w:r w:rsidRPr="00BE0EEF">
              <w:t xml:space="preserve">Due to the comparatively limited reach and scale of individual ACCHOs, it is </w:t>
            </w:r>
            <w:r w:rsidR="00751BAF">
              <w:t>m</w:t>
            </w:r>
            <w:r>
              <w:t>arginally</w:t>
            </w:r>
            <w:r w:rsidRPr="00BE0EEF">
              <w:t xml:space="preserve"> possible that organisations may benefit from efficiencies</w:t>
            </w:r>
          </w:p>
        </w:tc>
        <w:tc>
          <w:tcPr>
            <w:tcW w:w="2512" w:type="dxa"/>
            <w:tcBorders>
              <w:top w:val="single" w:sz="8" w:space="0" w:color="000000"/>
              <w:left w:val="single" w:sz="8" w:space="0" w:color="000000"/>
              <w:bottom w:val="single" w:sz="8" w:space="0" w:color="000000"/>
              <w:right w:val="single" w:sz="8" w:space="0" w:color="000000"/>
            </w:tcBorders>
            <w:shd w:val="clear" w:color="auto" w:fill="0196A7" w:themeFill="accent3"/>
            <w:tcMar>
              <w:top w:w="57" w:type="dxa"/>
              <w:left w:w="102" w:type="dxa"/>
              <w:bottom w:w="57" w:type="dxa"/>
              <w:right w:w="102" w:type="dxa"/>
            </w:tcMar>
            <w:hideMark/>
          </w:tcPr>
          <w:p w14:paraId="6E08248E" w14:textId="77777777" w:rsidR="00BE0EEF" w:rsidRPr="00BE0EEF" w:rsidRDefault="00BE0EEF" w:rsidP="000A0588">
            <w:pPr>
              <w:pStyle w:val="TableText"/>
              <w:jc w:val="center"/>
            </w:pPr>
            <w:r w:rsidRPr="00BE0EEF">
              <w:rPr>
                <w:b/>
              </w:rPr>
              <w:t>Very</w:t>
            </w:r>
            <w:r w:rsidRPr="00BE0EEF">
              <w:t xml:space="preserve"> possible</w:t>
            </w:r>
          </w:p>
          <w:p w14:paraId="496F428A" w14:textId="77777777" w:rsidR="00BE0EEF" w:rsidRPr="00BE0EEF" w:rsidRDefault="00BE0EEF" w:rsidP="000A0588">
            <w:pPr>
              <w:pStyle w:val="TableText"/>
              <w:jc w:val="center"/>
            </w:pPr>
            <w:r w:rsidRPr="00BE0EEF">
              <w:t xml:space="preserve">Due to the reach and scale of a national organisation, it is very possible that NACCHO can leverage </w:t>
            </w:r>
            <w:r w:rsidR="00751BAF">
              <w:t>its</w:t>
            </w:r>
            <w:r w:rsidRPr="00BE0EEF">
              <w:t xml:space="preserve"> size to improve efficiencies</w:t>
            </w:r>
          </w:p>
        </w:tc>
      </w:tr>
      <w:tr w:rsidR="003D5690" w:rsidRPr="00BE0EEF" w14:paraId="7302F0F3" w14:textId="77777777" w:rsidTr="00E93B27">
        <w:trPr>
          <w:cantSplit/>
        </w:trPr>
        <w:tc>
          <w:tcPr>
            <w:tcW w:w="337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02" w:type="dxa"/>
              <w:bottom w:w="57" w:type="dxa"/>
              <w:right w:w="102" w:type="dxa"/>
            </w:tcMar>
            <w:hideMark/>
          </w:tcPr>
          <w:p w14:paraId="780C5B52" w14:textId="77777777" w:rsidR="00BE0EEF" w:rsidRPr="000A0588" w:rsidRDefault="00BE0EEF" w:rsidP="000A0588">
            <w:pPr>
              <w:pStyle w:val="TableText"/>
              <w:rPr>
                <w:b/>
                <w:bCs/>
              </w:rPr>
            </w:pPr>
            <w:r w:rsidRPr="000A0588">
              <w:rPr>
                <w:b/>
                <w:bCs/>
              </w:rPr>
              <w:t>Reduced administrative and workload burden</w:t>
            </w:r>
          </w:p>
          <w:p w14:paraId="0D184237" w14:textId="77777777" w:rsidR="00BE0EEF" w:rsidRPr="00BE0EEF" w:rsidRDefault="00BE0EEF" w:rsidP="000A0588">
            <w:pPr>
              <w:pStyle w:val="TableText"/>
            </w:pPr>
            <w:r w:rsidRPr="00BE0EEF">
              <w:t>The funding arrangement will reduce the (duplicative) workload for both the funding body and the service providers</w:t>
            </w:r>
          </w:p>
        </w:tc>
        <w:tc>
          <w:tcPr>
            <w:tcW w:w="3071" w:type="dxa"/>
            <w:tcBorders>
              <w:top w:val="single" w:sz="8" w:space="0" w:color="000000"/>
              <w:left w:val="single" w:sz="8" w:space="0" w:color="000000"/>
              <w:bottom w:val="single" w:sz="8" w:space="0" w:color="000000"/>
              <w:right w:val="single" w:sz="8" w:space="0" w:color="000000"/>
            </w:tcBorders>
            <w:shd w:val="clear" w:color="auto" w:fill="0196A7" w:themeFill="accent3"/>
            <w:tcMar>
              <w:top w:w="57" w:type="dxa"/>
              <w:left w:w="102" w:type="dxa"/>
              <w:bottom w:w="57" w:type="dxa"/>
              <w:right w:w="102" w:type="dxa"/>
            </w:tcMar>
            <w:hideMark/>
          </w:tcPr>
          <w:p w14:paraId="76B10155" w14:textId="77777777" w:rsidR="00BE0EEF" w:rsidRPr="00BE0EEF" w:rsidRDefault="00BE0EEF" w:rsidP="000A0588">
            <w:pPr>
              <w:pStyle w:val="TableText"/>
              <w:jc w:val="center"/>
            </w:pPr>
            <w:r w:rsidRPr="00BE0EEF">
              <w:rPr>
                <w:b/>
              </w:rPr>
              <w:t>Very</w:t>
            </w:r>
            <w:r w:rsidRPr="00BE0EEF">
              <w:t xml:space="preserve"> possible</w:t>
            </w:r>
          </w:p>
          <w:p w14:paraId="7F8D1369" w14:textId="77777777" w:rsidR="00BE0EEF" w:rsidRPr="00BE0EEF" w:rsidRDefault="00BE0EEF" w:rsidP="000A0588">
            <w:pPr>
              <w:pStyle w:val="TableText"/>
              <w:jc w:val="center"/>
            </w:pPr>
            <w:r w:rsidRPr="00BE0EEF">
              <w:t>Due to the reach and scale of state/territory organisations, it is very possible that organisations can leverage their size to improve workforce efficiencies</w:t>
            </w:r>
          </w:p>
        </w:tc>
        <w:tc>
          <w:tcPr>
            <w:tcW w:w="0" w:type="auto"/>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622E94CF" w14:textId="77777777" w:rsidR="00BE0EEF" w:rsidRPr="00BE0EEF" w:rsidRDefault="00BE0EEF" w:rsidP="000A0588">
            <w:pPr>
              <w:pStyle w:val="TableText"/>
              <w:jc w:val="center"/>
            </w:pPr>
            <w:r w:rsidRPr="00BE0EEF">
              <w:t>Possible</w:t>
            </w:r>
          </w:p>
          <w:p w14:paraId="300FB82B" w14:textId="77777777" w:rsidR="00BE0EEF" w:rsidRPr="00BE0EEF" w:rsidRDefault="00BE0EEF" w:rsidP="000A0588">
            <w:pPr>
              <w:pStyle w:val="TableText"/>
              <w:jc w:val="center"/>
            </w:pPr>
            <w:r w:rsidRPr="00BE0EEF">
              <w:t>Due to the comparatively limited reach and scale of this model, it is possible that organisations may benefit from workforce efficiencies</w:t>
            </w:r>
          </w:p>
        </w:tc>
        <w:tc>
          <w:tcPr>
            <w:tcW w:w="2890"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661923D5" w14:textId="77777777" w:rsidR="00BE0EEF" w:rsidRPr="00BE0EEF" w:rsidRDefault="00BE0EEF" w:rsidP="000A0588">
            <w:pPr>
              <w:pStyle w:val="TableText"/>
              <w:jc w:val="center"/>
            </w:pPr>
            <w:r w:rsidRPr="00BE0EEF">
              <w:t>Possible</w:t>
            </w:r>
          </w:p>
          <w:p w14:paraId="6D8096E4" w14:textId="77777777" w:rsidR="00BE0EEF" w:rsidRPr="00BE0EEF" w:rsidRDefault="00BE0EEF" w:rsidP="000A0588">
            <w:pPr>
              <w:pStyle w:val="TableText"/>
              <w:jc w:val="center"/>
            </w:pPr>
            <w:r w:rsidRPr="00BE0EEF">
              <w:t>Due to the comparatively limited reach and scale of this model, it is possible that organisations may benefit from workforce efficiencies</w:t>
            </w:r>
          </w:p>
        </w:tc>
        <w:tc>
          <w:tcPr>
            <w:tcW w:w="2512" w:type="dxa"/>
            <w:tcBorders>
              <w:top w:val="single" w:sz="8" w:space="0" w:color="000000"/>
              <w:left w:val="single" w:sz="8" w:space="0" w:color="000000"/>
              <w:bottom w:val="single" w:sz="8" w:space="0" w:color="000000"/>
              <w:right w:val="single" w:sz="8" w:space="0" w:color="000000"/>
            </w:tcBorders>
            <w:shd w:val="clear" w:color="auto" w:fill="0196A7" w:themeFill="accent3"/>
            <w:tcMar>
              <w:top w:w="57" w:type="dxa"/>
              <w:left w:w="102" w:type="dxa"/>
              <w:bottom w:w="57" w:type="dxa"/>
              <w:right w:w="102" w:type="dxa"/>
            </w:tcMar>
            <w:hideMark/>
          </w:tcPr>
          <w:p w14:paraId="792993F9" w14:textId="77777777" w:rsidR="00BE0EEF" w:rsidRPr="00BE0EEF" w:rsidRDefault="00BE0EEF" w:rsidP="000A0588">
            <w:pPr>
              <w:pStyle w:val="TableText"/>
              <w:jc w:val="center"/>
            </w:pPr>
            <w:r w:rsidRPr="00BE0EEF">
              <w:rPr>
                <w:b/>
              </w:rPr>
              <w:t>Very</w:t>
            </w:r>
            <w:r w:rsidRPr="00BE0EEF">
              <w:t xml:space="preserve"> possible</w:t>
            </w:r>
          </w:p>
          <w:p w14:paraId="4B1EADEB" w14:textId="77777777" w:rsidR="00BE0EEF" w:rsidRPr="00BE0EEF" w:rsidRDefault="00BE0EEF" w:rsidP="000A0588">
            <w:pPr>
              <w:pStyle w:val="TableText"/>
              <w:jc w:val="center"/>
            </w:pPr>
            <w:r w:rsidRPr="00BE0EEF">
              <w:t xml:space="preserve">Due to the reach and scale of a national organisation, it is very possible that NACCHO can leverage </w:t>
            </w:r>
            <w:r w:rsidR="00583DFA">
              <w:t>its</w:t>
            </w:r>
            <w:r w:rsidRPr="00BE0EEF">
              <w:t xml:space="preserve"> size to improve workforce efficiencies</w:t>
            </w:r>
          </w:p>
        </w:tc>
      </w:tr>
      <w:tr w:rsidR="003D5690" w:rsidRPr="00BE0EEF" w14:paraId="3FEC6A31" w14:textId="77777777" w:rsidTr="00E93B27">
        <w:trPr>
          <w:cantSplit/>
        </w:trPr>
        <w:tc>
          <w:tcPr>
            <w:tcW w:w="337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02" w:type="dxa"/>
              <w:bottom w:w="57" w:type="dxa"/>
              <w:right w:w="102" w:type="dxa"/>
            </w:tcMar>
            <w:hideMark/>
          </w:tcPr>
          <w:p w14:paraId="52E29FA6" w14:textId="77777777" w:rsidR="00BE0EEF" w:rsidRPr="000A0588" w:rsidRDefault="00BE0EEF" w:rsidP="000A0588">
            <w:pPr>
              <w:pStyle w:val="TableText"/>
              <w:rPr>
                <w:b/>
                <w:bCs/>
              </w:rPr>
            </w:pPr>
            <w:r w:rsidRPr="000A0588">
              <w:rPr>
                <w:b/>
                <w:bCs/>
              </w:rPr>
              <w:t>Increased service delivery efficiency</w:t>
            </w:r>
          </w:p>
          <w:p w14:paraId="5B13896E" w14:textId="77777777" w:rsidR="00BE0EEF" w:rsidRPr="00BE0EEF" w:rsidRDefault="00BE0EEF" w:rsidP="000A0588">
            <w:pPr>
              <w:pStyle w:val="TableText"/>
            </w:pPr>
            <w:r w:rsidRPr="00BE0EEF">
              <w:t>The funding arrangement will reduce the workload for service providers to deliver services</w:t>
            </w:r>
          </w:p>
        </w:tc>
        <w:tc>
          <w:tcPr>
            <w:tcW w:w="3071"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178C30E8" w14:textId="77777777" w:rsidR="00BE0EEF" w:rsidRPr="00BE0EEF" w:rsidRDefault="00BE0EEF" w:rsidP="000A0588">
            <w:pPr>
              <w:pStyle w:val="TableText"/>
              <w:jc w:val="center"/>
            </w:pPr>
            <w:r w:rsidRPr="00BE0EEF">
              <w:t>Possible</w:t>
            </w:r>
          </w:p>
        </w:tc>
        <w:tc>
          <w:tcPr>
            <w:tcW w:w="0" w:type="auto"/>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783CF5FE" w14:textId="77777777" w:rsidR="00BE0EEF" w:rsidRPr="00BE0EEF" w:rsidRDefault="00BE0EEF" w:rsidP="000A0588">
            <w:pPr>
              <w:pStyle w:val="TableText"/>
              <w:jc w:val="center"/>
            </w:pPr>
            <w:r w:rsidRPr="00BE0EEF">
              <w:t>Possible</w:t>
            </w:r>
          </w:p>
        </w:tc>
        <w:tc>
          <w:tcPr>
            <w:tcW w:w="2890" w:type="dxa"/>
            <w:tcBorders>
              <w:top w:val="single" w:sz="8" w:space="0" w:color="000000"/>
              <w:left w:val="single" w:sz="8" w:space="0" w:color="000000"/>
              <w:bottom w:val="single" w:sz="8" w:space="0" w:color="000000"/>
              <w:right w:val="single" w:sz="8" w:space="0" w:color="000000"/>
            </w:tcBorders>
            <w:shd w:val="clear" w:color="auto" w:fill="98002E" w:themeFill="text2"/>
            <w:tcMar>
              <w:top w:w="57" w:type="dxa"/>
              <w:left w:w="102" w:type="dxa"/>
              <w:bottom w:w="57" w:type="dxa"/>
              <w:right w:w="102" w:type="dxa"/>
            </w:tcMar>
            <w:hideMark/>
          </w:tcPr>
          <w:p w14:paraId="55B5F693" w14:textId="77777777" w:rsidR="00BE0EEF" w:rsidRPr="00BE0EEF" w:rsidRDefault="00BE0EEF" w:rsidP="000A0588">
            <w:pPr>
              <w:pStyle w:val="TableText"/>
              <w:jc w:val="center"/>
            </w:pPr>
            <w:r w:rsidRPr="00BE0EEF">
              <w:rPr>
                <w:b/>
              </w:rPr>
              <w:t>Not</w:t>
            </w:r>
            <w:r w:rsidRPr="00BE0EEF">
              <w:t xml:space="preserve"> possible</w:t>
            </w:r>
          </w:p>
          <w:p w14:paraId="40C1556C" w14:textId="77777777" w:rsidR="00BE0EEF" w:rsidRPr="00BE0EEF" w:rsidRDefault="00BE0EEF" w:rsidP="000A0588">
            <w:pPr>
              <w:pStyle w:val="TableText"/>
              <w:jc w:val="center"/>
            </w:pPr>
            <w:r w:rsidRPr="00BE0EEF">
              <w:t>Due to the comparatively smaller scale of individual ACCHOs and the responsibilities that will be required of them, it</w:t>
            </w:r>
            <w:r w:rsidR="003D1CAE">
              <w:t xml:space="preserve"> is</w:t>
            </w:r>
            <w:r w:rsidRPr="00BE0EEF">
              <w:t xml:space="preserve"> unlikely that this model will reduce the workload for individual service providers</w:t>
            </w:r>
          </w:p>
        </w:tc>
        <w:tc>
          <w:tcPr>
            <w:tcW w:w="2512"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53F6D8EA" w14:textId="77777777" w:rsidR="00BE0EEF" w:rsidRPr="00BE0EEF" w:rsidRDefault="00BE0EEF" w:rsidP="000A0588">
            <w:pPr>
              <w:pStyle w:val="TableText"/>
              <w:jc w:val="center"/>
            </w:pPr>
            <w:r w:rsidRPr="00BE0EEF">
              <w:t>Possible</w:t>
            </w:r>
          </w:p>
        </w:tc>
      </w:tr>
      <w:tr w:rsidR="003D5690" w:rsidRPr="00BE0EEF" w14:paraId="57DE2E9A" w14:textId="77777777" w:rsidTr="00E93B27">
        <w:trPr>
          <w:cantSplit/>
        </w:trPr>
        <w:tc>
          <w:tcPr>
            <w:tcW w:w="337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02" w:type="dxa"/>
              <w:bottom w:w="57" w:type="dxa"/>
              <w:right w:w="102" w:type="dxa"/>
            </w:tcMar>
            <w:hideMark/>
          </w:tcPr>
          <w:p w14:paraId="6BB2A3D4" w14:textId="77777777" w:rsidR="00BE0EEF" w:rsidRPr="000A0588" w:rsidRDefault="00BE0EEF" w:rsidP="000A0588">
            <w:pPr>
              <w:pStyle w:val="TableText"/>
              <w:rPr>
                <w:b/>
                <w:bCs/>
              </w:rPr>
            </w:pPr>
            <w:r w:rsidRPr="000A0588">
              <w:rPr>
                <w:b/>
                <w:bCs/>
              </w:rPr>
              <w:t>Economies of scale</w:t>
            </w:r>
          </w:p>
          <w:p w14:paraId="3F43E78A" w14:textId="77777777" w:rsidR="00BE0EEF" w:rsidRPr="00BE0EEF" w:rsidRDefault="00BE0EEF" w:rsidP="000A0588">
            <w:pPr>
              <w:pStyle w:val="TableText"/>
            </w:pPr>
            <w:r w:rsidRPr="00BE0EEF">
              <w:t>Service providers and/or funding bodies can buy products (such as equipment and aids) at cheaper prices by working together</w:t>
            </w:r>
          </w:p>
        </w:tc>
        <w:tc>
          <w:tcPr>
            <w:tcW w:w="3071"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2B1665C9" w14:textId="77777777" w:rsidR="00BE0EEF" w:rsidRPr="00BE0EEF" w:rsidRDefault="00BE0EEF" w:rsidP="000A0588">
            <w:pPr>
              <w:pStyle w:val="TableText"/>
              <w:jc w:val="center"/>
            </w:pPr>
            <w:r w:rsidRPr="00BE0EEF">
              <w:rPr>
                <w:color w:val="340C1A"/>
              </w:rPr>
              <w:t>Possible</w:t>
            </w:r>
          </w:p>
          <w:p w14:paraId="154BA2E5" w14:textId="77777777" w:rsidR="00BE0EEF" w:rsidRPr="00BE0EEF" w:rsidRDefault="00BE0EEF" w:rsidP="000A0588">
            <w:pPr>
              <w:pStyle w:val="TableText"/>
              <w:jc w:val="center"/>
            </w:pPr>
            <w:r w:rsidRPr="00BE0EEF">
              <w:rPr>
                <w:color w:val="340C1A"/>
              </w:rPr>
              <w:t>Due to the reach and scale of state/territory organisations, it is possible that organisations may benefit from bulk purchases</w:t>
            </w:r>
          </w:p>
        </w:tc>
        <w:tc>
          <w:tcPr>
            <w:tcW w:w="0" w:type="auto"/>
            <w:tcBorders>
              <w:top w:val="single" w:sz="8" w:space="0" w:color="000000"/>
              <w:left w:val="single" w:sz="8" w:space="0" w:color="000000"/>
              <w:bottom w:val="single" w:sz="8" w:space="0" w:color="000000"/>
              <w:right w:val="single" w:sz="8" w:space="0" w:color="000000"/>
            </w:tcBorders>
            <w:shd w:val="clear" w:color="auto" w:fill="EFA31F" w:themeFill="background2"/>
            <w:tcMar>
              <w:top w:w="57" w:type="dxa"/>
              <w:left w:w="102" w:type="dxa"/>
              <w:bottom w:w="57" w:type="dxa"/>
              <w:right w:w="102" w:type="dxa"/>
            </w:tcMar>
            <w:hideMark/>
          </w:tcPr>
          <w:p w14:paraId="11B4DAA0" w14:textId="77777777" w:rsidR="00BE0EEF" w:rsidRPr="00BE0EEF" w:rsidRDefault="00BE0EEF" w:rsidP="000A0588">
            <w:pPr>
              <w:pStyle w:val="TableText"/>
              <w:jc w:val="center"/>
            </w:pPr>
            <w:r w:rsidRPr="00702E19">
              <w:rPr>
                <w:b/>
                <w:color w:val="340C1A"/>
              </w:rPr>
              <w:t>Marginally</w:t>
            </w:r>
            <w:r w:rsidRPr="00BE0EEF">
              <w:rPr>
                <w:color w:val="340C1A"/>
              </w:rPr>
              <w:t xml:space="preserve"> possible</w:t>
            </w:r>
          </w:p>
          <w:p w14:paraId="6233DEC6" w14:textId="77777777" w:rsidR="00BE0EEF" w:rsidRPr="00BE0EEF" w:rsidRDefault="00BE0EEF" w:rsidP="000A0588">
            <w:pPr>
              <w:pStyle w:val="TableText"/>
              <w:jc w:val="center"/>
            </w:pPr>
            <w:r w:rsidRPr="00BE0EEF">
              <w:rPr>
                <w:color w:val="340C1A"/>
              </w:rPr>
              <w:t xml:space="preserve">Due to the comparatively limited reach and scale of this model, it is </w:t>
            </w:r>
            <w:r w:rsidR="00583DFA">
              <w:rPr>
                <w:color w:val="340C1A"/>
              </w:rPr>
              <w:t>m</w:t>
            </w:r>
            <w:r>
              <w:rPr>
                <w:color w:val="340C1A"/>
              </w:rPr>
              <w:t>arginally</w:t>
            </w:r>
            <w:r w:rsidRPr="00BE0EEF">
              <w:rPr>
                <w:color w:val="340C1A"/>
              </w:rPr>
              <w:t xml:space="preserve"> possible that organisations may benefit from bulk purchases</w:t>
            </w:r>
          </w:p>
        </w:tc>
        <w:tc>
          <w:tcPr>
            <w:tcW w:w="2890" w:type="dxa"/>
            <w:tcBorders>
              <w:top w:val="single" w:sz="8" w:space="0" w:color="000000"/>
              <w:left w:val="single" w:sz="8" w:space="0" w:color="000000"/>
              <w:bottom w:val="single" w:sz="8" w:space="0" w:color="000000"/>
              <w:right w:val="single" w:sz="8" w:space="0" w:color="000000"/>
            </w:tcBorders>
            <w:shd w:val="clear" w:color="auto" w:fill="98002E" w:themeFill="text2"/>
            <w:tcMar>
              <w:top w:w="57" w:type="dxa"/>
              <w:left w:w="102" w:type="dxa"/>
              <w:bottom w:w="57" w:type="dxa"/>
              <w:right w:w="102" w:type="dxa"/>
            </w:tcMar>
            <w:hideMark/>
          </w:tcPr>
          <w:p w14:paraId="7AF64A09" w14:textId="77777777" w:rsidR="00BE0EEF" w:rsidRPr="004D6177" w:rsidRDefault="00BE0EEF" w:rsidP="000A0588">
            <w:pPr>
              <w:pStyle w:val="TableText"/>
              <w:jc w:val="center"/>
              <w:rPr>
                <w:color w:val="FFFFFF" w:themeColor="background1"/>
              </w:rPr>
            </w:pPr>
            <w:r w:rsidRPr="004D6177">
              <w:rPr>
                <w:b/>
                <w:color w:val="FFFFFF" w:themeColor="background1"/>
              </w:rPr>
              <w:t>Not</w:t>
            </w:r>
            <w:r w:rsidRPr="004D6177">
              <w:rPr>
                <w:color w:val="FFFFFF" w:themeColor="background1"/>
              </w:rPr>
              <w:t xml:space="preserve"> possible</w:t>
            </w:r>
          </w:p>
          <w:p w14:paraId="558341FD" w14:textId="77777777" w:rsidR="00BE0EEF" w:rsidRPr="00BE0EEF" w:rsidRDefault="00BE0EEF" w:rsidP="000A0588">
            <w:pPr>
              <w:pStyle w:val="TableText"/>
              <w:jc w:val="center"/>
            </w:pPr>
            <w:r w:rsidRPr="004D6177">
              <w:rPr>
                <w:color w:val="FFFFFF" w:themeColor="background1"/>
              </w:rPr>
              <w:t>Due to the comparatively smaller scale of individual ACCHOs (and the status quo), it</w:t>
            </w:r>
            <w:r w:rsidR="00583DFA" w:rsidRPr="004D6177">
              <w:rPr>
                <w:color w:val="FFFFFF" w:themeColor="background1"/>
              </w:rPr>
              <w:t xml:space="preserve"> i</w:t>
            </w:r>
            <w:r w:rsidRPr="004D6177">
              <w:rPr>
                <w:color w:val="FFFFFF" w:themeColor="background1"/>
              </w:rPr>
              <w:t>s unlikely that this model will benefit from bulk purchases</w:t>
            </w:r>
          </w:p>
        </w:tc>
        <w:tc>
          <w:tcPr>
            <w:tcW w:w="2512"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27877761" w14:textId="77777777" w:rsidR="00BE0EEF" w:rsidRPr="00BE0EEF" w:rsidRDefault="00BE0EEF" w:rsidP="000A0588">
            <w:pPr>
              <w:pStyle w:val="TableText"/>
              <w:jc w:val="center"/>
            </w:pPr>
            <w:r w:rsidRPr="00BE0EEF">
              <w:rPr>
                <w:color w:val="340C1A"/>
              </w:rPr>
              <w:t>Possible</w:t>
            </w:r>
          </w:p>
          <w:p w14:paraId="12FB905E" w14:textId="77777777" w:rsidR="00BE0EEF" w:rsidRPr="00BE0EEF" w:rsidRDefault="00BE0EEF" w:rsidP="000A0588">
            <w:pPr>
              <w:pStyle w:val="TableText"/>
              <w:jc w:val="center"/>
            </w:pPr>
            <w:r w:rsidRPr="00BE0EEF">
              <w:rPr>
                <w:color w:val="340C1A"/>
              </w:rPr>
              <w:t>Due to the reach and scale of NACCHO, it is possible that organisations may benefit from bulk purchases</w:t>
            </w:r>
          </w:p>
        </w:tc>
      </w:tr>
      <w:tr w:rsidR="003D5690" w:rsidRPr="00BE0EEF" w14:paraId="65BBE99D" w14:textId="77777777" w:rsidTr="00E93B27">
        <w:trPr>
          <w:cantSplit/>
        </w:trPr>
        <w:tc>
          <w:tcPr>
            <w:tcW w:w="337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02" w:type="dxa"/>
              <w:bottom w:w="57" w:type="dxa"/>
              <w:right w:w="102" w:type="dxa"/>
            </w:tcMar>
            <w:hideMark/>
          </w:tcPr>
          <w:p w14:paraId="01AEBC97" w14:textId="77777777" w:rsidR="00BE0EEF" w:rsidRPr="000A0588" w:rsidRDefault="00BE0EEF" w:rsidP="000A0588">
            <w:pPr>
              <w:pStyle w:val="TableText"/>
              <w:rPr>
                <w:b/>
                <w:bCs/>
              </w:rPr>
            </w:pPr>
            <w:r w:rsidRPr="000A0588">
              <w:rPr>
                <w:b/>
                <w:bCs/>
              </w:rPr>
              <w:t xml:space="preserve">Localised relationships with </w:t>
            </w:r>
            <w:r w:rsidR="003D1CAE" w:rsidRPr="000A0588">
              <w:rPr>
                <w:b/>
                <w:bCs/>
              </w:rPr>
              <w:t>s</w:t>
            </w:r>
            <w:r w:rsidRPr="000A0588">
              <w:rPr>
                <w:b/>
                <w:bCs/>
              </w:rPr>
              <w:t xml:space="preserve">ervice </w:t>
            </w:r>
            <w:r w:rsidR="003D1CAE" w:rsidRPr="000A0588">
              <w:rPr>
                <w:b/>
                <w:bCs/>
              </w:rPr>
              <w:t>p</w:t>
            </w:r>
            <w:r w:rsidRPr="000A0588">
              <w:rPr>
                <w:b/>
                <w:bCs/>
              </w:rPr>
              <w:t>roviders</w:t>
            </w:r>
          </w:p>
          <w:p w14:paraId="27859CE3" w14:textId="77777777" w:rsidR="00BE0EEF" w:rsidRPr="00BE0EEF" w:rsidRDefault="00BE0EEF" w:rsidP="000A0588">
            <w:pPr>
              <w:pStyle w:val="TableText"/>
            </w:pPr>
            <w:r w:rsidRPr="00BE0EEF">
              <w:t>Closer (more localised) relationships with service providers, compared to existing model</w:t>
            </w:r>
          </w:p>
        </w:tc>
        <w:tc>
          <w:tcPr>
            <w:tcW w:w="3071" w:type="dxa"/>
            <w:tcBorders>
              <w:top w:val="single" w:sz="8" w:space="0" w:color="000000"/>
              <w:left w:val="single" w:sz="8" w:space="0" w:color="000000"/>
              <w:bottom w:val="single" w:sz="8" w:space="0" w:color="000000"/>
              <w:right w:val="single" w:sz="8" w:space="0" w:color="000000"/>
            </w:tcBorders>
            <w:shd w:val="clear" w:color="auto" w:fill="EFA31F" w:themeFill="background2"/>
            <w:tcMar>
              <w:top w:w="57" w:type="dxa"/>
              <w:left w:w="102" w:type="dxa"/>
              <w:bottom w:w="57" w:type="dxa"/>
              <w:right w:w="102" w:type="dxa"/>
            </w:tcMar>
            <w:hideMark/>
          </w:tcPr>
          <w:p w14:paraId="4BE07480" w14:textId="77777777" w:rsidR="00BE0EEF" w:rsidRPr="00BE0EEF" w:rsidRDefault="00BE0EEF" w:rsidP="000A0588">
            <w:pPr>
              <w:pStyle w:val="TableText"/>
              <w:jc w:val="center"/>
            </w:pPr>
            <w:r w:rsidRPr="00702E19">
              <w:rPr>
                <w:b/>
                <w:color w:val="340C1A"/>
              </w:rPr>
              <w:t>Marginally</w:t>
            </w:r>
            <w:r w:rsidRPr="00BE0EEF">
              <w:rPr>
                <w:color w:val="340C1A"/>
              </w:rPr>
              <w:t xml:space="preserve"> possible</w:t>
            </w:r>
          </w:p>
          <w:p w14:paraId="7CE240A4" w14:textId="77777777" w:rsidR="00BE0EEF" w:rsidRPr="00BE0EEF" w:rsidRDefault="00BE0EEF" w:rsidP="000A0588">
            <w:pPr>
              <w:pStyle w:val="TableText"/>
              <w:jc w:val="center"/>
            </w:pPr>
          </w:p>
        </w:tc>
        <w:tc>
          <w:tcPr>
            <w:tcW w:w="0" w:type="auto"/>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0ED6D43C" w14:textId="77777777" w:rsidR="00BE0EEF" w:rsidRPr="00BE0EEF" w:rsidRDefault="00BE0EEF" w:rsidP="000A0588">
            <w:pPr>
              <w:pStyle w:val="TableText"/>
              <w:jc w:val="center"/>
            </w:pPr>
            <w:r w:rsidRPr="00BE0EEF">
              <w:rPr>
                <w:color w:val="340C1A"/>
              </w:rPr>
              <w:t>Possible</w:t>
            </w:r>
          </w:p>
        </w:tc>
        <w:tc>
          <w:tcPr>
            <w:tcW w:w="2890"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6298B0A0" w14:textId="77777777" w:rsidR="00BE0EEF" w:rsidRPr="00BE0EEF" w:rsidRDefault="00BE0EEF" w:rsidP="000A0588">
            <w:pPr>
              <w:pStyle w:val="TableText"/>
              <w:jc w:val="center"/>
            </w:pPr>
            <w:r w:rsidRPr="00BE0EEF">
              <w:rPr>
                <w:color w:val="340C1A"/>
              </w:rPr>
              <w:t>Possible</w:t>
            </w:r>
          </w:p>
        </w:tc>
        <w:tc>
          <w:tcPr>
            <w:tcW w:w="2512" w:type="dxa"/>
            <w:tcBorders>
              <w:top w:val="single" w:sz="8" w:space="0" w:color="000000"/>
              <w:left w:val="single" w:sz="8" w:space="0" w:color="000000"/>
              <w:bottom w:val="single" w:sz="8" w:space="0" w:color="000000"/>
              <w:right w:val="single" w:sz="8" w:space="0" w:color="000000"/>
            </w:tcBorders>
            <w:shd w:val="clear" w:color="auto" w:fill="EFA31F" w:themeFill="background2"/>
            <w:tcMar>
              <w:top w:w="57" w:type="dxa"/>
              <w:left w:w="102" w:type="dxa"/>
              <w:bottom w:w="57" w:type="dxa"/>
              <w:right w:w="102" w:type="dxa"/>
            </w:tcMar>
            <w:hideMark/>
          </w:tcPr>
          <w:p w14:paraId="16BCD81F" w14:textId="77777777" w:rsidR="00BE0EEF" w:rsidRPr="00BE0EEF" w:rsidRDefault="00BE0EEF" w:rsidP="000A0588">
            <w:pPr>
              <w:pStyle w:val="TableText"/>
              <w:jc w:val="center"/>
            </w:pPr>
            <w:r w:rsidRPr="00702E19">
              <w:rPr>
                <w:b/>
                <w:color w:val="340C1A"/>
              </w:rPr>
              <w:t>Marginally</w:t>
            </w:r>
            <w:r w:rsidRPr="00BE0EEF">
              <w:rPr>
                <w:color w:val="340C1A"/>
              </w:rPr>
              <w:t xml:space="preserve"> possible</w:t>
            </w:r>
          </w:p>
        </w:tc>
      </w:tr>
      <w:tr w:rsidR="003D5690" w:rsidRPr="00BE0EEF" w14:paraId="603190CC" w14:textId="77777777" w:rsidTr="000C0D8B">
        <w:trPr>
          <w:cantSplit/>
        </w:trPr>
        <w:tc>
          <w:tcPr>
            <w:tcW w:w="337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02" w:type="dxa"/>
              <w:bottom w:w="57" w:type="dxa"/>
              <w:right w:w="102" w:type="dxa"/>
            </w:tcMar>
            <w:hideMark/>
          </w:tcPr>
          <w:p w14:paraId="74FE0965" w14:textId="77777777" w:rsidR="00BE0EEF" w:rsidRPr="000A0588" w:rsidRDefault="00BE0EEF" w:rsidP="000A0588">
            <w:pPr>
              <w:pStyle w:val="TableText"/>
              <w:rPr>
                <w:b/>
                <w:bCs/>
              </w:rPr>
            </w:pPr>
            <w:r w:rsidRPr="000A0588">
              <w:rPr>
                <w:b/>
                <w:bCs/>
              </w:rPr>
              <w:t>Minimal conflict of interest</w:t>
            </w:r>
          </w:p>
          <w:p w14:paraId="50BB4DF8" w14:textId="77777777" w:rsidR="00BE0EEF" w:rsidRPr="00BE0EEF" w:rsidRDefault="00BE0EEF" w:rsidP="000A0588">
            <w:pPr>
              <w:pStyle w:val="TableText"/>
            </w:pPr>
            <w:r w:rsidRPr="00BE0EEF">
              <w:t>The funding arrangement will reduce the risk of perceived conflict between the funding body's existing role (such as a peak body) and its new funding role</w:t>
            </w:r>
          </w:p>
        </w:tc>
        <w:tc>
          <w:tcPr>
            <w:tcW w:w="3071" w:type="dxa"/>
            <w:tcBorders>
              <w:top w:val="single" w:sz="8" w:space="0" w:color="000000"/>
              <w:left w:val="single" w:sz="8" w:space="0" w:color="000000"/>
              <w:bottom w:val="single" w:sz="8" w:space="0" w:color="000000"/>
              <w:right w:val="single" w:sz="8" w:space="0" w:color="000000"/>
            </w:tcBorders>
            <w:shd w:val="clear" w:color="auto" w:fill="EFA31F" w:themeFill="background2"/>
            <w:tcMar>
              <w:top w:w="57" w:type="dxa"/>
              <w:left w:w="102" w:type="dxa"/>
              <w:bottom w:w="57" w:type="dxa"/>
              <w:right w:w="102" w:type="dxa"/>
            </w:tcMar>
            <w:hideMark/>
          </w:tcPr>
          <w:p w14:paraId="3CAAFAAF" w14:textId="77777777" w:rsidR="00BE0EEF" w:rsidRPr="00BE0EEF" w:rsidRDefault="00BE0EEF" w:rsidP="000A0588">
            <w:pPr>
              <w:pStyle w:val="TableText"/>
              <w:jc w:val="center"/>
            </w:pPr>
            <w:r w:rsidRPr="000A0588">
              <w:rPr>
                <w:b/>
                <w:bCs/>
              </w:rPr>
              <w:t>Marginally</w:t>
            </w:r>
            <w:r w:rsidRPr="00BE0EEF">
              <w:t xml:space="preserve"> possible</w:t>
            </w:r>
          </w:p>
          <w:p w14:paraId="065FF261" w14:textId="77777777" w:rsidR="00BE0EEF" w:rsidRPr="00BE0EEF" w:rsidRDefault="00BE0EEF" w:rsidP="000A0588">
            <w:pPr>
              <w:pStyle w:val="TableText"/>
              <w:jc w:val="center"/>
            </w:pPr>
            <w:r w:rsidRPr="00BE0EEF">
              <w:t>Many state/territory organisations that may be involved as the funding body have existing peak-body roles that would have to be considered and managed carefully</w:t>
            </w:r>
          </w:p>
        </w:tc>
        <w:tc>
          <w:tcPr>
            <w:tcW w:w="0" w:type="auto"/>
            <w:tcBorders>
              <w:top w:val="single" w:sz="8" w:space="0" w:color="000000"/>
              <w:left w:val="single" w:sz="8" w:space="0" w:color="000000"/>
              <w:bottom w:val="single" w:sz="8" w:space="0" w:color="000000"/>
              <w:right w:val="single" w:sz="8" w:space="0" w:color="000000"/>
            </w:tcBorders>
            <w:shd w:val="clear" w:color="auto" w:fill="EFA31F" w:themeFill="background2"/>
            <w:tcMar>
              <w:top w:w="57" w:type="dxa"/>
              <w:left w:w="102" w:type="dxa"/>
              <w:bottom w:w="57" w:type="dxa"/>
              <w:right w:w="102" w:type="dxa"/>
            </w:tcMar>
            <w:hideMark/>
          </w:tcPr>
          <w:p w14:paraId="29E22ECF" w14:textId="77777777" w:rsidR="00795DF6" w:rsidRPr="00BE0EEF" w:rsidRDefault="00795DF6" w:rsidP="000A0588">
            <w:pPr>
              <w:pStyle w:val="TableText"/>
              <w:jc w:val="center"/>
            </w:pPr>
            <w:r w:rsidRPr="000A0588">
              <w:rPr>
                <w:b/>
                <w:bCs/>
              </w:rPr>
              <w:t>Marginally</w:t>
            </w:r>
            <w:r w:rsidRPr="00BE0EEF">
              <w:t xml:space="preserve"> possible</w:t>
            </w:r>
          </w:p>
          <w:p w14:paraId="652A7E2F" w14:textId="62012AD9" w:rsidR="00BE0EEF" w:rsidRPr="00BE0EEF" w:rsidRDefault="00795DF6" w:rsidP="000A0588">
            <w:pPr>
              <w:pStyle w:val="TableText"/>
              <w:jc w:val="center"/>
            </w:pPr>
            <w:r w:rsidRPr="00BE0EEF">
              <w:t xml:space="preserve">Many </w:t>
            </w:r>
            <w:r w:rsidR="000C0D8B">
              <w:t xml:space="preserve">regional </w:t>
            </w:r>
            <w:r w:rsidRPr="00BE0EEF">
              <w:t>organisations that may be involved as the funding body have existing roles that would have to be considered and managed carefully</w:t>
            </w:r>
          </w:p>
        </w:tc>
        <w:tc>
          <w:tcPr>
            <w:tcW w:w="2890" w:type="dxa"/>
            <w:tcBorders>
              <w:top w:val="single" w:sz="8" w:space="0" w:color="000000"/>
              <w:left w:val="single" w:sz="8" w:space="0" w:color="000000"/>
              <w:bottom w:val="single" w:sz="8" w:space="0" w:color="000000"/>
              <w:right w:val="single" w:sz="8" w:space="0" w:color="000000"/>
            </w:tcBorders>
            <w:shd w:val="clear" w:color="auto" w:fill="0196A7" w:themeFill="accent3"/>
            <w:tcMar>
              <w:top w:w="57" w:type="dxa"/>
              <w:left w:w="102" w:type="dxa"/>
              <w:bottom w:w="57" w:type="dxa"/>
              <w:right w:w="102" w:type="dxa"/>
            </w:tcMar>
            <w:hideMark/>
          </w:tcPr>
          <w:p w14:paraId="2A37B9C0" w14:textId="77777777" w:rsidR="00BE0EEF" w:rsidRPr="00BE0EEF" w:rsidRDefault="00BE0EEF" w:rsidP="000A0588">
            <w:pPr>
              <w:pStyle w:val="TableText"/>
              <w:jc w:val="center"/>
            </w:pPr>
            <w:r w:rsidRPr="000A0588">
              <w:rPr>
                <w:b/>
                <w:bCs/>
              </w:rPr>
              <w:t>Very</w:t>
            </w:r>
            <w:r w:rsidRPr="00BE0EEF">
              <w:t xml:space="preserve"> </w:t>
            </w:r>
            <w:r w:rsidR="00563843">
              <w:t>p</w:t>
            </w:r>
            <w:r w:rsidRPr="00BE0EEF">
              <w:t>ossible</w:t>
            </w:r>
          </w:p>
          <w:p w14:paraId="36DDCB13" w14:textId="77777777" w:rsidR="00BE0EEF" w:rsidRPr="00BE0EEF" w:rsidRDefault="00BE0EEF" w:rsidP="000A0588">
            <w:pPr>
              <w:pStyle w:val="TableText"/>
              <w:jc w:val="center"/>
            </w:pPr>
            <w:r w:rsidRPr="00BE0EEF">
              <w:t>The direct model does not involve any peak</w:t>
            </w:r>
            <w:r w:rsidR="003D1CAE">
              <w:t xml:space="preserve"> </w:t>
            </w:r>
            <w:r w:rsidRPr="00BE0EEF">
              <w:t>body organisations.</w:t>
            </w:r>
          </w:p>
        </w:tc>
        <w:tc>
          <w:tcPr>
            <w:tcW w:w="2512" w:type="dxa"/>
            <w:tcBorders>
              <w:top w:val="single" w:sz="8" w:space="0" w:color="000000"/>
              <w:left w:val="single" w:sz="8" w:space="0" w:color="000000"/>
              <w:bottom w:val="single" w:sz="8" w:space="0" w:color="000000"/>
              <w:right w:val="single" w:sz="8" w:space="0" w:color="000000"/>
            </w:tcBorders>
            <w:shd w:val="clear" w:color="auto" w:fill="EFA31F" w:themeFill="background2"/>
            <w:tcMar>
              <w:top w:w="57" w:type="dxa"/>
              <w:left w:w="102" w:type="dxa"/>
              <w:bottom w:w="57" w:type="dxa"/>
              <w:right w:w="102" w:type="dxa"/>
            </w:tcMar>
            <w:hideMark/>
          </w:tcPr>
          <w:p w14:paraId="75C466F3" w14:textId="77777777" w:rsidR="00BE0EEF" w:rsidRPr="00BE0EEF" w:rsidRDefault="00BE0EEF" w:rsidP="000A0588">
            <w:pPr>
              <w:pStyle w:val="TableText"/>
              <w:jc w:val="center"/>
            </w:pPr>
            <w:r w:rsidRPr="000A0588">
              <w:rPr>
                <w:b/>
                <w:bCs/>
              </w:rPr>
              <w:t>Marginally</w:t>
            </w:r>
            <w:r w:rsidRPr="00BE0EEF">
              <w:t xml:space="preserve"> possible</w:t>
            </w:r>
          </w:p>
          <w:p w14:paraId="0AAE6A52" w14:textId="77777777" w:rsidR="00BE0EEF" w:rsidRPr="00BE0EEF" w:rsidRDefault="00BE0EEF" w:rsidP="000A0588">
            <w:pPr>
              <w:pStyle w:val="TableText"/>
              <w:jc w:val="center"/>
            </w:pPr>
            <w:r w:rsidRPr="00BE0EEF">
              <w:t>NACCHO has an existing peak</w:t>
            </w:r>
            <w:r w:rsidR="003D1CAE">
              <w:t xml:space="preserve"> </w:t>
            </w:r>
            <w:r w:rsidRPr="00BE0EEF">
              <w:t>body role that would have to be considered and managed carefully</w:t>
            </w:r>
          </w:p>
        </w:tc>
      </w:tr>
      <w:tr w:rsidR="003D5690" w:rsidRPr="00BE0EEF" w14:paraId="6E067871" w14:textId="77777777" w:rsidTr="00E93B27">
        <w:trPr>
          <w:cantSplit/>
        </w:trPr>
        <w:tc>
          <w:tcPr>
            <w:tcW w:w="337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02" w:type="dxa"/>
              <w:bottom w:w="57" w:type="dxa"/>
              <w:right w:w="102" w:type="dxa"/>
            </w:tcMar>
            <w:hideMark/>
          </w:tcPr>
          <w:p w14:paraId="688CC71C" w14:textId="77777777" w:rsidR="00BE0EEF" w:rsidRPr="000A0588" w:rsidRDefault="00BE0EEF" w:rsidP="000A0588">
            <w:pPr>
              <w:pStyle w:val="TableText"/>
              <w:rPr>
                <w:b/>
                <w:bCs/>
              </w:rPr>
            </w:pPr>
            <w:r w:rsidRPr="000A0588">
              <w:rPr>
                <w:b/>
                <w:bCs/>
              </w:rPr>
              <w:t>Reduced cost to establish a new model</w:t>
            </w:r>
          </w:p>
          <w:p w14:paraId="7BBF77AD" w14:textId="77777777" w:rsidR="00BE0EEF" w:rsidRPr="00BE0EEF" w:rsidRDefault="00BE0EEF" w:rsidP="000A0588">
            <w:pPr>
              <w:pStyle w:val="TableText"/>
            </w:pPr>
            <w:r w:rsidRPr="00BE0EEF">
              <w:t>The funding arrangement will require less time and resources to implement</w:t>
            </w:r>
          </w:p>
        </w:tc>
        <w:tc>
          <w:tcPr>
            <w:tcW w:w="3071" w:type="dxa"/>
            <w:tcBorders>
              <w:top w:val="single" w:sz="8" w:space="0" w:color="000000"/>
              <w:left w:val="single" w:sz="8" w:space="0" w:color="000000"/>
              <w:bottom w:val="single" w:sz="8" w:space="0" w:color="000000"/>
              <w:right w:val="single" w:sz="8" w:space="0" w:color="000000"/>
            </w:tcBorders>
            <w:shd w:val="clear" w:color="auto" w:fill="EFA31F" w:themeFill="background2"/>
            <w:tcMar>
              <w:top w:w="57" w:type="dxa"/>
              <w:left w:w="102" w:type="dxa"/>
              <w:bottom w:w="57" w:type="dxa"/>
              <w:right w:w="102" w:type="dxa"/>
            </w:tcMar>
            <w:hideMark/>
          </w:tcPr>
          <w:p w14:paraId="7B5F275F" w14:textId="77777777" w:rsidR="00BE0EEF" w:rsidRPr="00BE0EEF" w:rsidRDefault="00BE0EEF" w:rsidP="000A0588">
            <w:pPr>
              <w:pStyle w:val="TableText"/>
              <w:jc w:val="center"/>
            </w:pPr>
            <w:r w:rsidRPr="000A0588">
              <w:rPr>
                <w:b/>
                <w:bCs/>
              </w:rPr>
              <w:t>Marginally</w:t>
            </w:r>
            <w:r w:rsidRPr="00BE0EEF">
              <w:t xml:space="preserve"> possible</w:t>
            </w:r>
          </w:p>
          <w:p w14:paraId="0C766D90" w14:textId="77777777" w:rsidR="00BE0EEF" w:rsidRPr="00BE0EEF" w:rsidRDefault="00BE0EEF" w:rsidP="000A0588">
            <w:pPr>
              <w:pStyle w:val="TableText"/>
              <w:jc w:val="center"/>
            </w:pPr>
            <w:r w:rsidRPr="00BE0EEF">
              <w:t>This would be a new role and would, therefore, likely have additional costs</w:t>
            </w:r>
          </w:p>
        </w:tc>
        <w:tc>
          <w:tcPr>
            <w:tcW w:w="0" w:type="auto"/>
            <w:tcBorders>
              <w:top w:val="single" w:sz="8" w:space="0" w:color="000000"/>
              <w:left w:val="single" w:sz="8" w:space="0" w:color="000000"/>
              <w:bottom w:val="single" w:sz="8" w:space="0" w:color="000000"/>
              <w:right w:val="single" w:sz="8" w:space="0" w:color="000000"/>
            </w:tcBorders>
            <w:shd w:val="clear" w:color="auto" w:fill="EFA31F" w:themeFill="background2"/>
            <w:tcMar>
              <w:top w:w="57" w:type="dxa"/>
              <w:left w:w="102" w:type="dxa"/>
              <w:bottom w:w="57" w:type="dxa"/>
              <w:right w:w="102" w:type="dxa"/>
            </w:tcMar>
            <w:hideMark/>
          </w:tcPr>
          <w:p w14:paraId="3655DF24" w14:textId="77777777" w:rsidR="00BE0EEF" w:rsidRPr="00BE0EEF" w:rsidRDefault="00BE0EEF" w:rsidP="000A0588">
            <w:pPr>
              <w:pStyle w:val="TableText"/>
              <w:jc w:val="center"/>
            </w:pPr>
            <w:r w:rsidRPr="000A0588">
              <w:rPr>
                <w:b/>
                <w:bCs/>
              </w:rPr>
              <w:t>Marginally</w:t>
            </w:r>
            <w:r w:rsidRPr="00BE0EEF">
              <w:t xml:space="preserve"> possible</w:t>
            </w:r>
          </w:p>
          <w:p w14:paraId="175E39E7" w14:textId="77777777" w:rsidR="00BE0EEF" w:rsidRPr="00BE0EEF" w:rsidRDefault="00BE0EEF" w:rsidP="000A0588">
            <w:pPr>
              <w:pStyle w:val="TableText"/>
              <w:jc w:val="center"/>
            </w:pPr>
            <w:r w:rsidRPr="00BE0EEF">
              <w:t>This would be a new role and would, therefore, likely have additional costs</w:t>
            </w:r>
          </w:p>
        </w:tc>
        <w:tc>
          <w:tcPr>
            <w:tcW w:w="2890" w:type="dxa"/>
            <w:tcBorders>
              <w:top w:val="single" w:sz="8" w:space="0" w:color="000000"/>
              <w:left w:val="single" w:sz="8" w:space="0" w:color="000000"/>
              <w:bottom w:val="single" w:sz="8" w:space="0" w:color="000000"/>
              <w:right w:val="single" w:sz="8" w:space="0" w:color="000000"/>
            </w:tcBorders>
            <w:shd w:val="clear" w:color="auto" w:fill="EFA31F" w:themeFill="background2"/>
            <w:tcMar>
              <w:top w:w="57" w:type="dxa"/>
              <w:left w:w="102" w:type="dxa"/>
              <w:bottom w:w="57" w:type="dxa"/>
              <w:right w:w="102" w:type="dxa"/>
            </w:tcMar>
            <w:hideMark/>
          </w:tcPr>
          <w:p w14:paraId="14E013E2" w14:textId="77777777" w:rsidR="00BE0EEF" w:rsidRPr="00BE0EEF" w:rsidRDefault="00BE0EEF" w:rsidP="000A0588">
            <w:pPr>
              <w:pStyle w:val="TableText"/>
              <w:jc w:val="center"/>
            </w:pPr>
            <w:r w:rsidRPr="000A0588">
              <w:rPr>
                <w:b/>
                <w:bCs/>
              </w:rPr>
              <w:t>Marginally</w:t>
            </w:r>
            <w:r w:rsidRPr="00BE0EEF">
              <w:t xml:space="preserve"> possible</w:t>
            </w:r>
          </w:p>
          <w:p w14:paraId="73678B15" w14:textId="77777777" w:rsidR="00BE0EEF" w:rsidRPr="00BE0EEF" w:rsidRDefault="00BE0EEF" w:rsidP="000A0588">
            <w:pPr>
              <w:pStyle w:val="TableText"/>
              <w:jc w:val="center"/>
            </w:pPr>
            <w:r w:rsidRPr="00BE0EEF">
              <w:t xml:space="preserve">This would be a new role (for </w:t>
            </w:r>
            <w:r w:rsidR="003D1CAE">
              <w:t>DoHAC</w:t>
            </w:r>
            <w:r w:rsidRPr="00BE0EEF">
              <w:t xml:space="preserve"> and the individual ACCHOs) and would, therefore, likely have additional costs</w:t>
            </w:r>
          </w:p>
        </w:tc>
        <w:tc>
          <w:tcPr>
            <w:tcW w:w="2512"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664F977E" w14:textId="77777777" w:rsidR="00BE0EEF" w:rsidRPr="00BE0EEF" w:rsidRDefault="00BE0EEF" w:rsidP="000A0588">
            <w:pPr>
              <w:pStyle w:val="TableText"/>
              <w:jc w:val="center"/>
            </w:pPr>
            <w:r w:rsidRPr="00BE0EEF">
              <w:t>Possible</w:t>
            </w:r>
          </w:p>
          <w:p w14:paraId="1673A826" w14:textId="77777777" w:rsidR="00BE0EEF" w:rsidRPr="00BE0EEF" w:rsidRDefault="00BE0EEF" w:rsidP="000A0588">
            <w:pPr>
              <w:pStyle w:val="TableText"/>
              <w:jc w:val="center"/>
            </w:pPr>
            <w:r w:rsidRPr="00BE0EEF">
              <w:t>NACCHO already plays this role with CCC and has several established processes and mechanisms in place</w:t>
            </w:r>
          </w:p>
        </w:tc>
      </w:tr>
      <w:tr w:rsidR="003D5690" w:rsidRPr="00BE0EEF" w14:paraId="584C8397" w14:textId="77777777" w:rsidTr="00E93B27">
        <w:trPr>
          <w:cantSplit/>
        </w:trPr>
        <w:tc>
          <w:tcPr>
            <w:tcW w:w="337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02" w:type="dxa"/>
              <w:bottom w:w="57" w:type="dxa"/>
              <w:right w:w="102" w:type="dxa"/>
            </w:tcMar>
            <w:hideMark/>
          </w:tcPr>
          <w:p w14:paraId="09478190" w14:textId="77777777" w:rsidR="00BE0EEF" w:rsidRPr="000A0588" w:rsidRDefault="00BE0EEF" w:rsidP="000A0588">
            <w:pPr>
              <w:pStyle w:val="TableText"/>
              <w:rPr>
                <w:b/>
                <w:bCs/>
              </w:rPr>
            </w:pPr>
            <w:r w:rsidRPr="000A0588">
              <w:rPr>
                <w:b/>
                <w:bCs/>
              </w:rPr>
              <w:t>Non-member service provider inclusion</w:t>
            </w:r>
          </w:p>
          <w:p w14:paraId="17422431" w14:textId="77777777" w:rsidR="00BE0EEF" w:rsidRPr="00BE0EEF" w:rsidRDefault="00BE0EEF" w:rsidP="000A0588">
            <w:pPr>
              <w:pStyle w:val="TableText"/>
            </w:pPr>
            <w:r w:rsidRPr="00BE0EEF">
              <w:t>The funding body will be able to commission or work with non-members, non-alliance and/or non-Indigenous service providers to ensure that services are being provided</w:t>
            </w:r>
          </w:p>
        </w:tc>
        <w:tc>
          <w:tcPr>
            <w:tcW w:w="3071" w:type="dxa"/>
            <w:tcBorders>
              <w:top w:val="single" w:sz="8" w:space="0" w:color="000000"/>
              <w:left w:val="single" w:sz="8" w:space="0" w:color="000000"/>
              <w:bottom w:val="single" w:sz="8" w:space="0" w:color="000000"/>
              <w:right w:val="single" w:sz="8" w:space="0" w:color="000000"/>
            </w:tcBorders>
            <w:shd w:val="clear" w:color="auto" w:fill="EFA31F" w:themeFill="background2"/>
            <w:tcMar>
              <w:top w:w="57" w:type="dxa"/>
              <w:left w:w="102" w:type="dxa"/>
              <w:bottom w:w="57" w:type="dxa"/>
              <w:right w:w="102" w:type="dxa"/>
            </w:tcMar>
            <w:hideMark/>
          </w:tcPr>
          <w:p w14:paraId="5F732C16" w14:textId="77777777" w:rsidR="00BE0EEF" w:rsidRPr="00BE0EEF" w:rsidRDefault="00BE0EEF" w:rsidP="000A0588">
            <w:pPr>
              <w:pStyle w:val="TableText"/>
              <w:jc w:val="center"/>
            </w:pPr>
            <w:r w:rsidRPr="000A0588">
              <w:rPr>
                <w:b/>
                <w:bCs/>
              </w:rPr>
              <w:t>Marginally</w:t>
            </w:r>
            <w:r w:rsidRPr="00BE0EEF">
              <w:t xml:space="preserve"> possible</w:t>
            </w:r>
          </w:p>
          <w:p w14:paraId="606F4259" w14:textId="77777777" w:rsidR="00BE0EEF" w:rsidRPr="00BE0EEF" w:rsidRDefault="00BE0EEF" w:rsidP="000A0588">
            <w:pPr>
              <w:pStyle w:val="TableText"/>
              <w:jc w:val="center"/>
            </w:pPr>
          </w:p>
        </w:tc>
        <w:tc>
          <w:tcPr>
            <w:tcW w:w="0" w:type="auto"/>
            <w:tcBorders>
              <w:top w:val="single" w:sz="8" w:space="0" w:color="000000"/>
              <w:left w:val="single" w:sz="8" w:space="0" w:color="000000"/>
              <w:bottom w:val="single" w:sz="8" w:space="0" w:color="000000"/>
              <w:right w:val="single" w:sz="8" w:space="0" w:color="000000"/>
            </w:tcBorders>
            <w:shd w:val="clear" w:color="auto" w:fill="EFA31F" w:themeFill="background2"/>
            <w:tcMar>
              <w:top w:w="57" w:type="dxa"/>
              <w:left w:w="102" w:type="dxa"/>
              <w:bottom w:w="57" w:type="dxa"/>
              <w:right w:w="102" w:type="dxa"/>
            </w:tcMar>
            <w:hideMark/>
          </w:tcPr>
          <w:p w14:paraId="275141ED" w14:textId="77777777" w:rsidR="00BE0EEF" w:rsidRPr="00BE0EEF" w:rsidRDefault="00BE0EEF" w:rsidP="000A0588">
            <w:pPr>
              <w:pStyle w:val="TableText"/>
              <w:jc w:val="center"/>
            </w:pPr>
            <w:r w:rsidRPr="000A0588">
              <w:rPr>
                <w:b/>
                <w:bCs/>
              </w:rPr>
              <w:t>Marginally</w:t>
            </w:r>
            <w:r w:rsidRPr="00BE0EEF">
              <w:t xml:space="preserve"> possible</w:t>
            </w:r>
          </w:p>
          <w:p w14:paraId="735AE2A8" w14:textId="77777777" w:rsidR="00BE0EEF" w:rsidRPr="00BE0EEF" w:rsidRDefault="00BE0EEF" w:rsidP="000A0588">
            <w:pPr>
              <w:pStyle w:val="TableText"/>
              <w:jc w:val="center"/>
            </w:pPr>
          </w:p>
        </w:tc>
        <w:tc>
          <w:tcPr>
            <w:tcW w:w="2890"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00B644C4" w14:textId="77777777" w:rsidR="00BE0EEF" w:rsidRPr="00BE0EEF" w:rsidRDefault="00BE0EEF" w:rsidP="000A0588">
            <w:pPr>
              <w:pStyle w:val="TableText"/>
              <w:jc w:val="center"/>
            </w:pPr>
            <w:r w:rsidRPr="00BE0EEF">
              <w:t>Possible</w:t>
            </w:r>
          </w:p>
          <w:p w14:paraId="6B78BEBC" w14:textId="77777777" w:rsidR="00BE0EEF" w:rsidRPr="00BE0EEF" w:rsidRDefault="00BE0EEF" w:rsidP="000A0588">
            <w:pPr>
              <w:pStyle w:val="TableText"/>
              <w:jc w:val="center"/>
            </w:pPr>
            <w:r w:rsidRPr="00BE0EEF">
              <w:t>The direct model is the only model in which a membership-based organisation is not involved as the funding body</w:t>
            </w:r>
          </w:p>
        </w:tc>
        <w:tc>
          <w:tcPr>
            <w:tcW w:w="2512" w:type="dxa"/>
            <w:tcBorders>
              <w:top w:val="single" w:sz="8" w:space="0" w:color="000000"/>
              <w:left w:val="single" w:sz="8" w:space="0" w:color="000000"/>
              <w:bottom w:val="single" w:sz="8" w:space="0" w:color="000000"/>
              <w:right w:val="single" w:sz="8" w:space="0" w:color="000000"/>
            </w:tcBorders>
            <w:shd w:val="clear" w:color="auto" w:fill="EFA31F" w:themeFill="background2"/>
            <w:tcMar>
              <w:top w:w="57" w:type="dxa"/>
              <w:left w:w="102" w:type="dxa"/>
              <w:bottom w:w="57" w:type="dxa"/>
              <w:right w:w="102" w:type="dxa"/>
            </w:tcMar>
            <w:hideMark/>
          </w:tcPr>
          <w:p w14:paraId="123A2098" w14:textId="77777777" w:rsidR="00BE0EEF" w:rsidRPr="00BE0EEF" w:rsidRDefault="00BE0EEF" w:rsidP="000A0588">
            <w:pPr>
              <w:pStyle w:val="TableText"/>
              <w:jc w:val="center"/>
            </w:pPr>
            <w:r w:rsidRPr="000A0588">
              <w:rPr>
                <w:b/>
                <w:bCs/>
              </w:rPr>
              <w:t>Marginally</w:t>
            </w:r>
            <w:r w:rsidRPr="00BE0EEF">
              <w:t xml:space="preserve"> possible</w:t>
            </w:r>
          </w:p>
          <w:p w14:paraId="5B01349E" w14:textId="77777777" w:rsidR="00BE0EEF" w:rsidRPr="00BE0EEF" w:rsidRDefault="00BE0EEF" w:rsidP="000A0588">
            <w:pPr>
              <w:pStyle w:val="TableText"/>
              <w:jc w:val="center"/>
            </w:pPr>
          </w:p>
        </w:tc>
      </w:tr>
      <w:tr w:rsidR="003D5690" w:rsidRPr="00BE0EEF" w14:paraId="4F875FD7" w14:textId="77777777" w:rsidTr="00E93B27">
        <w:trPr>
          <w:cantSplit/>
        </w:trPr>
        <w:tc>
          <w:tcPr>
            <w:tcW w:w="337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02" w:type="dxa"/>
              <w:bottom w:w="57" w:type="dxa"/>
              <w:right w:w="102" w:type="dxa"/>
            </w:tcMar>
            <w:hideMark/>
          </w:tcPr>
          <w:p w14:paraId="0A610ACE" w14:textId="77777777" w:rsidR="00BE0EEF" w:rsidRPr="000A0588" w:rsidRDefault="00BE0EEF" w:rsidP="000A0588">
            <w:pPr>
              <w:pStyle w:val="TableText"/>
              <w:rPr>
                <w:b/>
                <w:bCs/>
              </w:rPr>
            </w:pPr>
            <w:r w:rsidRPr="000A0588">
              <w:rPr>
                <w:b/>
                <w:bCs/>
              </w:rPr>
              <w:t>Existing infrastructure utilisation</w:t>
            </w:r>
          </w:p>
          <w:p w14:paraId="47E8373C" w14:textId="77777777" w:rsidR="00BE0EEF" w:rsidRPr="00BE0EEF" w:rsidRDefault="00BE0EEF" w:rsidP="000A0588">
            <w:pPr>
              <w:pStyle w:val="TableText"/>
            </w:pPr>
            <w:r w:rsidRPr="00BE0EEF">
              <w:t>Existing organisations in the region/jurisdiction are well-positioned to take on the role of the funding body</w:t>
            </w:r>
          </w:p>
        </w:tc>
        <w:tc>
          <w:tcPr>
            <w:tcW w:w="3071"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329BCDB1" w14:textId="77777777" w:rsidR="00BE0EEF" w:rsidRPr="00BE0EEF" w:rsidRDefault="00BE0EEF" w:rsidP="000A0588">
            <w:pPr>
              <w:pStyle w:val="TableText"/>
              <w:jc w:val="center"/>
            </w:pPr>
            <w:r w:rsidRPr="00BE0EEF">
              <w:t>Possible</w:t>
            </w:r>
          </w:p>
        </w:tc>
        <w:tc>
          <w:tcPr>
            <w:tcW w:w="0" w:type="auto"/>
            <w:tcBorders>
              <w:top w:val="single" w:sz="8" w:space="0" w:color="000000"/>
              <w:left w:val="single" w:sz="8" w:space="0" w:color="000000"/>
              <w:bottom w:val="single" w:sz="8" w:space="0" w:color="000000"/>
              <w:right w:val="single" w:sz="8" w:space="0" w:color="000000"/>
            </w:tcBorders>
            <w:shd w:val="clear" w:color="auto" w:fill="EFA31F" w:themeFill="background2"/>
            <w:tcMar>
              <w:top w:w="57" w:type="dxa"/>
              <w:left w:w="102" w:type="dxa"/>
              <w:bottom w:w="57" w:type="dxa"/>
              <w:right w:w="102" w:type="dxa"/>
            </w:tcMar>
            <w:hideMark/>
          </w:tcPr>
          <w:p w14:paraId="1E2ED16D" w14:textId="77777777" w:rsidR="00BE0EEF" w:rsidRPr="00BE0EEF" w:rsidRDefault="00BE0EEF" w:rsidP="000A0588">
            <w:pPr>
              <w:pStyle w:val="TableText"/>
              <w:jc w:val="center"/>
            </w:pPr>
            <w:r w:rsidRPr="000A0588">
              <w:rPr>
                <w:b/>
                <w:bCs/>
              </w:rPr>
              <w:t>Marginally</w:t>
            </w:r>
            <w:r w:rsidRPr="00BE0EEF">
              <w:t xml:space="preserve"> possible</w:t>
            </w:r>
          </w:p>
          <w:p w14:paraId="0524F913" w14:textId="77777777" w:rsidR="00BE0EEF" w:rsidRPr="00BE0EEF" w:rsidRDefault="00BE0EEF" w:rsidP="000A0588">
            <w:pPr>
              <w:pStyle w:val="TableText"/>
              <w:jc w:val="center"/>
            </w:pPr>
            <w:r w:rsidRPr="00BE0EEF">
              <w:t>Not all regions have an existing well-positioned or relevant organisation when compared to the other models</w:t>
            </w:r>
          </w:p>
        </w:tc>
        <w:tc>
          <w:tcPr>
            <w:tcW w:w="2890"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76740366" w14:textId="77777777" w:rsidR="00BE0EEF" w:rsidRPr="00BE0EEF" w:rsidRDefault="00BE0EEF" w:rsidP="000A0588">
            <w:pPr>
              <w:pStyle w:val="TableText"/>
              <w:jc w:val="center"/>
            </w:pPr>
            <w:r w:rsidRPr="00BE0EEF">
              <w:t>Possible</w:t>
            </w:r>
          </w:p>
          <w:p w14:paraId="5BB3546B" w14:textId="77777777" w:rsidR="00BE0EEF" w:rsidRPr="00BE0EEF" w:rsidRDefault="00BE0EEF" w:rsidP="000A0588">
            <w:pPr>
              <w:pStyle w:val="TableText"/>
              <w:jc w:val="center"/>
            </w:pPr>
          </w:p>
        </w:tc>
        <w:tc>
          <w:tcPr>
            <w:tcW w:w="2512"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09BA6A29" w14:textId="77777777" w:rsidR="00BE0EEF" w:rsidRPr="00BE0EEF" w:rsidRDefault="00BE0EEF" w:rsidP="000A0588">
            <w:pPr>
              <w:pStyle w:val="TableText"/>
              <w:jc w:val="center"/>
            </w:pPr>
            <w:r w:rsidRPr="00BE0EEF">
              <w:t>Possible</w:t>
            </w:r>
          </w:p>
        </w:tc>
      </w:tr>
      <w:tr w:rsidR="003D5690" w:rsidRPr="00BE0EEF" w14:paraId="00DED0F0" w14:textId="77777777" w:rsidTr="00E93B27">
        <w:trPr>
          <w:cantSplit/>
        </w:trPr>
        <w:tc>
          <w:tcPr>
            <w:tcW w:w="337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02" w:type="dxa"/>
              <w:bottom w:w="57" w:type="dxa"/>
              <w:right w:w="102" w:type="dxa"/>
            </w:tcMar>
            <w:hideMark/>
          </w:tcPr>
          <w:p w14:paraId="177496BF" w14:textId="77777777" w:rsidR="00BE0EEF" w:rsidRPr="00FD38BA" w:rsidRDefault="00BE0EEF" w:rsidP="00FD38BA">
            <w:pPr>
              <w:pStyle w:val="TableText"/>
              <w:rPr>
                <w:b/>
                <w:bCs/>
              </w:rPr>
            </w:pPr>
            <w:r w:rsidRPr="00FD38BA">
              <w:rPr>
                <w:b/>
                <w:bCs/>
              </w:rPr>
              <w:t xml:space="preserve">Minimal cultural and operational change in </w:t>
            </w:r>
            <w:r w:rsidR="003D5690" w:rsidRPr="00FD38BA">
              <w:rPr>
                <w:b/>
                <w:bCs/>
              </w:rPr>
              <w:t>g</w:t>
            </w:r>
            <w:r w:rsidRPr="00FD38BA">
              <w:rPr>
                <w:b/>
                <w:bCs/>
              </w:rPr>
              <w:t>overnment</w:t>
            </w:r>
          </w:p>
          <w:p w14:paraId="6EC7D67B" w14:textId="77777777" w:rsidR="00BE0EEF" w:rsidRPr="00BE0EEF" w:rsidRDefault="00BE0EEF" w:rsidP="00FD38BA">
            <w:pPr>
              <w:pStyle w:val="TableText"/>
            </w:pPr>
            <w:r w:rsidRPr="00BE0EEF">
              <w:t>The funding arrangement will require minimal cultural and operational change within the government</w:t>
            </w:r>
          </w:p>
        </w:tc>
        <w:tc>
          <w:tcPr>
            <w:tcW w:w="3071"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037C1643" w14:textId="77777777" w:rsidR="00BE0EEF" w:rsidRPr="00BE0EEF" w:rsidRDefault="00BE0EEF" w:rsidP="00FD38BA">
            <w:pPr>
              <w:pStyle w:val="TableText"/>
              <w:jc w:val="center"/>
            </w:pPr>
            <w:r w:rsidRPr="00BE0EEF">
              <w:t>Possible</w:t>
            </w:r>
          </w:p>
          <w:p w14:paraId="4A6EB945" w14:textId="77777777" w:rsidR="00BE0EEF" w:rsidRPr="00BE0EEF" w:rsidRDefault="00BE0EEF" w:rsidP="00FD38BA">
            <w:pPr>
              <w:pStyle w:val="TableText"/>
              <w:jc w:val="center"/>
            </w:pPr>
          </w:p>
        </w:tc>
        <w:tc>
          <w:tcPr>
            <w:tcW w:w="0" w:type="auto"/>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14C656FF" w14:textId="77777777" w:rsidR="00BE0EEF" w:rsidRPr="00BE0EEF" w:rsidRDefault="00BE0EEF" w:rsidP="00FD38BA">
            <w:pPr>
              <w:pStyle w:val="TableText"/>
              <w:jc w:val="center"/>
            </w:pPr>
            <w:r w:rsidRPr="00BE0EEF">
              <w:t>Possible</w:t>
            </w:r>
          </w:p>
        </w:tc>
        <w:tc>
          <w:tcPr>
            <w:tcW w:w="2890" w:type="dxa"/>
            <w:tcBorders>
              <w:top w:val="single" w:sz="8" w:space="0" w:color="000000"/>
              <w:left w:val="single" w:sz="8" w:space="0" w:color="000000"/>
              <w:bottom w:val="single" w:sz="8" w:space="0" w:color="000000"/>
              <w:right w:val="single" w:sz="8" w:space="0" w:color="000000"/>
            </w:tcBorders>
            <w:shd w:val="clear" w:color="auto" w:fill="EFA31F" w:themeFill="background2"/>
            <w:tcMar>
              <w:top w:w="57" w:type="dxa"/>
              <w:left w:w="102" w:type="dxa"/>
              <w:bottom w:w="57" w:type="dxa"/>
              <w:right w:w="102" w:type="dxa"/>
            </w:tcMar>
            <w:hideMark/>
          </w:tcPr>
          <w:p w14:paraId="180440B1" w14:textId="77777777" w:rsidR="00BE0EEF" w:rsidRPr="00BE0EEF" w:rsidRDefault="00BE0EEF" w:rsidP="00FD38BA">
            <w:pPr>
              <w:pStyle w:val="TableText"/>
              <w:jc w:val="center"/>
            </w:pPr>
            <w:r w:rsidRPr="003D5690">
              <w:rPr>
                <w:b/>
              </w:rPr>
              <w:t>Marginally</w:t>
            </w:r>
            <w:r w:rsidRPr="00BE0EEF">
              <w:t xml:space="preserve"> possible</w:t>
            </w:r>
          </w:p>
          <w:p w14:paraId="763287C9" w14:textId="77777777" w:rsidR="00BE0EEF" w:rsidRPr="00BE0EEF" w:rsidRDefault="00BE0EEF" w:rsidP="00FD38BA">
            <w:pPr>
              <w:pStyle w:val="TableText"/>
              <w:jc w:val="center"/>
            </w:pPr>
          </w:p>
          <w:p w14:paraId="0B9020C9" w14:textId="77777777" w:rsidR="00BE0EEF" w:rsidRPr="00BE0EEF" w:rsidRDefault="00BE0EEF" w:rsidP="00FD38BA">
            <w:pPr>
              <w:pStyle w:val="TableText"/>
              <w:jc w:val="center"/>
            </w:pPr>
            <w:r w:rsidRPr="00BE0EEF">
              <w:t>The direct model will require the Department to take on several new and enhanced roles.</w:t>
            </w:r>
          </w:p>
          <w:p w14:paraId="33466EC0" w14:textId="77777777" w:rsidR="00BE0EEF" w:rsidRPr="00BE0EEF" w:rsidRDefault="00BE0EEF" w:rsidP="00FD38BA">
            <w:pPr>
              <w:pStyle w:val="TableText"/>
              <w:jc w:val="center"/>
            </w:pPr>
          </w:p>
        </w:tc>
        <w:tc>
          <w:tcPr>
            <w:tcW w:w="2512" w:type="dxa"/>
            <w:tcBorders>
              <w:top w:val="single" w:sz="8" w:space="0" w:color="000000"/>
              <w:left w:val="single" w:sz="8" w:space="0" w:color="000000"/>
              <w:bottom w:val="single" w:sz="8" w:space="0" w:color="000000"/>
              <w:right w:val="single" w:sz="8" w:space="0" w:color="000000"/>
            </w:tcBorders>
            <w:shd w:val="clear" w:color="auto" w:fill="0196A7" w:themeFill="accent3"/>
            <w:tcMar>
              <w:top w:w="57" w:type="dxa"/>
              <w:left w:w="102" w:type="dxa"/>
              <w:bottom w:w="57" w:type="dxa"/>
              <w:right w:w="102" w:type="dxa"/>
            </w:tcMar>
            <w:hideMark/>
          </w:tcPr>
          <w:p w14:paraId="30138A47" w14:textId="77777777" w:rsidR="00BE0EEF" w:rsidRPr="00BE0EEF" w:rsidRDefault="00BE0EEF" w:rsidP="00FD38BA">
            <w:pPr>
              <w:pStyle w:val="TableText"/>
              <w:jc w:val="center"/>
            </w:pPr>
            <w:r w:rsidRPr="00BE0EEF">
              <w:rPr>
                <w:b/>
              </w:rPr>
              <w:t>Very</w:t>
            </w:r>
            <w:r w:rsidRPr="00BE0EEF">
              <w:t xml:space="preserve"> possible</w:t>
            </w:r>
          </w:p>
          <w:p w14:paraId="78AC870D" w14:textId="77777777" w:rsidR="00BE0EEF" w:rsidRPr="00BE0EEF" w:rsidRDefault="00BE0EEF" w:rsidP="00FD38BA">
            <w:pPr>
              <w:pStyle w:val="TableText"/>
              <w:jc w:val="center"/>
            </w:pPr>
          </w:p>
          <w:p w14:paraId="0DC605F2" w14:textId="77777777" w:rsidR="00BE0EEF" w:rsidRPr="00BE0EEF" w:rsidRDefault="00BE0EEF" w:rsidP="00FD38BA">
            <w:pPr>
              <w:pStyle w:val="TableText"/>
              <w:jc w:val="center"/>
            </w:pPr>
            <w:r w:rsidRPr="00BE0EEF">
              <w:t xml:space="preserve">The NACCHO model would continue and extend existing relationships for </w:t>
            </w:r>
            <w:r w:rsidR="003D5690">
              <w:t>g</w:t>
            </w:r>
            <w:r w:rsidRPr="00BE0EEF">
              <w:t xml:space="preserve">overnment and therefore </w:t>
            </w:r>
            <w:r w:rsidR="003D5690">
              <w:t xml:space="preserve">is </w:t>
            </w:r>
            <w:r w:rsidRPr="00BE0EEF">
              <w:t>likely to require minimal change</w:t>
            </w:r>
          </w:p>
        </w:tc>
      </w:tr>
      <w:tr w:rsidR="003D5690" w:rsidRPr="00BE0EEF" w14:paraId="53BF030A" w14:textId="77777777" w:rsidTr="00E93B27">
        <w:trPr>
          <w:cantSplit/>
        </w:trPr>
        <w:tc>
          <w:tcPr>
            <w:tcW w:w="337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02" w:type="dxa"/>
              <w:bottom w:w="57" w:type="dxa"/>
              <w:right w:w="102" w:type="dxa"/>
            </w:tcMar>
            <w:hideMark/>
          </w:tcPr>
          <w:p w14:paraId="7F022741" w14:textId="77777777" w:rsidR="00BE0EEF" w:rsidRPr="00FD38BA" w:rsidRDefault="00BE0EEF" w:rsidP="00FD38BA">
            <w:pPr>
              <w:pStyle w:val="TableText"/>
              <w:rPr>
                <w:b/>
                <w:bCs/>
              </w:rPr>
            </w:pPr>
            <w:r w:rsidRPr="00FD38BA">
              <w:rPr>
                <w:b/>
                <w:bCs/>
              </w:rPr>
              <w:t>Minimal cultural and operational change for the funding body </w:t>
            </w:r>
          </w:p>
          <w:p w14:paraId="10A8DEEE" w14:textId="77777777" w:rsidR="00BE0EEF" w:rsidRPr="00BE0EEF" w:rsidRDefault="00BE0EEF" w:rsidP="00FD38BA">
            <w:pPr>
              <w:pStyle w:val="TableText"/>
            </w:pPr>
            <w:r w:rsidRPr="00BE0EEF">
              <w:t>The funding arrangement will require minimal cultural and operational change within the funding body </w:t>
            </w:r>
          </w:p>
        </w:tc>
        <w:tc>
          <w:tcPr>
            <w:tcW w:w="3071" w:type="dxa"/>
            <w:tcBorders>
              <w:top w:val="single" w:sz="8" w:space="0" w:color="000000"/>
              <w:left w:val="single" w:sz="8" w:space="0" w:color="000000"/>
              <w:bottom w:val="single" w:sz="8" w:space="0" w:color="000000"/>
              <w:right w:val="single" w:sz="8" w:space="0" w:color="000000"/>
            </w:tcBorders>
            <w:shd w:val="clear" w:color="auto" w:fill="EFA31F" w:themeFill="background2"/>
            <w:tcMar>
              <w:top w:w="57" w:type="dxa"/>
              <w:left w:w="102" w:type="dxa"/>
              <w:bottom w:w="57" w:type="dxa"/>
              <w:right w:w="102" w:type="dxa"/>
            </w:tcMar>
            <w:hideMark/>
          </w:tcPr>
          <w:p w14:paraId="397D0822" w14:textId="77777777" w:rsidR="00BE0EEF" w:rsidRPr="00BE0EEF" w:rsidRDefault="00BE0EEF" w:rsidP="00FD38BA">
            <w:pPr>
              <w:pStyle w:val="TableText"/>
              <w:jc w:val="center"/>
            </w:pPr>
            <w:r w:rsidRPr="00702E19">
              <w:rPr>
                <w:b/>
              </w:rPr>
              <w:t>Marginally</w:t>
            </w:r>
            <w:r w:rsidRPr="00BE0EEF">
              <w:t xml:space="preserve"> possible</w:t>
            </w:r>
          </w:p>
          <w:p w14:paraId="0CADD89F" w14:textId="77777777" w:rsidR="00BE0EEF" w:rsidRPr="00BE0EEF" w:rsidRDefault="00BE0EEF" w:rsidP="00FD38BA">
            <w:pPr>
              <w:pStyle w:val="TableText"/>
              <w:jc w:val="center"/>
            </w:pPr>
            <w:r w:rsidRPr="00BE0EEF">
              <w:t>The state/territory model will require an existing or new organisation to take on several new and enhanced roles</w:t>
            </w:r>
          </w:p>
        </w:tc>
        <w:tc>
          <w:tcPr>
            <w:tcW w:w="0" w:type="auto"/>
            <w:tcBorders>
              <w:top w:val="single" w:sz="8" w:space="0" w:color="000000"/>
              <w:left w:val="single" w:sz="8" w:space="0" w:color="000000"/>
              <w:bottom w:val="single" w:sz="8" w:space="0" w:color="000000"/>
              <w:right w:val="single" w:sz="8" w:space="0" w:color="000000"/>
            </w:tcBorders>
            <w:shd w:val="clear" w:color="auto" w:fill="EFA31F" w:themeFill="background2"/>
            <w:tcMar>
              <w:top w:w="57" w:type="dxa"/>
              <w:left w:w="102" w:type="dxa"/>
              <w:bottom w:w="57" w:type="dxa"/>
              <w:right w:w="102" w:type="dxa"/>
            </w:tcMar>
            <w:hideMark/>
          </w:tcPr>
          <w:p w14:paraId="045BFE31" w14:textId="77777777" w:rsidR="00BE0EEF" w:rsidRPr="00BE0EEF" w:rsidRDefault="00BE0EEF" w:rsidP="00FD38BA">
            <w:pPr>
              <w:pStyle w:val="TableText"/>
              <w:jc w:val="center"/>
            </w:pPr>
            <w:r w:rsidRPr="00702E19">
              <w:rPr>
                <w:b/>
              </w:rPr>
              <w:t>Marginally</w:t>
            </w:r>
            <w:r w:rsidRPr="00BE0EEF">
              <w:t xml:space="preserve"> possible</w:t>
            </w:r>
          </w:p>
          <w:p w14:paraId="58335AA4" w14:textId="77777777" w:rsidR="00BE0EEF" w:rsidRPr="00BE0EEF" w:rsidRDefault="00BE0EEF" w:rsidP="00FD38BA">
            <w:pPr>
              <w:pStyle w:val="TableText"/>
              <w:jc w:val="center"/>
            </w:pPr>
            <w:r w:rsidRPr="00BE0EEF">
              <w:t>The regional model will require an existing or new organisation to take on several new and enhanced roles</w:t>
            </w:r>
          </w:p>
        </w:tc>
        <w:tc>
          <w:tcPr>
            <w:tcW w:w="2890" w:type="dxa"/>
            <w:tcBorders>
              <w:top w:val="single" w:sz="8" w:space="0" w:color="000000"/>
              <w:left w:val="single" w:sz="8" w:space="0" w:color="000000"/>
              <w:bottom w:val="single" w:sz="8" w:space="0" w:color="000000"/>
              <w:right w:val="single" w:sz="8" w:space="0" w:color="000000"/>
            </w:tcBorders>
            <w:shd w:val="clear" w:color="auto" w:fill="EFA31F" w:themeFill="background2"/>
            <w:tcMar>
              <w:top w:w="57" w:type="dxa"/>
              <w:left w:w="102" w:type="dxa"/>
              <w:bottom w:w="57" w:type="dxa"/>
              <w:right w:w="102" w:type="dxa"/>
            </w:tcMar>
            <w:hideMark/>
          </w:tcPr>
          <w:p w14:paraId="4529324D" w14:textId="77777777" w:rsidR="00BE0EEF" w:rsidRPr="00BE0EEF" w:rsidRDefault="00BE0EEF" w:rsidP="00FD38BA">
            <w:pPr>
              <w:pStyle w:val="TableText"/>
              <w:jc w:val="center"/>
            </w:pPr>
            <w:r w:rsidRPr="00702E19">
              <w:rPr>
                <w:b/>
              </w:rPr>
              <w:t>Marginally</w:t>
            </w:r>
            <w:r w:rsidRPr="00BE0EEF">
              <w:t xml:space="preserve"> possible</w:t>
            </w:r>
          </w:p>
          <w:p w14:paraId="587B7CF4" w14:textId="77777777" w:rsidR="00BE0EEF" w:rsidRPr="00BE0EEF" w:rsidRDefault="00BE0EEF" w:rsidP="00FD38BA">
            <w:pPr>
              <w:pStyle w:val="TableText"/>
              <w:jc w:val="center"/>
            </w:pPr>
            <w:r w:rsidRPr="00BE0EEF">
              <w:t>The direct model will require the department and service providers to take on several new and enhanced roles</w:t>
            </w:r>
          </w:p>
        </w:tc>
        <w:tc>
          <w:tcPr>
            <w:tcW w:w="2512"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14757356" w14:textId="77777777" w:rsidR="00BE0EEF" w:rsidRPr="00BE0EEF" w:rsidRDefault="00BE0EEF" w:rsidP="00FD38BA">
            <w:pPr>
              <w:pStyle w:val="TableText"/>
              <w:jc w:val="center"/>
            </w:pPr>
            <w:r w:rsidRPr="00BE0EEF">
              <w:t>Possible</w:t>
            </w:r>
          </w:p>
          <w:p w14:paraId="78D663C9" w14:textId="77777777" w:rsidR="00BE0EEF" w:rsidRPr="00BE0EEF" w:rsidRDefault="00BE0EEF" w:rsidP="00FD38BA">
            <w:pPr>
              <w:pStyle w:val="TableText"/>
              <w:jc w:val="center"/>
            </w:pPr>
            <w:r w:rsidRPr="00BE0EEF">
              <w:t>The NACCHO model would continue and extend existing roles that NACCHO currently undertakes (through CCC and more)</w:t>
            </w:r>
          </w:p>
        </w:tc>
      </w:tr>
      <w:tr w:rsidR="003D5690" w:rsidRPr="00BE0EEF" w14:paraId="05F42CB3" w14:textId="77777777" w:rsidTr="00E93B27">
        <w:trPr>
          <w:cantSplit/>
        </w:trPr>
        <w:tc>
          <w:tcPr>
            <w:tcW w:w="337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02" w:type="dxa"/>
              <w:bottom w:w="57" w:type="dxa"/>
              <w:right w:w="102" w:type="dxa"/>
            </w:tcMar>
            <w:hideMark/>
          </w:tcPr>
          <w:p w14:paraId="61E47B8F" w14:textId="77777777" w:rsidR="00BE0EEF" w:rsidRPr="00FD38BA" w:rsidRDefault="00BE0EEF" w:rsidP="00FD38BA">
            <w:pPr>
              <w:pStyle w:val="TableText"/>
              <w:rPr>
                <w:b/>
                <w:bCs/>
              </w:rPr>
            </w:pPr>
            <w:r w:rsidRPr="00FD38BA">
              <w:rPr>
                <w:b/>
                <w:bCs/>
              </w:rPr>
              <w:t>Minimal cultural and operational change for service providers</w:t>
            </w:r>
          </w:p>
          <w:p w14:paraId="1565107E" w14:textId="77777777" w:rsidR="00BE0EEF" w:rsidRPr="00BE0EEF" w:rsidRDefault="00BE0EEF" w:rsidP="00FD38BA">
            <w:pPr>
              <w:pStyle w:val="TableText"/>
            </w:pPr>
            <w:r w:rsidRPr="00BE0EEF">
              <w:t>The funding arrangement will require minimal cultural and operational change for service providers</w:t>
            </w:r>
          </w:p>
        </w:tc>
        <w:tc>
          <w:tcPr>
            <w:tcW w:w="3071"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613668B2" w14:textId="77777777" w:rsidR="00BE0EEF" w:rsidRPr="00BE0EEF" w:rsidRDefault="00BE0EEF" w:rsidP="00FD38BA">
            <w:pPr>
              <w:pStyle w:val="TableText"/>
              <w:jc w:val="center"/>
            </w:pPr>
            <w:r w:rsidRPr="00BE0EEF">
              <w:t>Possible</w:t>
            </w:r>
          </w:p>
        </w:tc>
        <w:tc>
          <w:tcPr>
            <w:tcW w:w="0" w:type="auto"/>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7F5B53F8" w14:textId="77777777" w:rsidR="00BE0EEF" w:rsidRPr="00BE0EEF" w:rsidRDefault="00BE0EEF" w:rsidP="00FD38BA">
            <w:pPr>
              <w:pStyle w:val="TableText"/>
              <w:jc w:val="center"/>
            </w:pPr>
            <w:r w:rsidRPr="00BE0EEF">
              <w:t>Possible</w:t>
            </w:r>
          </w:p>
        </w:tc>
        <w:tc>
          <w:tcPr>
            <w:tcW w:w="2890" w:type="dxa"/>
            <w:tcBorders>
              <w:top w:val="single" w:sz="8" w:space="0" w:color="000000"/>
              <w:left w:val="single" w:sz="8" w:space="0" w:color="000000"/>
              <w:bottom w:val="single" w:sz="8" w:space="0" w:color="000000"/>
              <w:right w:val="single" w:sz="8" w:space="0" w:color="000000"/>
            </w:tcBorders>
            <w:shd w:val="clear" w:color="auto" w:fill="EFA31F" w:themeFill="background2"/>
            <w:tcMar>
              <w:top w:w="57" w:type="dxa"/>
              <w:left w:w="102" w:type="dxa"/>
              <w:bottom w:w="57" w:type="dxa"/>
              <w:right w:w="102" w:type="dxa"/>
            </w:tcMar>
            <w:hideMark/>
          </w:tcPr>
          <w:p w14:paraId="6DB15318" w14:textId="77777777" w:rsidR="00BE0EEF" w:rsidRPr="00BE0EEF" w:rsidRDefault="00BE0EEF" w:rsidP="00FD38BA">
            <w:pPr>
              <w:pStyle w:val="TableText"/>
              <w:jc w:val="center"/>
            </w:pPr>
            <w:r w:rsidRPr="00702E19">
              <w:rPr>
                <w:b/>
              </w:rPr>
              <w:t>Marginally</w:t>
            </w:r>
            <w:r w:rsidRPr="00BE0EEF">
              <w:t xml:space="preserve"> possible</w:t>
            </w:r>
          </w:p>
          <w:p w14:paraId="46CD9F41" w14:textId="77777777" w:rsidR="00BE0EEF" w:rsidRPr="00BE0EEF" w:rsidRDefault="00BE0EEF" w:rsidP="00FD38BA">
            <w:pPr>
              <w:pStyle w:val="TableText"/>
              <w:jc w:val="center"/>
            </w:pPr>
            <w:r w:rsidRPr="00BE0EEF">
              <w:t>The direct model will require service providers to take on several new and enhanced roles</w:t>
            </w:r>
          </w:p>
        </w:tc>
        <w:tc>
          <w:tcPr>
            <w:tcW w:w="2512"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59634ADE" w14:textId="77777777" w:rsidR="00BE0EEF" w:rsidRPr="00BE0EEF" w:rsidRDefault="00BE0EEF" w:rsidP="00FD38BA">
            <w:pPr>
              <w:pStyle w:val="TableText"/>
              <w:jc w:val="center"/>
            </w:pPr>
            <w:r w:rsidRPr="00BE0EEF">
              <w:t>Possible</w:t>
            </w:r>
          </w:p>
          <w:p w14:paraId="513C00B6" w14:textId="77777777" w:rsidR="00BE0EEF" w:rsidRPr="00BE0EEF" w:rsidRDefault="00BE0EEF" w:rsidP="00FD38BA">
            <w:pPr>
              <w:pStyle w:val="TableText"/>
              <w:jc w:val="center"/>
            </w:pPr>
          </w:p>
        </w:tc>
      </w:tr>
      <w:tr w:rsidR="003D5690" w:rsidRPr="00BE0EEF" w14:paraId="3CBC3C6E" w14:textId="77777777" w:rsidTr="00E93B27">
        <w:trPr>
          <w:cantSplit/>
        </w:trPr>
        <w:tc>
          <w:tcPr>
            <w:tcW w:w="337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02" w:type="dxa"/>
              <w:bottom w:w="57" w:type="dxa"/>
              <w:right w:w="102" w:type="dxa"/>
            </w:tcMar>
            <w:hideMark/>
          </w:tcPr>
          <w:p w14:paraId="036375B2" w14:textId="77777777" w:rsidR="00BE0EEF" w:rsidRPr="00FD38BA" w:rsidRDefault="00BE0EEF" w:rsidP="00FD38BA">
            <w:pPr>
              <w:pStyle w:val="TableText"/>
              <w:rPr>
                <w:b/>
                <w:bCs/>
              </w:rPr>
            </w:pPr>
            <w:r w:rsidRPr="00FD38BA">
              <w:rPr>
                <w:b/>
                <w:bCs/>
              </w:rPr>
              <w:t>Reduced fragmentation</w:t>
            </w:r>
          </w:p>
          <w:p w14:paraId="19A6D6A7" w14:textId="77777777" w:rsidR="00BE0EEF" w:rsidRPr="00BE0EEF" w:rsidRDefault="00BE0EEF" w:rsidP="00FD38BA">
            <w:pPr>
              <w:pStyle w:val="TableText"/>
            </w:pPr>
            <w:r w:rsidRPr="00BE0EEF">
              <w:t>The funding arrangement will reduce the fragmentation of arrangements across the entire model</w:t>
            </w:r>
          </w:p>
        </w:tc>
        <w:tc>
          <w:tcPr>
            <w:tcW w:w="3071"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308585DB" w14:textId="77777777" w:rsidR="00BE0EEF" w:rsidRPr="00BE0EEF" w:rsidRDefault="00BE0EEF" w:rsidP="00FD38BA">
            <w:pPr>
              <w:pStyle w:val="TableText"/>
              <w:jc w:val="center"/>
            </w:pPr>
            <w:r w:rsidRPr="00BE0EEF">
              <w:t>Possible</w:t>
            </w:r>
          </w:p>
        </w:tc>
        <w:tc>
          <w:tcPr>
            <w:tcW w:w="0" w:type="auto"/>
            <w:tcBorders>
              <w:top w:val="single" w:sz="8" w:space="0" w:color="000000"/>
              <w:left w:val="single" w:sz="8" w:space="0" w:color="000000"/>
              <w:bottom w:val="single" w:sz="8" w:space="0" w:color="000000"/>
              <w:right w:val="single" w:sz="8" w:space="0" w:color="000000"/>
            </w:tcBorders>
            <w:shd w:val="clear" w:color="auto" w:fill="EFA31F" w:themeFill="background2"/>
            <w:tcMar>
              <w:top w:w="57" w:type="dxa"/>
              <w:left w:w="102" w:type="dxa"/>
              <w:bottom w:w="57" w:type="dxa"/>
              <w:right w:w="102" w:type="dxa"/>
            </w:tcMar>
            <w:hideMark/>
          </w:tcPr>
          <w:p w14:paraId="0D6CFD73" w14:textId="77777777" w:rsidR="00BE0EEF" w:rsidRPr="00BE0EEF" w:rsidRDefault="00BE0EEF" w:rsidP="00FD38BA">
            <w:pPr>
              <w:pStyle w:val="TableText"/>
              <w:jc w:val="center"/>
            </w:pPr>
            <w:r w:rsidRPr="00702E19">
              <w:rPr>
                <w:b/>
              </w:rPr>
              <w:t>Marginally</w:t>
            </w:r>
            <w:r w:rsidRPr="00BE0EEF">
              <w:t xml:space="preserve"> possible</w:t>
            </w:r>
          </w:p>
        </w:tc>
        <w:tc>
          <w:tcPr>
            <w:tcW w:w="2890" w:type="dxa"/>
            <w:tcBorders>
              <w:top w:val="single" w:sz="8" w:space="0" w:color="000000"/>
              <w:left w:val="single" w:sz="8" w:space="0" w:color="000000"/>
              <w:bottom w:val="single" w:sz="8" w:space="0" w:color="000000"/>
              <w:right w:val="single" w:sz="8" w:space="0" w:color="000000"/>
            </w:tcBorders>
            <w:shd w:val="clear" w:color="auto" w:fill="EFA31F" w:themeFill="background2"/>
            <w:tcMar>
              <w:top w:w="57" w:type="dxa"/>
              <w:left w:w="102" w:type="dxa"/>
              <w:bottom w:w="57" w:type="dxa"/>
              <w:right w:w="102" w:type="dxa"/>
            </w:tcMar>
            <w:hideMark/>
          </w:tcPr>
          <w:p w14:paraId="2943E4EB" w14:textId="77777777" w:rsidR="00BE0EEF" w:rsidRPr="00BE0EEF" w:rsidRDefault="00BE0EEF" w:rsidP="00FD38BA">
            <w:pPr>
              <w:pStyle w:val="TableText"/>
              <w:jc w:val="center"/>
            </w:pPr>
            <w:r w:rsidRPr="00702E19">
              <w:rPr>
                <w:b/>
              </w:rPr>
              <w:t>Marginally</w:t>
            </w:r>
            <w:r w:rsidRPr="00BE0EEF">
              <w:t xml:space="preserve"> possible</w:t>
            </w:r>
          </w:p>
        </w:tc>
        <w:tc>
          <w:tcPr>
            <w:tcW w:w="2512" w:type="dxa"/>
            <w:tcBorders>
              <w:top w:val="single" w:sz="8" w:space="0" w:color="000000"/>
              <w:left w:val="single" w:sz="8" w:space="0" w:color="000000"/>
              <w:bottom w:val="single" w:sz="8" w:space="0" w:color="000000"/>
              <w:right w:val="single" w:sz="8" w:space="0" w:color="000000"/>
            </w:tcBorders>
            <w:shd w:val="clear" w:color="auto" w:fill="0196A7" w:themeFill="accent3"/>
            <w:tcMar>
              <w:top w:w="57" w:type="dxa"/>
              <w:left w:w="102" w:type="dxa"/>
              <w:bottom w:w="57" w:type="dxa"/>
              <w:right w:w="102" w:type="dxa"/>
            </w:tcMar>
            <w:hideMark/>
          </w:tcPr>
          <w:p w14:paraId="2CB1D16E" w14:textId="77777777" w:rsidR="00BE0EEF" w:rsidRPr="00BE0EEF" w:rsidRDefault="00BE0EEF" w:rsidP="00FD38BA">
            <w:pPr>
              <w:pStyle w:val="TableText"/>
              <w:jc w:val="center"/>
            </w:pPr>
            <w:r w:rsidRPr="00702E19">
              <w:rPr>
                <w:b/>
              </w:rPr>
              <w:t>Very</w:t>
            </w:r>
            <w:r w:rsidRPr="00BE0EEF">
              <w:t xml:space="preserve"> possible</w:t>
            </w:r>
          </w:p>
        </w:tc>
      </w:tr>
      <w:tr w:rsidR="003D5690" w:rsidRPr="00BE0EEF" w14:paraId="6E3A7288" w14:textId="77777777" w:rsidTr="00E93B27">
        <w:trPr>
          <w:cantSplit/>
        </w:trPr>
        <w:tc>
          <w:tcPr>
            <w:tcW w:w="3370" w:type="dxa"/>
            <w:tcBorders>
              <w:top w:val="single" w:sz="8" w:space="0" w:color="000000"/>
              <w:left w:val="single" w:sz="8" w:space="0" w:color="000000"/>
              <w:bottom w:val="single" w:sz="8" w:space="0" w:color="000000"/>
              <w:right w:val="single" w:sz="8" w:space="0" w:color="000000"/>
            </w:tcBorders>
            <w:shd w:val="clear" w:color="auto" w:fill="FFFFFF"/>
            <w:tcMar>
              <w:top w:w="57" w:type="dxa"/>
              <w:left w:w="102" w:type="dxa"/>
              <w:bottom w:w="57" w:type="dxa"/>
              <w:right w:w="102" w:type="dxa"/>
            </w:tcMar>
            <w:hideMark/>
          </w:tcPr>
          <w:p w14:paraId="1C672F24" w14:textId="77777777" w:rsidR="00BE0EEF" w:rsidRPr="00FD38BA" w:rsidRDefault="00BE0EEF" w:rsidP="00FD38BA">
            <w:pPr>
              <w:pStyle w:val="TableText"/>
              <w:rPr>
                <w:b/>
                <w:bCs/>
              </w:rPr>
            </w:pPr>
            <w:r w:rsidRPr="00FD38BA">
              <w:rPr>
                <w:b/>
                <w:bCs/>
              </w:rPr>
              <w:t>Spreading risk across organisations </w:t>
            </w:r>
          </w:p>
          <w:p w14:paraId="3D883020" w14:textId="77777777" w:rsidR="00BE0EEF" w:rsidRPr="00BE0EEF" w:rsidRDefault="00BE0EEF" w:rsidP="00FD38BA">
            <w:pPr>
              <w:pStyle w:val="TableText"/>
            </w:pPr>
            <w:r w:rsidRPr="00BE0EEF">
              <w:t>The funding arrangement will spread the risk across organisations across the country, rather than with one organisation </w:t>
            </w:r>
          </w:p>
        </w:tc>
        <w:tc>
          <w:tcPr>
            <w:tcW w:w="3071"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2CAB105F" w14:textId="77777777" w:rsidR="00BE0EEF" w:rsidRPr="00BE0EEF" w:rsidRDefault="00BE0EEF" w:rsidP="00FD38BA">
            <w:pPr>
              <w:pStyle w:val="TableText"/>
              <w:jc w:val="center"/>
            </w:pPr>
            <w:r w:rsidRPr="00BE0EEF">
              <w:t>Possible</w:t>
            </w:r>
          </w:p>
        </w:tc>
        <w:tc>
          <w:tcPr>
            <w:tcW w:w="0" w:type="auto"/>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399FD0B2" w14:textId="77777777" w:rsidR="00BE0EEF" w:rsidRPr="00BE0EEF" w:rsidRDefault="00BE0EEF" w:rsidP="00FD38BA">
            <w:pPr>
              <w:pStyle w:val="TableText"/>
              <w:jc w:val="center"/>
            </w:pPr>
            <w:r w:rsidRPr="00BE0EEF">
              <w:t>Possible</w:t>
            </w:r>
          </w:p>
        </w:tc>
        <w:tc>
          <w:tcPr>
            <w:tcW w:w="2890" w:type="dxa"/>
            <w:tcBorders>
              <w:top w:val="single" w:sz="8" w:space="0" w:color="000000"/>
              <w:left w:val="single" w:sz="8" w:space="0" w:color="000000"/>
              <w:bottom w:val="single" w:sz="8" w:space="0" w:color="000000"/>
              <w:right w:val="single" w:sz="8" w:space="0" w:color="000000"/>
            </w:tcBorders>
            <w:shd w:val="clear" w:color="auto" w:fill="DAEEF3"/>
            <w:tcMar>
              <w:top w:w="57" w:type="dxa"/>
              <w:left w:w="102" w:type="dxa"/>
              <w:bottom w:w="57" w:type="dxa"/>
              <w:right w:w="102" w:type="dxa"/>
            </w:tcMar>
            <w:hideMark/>
          </w:tcPr>
          <w:p w14:paraId="431621BE" w14:textId="77777777" w:rsidR="00BE0EEF" w:rsidRPr="00BE0EEF" w:rsidRDefault="00BE0EEF" w:rsidP="00FD38BA">
            <w:pPr>
              <w:pStyle w:val="TableText"/>
              <w:jc w:val="center"/>
            </w:pPr>
            <w:r w:rsidRPr="00BE0EEF">
              <w:t>Possible</w:t>
            </w:r>
          </w:p>
        </w:tc>
        <w:tc>
          <w:tcPr>
            <w:tcW w:w="2512" w:type="dxa"/>
            <w:tcBorders>
              <w:top w:val="single" w:sz="8" w:space="0" w:color="000000"/>
              <w:left w:val="single" w:sz="8" w:space="0" w:color="000000"/>
              <w:bottom w:val="single" w:sz="8" w:space="0" w:color="000000"/>
              <w:right w:val="single" w:sz="8" w:space="0" w:color="000000"/>
            </w:tcBorders>
            <w:shd w:val="clear" w:color="auto" w:fill="EFA31F" w:themeFill="background2"/>
            <w:tcMar>
              <w:top w:w="57" w:type="dxa"/>
              <w:left w:w="102" w:type="dxa"/>
              <w:bottom w:w="57" w:type="dxa"/>
              <w:right w:w="102" w:type="dxa"/>
            </w:tcMar>
            <w:hideMark/>
          </w:tcPr>
          <w:p w14:paraId="43195123" w14:textId="77777777" w:rsidR="00BE0EEF" w:rsidRPr="00BE0EEF" w:rsidRDefault="00BE0EEF" w:rsidP="00FD38BA">
            <w:pPr>
              <w:pStyle w:val="TableText"/>
              <w:jc w:val="center"/>
            </w:pPr>
            <w:r w:rsidRPr="00702E19">
              <w:rPr>
                <w:b/>
              </w:rPr>
              <w:t>Marginally</w:t>
            </w:r>
            <w:r w:rsidRPr="00BE0EEF">
              <w:t xml:space="preserve"> possible</w:t>
            </w:r>
          </w:p>
          <w:p w14:paraId="3D4A80C2" w14:textId="77777777" w:rsidR="00BE0EEF" w:rsidRPr="00BE0EEF" w:rsidRDefault="00BE0EEF" w:rsidP="00FD38BA">
            <w:pPr>
              <w:pStyle w:val="TableText"/>
              <w:jc w:val="center"/>
            </w:pPr>
            <w:r w:rsidRPr="00BE0EEF">
              <w:t>The NACCHO model would place most risks into one organisation</w:t>
            </w:r>
          </w:p>
        </w:tc>
      </w:tr>
    </w:tbl>
    <w:p w14:paraId="5348C65D" w14:textId="77777777" w:rsidR="00E93B27" w:rsidRDefault="00E93B27">
      <w:pPr>
        <w:rPr>
          <w:rFonts w:cstheme="minorHAnsi"/>
          <w:sz w:val="22"/>
          <w:szCs w:val="22"/>
          <w:lang w:val="en-GB" w:eastAsia="en-US" w:bidi="en-US"/>
        </w:rPr>
      </w:pPr>
      <w:r>
        <w:br w:type="page"/>
      </w:r>
    </w:p>
    <w:p w14:paraId="29EEBA79" w14:textId="77777777" w:rsidR="00E93B27" w:rsidRDefault="00E93B27" w:rsidP="00B46EC3">
      <w:pPr>
        <w:pStyle w:val="BodyText"/>
        <w:sectPr w:rsidR="00E93B27" w:rsidSect="002B05C0">
          <w:headerReference w:type="default" r:id="rId237"/>
          <w:footerReference w:type="default" r:id="rId238"/>
          <w:pgSz w:w="16838" w:h="11906" w:orient="landscape" w:code="9"/>
          <w:pgMar w:top="1134" w:right="1134" w:bottom="1440" w:left="1134" w:header="720" w:footer="720" w:gutter="0"/>
          <w:cols w:space="720"/>
          <w:docGrid w:linePitch="326"/>
        </w:sectPr>
      </w:pPr>
    </w:p>
    <w:p w14:paraId="467481E2" w14:textId="77777777" w:rsidR="00BE0EEF" w:rsidRPr="00DF0482" w:rsidRDefault="00B21B25" w:rsidP="00292E56">
      <w:pPr>
        <w:pStyle w:val="BodyText"/>
      </w:pPr>
      <w:r>
        <w:rPr>
          <w:noProof/>
        </w:rPr>
        <mc:AlternateContent>
          <mc:Choice Requires="wpg">
            <w:drawing>
              <wp:inline distT="0" distB="0" distL="0" distR="0" wp14:anchorId="42248AC1" wp14:editId="1AAF92C6">
                <wp:extent cx="7598712" cy="10872000"/>
                <wp:effectExtent l="0" t="0" r="0" b="0"/>
                <wp:docPr id="10" name="Group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98712" cy="10872000"/>
                          <a:chOff x="7993" y="-275420"/>
                          <a:chExt cx="7598712" cy="10872000"/>
                        </a:xfrm>
                      </wpg:grpSpPr>
                      <pic:pic xmlns:pic="http://schemas.openxmlformats.org/drawingml/2006/picture">
                        <pic:nvPicPr>
                          <pic:cNvPr id="11" name="Image 5" descr="Back cover with blue and orange patterned squares"/>
                          <pic:cNvPicPr preferRelativeResize="0"/>
                        </pic:nvPicPr>
                        <pic:blipFill>
                          <a:blip r:embed="rId239" cstate="print"/>
                          <a:stretch>
                            <a:fillRect/>
                          </a:stretch>
                        </pic:blipFill>
                        <pic:spPr>
                          <a:xfrm flipH="1">
                            <a:off x="10705" y="-275420"/>
                            <a:ext cx="7596000" cy="10872000"/>
                          </a:xfrm>
                          <a:prstGeom prst="rect">
                            <a:avLst/>
                          </a:prstGeom>
                        </pic:spPr>
                      </pic:pic>
                      <pic:pic xmlns:pic="http://schemas.openxmlformats.org/drawingml/2006/picture">
                        <pic:nvPicPr>
                          <pic:cNvPr id="12" name="Image 4"/>
                          <pic:cNvPicPr/>
                        </pic:nvPicPr>
                        <pic:blipFill>
                          <a:blip r:embed="rId240" cstate="print"/>
                          <a:stretch>
                            <a:fillRect/>
                          </a:stretch>
                        </pic:blipFill>
                        <pic:spPr>
                          <a:xfrm>
                            <a:off x="7993" y="7804551"/>
                            <a:ext cx="2560320" cy="2576379"/>
                          </a:xfrm>
                          <a:prstGeom prst="rect">
                            <a:avLst/>
                          </a:prstGeom>
                        </pic:spPr>
                      </pic:pic>
                    </wpg:wgp>
                  </a:graphicData>
                </a:graphic>
              </wp:inline>
            </w:drawing>
          </mc:Choice>
          <mc:Fallback>
            <w:pict>
              <v:group w14:anchorId="0B2879BC" id="Group 10" o:spid="_x0000_s1026" alt="&quot;&quot;" style="width:598.3pt;height:856.05pt;mso-position-horizontal-relative:char;mso-position-vertical-relative:line" coordorigin="79,-2754" coordsize="75987,10872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BQUUUUE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27" type="#_x0000_t75" alt="Back cover with blue and orange patterned squares" style="position:absolute;left:107;top:-2754;width:75960;height:108719;flip:x;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">
                  <v:imagedata r:id="rId245" o:title="Back cover with blue and orange patterned squares"/>
                </v:shape>
                <v:shape id="Image 4" o:spid="_x0000_s1028" type="#_x0000_t75" style="position:absolute;left:79;top:78045;width:25604;height:25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">
                  <v:imagedata r:id="rId246" o:title=""/>
                </v:shape>
                <w10:anchorlock/>
              </v:group>
            </w:pict>
          </mc:Fallback>
        </mc:AlternateContent>
      </w:r>
    </w:p>
    <w:sectPr w:rsidR="00BE0EEF" w:rsidRPr="00DF0482" w:rsidSect="002B05C0">
      <w:headerReference w:type="default" r:id="rId247"/>
      <w:footerReference w:type="default" r:id="rId248"/>
      <w:pgSz w:w="11906" w:h="16838" w:code="9"/>
      <w:pgMar w:top="0" w:right="0" w:bottom="0" w:left="0" w:header="0" w:footer="0" w:gutter="0"/>
      <w:cols w:space="720"/>
      <w:docGrid w:linePitch="326"/>
    </w:sectPr>
  </w:body>
</w:document>
</file>

<file path=word/customizations.xml><?xml version="1.0" encoding="utf-8"?>
<wne:tcg xmlns:r="http://schemas.openxmlformats.org/officeDocument/2006/relationships" xmlns:wne="http://schemas.microsoft.com/office/word/2006/wordml">
  <wne:keymaps>
    <wne:keymap wne:kcmPrimary="0261">
      <wne:acd wne:acdName="acd0"/>
    </wne:keymap>
    <wne:keymap wne:kcmPrimary="0262">
      <wne:acd wne:acdName="acd4"/>
    </wne:keymap>
    <wne:keymap wne:kcmPrimary="0263">
      <wne:acd wne:acdName="acd2"/>
    </wne:keymap>
    <wne:keymap wne:kcmPrimary="0264">
      <wne:acd wne:acdName="acd3"/>
    </wne:keymap>
    <wne:keymap wne:kcmPrimary="0265">
      <wne:acd wne:acdName="acd1"/>
    </wne:keymap>
    <wne:keymap wne:kcmPrimary="0266">
      <wne:acd wne:acdName="acd6"/>
    </wne:keymap>
    <wne:keymap wne:kcmPrimary="0269">
      <wne:acd wne:acdName="acd5"/>
    </wne:keymap>
  </wne:keymaps>
  <wne:toolbars>
    <wne:acdManifest>
      <wne:acdEntry wne:acdName="acd0"/>
      <wne:acdEntry wne:acdName="acd1"/>
      <wne:acdEntry wne:acdName="acd2"/>
      <wne:acdEntry wne:acdName="acd3"/>
      <wne:acdEntry wne:acdName="acd4"/>
      <wne:acdEntry wne:acdName="acd5"/>
      <wne:acdEntry wne:acdName="acd6"/>
    </wne:acdManifest>
  </wne:toolbars>
  <wne:acds>
    <wne:acd wne:argValue="AQAAAEIA" wne:acdName="acd0" wne:fciIndexBasedOn="0065"/>
    <wne:acd wne:argValue="AQAAADYA" wne:acdName="acd1" wne:fciIndexBasedOn="0065"/>
    <wne:acd wne:argValue="AQAAAAMA" wne:acdName="acd2" wne:fciIndexBasedOn="0065"/>
    <wne:acd wne:argValue="AQAAAAQA" wne:acdName="acd3" wne:fciIndexBasedOn="0065"/>
    <wne:acd wne:argValue="AQAAAAIA" wne:acdName="acd4" wne:fciIndexBasedOn="0065"/>
    <wne:acd wne:argValue="AgBSAGUAZgBlAHIAZQBuAGMAZQBzAA==" wne:acdName="acd5" wne:fciIndexBasedOn="0065"/>
    <wne:acd wne:argValue="AgBCAG8AZAB5ACAAVABlAHgAdAAgADEAcwB0ACAAcABhAHIAYQAgAGEAZgB0AGUAcgAgAGwAaQBz&#10;AHQA" wne:acdName="acd6"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CC8325" w14:textId="77777777" w:rsidR="00FE5275" w:rsidRDefault="00FE5275">
      <w:r>
        <w:separator/>
      </w:r>
    </w:p>
    <w:p w14:paraId="6ECFE37A" w14:textId="77777777" w:rsidR="00FE5275" w:rsidRDefault="00FE5275"/>
  </w:endnote>
  <w:endnote w:type="continuationSeparator" w:id="0">
    <w:p w14:paraId="710FDFAB" w14:textId="77777777" w:rsidR="00FE5275" w:rsidRDefault="00FE5275">
      <w:r>
        <w:continuationSeparator/>
      </w:r>
    </w:p>
    <w:p w14:paraId="090495C4" w14:textId="77777777" w:rsidR="00FE5275" w:rsidRDefault="00FE5275"/>
  </w:endnote>
  <w:endnote w:type="continuationNotice" w:id="1">
    <w:p w14:paraId="5936F192" w14:textId="77777777" w:rsidR="00FE5275" w:rsidRDefault="00FE5275"/>
    <w:p w14:paraId="2BDE634E" w14:textId="77777777" w:rsidR="00FE5275" w:rsidRDefault="00FE527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variable"/>
    <w:sig w:usb0="00000003" w:usb1="0200E4B4"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eiryo">
    <w:charset w:val="80"/>
    <w:family w:val="swiss"/>
    <w:pitch w:val="variable"/>
    <w:sig w:usb0="E00002FF" w:usb1="6AC7FFFF" w:usb2="08000012" w:usb3="00000000" w:csb0="0002009F" w:csb1="00000000"/>
  </w:font>
  <w:font w:name="FiraSans-Light">
    <w:altName w:val="Cambria"/>
    <w:panose1 w:val="00000000000000000000"/>
    <w:charset w:val="00"/>
    <w:family w:val="swiss"/>
    <w:notTrueType/>
    <w:pitch w:val="variable"/>
    <w:sig w:usb0="00000287" w:usb1="02000001" w:usb2="00000000" w:usb3="00000000" w:csb0="0000009F" w:csb1="00000000"/>
  </w:font>
  <w:font w:name="Minion Pro">
    <w:panose1 w:val="00000000000000000000"/>
    <w:charset w:val="00"/>
    <w:family w:val="roman"/>
    <w:notTrueType/>
    <w:pitch w:val="variable"/>
    <w:sig w:usb0="60000287" w:usb1="00000001" w:usb2="00000000" w:usb3="00000000" w:csb0="0000019F" w:csb1="00000000"/>
  </w:font>
  <w:font w:name="Fira Sans Heavy">
    <w:altName w:val="Calibri"/>
    <w:panose1 w:val="00000000000000000000"/>
    <w:charset w:val="00"/>
    <w:family w:val="swiss"/>
    <w:notTrueType/>
    <w:pitch w:val="variable"/>
    <w:sig w:usb0="600002FF" w:usb1="00000001" w:usb2="00000000" w:usb3="00000000" w:csb0="0000019F" w:csb1="00000000"/>
  </w:font>
  <w:font w:name="Roboto">
    <w:charset w:val="00"/>
    <w:family w:val="auto"/>
    <w:pitch w:val="variable"/>
    <w:sig w:usb0="E0000AFF" w:usb1="5000217F" w:usb2="00000021" w:usb3="00000000" w:csb0="0000019F" w:csb1="00000000"/>
  </w:font>
  <w:font w:name="Arial (Headings CS)">
    <w:altName w:val="Arial"/>
    <w:panose1 w:val="00000000000000000000"/>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FCFD54" w14:textId="77777777" w:rsidR="00877016" w:rsidRDefault="0087701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648F65B7" w14:textId="77777777" w:rsidR="00A05139" w:rsidRDefault="00A05139" w:rsidP="00877016">
    <w:pPr>
      <w:pBdr>
        <w:top w:val="nil"/>
        <w:left w:val="nil"/>
        <w:bottom w:val="nil"/>
        <w:right w:val="nil"/>
        <w:between w:val="nil"/>
      </w:pBdr>
      <w:tabs>
        <w:tab w:val="center" w:pos="4513"/>
        <w:tab w:val="right" w:pos="9026"/>
      </w:tabs>
      <w:ind w:right="360"/>
      <w:rPr>
        <w:color w:val="000000"/>
        <w:sz w:val="16"/>
        <w:szCs w:val="16"/>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6"/>
        <w:szCs w:val="16"/>
      </w:rPr>
      <w:id w:val="567549393"/>
      <w:docPartObj>
        <w:docPartGallery w:val="Page Numbers (Bottom of Page)"/>
        <w:docPartUnique/>
      </w:docPartObj>
    </w:sdtPr>
    <w:sdtEndPr/>
    <w:sdtContent>
      <w:p w14:paraId="4D3D4D69" w14:textId="77777777" w:rsidR="00AB4BA6" w:rsidRPr="004A37E1" w:rsidRDefault="00AB4BA6" w:rsidP="00AB4BA6">
        <w:pPr>
          <w:pStyle w:val="Footer"/>
          <w:tabs>
            <w:tab w:val="clear" w:pos="9026"/>
            <w:tab w:val="right" w:pos="14459"/>
          </w:tabs>
          <w:rPr>
            <w:sz w:val="16"/>
            <w:szCs w:val="16"/>
          </w:rPr>
        </w:pPr>
        <w:r>
          <w:rPr>
            <w:noProof/>
          </w:rPr>
          <mc:AlternateContent>
            <mc:Choice Requires="wps">
              <w:drawing>
                <wp:anchor distT="0" distB="0" distL="114300" distR="114300" simplePos="0" relativeHeight="251658275" behindDoc="0" locked="0" layoutInCell="1" allowOverlap="1" wp14:anchorId="2B25F6E2" wp14:editId="2770908B">
                  <wp:simplePos x="0" y="0"/>
                  <wp:positionH relativeFrom="page">
                    <wp:align>left</wp:align>
                  </wp:positionH>
                  <wp:positionV relativeFrom="page">
                    <wp:align>bottom</wp:align>
                  </wp:positionV>
                  <wp:extent cx="10692000" cy="50400"/>
                  <wp:effectExtent l="0" t="0" r="0" b="6985"/>
                  <wp:wrapNone/>
                  <wp:docPr id="945050913" name="Rectangle 9450509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92000" cy="50400"/>
                          </a:xfrm>
                          <a:prstGeom prst="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60AE82" id="Rectangle 945050913" o:spid="_x0000_s1026" alt="&quot;&quot;" style="position:absolute;margin-left:0;margin-top:0;width:841.9pt;height:3.95pt;z-index:251658275;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" fillcolor="#efa31f [3214]" stroked="f" strokeweight="2pt">
                  <w10:wrap anchorx="page" anchory="page"/>
                </v:rect>
              </w:pict>
            </mc:Fallback>
          </mc:AlternateContent>
        </w:r>
        <w:r w:rsidRPr="004A37E1">
          <w:rPr>
            <w:sz w:val="16"/>
            <w:szCs w:val="16"/>
          </w:rPr>
          <w:t>Review of sector funding arrangements and service provider capability for Aboriginal and/or Torres Strait Islander</w:t>
        </w:r>
        <w:r>
          <w:rPr>
            <w:sz w:val="16"/>
            <w:szCs w:val="16"/>
          </w:rPr>
          <w:br/>
        </w:r>
        <w:r w:rsidRPr="004A37E1">
          <w:rPr>
            <w:sz w:val="16"/>
            <w:szCs w:val="16"/>
          </w:rPr>
          <w:t>mental health and suicide prevention services and the Integrated Team Care (ITC) Program</w:t>
        </w:r>
        <w:r>
          <w:rPr>
            <w:sz w:val="16"/>
            <w:szCs w:val="16"/>
          </w:rPr>
          <w:tab/>
          <w:t xml:space="preserve">Page </w:t>
        </w:r>
        <w:r w:rsidRPr="004A37E1">
          <w:rPr>
            <w:sz w:val="16"/>
            <w:szCs w:val="16"/>
          </w:rPr>
          <w:fldChar w:fldCharType="begin"/>
        </w:r>
        <w:r w:rsidRPr="004A37E1">
          <w:rPr>
            <w:sz w:val="16"/>
            <w:szCs w:val="16"/>
          </w:rPr>
          <w:instrText xml:space="preserve"> PAGE   \* MERGEFORMAT </w:instrText>
        </w:r>
        <w:r w:rsidRPr="004A37E1">
          <w:rPr>
            <w:sz w:val="16"/>
            <w:szCs w:val="16"/>
          </w:rPr>
          <w:fldChar w:fldCharType="separate"/>
        </w:r>
        <w:r>
          <w:rPr>
            <w:sz w:val="16"/>
            <w:szCs w:val="16"/>
          </w:rPr>
          <w:t>42</w:t>
        </w:r>
        <w:r w:rsidRPr="004A37E1">
          <w:rPr>
            <w:sz w:val="16"/>
            <w:szCs w:val="16"/>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6"/>
        <w:szCs w:val="16"/>
      </w:rPr>
      <w:id w:val="-1744794639"/>
      <w:docPartObj>
        <w:docPartGallery w:val="Page Numbers (Bottom of Page)"/>
        <w:docPartUnique/>
      </w:docPartObj>
    </w:sdtPr>
    <w:sdtEndPr/>
    <w:sdtContent>
      <w:p w14:paraId="24438958" w14:textId="77777777" w:rsidR="00125246" w:rsidRPr="004A37E1" w:rsidRDefault="00125246" w:rsidP="004D5828">
        <w:pPr>
          <w:pStyle w:val="Footer"/>
          <w:tabs>
            <w:tab w:val="clear" w:pos="9026"/>
            <w:tab w:val="right" w:pos="14459"/>
          </w:tabs>
          <w:rPr>
            <w:sz w:val="16"/>
            <w:szCs w:val="16"/>
          </w:rPr>
        </w:pPr>
        <w:r>
          <w:rPr>
            <w:noProof/>
          </w:rPr>
          <mc:AlternateContent>
            <mc:Choice Requires="wps">
              <w:drawing>
                <wp:anchor distT="0" distB="0" distL="114300" distR="114300" simplePos="0" relativeHeight="251658247" behindDoc="0" locked="0" layoutInCell="1" allowOverlap="1" wp14:anchorId="75B80517" wp14:editId="7337D053">
                  <wp:simplePos x="0" y="0"/>
                  <wp:positionH relativeFrom="page">
                    <wp:align>left</wp:align>
                  </wp:positionH>
                  <wp:positionV relativeFrom="page">
                    <wp:align>bottom</wp:align>
                  </wp:positionV>
                  <wp:extent cx="10692000" cy="50400"/>
                  <wp:effectExtent l="0" t="0" r="0" b="6985"/>
                  <wp:wrapNone/>
                  <wp:docPr id="1563467889" name="Rectangle 15634678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92000" cy="50400"/>
                          </a:xfrm>
                          <a:prstGeom prst="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969BFA" id="Rectangle 1563467889" o:spid="_x0000_s1026" alt="&quot;&quot;" style="position:absolute;margin-left:0;margin-top:0;width:841.9pt;height:3.95pt;z-index:251658247;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" fillcolor="#efa31f [3214]" stroked="f" strokeweight="2pt">
                  <w10:wrap anchorx="page" anchory="page"/>
                </v:rect>
              </w:pict>
            </mc:Fallback>
          </mc:AlternateContent>
        </w:r>
        <w:r w:rsidRPr="004A37E1">
          <w:rPr>
            <w:sz w:val="16"/>
            <w:szCs w:val="16"/>
          </w:rPr>
          <w:t>Review of sector funding arrangements and service provider capability for Aboriginal and Torres Strait Islander</w:t>
        </w:r>
        <w:r>
          <w:rPr>
            <w:sz w:val="16"/>
            <w:szCs w:val="16"/>
          </w:rPr>
          <w:br/>
        </w:r>
        <w:r w:rsidRPr="004A37E1">
          <w:rPr>
            <w:sz w:val="16"/>
            <w:szCs w:val="16"/>
          </w:rPr>
          <w:t>mental health and suicide prevention services and the Integrated Team Care (ITC) Program</w:t>
        </w:r>
        <w:r>
          <w:rPr>
            <w:sz w:val="16"/>
            <w:szCs w:val="16"/>
          </w:rPr>
          <w:tab/>
          <w:t xml:space="preserve">Page </w:t>
        </w:r>
        <w:r w:rsidRPr="004A37E1">
          <w:rPr>
            <w:sz w:val="16"/>
            <w:szCs w:val="16"/>
          </w:rPr>
          <w:fldChar w:fldCharType="begin"/>
        </w:r>
        <w:r w:rsidRPr="004A37E1">
          <w:rPr>
            <w:sz w:val="16"/>
            <w:szCs w:val="16"/>
          </w:rPr>
          <w:instrText xml:space="preserve"> PAGE   \* MERGEFORMAT </w:instrText>
        </w:r>
        <w:r w:rsidRPr="004A37E1">
          <w:rPr>
            <w:sz w:val="16"/>
            <w:szCs w:val="16"/>
          </w:rPr>
          <w:fldChar w:fldCharType="separate"/>
        </w:r>
        <w:r>
          <w:rPr>
            <w:sz w:val="16"/>
            <w:szCs w:val="16"/>
          </w:rPr>
          <w:t>xiv</w:t>
        </w:r>
        <w:r w:rsidRPr="004A37E1">
          <w:rPr>
            <w:sz w:val="16"/>
            <w:szCs w:val="16"/>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6"/>
        <w:szCs w:val="16"/>
      </w:rPr>
      <w:id w:val="-1335841139"/>
      <w:docPartObj>
        <w:docPartGallery w:val="Page Numbers (Bottom of Page)"/>
        <w:docPartUnique/>
      </w:docPartObj>
    </w:sdtPr>
    <w:sdtEndPr/>
    <w:sdtContent>
      <w:p w14:paraId="421BC414" w14:textId="77777777" w:rsidR="00F94F86" w:rsidRPr="004A37E1" w:rsidRDefault="00F94F86" w:rsidP="004D5828">
        <w:pPr>
          <w:pStyle w:val="Footer"/>
          <w:tabs>
            <w:tab w:val="clear" w:pos="9026"/>
            <w:tab w:val="right" w:pos="14459"/>
          </w:tabs>
          <w:rPr>
            <w:sz w:val="16"/>
            <w:szCs w:val="16"/>
          </w:rPr>
        </w:pPr>
        <w:r>
          <w:rPr>
            <w:noProof/>
          </w:rPr>
          <mc:AlternateContent>
            <mc:Choice Requires="wps">
              <w:drawing>
                <wp:anchor distT="0" distB="0" distL="114300" distR="114300" simplePos="0" relativeHeight="251658251" behindDoc="0" locked="0" layoutInCell="1" allowOverlap="1" wp14:anchorId="73A1A45A" wp14:editId="11A2FF8A">
                  <wp:simplePos x="0" y="0"/>
                  <wp:positionH relativeFrom="page">
                    <wp:align>left</wp:align>
                  </wp:positionH>
                  <wp:positionV relativeFrom="page">
                    <wp:align>bottom</wp:align>
                  </wp:positionV>
                  <wp:extent cx="10692000" cy="50400"/>
                  <wp:effectExtent l="0" t="0" r="0" b="6985"/>
                  <wp:wrapNone/>
                  <wp:docPr id="198097598" name="Rectangle 1980975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92000" cy="50400"/>
                          </a:xfrm>
                          <a:prstGeom prst="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45CB84" id="Rectangle 198097598" o:spid="_x0000_s1026" alt="&quot;&quot;" style="position:absolute;margin-left:0;margin-top:0;width:841.9pt;height:3.95pt;z-index:251658251;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" fillcolor="#efa31f [3214]" stroked="f" strokeweight="2pt">
                  <w10:wrap anchorx="page" anchory="page"/>
                </v:rect>
              </w:pict>
            </mc:Fallback>
          </mc:AlternateContent>
        </w:r>
        <w:r w:rsidRPr="004A37E1">
          <w:rPr>
            <w:sz w:val="16"/>
            <w:szCs w:val="16"/>
          </w:rPr>
          <w:t>Review of sector funding arrangements and service provider capability for Aboriginal and Torres Strait Islander</w:t>
        </w:r>
        <w:r>
          <w:rPr>
            <w:sz w:val="16"/>
            <w:szCs w:val="16"/>
          </w:rPr>
          <w:br/>
        </w:r>
        <w:r w:rsidRPr="004A37E1">
          <w:rPr>
            <w:sz w:val="16"/>
            <w:szCs w:val="16"/>
          </w:rPr>
          <w:t>mental health and suicide prevention services and the Integrated Team Care (ITC) Program</w:t>
        </w:r>
        <w:r>
          <w:rPr>
            <w:sz w:val="16"/>
            <w:szCs w:val="16"/>
          </w:rPr>
          <w:tab/>
          <w:t xml:space="preserve">Page </w:t>
        </w:r>
        <w:r w:rsidRPr="004A37E1">
          <w:rPr>
            <w:sz w:val="16"/>
            <w:szCs w:val="16"/>
          </w:rPr>
          <w:fldChar w:fldCharType="begin"/>
        </w:r>
        <w:r w:rsidRPr="004A37E1">
          <w:rPr>
            <w:sz w:val="16"/>
            <w:szCs w:val="16"/>
          </w:rPr>
          <w:instrText xml:space="preserve"> PAGE   \* MERGEFORMAT </w:instrText>
        </w:r>
        <w:r w:rsidRPr="004A37E1">
          <w:rPr>
            <w:sz w:val="16"/>
            <w:szCs w:val="16"/>
          </w:rPr>
          <w:fldChar w:fldCharType="separate"/>
        </w:r>
        <w:r>
          <w:rPr>
            <w:sz w:val="16"/>
            <w:szCs w:val="16"/>
          </w:rPr>
          <w:t>xiv</w:t>
        </w:r>
        <w:r w:rsidRPr="004A37E1">
          <w:rPr>
            <w:sz w:val="16"/>
            <w:szCs w:val="16"/>
          </w:rPr>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6"/>
        <w:szCs w:val="16"/>
      </w:rPr>
      <w:id w:val="125909641"/>
      <w:docPartObj>
        <w:docPartGallery w:val="Page Numbers (Bottom of Page)"/>
        <w:docPartUnique/>
      </w:docPartObj>
    </w:sdtPr>
    <w:sdtEndPr/>
    <w:sdtContent>
      <w:p w14:paraId="7A1D8C26" w14:textId="77777777" w:rsidR="00A77D8A" w:rsidRPr="004A37E1" w:rsidRDefault="00A77D8A" w:rsidP="004D5828">
        <w:pPr>
          <w:pStyle w:val="Footer"/>
          <w:tabs>
            <w:tab w:val="clear" w:pos="9026"/>
            <w:tab w:val="right" w:pos="14459"/>
          </w:tabs>
          <w:rPr>
            <w:sz w:val="16"/>
            <w:szCs w:val="16"/>
          </w:rPr>
        </w:pPr>
        <w:r>
          <w:rPr>
            <w:noProof/>
          </w:rPr>
          <mc:AlternateContent>
            <mc:Choice Requires="wps">
              <w:drawing>
                <wp:anchor distT="0" distB="0" distL="114300" distR="114300" simplePos="0" relativeHeight="251658257" behindDoc="0" locked="0" layoutInCell="1" allowOverlap="1" wp14:anchorId="276ED5B3" wp14:editId="5B3D7A5C">
                  <wp:simplePos x="0" y="0"/>
                  <wp:positionH relativeFrom="page">
                    <wp:align>left</wp:align>
                  </wp:positionH>
                  <wp:positionV relativeFrom="page">
                    <wp:align>bottom</wp:align>
                  </wp:positionV>
                  <wp:extent cx="10692000" cy="50400"/>
                  <wp:effectExtent l="0" t="0" r="0" b="6985"/>
                  <wp:wrapNone/>
                  <wp:docPr id="2001153175" name="Rectangle 20011531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92000" cy="50400"/>
                          </a:xfrm>
                          <a:prstGeom prst="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F30B37" id="Rectangle 2001153175" o:spid="_x0000_s1026" alt="&quot;&quot;" style="position:absolute;margin-left:0;margin-top:0;width:841.9pt;height:3.95pt;z-index:251658257;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" fillcolor="#efa31f [3214]" stroked="f" strokeweight="2pt">
                  <w10:wrap anchorx="page" anchory="page"/>
                </v:rect>
              </w:pict>
            </mc:Fallback>
          </mc:AlternateContent>
        </w:r>
        <w:r w:rsidRPr="004A37E1">
          <w:rPr>
            <w:sz w:val="16"/>
            <w:szCs w:val="16"/>
          </w:rPr>
          <w:t>Review of sector funding arrangements and service provider capability for Aboriginal and Torres Strait Islander</w:t>
        </w:r>
        <w:r>
          <w:rPr>
            <w:sz w:val="16"/>
            <w:szCs w:val="16"/>
          </w:rPr>
          <w:br/>
        </w:r>
        <w:r w:rsidRPr="004A37E1">
          <w:rPr>
            <w:sz w:val="16"/>
            <w:szCs w:val="16"/>
          </w:rPr>
          <w:t>mental health and suicide prevention services and the Integrated Team Care (ITC) Program</w:t>
        </w:r>
        <w:r>
          <w:rPr>
            <w:sz w:val="16"/>
            <w:szCs w:val="16"/>
          </w:rPr>
          <w:tab/>
          <w:t xml:space="preserve">Page </w:t>
        </w:r>
        <w:r w:rsidRPr="004A37E1">
          <w:rPr>
            <w:sz w:val="16"/>
            <w:szCs w:val="16"/>
          </w:rPr>
          <w:fldChar w:fldCharType="begin"/>
        </w:r>
        <w:r w:rsidRPr="004A37E1">
          <w:rPr>
            <w:sz w:val="16"/>
            <w:szCs w:val="16"/>
          </w:rPr>
          <w:instrText xml:space="preserve"> PAGE   \* MERGEFORMAT </w:instrText>
        </w:r>
        <w:r w:rsidRPr="004A37E1">
          <w:rPr>
            <w:sz w:val="16"/>
            <w:szCs w:val="16"/>
          </w:rPr>
          <w:fldChar w:fldCharType="separate"/>
        </w:r>
        <w:r>
          <w:rPr>
            <w:sz w:val="16"/>
            <w:szCs w:val="16"/>
          </w:rPr>
          <w:t>xiv</w:t>
        </w:r>
        <w:r w:rsidRPr="004A37E1">
          <w:rPr>
            <w:sz w:val="16"/>
            <w:szCs w:val="16"/>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6"/>
        <w:szCs w:val="16"/>
      </w:rPr>
      <w:id w:val="-1486394688"/>
      <w:docPartObj>
        <w:docPartGallery w:val="Page Numbers (Bottom of Page)"/>
        <w:docPartUnique/>
      </w:docPartObj>
    </w:sdtPr>
    <w:sdtEndPr/>
    <w:sdtContent>
      <w:p w14:paraId="175DC63B" w14:textId="77777777" w:rsidR="00A77D8A" w:rsidRPr="004A37E1" w:rsidRDefault="00A77D8A" w:rsidP="004D5828">
        <w:pPr>
          <w:pStyle w:val="Footer"/>
          <w:tabs>
            <w:tab w:val="clear" w:pos="9026"/>
            <w:tab w:val="right" w:pos="14459"/>
          </w:tabs>
          <w:rPr>
            <w:sz w:val="16"/>
            <w:szCs w:val="16"/>
          </w:rPr>
        </w:pPr>
        <w:r>
          <w:rPr>
            <w:noProof/>
          </w:rPr>
          <mc:AlternateContent>
            <mc:Choice Requires="wps">
              <w:drawing>
                <wp:anchor distT="0" distB="0" distL="114300" distR="114300" simplePos="0" relativeHeight="251658259" behindDoc="0" locked="0" layoutInCell="1" allowOverlap="1" wp14:anchorId="56A0950C" wp14:editId="32A2BEDB">
                  <wp:simplePos x="0" y="0"/>
                  <wp:positionH relativeFrom="page">
                    <wp:align>left</wp:align>
                  </wp:positionH>
                  <wp:positionV relativeFrom="page">
                    <wp:align>bottom</wp:align>
                  </wp:positionV>
                  <wp:extent cx="10692000" cy="50400"/>
                  <wp:effectExtent l="0" t="0" r="0" b="6985"/>
                  <wp:wrapNone/>
                  <wp:docPr id="1295457770" name="Rectangle 12954577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92000" cy="50400"/>
                          </a:xfrm>
                          <a:prstGeom prst="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6A47DA" id="Rectangle 1295457770" o:spid="_x0000_s1026" alt="&quot;&quot;" style="position:absolute;margin-left:0;margin-top:0;width:841.9pt;height:3.95pt;z-index:251658259;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" fillcolor="#efa31f [3214]" stroked="f" strokeweight="2pt">
                  <w10:wrap anchorx="page" anchory="page"/>
                </v:rect>
              </w:pict>
            </mc:Fallback>
          </mc:AlternateContent>
        </w:r>
        <w:r w:rsidRPr="004A37E1">
          <w:rPr>
            <w:sz w:val="16"/>
            <w:szCs w:val="16"/>
          </w:rPr>
          <w:t>Review of sector funding arrangements and service provider capability for Aboriginal and Torres Strait Islander</w:t>
        </w:r>
        <w:r>
          <w:rPr>
            <w:sz w:val="16"/>
            <w:szCs w:val="16"/>
          </w:rPr>
          <w:br/>
        </w:r>
        <w:r w:rsidRPr="004A37E1">
          <w:rPr>
            <w:sz w:val="16"/>
            <w:szCs w:val="16"/>
          </w:rPr>
          <w:t>mental health and suicide prevention services and the Integrated Team Care (ITC) Program</w:t>
        </w:r>
        <w:r>
          <w:rPr>
            <w:sz w:val="16"/>
            <w:szCs w:val="16"/>
          </w:rPr>
          <w:tab/>
          <w:t xml:space="preserve">Page </w:t>
        </w:r>
        <w:r w:rsidRPr="004A37E1">
          <w:rPr>
            <w:sz w:val="16"/>
            <w:szCs w:val="16"/>
          </w:rPr>
          <w:fldChar w:fldCharType="begin"/>
        </w:r>
        <w:r w:rsidRPr="004A37E1">
          <w:rPr>
            <w:sz w:val="16"/>
            <w:szCs w:val="16"/>
          </w:rPr>
          <w:instrText xml:space="preserve"> PAGE   \* MERGEFORMAT </w:instrText>
        </w:r>
        <w:r w:rsidRPr="004A37E1">
          <w:rPr>
            <w:sz w:val="16"/>
            <w:szCs w:val="16"/>
          </w:rPr>
          <w:fldChar w:fldCharType="separate"/>
        </w:r>
        <w:r>
          <w:rPr>
            <w:sz w:val="16"/>
            <w:szCs w:val="16"/>
          </w:rPr>
          <w:t>xiv</w:t>
        </w:r>
        <w:r w:rsidRPr="004A37E1">
          <w:rPr>
            <w:sz w:val="16"/>
            <w:szCs w:val="16"/>
          </w:rP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6"/>
        <w:szCs w:val="16"/>
      </w:rPr>
      <w:id w:val="32248058"/>
      <w:docPartObj>
        <w:docPartGallery w:val="Page Numbers (Bottom of Page)"/>
        <w:docPartUnique/>
      </w:docPartObj>
    </w:sdtPr>
    <w:sdtEndPr/>
    <w:sdtContent>
      <w:p w14:paraId="282B871A" w14:textId="77777777" w:rsidR="00A77D8A" w:rsidRPr="004A37E1" w:rsidRDefault="00A77D8A" w:rsidP="004D5828">
        <w:pPr>
          <w:pStyle w:val="Footer"/>
          <w:tabs>
            <w:tab w:val="clear" w:pos="9026"/>
            <w:tab w:val="right" w:pos="14459"/>
          </w:tabs>
          <w:rPr>
            <w:sz w:val="16"/>
            <w:szCs w:val="16"/>
          </w:rPr>
        </w:pPr>
        <w:r>
          <w:rPr>
            <w:noProof/>
          </w:rPr>
          <mc:AlternateContent>
            <mc:Choice Requires="wps">
              <w:drawing>
                <wp:anchor distT="0" distB="0" distL="114300" distR="114300" simplePos="0" relativeHeight="251658261" behindDoc="0" locked="0" layoutInCell="1" allowOverlap="1" wp14:anchorId="6157E42B" wp14:editId="68CF8E01">
                  <wp:simplePos x="0" y="0"/>
                  <wp:positionH relativeFrom="page">
                    <wp:align>left</wp:align>
                  </wp:positionH>
                  <wp:positionV relativeFrom="page">
                    <wp:align>bottom</wp:align>
                  </wp:positionV>
                  <wp:extent cx="10692000" cy="50400"/>
                  <wp:effectExtent l="0" t="0" r="0" b="6985"/>
                  <wp:wrapNone/>
                  <wp:docPr id="741549821" name="Rectangle 7415498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92000" cy="50400"/>
                          </a:xfrm>
                          <a:prstGeom prst="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F69265" id="Rectangle 741549821" o:spid="_x0000_s1026" alt="&quot;&quot;" style="position:absolute;margin-left:0;margin-top:0;width:841.9pt;height:3.95pt;z-index:251658261;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" fillcolor="#efa31f [3214]" stroked="f" strokeweight="2pt">
                  <w10:wrap anchorx="page" anchory="page"/>
                </v:rect>
              </w:pict>
            </mc:Fallback>
          </mc:AlternateContent>
        </w:r>
        <w:r w:rsidRPr="004A37E1">
          <w:rPr>
            <w:sz w:val="16"/>
            <w:szCs w:val="16"/>
          </w:rPr>
          <w:t>Review of sector funding arrangements and service provider capability for Aboriginal and Torres Strait Islander</w:t>
        </w:r>
        <w:r>
          <w:rPr>
            <w:sz w:val="16"/>
            <w:szCs w:val="16"/>
          </w:rPr>
          <w:br/>
        </w:r>
        <w:r w:rsidRPr="004A37E1">
          <w:rPr>
            <w:sz w:val="16"/>
            <w:szCs w:val="16"/>
          </w:rPr>
          <w:t>mental health and suicide prevention services and the Integrated Team Care (ITC) Program</w:t>
        </w:r>
        <w:r>
          <w:rPr>
            <w:sz w:val="16"/>
            <w:szCs w:val="16"/>
          </w:rPr>
          <w:tab/>
          <w:t xml:space="preserve">Page </w:t>
        </w:r>
        <w:r w:rsidRPr="004A37E1">
          <w:rPr>
            <w:sz w:val="16"/>
            <w:szCs w:val="16"/>
          </w:rPr>
          <w:fldChar w:fldCharType="begin"/>
        </w:r>
        <w:r w:rsidRPr="004A37E1">
          <w:rPr>
            <w:sz w:val="16"/>
            <w:szCs w:val="16"/>
          </w:rPr>
          <w:instrText xml:space="preserve"> PAGE   \* MERGEFORMAT </w:instrText>
        </w:r>
        <w:r w:rsidRPr="004A37E1">
          <w:rPr>
            <w:sz w:val="16"/>
            <w:szCs w:val="16"/>
          </w:rPr>
          <w:fldChar w:fldCharType="separate"/>
        </w:r>
        <w:r>
          <w:rPr>
            <w:sz w:val="16"/>
            <w:szCs w:val="16"/>
          </w:rPr>
          <w:t>xiv</w:t>
        </w:r>
        <w:r w:rsidRPr="004A37E1">
          <w:rPr>
            <w:sz w:val="16"/>
            <w:szCs w:val="16"/>
          </w:rP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6"/>
        <w:szCs w:val="16"/>
      </w:rPr>
      <w:id w:val="-1656983982"/>
      <w:docPartObj>
        <w:docPartGallery w:val="Page Numbers (Bottom of Page)"/>
        <w:docPartUnique/>
      </w:docPartObj>
    </w:sdtPr>
    <w:sdtEndPr/>
    <w:sdtContent>
      <w:p w14:paraId="1AB40DAF" w14:textId="77777777" w:rsidR="00A77D8A" w:rsidRPr="004A37E1" w:rsidRDefault="00A77D8A" w:rsidP="004D5828">
        <w:pPr>
          <w:pStyle w:val="Footer"/>
          <w:tabs>
            <w:tab w:val="clear" w:pos="9026"/>
            <w:tab w:val="right" w:pos="14459"/>
          </w:tabs>
          <w:rPr>
            <w:sz w:val="16"/>
            <w:szCs w:val="16"/>
          </w:rPr>
        </w:pPr>
        <w:r>
          <w:rPr>
            <w:noProof/>
          </w:rPr>
          <mc:AlternateContent>
            <mc:Choice Requires="wps">
              <w:drawing>
                <wp:anchor distT="0" distB="0" distL="114300" distR="114300" simplePos="0" relativeHeight="251658263" behindDoc="0" locked="0" layoutInCell="1" allowOverlap="1" wp14:anchorId="3FC90B05" wp14:editId="5A1DA692">
                  <wp:simplePos x="0" y="0"/>
                  <wp:positionH relativeFrom="page">
                    <wp:align>left</wp:align>
                  </wp:positionH>
                  <wp:positionV relativeFrom="page">
                    <wp:align>bottom</wp:align>
                  </wp:positionV>
                  <wp:extent cx="10692000" cy="50400"/>
                  <wp:effectExtent l="0" t="0" r="0" b="6985"/>
                  <wp:wrapNone/>
                  <wp:docPr id="1246795025" name="Rectangle 12467950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92000" cy="50400"/>
                          </a:xfrm>
                          <a:prstGeom prst="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2D9675" id="Rectangle 1246795025" o:spid="_x0000_s1026" alt="&quot;&quot;" style="position:absolute;margin-left:0;margin-top:0;width:841.9pt;height:3.95pt;z-index:251658263;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" fillcolor="#efa31f [3214]" stroked="f" strokeweight="2pt">
                  <w10:wrap anchorx="page" anchory="page"/>
                </v:rect>
              </w:pict>
            </mc:Fallback>
          </mc:AlternateContent>
        </w:r>
        <w:r w:rsidRPr="004A37E1">
          <w:rPr>
            <w:sz w:val="16"/>
            <w:szCs w:val="16"/>
          </w:rPr>
          <w:t>Review of sector funding arrangements and service provider capability for Aboriginal and Torres Strait Islander</w:t>
        </w:r>
        <w:r>
          <w:rPr>
            <w:sz w:val="16"/>
            <w:szCs w:val="16"/>
          </w:rPr>
          <w:br/>
        </w:r>
        <w:r w:rsidRPr="004A37E1">
          <w:rPr>
            <w:sz w:val="16"/>
            <w:szCs w:val="16"/>
          </w:rPr>
          <w:t>mental health and suicide prevention services and the Integrated Team Care (ITC) Program</w:t>
        </w:r>
        <w:r>
          <w:rPr>
            <w:sz w:val="16"/>
            <w:szCs w:val="16"/>
          </w:rPr>
          <w:tab/>
          <w:t xml:space="preserve">Page </w:t>
        </w:r>
        <w:r w:rsidRPr="004A37E1">
          <w:rPr>
            <w:sz w:val="16"/>
            <w:szCs w:val="16"/>
          </w:rPr>
          <w:fldChar w:fldCharType="begin"/>
        </w:r>
        <w:r w:rsidRPr="004A37E1">
          <w:rPr>
            <w:sz w:val="16"/>
            <w:szCs w:val="16"/>
          </w:rPr>
          <w:instrText xml:space="preserve"> PAGE   \* MERGEFORMAT </w:instrText>
        </w:r>
        <w:r w:rsidRPr="004A37E1">
          <w:rPr>
            <w:sz w:val="16"/>
            <w:szCs w:val="16"/>
          </w:rPr>
          <w:fldChar w:fldCharType="separate"/>
        </w:r>
        <w:r>
          <w:rPr>
            <w:sz w:val="16"/>
            <w:szCs w:val="16"/>
          </w:rPr>
          <w:t>xiv</w:t>
        </w:r>
        <w:r w:rsidRPr="004A37E1">
          <w:rPr>
            <w:sz w:val="16"/>
            <w:szCs w:val="16"/>
          </w:rPr>
          <w:fldChar w:fldCharType="end"/>
        </w:r>
      </w:p>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6"/>
        <w:szCs w:val="16"/>
      </w:rPr>
      <w:id w:val="-281963242"/>
      <w:docPartObj>
        <w:docPartGallery w:val="Page Numbers (Bottom of Page)"/>
        <w:docPartUnique/>
      </w:docPartObj>
    </w:sdtPr>
    <w:sdtEndPr/>
    <w:sdtContent>
      <w:p w14:paraId="5877DD01" w14:textId="77777777" w:rsidR="00A77D8A" w:rsidRPr="004A37E1" w:rsidRDefault="00A77D8A" w:rsidP="004D5828">
        <w:pPr>
          <w:pStyle w:val="Footer"/>
          <w:tabs>
            <w:tab w:val="clear" w:pos="9026"/>
            <w:tab w:val="right" w:pos="14459"/>
          </w:tabs>
          <w:rPr>
            <w:sz w:val="16"/>
            <w:szCs w:val="16"/>
          </w:rPr>
        </w:pPr>
        <w:r>
          <w:rPr>
            <w:noProof/>
          </w:rPr>
          <mc:AlternateContent>
            <mc:Choice Requires="wps">
              <w:drawing>
                <wp:anchor distT="0" distB="0" distL="114300" distR="114300" simplePos="0" relativeHeight="251658265" behindDoc="0" locked="0" layoutInCell="1" allowOverlap="1" wp14:anchorId="491884E6" wp14:editId="21DDBC21">
                  <wp:simplePos x="0" y="0"/>
                  <wp:positionH relativeFrom="page">
                    <wp:align>left</wp:align>
                  </wp:positionH>
                  <wp:positionV relativeFrom="page">
                    <wp:align>bottom</wp:align>
                  </wp:positionV>
                  <wp:extent cx="10692000" cy="50400"/>
                  <wp:effectExtent l="0" t="0" r="0" b="6985"/>
                  <wp:wrapNone/>
                  <wp:docPr id="638630382" name="Rectangle 6386303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92000" cy="50400"/>
                          </a:xfrm>
                          <a:prstGeom prst="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6E8BE7" id="Rectangle 638630382" o:spid="_x0000_s1026" alt="&quot;&quot;" style="position:absolute;margin-left:0;margin-top:0;width:841.9pt;height:3.95pt;z-index:251658265;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" fillcolor="#efa31f [3214]" stroked="f" strokeweight="2pt">
                  <w10:wrap anchorx="page" anchory="page"/>
                </v:rect>
              </w:pict>
            </mc:Fallback>
          </mc:AlternateContent>
        </w:r>
        <w:r w:rsidRPr="004A37E1">
          <w:rPr>
            <w:sz w:val="16"/>
            <w:szCs w:val="16"/>
          </w:rPr>
          <w:t>Review of sector funding arrangements and service provider capability for Aboriginal and Torres Strait Islander</w:t>
        </w:r>
        <w:r>
          <w:rPr>
            <w:sz w:val="16"/>
            <w:szCs w:val="16"/>
          </w:rPr>
          <w:br/>
        </w:r>
        <w:r w:rsidRPr="004A37E1">
          <w:rPr>
            <w:sz w:val="16"/>
            <w:szCs w:val="16"/>
          </w:rPr>
          <w:t>mental health and suicide prevention services and the Integrated Team Care (ITC) Program</w:t>
        </w:r>
        <w:r>
          <w:rPr>
            <w:sz w:val="16"/>
            <w:szCs w:val="16"/>
          </w:rPr>
          <w:tab/>
          <w:t xml:space="preserve">Page </w:t>
        </w:r>
        <w:r w:rsidRPr="004A37E1">
          <w:rPr>
            <w:sz w:val="16"/>
            <w:szCs w:val="16"/>
          </w:rPr>
          <w:fldChar w:fldCharType="begin"/>
        </w:r>
        <w:r w:rsidRPr="004A37E1">
          <w:rPr>
            <w:sz w:val="16"/>
            <w:szCs w:val="16"/>
          </w:rPr>
          <w:instrText xml:space="preserve"> PAGE   \* MERGEFORMAT </w:instrText>
        </w:r>
        <w:r w:rsidRPr="004A37E1">
          <w:rPr>
            <w:sz w:val="16"/>
            <w:szCs w:val="16"/>
          </w:rPr>
          <w:fldChar w:fldCharType="separate"/>
        </w:r>
        <w:r>
          <w:rPr>
            <w:sz w:val="16"/>
            <w:szCs w:val="16"/>
          </w:rPr>
          <w:t>xiv</w:t>
        </w:r>
        <w:r w:rsidRPr="004A37E1">
          <w:rPr>
            <w:sz w:val="16"/>
            <w:szCs w:val="16"/>
          </w:rPr>
          <w:fldChar w:fldCharType="end"/>
        </w:r>
      </w:p>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6"/>
        <w:szCs w:val="16"/>
      </w:rPr>
      <w:id w:val="1196584640"/>
      <w:docPartObj>
        <w:docPartGallery w:val="Page Numbers (Bottom of Page)"/>
        <w:docPartUnique/>
      </w:docPartObj>
    </w:sdtPr>
    <w:sdtEndPr/>
    <w:sdtContent>
      <w:p w14:paraId="0E5AF63F" w14:textId="77777777" w:rsidR="00A77D8A" w:rsidRPr="004A37E1" w:rsidRDefault="00A77D8A" w:rsidP="004D5828">
        <w:pPr>
          <w:pStyle w:val="Footer"/>
          <w:tabs>
            <w:tab w:val="clear" w:pos="9026"/>
            <w:tab w:val="right" w:pos="14459"/>
          </w:tabs>
          <w:rPr>
            <w:sz w:val="16"/>
            <w:szCs w:val="16"/>
          </w:rPr>
        </w:pPr>
        <w:r>
          <w:rPr>
            <w:noProof/>
          </w:rPr>
          <mc:AlternateContent>
            <mc:Choice Requires="wps">
              <w:drawing>
                <wp:anchor distT="0" distB="0" distL="114300" distR="114300" simplePos="0" relativeHeight="251658267" behindDoc="0" locked="0" layoutInCell="1" allowOverlap="1" wp14:anchorId="0E9EC2B8" wp14:editId="221D4389">
                  <wp:simplePos x="0" y="0"/>
                  <wp:positionH relativeFrom="page">
                    <wp:align>left</wp:align>
                  </wp:positionH>
                  <wp:positionV relativeFrom="page">
                    <wp:align>bottom</wp:align>
                  </wp:positionV>
                  <wp:extent cx="10692000" cy="50400"/>
                  <wp:effectExtent l="0" t="0" r="0" b="6985"/>
                  <wp:wrapNone/>
                  <wp:docPr id="195153613" name="Rectangle 1951536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92000" cy="50400"/>
                          </a:xfrm>
                          <a:prstGeom prst="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44CC1D" id="Rectangle 195153613" o:spid="_x0000_s1026" alt="&quot;&quot;" style="position:absolute;margin-left:0;margin-top:0;width:841.9pt;height:3.95pt;z-index:251658267;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" fillcolor="#efa31f [3214]" stroked="f" strokeweight="2pt">
                  <w10:wrap anchorx="page" anchory="page"/>
                </v:rect>
              </w:pict>
            </mc:Fallback>
          </mc:AlternateContent>
        </w:r>
        <w:r w:rsidRPr="004A37E1">
          <w:rPr>
            <w:sz w:val="16"/>
            <w:szCs w:val="16"/>
          </w:rPr>
          <w:t>Review of sector funding arrangements and service provider capability for Aboriginal and Torres Strait Islander</w:t>
        </w:r>
        <w:r>
          <w:rPr>
            <w:sz w:val="16"/>
            <w:szCs w:val="16"/>
          </w:rPr>
          <w:br/>
        </w:r>
        <w:r w:rsidRPr="004A37E1">
          <w:rPr>
            <w:sz w:val="16"/>
            <w:szCs w:val="16"/>
          </w:rPr>
          <w:t>mental health and suicide prevention services and the Integrated Team Care (ITC) Program</w:t>
        </w:r>
        <w:r>
          <w:rPr>
            <w:sz w:val="16"/>
            <w:szCs w:val="16"/>
          </w:rPr>
          <w:tab/>
          <w:t xml:space="preserve">Page </w:t>
        </w:r>
        <w:r w:rsidRPr="004A37E1">
          <w:rPr>
            <w:sz w:val="16"/>
            <w:szCs w:val="16"/>
          </w:rPr>
          <w:fldChar w:fldCharType="begin"/>
        </w:r>
        <w:r w:rsidRPr="004A37E1">
          <w:rPr>
            <w:sz w:val="16"/>
            <w:szCs w:val="16"/>
          </w:rPr>
          <w:instrText xml:space="preserve"> PAGE   \* MERGEFORMAT </w:instrText>
        </w:r>
        <w:r w:rsidRPr="004A37E1">
          <w:rPr>
            <w:sz w:val="16"/>
            <w:szCs w:val="16"/>
          </w:rPr>
          <w:fldChar w:fldCharType="separate"/>
        </w:r>
        <w:r>
          <w:rPr>
            <w:sz w:val="16"/>
            <w:szCs w:val="16"/>
          </w:rPr>
          <w:t>xiv</w:t>
        </w:r>
        <w:r w:rsidRPr="004A37E1">
          <w:rPr>
            <w:sz w:val="16"/>
            <w:szCs w:val="16"/>
          </w:rPr>
          <w:fldChar w:fldCharType="end"/>
        </w:r>
      </w:p>
    </w:sdtContent>
  </w:sdt>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6"/>
        <w:szCs w:val="16"/>
      </w:rPr>
      <w:id w:val="-1390959878"/>
      <w:docPartObj>
        <w:docPartGallery w:val="Page Numbers (Bottom of Page)"/>
        <w:docPartUnique/>
      </w:docPartObj>
    </w:sdtPr>
    <w:sdtEndPr/>
    <w:sdtContent>
      <w:p w14:paraId="493A32AE" w14:textId="77777777" w:rsidR="00597B5E" w:rsidRPr="004A37E1" w:rsidRDefault="00597B5E" w:rsidP="004D5828">
        <w:pPr>
          <w:pStyle w:val="Footer"/>
          <w:tabs>
            <w:tab w:val="clear" w:pos="9026"/>
            <w:tab w:val="right" w:pos="14459"/>
          </w:tabs>
          <w:rPr>
            <w:sz w:val="16"/>
            <w:szCs w:val="16"/>
          </w:rPr>
        </w:pPr>
        <w:r>
          <w:rPr>
            <w:noProof/>
          </w:rPr>
          <mc:AlternateContent>
            <mc:Choice Requires="wps">
              <w:drawing>
                <wp:anchor distT="0" distB="0" distL="114300" distR="114300" simplePos="0" relativeHeight="251658249" behindDoc="0" locked="0" layoutInCell="1" allowOverlap="1" wp14:anchorId="7B8B5EFB" wp14:editId="4A0716C2">
                  <wp:simplePos x="0" y="0"/>
                  <wp:positionH relativeFrom="page">
                    <wp:align>left</wp:align>
                  </wp:positionH>
                  <wp:positionV relativeFrom="page">
                    <wp:align>bottom</wp:align>
                  </wp:positionV>
                  <wp:extent cx="10692000" cy="50400"/>
                  <wp:effectExtent l="0" t="0" r="0" b="6985"/>
                  <wp:wrapNone/>
                  <wp:docPr id="621070074" name="Rectangle 6210700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92000" cy="50400"/>
                          </a:xfrm>
                          <a:prstGeom prst="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9C460D" id="Rectangle 621070074" o:spid="_x0000_s1026" alt="&quot;&quot;" style="position:absolute;margin-left:0;margin-top:0;width:841.9pt;height:3.95pt;z-index:251658249;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" fillcolor="#efa31f [3214]" stroked="f" strokeweight="2pt">
                  <w10:wrap anchorx="page" anchory="page"/>
                </v:rect>
              </w:pict>
            </mc:Fallback>
          </mc:AlternateContent>
        </w:r>
        <w:r w:rsidRPr="004A37E1">
          <w:rPr>
            <w:sz w:val="16"/>
            <w:szCs w:val="16"/>
          </w:rPr>
          <w:t>Review of sector funding arrangements and service provider capability for Aboriginal and Torres Strait Islander</w:t>
        </w:r>
        <w:r>
          <w:rPr>
            <w:sz w:val="16"/>
            <w:szCs w:val="16"/>
          </w:rPr>
          <w:br/>
        </w:r>
        <w:r w:rsidRPr="004A37E1">
          <w:rPr>
            <w:sz w:val="16"/>
            <w:szCs w:val="16"/>
          </w:rPr>
          <w:t>mental health and suicide prevention services and the Integrated Team Care (ITC) Program</w:t>
        </w:r>
        <w:r>
          <w:rPr>
            <w:sz w:val="16"/>
            <w:szCs w:val="16"/>
          </w:rPr>
          <w:tab/>
          <w:t xml:space="preserve">Page </w:t>
        </w:r>
        <w:r w:rsidRPr="004A37E1">
          <w:rPr>
            <w:sz w:val="16"/>
            <w:szCs w:val="16"/>
          </w:rPr>
          <w:fldChar w:fldCharType="begin"/>
        </w:r>
        <w:r w:rsidRPr="004A37E1">
          <w:rPr>
            <w:sz w:val="16"/>
            <w:szCs w:val="16"/>
          </w:rPr>
          <w:instrText xml:space="preserve"> PAGE   \* MERGEFORMAT </w:instrText>
        </w:r>
        <w:r w:rsidRPr="004A37E1">
          <w:rPr>
            <w:sz w:val="16"/>
            <w:szCs w:val="16"/>
          </w:rPr>
          <w:fldChar w:fldCharType="separate"/>
        </w:r>
        <w:r>
          <w:rPr>
            <w:sz w:val="16"/>
            <w:szCs w:val="16"/>
          </w:rPr>
          <w:t>xiv</w:t>
        </w:r>
        <w:r w:rsidRPr="004A37E1">
          <w:rPr>
            <w:sz w:val="16"/>
            <w:szCs w:val="16"/>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DAAEE1" w14:textId="77777777" w:rsidR="00A05139" w:rsidRDefault="00A5585C">
    <w:pPr>
      <w:pBdr>
        <w:top w:val="nil"/>
        <w:left w:val="nil"/>
        <w:bottom w:val="nil"/>
        <w:right w:val="nil"/>
        <w:between w:val="nil"/>
      </w:pBdr>
      <w:tabs>
        <w:tab w:val="center" w:pos="4513"/>
        <w:tab w:val="right" w:pos="9026"/>
      </w:tabs>
      <w:rPr>
        <w:color w:val="000000"/>
        <w:sz w:val="16"/>
        <w:szCs w:val="16"/>
      </w:rPr>
    </w:pPr>
    <w:r>
      <w:rPr>
        <w:noProof/>
      </w:rPr>
      <w:drawing>
        <wp:anchor distT="0" distB="0" distL="114300" distR="114300" simplePos="0" relativeHeight="251658272" behindDoc="0" locked="0" layoutInCell="1" allowOverlap="1" wp14:anchorId="15D4FEB1" wp14:editId="611D71FC">
          <wp:simplePos x="0" y="0"/>
          <wp:positionH relativeFrom="column">
            <wp:posOffset>4587406</wp:posOffset>
          </wp:positionH>
          <wp:positionV relativeFrom="paragraph">
            <wp:posOffset>-1809750</wp:posOffset>
          </wp:positionV>
          <wp:extent cx="7563485" cy="10690225"/>
          <wp:effectExtent l="0" t="0" r="0" b="0"/>
          <wp:wrapNone/>
          <wp:docPr id="226" name="Picture 2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26" name="Picture 1">
                    <a:extLst>
                      <a:ext uri="{C183D7F6-B498-43B3-948B-1728B52AA6E4}">
                        <adec:decorative xmlns:adec="http://schemas.microsoft.com/office/drawing/2017/decorative" val="1"/>
                      </a:ext>
                    </a:extLst>
                  </pic:cNvPr>
                  <pic:cNvPicPr/>
                </pic:nvPicPr>
                <pic:blipFill>
                  <a:blip r:embed="rId1" cstate="screen">
                    <a:extLst>
                      <a:ext uri="{28A0092B-C50C-407E-A947-70E740481C1C}">
                        <a14:useLocalDpi xmlns:a14="http://schemas.microsoft.com/office/drawing/2010/main"/>
                      </a:ext>
                    </a:extLst>
                  </a:blip>
                  <a:srcRect/>
                  <a:stretch>
                    <a:fillRect/>
                  </a:stretch>
                </pic:blipFill>
                <pic:spPr>
                  <a:xfrm>
                    <a:off x="0" y="0"/>
                    <a:ext cx="7563485" cy="10690225"/>
                  </a:xfrm>
                  <a:prstGeom prst="rect">
                    <a:avLst/>
                  </a:prstGeom>
                  <a:ln/>
                </pic:spPr>
              </pic:pic>
            </a:graphicData>
          </a:graphic>
        </wp:anchor>
      </w:drawing>
    </w:r>
    <w:r>
      <w:rPr>
        <w:noProof/>
        <w:color w:val="000000"/>
        <w:sz w:val="16"/>
        <w:szCs w:val="16"/>
      </w:rPr>
      <mc:AlternateContent>
        <mc:Choice Requires="wpg">
          <w:drawing>
            <wp:anchor distT="0" distB="0" distL="114300" distR="114300" simplePos="0" relativeHeight="251658243" behindDoc="0" locked="0" layoutInCell="1" allowOverlap="1" wp14:anchorId="5D748DB2" wp14:editId="4E23296F">
              <wp:simplePos x="0" y="0"/>
              <wp:positionH relativeFrom="column">
                <wp:posOffset>4585335</wp:posOffset>
              </wp:positionH>
              <wp:positionV relativeFrom="paragraph">
                <wp:posOffset>-1800225</wp:posOffset>
              </wp:positionV>
              <wp:extent cx="1969477" cy="1938731"/>
              <wp:effectExtent l="0" t="0" r="0" b="4445"/>
              <wp:wrapNone/>
              <wp:docPr id="12072036" name="Group 120720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969477" cy="1938731"/>
                        <a:chOff x="0" y="0"/>
                        <a:chExt cx="1969477" cy="1938731"/>
                      </a:xfrm>
                    </wpg:grpSpPr>
                    <wps:wsp>
                      <wps:cNvPr id="1574126442" name="Rectangle 1"/>
                      <wps:cNvSpPr/>
                      <wps:spPr>
                        <a:xfrm>
                          <a:off x="0" y="230588"/>
                          <a:ext cx="1969477" cy="156297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24974457" name="Picture 1690006894" descr="First Nations Co."/>
                        <pic:cNvPicPr>
                          <a:picLocks noChangeAspect="1"/>
                        </pic:cNvPicPr>
                      </pic:nvPicPr>
                      <pic:blipFill>
                        <a:blip r:embed="rId2" r:link="rId3" cstate="print">
                          <a:extLst>
                            <a:ext uri="{28A0092B-C50C-407E-A947-70E740481C1C}">
                              <a14:useLocalDpi xmlns:a14="http://schemas.microsoft.com/office/drawing/2010/main" val="0"/>
                            </a:ext>
                          </a:extLst>
                        </a:blip>
                        <a:srcRect/>
                        <a:stretch>
                          <a:fillRect/>
                        </a:stretch>
                      </pic:blipFill>
                      <pic:spPr bwMode="auto">
                        <a:xfrm>
                          <a:off x="115556" y="0"/>
                          <a:ext cx="1703070" cy="793750"/>
                        </a:xfrm>
                        <a:prstGeom prst="rect">
                          <a:avLst/>
                        </a:prstGeom>
                        <a:noFill/>
                        <a:ln>
                          <a:noFill/>
                        </a:ln>
                      </pic:spPr>
                    </pic:pic>
                    <pic:pic xmlns:pic="http://schemas.openxmlformats.org/drawingml/2006/picture">
                      <pic:nvPicPr>
                        <pic:cNvPr id="1839460424" name="Picture 1922055552"/>
                        <pic:cNvPicPr/>
                      </pic:nvPicPr>
                      <pic:blipFill rotWithShape="1">
                        <a:blip r:embed="rId4"/>
                        <a:srcRect l="71111" t="81629" r="5167" b="9251"/>
                        <a:stretch/>
                      </pic:blipFill>
                      <pic:spPr bwMode="auto">
                        <a:xfrm>
                          <a:off x="55266" y="964641"/>
                          <a:ext cx="1793875" cy="97409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5DE9B94" id="Group 12072036" o:spid="_x0000_s1026" alt="&quot;&quot;" style="position:absolute;margin-left:361.05pt;margin-top:-141.75pt;width:155.1pt;height:152.65pt;z-index:251658243" coordsize="19694,193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">
              <v:rect id="Rectangle 1" o:spid="_x0000_s1027" style="position:absolute;top:2305;width:19694;height:156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" fillcolor="white [3212]"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90006894" o:spid="_x0000_s1028" type="#_x0000_t75" alt="First Nations Co." style="position:absolute;left:1155;width:17031;height:7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">
                <v:imagedata r:id="rId5" r:href="rId6"/>
              </v:shape>
              <v:shape id="Picture 1922055552" o:spid="_x0000_s1029" type="#_x0000_t75" style="position:absolute;left:552;top:9646;width:17939;height:9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">
                <v:imagedata r:id="rId7" o:title="" croptop="53496f" cropbottom="6063f" cropleft="46603f" cropright="3386f"/>
              </v:shape>
            </v:group>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6"/>
        <w:szCs w:val="16"/>
      </w:rPr>
      <w:id w:val="-672108040"/>
      <w:docPartObj>
        <w:docPartGallery w:val="Page Numbers (Bottom of Page)"/>
        <w:docPartUnique/>
      </w:docPartObj>
    </w:sdtPr>
    <w:sdtEndPr/>
    <w:sdtContent>
      <w:p w14:paraId="348F6E14" w14:textId="77777777" w:rsidR="00A77D8A" w:rsidRPr="004A37E1" w:rsidRDefault="00A77D8A" w:rsidP="004D5828">
        <w:pPr>
          <w:pStyle w:val="Footer"/>
          <w:tabs>
            <w:tab w:val="clear" w:pos="9026"/>
            <w:tab w:val="right" w:pos="14459"/>
          </w:tabs>
          <w:rPr>
            <w:sz w:val="16"/>
            <w:szCs w:val="16"/>
          </w:rPr>
        </w:pPr>
        <w:r>
          <w:rPr>
            <w:noProof/>
          </w:rPr>
          <mc:AlternateContent>
            <mc:Choice Requires="wps">
              <w:drawing>
                <wp:anchor distT="0" distB="0" distL="114300" distR="114300" simplePos="0" relativeHeight="251658268" behindDoc="0" locked="0" layoutInCell="1" allowOverlap="1" wp14:anchorId="38055D76" wp14:editId="78E4A32E">
                  <wp:simplePos x="0" y="0"/>
                  <wp:positionH relativeFrom="page">
                    <wp:align>left</wp:align>
                  </wp:positionH>
                  <wp:positionV relativeFrom="page">
                    <wp:align>bottom</wp:align>
                  </wp:positionV>
                  <wp:extent cx="10692000" cy="50400"/>
                  <wp:effectExtent l="0" t="0" r="0" b="6985"/>
                  <wp:wrapNone/>
                  <wp:docPr id="1435094024" name="Rectangle 14350940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92000" cy="50400"/>
                          </a:xfrm>
                          <a:prstGeom prst="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008C45" id="Rectangle 1435094024" o:spid="_x0000_s1026" alt="&quot;&quot;" style="position:absolute;margin-left:0;margin-top:0;width:841.9pt;height:3.95pt;z-index:251658268;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" fillcolor="#efa31f [3214]" stroked="f" strokeweight="2pt">
                  <w10:wrap anchorx="page" anchory="page"/>
                </v:rect>
              </w:pict>
            </mc:Fallback>
          </mc:AlternateContent>
        </w:r>
        <w:r w:rsidRPr="004A37E1">
          <w:rPr>
            <w:sz w:val="16"/>
            <w:szCs w:val="16"/>
          </w:rPr>
          <w:t>Review of sector funding arrangements and service provider capability for Aboriginal and Torres Strait Islander</w:t>
        </w:r>
        <w:r>
          <w:rPr>
            <w:sz w:val="16"/>
            <w:szCs w:val="16"/>
          </w:rPr>
          <w:br/>
        </w:r>
        <w:r w:rsidRPr="004A37E1">
          <w:rPr>
            <w:sz w:val="16"/>
            <w:szCs w:val="16"/>
          </w:rPr>
          <w:t>mental health and suicide prevention services and the Integrated Team Care (ITC) Program</w:t>
        </w:r>
        <w:r>
          <w:rPr>
            <w:sz w:val="16"/>
            <w:szCs w:val="16"/>
          </w:rPr>
          <w:tab/>
          <w:t xml:space="preserve">Page </w:t>
        </w:r>
        <w:r w:rsidRPr="004A37E1">
          <w:rPr>
            <w:sz w:val="16"/>
            <w:szCs w:val="16"/>
          </w:rPr>
          <w:fldChar w:fldCharType="begin"/>
        </w:r>
        <w:r w:rsidRPr="004A37E1">
          <w:rPr>
            <w:sz w:val="16"/>
            <w:szCs w:val="16"/>
          </w:rPr>
          <w:instrText xml:space="preserve"> PAGE   \* MERGEFORMAT </w:instrText>
        </w:r>
        <w:r w:rsidRPr="004A37E1">
          <w:rPr>
            <w:sz w:val="16"/>
            <w:szCs w:val="16"/>
          </w:rPr>
          <w:fldChar w:fldCharType="separate"/>
        </w:r>
        <w:r>
          <w:rPr>
            <w:sz w:val="16"/>
            <w:szCs w:val="16"/>
          </w:rPr>
          <w:t>xiv</w:t>
        </w:r>
        <w:r w:rsidRPr="004A37E1">
          <w:rPr>
            <w:sz w:val="16"/>
            <w:szCs w:val="16"/>
          </w:rPr>
          <w:fldChar w:fldCharType="end"/>
        </w:r>
      </w:p>
    </w:sdtContent>
  </w:sdt>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6"/>
        <w:szCs w:val="16"/>
      </w:rPr>
      <w:id w:val="-937673383"/>
      <w:docPartObj>
        <w:docPartGallery w:val="Page Numbers (Bottom of Page)"/>
        <w:docPartUnique/>
      </w:docPartObj>
    </w:sdtPr>
    <w:sdtEndPr/>
    <w:sdtContent>
      <w:p w14:paraId="0E1302C8" w14:textId="77777777" w:rsidR="00A77D8A" w:rsidRPr="004A37E1" w:rsidRDefault="00A77D8A" w:rsidP="004D5828">
        <w:pPr>
          <w:pStyle w:val="Footer"/>
          <w:tabs>
            <w:tab w:val="clear" w:pos="9026"/>
            <w:tab w:val="right" w:pos="14459"/>
          </w:tabs>
          <w:rPr>
            <w:sz w:val="16"/>
            <w:szCs w:val="16"/>
          </w:rPr>
        </w:pPr>
        <w:r>
          <w:rPr>
            <w:noProof/>
          </w:rPr>
          <mc:AlternateContent>
            <mc:Choice Requires="wps">
              <w:drawing>
                <wp:anchor distT="0" distB="0" distL="114300" distR="114300" simplePos="0" relativeHeight="251658270" behindDoc="0" locked="0" layoutInCell="1" allowOverlap="1" wp14:anchorId="55819354" wp14:editId="36EC567C">
                  <wp:simplePos x="0" y="0"/>
                  <wp:positionH relativeFrom="page">
                    <wp:align>left</wp:align>
                  </wp:positionH>
                  <wp:positionV relativeFrom="page">
                    <wp:align>bottom</wp:align>
                  </wp:positionV>
                  <wp:extent cx="10692000" cy="50400"/>
                  <wp:effectExtent l="0" t="0" r="0" b="6985"/>
                  <wp:wrapNone/>
                  <wp:docPr id="95996626" name="Rectangle 959966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92000" cy="50400"/>
                          </a:xfrm>
                          <a:prstGeom prst="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784A86" id="Rectangle 95996626" o:spid="_x0000_s1026" alt="&quot;&quot;" style="position:absolute;margin-left:0;margin-top:0;width:841.9pt;height:3.95pt;z-index:251658270;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" fillcolor="#efa31f [3214]" stroked="f" strokeweight="2pt">
                  <w10:wrap anchorx="page" anchory="page"/>
                </v:rect>
              </w:pict>
            </mc:Fallback>
          </mc:AlternateContent>
        </w:r>
        <w:r w:rsidRPr="004A37E1">
          <w:rPr>
            <w:sz w:val="16"/>
            <w:szCs w:val="16"/>
          </w:rPr>
          <w:t>Review of sector funding arrangements and service provider capability for Aboriginal and Torres Strait Islander</w:t>
        </w:r>
        <w:r>
          <w:rPr>
            <w:sz w:val="16"/>
            <w:szCs w:val="16"/>
          </w:rPr>
          <w:br/>
        </w:r>
        <w:r w:rsidRPr="004A37E1">
          <w:rPr>
            <w:sz w:val="16"/>
            <w:szCs w:val="16"/>
          </w:rPr>
          <w:t>mental health and suicide prevention services and the Integrated Team Care (ITC) Program</w:t>
        </w:r>
        <w:r>
          <w:rPr>
            <w:sz w:val="16"/>
            <w:szCs w:val="16"/>
          </w:rPr>
          <w:tab/>
          <w:t xml:space="preserve">Page </w:t>
        </w:r>
        <w:r w:rsidRPr="004A37E1">
          <w:rPr>
            <w:sz w:val="16"/>
            <w:szCs w:val="16"/>
          </w:rPr>
          <w:fldChar w:fldCharType="begin"/>
        </w:r>
        <w:r w:rsidRPr="004A37E1">
          <w:rPr>
            <w:sz w:val="16"/>
            <w:szCs w:val="16"/>
          </w:rPr>
          <w:instrText xml:space="preserve"> PAGE   \* MERGEFORMAT </w:instrText>
        </w:r>
        <w:r w:rsidRPr="004A37E1">
          <w:rPr>
            <w:sz w:val="16"/>
            <w:szCs w:val="16"/>
          </w:rPr>
          <w:fldChar w:fldCharType="separate"/>
        </w:r>
        <w:r>
          <w:rPr>
            <w:sz w:val="16"/>
            <w:szCs w:val="16"/>
          </w:rPr>
          <w:t>xiv</w:t>
        </w:r>
        <w:r w:rsidRPr="004A37E1">
          <w:rPr>
            <w:sz w:val="16"/>
            <w:szCs w:val="16"/>
          </w:rPr>
          <w:fldChar w:fldCharType="end"/>
        </w:r>
      </w:p>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6"/>
        <w:szCs w:val="16"/>
      </w:rPr>
      <w:id w:val="905573313"/>
      <w:docPartObj>
        <w:docPartGallery w:val="Page Numbers (Bottom of Page)"/>
        <w:docPartUnique/>
      </w:docPartObj>
    </w:sdtPr>
    <w:sdtEndPr/>
    <w:sdtContent>
      <w:p w14:paraId="5574F4C4" w14:textId="77777777" w:rsidR="00A77D8A" w:rsidRPr="004A37E1" w:rsidRDefault="00A77D8A" w:rsidP="004D5828">
        <w:pPr>
          <w:pStyle w:val="Footer"/>
          <w:tabs>
            <w:tab w:val="clear" w:pos="9026"/>
            <w:tab w:val="right" w:pos="14459"/>
          </w:tabs>
          <w:rPr>
            <w:sz w:val="16"/>
            <w:szCs w:val="16"/>
          </w:rPr>
        </w:pPr>
        <w:r>
          <w:rPr>
            <w:noProof/>
          </w:rPr>
          <mc:AlternateContent>
            <mc:Choice Requires="wps">
              <w:drawing>
                <wp:anchor distT="0" distB="0" distL="114300" distR="114300" simplePos="0" relativeHeight="251658271" behindDoc="0" locked="0" layoutInCell="1" allowOverlap="1" wp14:anchorId="20FD9211" wp14:editId="6323E758">
                  <wp:simplePos x="0" y="0"/>
                  <wp:positionH relativeFrom="page">
                    <wp:align>left</wp:align>
                  </wp:positionH>
                  <wp:positionV relativeFrom="page">
                    <wp:align>bottom</wp:align>
                  </wp:positionV>
                  <wp:extent cx="10692000" cy="50400"/>
                  <wp:effectExtent l="0" t="0" r="0" b="6985"/>
                  <wp:wrapNone/>
                  <wp:docPr id="426420758" name="Rectangle 4264207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92000" cy="50400"/>
                          </a:xfrm>
                          <a:prstGeom prst="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9DC6A2" id="Rectangle 426420758" o:spid="_x0000_s1026" alt="&quot;&quot;" style="position:absolute;margin-left:0;margin-top:0;width:841.9pt;height:3.95pt;z-index:251658271;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" fillcolor="#efa31f [3214]" stroked="f" strokeweight="2pt">
                  <w10:wrap anchorx="page" anchory="page"/>
                </v:rect>
              </w:pict>
            </mc:Fallback>
          </mc:AlternateContent>
        </w:r>
        <w:r w:rsidRPr="004A37E1">
          <w:rPr>
            <w:sz w:val="16"/>
            <w:szCs w:val="16"/>
          </w:rPr>
          <w:t>Review of sector funding arrangements and service provider capability for Aboriginal and Torres Strait Islander</w:t>
        </w:r>
        <w:r>
          <w:rPr>
            <w:sz w:val="16"/>
            <w:szCs w:val="16"/>
          </w:rPr>
          <w:br/>
        </w:r>
        <w:r w:rsidRPr="004A37E1">
          <w:rPr>
            <w:sz w:val="16"/>
            <w:szCs w:val="16"/>
          </w:rPr>
          <w:t>mental health and suicide prevention services and the Integrated Team Care (ITC) Program</w:t>
        </w:r>
        <w:r>
          <w:rPr>
            <w:sz w:val="16"/>
            <w:szCs w:val="16"/>
          </w:rPr>
          <w:tab/>
          <w:t xml:space="preserve">Page </w:t>
        </w:r>
        <w:r w:rsidRPr="004A37E1">
          <w:rPr>
            <w:sz w:val="16"/>
            <w:szCs w:val="16"/>
          </w:rPr>
          <w:fldChar w:fldCharType="begin"/>
        </w:r>
        <w:r w:rsidRPr="004A37E1">
          <w:rPr>
            <w:sz w:val="16"/>
            <w:szCs w:val="16"/>
          </w:rPr>
          <w:instrText xml:space="preserve"> PAGE   \* MERGEFORMAT </w:instrText>
        </w:r>
        <w:r w:rsidRPr="004A37E1">
          <w:rPr>
            <w:sz w:val="16"/>
            <w:szCs w:val="16"/>
          </w:rPr>
          <w:fldChar w:fldCharType="separate"/>
        </w:r>
        <w:r>
          <w:rPr>
            <w:sz w:val="16"/>
            <w:szCs w:val="16"/>
          </w:rPr>
          <w:t>xiv</w:t>
        </w:r>
        <w:r w:rsidRPr="004A37E1">
          <w:rPr>
            <w:sz w:val="16"/>
            <w:szCs w:val="16"/>
          </w:rPr>
          <w:fldChar w:fldCharType="end"/>
        </w:r>
      </w:p>
    </w:sdtContent>
  </w:sdt>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6"/>
        <w:szCs w:val="16"/>
      </w:rPr>
      <w:id w:val="-767852677"/>
      <w:docPartObj>
        <w:docPartGallery w:val="Page Numbers (Bottom of Page)"/>
        <w:docPartUnique/>
      </w:docPartObj>
    </w:sdtPr>
    <w:sdtEndPr/>
    <w:sdtContent>
      <w:p w14:paraId="49131D09" w14:textId="77777777" w:rsidR="00E93B27" w:rsidRPr="004A37E1" w:rsidRDefault="00E93B27" w:rsidP="004D5828">
        <w:pPr>
          <w:pStyle w:val="Footer"/>
          <w:tabs>
            <w:tab w:val="clear" w:pos="9026"/>
            <w:tab w:val="right" w:pos="14459"/>
          </w:tabs>
          <w:rPr>
            <w:sz w:val="16"/>
            <w:szCs w:val="16"/>
          </w:rPr>
        </w:pPr>
        <w:r>
          <w:rPr>
            <w:noProof/>
          </w:rPr>
          <mc:AlternateContent>
            <mc:Choice Requires="wps">
              <w:drawing>
                <wp:anchor distT="0" distB="0" distL="114300" distR="114300" simplePos="0" relativeHeight="251658281" behindDoc="0" locked="0" layoutInCell="1" allowOverlap="1" wp14:anchorId="7EA45DA5" wp14:editId="736F0C08">
                  <wp:simplePos x="0" y="0"/>
                  <wp:positionH relativeFrom="page">
                    <wp:align>left</wp:align>
                  </wp:positionH>
                  <wp:positionV relativeFrom="page">
                    <wp:align>bottom</wp:align>
                  </wp:positionV>
                  <wp:extent cx="10692000" cy="50400"/>
                  <wp:effectExtent l="0" t="0" r="0" b="6985"/>
                  <wp:wrapNone/>
                  <wp:docPr id="9" name="Rectangle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92000" cy="50400"/>
                          </a:xfrm>
                          <a:prstGeom prst="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F73E90" id="Rectangle 9" o:spid="_x0000_s1026" alt="&quot;&quot;" style="position:absolute;margin-left:0;margin-top:0;width:841.9pt;height:3.95pt;z-index:251658281;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" fillcolor="#efa31f [3214]" stroked="f" strokeweight="2pt">
                  <w10:wrap anchorx="page" anchory="page"/>
                </v:rect>
              </w:pict>
            </mc:Fallback>
          </mc:AlternateConten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6"/>
        <w:szCs w:val="16"/>
      </w:rPr>
      <w:id w:val="1589660220"/>
      <w:docPartObj>
        <w:docPartGallery w:val="Page Numbers (Bottom of Page)"/>
        <w:docPartUnique/>
      </w:docPartObj>
    </w:sdtPr>
    <w:sdtEndPr/>
    <w:sdtContent>
      <w:p w14:paraId="3B138B9E" w14:textId="77777777" w:rsidR="004D5828" w:rsidRPr="004A37E1" w:rsidRDefault="004D5828" w:rsidP="004D5828">
        <w:pPr>
          <w:pStyle w:val="Footer"/>
          <w:tabs>
            <w:tab w:val="clear" w:pos="9026"/>
            <w:tab w:val="right" w:pos="14459"/>
          </w:tabs>
          <w:rPr>
            <w:sz w:val="16"/>
            <w:szCs w:val="16"/>
          </w:rPr>
        </w:pPr>
        <w:r>
          <w:rPr>
            <w:noProof/>
          </w:rPr>
          <mc:AlternateContent>
            <mc:Choice Requires="wps">
              <w:drawing>
                <wp:anchor distT="0" distB="0" distL="114300" distR="114300" simplePos="0" relativeHeight="251658242" behindDoc="0" locked="0" layoutInCell="1" allowOverlap="1" wp14:anchorId="69071B7C" wp14:editId="1F88B967">
                  <wp:simplePos x="0" y="0"/>
                  <wp:positionH relativeFrom="page">
                    <wp:align>left</wp:align>
                  </wp:positionH>
                  <wp:positionV relativeFrom="page">
                    <wp:align>bottom</wp:align>
                  </wp:positionV>
                  <wp:extent cx="10692000" cy="50400"/>
                  <wp:effectExtent l="0" t="0" r="0" b="6985"/>
                  <wp:wrapNone/>
                  <wp:docPr id="1576606121" name="Rectangle 15766061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92000" cy="50400"/>
                          </a:xfrm>
                          <a:prstGeom prst="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A6B3E0" id="Rectangle 1576606121" o:spid="_x0000_s1026" alt="&quot;&quot;" style="position:absolute;margin-left:0;margin-top:0;width:841.9pt;height:3.95pt;z-index:251658242;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" fillcolor="#efa31f [3214]" stroked="f" strokeweight="2pt">
                  <w10:wrap anchorx="page" anchory="page"/>
                </v:rect>
              </w:pict>
            </mc:Fallback>
          </mc:AlternateContent>
        </w:r>
        <w:r w:rsidRPr="004A37E1">
          <w:rPr>
            <w:sz w:val="16"/>
            <w:szCs w:val="16"/>
          </w:rPr>
          <w:t>Review of sector funding arrangements and service provider capability for Aboriginal and Torres Strait Islander</w:t>
        </w:r>
        <w:r>
          <w:rPr>
            <w:sz w:val="16"/>
            <w:szCs w:val="16"/>
          </w:rPr>
          <w:br/>
        </w:r>
        <w:r w:rsidRPr="004A37E1">
          <w:rPr>
            <w:sz w:val="16"/>
            <w:szCs w:val="16"/>
          </w:rPr>
          <w:t>mental health and suicide prevention services and the Integrated Team Care (ITC) Program</w:t>
        </w:r>
        <w:r>
          <w:rPr>
            <w:sz w:val="16"/>
            <w:szCs w:val="16"/>
          </w:rPr>
          <w:tab/>
          <w:t xml:space="preserve">Page </w:t>
        </w:r>
        <w:r w:rsidRPr="004A37E1">
          <w:rPr>
            <w:sz w:val="16"/>
            <w:szCs w:val="16"/>
          </w:rPr>
          <w:fldChar w:fldCharType="begin"/>
        </w:r>
        <w:r w:rsidRPr="004A37E1">
          <w:rPr>
            <w:sz w:val="16"/>
            <w:szCs w:val="16"/>
          </w:rPr>
          <w:instrText xml:space="preserve"> PAGE   \* MERGEFORMAT </w:instrText>
        </w:r>
        <w:r w:rsidRPr="004A37E1">
          <w:rPr>
            <w:sz w:val="16"/>
            <w:szCs w:val="16"/>
          </w:rPr>
          <w:fldChar w:fldCharType="separate"/>
        </w:r>
        <w:r>
          <w:rPr>
            <w:sz w:val="16"/>
            <w:szCs w:val="16"/>
          </w:rPr>
          <w:t>xiv</w:t>
        </w:r>
        <w:r w:rsidRPr="004A37E1">
          <w:rPr>
            <w:sz w:val="16"/>
            <w:szCs w:val="16"/>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60B02D" w14:textId="77777777" w:rsidR="00A05139" w:rsidRDefault="00A05139">
    <w:pPr>
      <w:pBdr>
        <w:top w:val="nil"/>
        <w:left w:val="nil"/>
        <w:bottom w:val="nil"/>
        <w:right w:val="nil"/>
        <w:between w:val="nil"/>
      </w:pBdr>
      <w:tabs>
        <w:tab w:val="center" w:pos="4513"/>
        <w:tab w:val="right" w:pos="9026"/>
      </w:tabs>
      <w:rPr>
        <w:color w:val="000000"/>
        <w:sz w:val="16"/>
        <w:szCs w:val="16"/>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6"/>
        <w:szCs w:val="16"/>
      </w:rPr>
      <w:id w:val="-862522902"/>
      <w:docPartObj>
        <w:docPartGallery w:val="Page Numbers (Bottom of Page)"/>
        <w:docPartUnique/>
      </w:docPartObj>
    </w:sdtPr>
    <w:sdtEndPr/>
    <w:sdtContent>
      <w:p w14:paraId="0EC81856" w14:textId="77777777" w:rsidR="00A77D8A" w:rsidRPr="004A37E1" w:rsidRDefault="00A77D8A" w:rsidP="004D5828">
        <w:pPr>
          <w:pStyle w:val="Footer"/>
          <w:tabs>
            <w:tab w:val="clear" w:pos="9026"/>
            <w:tab w:val="right" w:pos="14459"/>
          </w:tabs>
          <w:rPr>
            <w:sz w:val="16"/>
            <w:szCs w:val="16"/>
          </w:rPr>
        </w:pPr>
        <w:r>
          <w:rPr>
            <w:noProof/>
          </w:rPr>
          <mc:AlternateContent>
            <mc:Choice Requires="wps">
              <w:drawing>
                <wp:anchor distT="0" distB="0" distL="114300" distR="114300" simplePos="0" relativeHeight="251658253" behindDoc="0" locked="0" layoutInCell="1" allowOverlap="1" wp14:anchorId="52BFC278" wp14:editId="7E16C1EB">
                  <wp:simplePos x="0" y="0"/>
                  <wp:positionH relativeFrom="page">
                    <wp:align>left</wp:align>
                  </wp:positionH>
                  <wp:positionV relativeFrom="page">
                    <wp:align>bottom</wp:align>
                  </wp:positionV>
                  <wp:extent cx="10692000" cy="50400"/>
                  <wp:effectExtent l="0" t="0" r="1905" b="635"/>
                  <wp:wrapNone/>
                  <wp:docPr id="1292863043" name="Rectangle 12928630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92000" cy="50400"/>
                          </a:xfrm>
                          <a:prstGeom prst="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5EC14F9" w14:textId="77777777" w:rsidR="00301735" w:rsidRDefault="00301735" w:rsidP="0030173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BFC278" id="Rectangle 1292863043" o:spid="_x0000_s1026" alt="&quot;&quot;" style="position:absolute;margin-left:0;margin-top:0;width:841.9pt;height:3.95pt;z-index:251658253;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" fillcolor="#efa31f [3214]" stroked="f" strokeweight="2pt">
                  <v:textbox>
                    <w:txbxContent>
                      <w:p w14:paraId="05EC14F9" w14:textId="77777777" w:rsidR="00301735" w:rsidRDefault="00301735" w:rsidP="00301735">
                        <w:pPr>
                          <w:jc w:val="center"/>
                        </w:pPr>
                      </w:p>
                    </w:txbxContent>
                  </v:textbox>
                  <w10:wrap anchorx="page" anchory="page"/>
                </v:rect>
              </w:pict>
            </mc:Fallback>
          </mc:AlternateContent>
        </w:r>
        <w:r w:rsidRPr="004A37E1">
          <w:rPr>
            <w:sz w:val="16"/>
            <w:szCs w:val="16"/>
          </w:rPr>
          <w:t>Review of sector funding arrangements and service provider capability for Aboriginal and Torres Strait Islander</w:t>
        </w:r>
        <w:r>
          <w:rPr>
            <w:sz w:val="16"/>
            <w:szCs w:val="16"/>
          </w:rPr>
          <w:br/>
        </w:r>
        <w:r w:rsidRPr="004A37E1">
          <w:rPr>
            <w:sz w:val="16"/>
            <w:szCs w:val="16"/>
          </w:rPr>
          <w:t xml:space="preserve">mental health and suicide prevention services and the Integrated Team Care (ITC) </w:t>
        </w:r>
        <w:r w:rsidR="00EB514C">
          <w:rPr>
            <w:sz w:val="16"/>
            <w:szCs w:val="16"/>
          </w:rPr>
          <w:t>p</w:t>
        </w:r>
        <w:r w:rsidRPr="004A37E1">
          <w:rPr>
            <w:sz w:val="16"/>
            <w:szCs w:val="16"/>
          </w:rPr>
          <w:t>rogram</w:t>
        </w:r>
        <w:r>
          <w:rPr>
            <w:sz w:val="16"/>
            <w:szCs w:val="16"/>
          </w:rPr>
          <w:tab/>
          <w:t xml:space="preserve">Page </w:t>
        </w:r>
        <w:r w:rsidRPr="004A37E1">
          <w:rPr>
            <w:sz w:val="16"/>
            <w:szCs w:val="16"/>
          </w:rPr>
          <w:fldChar w:fldCharType="begin"/>
        </w:r>
        <w:r w:rsidRPr="004A37E1">
          <w:rPr>
            <w:sz w:val="16"/>
            <w:szCs w:val="16"/>
          </w:rPr>
          <w:instrText xml:space="preserve"> PAGE   \* MERGEFORMAT </w:instrText>
        </w:r>
        <w:r w:rsidRPr="004A37E1">
          <w:rPr>
            <w:sz w:val="16"/>
            <w:szCs w:val="16"/>
          </w:rPr>
          <w:fldChar w:fldCharType="separate"/>
        </w:r>
        <w:r>
          <w:rPr>
            <w:sz w:val="16"/>
            <w:szCs w:val="16"/>
          </w:rPr>
          <w:t>xiv</w:t>
        </w:r>
        <w:r w:rsidRPr="004A37E1">
          <w:rPr>
            <w:sz w:val="16"/>
            <w:szCs w:val="16"/>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6"/>
        <w:szCs w:val="16"/>
      </w:rPr>
      <w:id w:val="-1377240435"/>
      <w:docPartObj>
        <w:docPartGallery w:val="Page Numbers (Bottom of Page)"/>
        <w:docPartUnique/>
      </w:docPartObj>
    </w:sdtPr>
    <w:sdtEndPr/>
    <w:sdtContent>
      <w:p w14:paraId="0877E81D" w14:textId="77777777" w:rsidR="005343E6" w:rsidRPr="004A37E1" w:rsidRDefault="005343E6" w:rsidP="004D5828">
        <w:pPr>
          <w:pStyle w:val="Footer"/>
          <w:tabs>
            <w:tab w:val="clear" w:pos="9026"/>
            <w:tab w:val="right" w:pos="14459"/>
          </w:tabs>
          <w:rPr>
            <w:sz w:val="16"/>
            <w:szCs w:val="16"/>
          </w:rPr>
        </w:pPr>
        <w:r>
          <w:rPr>
            <w:noProof/>
          </w:rPr>
          <mc:AlternateContent>
            <mc:Choice Requires="wps">
              <w:drawing>
                <wp:anchor distT="0" distB="0" distL="114300" distR="114300" simplePos="0" relativeHeight="251658245" behindDoc="0" locked="0" layoutInCell="1" allowOverlap="1" wp14:anchorId="1AF33A86" wp14:editId="40929491">
                  <wp:simplePos x="0" y="0"/>
                  <wp:positionH relativeFrom="page">
                    <wp:align>left</wp:align>
                  </wp:positionH>
                  <wp:positionV relativeFrom="page">
                    <wp:align>bottom</wp:align>
                  </wp:positionV>
                  <wp:extent cx="10692000" cy="50400"/>
                  <wp:effectExtent l="0" t="0" r="0" b="6985"/>
                  <wp:wrapNone/>
                  <wp:docPr id="1281108266" name="Rectangle 12811082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92000" cy="50400"/>
                          </a:xfrm>
                          <a:prstGeom prst="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944D3C" id="Rectangle 1281108266" o:spid="_x0000_s1026" alt="&quot;&quot;" style="position:absolute;margin-left:0;margin-top:0;width:841.9pt;height:3.95pt;z-index:251658245;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" fillcolor="#efa31f [3214]" stroked="f" strokeweight="2pt">
                  <w10:wrap anchorx="page" anchory="page"/>
                </v:rect>
              </w:pict>
            </mc:Fallback>
          </mc:AlternateContent>
        </w:r>
        <w:r w:rsidRPr="004A37E1">
          <w:rPr>
            <w:sz w:val="16"/>
            <w:szCs w:val="16"/>
          </w:rPr>
          <w:t>Review of sector funding arrangements and service provider capability for Aboriginal and Torres Strait Islander</w:t>
        </w:r>
        <w:r>
          <w:rPr>
            <w:sz w:val="16"/>
            <w:szCs w:val="16"/>
          </w:rPr>
          <w:br/>
        </w:r>
        <w:r w:rsidRPr="004A37E1">
          <w:rPr>
            <w:sz w:val="16"/>
            <w:szCs w:val="16"/>
          </w:rPr>
          <w:t xml:space="preserve">mental health and suicide prevention services and the Integrated Team Care (ITC) </w:t>
        </w:r>
        <w:r w:rsidR="00274D1B">
          <w:rPr>
            <w:sz w:val="16"/>
            <w:szCs w:val="16"/>
          </w:rPr>
          <w:t>p</w:t>
        </w:r>
        <w:r w:rsidRPr="004A37E1">
          <w:rPr>
            <w:sz w:val="16"/>
            <w:szCs w:val="16"/>
          </w:rPr>
          <w:t>rogram</w:t>
        </w:r>
        <w:r>
          <w:rPr>
            <w:sz w:val="16"/>
            <w:szCs w:val="16"/>
          </w:rPr>
          <w:tab/>
          <w:t xml:space="preserve">Page </w:t>
        </w:r>
        <w:r w:rsidRPr="004A37E1">
          <w:rPr>
            <w:sz w:val="16"/>
            <w:szCs w:val="16"/>
          </w:rPr>
          <w:fldChar w:fldCharType="begin"/>
        </w:r>
        <w:r w:rsidRPr="004A37E1">
          <w:rPr>
            <w:sz w:val="16"/>
            <w:szCs w:val="16"/>
          </w:rPr>
          <w:instrText xml:space="preserve"> PAGE   \* MERGEFORMAT </w:instrText>
        </w:r>
        <w:r w:rsidRPr="004A37E1">
          <w:rPr>
            <w:sz w:val="16"/>
            <w:szCs w:val="16"/>
          </w:rPr>
          <w:fldChar w:fldCharType="separate"/>
        </w:r>
        <w:r>
          <w:rPr>
            <w:sz w:val="16"/>
            <w:szCs w:val="16"/>
          </w:rPr>
          <w:t>xiv</w:t>
        </w:r>
        <w:r w:rsidRPr="004A37E1">
          <w:rPr>
            <w:sz w:val="16"/>
            <w:szCs w:val="16"/>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6"/>
        <w:szCs w:val="16"/>
      </w:rPr>
      <w:id w:val="1963297053"/>
      <w:docPartObj>
        <w:docPartGallery w:val="Page Numbers (Bottom of Page)"/>
        <w:docPartUnique/>
      </w:docPartObj>
    </w:sdtPr>
    <w:sdtEndPr/>
    <w:sdtContent>
      <w:p w14:paraId="5F421DF8" w14:textId="77777777" w:rsidR="002E64C8" w:rsidRDefault="002E64C8" w:rsidP="004D5828">
        <w:pPr>
          <w:pStyle w:val="Footer"/>
          <w:tabs>
            <w:tab w:val="clear" w:pos="9026"/>
            <w:tab w:val="right" w:pos="14459"/>
          </w:tabs>
          <w:rPr>
            <w:sz w:val="16"/>
            <w:szCs w:val="16"/>
          </w:rPr>
        </w:pPr>
      </w:p>
      <w:p w14:paraId="0684AAE8" w14:textId="77777777" w:rsidR="00A77D8A" w:rsidRPr="004A37E1" w:rsidRDefault="00A77D8A" w:rsidP="004D5828">
        <w:pPr>
          <w:pStyle w:val="Footer"/>
          <w:tabs>
            <w:tab w:val="clear" w:pos="9026"/>
            <w:tab w:val="right" w:pos="14459"/>
          </w:tabs>
          <w:rPr>
            <w:sz w:val="16"/>
            <w:szCs w:val="16"/>
          </w:rPr>
        </w:pPr>
        <w:r>
          <w:rPr>
            <w:noProof/>
          </w:rPr>
          <mc:AlternateContent>
            <mc:Choice Requires="wps">
              <w:drawing>
                <wp:anchor distT="0" distB="0" distL="114300" distR="114300" simplePos="0" relativeHeight="251658255" behindDoc="0" locked="0" layoutInCell="1" allowOverlap="1" wp14:anchorId="2C093D86" wp14:editId="6E3C3A8C">
                  <wp:simplePos x="0" y="0"/>
                  <wp:positionH relativeFrom="page">
                    <wp:align>left</wp:align>
                  </wp:positionH>
                  <wp:positionV relativeFrom="page">
                    <wp:align>bottom</wp:align>
                  </wp:positionV>
                  <wp:extent cx="10692000" cy="50400"/>
                  <wp:effectExtent l="0" t="0" r="0" b="6985"/>
                  <wp:wrapNone/>
                  <wp:docPr id="15027139" name="Rectangle 150271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92000" cy="50400"/>
                          </a:xfrm>
                          <a:prstGeom prst="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48AEB8" id="Rectangle 15027139" o:spid="_x0000_s1026" alt="&quot;&quot;" style="position:absolute;margin-left:0;margin-top:0;width:841.9pt;height:3.95pt;z-index:251658255;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" fillcolor="#efa31f [3214]" stroked="f" strokeweight="2pt">
                  <w10:wrap anchorx="page" anchory="page"/>
                </v:rect>
              </w:pict>
            </mc:Fallback>
          </mc:AlternateContent>
        </w:r>
        <w:r w:rsidRPr="004A37E1">
          <w:rPr>
            <w:sz w:val="16"/>
            <w:szCs w:val="16"/>
          </w:rPr>
          <w:t>Review of sector funding arrangements and service provider capability for Aboriginal and/or Torres Strait Islander</w:t>
        </w:r>
        <w:r>
          <w:rPr>
            <w:sz w:val="16"/>
            <w:szCs w:val="16"/>
          </w:rPr>
          <w:br/>
        </w:r>
        <w:r w:rsidRPr="004A37E1">
          <w:rPr>
            <w:sz w:val="16"/>
            <w:szCs w:val="16"/>
          </w:rPr>
          <w:t>mental health and suicide prevention services and the Integrated Team Care (ITC) Program</w:t>
        </w:r>
        <w:r>
          <w:rPr>
            <w:sz w:val="16"/>
            <w:szCs w:val="16"/>
          </w:rPr>
          <w:tab/>
          <w:t xml:space="preserve">Page </w:t>
        </w:r>
        <w:r w:rsidRPr="004A37E1">
          <w:rPr>
            <w:sz w:val="16"/>
            <w:szCs w:val="16"/>
          </w:rPr>
          <w:fldChar w:fldCharType="begin"/>
        </w:r>
        <w:r w:rsidRPr="004A37E1">
          <w:rPr>
            <w:sz w:val="16"/>
            <w:szCs w:val="16"/>
          </w:rPr>
          <w:instrText xml:space="preserve"> PAGE   \* MERGEFORMAT </w:instrText>
        </w:r>
        <w:r w:rsidRPr="004A37E1">
          <w:rPr>
            <w:sz w:val="16"/>
            <w:szCs w:val="16"/>
          </w:rPr>
          <w:fldChar w:fldCharType="separate"/>
        </w:r>
        <w:r>
          <w:rPr>
            <w:sz w:val="16"/>
            <w:szCs w:val="16"/>
          </w:rPr>
          <w:t>xiv</w:t>
        </w:r>
        <w:r w:rsidRPr="004A37E1">
          <w:rPr>
            <w:sz w:val="16"/>
            <w:szCs w:val="16"/>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6"/>
        <w:szCs w:val="16"/>
      </w:rPr>
      <w:id w:val="-994638641"/>
      <w:docPartObj>
        <w:docPartGallery w:val="Page Numbers (Bottom of Page)"/>
        <w:docPartUnique/>
      </w:docPartObj>
    </w:sdtPr>
    <w:sdtEndPr/>
    <w:sdtContent>
      <w:p w14:paraId="1FF00A6B" w14:textId="77777777" w:rsidR="00A77D8A" w:rsidRPr="001415BA" w:rsidRDefault="00AB4BA6" w:rsidP="00AB4BA6">
        <w:pPr>
          <w:pStyle w:val="Footer"/>
          <w:tabs>
            <w:tab w:val="clear" w:pos="9026"/>
            <w:tab w:val="right" w:pos="14459"/>
          </w:tabs>
        </w:pPr>
        <w:r>
          <w:rPr>
            <w:noProof/>
          </w:rPr>
          <mc:AlternateContent>
            <mc:Choice Requires="wps">
              <w:drawing>
                <wp:anchor distT="0" distB="0" distL="114300" distR="114300" simplePos="0" relativeHeight="251658273" behindDoc="0" locked="0" layoutInCell="1" allowOverlap="1" wp14:anchorId="58BF4A6C" wp14:editId="48527830">
                  <wp:simplePos x="0" y="0"/>
                  <wp:positionH relativeFrom="page">
                    <wp:align>left</wp:align>
                  </wp:positionH>
                  <wp:positionV relativeFrom="page">
                    <wp:align>bottom</wp:align>
                  </wp:positionV>
                  <wp:extent cx="10692000" cy="50400"/>
                  <wp:effectExtent l="0" t="0" r="0" b="6985"/>
                  <wp:wrapNone/>
                  <wp:docPr id="1387118826" name="Rectangle 13871188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92000" cy="50400"/>
                          </a:xfrm>
                          <a:prstGeom prst="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C03CDA" id="Rectangle 1387118826" o:spid="_x0000_s1026" alt="&quot;&quot;" style="position:absolute;margin-left:0;margin-top:0;width:841.9pt;height:3.95pt;z-index:251658273;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" fillcolor="#efa31f [3214]" stroked="f" strokeweight="2pt">
                  <w10:wrap anchorx="page" anchory="page"/>
                </v:rect>
              </w:pict>
            </mc:Fallback>
          </mc:AlternateContent>
        </w:r>
        <w:r w:rsidRPr="004A37E1">
          <w:rPr>
            <w:sz w:val="16"/>
            <w:szCs w:val="16"/>
          </w:rPr>
          <w:t>Review of sector funding arrangements and service provider capability for Aboriginal and/or Torres Strait Islander</w:t>
        </w:r>
        <w:r>
          <w:rPr>
            <w:sz w:val="16"/>
            <w:szCs w:val="16"/>
          </w:rPr>
          <w:br/>
        </w:r>
        <w:r w:rsidRPr="004A37E1">
          <w:rPr>
            <w:sz w:val="16"/>
            <w:szCs w:val="16"/>
          </w:rPr>
          <w:t>mental health and suicide prevention services and the Integrated Team Care (ITC) Program</w:t>
        </w:r>
        <w:r>
          <w:rPr>
            <w:sz w:val="16"/>
            <w:szCs w:val="16"/>
          </w:rPr>
          <w:tab/>
          <w:t xml:space="preserve">Page </w:t>
        </w:r>
        <w:r w:rsidRPr="004A37E1">
          <w:rPr>
            <w:sz w:val="16"/>
            <w:szCs w:val="16"/>
          </w:rPr>
          <w:fldChar w:fldCharType="begin"/>
        </w:r>
        <w:r w:rsidRPr="004A37E1">
          <w:rPr>
            <w:sz w:val="16"/>
            <w:szCs w:val="16"/>
          </w:rPr>
          <w:instrText xml:space="preserve"> PAGE   \* MERGEFORMAT </w:instrText>
        </w:r>
        <w:r w:rsidRPr="004A37E1">
          <w:rPr>
            <w:sz w:val="16"/>
            <w:szCs w:val="16"/>
          </w:rPr>
          <w:fldChar w:fldCharType="separate"/>
        </w:r>
        <w:r>
          <w:rPr>
            <w:sz w:val="16"/>
            <w:szCs w:val="16"/>
          </w:rPr>
          <w:t>42</w:t>
        </w:r>
        <w:r w:rsidRPr="004A37E1">
          <w:rPr>
            <w:sz w:val="16"/>
            <w:szCs w:val="16"/>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6"/>
        <w:szCs w:val="16"/>
      </w:rPr>
      <w:id w:val="-742952959"/>
      <w:docPartObj>
        <w:docPartGallery w:val="Page Numbers (Bottom of Page)"/>
        <w:docPartUnique/>
      </w:docPartObj>
    </w:sdtPr>
    <w:sdtEndPr/>
    <w:sdtContent>
      <w:p w14:paraId="5F8F1DDD" w14:textId="77777777" w:rsidR="00A77D8A" w:rsidRPr="001415BA" w:rsidRDefault="00AB4BA6" w:rsidP="00AB4BA6">
        <w:pPr>
          <w:pStyle w:val="Footer"/>
          <w:tabs>
            <w:tab w:val="clear" w:pos="9026"/>
            <w:tab w:val="right" w:pos="14459"/>
          </w:tabs>
        </w:pPr>
        <w:r>
          <w:rPr>
            <w:noProof/>
          </w:rPr>
          <mc:AlternateContent>
            <mc:Choice Requires="wps">
              <w:drawing>
                <wp:anchor distT="0" distB="0" distL="114300" distR="114300" simplePos="0" relativeHeight="251658274" behindDoc="0" locked="0" layoutInCell="1" allowOverlap="1" wp14:anchorId="71196B97" wp14:editId="1E28CEAA">
                  <wp:simplePos x="0" y="0"/>
                  <wp:positionH relativeFrom="page">
                    <wp:align>left</wp:align>
                  </wp:positionH>
                  <wp:positionV relativeFrom="page">
                    <wp:align>bottom</wp:align>
                  </wp:positionV>
                  <wp:extent cx="10692000" cy="50400"/>
                  <wp:effectExtent l="0" t="0" r="0" b="6985"/>
                  <wp:wrapNone/>
                  <wp:docPr id="1129333664" name="Rectangle 11293336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92000" cy="50400"/>
                          </a:xfrm>
                          <a:prstGeom prst="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FD896F" id="Rectangle 1129333664" o:spid="_x0000_s1026" alt="&quot;&quot;" style="position:absolute;margin-left:0;margin-top:0;width:841.9pt;height:3.95pt;z-index:251658274;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" fillcolor="#efa31f [3214]" stroked="f" strokeweight="2pt">
                  <w10:wrap anchorx="page" anchory="page"/>
                </v:rect>
              </w:pict>
            </mc:Fallback>
          </mc:AlternateContent>
        </w:r>
        <w:r w:rsidRPr="004A37E1">
          <w:rPr>
            <w:sz w:val="16"/>
            <w:szCs w:val="16"/>
          </w:rPr>
          <w:t>Review of sector funding arrangements and service provider capability for Aboriginal and/or Torres Strait Islander</w:t>
        </w:r>
        <w:r>
          <w:rPr>
            <w:sz w:val="16"/>
            <w:szCs w:val="16"/>
          </w:rPr>
          <w:br/>
        </w:r>
        <w:r w:rsidRPr="004A37E1">
          <w:rPr>
            <w:sz w:val="16"/>
            <w:szCs w:val="16"/>
          </w:rPr>
          <w:t>mental health and suicide prevention services and the Integrated Team Care (ITC) Program</w:t>
        </w:r>
        <w:r>
          <w:rPr>
            <w:sz w:val="16"/>
            <w:szCs w:val="16"/>
          </w:rPr>
          <w:tab/>
          <w:t xml:space="preserve">Page </w:t>
        </w:r>
        <w:r w:rsidRPr="004A37E1">
          <w:rPr>
            <w:sz w:val="16"/>
            <w:szCs w:val="16"/>
          </w:rPr>
          <w:fldChar w:fldCharType="begin"/>
        </w:r>
        <w:r w:rsidRPr="004A37E1">
          <w:rPr>
            <w:sz w:val="16"/>
            <w:szCs w:val="16"/>
          </w:rPr>
          <w:instrText xml:space="preserve"> PAGE   \* MERGEFORMAT </w:instrText>
        </w:r>
        <w:r w:rsidRPr="004A37E1">
          <w:rPr>
            <w:sz w:val="16"/>
            <w:szCs w:val="16"/>
          </w:rPr>
          <w:fldChar w:fldCharType="separate"/>
        </w:r>
        <w:r>
          <w:rPr>
            <w:sz w:val="16"/>
            <w:szCs w:val="16"/>
          </w:rPr>
          <w:t>42</w:t>
        </w:r>
        <w:r w:rsidRPr="004A37E1">
          <w:rPr>
            <w:sz w:val="16"/>
            <w:szCs w:val="16"/>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204838" w14:textId="77777777" w:rsidR="00FE5275" w:rsidRDefault="00FE5275">
      <w:r>
        <w:separator/>
      </w:r>
    </w:p>
    <w:p w14:paraId="4C7F5579" w14:textId="77777777" w:rsidR="00FE5275" w:rsidRDefault="00FE5275"/>
  </w:footnote>
  <w:footnote w:type="continuationSeparator" w:id="0">
    <w:p w14:paraId="0D073D29" w14:textId="77777777" w:rsidR="00FE5275" w:rsidRDefault="00FE5275">
      <w:r>
        <w:continuationSeparator/>
      </w:r>
    </w:p>
    <w:p w14:paraId="69C2154D" w14:textId="77777777" w:rsidR="00FE5275" w:rsidRDefault="00FE5275"/>
  </w:footnote>
  <w:footnote w:type="continuationNotice" w:id="1">
    <w:p w14:paraId="1035CA62" w14:textId="77777777" w:rsidR="00FE5275" w:rsidRDefault="00FE5275"/>
    <w:p w14:paraId="7AA1D063" w14:textId="77777777" w:rsidR="00FE5275" w:rsidRDefault="00FE527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1EA251" w14:textId="77777777" w:rsidR="00A05139" w:rsidRDefault="00A05139">
    <w:pPr>
      <w:pBdr>
        <w:top w:val="nil"/>
        <w:left w:val="nil"/>
        <w:bottom w:val="nil"/>
        <w:right w:val="nil"/>
        <w:between w:val="nil"/>
      </w:pBdr>
      <w:tabs>
        <w:tab w:val="center" w:pos="4513"/>
        <w:tab w:val="right" w:pos="9026"/>
      </w:tabs>
      <w:rPr>
        <w:color w:val="000000"/>
        <w:sz w:val="16"/>
        <w:szCs w:val="16"/>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EB0853" w14:textId="77777777" w:rsidR="00A77D8A" w:rsidRPr="005343E6" w:rsidRDefault="008B740B" w:rsidP="008B740B">
    <w:pPr>
      <w:pStyle w:val="Header"/>
      <w:jc w:val="right"/>
    </w:pPr>
    <w:r>
      <w:rPr>
        <w:noProof/>
      </w:rPr>
      <mc:AlternateContent>
        <mc:Choice Requires="wps">
          <w:drawing>
            <wp:anchor distT="0" distB="0" distL="114300" distR="114300" simplePos="0" relativeHeight="251658278" behindDoc="0" locked="0" layoutInCell="1" allowOverlap="1" wp14:anchorId="3C6B0837" wp14:editId="1E8D227B">
              <wp:simplePos x="0" y="0"/>
              <wp:positionH relativeFrom="page">
                <wp:align>left</wp:align>
              </wp:positionH>
              <wp:positionV relativeFrom="page">
                <wp:align>top</wp:align>
              </wp:positionV>
              <wp:extent cx="10692000" cy="50400"/>
              <wp:effectExtent l="0" t="0" r="0" b="6985"/>
              <wp:wrapNone/>
              <wp:docPr id="1191649777" name="Rectangle 11916497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92000" cy="50400"/>
                      </a:xfrm>
                      <a:prstGeom prst="rect">
                        <a:avLst/>
                      </a:prstGeom>
                      <a:solidFill>
                        <a:srgbClr val="0097A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ECDCD2" id="Rectangle 1191649777" o:spid="_x0000_s1026" alt="&quot;&quot;" style="position:absolute;margin-left:0;margin-top:0;width:841.9pt;height:3.95pt;z-index:251658278;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" fillcolor="#0097a6" stroked="f" strokeweight="2pt">
              <w10:wrap anchorx="page" anchory="page"/>
            </v:rect>
          </w:pict>
        </mc:Fallback>
      </mc:AlternateContent>
    </w:r>
    <w:r w:rsidRPr="004A37E1">
      <w:t xml:space="preserve">FIRST NATIONS CO  </w:t>
    </w:r>
    <w:r w:rsidRPr="004A37E1">
      <w:rPr>
        <w:color w:val="EFA31F" w:themeColor="background2"/>
      </w:rPr>
      <w:t>|</w:t>
    </w:r>
    <w:r w:rsidRPr="004A37E1">
      <w:t xml:space="preserve">  NINTI</w:t>
    </w:r>
    <w:r>
      <w:t xml:space="preserve"> </w:t>
    </w:r>
    <w:r w:rsidRPr="004A37E1">
      <w:t>ONE</w:t>
    </w:r>
    <w:r>
      <w:t xml:space="preserve"> </w:t>
    </w:r>
    <w:r w:rsidRPr="004A37E1">
      <w:t>LIMITED</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F253A1" w14:textId="77777777" w:rsidR="00125246" w:rsidRPr="004A37E1" w:rsidRDefault="00125246" w:rsidP="009B52C5">
    <w:pPr>
      <w:pStyle w:val="Header"/>
      <w:jc w:val="right"/>
    </w:pPr>
    <w:r>
      <w:rPr>
        <w:noProof/>
      </w:rPr>
      <mc:AlternateContent>
        <mc:Choice Requires="wps">
          <w:drawing>
            <wp:anchor distT="0" distB="0" distL="114300" distR="114300" simplePos="0" relativeHeight="251658246" behindDoc="0" locked="0" layoutInCell="1" allowOverlap="1" wp14:anchorId="1B1B086B" wp14:editId="2465DF64">
              <wp:simplePos x="0" y="0"/>
              <wp:positionH relativeFrom="page">
                <wp:align>left</wp:align>
              </wp:positionH>
              <wp:positionV relativeFrom="page">
                <wp:align>top</wp:align>
              </wp:positionV>
              <wp:extent cx="10692000" cy="50400"/>
              <wp:effectExtent l="0" t="0" r="0" b="6985"/>
              <wp:wrapNone/>
              <wp:docPr id="1133164520" name="Rectangle 11331645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92000" cy="50400"/>
                      </a:xfrm>
                      <a:prstGeom prst="rect">
                        <a:avLst/>
                      </a:prstGeom>
                      <a:solidFill>
                        <a:srgbClr val="0097A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855D0F" id="Rectangle 1133164520" o:spid="_x0000_s1026" alt="&quot;&quot;" style="position:absolute;margin-left:0;margin-top:0;width:841.9pt;height:3.95pt;z-index:251658246;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" fillcolor="#0097a6" stroked="f" strokeweight="2pt">
              <w10:wrap anchorx="page" anchory="page"/>
            </v:rect>
          </w:pict>
        </mc:Fallback>
      </mc:AlternateContent>
    </w:r>
    <w:r w:rsidRPr="004A37E1">
      <w:t xml:space="preserve">FIRST NATIONS CO  </w:t>
    </w:r>
    <w:r w:rsidRPr="004A37E1">
      <w:rPr>
        <w:color w:val="EFA31F" w:themeColor="background2"/>
      </w:rPr>
      <w:t>|</w:t>
    </w:r>
    <w:r w:rsidRPr="004A37E1">
      <w:t xml:space="preserve">  NINTI</w:t>
    </w:r>
    <w:r w:rsidR="008C5723">
      <w:t xml:space="preserve"> </w:t>
    </w:r>
    <w:r w:rsidRPr="004A37E1">
      <w:t>ONE</w:t>
    </w:r>
    <w:r w:rsidR="008C5723">
      <w:t xml:space="preserve"> </w:t>
    </w:r>
    <w:r w:rsidRPr="004A37E1">
      <w:t>LIMITED</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D56762" w14:textId="77777777" w:rsidR="00F94F86" w:rsidRPr="004A37E1" w:rsidRDefault="00F94F86" w:rsidP="009B52C5">
    <w:pPr>
      <w:pStyle w:val="Header"/>
      <w:jc w:val="right"/>
    </w:pPr>
    <w:r>
      <w:rPr>
        <w:noProof/>
      </w:rPr>
      <mc:AlternateContent>
        <mc:Choice Requires="wps">
          <w:drawing>
            <wp:anchor distT="0" distB="0" distL="114300" distR="114300" simplePos="0" relativeHeight="251658250" behindDoc="0" locked="0" layoutInCell="1" allowOverlap="1" wp14:anchorId="79771DCF" wp14:editId="3F3FE78E">
              <wp:simplePos x="0" y="0"/>
              <wp:positionH relativeFrom="page">
                <wp:align>left</wp:align>
              </wp:positionH>
              <wp:positionV relativeFrom="page">
                <wp:align>top</wp:align>
              </wp:positionV>
              <wp:extent cx="10692000" cy="50400"/>
              <wp:effectExtent l="0" t="0" r="0" b="6985"/>
              <wp:wrapNone/>
              <wp:docPr id="650005572" name="Rectangle 6500055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92000" cy="50400"/>
                      </a:xfrm>
                      <a:prstGeom prst="rect">
                        <a:avLst/>
                      </a:prstGeom>
                      <a:solidFill>
                        <a:srgbClr val="0097A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18AD04" id="Rectangle 650005572" o:spid="_x0000_s1026" alt="&quot;&quot;" style="position:absolute;margin-left:0;margin-top:0;width:841.9pt;height:3.95pt;z-index:251658250;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" fillcolor="#0097a6" stroked="f" strokeweight="2pt">
              <w10:wrap anchorx="page" anchory="page"/>
            </v:rect>
          </w:pict>
        </mc:Fallback>
      </mc:AlternateContent>
    </w:r>
    <w:r w:rsidRPr="004A37E1">
      <w:t xml:space="preserve">FIRST NATIONS CO  </w:t>
    </w:r>
    <w:r w:rsidRPr="004A37E1">
      <w:rPr>
        <w:color w:val="EFA31F" w:themeColor="background2"/>
      </w:rPr>
      <w:t>|</w:t>
    </w:r>
    <w:r w:rsidRPr="004A37E1">
      <w:t xml:space="preserve">  NINTI</w:t>
    </w:r>
    <w:r w:rsidR="008C5723">
      <w:t xml:space="preserve"> </w:t>
    </w:r>
    <w:r w:rsidRPr="004A37E1">
      <w:t>ONE</w:t>
    </w:r>
    <w:r w:rsidR="008C5723">
      <w:t xml:space="preserve"> </w:t>
    </w:r>
    <w:r w:rsidRPr="004A37E1">
      <w:t>LIMITED</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1DAD2" w14:textId="77777777" w:rsidR="00A77D8A" w:rsidRPr="004A37E1" w:rsidRDefault="00A77D8A" w:rsidP="009B52C5">
    <w:pPr>
      <w:pStyle w:val="Header"/>
      <w:jc w:val="right"/>
    </w:pPr>
    <w:r>
      <w:rPr>
        <w:noProof/>
      </w:rPr>
      <mc:AlternateContent>
        <mc:Choice Requires="wps">
          <w:drawing>
            <wp:anchor distT="0" distB="0" distL="114300" distR="114300" simplePos="0" relativeHeight="251658256" behindDoc="0" locked="0" layoutInCell="1" allowOverlap="1" wp14:anchorId="455E89CC" wp14:editId="35321984">
              <wp:simplePos x="0" y="0"/>
              <wp:positionH relativeFrom="page">
                <wp:align>left</wp:align>
              </wp:positionH>
              <wp:positionV relativeFrom="page">
                <wp:align>top</wp:align>
              </wp:positionV>
              <wp:extent cx="10692000" cy="50400"/>
              <wp:effectExtent l="0" t="0" r="0" b="6985"/>
              <wp:wrapNone/>
              <wp:docPr id="120162815" name="Rectangle 1201628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92000" cy="50400"/>
                      </a:xfrm>
                      <a:prstGeom prst="rect">
                        <a:avLst/>
                      </a:prstGeom>
                      <a:solidFill>
                        <a:srgbClr val="0097A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0ABACF" id="Rectangle 120162815" o:spid="_x0000_s1026" alt="&quot;&quot;" style="position:absolute;margin-left:0;margin-top:0;width:841.9pt;height:3.95pt;z-index:251658256;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" fillcolor="#0097a6" stroked="f" strokeweight="2pt">
              <w10:wrap anchorx="page" anchory="page"/>
            </v:rect>
          </w:pict>
        </mc:Fallback>
      </mc:AlternateContent>
    </w:r>
    <w:r w:rsidRPr="004A37E1">
      <w:t xml:space="preserve">FIRST NATIONS CO  </w:t>
    </w:r>
    <w:r w:rsidRPr="004A37E1">
      <w:rPr>
        <w:color w:val="EFA31F" w:themeColor="background2"/>
      </w:rPr>
      <w:t>|</w:t>
    </w:r>
    <w:r w:rsidRPr="004A37E1">
      <w:t xml:space="preserve">  NINTI</w:t>
    </w:r>
    <w:r w:rsidR="008C5723">
      <w:t xml:space="preserve"> </w:t>
    </w:r>
    <w:r w:rsidRPr="004A37E1">
      <w:t>ONE</w:t>
    </w:r>
    <w:r w:rsidR="008C5723">
      <w:t xml:space="preserve"> </w:t>
    </w:r>
    <w:r w:rsidRPr="004A37E1">
      <w:t>LIMITED</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887A4A" w14:textId="77777777" w:rsidR="00A77D8A" w:rsidRPr="004A37E1" w:rsidRDefault="00A77D8A" w:rsidP="009B52C5">
    <w:pPr>
      <w:pStyle w:val="Header"/>
      <w:jc w:val="right"/>
    </w:pPr>
    <w:r>
      <w:rPr>
        <w:noProof/>
      </w:rPr>
      <mc:AlternateContent>
        <mc:Choice Requires="wps">
          <w:drawing>
            <wp:anchor distT="0" distB="0" distL="114300" distR="114300" simplePos="0" relativeHeight="251658258" behindDoc="0" locked="0" layoutInCell="1" allowOverlap="1" wp14:anchorId="2106074F" wp14:editId="5E09A243">
              <wp:simplePos x="0" y="0"/>
              <wp:positionH relativeFrom="page">
                <wp:align>left</wp:align>
              </wp:positionH>
              <wp:positionV relativeFrom="page">
                <wp:align>top</wp:align>
              </wp:positionV>
              <wp:extent cx="10692000" cy="50400"/>
              <wp:effectExtent l="0" t="0" r="0" b="6985"/>
              <wp:wrapNone/>
              <wp:docPr id="964397266" name="Rectangle 9643972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92000" cy="50400"/>
                      </a:xfrm>
                      <a:prstGeom prst="rect">
                        <a:avLst/>
                      </a:prstGeom>
                      <a:solidFill>
                        <a:srgbClr val="0097A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4EE3C8" id="Rectangle 964397266" o:spid="_x0000_s1026" alt="&quot;&quot;" style="position:absolute;margin-left:0;margin-top:0;width:841.9pt;height:3.95pt;z-index:251658258;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" fillcolor="#0097a6" stroked="f" strokeweight="2pt">
              <w10:wrap anchorx="page" anchory="page"/>
            </v:rect>
          </w:pict>
        </mc:Fallback>
      </mc:AlternateContent>
    </w:r>
    <w:r w:rsidRPr="004A37E1">
      <w:t xml:space="preserve">FIRST NATIONS CO  </w:t>
    </w:r>
    <w:r w:rsidRPr="004A37E1">
      <w:rPr>
        <w:color w:val="EFA31F" w:themeColor="background2"/>
      </w:rPr>
      <w:t>|</w:t>
    </w:r>
    <w:r w:rsidRPr="004A37E1">
      <w:t xml:space="preserve">  NINTI</w:t>
    </w:r>
    <w:r w:rsidR="000B479E">
      <w:t xml:space="preserve"> </w:t>
    </w:r>
    <w:r w:rsidRPr="004A37E1">
      <w:t>ONE</w:t>
    </w:r>
    <w:r w:rsidR="000B479E">
      <w:t xml:space="preserve"> </w:t>
    </w:r>
    <w:r w:rsidRPr="004A37E1">
      <w:t>LIMITED</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585144" w14:textId="77777777" w:rsidR="00A77D8A" w:rsidRPr="004A37E1" w:rsidRDefault="00A77D8A" w:rsidP="009B52C5">
    <w:pPr>
      <w:pStyle w:val="Header"/>
      <w:jc w:val="right"/>
    </w:pPr>
    <w:r>
      <w:rPr>
        <w:noProof/>
      </w:rPr>
      <mc:AlternateContent>
        <mc:Choice Requires="wps">
          <w:drawing>
            <wp:anchor distT="0" distB="0" distL="114300" distR="114300" simplePos="0" relativeHeight="251658260" behindDoc="0" locked="0" layoutInCell="1" allowOverlap="1" wp14:anchorId="371B058E" wp14:editId="28809B38">
              <wp:simplePos x="0" y="0"/>
              <wp:positionH relativeFrom="page">
                <wp:align>left</wp:align>
              </wp:positionH>
              <wp:positionV relativeFrom="page">
                <wp:align>top</wp:align>
              </wp:positionV>
              <wp:extent cx="10692000" cy="50400"/>
              <wp:effectExtent l="0" t="0" r="0" b="6985"/>
              <wp:wrapNone/>
              <wp:docPr id="242724007" name="Rectangle 2427240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92000" cy="50400"/>
                      </a:xfrm>
                      <a:prstGeom prst="rect">
                        <a:avLst/>
                      </a:prstGeom>
                      <a:solidFill>
                        <a:srgbClr val="0097A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1DBA13" id="Rectangle 242724007" o:spid="_x0000_s1026" alt="&quot;&quot;" style="position:absolute;margin-left:0;margin-top:0;width:841.9pt;height:3.95pt;z-index:251658260;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" fillcolor="#0097a6" stroked="f" strokeweight="2pt">
              <w10:wrap anchorx="page" anchory="page"/>
            </v:rect>
          </w:pict>
        </mc:Fallback>
      </mc:AlternateContent>
    </w:r>
    <w:r w:rsidRPr="004A37E1">
      <w:t xml:space="preserve">FIRST NATIONS CO  </w:t>
    </w:r>
    <w:r w:rsidRPr="004A37E1">
      <w:rPr>
        <w:color w:val="EFA31F" w:themeColor="background2"/>
      </w:rPr>
      <w:t>|</w:t>
    </w:r>
    <w:r w:rsidRPr="004A37E1">
      <w:t xml:space="preserve">  NINTI</w:t>
    </w:r>
    <w:r w:rsidR="008C5723">
      <w:t xml:space="preserve"> </w:t>
    </w:r>
    <w:r w:rsidRPr="004A37E1">
      <w:t>ONE</w:t>
    </w:r>
    <w:r w:rsidR="008C5723">
      <w:t xml:space="preserve"> </w:t>
    </w:r>
    <w:r w:rsidRPr="004A37E1">
      <w:t>LIMITED</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F7D45B" w14:textId="77777777" w:rsidR="00A77D8A" w:rsidRPr="004A37E1" w:rsidRDefault="00A77D8A" w:rsidP="009B52C5">
    <w:pPr>
      <w:pStyle w:val="Header"/>
      <w:jc w:val="right"/>
    </w:pPr>
    <w:r>
      <w:rPr>
        <w:noProof/>
      </w:rPr>
      <mc:AlternateContent>
        <mc:Choice Requires="wps">
          <w:drawing>
            <wp:anchor distT="0" distB="0" distL="114300" distR="114300" simplePos="0" relativeHeight="251658262" behindDoc="0" locked="0" layoutInCell="1" allowOverlap="1" wp14:anchorId="520CE315" wp14:editId="7D87B452">
              <wp:simplePos x="0" y="0"/>
              <wp:positionH relativeFrom="page">
                <wp:align>left</wp:align>
              </wp:positionH>
              <wp:positionV relativeFrom="page">
                <wp:align>top</wp:align>
              </wp:positionV>
              <wp:extent cx="10692000" cy="50400"/>
              <wp:effectExtent l="0" t="0" r="0" b="6985"/>
              <wp:wrapNone/>
              <wp:docPr id="1285125694" name="Rectangle 12851256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92000" cy="50400"/>
                      </a:xfrm>
                      <a:prstGeom prst="rect">
                        <a:avLst/>
                      </a:prstGeom>
                      <a:solidFill>
                        <a:srgbClr val="0097A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9EF2B6" id="Rectangle 1285125694" o:spid="_x0000_s1026" alt="&quot;&quot;" style="position:absolute;margin-left:0;margin-top:0;width:841.9pt;height:3.95pt;z-index:251658262;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" fillcolor="#0097a6" stroked="f" strokeweight="2pt">
              <w10:wrap anchorx="page" anchory="page"/>
            </v:rect>
          </w:pict>
        </mc:Fallback>
      </mc:AlternateContent>
    </w:r>
    <w:r w:rsidRPr="004A37E1">
      <w:t xml:space="preserve">FIRST NATIONS CO  </w:t>
    </w:r>
    <w:r w:rsidRPr="004A37E1">
      <w:rPr>
        <w:color w:val="EFA31F" w:themeColor="background2"/>
      </w:rPr>
      <w:t>|</w:t>
    </w:r>
    <w:r w:rsidRPr="004A37E1">
      <w:t xml:space="preserve">  NINTI</w:t>
    </w:r>
    <w:r w:rsidR="008C5723">
      <w:t xml:space="preserve"> </w:t>
    </w:r>
    <w:r w:rsidRPr="004A37E1">
      <w:t>ONE</w:t>
    </w:r>
    <w:r w:rsidR="008C5723">
      <w:t xml:space="preserve"> </w:t>
    </w:r>
    <w:r w:rsidRPr="004A37E1">
      <w:t>LIMITED</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F62B48" w14:textId="77777777" w:rsidR="00A77D8A" w:rsidRPr="004A37E1" w:rsidRDefault="00A77D8A" w:rsidP="009B52C5">
    <w:pPr>
      <w:pStyle w:val="Header"/>
      <w:jc w:val="right"/>
    </w:pPr>
    <w:r>
      <w:rPr>
        <w:noProof/>
      </w:rPr>
      <mc:AlternateContent>
        <mc:Choice Requires="wps">
          <w:drawing>
            <wp:anchor distT="0" distB="0" distL="114300" distR="114300" simplePos="0" relativeHeight="251658264" behindDoc="0" locked="0" layoutInCell="1" allowOverlap="1" wp14:anchorId="7BF71252" wp14:editId="3E8C27C0">
              <wp:simplePos x="0" y="0"/>
              <wp:positionH relativeFrom="page">
                <wp:align>left</wp:align>
              </wp:positionH>
              <wp:positionV relativeFrom="page">
                <wp:align>top</wp:align>
              </wp:positionV>
              <wp:extent cx="10692000" cy="50400"/>
              <wp:effectExtent l="0" t="0" r="0" b="6985"/>
              <wp:wrapNone/>
              <wp:docPr id="1326130467" name="Rectangle 13261304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92000" cy="50400"/>
                      </a:xfrm>
                      <a:prstGeom prst="rect">
                        <a:avLst/>
                      </a:prstGeom>
                      <a:solidFill>
                        <a:srgbClr val="0097A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ED3872" id="Rectangle 1326130467" o:spid="_x0000_s1026" alt="&quot;&quot;" style="position:absolute;margin-left:0;margin-top:0;width:841.9pt;height:3.95pt;z-index:251658264;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" fillcolor="#0097a6" stroked="f" strokeweight="2pt">
              <w10:wrap anchorx="page" anchory="page"/>
            </v:rect>
          </w:pict>
        </mc:Fallback>
      </mc:AlternateContent>
    </w:r>
    <w:r w:rsidRPr="004A37E1">
      <w:t xml:space="preserve">FIRST NATIONS CO  </w:t>
    </w:r>
    <w:r w:rsidRPr="004A37E1">
      <w:rPr>
        <w:color w:val="EFA31F" w:themeColor="background2"/>
      </w:rPr>
      <w:t>|</w:t>
    </w:r>
    <w:r w:rsidRPr="004A37E1">
      <w:t xml:space="preserve">  NINTI</w:t>
    </w:r>
    <w:r w:rsidR="008C5723">
      <w:t xml:space="preserve"> </w:t>
    </w:r>
    <w:r w:rsidRPr="004A37E1">
      <w:t>ONE</w:t>
    </w:r>
    <w:r w:rsidR="008C5723">
      <w:t xml:space="preserve"> </w:t>
    </w:r>
    <w:r w:rsidRPr="004A37E1">
      <w:t>LIMITED</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6E9AE5" w14:textId="77777777" w:rsidR="00A77D8A" w:rsidRPr="004A37E1" w:rsidRDefault="00A77D8A" w:rsidP="009B52C5">
    <w:pPr>
      <w:pStyle w:val="Header"/>
      <w:jc w:val="right"/>
    </w:pPr>
    <w:r>
      <w:rPr>
        <w:noProof/>
      </w:rPr>
      <mc:AlternateContent>
        <mc:Choice Requires="wps">
          <w:drawing>
            <wp:anchor distT="0" distB="0" distL="114300" distR="114300" simplePos="0" relativeHeight="251658266" behindDoc="0" locked="0" layoutInCell="1" allowOverlap="1" wp14:anchorId="4669D24B" wp14:editId="52870D7D">
              <wp:simplePos x="0" y="0"/>
              <wp:positionH relativeFrom="page">
                <wp:align>left</wp:align>
              </wp:positionH>
              <wp:positionV relativeFrom="page">
                <wp:align>top</wp:align>
              </wp:positionV>
              <wp:extent cx="10692000" cy="50400"/>
              <wp:effectExtent l="0" t="0" r="0" b="6985"/>
              <wp:wrapNone/>
              <wp:docPr id="1248547095" name="Rectangle 12485470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92000" cy="50400"/>
                      </a:xfrm>
                      <a:prstGeom prst="rect">
                        <a:avLst/>
                      </a:prstGeom>
                      <a:solidFill>
                        <a:srgbClr val="0097A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DEAB6A" id="Rectangle 1248547095" o:spid="_x0000_s1026" alt="&quot;&quot;" style="position:absolute;margin-left:0;margin-top:0;width:841.9pt;height:3.95pt;z-index:251658266;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" fillcolor="#0097a6" stroked="f" strokeweight="2pt">
              <w10:wrap anchorx="page" anchory="page"/>
            </v:rect>
          </w:pict>
        </mc:Fallback>
      </mc:AlternateContent>
    </w:r>
    <w:r w:rsidRPr="004A37E1">
      <w:t xml:space="preserve">FIRST NATIONS CO  </w:t>
    </w:r>
    <w:r w:rsidRPr="004A37E1">
      <w:rPr>
        <w:color w:val="EFA31F" w:themeColor="background2"/>
      </w:rPr>
      <w:t>|</w:t>
    </w:r>
    <w:r w:rsidRPr="004A37E1">
      <w:t xml:space="preserve">  NINTI</w:t>
    </w:r>
    <w:r w:rsidR="008C5723">
      <w:t xml:space="preserve"> </w:t>
    </w:r>
    <w:r w:rsidRPr="004A37E1">
      <w:t>ONE</w:t>
    </w:r>
    <w:r w:rsidR="008C5723">
      <w:t xml:space="preserve"> </w:t>
    </w:r>
    <w:r w:rsidRPr="004A37E1">
      <w:t>LIMITED</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980F2C" w14:textId="77777777" w:rsidR="00597B5E" w:rsidRPr="004A37E1" w:rsidRDefault="00597B5E" w:rsidP="009B52C5">
    <w:pPr>
      <w:pStyle w:val="Header"/>
      <w:jc w:val="right"/>
    </w:pPr>
    <w:r>
      <w:rPr>
        <w:noProof/>
      </w:rPr>
      <mc:AlternateContent>
        <mc:Choice Requires="wps">
          <w:drawing>
            <wp:anchor distT="0" distB="0" distL="114300" distR="114300" simplePos="0" relativeHeight="251658248" behindDoc="0" locked="0" layoutInCell="1" allowOverlap="1" wp14:anchorId="4D519B71" wp14:editId="57B4B16A">
              <wp:simplePos x="0" y="0"/>
              <wp:positionH relativeFrom="page">
                <wp:align>left</wp:align>
              </wp:positionH>
              <wp:positionV relativeFrom="page">
                <wp:align>top</wp:align>
              </wp:positionV>
              <wp:extent cx="10692000" cy="50400"/>
              <wp:effectExtent l="0" t="0" r="0" b="6985"/>
              <wp:wrapNone/>
              <wp:docPr id="2095573740" name="Rectangle 20955737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92000" cy="50400"/>
                      </a:xfrm>
                      <a:prstGeom prst="rect">
                        <a:avLst/>
                      </a:prstGeom>
                      <a:solidFill>
                        <a:srgbClr val="0097A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A8CB97" id="Rectangle 2095573740" o:spid="_x0000_s1026" alt="&quot;&quot;" style="position:absolute;margin-left:0;margin-top:0;width:841.9pt;height:3.95pt;z-index:251658248;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" fillcolor="#0097a6" stroked="f" strokeweight="2pt">
              <w10:wrap anchorx="page" anchory="page"/>
            </v:rect>
          </w:pict>
        </mc:Fallback>
      </mc:AlternateContent>
    </w:r>
    <w:r w:rsidRPr="004A37E1">
      <w:t xml:space="preserve">FIRST NATIONS CO  </w:t>
    </w:r>
    <w:r w:rsidRPr="004A37E1">
      <w:rPr>
        <w:color w:val="EFA31F" w:themeColor="background2"/>
      </w:rPr>
      <w:t>|</w:t>
    </w:r>
    <w:r w:rsidRPr="004A37E1">
      <w:t xml:space="preserve">  NINTI</w:t>
    </w:r>
    <w:r w:rsidR="008C5723">
      <w:t xml:space="preserve"> </w:t>
    </w:r>
    <w:r w:rsidRPr="004A37E1">
      <w:t>ONE</w:t>
    </w:r>
    <w:r w:rsidR="008C5723">
      <w:t xml:space="preserve"> </w:t>
    </w:r>
    <w:r w:rsidRPr="004A37E1">
      <w:t>LIMITED</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00EAA0" w14:textId="77777777" w:rsidR="009B52C5" w:rsidRPr="004A37E1" w:rsidRDefault="009B52C5" w:rsidP="009B52C5">
    <w:pPr>
      <w:pStyle w:val="Header"/>
      <w:jc w:val="right"/>
    </w:pPr>
    <w:r>
      <w:rPr>
        <w:noProof/>
      </w:rPr>
      <mc:AlternateContent>
        <mc:Choice Requires="wps">
          <w:drawing>
            <wp:anchor distT="0" distB="0" distL="114300" distR="114300" simplePos="0" relativeHeight="251658241" behindDoc="0" locked="0" layoutInCell="1" allowOverlap="1" wp14:anchorId="0C864F37" wp14:editId="41AABD0B">
              <wp:simplePos x="0" y="0"/>
              <wp:positionH relativeFrom="page">
                <wp:align>left</wp:align>
              </wp:positionH>
              <wp:positionV relativeFrom="page">
                <wp:align>top</wp:align>
              </wp:positionV>
              <wp:extent cx="10692000" cy="50400"/>
              <wp:effectExtent l="0" t="0" r="0" b="6985"/>
              <wp:wrapNone/>
              <wp:docPr id="1378104890" name="Rectangle 13781048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92000" cy="50400"/>
                      </a:xfrm>
                      <a:prstGeom prst="rect">
                        <a:avLst/>
                      </a:prstGeom>
                      <a:solidFill>
                        <a:srgbClr val="0097A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6850A5" id="Rectangle 1378104890" o:spid="_x0000_s1026" alt="&quot;&quot;" style="position:absolute;margin-left:0;margin-top:0;width:841.9pt;height:3.95pt;z-index:251658241;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" fillcolor="#0097a6" stroked="f" strokeweight="2pt">
              <w10:wrap anchorx="page" anchory="page"/>
            </v:rect>
          </w:pict>
        </mc:Fallback>
      </mc:AlternateContent>
    </w:r>
    <w:r w:rsidRPr="004A37E1">
      <w:t xml:space="preserve">FIRST NATIONS CO  </w:t>
    </w:r>
    <w:r w:rsidRPr="004A37E1">
      <w:rPr>
        <w:color w:val="EFA31F" w:themeColor="background2"/>
      </w:rPr>
      <w:t>|</w:t>
    </w:r>
    <w:r w:rsidRPr="004A37E1">
      <w:t xml:space="preserve">  NINTI</w:t>
    </w:r>
    <w:r w:rsidR="00CA387E">
      <w:t xml:space="preserve"> </w:t>
    </w:r>
    <w:r w:rsidRPr="004A37E1">
      <w:t>ONE</w:t>
    </w:r>
    <w:r w:rsidR="00CA387E">
      <w:t xml:space="preserve"> </w:t>
    </w:r>
    <w:r w:rsidRPr="004A37E1">
      <w:t>LIMITED</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7DA517" w14:textId="77777777" w:rsidR="008B740B" w:rsidRPr="004A37E1" w:rsidRDefault="008B740B" w:rsidP="008B740B">
    <w:pPr>
      <w:pStyle w:val="Header"/>
      <w:jc w:val="right"/>
    </w:pPr>
    <w:r>
      <w:rPr>
        <w:noProof/>
      </w:rPr>
      <mc:AlternateContent>
        <mc:Choice Requires="wps">
          <w:drawing>
            <wp:anchor distT="0" distB="0" distL="114300" distR="114300" simplePos="0" relativeHeight="251658279" behindDoc="0" locked="0" layoutInCell="1" allowOverlap="1" wp14:anchorId="6F42D3AF" wp14:editId="0D00F5DC">
              <wp:simplePos x="0" y="0"/>
              <wp:positionH relativeFrom="page">
                <wp:align>left</wp:align>
              </wp:positionH>
              <wp:positionV relativeFrom="page">
                <wp:align>top</wp:align>
              </wp:positionV>
              <wp:extent cx="10692000" cy="50400"/>
              <wp:effectExtent l="0" t="0" r="0" b="6985"/>
              <wp:wrapNone/>
              <wp:docPr id="1523802304" name="Rectangle 15238023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92000" cy="50400"/>
                      </a:xfrm>
                      <a:prstGeom prst="rect">
                        <a:avLst/>
                      </a:prstGeom>
                      <a:solidFill>
                        <a:srgbClr val="0097A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BF3FA8" id="Rectangle 1523802304" o:spid="_x0000_s1026" alt="&quot;&quot;" style="position:absolute;margin-left:0;margin-top:0;width:841.9pt;height:3.95pt;z-index:251658279;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" fillcolor="#0097a6" stroked="f" strokeweight="2pt">
              <w10:wrap anchorx="page" anchory="page"/>
            </v:rect>
          </w:pict>
        </mc:Fallback>
      </mc:AlternateContent>
    </w:r>
    <w:r w:rsidRPr="004A37E1">
      <w:t xml:space="preserve">FIRST NATIONS CO  </w:t>
    </w:r>
    <w:r w:rsidRPr="004A37E1">
      <w:rPr>
        <w:color w:val="EFA31F" w:themeColor="background2"/>
      </w:rPr>
      <w:t>|</w:t>
    </w:r>
    <w:r w:rsidRPr="004A37E1">
      <w:t xml:space="preserve">  NINTI</w:t>
    </w:r>
    <w:r>
      <w:t xml:space="preserve"> </w:t>
    </w:r>
    <w:r w:rsidRPr="004A37E1">
      <w:t>ONE</w:t>
    </w:r>
    <w:r>
      <w:t xml:space="preserve"> </w:t>
    </w:r>
    <w:r w:rsidRPr="004A37E1">
      <w:t>LIMITED</w:t>
    </w:r>
  </w:p>
  <w:p w14:paraId="29330BE5" w14:textId="77777777" w:rsidR="00A77D8A" w:rsidRPr="008B740B" w:rsidRDefault="00A77D8A" w:rsidP="008B740B">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0FCE28" w14:textId="77777777" w:rsidR="00A77D8A" w:rsidRPr="004A37E1" w:rsidRDefault="00A77D8A" w:rsidP="009B52C5">
    <w:pPr>
      <w:pStyle w:val="Header"/>
      <w:jc w:val="right"/>
    </w:pPr>
    <w:r>
      <w:rPr>
        <w:noProof/>
      </w:rPr>
      <mc:AlternateContent>
        <mc:Choice Requires="wps">
          <w:drawing>
            <wp:anchor distT="0" distB="0" distL="114300" distR="114300" simplePos="0" relativeHeight="251658269" behindDoc="0" locked="0" layoutInCell="1" allowOverlap="1" wp14:anchorId="677D80B1" wp14:editId="765506A1">
              <wp:simplePos x="0" y="0"/>
              <wp:positionH relativeFrom="page">
                <wp:align>left</wp:align>
              </wp:positionH>
              <wp:positionV relativeFrom="page">
                <wp:align>top</wp:align>
              </wp:positionV>
              <wp:extent cx="10692000" cy="50400"/>
              <wp:effectExtent l="0" t="0" r="0" b="6985"/>
              <wp:wrapNone/>
              <wp:docPr id="2097739748" name="Rectangle 20977397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92000" cy="50400"/>
                      </a:xfrm>
                      <a:prstGeom prst="rect">
                        <a:avLst/>
                      </a:prstGeom>
                      <a:solidFill>
                        <a:srgbClr val="0097A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466E1B" id="Rectangle 2097739748" o:spid="_x0000_s1026" alt="&quot;&quot;" style="position:absolute;margin-left:0;margin-top:0;width:841.9pt;height:3.95pt;z-index:251658269;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" fillcolor="#0097a6" stroked="f" strokeweight="2pt">
              <w10:wrap anchorx="page" anchory="page"/>
            </v:rect>
          </w:pict>
        </mc:Fallback>
      </mc:AlternateContent>
    </w:r>
    <w:r w:rsidRPr="004A37E1">
      <w:t xml:space="preserve">FIRST NATIONS CO  </w:t>
    </w:r>
    <w:r w:rsidRPr="004A37E1">
      <w:rPr>
        <w:color w:val="EFA31F" w:themeColor="background2"/>
      </w:rPr>
      <w:t>|</w:t>
    </w:r>
    <w:r w:rsidRPr="004A37E1">
      <w:t xml:space="preserve">  NINTI</w:t>
    </w:r>
    <w:r w:rsidR="008C5723">
      <w:t xml:space="preserve"> </w:t>
    </w:r>
    <w:r w:rsidRPr="004A37E1">
      <w:t>ONE</w:t>
    </w:r>
    <w:r w:rsidR="008C5723">
      <w:t xml:space="preserve"> </w:t>
    </w:r>
    <w:r w:rsidRPr="004A37E1">
      <w:t>LIMITED</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643951" w14:textId="77777777" w:rsidR="00DB2553" w:rsidRPr="004A37E1" w:rsidRDefault="00DB2553" w:rsidP="00DB2553">
    <w:pPr>
      <w:pStyle w:val="Header"/>
      <w:jc w:val="right"/>
    </w:pPr>
    <w:r>
      <w:rPr>
        <w:noProof/>
      </w:rPr>
      <mc:AlternateContent>
        <mc:Choice Requires="wps">
          <w:drawing>
            <wp:anchor distT="0" distB="0" distL="114300" distR="114300" simplePos="0" relativeHeight="251658280" behindDoc="0" locked="0" layoutInCell="1" allowOverlap="1" wp14:anchorId="13F8A899" wp14:editId="23BEA09A">
              <wp:simplePos x="0" y="0"/>
              <wp:positionH relativeFrom="page">
                <wp:align>left</wp:align>
              </wp:positionH>
              <wp:positionV relativeFrom="page">
                <wp:align>top</wp:align>
              </wp:positionV>
              <wp:extent cx="10692000" cy="50400"/>
              <wp:effectExtent l="0" t="0" r="0" b="6985"/>
              <wp:wrapNone/>
              <wp:docPr id="836939503" name="Rectangle 8369395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92000" cy="50400"/>
                      </a:xfrm>
                      <a:prstGeom prst="rect">
                        <a:avLst/>
                      </a:prstGeom>
                      <a:solidFill>
                        <a:srgbClr val="0097A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5C73CA" id="Rectangle 836939503" o:spid="_x0000_s1026" alt="&quot;&quot;" style="position:absolute;margin-left:0;margin-top:0;width:841.9pt;height:3.95pt;z-index:251658280;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" fillcolor="#0097a6" stroked="f" strokeweight="2pt">
              <w10:wrap anchorx="page" anchory="page"/>
            </v:rect>
          </w:pict>
        </mc:Fallback>
      </mc:AlternateContent>
    </w:r>
    <w:r w:rsidRPr="004A37E1">
      <w:t xml:space="preserve">FIRST NATIONS CO  </w:t>
    </w:r>
    <w:r w:rsidRPr="004A37E1">
      <w:rPr>
        <w:color w:val="EFA31F" w:themeColor="background2"/>
      </w:rPr>
      <w:t>|</w:t>
    </w:r>
    <w:r w:rsidRPr="004A37E1">
      <w:t xml:space="preserve">  NINTI</w:t>
    </w:r>
    <w:r>
      <w:t xml:space="preserve"> </w:t>
    </w:r>
    <w:r w:rsidRPr="004A37E1">
      <w:t>ONE</w:t>
    </w:r>
    <w:r>
      <w:t xml:space="preserve"> </w:t>
    </w:r>
    <w:r w:rsidRPr="004A37E1">
      <w:t>LIMITED</w:t>
    </w:r>
  </w:p>
  <w:p w14:paraId="39F7B4AA" w14:textId="77777777" w:rsidR="00A77D8A" w:rsidRPr="00DB2553" w:rsidRDefault="00A77D8A" w:rsidP="00DB2553">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E3FFE5" w14:textId="77777777" w:rsidR="00E93B27" w:rsidRPr="00B21B25" w:rsidRDefault="00E93B27" w:rsidP="00B21B25">
    <w:pPr>
      <w:pStyle w:val="Header"/>
      <w:spacing w:line="24" w:lineRule="auto"/>
      <w:rPr>
        <w:sz w:val="2"/>
        <w:szCs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A12449" w14:textId="77777777" w:rsidR="00A05139" w:rsidRDefault="00A05139">
    <w:pPr>
      <w:pBdr>
        <w:top w:val="nil"/>
        <w:left w:val="nil"/>
        <w:bottom w:val="nil"/>
        <w:right w:val="nil"/>
        <w:between w:val="nil"/>
      </w:pBdr>
      <w:tabs>
        <w:tab w:val="center" w:pos="4513"/>
        <w:tab w:val="right" w:pos="9026"/>
      </w:tabs>
      <w:ind w:left="-360" w:hanging="490"/>
      <w:rPr>
        <w:color w:val="000000"/>
        <w:sz w:val="16"/>
        <w:szCs w:val="16"/>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19DB4B" w14:textId="77777777" w:rsidR="00A05139" w:rsidRDefault="00856839">
    <w:pPr>
      <w:pBdr>
        <w:top w:val="nil"/>
        <w:left w:val="nil"/>
        <w:bottom w:val="nil"/>
        <w:right w:val="nil"/>
        <w:between w:val="nil"/>
      </w:pBdr>
      <w:tabs>
        <w:tab w:val="center" w:pos="4513"/>
        <w:tab w:val="right" w:pos="9026"/>
      </w:tabs>
      <w:ind w:left="-360" w:hanging="490"/>
      <w:rPr>
        <w:color w:val="000000"/>
        <w:sz w:val="16"/>
        <w:szCs w:val="16"/>
      </w:rPr>
    </w:pPr>
    <w:r>
      <w:rPr>
        <w:noProof/>
        <w:color w:val="000000"/>
        <w:sz w:val="16"/>
        <w:szCs w:val="16"/>
      </w:rPr>
      <w:drawing>
        <wp:anchor distT="0" distB="0" distL="0" distR="0" simplePos="0" relativeHeight="251658240" behindDoc="1" locked="0" layoutInCell="1" hidden="0" allowOverlap="1" wp14:anchorId="3D5A644A" wp14:editId="25E9F859">
          <wp:simplePos x="0" y="0"/>
          <wp:positionH relativeFrom="page">
            <wp:posOffset>-7937</wp:posOffset>
          </wp:positionH>
          <wp:positionV relativeFrom="page">
            <wp:posOffset>1905</wp:posOffset>
          </wp:positionV>
          <wp:extent cx="7564494" cy="10691999"/>
          <wp:effectExtent l="0" t="0" r="0" b="0"/>
          <wp:wrapNone/>
          <wp:docPr id="416004499" name="Picture 4160044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16004499" name="Picture 416004499">
                    <a:extLst>
                      <a:ext uri="{C183D7F6-B498-43B3-948B-1728B52AA6E4}">
                        <adec:decorative xmlns:adec="http://schemas.microsoft.com/office/drawing/2017/decorative" val="1"/>
                      </a:ext>
                    </a:extLst>
                  </pic:cNvPr>
                  <pic:cNvPicPr preferRelativeResize="0"/>
                </pic:nvPicPr>
                <pic:blipFill>
                  <a:blip r:embed="rId1" cstate="screen">
                    <a:extLst>
                      <a:ext uri="{28A0092B-C50C-407E-A947-70E740481C1C}">
                        <a14:useLocalDpi xmlns:a14="http://schemas.microsoft.com/office/drawing/2010/main"/>
                      </a:ext>
                    </a:extLst>
                  </a:blip>
                  <a:srcRect/>
                  <a:stretch>
                    <a:fillRect/>
                  </a:stretch>
                </pic:blipFill>
                <pic:spPr>
                  <a:xfrm>
                    <a:off x="0" y="0"/>
                    <a:ext cx="7564494" cy="10691999"/>
                  </a:xfrm>
                  <a:prstGeom prst="rect">
                    <a:avLst/>
                  </a:prstGeom>
                  <a:ln/>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29C74D" w14:textId="77777777" w:rsidR="00A77D8A" w:rsidRPr="004A37E1" w:rsidRDefault="00A77D8A" w:rsidP="009B52C5">
    <w:pPr>
      <w:pStyle w:val="Header"/>
      <w:jc w:val="right"/>
    </w:pPr>
    <w:r>
      <w:rPr>
        <w:noProof/>
      </w:rPr>
      <mc:AlternateContent>
        <mc:Choice Requires="wps">
          <w:drawing>
            <wp:anchor distT="0" distB="0" distL="114300" distR="114300" simplePos="0" relativeHeight="251658252" behindDoc="0" locked="0" layoutInCell="1" allowOverlap="1" wp14:anchorId="72D9FA7F" wp14:editId="424692C6">
              <wp:simplePos x="0" y="0"/>
              <wp:positionH relativeFrom="page">
                <wp:align>left</wp:align>
              </wp:positionH>
              <wp:positionV relativeFrom="page">
                <wp:align>top</wp:align>
              </wp:positionV>
              <wp:extent cx="10692000" cy="50400"/>
              <wp:effectExtent l="0" t="0" r="0" b="6985"/>
              <wp:wrapNone/>
              <wp:docPr id="1094925084" name="Rectangle 1094925084" descr="Teal coloured line"/>
              <wp:cNvGraphicFramePr/>
              <a:graphic xmlns:a="http://schemas.openxmlformats.org/drawingml/2006/main">
                <a:graphicData uri="http://schemas.microsoft.com/office/word/2010/wordprocessingShape">
                  <wps:wsp>
                    <wps:cNvSpPr/>
                    <wps:spPr>
                      <a:xfrm>
                        <a:off x="0" y="0"/>
                        <a:ext cx="10692000" cy="50400"/>
                      </a:xfrm>
                      <a:prstGeom prst="rect">
                        <a:avLst/>
                      </a:prstGeom>
                      <a:solidFill>
                        <a:srgbClr val="0097A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87154C" id="Rectangle 1094925084" o:spid="_x0000_s1026" alt="Teal coloured line" style="position:absolute;margin-left:0;margin-top:0;width:841.9pt;height:3.95pt;z-index:251658252;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" fillcolor="#0097a6" stroked="f" strokeweight="2pt">
              <w10:wrap anchorx="page" anchory="page"/>
            </v:rect>
          </w:pict>
        </mc:Fallback>
      </mc:AlternateContent>
    </w:r>
    <w:r w:rsidRPr="004A37E1">
      <w:t xml:space="preserve">FIRST NATIONS CO  </w:t>
    </w:r>
    <w:r w:rsidRPr="004A37E1">
      <w:rPr>
        <w:color w:val="EFA31F" w:themeColor="background2"/>
      </w:rPr>
      <w:t>|</w:t>
    </w:r>
    <w:r w:rsidRPr="004A37E1">
      <w:t xml:space="preserve">  NINTI</w:t>
    </w:r>
    <w:r>
      <w:t xml:space="preserve"> </w:t>
    </w:r>
    <w:r w:rsidRPr="004A37E1">
      <w:t>ONE</w:t>
    </w:r>
    <w:r>
      <w:t xml:space="preserve"> </w:t>
    </w:r>
    <w:r w:rsidRPr="004A37E1">
      <w:t>LIMITED</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3F4FD8" w14:textId="77777777" w:rsidR="005343E6" w:rsidRPr="004A37E1" w:rsidRDefault="005343E6" w:rsidP="009B52C5">
    <w:pPr>
      <w:pStyle w:val="Header"/>
      <w:jc w:val="right"/>
    </w:pPr>
    <w:r>
      <w:rPr>
        <w:noProof/>
      </w:rPr>
      <mc:AlternateContent>
        <mc:Choice Requires="wps">
          <w:drawing>
            <wp:anchor distT="0" distB="0" distL="114300" distR="114300" simplePos="0" relativeHeight="251658244" behindDoc="0" locked="0" layoutInCell="1" allowOverlap="1" wp14:anchorId="569C5336" wp14:editId="4535EB59">
              <wp:simplePos x="0" y="0"/>
              <wp:positionH relativeFrom="page">
                <wp:align>left</wp:align>
              </wp:positionH>
              <wp:positionV relativeFrom="page">
                <wp:align>top</wp:align>
              </wp:positionV>
              <wp:extent cx="10692000" cy="50400"/>
              <wp:effectExtent l="0" t="0" r="0" b="6985"/>
              <wp:wrapNone/>
              <wp:docPr id="784570586" name="Rectangle 7845705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92000" cy="50400"/>
                      </a:xfrm>
                      <a:prstGeom prst="rect">
                        <a:avLst/>
                      </a:prstGeom>
                      <a:solidFill>
                        <a:srgbClr val="0097A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A58470" id="Rectangle 784570586" o:spid="_x0000_s1026" alt="&quot;&quot;" style="position:absolute;margin-left:0;margin-top:0;width:841.9pt;height:3.95pt;z-index:251658244;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" fillcolor="#0097a6" stroked="f" strokeweight="2pt">
              <w10:wrap anchorx="page" anchory="page"/>
            </v:rect>
          </w:pict>
        </mc:Fallback>
      </mc:AlternateContent>
    </w:r>
    <w:r w:rsidRPr="004A37E1">
      <w:t xml:space="preserve">FIRST NATIONS CO  </w:t>
    </w:r>
    <w:r w:rsidRPr="004A37E1">
      <w:rPr>
        <w:color w:val="EFA31F" w:themeColor="background2"/>
      </w:rPr>
      <w:t>|</w:t>
    </w:r>
    <w:r w:rsidRPr="004A37E1">
      <w:t xml:space="preserve">  NINTI</w:t>
    </w:r>
    <w:r w:rsidR="008C5723">
      <w:t xml:space="preserve"> </w:t>
    </w:r>
    <w:r w:rsidRPr="004A37E1">
      <w:t>ONE</w:t>
    </w:r>
    <w:r w:rsidR="008C5723">
      <w:t xml:space="preserve"> </w:t>
    </w:r>
    <w:r w:rsidRPr="004A37E1">
      <w:t>LIMITED</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CF63AD" w14:textId="77777777" w:rsidR="00A77D8A" w:rsidRPr="004A37E1" w:rsidRDefault="00A77D8A" w:rsidP="009B52C5">
    <w:pPr>
      <w:pStyle w:val="Header"/>
      <w:jc w:val="right"/>
    </w:pPr>
    <w:r>
      <w:rPr>
        <w:noProof/>
      </w:rPr>
      <mc:AlternateContent>
        <mc:Choice Requires="wps">
          <w:drawing>
            <wp:anchor distT="0" distB="0" distL="114300" distR="114300" simplePos="0" relativeHeight="251658254" behindDoc="0" locked="0" layoutInCell="1" allowOverlap="1" wp14:anchorId="45FD85A5" wp14:editId="525A5358">
              <wp:simplePos x="0" y="0"/>
              <wp:positionH relativeFrom="page">
                <wp:align>left</wp:align>
              </wp:positionH>
              <wp:positionV relativeFrom="page">
                <wp:align>top</wp:align>
              </wp:positionV>
              <wp:extent cx="10692000" cy="50400"/>
              <wp:effectExtent l="0" t="0" r="0" b="6985"/>
              <wp:wrapNone/>
              <wp:docPr id="1422853383" name="Rectangle 14228533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92000" cy="50400"/>
                      </a:xfrm>
                      <a:prstGeom prst="rect">
                        <a:avLst/>
                      </a:prstGeom>
                      <a:solidFill>
                        <a:srgbClr val="0097A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D7484E" id="Rectangle 1422853383" o:spid="_x0000_s1026" alt="&quot;&quot;" style="position:absolute;margin-left:0;margin-top:0;width:841.9pt;height:3.95pt;z-index:251658254;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" fillcolor="#0097a6" stroked="f" strokeweight="2pt">
              <w10:wrap anchorx="page" anchory="page"/>
            </v:rect>
          </w:pict>
        </mc:Fallback>
      </mc:AlternateContent>
    </w:r>
    <w:r w:rsidRPr="004A37E1">
      <w:t xml:space="preserve">FIRST NATIONS CO  </w:t>
    </w:r>
    <w:r w:rsidRPr="004A37E1">
      <w:rPr>
        <w:color w:val="EFA31F" w:themeColor="background2"/>
      </w:rPr>
      <w:t>|</w:t>
    </w:r>
    <w:r w:rsidRPr="004A37E1">
      <w:t xml:space="preserve">  NINTI</w:t>
    </w:r>
    <w:r w:rsidR="008C5723">
      <w:t xml:space="preserve"> </w:t>
    </w:r>
    <w:r w:rsidRPr="004A37E1">
      <w:t>ONE</w:t>
    </w:r>
    <w:r w:rsidR="008C5723">
      <w:t xml:space="preserve"> </w:t>
    </w:r>
    <w:r w:rsidRPr="004A37E1">
      <w:t>LIMITED</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4A1BCA" w14:textId="77777777" w:rsidR="006142C0" w:rsidRPr="005343E6" w:rsidRDefault="008B740B" w:rsidP="00F4554E">
    <w:pPr>
      <w:pStyle w:val="Header"/>
      <w:jc w:val="right"/>
    </w:pPr>
    <w:r>
      <w:t>F</w:t>
    </w:r>
    <w:r w:rsidR="00F4554E" w:rsidRPr="004A37E1">
      <w:t xml:space="preserve">IRST NATIONS CO  </w:t>
    </w:r>
    <w:r w:rsidR="00F4554E" w:rsidRPr="004A37E1">
      <w:rPr>
        <w:color w:val="EFA31F" w:themeColor="background2"/>
      </w:rPr>
      <w:t>|</w:t>
    </w:r>
    <w:r w:rsidR="00F4554E" w:rsidRPr="004A37E1">
      <w:t xml:space="preserve">  NINTI</w:t>
    </w:r>
    <w:r w:rsidR="00F4554E">
      <w:t xml:space="preserve"> </w:t>
    </w:r>
    <w:r w:rsidR="00F4554E" w:rsidRPr="004A37E1">
      <w:t>ONE</w:t>
    </w:r>
    <w:r w:rsidR="00F4554E">
      <w:t xml:space="preserve"> </w:t>
    </w:r>
    <w:r w:rsidR="00F4554E" w:rsidRPr="004A37E1">
      <w:t>LIMITED</w:t>
    </w:r>
    <w:r w:rsidR="00F4554E">
      <w:rPr>
        <w:noProof/>
      </w:rPr>
      <mc:AlternateContent>
        <mc:Choice Requires="wps">
          <w:drawing>
            <wp:anchor distT="0" distB="0" distL="114300" distR="114300" simplePos="0" relativeHeight="251658276" behindDoc="0" locked="0" layoutInCell="1" allowOverlap="1" wp14:anchorId="6F2CC4BF" wp14:editId="179EF610">
              <wp:simplePos x="0" y="0"/>
              <wp:positionH relativeFrom="page">
                <wp:posOffset>5715</wp:posOffset>
              </wp:positionH>
              <wp:positionV relativeFrom="page">
                <wp:posOffset>14288</wp:posOffset>
              </wp:positionV>
              <wp:extent cx="10692000" cy="50400"/>
              <wp:effectExtent l="0" t="0" r="0" b="6985"/>
              <wp:wrapNone/>
              <wp:docPr id="1287099336" name="Rectangle 12870993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92000" cy="50400"/>
                      </a:xfrm>
                      <a:prstGeom prst="rect">
                        <a:avLst/>
                      </a:prstGeom>
                      <a:solidFill>
                        <a:srgbClr val="0097A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76B3C6" id="Rectangle 1287099336" o:spid="_x0000_s1026" alt="&quot;&quot;" style="position:absolute;margin-left:.45pt;margin-top:1.15pt;width:841.9pt;height:3.95pt;z-index:2516582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" fillcolor="#0097a6" stroked="f" strokeweight="2pt">
              <w10:wrap anchorx="page" anchory="page"/>
            </v:rect>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DE395D" w14:textId="77777777" w:rsidR="00A77D8A" w:rsidRPr="008B740B" w:rsidRDefault="008B740B" w:rsidP="008B740B">
    <w:pPr>
      <w:pBdr>
        <w:top w:val="nil"/>
        <w:left w:val="nil"/>
        <w:bottom w:val="nil"/>
        <w:right w:val="nil"/>
        <w:between w:val="nil"/>
      </w:pBdr>
      <w:tabs>
        <w:tab w:val="center" w:pos="4513"/>
        <w:tab w:val="right" w:pos="9026"/>
      </w:tabs>
      <w:ind w:left="-360" w:hanging="490"/>
      <w:jc w:val="right"/>
      <w:rPr>
        <w:sz w:val="16"/>
        <w:szCs w:val="16"/>
      </w:rPr>
    </w:pPr>
    <w:r w:rsidRPr="008B740B">
      <w:rPr>
        <w:sz w:val="16"/>
        <w:szCs w:val="16"/>
      </w:rPr>
      <w:t xml:space="preserve">FIRST NATIONS CO  </w:t>
    </w:r>
    <w:r w:rsidRPr="008B740B">
      <w:rPr>
        <w:color w:val="EFA31F" w:themeColor="background2"/>
        <w:sz w:val="16"/>
        <w:szCs w:val="16"/>
      </w:rPr>
      <w:t>|</w:t>
    </w:r>
    <w:r w:rsidRPr="008B740B">
      <w:rPr>
        <w:sz w:val="16"/>
        <w:szCs w:val="16"/>
      </w:rPr>
      <w:t xml:space="preserve">  NINTI ONE LIMITED</w:t>
    </w:r>
    <w:r w:rsidRPr="008B740B">
      <w:rPr>
        <w:noProof/>
        <w:sz w:val="16"/>
        <w:szCs w:val="16"/>
      </w:rPr>
      <w:t xml:space="preserve"> </w:t>
    </w:r>
    <w:r w:rsidRPr="008B740B">
      <w:rPr>
        <w:noProof/>
        <w:sz w:val="16"/>
        <w:szCs w:val="16"/>
      </w:rPr>
      <mc:AlternateContent>
        <mc:Choice Requires="wps">
          <w:drawing>
            <wp:anchor distT="0" distB="0" distL="114300" distR="114300" simplePos="0" relativeHeight="251658277" behindDoc="0" locked="0" layoutInCell="1" allowOverlap="1" wp14:anchorId="3861BC58" wp14:editId="1ED9A201">
              <wp:simplePos x="0" y="0"/>
              <wp:positionH relativeFrom="page">
                <wp:posOffset>5715</wp:posOffset>
              </wp:positionH>
              <wp:positionV relativeFrom="page">
                <wp:posOffset>14287</wp:posOffset>
              </wp:positionV>
              <wp:extent cx="10692000" cy="50400"/>
              <wp:effectExtent l="0" t="0" r="0" b="6985"/>
              <wp:wrapNone/>
              <wp:docPr id="372699647" name="Rectangle 3726996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92000" cy="50400"/>
                      </a:xfrm>
                      <a:prstGeom prst="rect">
                        <a:avLst/>
                      </a:prstGeom>
                      <a:solidFill>
                        <a:srgbClr val="0097A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6C07C2" id="Rectangle 372699647" o:spid="_x0000_s1026" alt="&quot;&quot;" style="position:absolute;margin-left:.45pt;margin-top:1.1pt;width:841.9pt;height:3.95pt;z-index:25165827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" fillcolor="#0097a6" stroked="f" strokeweight="2pt">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BA2E1E3C"/>
    <w:lvl w:ilvl="0">
      <w:start w:val="1"/>
      <w:numFmt w:val="bullet"/>
      <w:pStyle w:val="ListBullet3"/>
      <w:lvlText w:val="o"/>
      <w:lvlJc w:val="left"/>
      <w:pPr>
        <w:ind w:left="926" w:hanging="360"/>
      </w:pPr>
      <w:rPr>
        <w:rFonts w:ascii="Courier New" w:hAnsi="Courier New" w:cs="Courier New" w:hint="default"/>
      </w:rPr>
    </w:lvl>
  </w:abstractNum>
  <w:abstractNum w:abstractNumId="1" w15:restartNumberingAfterBreak="0">
    <w:nsid w:val="FFFFFF83"/>
    <w:multiLevelType w:val="singleLevel"/>
    <w:tmpl w:val="943C3DEE"/>
    <w:lvl w:ilvl="0">
      <w:start w:val="1"/>
      <w:numFmt w:val="bullet"/>
      <w:pStyle w:val="ListBullet2"/>
      <w:lvlText w:val=""/>
      <w:lvlJc w:val="left"/>
      <w:pPr>
        <w:tabs>
          <w:tab w:val="num" w:pos="643"/>
        </w:tabs>
        <w:ind w:left="643" w:hanging="360"/>
      </w:pPr>
      <w:rPr>
        <w:rFonts w:ascii="Symbol" w:hAnsi="Symbol" w:hint="default"/>
      </w:rPr>
    </w:lvl>
  </w:abstractNum>
  <w:abstractNum w:abstractNumId="2" w15:restartNumberingAfterBreak="0">
    <w:nsid w:val="09AA79EA"/>
    <w:multiLevelType w:val="hybridMultilevel"/>
    <w:tmpl w:val="C3E6C6D8"/>
    <w:lvl w:ilvl="0" w:tplc="89504ED2">
      <w:start w:val="1"/>
      <w:numFmt w:val="bullet"/>
      <w:lvlText w:val="o"/>
      <w:lvlJc w:val="left"/>
      <w:pPr>
        <w:ind w:left="1213" w:hanging="360"/>
      </w:pPr>
      <w:rPr>
        <w:rFonts w:ascii="Courier New" w:hAnsi="Courier New" w:cs="Courier New" w:hint="default"/>
      </w:rPr>
    </w:lvl>
    <w:lvl w:ilvl="1" w:tplc="0C090003" w:tentative="1">
      <w:start w:val="1"/>
      <w:numFmt w:val="bullet"/>
      <w:lvlText w:val="o"/>
      <w:lvlJc w:val="left"/>
      <w:pPr>
        <w:ind w:left="1933" w:hanging="360"/>
      </w:pPr>
      <w:rPr>
        <w:rFonts w:ascii="Courier New" w:hAnsi="Courier New" w:cs="Courier New" w:hint="default"/>
      </w:rPr>
    </w:lvl>
    <w:lvl w:ilvl="2" w:tplc="0C090005" w:tentative="1">
      <w:start w:val="1"/>
      <w:numFmt w:val="bullet"/>
      <w:lvlText w:val=""/>
      <w:lvlJc w:val="left"/>
      <w:pPr>
        <w:ind w:left="2653" w:hanging="360"/>
      </w:pPr>
      <w:rPr>
        <w:rFonts w:ascii="Wingdings" w:hAnsi="Wingdings" w:hint="default"/>
      </w:rPr>
    </w:lvl>
    <w:lvl w:ilvl="3" w:tplc="0C090001" w:tentative="1">
      <w:start w:val="1"/>
      <w:numFmt w:val="bullet"/>
      <w:lvlText w:val=""/>
      <w:lvlJc w:val="left"/>
      <w:pPr>
        <w:ind w:left="3373" w:hanging="360"/>
      </w:pPr>
      <w:rPr>
        <w:rFonts w:ascii="Symbol" w:hAnsi="Symbol" w:hint="default"/>
      </w:rPr>
    </w:lvl>
    <w:lvl w:ilvl="4" w:tplc="0C090003" w:tentative="1">
      <w:start w:val="1"/>
      <w:numFmt w:val="bullet"/>
      <w:lvlText w:val="o"/>
      <w:lvlJc w:val="left"/>
      <w:pPr>
        <w:ind w:left="4093" w:hanging="360"/>
      </w:pPr>
      <w:rPr>
        <w:rFonts w:ascii="Courier New" w:hAnsi="Courier New" w:cs="Courier New" w:hint="default"/>
      </w:rPr>
    </w:lvl>
    <w:lvl w:ilvl="5" w:tplc="0C090005" w:tentative="1">
      <w:start w:val="1"/>
      <w:numFmt w:val="bullet"/>
      <w:lvlText w:val=""/>
      <w:lvlJc w:val="left"/>
      <w:pPr>
        <w:ind w:left="4813" w:hanging="360"/>
      </w:pPr>
      <w:rPr>
        <w:rFonts w:ascii="Wingdings" w:hAnsi="Wingdings" w:hint="default"/>
      </w:rPr>
    </w:lvl>
    <w:lvl w:ilvl="6" w:tplc="0C090001" w:tentative="1">
      <w:start w:val="1"/>
      <w:numFmt w:val="bullet"/>
      <w:lvlText w:val=""/>
      <w:lvlJc w:val="left"/>
      <w:pPr>
        <w:ind w:left="5533" w:hanging="360"/>
      </w:pPr>
      <w:rPr>
        <w:rFonts w:ascii="Symbol" w:hAnsi="Symbol" w:hint="default"/>
      </w:rPr>
    </w:lvl>
    <w:lvl w:ilvl="7" w:tplc="0C090003" w:tentative="1">
      <w:start w:val="1"/>
      <w:numFmt w:val="bullet"/>
      <w:lvlText w:val="o"/>
      <w:lvlJc w:val="left"/>
      <w:pPr>
        <w:ind w:left="6253" w:hanging="360"/>
      </w:pPr>
      <w:rPr>
        <w:rFonts w:ascii="Courier New" w:hAnsi="Courier New" w:cs="Courier New" w:hint="default"/>
      </w:rPr>
    </w:lvl>
    <w:lvl w:ilvl="8" w:tplc="0C090005" w:tentative="1">
      <w:start w:val="1"/>
      <w:numFmt w:val="bullet"/>
      <w:lvlText w:val=""/>
      <w:lvlJc w:val="left"/>
      <w:pPr>
        <w:ind w:left="6973" w:hanging="360"/>
      </w:pPr>
      <w:rPr>
        <w:rFonts w:ascii="Wingdings" w:hAnsi="Wingdings" w:hint="default"/>
      </w:rPr>
    </w:lvl>
  </w:abstractNum>
  <w:abstractNum w:abstractNumId="3" w15:restartNumberingAfterBreak="0">
    <w:nsid w:val="2B187D06"/>
    <w:multiLevelType w:val="multilevel"/>
    <w:tmpl w:val="123E2300"/>
    <w:lvl w:ilvl="0">
      <w:start w:val="1"/>
      <w:numFmt w:val="bullet"/>
      <w:pStyle w:val="TableTextbullets"/>
      <w:lvlText w:val=""/>
      <w:lvlJc w:val="left"/>
      <w:pPr>
        <w:ind w:left="284" w:hanging="284"/>
      </w:pPr>
      <w:rPr>
        <w:rFonts w:ascii="Symbol" w:hAnsi="Symbol" w:hint="default"/>
        <w:color w:val="auto"/>
      </w:rPr>
    </w:lvl>
    <w:lvl w:ilvl="1">
      <w:start w:val="1"/>
      <w:numFmt w:val="bullet"/>
      <w:lvlText w:val=""/>
      <w:lvlJc w:val="left"/>
      <w:pPr>
        <w:ind w:left="567" w:hanging="283"/>
      </w:pPr>
      <w:rPr>
        <w:rFonts w:ascii="Symbol" w:hAnsi="Symbol" w:hint="default"/>
        <w:color w:val="0196A7" w:themeColor="accent3"/>
      </w:rPr>
    </w:lvl>
    <w:lvl w:ilvl="2">
      <w:start w:val="1"/>
      <w:numFmt w:val="bullet"/>
      <w:lvlText w:val=""/>
      <w:lvlJc w:val="left"/>
      <w:pPr>
        <w:ind w:left="851" w:hanging="284"/>
      </w:pPr>
      <w:rPr>
        <w:rFonts w:ascii="Symbol" w:hAnsi="Symbol" w:hint="default"/>
        <w:color w:val="0196A7" w:themeColor="accent3"/>
      </w:rPr>
    </w:lvl>
    <w:lvl w:ilvl="3">
      <w:start w:val="1"/>
      <w:numFmt w:val="bullet"/>
      <w:lvlText w:val=""/>
      <w:lvlJc w:val="left"/>
      <w:pPr>
        <w:ind w:left="1134" w:hanging="283"/>
      </w:pPr>
      <w:rPr>
        <w:rFonts w:ascii="Symbol" w:hAnsi="Symbol" w:hint="default"/>
        <w:color w:val="0196A7" w:themeColor="accent3"/>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395C2DC3"/>
    <w:multiLevelType w:val="multilevel"/>
    <w:tmpl w:val="CD20EB88"/>
    <w:styleLink w:val="Subnumbers"/>
    <w:lvl w:ilvl="0">
      <w:start w:val="1"/>
      <w:numFmt w:val="decimal"/>
      <w:pStyle w:val="List1"/>
      <w:lvlText w:val="%1."/>
      <w:lvlJc w:val="left"/>
      <w:pPr>
        <w:ind w:left="360" w:hanging="360"/>
      </w:pPr>
      <w:rPr>
        <w:rFonts w:hint="default"/>
      </w:rPr>
    </w:lvl>
    <w:lvl w:ilvl="1">
      <w:start w:val="1"/>
      <w:numFmt w:val="decimal"/>
      <w:pStyle w:val="List2"/>
      <w:lvlText w:val="%1.%2"/>
      <w:lvlJc w:val="left"/>
      <w:pPr>
        <w:tabs>
          <w:tab w:val="num" w:pos="1077"/>
        </w:tabs>
        <w:ind w:left="851" w:hanging="131"/>
      </w:pPr>
      <w:rPr>
        <w:rFonts w:hint="default"/>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5" w15:restartNumberingAfterBreak="0">
    <w:nsid w:val="3D87201B"/>
    <w:multiLevelType w:val="multilevel"/>
    <w:tmpl w:val="83FCEAA0"/>
    <w:numStyleLink w:val="MHSPheadings"/>
  </w:abstractNum>
  <w:abstractNum w:abstractNumId="6" w15:restartNumberingAfterBreak="0">
    <w:nsid w:val="4D3E016A"/>
    <w:multiLevelType w:val="multilevel"/>
    <w:tmpl w:val="787467B8"/>
    <w:lvl w:ilvl="0">
      <w:start w:val="1"/>
      <w:numFmt w:val="decimal"/>
      <w:lvlText w:val="%1."/>
      <w:lvlJc w:val="left"/>
      <w:pPr>
        <w:ind w:left="360" w:hanging="36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 w15:restartNumberingAfterBreak="0">
    <w:nsid w:val="55073A20"/>
    <w:multiLevelType w:val="multilevel"/>
    <w:tmpl w:val="59D82462"/>
    <w:lvl w:ilvl="0">
      <w:start w:val="1"/>
      <w:numFmt w:val="bullet"/>
      <w:pStyle w:val="ListNumber2"/>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55BC5F72"/>
    <w:multiLevelType w:val="multilevel"/>
    <w:tmpl w:val="1B98FAA0"/>
    <w:lvl w:ilvl="0">
      <w:start w:val="1"/>
      <w:numFmt w:val="decimal"/>
      <w:lvlText w:val="%1."/>
      <w:lvlJc w:val="left"/>
      <w:pPr>
        <w:ind w:left="454" w:hanging="454"/>
      </w:pPr>
      <w:rPr>
        <w:rFonts w:hint="default"/>
        <w:b w:val="0"/>
        <w:bCs w:val="0"/>
      </w:rPr>
    </w:lvl>
    <w:lvl w:ilvl="1">
      <w:start w:val="1"/>
      <w:numFmt w:val="decimal"/>
      <w:isLgl/>
      <w:lvlText w:val="%1.%2"/>
      <w:lvlJc w:val="left"/>
      <w:pPr>
        <w:ind w:left="907" w:hanging="453"/>
      </w:pPr>
      <w:rPr>
        <w:rFonts w:hint="default"/>
      </w:rPr>
    </w:lvl>
    <w:lvl w:ilvl="2">
      <w:start w:val="2"/>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9" w15:restartNumberingAfterBreak="0">
    <w:nsid w:val="60711EE7"/>
    <w:multiLevelType w:val="multilevel"/>
    <w:tmpl w:val="AC06CEAA"/>
    <w:lvl w:ilvl="0">
      <w:start w:val="1"/>
      <w:numFmt w:val="bullet"/>
      <w:lvlText w:val=""/>
      <w:lvlJc w:val="left"/>
      <w:pPr>
        <w:ind w:left="340" w:hanging="340"/>
      </w:pPr>
      <w:rPr>
        <w:rFonts w:ascii="Symbol" w:hAnsi="Symbol" w:hint="default"/>
        <w:color w:val="0196A7" w:themeColor="accent3"/>
      </w:rPr>
    </w:lvl>
    <w:lvl w:ilvl="1">
      <w:start w:val="1"/>
      <w:numFmt w:val="bullet"/>
      <w:lvlText w:val=""/>
      <w:lvlJc w:val="left"/>
      <w:pPr>
        <w:ind w:left="680" w:hanging="340"/>
      </w:pPr>
      <w:rPr>
        <w:rFonts w:ascii="Symbol" w:hAnsi="Symbol" w:hint="default"/>
        <w:color w:val="0196A7" w:themeColor="accent3"/>
      </w:rPr>
    </w:lvl>
    <w:lvl w:ilvl="2">
      <w:start w:val="1"/>
      <w:numFmt w:val="bullet"/>
      <w:lvlText w:val=""/>
      <w:lvlJc w:val="left"/>
      <w:pPr>
        <w:ind w:left="1021" w:hanging="341"/>
      </w:pPr>
      <w:rPr>
        <w:rFonts w:ascii="Symbol" w:hAnsi="Symbol" w:hint="default"/>
        <w:color w:val="0196A7" w:themeColor="accent3"/>
      </w:rPr>
    </w:lvl>
    <w:lvl w:ilvl="3">
      <w:start w:val="1"/>
      <w:numFmt w:val="bullet"/>
      <w:lvlText w:val=""/>
      <w:lvlJc w:val="left"/>
      <w:pPr>
        <w:ind w:left="1361" w:hanging="340"/>
      </w:pPr>
      <w:rPr>
        <w:rFonts w:ascii="Symbol" w:hAnsi="Symbol" w:hint="default"/>
        <w:color w:val="0196A7" w:themeColor="accent3"/>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6FD353D5"/>
    <w:multiLevelType w:val="multilevel"/>
    <w:tmpl w:val="83FCEAA0"/>
    <w:styleLink w:val="MHSPheadings"/>
    <w:lvl w:ilvl="0">
      <w:start w:val="1"/>
      <w:numFmt w:val="decimal"/>
      <w:pStyle w:val="Heading1"/>
      <w:suff w:val="space"/>
      <w:lvlText w:val="Chapter %1"/>
      <w:lvlJc w:val="left"/>
      <w:pPr>
        <w:ind w:left="567" w:hanging="567"/>
      </w:pPr>
      <w:rPr>
        <w:rFonts w:hint="default"/>
      </w:rPr>
    </w:lvl>
    <w:lvl w:ilvl="1">
      <w:start w:val="1"/>
      <w:numFmt w:val="decimal"/>
      <w:pStyle w:val="Heading2"/>
      <w:lvlText w:val="%1.%2"/>
      <w:lvlJc w:val="left"/>
      <w:pPr>
        <w:ind w:left="567" w:hanging="567"/>
      </w:pPr>
      <w:rPr>
        <w:rFonts w:hint="default"/>
      </w:rPr>
    </w:lvl>
    <w:lvl w:ilvl="2">
      <w:start w:val="1"/>
      <w:numFmt w:val="decimal"/>
      <w:pStyle w:val="Heading3"/>
      <w:lvlText w:val="%1.%2.%3"/>
      <w:lvlJc w:val="left"/>
      <w:pPr>
        <w:ind w:left="567" w:hanging="567"/>
      </w:pPr>
      <w:rPr>
        <w:rFonts w:hint="default"/>
      </w:rPr>
    </w:lvl>
    <w:lvl w:ilvl="3">
      <w:start w:val="1"/>
      <w:numFmt w:val="decimal"/>
      <w:pStyle w:val="Heading4"/>
      <w:lvlText w:val="%1.%2.%3.%4"/>
      <w:lvlJc w:val="left"/>
      <w:pPr>
        <w:ind w:left="567" w:hanging="567"/>
      </w:pPr>
      <w:rPr>
        <w:rFonts w:hint="default"/>
      </w:rPr>
    </w:lvl>
    <w:lvl w:ilvl="4">
      <w:start w:val="1"/>
      <w:numFmt w:val="none"/>
      <w:pStyle w:val="Heading5"/>
      <w:lvlText w:val=""/>
      <w:lvlJc w:val="left"/>
      <w:pPr>
        <w:ind w:left="567" w:hanging="567"/>
      </w:pPr>
      <w:rPr>
        <w:rFonts w:hint="default"/>
      </w:rPr>
    </w:lvl>
    <w:lvl w:ilvl="5">
      <w:start w:val="1"/>
      <w:numFmt w:val="none"/>
      <w:pStyle w:val="Heading6"/>
      <w:lvlText w:val=""/>
      <w:lvlJc w:val="left"/>
      <w:pPr>
        <w:ind w:left="0" w:firstLine="0"/>
      </w:pPr>
      <w:rPr>
        <w:rFonts w:hint="default"/>
      </w:rPr>
    </w:lvl>
    <w:lvl w:ilvl="6">
      <w:start w:val="1"/>
      <w:numFmt w:val="none"/>
      <w:pStyle w:val="Heading7"/>
      <w:lvlText w:val=""/>
      <w:lvlJc w:val="left"/>
      <w:pPr>
        <w:ind w:left="0" w:firstLine="0"/>
      </w:pPr>
      <w:rPr>
        <w:rFonts w:hint="default"/>
      </w:rPr>
    </w:lvl>
    <w:lvl w:ilvl="7">
      <w:start w:val="1"/>
      <w:numFmt w:val="none"/>
      <w:pStyle w:val="Heading8"/>
      <w:lvlText w:val=""/>
      <w:lvlJc w:val="left"/>
      <w:pPr>
        <w:ind w:left="0" w:firstLine="0"/>
      </w:pPr>
      <w:rPr>
        <w:rFonts w:hint="default"/>
      </w:rPr>
    </w:lvl>
    <w:lvl w:ilvl="8">
      <w:start w:val="1"/>
      <w:numFmt w:val="none"/>
      <w:pStyle w:val="Heading9"/>
      <w:lvlText w:val=""/>
      <w:lvlJc w:val="left"/>
      <w:pPr>
        <w:ind w:left="0" w:firstLine="0"/>
      </w:pPr>
      <w:rPr>
        <w:rFonts w:hint="default"/>
      </w:rPr>
    </w:lvl>
  </w:abstractNum>
  <w:num w:numId="1" w16cid:durableId="1988123003">
    <w:abstractNumId w:val="7"/>
  </w:num>
  <w:num w:numId="2" w16cid:durableId="480658524">
    <w:abstractNumId w:val="2"/>
  </w:num>
  <w:num w:numId="3" w16cid:durableId="1658412284">
    <w:abstractNumId w:val="3"/>
  </w:num>
  <w:num w:numId="4" w16cid:durableId="300767999">
    <w:abstractNumId w:val="8"/>
  </w:num>
  <w:num w:numId="5" w16cid:durableId="1160274831">
    <w:abstractNumId w:val="9"/>
  </w:num>
  <w:num w:numId="6" w16cid:durableId="525751947">
    <w:abstractNumId w:val="1"/>
  </w:num>
  <w:num w:numId="7" w16cid:durableId="33843234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59574808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641107033">
    <w:abstractNumId w:val="10"/>
  </w:num>
  <w:num w:numId="10" w16cid:durableId="100093488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51653233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99664561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520965316">
    <w:abstractNumId w:val="0"/>
  </w:num>
  <w:num w:numId="14" w16cid:durableId="53805704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2054235629">
    <w:abstractNumId w:val="5"/>
  </w:num>
  <w:num w:numId="16" w16cid:durableId="613682247">
    <w:abstractNumId w:val="4"/>
  </w:num>
  <w:num w:numId="17" w16cid:durableId="113425164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92633114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17037258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35345258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99957417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29132794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42411076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210973799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98220110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209993497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6655800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32744805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23724917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61875331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s-CL" w:vendorID="64" w:dllVersion="0" w:nlCheck="1" w:checkStyle="0"/>
  <w:activeWritingStyle w:appName="MSWord" w:lang="en-AU" w:vendorID="64" w:dllVersion="0" w:nlCheck="1" w:checkStyle="0"/>
  <w:activeWritingStyle w:appName="MSWord" w:lang="en-GB" w:vendorID="64" w:dllVersion="0" w:nlCheck="1" w:checkStyle="0"/>
  <w:activeWritingStyle w:appName="MSWord" w:lang="en-AU" w:vendorID="64" w:dllVersion="4096" w:nlCheck="1" w:checkStyle="0"/>
  <w:activeWritingStyle w:appName="MSWord" w:lang="en-GB" w:vendorID="64" w:dllVersion="4096" w:nlCheck="1" w:checkStyle="0"/>
  <w:activeWritingStyle w:appName="MSWord" w:lang="en-US" w:vendorID="64" w:dllVersion="0" w:nlCheck="1" w:checkStyle="0"/>
  <w:stylePaneSortMethod w:val="00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05139"/>
    <w:rsid w:val="000003AD"/>
    <w:rsid w:val="00000482"/>
    <w:rsid w:val="000006A8"/>
    <w:rsid w:val="00000AB2"/>
    <w:rsid w:val="00000AEF"/>
    <w:rsid w:val="00000D4B"/>
    <w:rsid w:val="00000D9C"/>
    <w:rsid w:val="000011D8"/>
    <w:rsid w:val="000018C7"/>
    <w:rsid w:val="00001BB5"/>
    <w:rsid w:val="000023C1"/>
    <w:rsid w:val="00002AD1"/>
    <w:rsid w:val="00002E45"/>
    <w:rsid w:val="000036EB"/>
    <w:rsid w:val="00004087"/>
    <w:rsid w:val="0000451C"/>
    <w:rsid w:val="00004601"/>
    <w:rsid w:val="00004608"/>
    <w:rsid w:val="00004652"/>
    <w:rsid w:val="00004D29"/>
    <w:rsid w:val="000055A2"/>
    <w:rsid w:val="00005797"/>
    <w:rsid w:val="00005F3E"/>
    <w:rsid w:val="000062F3"/>
    <w:rsid w:val="0000630C"/>
    <w:rsid w:val="0000642E"/>
    <w:rsid w:val="000064C7"/>
    <w:rsid w:val="000068F3"/>
    <w:rsid w:val="00006A02"/>
    <w:rsid w:val="00006B54"/>
    <w:rsid w:val="00006C12"/>
    <w:rsid w:val="000070B5"/>
    <w:rsid w:val="0000710D"/>
    <w:rsid w:val="00007540"/>
    <w:rsid w:val="00007976"/>
    <w:rsid w:val="00010132"/>
    <w:rsid w:val="000101FB"/>
    <w:rsid w:val="0001040D"/>
    <w:rsid w:val="00010450"/>
    <w:rsid w:val="00010778"/>
    <w:rsid w:val="000108E3"/>
    <w:rsid w:val="000119AC"/>
    <w:rsid w:val="00011AF3"/>
    <w:rsid w:val="00012080"/>
    <w:rsid w:val="00012434"/>
    <w:rsid w:val="00012826"/>
    <w:rsid w:val="00012DB5"/>
    <w:rsid w:val="00013463"/>
    <w:rsid w:val="000135AE"/>
    <w:rsid w:val="00013646"/>
    <w:rsid w:val="0001367C"/>
    <w:rsid w:val="00013DCB"/>
    <w:rsid w:val="00014118"/>
    <w:rsid w:val="00014150"/>
    <w:rsid w:val="000143D6"/>
    <w:rsid w:val="0001459A"/>
    <w:rsid w:val="00014B51"/>
    <w:rsid w:val="00014E5B"/>
    <w:rsid w:val="00014FE5"/>
    <w:rsid w:val="000151B6"/>
    <w:rsid w:val="00015839"/>
    <w:rsid w:val="00015CCD"/>
    <w:rsid w:val="00015EB1"/>
    <w:rsid w:val="000160CA"/>
    <w:rsid w:val="000160D7"/>
    <w:rsid w:val="000166F8"/>
    <w:rsid w:val="00016A74"/>
    <w:rsid w:val="000172B6"/>
    <w:rsid w:val="00017511"/>
    <w:rsid w:val="0001767F"/>
    <w:rsid w:val="0001792B"/>
    <w:rsid w:val="0001795E"/>
    <w:rsid w:val="00017E72"/>
    <w:rsid w:val="00020137"/>
    <w:rsid w:val="000203DC"/>
    <w:rsid w:val="0002089D"/>
    <w:rsid w:val="00020AA9"/>
    <w:rsid w:val="00020AF9"/>
    <w:rsid w:val="00021159"/>
    <w:rsid w:val="00021CE7"/>
    <w:rsid w:val="00021D8A"/>
    <w:rsid w:val="000221CA"/>
    <w:rsid w:val="000225E3"/>
    <w:rsid w:val="0002261D"/>
    <w:rsid w:val="00022F73"/>
    <w:rsid w:val="00022F89"/>
    <w:rsid w:val="00023107"/>
    <w:rsid w:val="00023CA0"/>
    <w:rsid w:val="00023D3B"/>
    <w:rsid w:val="00023DE4"/>
    <w:rsid w:val="000247CE"/>
    <w:rsid w:val="00024E8D"/>
    <w:rsid w:val="0002508C"/>
    <w:rsid w:val="00025C38"/>
    <w:rsid w:val="000262A6"/>
    <w:rsid w:val="000262E4"/>
    <w:rsid w:val="00026482"/>
    <w:rsid w:val="00026604"/>
    <w:rsid w:val="0002674B"/>
    <w:rsid w:val="000268CA"/>
    <w:rsid w:val="00026C00"/>
    <w:rsid w:val="00026C94"/>
    <w:rsid w:val="00026DA7"/>
    <w:rsid w:val="00027097"/>
    <w:rsid w:val="00027495"/>
    <w:rsid w:val="0002750E"/>
    <w:rsid w:val="000276F6"/>
    <w:rsid w:val="00027AC2"/>
    <w:rsid w:val="00027E06"/>
    <w:rsid w:val="00030593"/>
    <w:rsid w:val="0003084F"/>
    <w:rsid w:val="00031009"/>
    <w:rsid w:val="000310C4"/>
    <w:rsid w:val="0003149E"/>
    <w:rsid w:val="00031B04"/>
    <w:rsid w:val="00032098"/>
    <w:rsid w:val="0003244B"/>
    <w:rsid w:val="00032913"/>
    <w:rsid w:val="000331DF"/>
    <w:rsid w:val="00033284"/>
    <w:rsid w:val="0003341D"/>
    <w:rsid w:val="0003394F"/>
    <w:rsid w:val="00033AE2"/>
    <w:rsid w:val="00033B91"/>
    <w:rsid w:val="00033D38"/>
    <w:rsid w:val="00034311"/>
    <w:rsid w:val="00034D7B"/>
    <w:rsid w:val="00034DD1"/>
    <w:rsid w:val="0003552D"/>
    <w:rsid w:val="00035A2F"/>
    <w:rsid w:val="00035D2B"/>
    <w:rsid w:val="00035E08"/>
    <w:rsid w:val="00035EFF"/>
    <w:rsid w:val="00035FA2"/>
    <w:rsid w:val="000362C4"/>
    <w:rsid w:val="00036532"/>
    <w:rsid w:val="0003659D"/>
    <w:rsid w:val="0003684B"/>
    <w:rsid w:val="0003700D"/>
    <w:rsid w:val="00037148"/>
    <w:rsid w:val="00037178"/>
    <w:rsid w:val="000372FE"/>
    <w:rsid w:val="00037619"/>
    <w:rsid w:val="00037880"/>
    <w:rsid w:val="000378E7"/>
    <w:rsid w:val="00037A26"/>
    <w:rsid w:val="00037ACB"/>
    <w:rsid w:val="00040196"/>
    <w:rsid w:val="0004019C"/>
    <w:rsid w:val="00040467"/>
    <w:rsid w:val="00040B94"/>
    <w:rsid w:val="00040DB9"/>
    <w:rsid w:val="00040E3E"/>
    <w:rsid w:val="00040F88"/>
    <w:rsid w:val="00041977"/>
    <w:rsid w:val="000426A4"/>
    <w:rsid w:val="00043278"/>
    <w:rsid w:val="00043492"/>
    <w:rsid w:val="000435CD"/>
    <w:rsid w:val="0004366E"/>
    <w:rsid w:val="00043876"/>
    <w:rsid w:val="00043C1D"/>
    <w:rsid w:val="00043F6C"/>
    <w:rsid w:val="000445DD"/>
    <w:rsid w:val="00044BF4"/>
    <w:rsid w:val="00044C87"/>
    <w:rsid w:val="00044F0A"/>
    <w:rsid w:val="00045062"/>
    <w:rsid w:val="000450AD"/>
    <w:rsid w:val="000451C8"/>
    <w:rsid w:val="000452AB"/>
    <w:rsid w:val="000453C8"/>
    <w:rsid w:val="00045401"/>
    <w:rsid w:val="00045C00"/>
    <w:rsid w:val="00046670"/>
    <w:rsid w:val="00046782"/>
    <w:rsid w:val="00046798"/>
    <w:rsid w:val="000467D9"/>
    <w:rsid w:val="000468D6"/>
    <w:rsid w:val="00046BAF"/>
    <w:rsid w:val="0004721E"/>
    <w:rsid w:val="00047251"/>
    <w:rsid w:val="0004769E"/>
    <w:rsid w:val="00047B22"/>
    <w:rsid w:val="00047EE6"/>
    <w:rsid w:val="00047F65"/>
    <w:rsid w:val="00050059"/>
    <w:rsid w:val="000500CA"/>
    <w:rsid w:val="00050131"/>
    <w:rsid w:val="000501AF"/>
    <w:rsid w:val="00050245"/>
    <w:rsid w:val="000502E1"/>
    <w:rsid w:val="000504F4"/>
    <w:rsid w:val="000507C2"/>
    <w:rsid w:val="000507E1"/>
    <w:rsid w:val="000509E5"/>
    <w:rsid w:val="00050C88"/>
    <w:rsid w:val="00050F3A"/>
    <w:rsid w:val="000512A3"/>
    <w:rsid w:val="0005132B"/>
    <w:rsid w:val="00051494"/>
    <w:rsid w:val="00051E36"/>
    <w:rsid w:val="0005219D"/>
    <w:rsid w:val="00052480"/>
    <w:rsid w:val="0005256F"/>
    <w:rsid w:val="00052602"/>
    <w:rsid w:val="000528DA"/>
    <w:rsid w:val="00052FAC"/>
    <w:rsid w:val="000532BA"/>
    <w:rsid w:val="0005330C"/>
    <w:rsid w:val="0005362D"/>
    <w:rsid w:val="00053BAD"/>
    <w:rsid w:val="00053D48"/>
    <w:rsid w:val="00053F77"/>
    <w:rsid w:val="00053FC3"/>
    <w:rsid w:val="00054023"/>
    <w:rsid w:val="000540C3"/>
    <w:rsid w:val="00054827"/>
    <w:rsid w:val="00054868"/>
    <w:rsid w:val="00054B80"/>
    <w:rsid w:val="00054DE0"/>
    <w:rsid w:val="0005517F"/>
    <w:rsid w:val="0005519C"/>
    <w:rsid w:val="000556B1"/>
    <w:rsid w:val="000556E0"/>
    <w:rsid w:val="000558F9"/>
    <w:rsid w:val="00056088"/>
    <w:rsid w:val="00056189"/>
    <w:rsid w:val="000568FB"/>
    <w:rsid w:val="00056BA8"/>
    <w:rsid w:val="00056E39"/>
    <w:rsid w:val="00056FB0"/>
    <w:rsid w:val="000573F9"/>
    <w:rsid w:val="000577D5"/>
    <w:rsid w:val="000579D9"/>
    <w:rsid w:val="00057B56"/>
    <w:rsid w:val="00057DBB"/>
    <w:rsid w:val="00057E20"/>
    <w:rsid w:val="00057F93"/>
    <w:rsid w:val="000600D4"/>
    <w:rsid w:val="000602B6"/>
    <w:rsid w:val="00060D30"/>
    <w:rsid w:val="000610DC"/>
    <w:rsid w:val="000613C2"/>
    <w:rsid w:val="000616D5"/>
    <w:rsid w:val="00061725"/>
    <w:rsid w:val="00061A37"/>
    <w:rsid w:val="00061B8B"/>
    <w:rsid w:val="00061DC6"/>
    <w:rsid w:val="00061E5E"/>
    <w:rsid w:val="0006229E"/>
    <w:rsid w:val="00062322"/>
    <w:rsid w:val="00062668"/>
    <w:rsid w:val="00062673"/>
    <w:rsid w:val="000626B7"/>
    <w:rsid w:val="000628FD"/>
    <w:rsid w:val="00062D16"/>
    <w:rsid w:val="00063354"/>
    <w:rsid w:val="00063887"/>
    <w:rsid w:val="00063B1F"/>
    <w:rsid w:val="00063FDA"/>
    <w:rsid w:val="000644A4"/>
    <w:rsid w:val="00064AFA"/>
    <w:rsid w:val="00064C1F"/>
    <w:rsid w:val="000653B7"/>
    <w:rsid w:val="000658FA"/>
    <w:rsid w:val="00065A36"/>
    <w:rsid w:val="00065DB1"/>
    <w:rsid w:val="00065ED6"/>
    <w:rsid w:val="00066005"/>
    <w:rsid w:val="00066856"/>
    <w:rsid w:val="00066A26"/>
    <w:rsid w:val="00066CD5"/>
    <w:rsid w:val="00066D58"/>
    <w:rsid w:val="00066E71"/>
    <w:rsid w:val="00067031"/>
    <w:rsid w:val="000676B3"/>
    <w:rsid w:val="00067A9B"/>
    <w:rsid w:val="00070A65"/>
    <w:rsid w:val="00070AC6"/>
    <w:rsid w:val="00070C8C"/>
    <w:rsid w:val="000715C6"/>
    <w:rsid w:val="00071BB0"/>
    <w:rsid w:val="00071F1D"/>
    <w:rsid w:val="000723B5"/>
    <w:rsid w:val="000736CC"/>
    <w:rsid w:val="000738B2"/>
    <w:rsid w:val="000739ED"/>
    <w:rsid w:val="00073A66"/>
    <w:rsid w:val="00073E2C"/>
    <w:rsid w:val="000742A7"/>
    <w:rsid w:val="00074B58"/>
    <w:rsid w:val="00074E21"/>
    <w:rsid w:val="00074FED"/>
    <w:rsid w:val="00075135"/>
    <w:rsid w:val="0007517B"/>
    <w:rsid w:val="00075291"/>
    <w:rsid w:val="000752A6"/>
    <w:rsid w:val="000753A0"/>
    <w:rsid w:val="00075933"/>
    <w:rsid w:val="00075D9F"/>
    <w:rsid w:val="00075E48"/>
    <w:rsid w:val="00076076"/>
    <w:rsid w:val="0007671B"/>
    <w:rsid w:val="000768A9"/>
    <w:rsid w:val="00076D31"/>
    <w:rsid w:val="00076EDF"/>
    <w:rsid w:val="0007713A"/>
    <w:rsid w:val="000771A8"/>
    <w:rsid w:val="000775D3"/>
    <w:rsid w:val="000776F1"/>
    <w:rsid w:val="000778A8"/>
    <w:rsid w:val="00077C76"/>
    <w:rsid w:val="000804D1"/>
    <w:rsid w:val="00080532"/>
    <w:rsid w:val="00081253"/>
    <w:rsid w:val="00081332"/>
    <w:rsid w:val="00081720"/>
    <w:rsid w:val="00081AA5"/>
    <w:rsid w:val="00081FA6"/>
    <w:rsid w:val="000824C7"/>
    <w:rsid w:val="00082A21"/>
    <w:rsid w:val="00082ABC"/>
    <w:rsid w:val="00082ACB"/>
    <w:rsid w:val="00082D3C"/>
    <w:rsid w:val="0008329D"/>
    <w:rsid w:val="000832D8"/>
    <w:rsid w:val="000838A7"/>
    <w:rsid w:val="00083F2A"/>
    <w:rsid w:val="00084040"/>
    <w:rsid w:val="00084188"/>
    <w:rsid w:val="000844AA"/>
    <w:rsid w:val="00084D71"/>
    <w:rsid w:val="00084DB4"/>
    <w:rsid w:val="00085207"/>
    <w:rsid w:val="00085227"/>
    <w:rsid w:val="00085289"/>
    <w:rsid w:val="00085597"/>
    <w:rsid w:val="000855E9"/>
    <w:rsid w:val="0008572B"/>
    <w:rsid w:val="000859B2"/>
    <w:rsid w:val="00085B88"/>
    <w:rsid w:val="00085D34"/>
    <w:rsid w:val="000860FA"/>
    <w:rsid w:val="0008680C"/>
    <w:rsid w:val="00086AE0"/>
    <w:rsid w:val="00086E62"/>
    <w:rsid w:val="0008706E"/>
    <w:rsid w:val="00087440"/>
    <w:rsid w:val="000874AC"/>
    <w:rsid w:val="0008759F"/>
    <w:rsid w:val="0008775E"/>
    <w:rsid w:val="00087AD2"/>
    <w:rsid w:val="00087B68"/>
    <w:rsid w:val="00090482"/>
    <w:rsid w:val="0009057C"/>
    <w:rsid w:val="000907D0"/>
    <w:rsid w:val="00090ED8"/>
    <w:rsid w:val="00091270"/>
    <w:rsid w:val="0009177E"/>
    <w:rsid w:val="000918AA"/>
    <w:rsid w:val="00091E49"/>
    <w:rsid w:val="000924F7"/>
    <w:rsid w:val="00092AD2"/>
    <w:rsid w:val="00092F24"/>
    <w:rsid w:val="000933F4"/>
    <w:rsid w:val="00093839"/>
    <w:rsid w:val="0009395D"/>
    <w:rsid w:val="00093C71"/>
    <w:rsid w:val="00093D81"/>
    <w:rsid w:val="00094372"/>
    <w:rsid w:val="000946BD"/>
    <w:rsid w:val="00094CBC"/>
    <w:rsid w:val="00094D3F"/>
    <w:rsid w:val="000955CA"/>
    <w:rsid w:val="00095904"/>
    <w:rsid w:val="000960DB"/>
    <w:rsid w:val="0009669B"/>
    <w:rsid w:val="000967CA"/>
    <w:rsid w:val="00096D9C"/>
    <w:rsid w:val="00096E23"/>
    <w:rsid w:val="00097925"/>
    <w:rsid w:val="0009792B"/>
    <w:rsid w:val="00097D69"/>
    <w:rsid w:val="00097FD4"/>
    <w:rsid w:val="000A0008"/>
    <w:rsid w:val="000A02C9"/>
    <w:rsid w:val="000A0588"/>
    <w:rsid w:val="000A0C01"/>
    <w:rsid w:val="000A0C69"/>
    <w:rsid w:val="000A0E32"/>
    <w:rsid w:val="000A1104"/>
    <w:rsid w:val="000A155B"/>
    <w:rsid w:val="000A1783"/>
    <w:rsid w:val="000A1886"/>
    <w:rsid w:val="000A2325"/>
    <w:rsid w:val="000A2AD3"/>
    <w:rsid w:val="000A30D8"/>
    <w:rsid w:val="000A328B"/>
    <w:rsid w:val="000A3330"/>
    <w:rsid w:val="000A349E"/>
    <w:rsid w:val="000A3729"/>
    <w:rsid w:val="000A376C"/>
    <w:rsid w:val="000A3948"/>
    <w:rsid w:val="000A4200"/>
    <w:rsid w:val="000A451E"/>
    <w:rsid w:val="000A49C6"/>
    <w:rsid w:val="000A4D89"/>
    <w:rsid w:val="000A4DEB"/>
    <w:rsid w:val="000A5735"/>
    <w:rsid w:val="000A5A8B"/>
    <w:rsid w:val="000A5B25"/>
    <w:rsid w:val="000A5C7F"/>
    <w:rsid w:val="000A6336"/>
    <w:rsid w:val="000A6458"/>
    <w:rsid w:val="000A649A"/>
    <w:rsid w:val="000A64F9"/>
    <w:rsid w:val="000A6667"/>
    <w:rsid w:val="000A6788"/>
    <w:rsid w:val="000A67FB"/>
    <w:rsid w:val="000A6853"/>
    <w:rsid w:val="000A6A0E"/>
    <w:rsid w:val="000A70EC"/>
    <w:rsid w:val="000A7176"/>
    <w:rsid w:val="000A721B"/>
    <w:rsid w:val="000A7554"/>
    <w:rsid w:val="000A76C1"/>
    <w:rsid w:val="000A797A"/>
    <w:rsid w:val="000B0177"/>
    <w:rsid w:val="000B042B"/>
    <w:rsid w:val="000B06EF"/>
    <w:rsid w:val="000B0C34"/>
    <w:rsid w:val="000B0D06"/>
    <w:rsid w:val="000B0E4A"/>
    <w:rsid w:val="000B1C31"/>
    <w:rsid w:val="000B1D88"/>
    <w:rsid w:val="000B1DB6"/>
    <w:rsid w:val="000B26A2"/>
    <w:rsid w:val="000B2744"/>
    <w:rsid w:val="000B286F"/>
    <w:rsid w:val="000B323C"/>
    <w:rsid w:val="000B34A9"/>
    <w:rsid w:val="000B3D5C"/>
    <w:rsid w:val="000B4159"/>
    <w:rsid w:val="000B479E"/>
    <w:rsid w:val="000B4D8F"/>
    <w:rsid w:val="000B537A"/>
    <w:rsid w:val="000B55BC"/>
    <w:rsid w:val="000B582A"/>
    <w:rsid w:val="000B58C5"/>
    <w:rsid w:val="000B58F6"/>
    <w:rsid w:val="000B5A7B"/>
    <w:rsid w:val="000B5B2A"/>
    <w:rsid w:val="000B5FE5"/>
    <w:rsid w:val="000B62D5"/>
    <w:rsid w:val="000B6AC4"/>
    <w:rsid w:val="000B6BFD"/>
    <w:rsid w:val="000B6FFD"/>
    <w:rsid w:val="000B7324"/>
    <w:rsid w:val="000B76C9"/>
    <w:rsid w:val="000B7BD6"/>
    <w:rsid w:val="000B7DFF"/>
    <w:rsid w:val="000C0D2C"/>
    <w:rsid w:val="000C0D8B"/>
    <w:rsid w:val="000C17FE"/>
    <w:rsid w:val="000C1EA1"/>
    <w:rsid w:val="000C200B"/>
    <w:rsid w:val="000C20BD"/>
    <w:rsid w:val="000C217F"/>
    <w:rsid w:val="000C22BB"/>
    <w:rsid w:val="000C2662"/>
    <w:rsid w:val="000C285D"/>
    <w:rsid w:val="000C29C3"/>
    <w:rsid w:val="000C2ACE"/>
    <w:rsid w:val="000C32A2"/>
    <w:rsid w:val="000C34A4"/>
    <w:rsid w:val="000C3D42"/>
    <w:rsid w:val="000C3D52"/>
    <w:rsid w:val="000C3F43"/>
    <w:rsid w:val="000C4249"/>
    <w:rsid w:val="000C469D"/>
    <w:rsid w:val="000C4718"/>
    <w:rsid w:val="000C4ACF"/>
    <w:rsid w:val="000C4B8F"/>
    <w:rsid w:val="000C4E67"/>
    <w:rsid w:val="000C55D2"/>
    <w:rsid w:val="000C5AD0"/>
    <w:rsid w:val="000C5AF6"/>
    <w:rsid w:val="000C5F81"/>
    <w:rsid w:val="000C600C"/>
    <w:rsid w:val="000C6427"/>
    <w:rsid w:val="000C6691"/>
    <w:rsid w:val="000C66AB"/>
    <w:rsid w:val="000C6BC1"/>
    <w:rsid w:val="000C6F2C"/>
    <w:rsid w:val="000C6F3C"/>
    <w:rsid w:val="000C6FC6"/>
    <w:rsid w:val="000C7B1B"/>
    <w:rsid w:val="000C7DC3"/>
    <w:rsid w:val="000C7F0A"/>
    <w:rsid w:val="000D00D0"/>
    <w:rsid w:val="000D02C0"/>
    <w:rsid w:val="000D0335"/>
    <w:rsid w:val="000D068D"/>
    <w:rsid w:val="000D0ABC"/>
    <w:rsid w:val="000D0B60"/>
    <w:rsid w:val="000D2199"/>
    <w:rsid w:val="000D21E9"/>
    <w:rsid w:val="000D2370"/>
    <w:rsid w:val="000D27E0"/>
    <w:rsid w:val="000D2EF2"/>
    <w:rsid w:val="000D2EF8"/>
    <w:rsid w:val="000D35E6"/>
    <w:rsid w:val="000D4262"/>
    <w:rsid w:val="000D4A95"/>
    <w:rsid w:val="000D4B0A"/>
    <w:rsid w:val="000D4CB2"/>
    <w:rsid w:val="000D504E"/>
    <w:rsid w:val="000D5D08"/>
    <w:rsid w:val="000D5FD4"/>
    <w:rsid w:val="000D609C"/>
    <w:rsid w:val="000D6372"/>
    <w:rsid w:val="000D63D4"/>
    <w:rsid w:val="000D644F"/>
    <w:rsid w:val="000D650C"/>
    <w:rsid w:val="000D659B"/>
    <w:rsid w:val="000D6682"/>
    <w:rsid w:val="000D6871"/>
    <w:rsid w:val="000D6B19"/>
    <w:rsid w:val="000D6C1E"/>
    <w:rsid w:val="000D6C31"/>
    <w:rsid w:val="000D739F"/>
    <w:rsid w:val="000D76B8"/>
    <w:rsid w:val="000E0DDA"/>
    <w:rsid w:val="000E0DDC"/>
    <w:rsid w:val="000E0FD5"/>
    <w:rsid w:val="000E12B8"/>
    <w:rsid w:val="000E1492"/>
    <w:rsid w:val="000E14F8"/>
    <w:rsid w:val="000E2641"/>
    <w:rsid w:val="000E2D9C"/>
    <w:rsid w:val="000E314F"/>
    <w:rsid w:val="000E354E"/>
    <w:rsid w:val="000E3F52"/>
    <w:rsid w:val="000E408C"/>
    <w:rsid w:val="000E4544"/>
    <w:rsid w:val="000E46DD"/>
    <w:rsid w:val="000E4FAD"/>
    <w:rsid w:val="000E51AF"/>
    <w:rsid w:val="000E5848"/>
    <w:rsid w:val="000E58ED"/>
    <w:rsid w:val="000E5C01"/>
    <w:rsid w:val="000E5F75"/>
    <w:rsid w:val="000E5F9F"/>
    <w:rsid w:val="000E61FF"/>
    <w:rsid w:val="000E6595"/>
    <w:rsid w:val="000E66A4"/>
    <w:rsid w:val="000E698A"/>
    <w:rsid w:val="000E7449"/>
    <w:rsid w:val="000E77E1"/>
    <w:rsid w:val="000E79B2"/>
    <w:rsid w:val="000E79FF"/>
    <w:rsid w:val="000E7E36"/>
    <w:rsid w:val="000F0018"/>
    <w:rsid w:val="000F0110"/>
    <w:rsid w:val="000F03C3"/>
    <w:rsid w:val="000F053A"/>
    <w:rsid w:val="000F0B11"/>
    <w:rsid w:val="000F0CAA"/>
    <w:rsid w:val="000F0FF6"/>
    <w:rsid w:val="000F148A"/>
    <w:rsid w:val="000F198F"/>
    <w:rsid w:val="000F20BB"/>
    <w:rsid w:val="000F21FB"/>
    <w:rsid w:val="000F23CF"/>
    <w:rsid w:val="000F2419"/>
    <w:rsid w:val="000F25F8"/>
    <w:rsid w:val="000F276F"/>
    <w:rsid w:val="000F2A53"/>
    <w:rsid w:val="000F2E10"/>
    <w:rsid w:val="000F2EC6"/>
    <w:rsid w:val="000F378E"/>
    <w:rsid w:val="000F3E41"/>
    <w:rsid w:val="000F41D6"/>
    <w:rsid w:val="000F44FE"/>
    <w:rsid w:val="000F4790"/>
    <w:rsid w:val="000F4868"/>
    <w:rsid w:val="000F4C14"/>
    <w:rsid w:val="000F519A"/>
    <w:rsid w:val="000F543C"/>
    <w:rsid w:val="000F560B"/>
    <w:rsid w:val="000F589B"/>
    <w:rsid w:val="000F5CDC"/>
    <w:rsid w:val="000F62E1"/>
    <w:rsid w:val="000F6C52"/>
    <w:rsid w:val="000F6D88"/>
    <w:rsid w:val="000F6E66"/>
    <w:rsid w:val="000F708D"/>
    <w:rsid w:val="000F730B"/>
    <w:rsid w:val="000F7362"/>
    <w:rsid w:val="000F7A61"/>
    <w:rsid w:val="000F7E11"/>
    <w:rsid w:val="000F7E71"/>
    <w:rsid w:val="000F7F38"/>
    <w:rsid w:val="000F7F5E"/>
    <w:rsid w:val="0010008B"/>
    <w:rsid w:val="0010053E"/>
    <w:rsid w:val="00100E7E"/>
    <w:rsid w:val="00101071"/>
    <w:rsid w:val="00101247"/>
    <w:rsid w:val="0010158D"/>
    <w:rsid w:val="00101643"/>
    <w:rsid w:val="00101A17"/>
    <w:rsid w:val="00101D1F"/>
    <w:rsid w:val="00101EF8"/>
    <w:rsid w:val="0010258B"/>
    <w:rsid w:val="00102AFF"/>
    <w:rsid w:val="00103138"/>
    <w:rsid w:val="001033A2"/>
    <w:rsid w:val="001038FF"/>
    <w:rsid w:val="00103C10"/>
    <w:rsid w:val="00103C18"/>
    <w:rsid w:val="00104297"/>
    <w:rsid w:val="001045AB"/>
    <w:rsid w:val="00104A6A"/>
    <w:rsid w:val="00105063"/>
    <w:rsid w:val="001059B1"/>
    <w:rsid w:val="00105C8E"/>
    <w:rsid w:val="00105D98"/>
    <w:rsid w:val="00105E16"/>
    <w:rsid w:val="00105E18"/>
    <w:rsid w:val="00105F79"/>
    <w:rsid w:val="00106109"/>
    <w:rsid w:val="0010612C"/>
    <w:rsid w:val="0010628C"/>
    <w:rsid w:val="0010670B"/>
    <w:rsid w:val="00106BA2"/>
    <w:rsid w:val="00106C3E"/>
    <w:rsid w:val="00106CCE"/>
    <w:rsid w:val="0010741C"/>
    <w:rsid w:val="001074FC"/>
    <w:rsid w:val="00107813"/>
    <w:rsid w:val="00107928"/>
    <w:rsid w:val="00107A70"/>
    <w:rsid w:val="00107F4F"/>
    <w:rsid w:val="0011026A"/>
    <w:rsid w:val="001103CF"/>
    <w:rsid w:val="001103ED"/>
    <w:rsid w:val="00110BE7"/>
    <w:rsid w:val="00110CDE"/>
    <w:rsid w:val="00110F45"/>
    <w:rsid w:val="00110F8C"/>
    <w:rsid w:val="00111562"/>
    <w:rsid w:val="001119F3"/>
    <w:rsid w:val="00111B41"/>
    <w:rsid w:val="0011215D"/>
    <w:rsid w:val="0011252E"/>
    <w:rsid w:val="00112750"/>
    <w:rsid w:val="001128D1"/>
    <w:rsid w:val="0011300F"/>
    <w:rsid w:val="0011312C"/>
    <w:rsid w:val="00113590"/>
    <w:rsid w:val="00113974"/>
    <w:rsid w:val="00113CE0"/>
    <w:rsid w:val="00113E78"/>
    <w:rsid w:val="00113FA3"/>
    <w:rsid w:val="0011499E"/>
    <w:rsid w:val="00114CE1"/>
    <w:rsid w:val="00115633"/>
    <w:rsid w:val="0011567A"/>
    <w:rsid w:val="0011585F"/>
    <w:rsid w:val="001158D6"/>
    <w:rsid w:val="001159F4"/>
    <w:rsid w:val="00115BDF"/>
    <w:rsid w:val="00115F04"/>
    <w:rsid w:val="001169D7"/>
    <w:rsid w:val="00116A7F"/>
    <w:rsid w:val="00117D72"/>
    <w:rsid w:val="00120061"/>
    <w:rsid w:val="001201EC"/>
    <w:rsid w:val="0012038E"/>
    <w:rsid w:val="001203D2"/>
    <w:rsid w:val="00120455"/>
    <w:rsid w:val="001206C1"/>
    <w:rsid w:val="00120B9F"/>
    <w:rsid w:val="00120DB9"/>
    <w:rsid w:val="001211B7"/>
    <w:rsid w:val="00121373"/>
    <w:rsid w:val="0012139B"/>
    <w:rsid w:val="001213CA"/>
    <w:rsid w:val="0012161D"/>
    <w:rsid w:val="001225CF"/>
    <w:rsid w:val="00122824"/>
    <w:rsid w:val="00122A62"/>
    <w:rsid w:val="00122E9F"/>
    <w:rsid w:val="001238A0"/>
    <w:rsid w:val="00123996"/>
    <w:rsid w:val="00123A40"/>
    <w:rsid w:val="00123B5A"/>
    <w:rsid w:val="00123C46"/>
    <w:rsid w:val="00124633"/>
    <w:rsid w:val="0012477B"/>
    <w:rsid w:val="001247C1"/>
    <w:rsid w:val="0012488F"/>
    <w:rsid w:val="00124910"/>
    <w:rsid w:val="00124B1D"/>
    <w:rsid w:val="00125246"/>
    <w:rsid w:val="001252A0"/>
    <w:rsid w:val="001254A6"/>
    <w:rsid w:val="001254DF"/>
    <w:rsid w:val="00125B0E"/>
    <w:rsid w:val="00125B96"/>
    <w:rsid w:val="00125DE2"/>
    <w:rsid w:val="00125FDD"/>
    <w:rsid w:val="0012625F"/>
    <w:rsid w:val="0012640B"/>
    <w:rsid w:val="001265A8"/>
    <w:rsid w:val="0012676C"/>
    <w:rsid w:val="0012680C"/>
    <w:rsid w:val="00126A66"/>
    <w:rsid w:val="00126B58"/>
    <w:rsid w:val="00126FE8"/>
    <w:rsid w:val="0012716B"/>
    <w:rsid w:val="0012757D"/>
    <w:rsid w:val="0012768A"/>
    <w:rsid w:val="00127750"/>
    <w:rsid w:val="001279BF"/>
    <w:rsid w:val="0013005A"/>
    <w:rsid w:val="001303E5"/>
    <w:rsid w:val="0013067B"/>
    <w:rsid w:val="00130E55"/>
    <w:rsid w:val="00130E5A"/>
    <w:rsid w:val="001311C6"/>
    <w:rsid w:val="001319CB"/>
    <w:rsid w:val="00131C8D"/>
    <w:rsid w:val="00131F2A"/>
    <w:rsid w:val="00131FE1"/>
    <w:rsid w:val="00132681"/>
    <w:rsid w:val="0013271F"/>
    <w:rsid w:val="00132807"/>
    <w:rsid w:val="0013287D"/>
    <w:rsid w:val="0013305B"/>
    <w:rsid w:val="00133EBB"/>
    <w:rsid w:val="0013429B"/>
    <w:rsid w:val="00134389"/>
    <w:rsid w:val="001349C0"/>
    <w:rsid w:val="00134F7E"/>
    <w:rsid w:val="00135002"/>
    <w:rsid w:val="0013506F"/>
    <w:rsid w:val="001350FA"/>
    <w:rsid w:val="00135138"/>
    <w:rsid w:val="0013530D"/>
    <w:rsid w:val="00135519"/>
    <w:rsid w:val="00135B45"/>
    <w:rsid w:val="00136335"/>
    <w:rsid w:val="001365B1"/>
    <w:rsid w:val="00136848"/>
    <w:rsid w:val="00136D2E"/>
    <w:rsid w:val="00136E50"/>
    <w:rsid w:val="00136F1F"/>
    <w:rsid w:val="0013706C"/>
    <w:rsid w:val="0013747E"/>
    <w:rsid w:val="001401D3"/>
    <w:rsid w:val="00140598"/>
    <w:rsid w:val="00140DE5"/>
    <w:rsid w:val="001415BA"/>
    <w:rsid w:val="0014188E"/>
    <w:rsid w:val="00141B05"/>
    <w:rsid w:val="00141D48"/>
    <w:rsid w:val="001424ED"/>
    <w:rsid w:val="00142584"/>
    <w:rsid w:val="0014277A"/>
    <w:rsid w:val="0014282D"/>
    <w:rsid w:val="00142967"/>
    <w:rsid w:val="00142B3D"/>
    <w:rsid w:val="00142F52"/>
    <w:rsid w:val="00143621"/>
    <w:rsid w:val="00143CFA"/>
    <w:rsid w:val="00143D35"/>
    <w:rsid w:val="00143ECC"/>
    <w:rsid w:val="00143F6B"/>
    <w:rsid w:val="00144307"/>
    <w:rsid w:val="001445CE"/>
    <w:rsid w:val="00144AF6"/>
    <w:rsid w:val="00144CA3"/>
    <w:rsid w:val="00145648"/>
    <w:rsid w:val="00145960"/>
    <w:rsid w:val="00145CDA"/>
    <w:rsid w:val="00146B80"/>
    <w:rsid w:val="00146ECE"/>
    <w:rsid w:val="0014716E"/>
    <w:rsid w:val="001471A5"/>
    <w:rsid w:val="001477F1"/>
    <w:rsid w:val="00147886"/>
    <w:rsid w:val="00147B33"/>
    <w:rsid w:val="00147EC2"/>
    <w:rsid w:val="00150097"/>
    <w:rsid w:val="001502D0"/>
    <w:rsid w:val="001506D5"/>
    <w:rsid w:val="0015093D"/>
    <w:rsid w:val="00150AE7"/>
    <w:rsid w:val="00150E60"/>
    <w:rsid w:val="001511DD"/>
    <w:rsid w:val="001512F5"/>
    <w:rsid w:val="0015136C"/>
    <w:rsid w:val="00152336"/>
    <w:rsid w:val="00152B34"/>
    <w:rsid w:val="001531DB"/>
    <w:rsid w:val="00153616"/>
    <w:rsid w:val="001536F8"/>
    <w:rsid w:val="00153A15"/>
    <w:rsid w:val="001541C0"/>
    <w:rsid w:val="0015423F"/>
    <w:rsid w:val="00154386"/>
    <w:rsid w:val="001543AA"/>
    <w:rsid w:val="001548B0"/>
    <w:rsid w:val="00154BA3"/>
    <w:rsid w:val="00154D20"/>
    <w:rsid w:val="00154DEC"/>
    <w:rsid w:val="00154EEC"/>
    <w:rsid w:val="00155406"/>
    <w:rsid w:val="001555E4"/>
    <w:rsid w:val="00155B5A"/>
    <w:rsid w:val="00155E5B"/>
    <w:rsid w:val="00155E73"/>
    <w:rsid w:val="00155FAB"/>
    <w:rsid w:val="001560D5"/>
    <w:rsid w:val="001570C8"/>
    <w:rsid w:val="00157349"/>
    <w:rsid w:val="001600BD"/>
    <w:rsid w:val="00160272"/>
    <w:rsid w:val="001607B9"/>
    <w:rsid w:val="001608BE"/>
    <w:rsid w:val="00160B40"/>
    <w:rsid w:val="00160BF0"/>
    <w:rsid w:val="00160CD5"/>
    <w:rsid w:val="001611C3"/>
    <w:rsid w:val="001611E1"/>
    <w:rsid w:val="00161907"/>
    <w:rsid w:val="00161A70"/>
    <w:rsid w:val="00161C5B"/>
    <w:rsid w:val="00162701"/>
    <w:rsid w:val="001627D2"/>
    <w:rsid w:val="00162C16"/>
    <w:rsid w:val="00163032"/>
    <w:rsid w:val="00163222"/>
    <w:rsid w:val="00163DFE"/>
    <w:rsid w:val="0016421B"/>
    <w:rsid w:val="00164973"/>
    <w:rsid w:val="00164D65"/>
    <w:rsid w:val="00165355"/>
    <w:rsid w:val="00165748"/>
    <w:rsid w:val="00165991"/>
    <w:rsid w:val="00165EC0"/>
    <w:rsid w:val="001660E1"/>
    <w:rsid w:val="00166109"/>
    <w:rsid w:val="0016686E"/>
    <w:rsid w:val="00166C62"/>
    <w:rsid w:val="00166E2F"/>
    <w:rsid w:val="001675C9"/>
    <w:rsid w:val="00167733"/>
    <w:rsid w:val="00170394"/>
    <w:rsid w:val="00170B73"/>
    <w:rsid w:val="00171785"/>
    <w:rsid w:val="00171C14"/>
    <w:rsid w:val="00171C8E"/>
    <w:rsid w:val="00171EBA"/>
    <w:rsid w:val="00172010"/>
    <w:rsid w:val="00172045"/>
    <w:rsid w:val="001726B2"/>
    <w:rsid w:val="00172A62"/>
    <w:rsid w:val="001730A6"/>
    <w:rsid w:val="001733F1"/>
    <w:rsid w:val="00173776"/>
    <w:rsid w:val="0017395A"/>
    <w:rsid w:val="00173AA2"/>
    <w:rsid w:val="00173AD9"/>
    <w:rsid w:val="00173EF8"/>
    <w:rsid w:val="00174260"/>
    <w:rsid w:val="001742DF"/>
    <w:rsid w:val="00174FDB"/>
    <w:rsid w:val="001755CA"/>
    <w:rsid w:val="00175634"/>
    <w:rsid w:val="001756CD"/>
    <w:rsid w:val="00175ECB"/>
    <w:rsid w:val="00176019"/>
    <w:rsid w:val="00176843"/>
    <w:rsid w:val="00176938"/>
    <w:rsid w:val="001778B9"/>
    <w:rsid w:val="001779C6"/>
    <w:rsid w:val="00177A69"/>
    <w:rsid w:val="00177ADE"/>
    <w:rsid w:val="00177F5B"/>
    <w:rsid w:val="00180499"/>
    <w:rsid w:val="0018085C"/>
    <w:rsid w:val="001809B7"/>
    <w:rsid w:val="00180F00"/>
    <w:rsid w:val="00180FFB"/>
    <w:rsid w:val="00181171"/>
    <w:rsid w:val="001819BA"/>
    <w:rsid w:val="00181B37"/>
    <w:rsid w:val="00181DAE"/>
    <w:rsid w:val="00182127"/>
    <w:rsid w:val="001822BB"/>
    <w:rsid w:val="0018294C"/>
    <w:rsid w:val="00182AD3"/>
    <w:rsid w:val="00182DCB"/>
    <w:rsid w:val="0018373F"/>
    <w:rsid w:val="0018380C"/>
    <w:rsid w:val="001838DD"/>
    <w:rsid w:val="00183B37"/>
    <w:rsid w:val="00183B62"/>
    <w:rsid w:val="001841CE"/>
    <w:rsid w:val="00184225"/>
    <w:rsid w:val="001844D4"/>
    <w:rsid w:val="00184BDE"/>
    <w:rsid w:val="00184D0B"/>
    <w:rsid w:val="00184F73"/>
    <w:rsid w:val="00185199"/>
    <w:rsid w:val="001851B2"/>
    <w:rsid w:val="001858D1"/>
    <w:rsid w:val="00185DFF"/>
    <w:rsid w:val="00185E1F"/>
    <w:rsid w:val="001864E6"/>
    <w:rsid w:val="0018657E"/>
    <w:rsid w:val="001865C6"/>
    <w:rsid w:val="00186BA6"/>
    <w:rsid w:val="00186E5D"/>
    <w:rsid w:val="00186EC1"/>
    <w:rsid w:val="00186FFF"/>
    <w:rsid w:val="00187AF9"/>
    <w:rsid w:val="00187C69"/>
    <w:rsid w:val="00187E2C"/>
    <w:rsid w:val="00190546"/>
    <w:rsid w:val="001906D4"/>
    <w:rsid w:val="0019089F"/>
    <w:rsid w:val="00190A48"/>
    <w:rsid w:val="00190B42"/>
    <w:rsid w:val="00190FA3"/>
    <w:rsid w:val="0019138B"/>
    <w:rsid w:val="00191535"/>
    <w:rsid w:val="001915FA"/>
    <w:rsid w:val="0019172D"/>
    <w:rsid w:val="001918E5"/>
    <w:rsid w:val="00191A1B"/>
    <w:rsid w:val="00192102"/>
    <w:rsid w:val="00192151"/>
    <w:rsid w:val="00192689"/>
    <w:rsid w:val="0019270D"/>
    <w:rsid w:val="001928F7"/>
    <w:rsid w:val="00192B5A"/>
    <w:rsid w:val="00193ADE"/>
    <w:rsid w:val="00193BA5"/>
    <w:rsid w:val="00194CD0"/>
    <w:rsid w:val="00194D5F"/>
    <w:rsid w:val="0019502D"/>
    <w:rsid w:val="0019508D"/>
    <w:rsid w:val="001953B7"/>
    <w:rsid w:val="001958F6"/>
    <w:rsid w:val="00195C68"/>
    <w:rsid w:val="00196273"/>
    <w:rsid w:val="00196331"/>
    <w:rsid w:val="00196371"/>
    <w:rsid w:val="001966CB"/>
    <w:rsid w:val="00196C83"/>
    <w:rsid w:val="001975C3"/>
    <w:rsid w:val="001977B7"/>
    <w:rsid w:val="00197C32"/>
    <w:rsid w:val="001A00A9"/>
    <w:rsid w:val="001A0252"/>
    <w:rsid w:val="001A0913"/>
    <w:rsid w:val="001A0D87"/>
    <w:rsid w:val="001A0EC8"/>
    <w:rsid w:val="001A1548"/>
    <w:rsid w:val="001A1CA1"/>
    <w:rsid w:val="001A1F47"/>
    <w:rsid w:val="001A2158"/>
    <w:rsid w:val="001A2CDE"/>
    <w:rsid w:val="001A2D89"/>
    <w:rsid w:val="001A30D0"/>
    <w:rsid w:val="001A33EA"/>
    <w:rsid w:val="001A3493"/>
    <w:rsid w:val="001A372B"/>
    <w:rsid w:val="001A3F9F"/>
    <w:rsid w:val="001A400B"/>
    <w:rsid w:val="001A4086"/>
    <w:rsid w:val="001A40C0"/>
    <w:rsid w:val="001A49DD"/>
    <w:rsid w:val="001A4E25"/>
    <w:rsid w:val="001A4ECB"/>
    <w:rsid w:val="001A5252"/>
    <w:rsid w:val="001A5488"/>
    <w:rsid w:val="001A5E34"/>
    <w:rsid w:val="001A601B"/>
    <w:rsid w:val="001A623A"/>
    <w:rsid w:val="001A6321"/>
    <w:rsid w:val="001A690D"/>
    <w:rsid w:val="001A6BA3"/>
    <w:rsid w:val="001A701E"/>
    <w:rsid w:val="001A705B"/>
    <w:rsid w:val="001A7096"/>
    <w:rsid w:val="001A7578"/>
    <w:rsid w:val="001A7763"/>
    <w:rsid w:val="001A78E6"/>
    <w:rsid w:val="001A7C7A"/>
    <w:rsid w:val="001B061C"/>
    <w:rsid w:val="001B0732"/>
    <w:rsid w:val="001B07A1"/>
    <w:rsid w:val="001B09D9"/>
    <w:rsid w:val="001B11DC"/>
    <w:rsid w:val="001B1439"/>
    <w:rsid w:val="001B1474"/>
    <w:rsid w:val="001B1622"/>
    <w:rsid w:val="001B19E4"/>
    <w:rsid w:val="001B1D77"/>
    <w:rsid w:val="001B1F64"/>
    <w:rsid w:val="001B271F"/>
    <w:rsid w:val="001B2C19"/>
    <w:rsid w:val="001B37DD"/>
    <w:rsid w:val="001B3A01"/>
    <w:rsid w:val="001B3F2B"/>
    <w:rsid w:val="001B4010"/>
    <w:rsid w:val="001B468C"/>
    <w:rsid w:val="001B4DEC"/>
    <w:rsid w:val="001B4FF8"/>
    <w:rsid w:val="001B520B"/>
    <w:rsid w:val="001B5486"/>
    <w:rsid w:val="001B57C2"/>
    <w:rsid w:val="001B5995"/>
    <w:rsid w:val="001B5C58"/>
    <w:rsid w:val="001B6E13"/>
    <w:rsid w:val="001B6EBA"/>
    <w:rsid w:val="001B703A"/>
    <w:rsid w:val="001B70B4"/>
    <w:rsid w:val="001B728D"/>
    <w:rsid w:val="001B7341"/>
    <w:rsid w:val="001B7490"/>
    <w:rsid w:val="001B757D"/>
    <w:rsid w:val="001B77D3"/>
    <w:rsid w:val="001C006F"/>
    <w:rsid w:val="001C077C"/>
    <w:rsid w:val="001C0888"/>
    <w:rsid w:val="001C0B03"/>
    <w:rsid w:val="001C0FD8"/>
    <w:rsid w:val="001C16D0"/>
    <w:rsid w:val="001C1B09"/>
    <w:rsid w:val="001C1C78"/>
    <w:rsid w:val="001C1D9E"/>
    <w:rsid w:val="001C2BFE"/>
    <w:rsid w:val="001C2CB7"/>
    <w:rsid w:val="001C3538"/>
    <w:rsid w:val="001C39A0"/>
    <w:rsid w:val="001C420C"/>
    <w:rsid w:val="001C4230"/>
    <w:rsid w:val="001C4C06"/>
    <w:rsid w:val="001C5B5D"/>
    <w:rsid w:val="001C5EFE"/>
    <w:rsid w:val="001C6102"/>
    <w:rsid w:val="001C62C8"/>
    <w:rsid w:val="001C6A37"/>
    <w:rsid w:val="001C70AC"/>
    <w:rsid w:val="001C7116"/>
    <w:rsid w:val="001C7627"/>
    <w:rsid w:val="001C7671"/>
    <w:rsid w:val="001C7B86"/>
    <w:rsid w:val="001C7C24"/>
    <w:rsid w:val="001D020E"/>
    <w:rsid w:val="001D04FB"/>
    <w:rsid w:val="001D0AC9"/>
    <w:rsid w:val="001D0C31"/>
    <w:rsid w:val="001D0EA1"/>
    <w:rsid w:val="001D169C"/>
    <w:rsid w:val="001D1BD6"/>
    <w:rsid w:val="001D1F80"/>
    <w:rsid w:val="001D2136"/>
    <w:rsid w:val="001D216F"/>
    <w:rsid w:val="001D23EA"/>
    <w:rsid w:val="001D2E63"/>
    <w:rsid w:val="001D2F75"/>
    <w:rsid w:val="001D31A6"/>
    <w:rsid w:val="001D33D3"/>
    <w:rsid w:val="001D3518"/>
    <w:rsid w:val="001D3A21"/>
    <w:rsid w:val="001D4B78"/>
    <w:rsid w:val="001D53BA"/>
    <w:rsid w:val="001D568A"/>
    <w:rsid w:val="001D5738"/>
    <w:rsid w:val="001D57CE"/>
    <w:rsid w:val="001D59A0"/>
    <w:rsid w:val="001D5B80"/>
    <w:rsid w:val="001D5BB7"/>
    <w:rsid w:val="001D5C40"/>
    <w:rsid w:val="001D5F91"/>
    <w:rsid w:val="001D6062"/>
    <w:rsid w:val="001D60B8"/>
    <w:rsid w:val="001D6356"/>
    <w:rsid w:val="001D6526"/>
    <w:rsid w:val="001D6977"/>
    <w:rsid w:val="001D6C2C"/>
    <w:rsid w:val="001D6CCE"/>
    <w:rsid w:val="001D6D90"/>
    <w:rsid w:val="001D6E4E"/>
    <w:rsid w:val="001D70C9"/>
    <w:rsid w:val="001D723B"/>
    <w:rsid w:val="001D732F"/>
    <w:rsid w:val="001D740C"/>
    <w:rsid w:val="001D77F9"/>
    <w:rsid w:val="001D7981"/>
    <w:rsid w:val="001D7EC4"/>
    <w:rsid w:val="001E06AE"/>
    <w:rsid w:val="001E07A0"/>
    <w:rsid w:val="001E0F16"/>
    <w:rsid w:val="001E1367"/>
    <w:rsid w:val="001E1EDD"/>
    <w:rsid w:val="001E1FB2"/>
    <w:rsid w:val="001E20F4"/>
    <w:rsid w:val="001E21F7"/>
    <w:rsid w:val="001E242E"/>
    <w:rsid w:val="001E2956"/>
    <w:rsid w:val="001E2AF5"/>
    <w:rsid w:val="001E2CC4"/>
    <w:rsid w:val="001E2E05"/>
    <w:rsid w:val="001E30C8"/>
    <w:rsid w:val="001E3197"/>
    <w:rsid w:val="001E33CC"/>
    <w:rsid w:val="001E37B8"/>
    <w:rsid w:val="001E3879"/>
    <w:rsid w:val="001E3BE7"/>
    <w:rsid w:val="001E3C8A"/>
    <w:rsid w:val="001E403B"/>
    <w:rsid w:val="001E474F"/>
    <w:rsid w:val="001E47E6"/>
    <w:rsid w:val="001E48CD"/>
    <w:rsid w:val="001E491D"/>
    <w:rsid w:val="001E4A65"/>
    <w:rsid w:val="001E4D0B"/>
    <w:rsid w:val="001E4EDC"/>
    <w:rsid w:val="001E4F19"/>
    <w:rsid w:val="001E4F3E"/>
    <w:rsid w:val="001E4F97"/>
    <w:rsid w:val="001E5254"/>
    <w:rsid w:val="001E5B9C"/>
    <w:rsid w:val="001E5DEF"/>
    <w:rsid w:val="001E5F45"/>
    <w:rsid w:val="001E5F5D"/>
    <w:rsid w:val="001E629B"/>
    <w:rsid w:val="001E665D"/>
    <w:rsid w:val="001E66E8"/>
    <w:rsid w:val="001E674E"/>
    <w:rsid w:val="001E6AD5"/>
    <w:rsid w:val="001E7262"/>
    <w:rsid w:val="001E768D"/>
    <w:rsid w:val="001E7944"/>
    <w:rsid w:val="001E7B1C"/>
    <w:rsid w:val="001E7C2D"/>
    <w:rsid w:val="001F02CE"/>
    <w:rsid w:val="001F056E"/>
    <w:rsid w:val="001F06A2"/>
    <w:rsid w:val="001F12BC"/>
    <w:rsid w:val="001F2063"/>
    <w:rsid w:val="001F2439"/>
    <w:rsid w:val="001F255C"/>
    <w:rsid w:val="001F27B0"/>
    <w:rsid w:val="001F2986"/>
    <w:rsid w:val="001F2C5A"/>
    <w:rsid w:val="001F31A6"/>
    <w:rsid w:val="001F3366"/>
    <w:rsid w:val="001F3401"/>
    <w:rsid w:val="001F37F5"/>
    <w:rsid w:val="001F4038"/>
    <w:rsid w:val="001F45C1"/>
    <w:rsid w:val="001F45E1"/>
    <w:rsid w:val="001F4A9B"/>
    <w:rsid w:val="001F4B0C"/>
    <w:rsid w:val="001F4D46"/>
    <w:rsid w:val="001F4FB3"/>
    <w:rsid w:val="001F525A"/>
    <w:rsid w:val="001F52A9"/>
    <w:rsid w:val="001F5920"/>
    <w:rsid w:val="001F59F3"/>
    <w:rsid w:val="001F5C09"/>
    <w:rsid w:val="001F6101"/>
    <w:rsid w:val="001F6672"/>
    <w:rsid w:val="001F6807"/>
    <w:rsid w:val="001F6B1B"/>
    <w:rsid w:val="001F6DCF"/>
    <w:rsid w:val="001F7053"/>
    <w:rsid w:val="0020070F"/>
    <w:rsid w:val="002009B1"/>
    <w:rsid w:val="002009F5"/>
    <w:rsid w:val="00200D9D"/>
    <w:rsid w:val="00200DC1"/>
    <w:rsid w:val="00200FBD"/>
    <w:rsid w:val="00201038"/>
    <w:rsid w:val="0020159A"/>
    <w:rsid w:val="00201797"/>
    <w:rsid w:val="002017D1"/>
    <w:rsid w:val="00201CA2"/>
    <w:rsid w:val="00201DF7"/>
    <w:rsid w:val="00202047"/>
    <w:rsid w:val="00202701"/>
    <w:rsid w:val="0020276E"/>
    <w:rsid w:val="002029A8"/>
    <w:rsid w:val="00202A63"/>
    <w:rsid w:val="00202B82"/>
    <w:rsid w:val="00203C46"/>
    <w:rsid w:val="00203F96"/>
    <w:rsid w:val="00204063"/>
    <w:rsid w:val="00204D1D"/>
    <w:rsid w:val="00205740"/>
    <w:rsid w:val="00205772"/>
    <w:rsid w:val="00205DB2"/>
    <w:rsid w:val="002061CF"/>
    <w:rsid w:val="002062D1"/>
    <w:rsid w:val="002063E4"/>
    <w:rsid w:val="002065A0"/>
    <w:rsid w:val="002066BE"/>
    <w:rsid w:val="002066E9"/>
    <w:rsid w:val="00206713"/>
    <w:rsid w:val="0020682B"/>
    <w:rsid w:val="002068F4"/>
    <w:rsid w:val="0020691D"/>
    <w:rsid w:val="00206C63"/>
    <w:rsid w:val="00206DB4"/>
    <w:rsid w:val="00206F2E"/>
    <w:rsid w:val="002073C3"/>
    <w:rsid w:val="00207453"/>
    <w:rsid w:val="00207841"/>
    <w:rsid w:val="002106F3"/>
    <w:rsid w:val="00210F17"/>
    <w:rsid w:val="00210FB5"/>
    <w:rsid w:val="00211264"/>
    <w:rsid w:val="00211943"/>
    <w:rsid w:val="002119AD"/>
    <w:rsid w:val="00211B83"/>
    <w:rsid w:val="00211EE9"/>
    <w:rsid w:val="0021205E"/>
    <w:rsid w:val="00212772"/>
    <w:rsid w:val="002129B1"/>
    <w:rsid w:val="00212A6F"/>
    <w:rsid w:val="00212E78"/>
    <w:rsid w:val="00212F59"/>
    <w:rsid w:val="00213321"/>
    <w:rsid w:val="002133B0"/>
    <w:rsid w:val="0021376C"/>
    <w:rsid w:val="00213B39"/>
    <w:rsid w:val="00213C5D"/>
    <w:rsid w:val="00214686"/>
    <w:rsid w:val="00214B40"/>
    <w:rsid w:val="00214C95"/>
    <w:rsid w:val="00214D4F"/>
    <w:rsid w:val="00214F49"/>
    <w:rsid w:val="00214F98"/>
    <w:rsid w:val="002152D2"/>
    <w:rsid w:val="002158B8"/>
    <w:rsid w:val="00215ECA"/>
    <w:rsid w:val="00215F17"/>
    <w:rsid w:val="00216311"/>
    <w:rsid w:val="002166C2"/>
    <w:rsid w:val="00216CAA"/>
    <w:rsid w:val="00216CBE"/>
    <w:rsid w:val="00216E2B"/>
    <w:rsid w:val="00216F83"/>
    <w:rsid w:val="0021722F"/>
    <w:rsid w:val="00217887"/>
    <w:rsid w:val="00217C72"/>
    <w:rsid w:val="002205FF"/>
    <w:rsid w:val="00220C2B"/>
    <w:rsid w:val="00220D79"/>
    <w:rsid w:val="00220E4B"/>
    <w:rsid w:val="00221443"/>
    <w:rsid w:val="002214DA"/>
    <w:rsid w:val="0022178C"/>
    <w:rsid w:val="00221E1A"/>
    <w:rsid w:val="002220E0"/>
    <w:rsid w:val="002225AE"/>
    <w:rsid w:val="00222677"/>
    <w:rsid w:val="00222887"/>
    <w:rsid w:val="00222EE2"/>
    <w:rsid w:val="0022401A"/>
    <w:rsid w:val="0022427F"/>
    <w:rsid w:val="002243EA"/>
    <w:rsid w:val="00224448"/>
    <w:rsid w:val="002244AF"/>
    <w:rsid w:val="00224544"/>
    <w:rsid w:val="00224947"/>
    <w:rsid w:val="00224B52"/>
    <w:rsid w:val="00224D1C"/>
    <w:rsid w:val="00225D5E"/>
    <w:rsid w:val="00225D79"/>
    <w:rsid w:val="0022611D"/>
    <w:rsid w:val="002262A6"/>
    <w:rsid w:val="002263F7"/>
    <w:rsid w:val="00226809"/>
    <w:rsid w:val="0022687D"/>
    <w:rsid w:val="00226E36"/>
    <w:rsid w:val="00226F91"/>
    <w:rsid w:val="0022707E"/>
    <w:rsid w:val="00227B89"/>
    <w:rsid w:val="00227C3C"/>
    <w:rsid w:val="00227E3A"/>
    <w:rsid w:val="00230271"/>
    <w:rsid w:val="002302CD"/>
    <w:rsid w:val="002303FC"/>
    <w:rsid w:val="00230CA5"/>
    <w:rsid w:val="0023108A"/>
    <w:rsid w:val="0023133C"/>
    <w:rsid w:val="00232010"/>
    <w:rsid w:val="0023255A"/>
    <w:rsid w:val="002325C7"/>
    <w:rsid w:val="002327F7"/>
    <w:rsid w:val="00232EAC"/>
    <w:rsid w:val="002331F2"/>
    <w:rsid w:val="00233330"/>
    <w:rsid w:val="00233919"/>
    <w:rsid w:val="002340EE"/>
    <w:rsid w:val="0023413B"/>
    <w:rsid w:val="00234598"/>
    <w:rsid w:val="002345B8"/>
    <w:rsid w:val="00234728"/>
    <w:rsid w:val="00234D38"/>
    <w:rsid w:val="00235137"/>
    <w:rsid w:val="00235406"/>
    <w:rsid w:val="0023588A"/>
    <w:rsid w:val="00235F49"/>
    <w:rsid w:val="002367C9"/>
    <w:rsid w:val="00236956"/>
    <w:rsid w:val="00236B61"/>
    <w:rsid w:val="00236DBD"/>
    <w:rsid w:val="0023738A"/>
    <w:rsid w:val="0023777F"/>
    <w:rsid w:val="00237839"/>
    <w:rsid w:val="002379EA"/>
    <w:rsid w:val="00237A84"/>
    <w:rsid w:val="00237DEA"/>
    <w:rsid w:val="00237EDE"/>
    <w:rsid w:val="00237F58"/>
    <w:rsid w:val="0024004D"/>
    <w:rsid w:val="00240120"/>
    <w:rsid w:val="002401B6"/>
    <w:rsid w:val="00240327"/>
    <w:rsid w:val="002405FA"/>
    <w:rsid w:val="002406B0"/>
    <w:rsid w:val="00240D82"/>
    <w:rsid w:val="00240E20"/>
    <w:rsid w:val="00241578"/>
    <w:rsid w:val="002417AA"/>
    <w:rsid w:val="00241BB1"/>
    <w:rsid w:val="00241DE9"/>
    <w:rsid w:val="00241E54"/>
    <w:rsid w:val="00241FB8"/>
    <w:rsid w:val="00241FDE"/>
    <w:rsid w:val="002426CA"/>
    <w:rsid w:val="00243414"/>
    <w:rsid w:val="002436B9"/>
    <w:rsid w:val="002437AE"/>
    <w:rsid w:val="002439D7"/>
    <w:rsid w:val="00243BD4"/>
    <w:rsid w:val="00243EBE"/>
    <w:rsid w:val="0024462B"/>
    <w:rsid w:val="00244903"/>
    <w:rsid w:val="00244921"/>
    <w:rsid w:val="00244F5E"/>
    <w:rsid w:val="002450FA"/>
    <w:rsid w:val="002451B9"/>
    <w:rsid w:val="0024550F"/>
    <w:rsid w:val="00245B66"/>
    <w:rsid w:val="00245D24"/>
    <w:rsid w:val="00245DF1"/>
    <w:rsid w:val="002462E2"/>
    <w:rsid w:val="002469B4"/>
    <w:rsid w:val="00246B69"/>
    <w:rsid w:val="00246BC1"/>
    <w:rsid w:val="00246ED3"/>
    <w:rsid w:val="002477E9"/>
    <w:rsid w:val="00247BA6"/>
    <w:rsid w:val="00247C77"/>
    <w:rsid w:val="00247E58"/>
    <w:rsid w:val="00247E9D"/>
    <w:rsid w:val="0025071E"/>
    <w:rsid w:val="0025086B"/>
    <w:rsid w:val="00250A83"/>
    <w:rsid w:val="00250BA5"/>
    <w:rsid w:val="00250CCB"/>
    <w:rsid w:val="00250DD5"/>
    <w:rsid w:val="00250EFF"/>
    <w:rsid w:val="002513AE"/>
    <w:rsid w:val="0025152D"/>
    <w:rsid w:val="0025168F"/>
    <w:rsid w:val="00251E32"/>
    <w:rsid w:val="00252253"/>
    <w:rsid w:val="00252292"/>
    <w:rsid w:val="002529B7"/>
    <w:rsid w:val="00252A22"/>
    <w:rsid w:val="00252E29"/>
    <w:rsid w:val="00252E41"/>
    <w:rsid w:val="002531A4"/>
    <w:rsid w:val="002537F1"/>
    <w:rsid w:val="00253B90"/>
    <w:rsid w:val="0025462E"/>
    <w:rsid w:val="00254646"/>
    <w:rsid w:val="00254F0E"/>
    <w:rsid w:val="00254FB4"/>
    <w:rsid w:val="002552B4"/>
    <w:rsid w:val="002552EB"/>
    <w:rsid w:val="0025531A"/>
    <w:rsid w:val="00255694"/>
    <w:rsid w:val="00255A3F"/>
    <w:rsid w:val="00255E2D"/>
    <w:rsid w:val="002560C9"/>
    <w:rsid w:val="002561B1"/>
    <w:rsid w:val="00256223"/>
    <w:rsid w:val="00256543"/>
    <w:rsid w:val="0025698E"/>
    <w:rsid w:val="00256A5C"/>
    <w:rsid w:val="00256BBD"/>
    <w:rsid w:val="002574F3"/>
    <w:rsid w:val="002578C4"/>
    <w:rsid w:val="0025791B"/>
    <w:rsid w:val="00257ECB"/>
    <w:rsid w:val="002601F2"/>
    <w:rsid w:val="00260758"/>
    <w:rsid w:val="00260820"/>
    <w:rsid w:val="00260A06"/>
    <w:rsid w:val="00260AB0"/>
    <w:rsid w:val="00260D86"/>
    <w:rsid w:val="00261208"/>
    <w:rsid w:val="002614CC"/>
    <w:rsid w:val="00261FBF"/>
    <w:rsid w:val="002623FA"/>
    <w:rsid w:val="002626A1"/>
    <w:rsid w:val="002627EE"/>
    <w:rsid w:val="0026298B"/>
    <w:rsid w:val="00262AB0"/>
    <w:rsid w:val="00262C94"/>
    <w:rsid w:val="00262FE7"/>
    <w:rsid w:val="002643B1"/>
    <w:rsid w:val="0026468E"/>
    <w:rsid w:val="002646AF"/>
    <w:rsid w:val="00264830"/>
    <w:rsid w:val="0026497F"/>
    <w:rsid w:val="00264A2A"/>
    <w:rsid w:val="00264B0F"/>
    <w:rsid w:val="00264CB0"/>
    <w:rsid w:val="00265055"/>
    <w:rsid w:val="00265349"/>
    <w:rsid w:val="0026545C"/>
    <w:rsid w:val="002659CF"/>
    <w:rsid w:val="00265DE9"/>
    <w:rsid w:val="00266167"/>
    <w:rsid w:val="0026688F"/>
    <w:rsid w:val="00266A94"/>
    <w:rsid w:val="00266BCB"/>
    <w:rsid w:val="0026730E"/>
    <w:rsid w:val="0026742E"/>
    <w:rsid w:val="00267774"/>
    <w:rsid w:val="0026792D"/>
    <w:rsid w:val="00267EBF"/>
    <w:rsid w:val="00270047"/>
    <w:rsid w:val="00270522"/>
    <w:rsid w:val="0027054E"/>
    <w:rsid w:val="0027055E"/>
    <w:rsid w:val="0027068C"/>
    <w:rsid w:val="00270851"/>
    <w:rsid w:val="002708D3"/>
    <w:rsid w:val="00270AEC"/>
    <w:rsid w:val="00271102"/>
    <w:rsid w:val="0027111A"/>
    <w:rsid w:val="00271233"/>
    <w:rsid w:val="00271249"/>
    <w:rsid w:val="00271666"/>
    <w:rsid w:val="002716D4"/>
    <w:rsid w:val="002719A7"/>
    <w:rsid w:val="00271C46"/>
    <w:rsid w:val="00271E37"/>
    <w:rsid w:val="00271ECC"/>
    <w:rsid w:val="002725F3"/>
    <w:rsid w:val="0027342E"/>
    <w:rsid w:val="002737BE"/>
    <w:rsid w:val="002739BA"/>
    <w:rsid w:val="0027402F"/>
    <w:rsid w:val="00274507"/>
    <w:rsid w:val="002746DA"/>
    <w:rsid w:val="00274B7A"/>
    <w:rsid w:val="00274D1B"/>
    <w:rsid w:val="00274D40"/>
    <w:rsid w:val="0027504E"/>
    <w:rsid w:val="00275464"/>
    <w:rsid w:val="002762EC"/>
    <w:rsid w:val="0027640F"/>
    <w:rsid w:val="0027655A"/>
    <w:rsid w:val="00276943"/>
    <w:rsid w:val="00276CB3"/>
    <w:rsid w:val="00276FDC"/>
    <w:rsid w:val="002770B2"/>
    <w:rsid w:val="002773F2"/>
    <w:rsid w:val="002774DA"/>
    <w:rsid w:val="00277C28"/>
    <w:rsid w:val="0028002F"/>
    <w:rsid w:val="002800CC"/>
    <w:rsid w:val="00280919"/>
    <w:rsid w:val="00280BC3"/>
    <w:rsid w:val="002811B7"/>
    <w:rsid w:val="00281203"/>
    <w:rsid w:val="0028121D"/>
    <w:rsid w:val="002818F6"/>
    <w:rsid w:val="002819AD"/>
    <w:rsid w:val="00282B77"/>
    <w:rsid w:val="00283386"/>
    <w:rsid w:val="00283851"/>
    <w:rsid w:val="00283898"/>
    <w:rsid w:val="0028393E"/>
    <w:rsid w:val="00283A53"/>
    <w:rsid w:val="0028419A"/>
    <w:rsid w:val="002843D2"/>
    <w:rsid w:val="00284407"/>
    <w:rsid w:val="00284AA9"/>
    <w:rsid w:val="00284EBA"/>
    <w:rsid w:val="00285066"/>
    <w:rsid w:val="00285306"/>
    <w:rsid w:val="00285809"/>
    <w:rsid w:val="00285B93"/>
    <w:rsid w:val="00285F0D"/>
    <w:rsid w:val="002864A0"/>
    <w:rsid w:val="00286900"/>
    <w:rsid w:val="00286A14"/>
    <w:rsid w:val="00286AEA"/>
    <w:rsid w:val="00286BC7"/>
    <w:rsid w:val="00286C18"/>
    <w:rsid w:val="00286CCC"/>
    <w:rsid w:val="00287071"/>
    <w:rsid w:val="00287110"/>
    <w:rsid w:val="0028775C"/>
    <w:rsid w:val="002878F8"/>
    <w:rsid w:val="00287966"/>
    <w:rsid w:val="00287C11"/>
    <w:rsid w:val="00287D40"/>
    <w:rsid w:val="00287F91"/>
    <w:rsid w:val="00290056"/>
    <w:rsid w:val="002901A9"/>
    <w:rsid w:val="00290925"/>
    <w:rsid w:val="00290DF8"/>
    <w:rsid w:val="00290ECC"/>
    <w:rsid w:val="00290F8E"/>
    <w:rsid w:val="00291172"/>
    <w:rsid w:val="0029166E"/>
    <w:rsid w:val="002919A0"/>
    <w:rsid w:val="00291A2C"/>
    <w:rsid w:val="00291CB9"/>
    <w:rsid w:val="0029221B"/>
    <w:rsid w:val="00292322"/>
    <w:rsid w:val="0029232D"/>
    <w:rsid w:val="00292A96"/>
    <w:rsid w:val="00292C3A"/>
    <w:rsid w:val="00292E56"/>
    <w:rsid w:val="002930D1"/>
    <w:rsid w:val="00293521"/>
    <w:rsid w:val="00293B93"/>
    <w:rsid w:val="0029441B"/>
    <w:rsid w:val="002944EA"/>
    <w:rsid w:val="002947E3"/>
    <w:rsid w:val="002948B8"/>
    <w:rsid w:val="002950C0"/>
    <w:rsid w:val="002951B7"/>
    <w:rsid w:val="002959B6"/>
    <w:rsid w:val="00295F18"/>
    <w:rsid w:val="00295FAD"/>
    <w:rsid w:val="002965B7"/>
    <w:rsid w:val="00297269"/>
    <w:rsid w:val="002974CB"/>
    <w:rsid w:val="00297CAC"/>
    <w:rsid w:val="002A06B0"/>
    <w:rsid w:val="002A06CB"/>
    <w:rsid w:val="002A0804"/>
    <w:rsid w:val="002A08FA"/>
    <w:rsid w:val="002A1193"/>
    <w:rsid w:val="002A1769"/>
    <w:rsid w:val="002A1C93"/>
    <w:rsid w:val="002A2225"/>
    <w:rsid w:val="002A244D"/>
    <w:rsid w:val="002A27AD"/>
    <w:rsid w:val="002A27B1"/>
    <w:rsid w:val="002A2DAB"/>
    <w:rsid w:val="002A320F"/>
    <w:rsid w:val="002A36DD"/>
    <w:rsid w:val="002A39BA"/>
    <w:rsid w:val="002A41B8"/>
    <w:rsid w:val="002A4309"/>
    <w:rsid w:val="002A43FD"/>
    <w:rsid w:val="002A44B4"/>
    <w:rsid w:val="002A50F7"/>
    <w:rsid w:val="002A521C"/>
    <w:rsid w:val="002A529B"/>
    <w:rsid w:val="002A5421"/>
    <w:rsid w:val="002A55B1"/>
    <w:rsid w:val="002A55BC"/>
    <w:rsid w:val="002A5B55"/>
    <w:rsid w:val="002A5E16"/>
    <w:rsid w:val="002A6344"/>
    <w:rsid w:val="002A63A8"/>
    <w:rsid w:val="002A6733"/>
    <w:rsid w:val="002A6DEC"/>
    <w:rsid w:val="002A70E3"/>
    <w:rsid w:val="002A7344"/>
    <w:rsid w:val="002A771D"/>
    <w:rsid w:val="002A7993"/>
    <w:rsid w:val="002A7BA3"/>
    <w:rsid w:val="002A7D04"/>
    <w:rsid w:val="002B031B"/>
    <w:rsid w:val="002B0490"/>
    <w:rsid w:val="002B05C0"/>
    <w:rsid w:val="002B07B4"/>
    <w:rsid w:val="002B0C82"/>
    <w:rsid w:val="002B0C9F"/>
    <w:rsid w:val="002B0CB0"/>
    <w:rsid w:val="002B1A13"/>
    <w:rsid w:val="002B1F75"/>
    <w:rsid w:val="002B225A"/>
    <w:rsid w:val="002B24FC"/>
    <w:rsid w:val="002B28BE"/>
    <w:rsid w:val="002B29BF"/>
    <w:rsid w:val="002B2C47"/>
    <w:rsid w:val="002B2E14"/>
    <w:rsid w:val="002B2EAA"/>
    <w:rsid w:val="002B2F78"/>
    <w:rsid w:val="002B2FD8"/>
    <w:rsid w:val="002B3233"/>
    <w:rsid w:val="002B3574"/>
    <w:rsid w:val="002B39CD"/>
    <w:rsid w:val="002B3A9C"/>
    <w:rsid w:val="002B4240"/>
    <w:rsid w:val="002B449D"/>
    <w:rsid w:val="002B46E5"/>
    <w:rsid w:val="002B4975"/>
    <w:rsid w:val="002B5174"/>
    <w:rsid w:val="002B578D"/>
    <w:rsid w:val="002B6F9C"/>
    <w:rsid w:val="002B6FFF"/>
    <w:rsid w:val="002B7A5D"/>
    <w:rsid w:val="002B7DBB"/>
    <w:rsid w:val="002C0241"/>
    <w:rsid w:val="002C0256"/>
    <w:rsid w:val="002C04E8"/>
    <w:rsid w:val="002C0C0D"/>
    <w:rsid w:val="002C0CC4"/>
    <w:rsid w:val="002C137B"/>
    <w:rsid w:val="002C1384"/>
    <w:rsid w:val="002C149F"/>
    <w:rsid w:val="002C1570"/>
    <w:rsid w:val="002C1572"/>
    <w:rsid w:val="002C1637"/>
    <w:rsid w:val="002C1B6D"/>
    <w:rsid w:val="002C1D5D"/>
    <w:rsid w:val="002C1D96"/>
    <w:rsid w:val="002C2030"/>
    <w:rsid w:val="002C25EE"/>
    <w:rsid w:val="002C25FA"/>
    <w:rsid w:val="002C2A00"/>
    <w:rsid w:val="002C2DD6"/>
    <w:rsid w:val="002C2F76"/>
    <w:rsid w:val="002C3428"/>
    <w:rsid w:val="002C34E3"/>
    <w:rsid w:val="002C3761"/>
    <w:rsid w:val="002C40D8"/>
    <w:rsid w:val="002C4899"/>
    <w:rsid w:val="002C48C7"/>
    <w:rsid w:val="002C4B40"/>
    <w:rsid w:val="002C4C45"/>
    <w:rsid w:val="002C53DD"/>
    <w:rsid w:val="002C5759"/>
    <w:rsid w:val="002C584D"/>
    <w:rsid w:val="002C5A76"/>
    <w:rsid w:val="002C5BB4"/>
    <w:rsid w:val="002C5E48"/>
    <w:rsid w:val="002C6E3D"/>
    <w:rsid w:val="002C6E87"/>
    <w:rsid w:val="002C7414"/>
    <w:rsid w:val="002C7922"/>
    <w:rsid w:val="002C7992"/>
    <w:rsid w:val="002C7A63"/>
    <w:rsid w:val="002C7D1D"/>
    <w:rsid w:val="002C7D72"/>
    <w:rsid w:val="002C7F30"/>
    <w:rsid w:val="002D017F"/>
    <w:rsid w:val="002D02AB"/>
    <w:rsid w:val="002D02BA"/>
    <w:rsid w:val="002D08F0"/>
    <w:rsid w:val="002D0C42"/>
    <w:rsid w:val="002D0F90"/>
    <w:rsid w:val="002D1409"/>
    <w:rsid w:val="002D141C"/>
    <w:rsid w:val="002D15DE"/>
    <w:rsid w:val="002D16C0"/>
    <w:rsid w:val="002D1773"/>
    <w:rsid w:val="002D1B6E"/>
    <w:rsid w:val="002D1CF2"/>
    <w:rsid w:val="002D253F"/>
    <w:rsid w:val="002D28AE"/>
    <w:rsid w:val="002D3118"/>
    <w:rsid w:val="002D31CB"/>
    <w:rsid w:val="002D31D2"/>
    <w:rsid w:val="002D3234"/>
    <w:rsid w:val="002D32DE"/>
    <w:rsid w:val="002D35E2"/>
    <w:rsid w:val="002D3950"/>
    <w:rsid w:val="002D3995"/>
    <w:rsid w:val="002D39B6"/>
    <w:rsid w:val="002D3A75"/>
    <w:rsid w:val="002D3BA9"/>
    <w:rsid w:val="002D3F3F"/>
    <w:rsid w:val="002D45FF"/>
    <w:rsid w:val="002D46BD"/>
    <w:rsid w:val="002D4D31"/>
    <w:rsid w:val="002D4FC2"/>
    <w:rsid w:val="002D524A"/>
    <w:rsid w:val="002D5321"/>
    <w:rsid w:val="002D5343"/>
    <w:rsid w:val="002D54C5"/>
    <w:rsid w:val="002D581F"/>
    <w:rsid w:val="002D5FB7"/>
    <w:rsid w:val="002D6385"/>
    <w:rsid w:val="002D6595"/>
    <w:rsid w:val="002D65FE"/>
    <w:rsid w:val="002D6793"/>
    <w:rsid w:val="002D6C25"/>
    <w:rsid w:val="002D6F4F"/>
    <w:rsid w:val="002D7437"/>
    <w:rsid w:val="002E019C"/>
    <w:rsid w:val="002E0440"/>
    <w:rsid w:val="002E04C0"/>
    <w:rsid w:val="002E0AA8"/>
    <w:rsid w:val="002E0B8E"/>
    <w:rsid w:val="002E0E6C"/>
    <w:rsid w:val="002E12B9"/>
    <w:rsid w:val="002E1816"/>
    <w:rsid w:val="002E1AF0"/>
    <w:rsid w:val="002E259E"/>
    <w:rsid w:val="002E28A7"/>
    <w:rsid w:val="002E2909"/>
    <w:rsid w:val="002E2B43"/>
    <w:rsid w:val="002E2DB5"/>
    <w:rsid w:val="002E2EFF"/>
    <w:rsid w:val="002E2FCB"/>
    <w:rsid w:val="002E3163"/>
    <w:rsid w:val="002E337F"/>
    <w:rsid w:val="002E3414"/>
    <w:rsid w:val="002E3674"/>
    <w:rsid w:val="002E3823"/>
    <w:rsid w:val="002E3994"/>
    <w:rsid w:val="002E399D"/>
    <w:rsid w:val="002E39BC"/>
    <w:rsid w:val="002E3C33"/>
    <w:rsid w:val="002E3C80"/>
    <w:rsid w:val="002E3CFE"/>
    <w:rsid w:val="002E3D31"/>
    <w:rsid w:val="002E3F14"/>
    <w:rsid w:val="002E417E"/>
    <w:rsid w:val="002E42F8"/>
    <w:rsid w:val="002E43AD"/>
    <w:rsid w:val="002E4709"/>
    <w:rsid w:val="002E5350"/>
    <w:rsid w:val="002E54E3"/>
    <w:rsid w:val="002E5816"/>
    <w:rsid w:val="002E5849"/>
    <w:rsid w:val="002E59C0"/>
    <w:rsid w:val="002E64C8"/>
    <w:rsid w:val="002E651A"/>
    <w:rsid w:val="002E697D"/>
    <w:rsid w:val="002E6AA5"/>
    <w:rsid w:val="002E7132"/>
    <w:rsid w:val="002E7267"/>
    <w:rsid w:val="002E77A6"/>
    <w:rsid w:val="002F0320"/>
    <w:rsid w:val="002F0678"/>
    <w:rsid w:val="002F076F"/>
    <w:rsid w:val="002F0792"/>
    <w:rsid w:val="002F09BD"/>
    <w:rsid w:val="002F0B1A"/>
    <w:rsid w:val="002F109A"/>
    <w:rsid w:val="002F14E3"/>
    <w:rsid w:val="002F1C8F"/>
    <w:rsid w:val="002F1E04"/>
    <w:rsid w:val="002F1E4F"/>
    <w:rsid w:val="002F1E53"/>
    <w:rsid w:val="002F2047"/>
    <w:rsid w:val="002F220C"/>
    <w:rsid w:val="002F228C"/>
    <w:rsid w:val="002F28B8"/>
    <w:rsid w:val="002F2E7D"/>
    <w:rsid w:val="002F30EB"/>
    <w:rsid w:val="002F3469"/>
    <w:rsid w:val="002F3861"/>
    <w:rsid w:val="002F3E6B"/>
    <w:rsid w:val="002F40AC"/>
    <w:rsid w:val="002F45B1"/>
    <w:rsid w:val="002F45D3"/>
    <w:rsid w:val="002F45FA"/>
    <w:rsid w:val="002F4930"/>
    <w:rsid w:val="002F51BC"/>
    <w:rsid w:val="002F5614"/>
    <w:rsid w:val="002F56F7"/>
    <w:rsid w:val="002F5715"/>
    <w:rsid w:val="002F5938"/>
    <w:rsid w:val="002F5AEF"/>
    <w:rsid w:val="002F5E43"/>
    <w:rsid w:val="002F6532"/>
    <w:rsid w:val="002F658C"/>
    <w:rsid w:val="002F6D47"/>
    <w:rsid w:val="002F6F03"/>
    <w:rsid w:val="002F6FF8"/>
    <w:rsid w:val="002F7197"/>
    <w:rsid w:val="002F737D"/>
    <w:rsid w:val="002F758C"/>
    <w:rsid w:val="002F776F"/>
    <w:rsid w:val="002F7934"/>
    <w:rsid w:val="003002A8"/>
    <w:rsid w:val="00300412"/>
    <w:rsid w:val="003005EE"/>
    <w:rsid w:val="00301195"/>
    <w:rsid w:val="00301359"/>
    <w:rsid w:val="0030147E"/>
    <w:rsid w:val="00301495"/>
    <w:rsid w:val="00301735"/>
    <w:rsid w:val="0030194F"/>
    <w:rsid w:val="00301AD4"/>
    <w:rsid w:val="00301E39"/>
    <w:rsid w:val="003023AD"/>
    <w:rsid w:val="00303065"/>
    <w:rsid w:val="0030309D"/>
    <w:rsid w:val="00303412"/>
    <w:rsid w:val="003034CF"/>
    <w:rsid w:val="00303557"/>
    <w:rsid w:val="00303B2F"/>
    <w:rsid w:val="0030459B"/>
    <w:rsid w:val="003046F0"/>
    <w:rsid w:val="00304D0A"/>
    <w:rsid w:val="00304D6B"/>
    <w:rsid w:val="00305169"/>
    <w:rsid w:val="003053F5"/>
    <w:rsid w:val="00305616"/>
    <w:rsid w:val="00305685"/>
    <w:rsid w:val="00305873"/>
    <w:rsid w:val="003059AB"/>
    <w:rsid w:val="00305AF4"/>
    <w:rsid w:val="0030651D"/>
    <w:rsid w:val="003065A9"/>
    <w:rsid w:val="0030674C"/>
    <w:rsid w:val="00306C13"/>
    <w:rsid w:val="00306C66"/>
    <w:rsid w:val="00306F0B"/>
    <w:rsid w:val="003074CF"/>
    <w:rsid w:val="0030779D"/>
    <w:rsid w:val="00307F77"/>
    <w:rsid w:val="00307FCF"/>
    <w:rsid w:val="00310473"/>
    <w:rsid w:val="00310487"/>
    <w:rsid w:val="00310551"/>
    <w:rsid w:val="00310613"/>
    <w:rsid w:val="00310945"/>
    <w:rsid w:val="0031098B"/>
    <w:rsid w:val="00310E3A"/>
    <w:rsid w:val="00310E3E"/>
    <w:rsid w:val="0031133C"/>
    <w:rsid w:val="00311427"/>
    <w:rsid w:val="00311450"/>
    <w:rsid w:val="00311597"/>
    <w:rsid w:val="0031175B"/>
    <w:rsid w:val="00311EC5"/>
    <w:rsid w:val="00312177"/>
    <w:rsid w:val="0031275B"/>
    <w:rsid w:val="003129E6"/>
    <w:rsid w:val="00312C20"/>
    <w:rsid w:val="00312F9F"/>
    <w:rsid w:val="003132C4"/>
    <w:rsid w:val="003133C7"/>
    <w:rsid w:val="0031398F"/>
    <w:rsid w:val="00313AD8"/>
    <w:rsid w:val="00313E98"/>
    <w:rsid w:val="00313EA8"/>
    <w:rsid w:val="00314001"/>
    <w:rsid w:val="00314233"/>
    <w:rsid w:val="00314480"/>
    <w:rsid w:val="003148E5"/>
    <w:rsid w:val="00314AC7"/>
    <w:rsid w:val="00314AF0"/>
    <w:rsid w:val="00315388"/>
    <w:rsid w:val="003156B2"/>
    <w:rsid w:val="003157C5"/>
    <w:rsid w:val="0031588B"/>
    <w:rsid w:val="003158D1"/>
    <w:rsid w:val="00315A82"/>
    <w:rsid w:val="0031675F"/>
    <w:rsid w:val="00316DD4"/>
    <w:rsid w:val="00316EBF"/>
    <w:rsid w:val="0031721C"/>
    <w:rsid w:val="0031732B"/>
    <w:rsid w:val="00317386"/>
    <w:rsid w:val="0031742C"/>
    <w:rsid w:val="00317505"/>
    <w:rsid w:val="0031750B"/>
    <w:rsid w:val="00317A2F"/>
    <w:rsid w:val="00317A42"/>
    <w:rsid w:val="00320061"/>
    <w:rsid w:val="00321064"/>
    <w:rsid w:val="00321201"/>
    <w:rsid w:val="0032143F"/>
    <w:rsid w:val="00321D9B"/>
    <w:rsid w:val="00321F66"/>
    <w:rsid w:val="00322BE7"/>
    <w:rsid w:val="00323099"/>
    <w:rsid w:val="0032327F"/>
    <w:rsid w:val="00323398"/>
    <w:rsid w:val="00323B27"/>
    <w:rsid w:val="003242B0"/>
    <w:rsid w:val="0032456A"/>
    <w:rsid w:val="003249CF"/>
    <w:rsid w:val="00324A3E"/>
    <w:rsid w:val="00324AF4"/>
    <w:rsid w:val="00324C64"/>
    <w:rsid w:val="00324FEB"/>
    <w:rsid w:val="0032507A"/>
    <w:rsid w:val="00325268"/>
    <w:rsid w:val="003254E8"/>
    <w:rsid w:val="0032591A"/>
    <w:rsid w:val="00325948"/>
    <w:rsid w:val="00325BAC"/>
    <w:rsid w:val="00325BF9"/>
    <w:rsid w:val="00325C4A"/>
    <w:rsid w:val="00325E59"/>
    <w:rsid w:val="00325F11"/>
    <w:rsid w:val="00325F54"/>
    <w:rsid w:val="00325F57"/>
    <w:rsid w:val="0032615A"/>
    <w:rsid w:val="003262B3"/>
    <w:rsid w:val="00326A8A"/>
    <w:rsid w:val="0032739B"/>
    <w:rsid w:val="003274C8"/>
    <w:rsid w:val="00327701"/>
    <w:rsid w:val="00330179"/>
    <w:rsid w:val="00330926"/>
    <w:rsid w:val="00330B00"/>
    <w:rsid w:val="00330E29"/>
    <w:rsid w:val="00331290"/>
    <w:rsid w:val="0033162B"/>
    <w:rsid w:val="00331700"/>
    <w:rsid w:val="00331870"/>
    <w:rsid w:val="00331E28"/>
    <w:rsid w:val="0033207C"/>
    <w:rsid w:val="0033238B"/>
    <w:rsid w:val="00332587"/>
    <w:rsid w:val="00332984"/>
    <w:rsid w:val="00332C1E"/>
    <w:rsid w:val="00332DA3"/>
    <w:rsid w:val="00333658"/>
    <w:rsid w:val="00333C45"/>
    <w:rsid w:val="0033415E"/>
    <w:rsid w:val="0033422F"/>
    <w:rsid w:val="003342D4"/>
    <w:rsid w:val="00334327"/>
    <w:rsid w:val="003349AD"/>
    <w:rsid w:val="00334B45"/>
    <w:rsid w:val="00334B5A"/>
    <w:rsid w:val="00334B73"/>
    <w:rsid w:val="00334C94"/>
    <w:rsid w:val="0033519E"/>
    <w:rsid w:val="00335503"/>
    <w:rsid w:val="00336002"/>
    <w:rsid w:val="0033624D"/>
    <w:rsid w:val="00336341"/>
    <w:rsid w:val="003364B1"/>
    <w:rsid w:val="0033662A"/>
    <w:rsid w:val="0033676C"/>
    <w:rsid w:val="003368DA"/>
    <w:rsid w:val="0033697C"/>
    <w:rsid w:val="0033732F"/>
    <w:rsid w:val="0033781C"/>
    <w:rsid w:val="00337E47"/>
    <w:rsid w:val="00337EB3"/>
    <w:rsid w:val="00337F16"/>
    <w:rsid w:val="003400C7"/>
    <w:rsid w:val="003403DC"/>
    <w:rsid w:val="0034051B"/>
    <w:rsid w:val="003408AA"/>
    <w:rsid w:val="003408E0"/>
    <w:rsid w:val="003411E9"/>
    <w:rsid w:val="003416BD"/>
    <w:rsid w:val="003416D4"/>
    <w:rsid w:val="00341713"/>
    <w:rsid w:val="003417D6"/>
    <w:rsid w:val="003419B4"/>
    <w:rsid w:val="00342293"/>
    <w:rsid w:val="003422A7"/>
    <w:rsid w:val="00342AA5"/>
    <w:rsid w:val="00342E48"/>
    <w:rsid w:val="00342F10"/>
    <w:rsid w:val="003438E7"/>
    <w:rsid w:val="00343AA3"/>
    <w:rsid w:val="003441FF"/>
    <w:rsid w:val="00344318"/>
    <w:rsid w:val="0034436D"/>
    <w:rsid w:val="00344629"/>
    <w:rsid w:val="003446D7"/>
    <w:rsid w:val="003449B7"/>
    <w:rsid w:val="00344A37"/>
    <w:rsid w:val="00344F03"/>
    <w:rsid w:val="00345194"/>
    <w:rsid w:val="003453DA"/>
    <w:rsid w:val="00345A69"/>
    <w:rsid w:val="003473C0"/>
    <w:rsid w:val="003478F2"/>
    <w:rsid w:val="00347A08"/>
    <w:rsid w:val="00347CB6"/>
    <w:rsid w:val="00350AE5"/>
    <w:rsid w:val="00350B00"/>
    <w:rsid w:val="00350BD1"/>
    <w:rsid w:val="00350DF7"/>
    <w:rsid w:val="00351387"/>
    <w:rsid w:val="0035161F"/>
    <w:rsid w:val="0035198D"/>
    <w:rsid w:val="00351EF1"/>
    <w:rsid w:val="00352061"/>
    <w:rsid w:val="00352467"/>
    <w:rsid w:val="00352479"/>
    <w:rsid w:val="00352785"/>
    <w:rsid w:val="00352DEE"/>
    <w:rsid w:val="00353243"/>
    <w:rsid w:val="0035331B"/>
    <w:rsid w:val="00353973"/>
    <w:rsid w:val="00353CE5"/>
    <w:rsid w:val="00353E61"/>
    <w:rsid w:val="003541BD"/>
    <w:rsid w:val="003542D5"/>
    <w:rsid w:val="00354920"/>
    <w:rsid w:val="00354940"/>
    <w:rsid w:val="003550E7"/>
    <w:rsid w:val="00355AB9"/>
    <w:rsid w:val="00355C22"/>
    <w:rsid w:val="00355CFC"/>
    <w:rsid w:val="00355E00"/>
    <w:rsid w:val="00355E61"/>
    <w:rsid w:val="00355F63"/>
    <w:rsid w:val="00356A19"/>
    <w:rsid w:val="00357455"/>
    <w:rsid w:val="0036038B"/>
    <w:rsid w:val="00360BA5"/>
    <w:rsid w:val="00360E29"/>
    <w:rsid w:val="00360F9A"/>
    <w:rsid w:val="00361999"/>
    <w:rsid w:val="00361DCB"/>
    <w:rsid w:val="0036254B"/>
    <w:rsid w:val="00362854"/>
    <w:rsid w:val="003629BD"/>
    <w:rsid w:val="00363243"/>
    <w:rsid w:val="00363630"/>
    <w:rsid w:val="00363816"/>
    <w:rsid w:val="00363910"/>
    <w:rsid w:val="00363A8D"/>
    <w:rsid w:val="00363DD8"/>
    <w:rsid w:val="00363DDB"/>
    <w:rsid w:val="003642A7"/>
    <w:rsid w:val="00364712"/>
    <w:rsid w:val="0036495E"/>
    <w:rsid w:val="003649FC"/>
    <w:rsid w:val="00364B94"/>
    <w:rsid w:val="00364DED"/>
    <w:rsid w:val="00364E7C"/>
    <w:rsid w:val="00365906"/>
    <w:rsid w:val="00365D84"/>
    <w:rsid w:val="00365E9A"/>
    <w:rsid w:val="0036618F"/>
    <w:rsid w:val="003661C5"/>
    <w:rsid w:val="0036683D"/>
    <w:rsid w:val="0036686C"/>
    <w:rsid w:val="00366FD1"/>
    <w:rsid w:val="003701C5"/>
    <w:rsid w:val="00370814"/>
    <w:rsid w:val="0037090E"/>
    <w:rsid w:val="00370C01"/>
    <w:rsid w:val="00370C39"/>
    <w:rsid w:val="0037152E"/>
    <w:rsid w:val="00371776"/>
    <w:rsid w:val="00371940"/>
    <w:rsid w:val="00371B84"/>
    <w:rsid w:val="00371CED"/>
    <w:rsid w:val="00371E75"/>
    <w:rsid w:val="00371E8A"/>
    <w:rsid w:val="0037295F"/>
    <w:rsid w:val="00372BB4"/>
    <w:rsid w:val="003732A0"/>
    <w:rsid w:val="00373497"/>
    <w:rsid w:val="00373678"/>
    <w:rsid w:val="00373716"/>
    <w:rsid w:val="00373876"/>
    <w:rsid w:val="00373B25"/>
    <w:rsid w:val="003742DA"/>
    <w:rsid w:val="00374893"/>
    <w:rsid w:val="0037589D"/>
    <w:rsid w:val="003758D1"/>
    <w:rsid w:val="00375A33"/>
    <w:rsid w:val="00375E68"/>
    <w:rsid w:val="00375EC3"/>
    <w:rsid w:val="003760FD"/>
    <w:rsid w:val="00376306"/>
    <w:rsid w:val="00376357"/>
    <w:rsid w:val="0037656B"/>
    <w:rsid w:val="00376689"/>
    <w:rsid w:val="00376841"/>
    <w:rsid w:val="00376BF1"/>
    <w:rsid w:val="00376EAD"/>
    <w:rsid w:val="00376FB7"/>
    <w:rsid w:val="003770F7"/>
    <w:rsid w:val="00377AB9"/>
    <w:rsid w:val="00377C02"/>
    <w:rsid w:val="00377CCC"/>
    <w:rsid w:val="00377D57"/>
    <w:rsid w:val="00380898"/>
    <w:rsid w:val="00380C32"/>
    <w:rsid w:val="00380CE9"/>
    <w:rsid w:val="00380F03"/>
    <w:rsid w:val="00380F68"/>
    <w:rsid w:val="0038130C"/>
    <w:rsid w:val="003818AD"/>
    <w:rsid w:val="00381A87"/>
    <w:rsid w:val="00381AD3"/>
    <w:rsid w:val="00381CDF"/>
    <w:rsid w:val="0038222B"/>
    <w:rsid w:val="003825B2"/>
    <w:rsid w:val="0038282D"/>
    <w:rsid w:val="00382F9C"/>
    <w:rsid w:val="00383A82"/>
    <w:rsid w:val="00383F1A"/>
    <w:rsid w:val="00384451"/>
    <w:rsid w:val="003845B6"/>
    <w:rsid w:val="00384694"/>
    <w:rsid w:val="00384B55"/>
    <w:rsid w:val="00384B79"/>
    <w:rsid w:val="0038544D"/>
    <w:rsid w:val="00385939"/>
    <w:rsid w:val="00385B7A"/>
    <w:rsid w:val="00385BD1"/>
    <w:rsid w:val="00385D8B"/>
    <w:rsid w:val="00386751"/>
    <w:rsid w:val="0038676C"/>
    <w:rsid w:val="0039012A"/>
    <w:rsid w:val="00390489"/>
    <w:rsid w:val="00390536"/>
    <w:rsid w:val="003909E9"/>
    <w:rsid w:val="003909EC"/>
    <w:rsid w:val="00390F72"/>
    <w:rsid w:val="003910B4"/>
    <w:rsid w:val="0039117A"/>
    <w:rsid w:val="003913C0"/>
    <w:rsid w:val="0039178A"/>
    <w:rsid w:val="00391A86"/>
    <w:rsid w:val="00391AA2"/>
    <w:rsid w:val="003923CA"/>
    <w:rsid w:val="00392587"/>
    <w:rsid w:val="00392B09"/>
    <w:rsid w:val="0039323E"/>
    <w:rsid w:val="003934D2"/>
    <w:rsid w:val="003937BE"/>
    <w:rsid w:val="0039395D"/>
    <w:rsid w:val="00393A1A"/>
    <w:rsid w:val="003941F8"/>
    <w:rsid w:val="0039420A"/>
    <w:rsid w:val="00394470"/>
    <w:rsid w:val="00394EA4"/>
    <w:rsid w:val="0039533F"/>
    <w:rsid w:val="003953D9"/>
    <w:rsid w:val="003953DF"/>
    <w:rsid w:val="00395479"/>
    <w:rsid w:val="00395611"/>
    <w:rsid w:val="00395AD7"/>
    <w:rsid w:val="00395D5B"/>
    <w:rsid w:val="00395F19"/>
    <w:rsid w:val="00396048"/>
    <w:rsid w:val="0039647C"/>
    <w:rsid w:val="00396588"/>
    <w:rsid w:val="00396646"/>
    <w:rsid w:val="00396B53"/>
    <w:rsid w:val="00396C64"/>
    <w:rsid w:val="00396EA5"/>
    <w:rsid w:val="00396EC9"/>
    <w:rsid w:val="00397357"/>
    <w:rsid w:val="003976FB"/>
    <w:rsid w:val="0039779D"/>
    <w:rsid w:val="0039786C"/>
    <w:rsid w:val="00397A0E"/>
    <w:rsid w:val="00397C77"/>
    <w:rsid w:val="00397D1F"/>
    <w:rsid w:val="00397D36"/>
    <w:rsid w:val="00397F41"/>
    <w:rsid w:val="003A0A73"/>
    <w:rsid w:val="003A0B4F"/>
    <w:rsid w:val="003A0B76"/>
    <w:rsid w:val="003A0CC1"/>
    <w:rsid w:val="003A0CC7"/>
    <w:rsid w:val="003A0E01"/>
    <w:rsid w:val="003A0E02"/>
    <w:rsid w:val="003A0EB0"/>
    <w:rsid w:val="003A18F9"/>
    <w:rsid w:val="003A1A76"/>
    <w:rsid w:val="003A1B0E"/>
    <w:rsid w:val="003A1BC7"/>
    <w:rsid w:val="003A2047"/>
    <w:rsid w:val="003A21B3"/>
    <w:rsid w:val="003A265D"/>
    <w:rsid w:val="003A26F3"/>
    <w:rsid w:val="003A298F"/>
    <w:rsid w:val="003A2C73"/>
    <w:rsid w:val="003A2E78"/>
    <w:rsid w:val="003A34DC"/>
    <w:rsid w:val="003A356F"/>
    <w:rsid w:val="003A3DDC"/>
    <w:rsid w:val="003A3F54"/>
    <w:rsid w:val="003A410F"/>
    <w:rsid w:val="003A42BD"/>
    <w:rsid w:val="003A45B4"/>
    <w:rsid w:val="003A4B3B"/>
    <w:rsid w:val="003A52D4"/>
    <w:rsid w:val="003A5A1F"/>
    <w:rsid w:val="003A61FF"/>
    <w:rsid w:val="003A6508"/>
    <w:rsid w:val="003A6950"/>
    <w:rsid w:val="003A6BB4"/>
    <w:rsid w:val="003A71AE"/>
    <w:rsid w:val="003A776E"/>
    <w:rsid w:val="003A778A"/>
    <w:rsid w:val="003A7DB3"/>
    <w:rsid w:val="003A7FBF"/>
    <w:rsid w:val="003B01E5"/>
    <w:rsid w:val="003B01E7"/>
    <w:rsid w:val="003B041E"/>
    <w:rsid w:val="003B0513"/>
    <w:rsid w:val="003B0738"/>
    <w:rsid w:val="003B07D3"/>
    <w:rsid w:val="003B0B94"/>
    <w:rsid w:val="003B0FBC"/>
    <w:rsid w:val="003B12DF"/>
    <w:rsid w:val="003B175B"/>
    <w:rsid w:val="003B1CE4"/>
    <w:rsid w:val="003B22BA"/>
    <w:rsid w:val="003B264F"/>
    <w:rsid w:val="003B269B"/>
    <w:rsid w:val="003B28CA"/>
    <w:rsid w:val="003B31D3"/>
    <w:rsid w:val="003B32D5"/>
    <w:rsid w:val="003B3760"/>
    <w:rsid w:val="003B4471"/>
    <w:rsid w:val="003B47FD"/>
    <w:rsid w:val="003B482C"/>
    <w:rsid w:val="003B49EA"/>
    <w:rsid w:val="003B4C2A"/>
    <w:rsid w:val="003B4DCE"/>
    <w:rsid w:val="003B4EA1"/>
    <w:rsid w:val="003B520E"/>
    <w:rsid w:val="003B543D"/>
    <w:rsid w:val="003B55BC"/>
    <w:rsid w:val="003B5910"/>
    <w:rsid w:val="003B5938"/>
    <w:rsid w:val="003B5BA6"/>
    <w:rsid w:val="003B621D"/>
    <w:rsid w:val="003B6FBD"/>
    <w:rsid w:val="003B7393"/>
    <w:rsid w:val="003B781D"/>
    <w:rsid w:val="003B7BD3"/>
    <w:rsid w:val="003C015F"/>
    <w:rsid w:val="003C038A"/>
    <w:rsid w:val="003C0762"/>
    <w:rsid w:val="003C088D"/>
    <w:rsid w:val="003C098A"/>
    <w:rsid w:val="003C0A54"/>
    <w:rsid w:val="003C0C3C"/>
    <w:rsid w:val="003C0F47"/>
    <w:rsid w:val="003C1138"/>
    <w:rsid w:val="003C195E"/>
    <w:rsid w:val="003C1A59"/>
    <w:rsid w:val="003C1AD9"/>
    <w:rsid w:val="003C1F95"/>
    <w:rsid w:val="003C24CC"/>
    <w:rsid w:val="003C28B9"/>
    <w:rsid w:val="003C2D7D"/>
    <w:rsid w:val="003C30E2"/>
    <w:rsid w:val="003C324F"/>
    <w:rsid w:val="003C33C5"/>
    <w:rsid w:val="003C3475"/>
    <w:rsid w:val="003C3CBE"/>
    <w:rsid w:val="003C3FBA"/>
    <w:rsid w:val="003C491C"/>
    <w:rsid w:val="003C4A38"/>
    <w:rsid w:val="003C4BCB"/>
    <w:rsid w:val="003C4DA7"/>
    <w:rsid w:val="003C4E9B"/>
    <w:rsid w:val="003C52C3"/>
    <w:rsid w:val="003C5360"/>
    <w:rsid w:val="003C557A"/>
    <w:rsid w:val="003C56EC"/>
    <w:rsid w:val="003C5776"/>
    <w:rsid w:val="003C5798"/>
    <w:rsid w:val="003C59C9"/>
    <w:rsid w:val="003C5A65"/>
    <w:rsid w:val="003C60DB"/>
    <w:rsid w:val="003C633B"/>
    <w:rsid w:val="003C65E1"/>
    <w:rsid w:val="003C6963"/>
    <w:rsid w:val="003C6CFA"/>
    <w:rsid w:val="003C7819"/>
    <w:rsid w:val="003D0012"/>
    <w:rsid w:val="003D03C1"/>
    <w:rsid w:val="003D081F"/>
    <w:rsid w:val="003D0958"/>
    <w:rsid w:val="003D0B05"/>
    <w:rsid w:val="003D0C0E"/>
    <w:rsid w:val="003D1C74"/>
    <w:rsid w:val="003D1CAE"/>
    <w:rsid w:val="003D2314"/>
    <w:rsid w:val="003D27E1"/>
    <w:rsid w:val="003D2AE7"/>
    <w:rsid w:val="003D2B9D"/>
    <w:rsid w:val="003D3436"/>
    <w:rsid w:val="003D3749"/>
    <w:rsid w:val="003D39B3"/>
    <w:rsid w:val="003D3BAC"/>
    <w:rsid w:val="003D3DA7"/>
    <w:rsid w:val="003D4018"/>
    <w:rsid w:val="003D4298"/>
    <w:rsid w:val="003D42EC"/>
    <w:rsid w:val="003D49E0"/>
    <w:rsid w:val="003D4E2C"/>
    <w:rsid w:val="003D5369"/>
    <w:rsid w:val="003D559E"/>
    <w:rsid w:val="003D55AF"/>
    <w:rsid w:val="003D5690"/>
    <w:rsid w:val="003D5C15"/>
    <w:rsid w:val="003D68A2"/>
    <w:rsid w:val="003D749A"/>
    <w:rsid w:val="003D791E"/>
    <w:rsid w:val="003D7C4D"/>
    <w:rsid w:val="003D7C50"/>
    <w:rsid w:val="003D7ED6"/>
    <w:rsid w:val="003D7EE8"/>
    <w:rsid w:val="003E007A"/>
    <w:rsid w:val="003E0361"/>
    <w:rsid w:val="003E06B4"/>
    <w:rsid w:val="003E07B6"/>
    <w:rsid w:val="003E08E0"/>
    <w:rsid w:val="003E0CA9"/>
    <w:rsid w:val="003E1088"/>
    <w:rsid w:val="003E10A0"/>
    <w:rsid w:val="003E13D8"/>
    <w:rsid w:val="003E1E5A"/>
    <w:rsid w:val="003E1F89"/>
    <w:rsid w:val="003E20B5"/>
    <w:rsid w:val="003E2503"/>
    <w:rsid w:val="003E2971"/>
    <w:rsid w:val="003E2DE7"/>
    <w:rsid w:val="003E3088"/>
    <w:rsid w:val="003E393D"/>
    <w:rsid w:val="003E3AD3"/>
    <w:rsid w:val="003E3BB7"/>
    <w:rsid w:val="003E3F87"/>
    <w:rsid w:val="003E3FBF"/>
    <w:rsid w:val="003E4A46"/>
    <w:rsid w:val="003E4BDD"/>
    <w:rsid w:val="003E4DFA"/>
    <w:rsid w:val="003E562A"/>
    <w:rsid w:val="003E57A6"/>
    <w:rsid w:val="003E57AA"/>
    <w:rsid w:val="003E5D9C"/>
    <w:rsid w:val="003E6321"/>
    <w:rsid w:val="003E6391"/>
    <w:rsid w:val="003E670B"/>
    <w:rsid w:val="003E6A96"/>
    <w:rsid w:val="003E6AEB"/>
    <w:rsid w:val="003E70BC"/>
    <w:rsid w:val="003E723E"/>
    <w:rsid w:val="003E7277"/>
    <w:rsid w:val="003E76BC"/>
    <w:rsid w:val="003E7907"/>
    <w:rsid w:val="003E7F59"/>
    <w:rsid w:val="003F004E"/>
    <w:rsid w:val="003F0D96"/>
    <w:rsid w:val="003F0EB3"/>
    <w:rsid w:val="003F0FCA"/>
    <w:rsid w:val="003F13D8"/>
    <w:rsid w:val="003F159E"/>
    <w:rsid w:val="003F16DC"/>
    <w:rsid w:val="003F1B23"/>
    <w:rsid w:val="003F1F9E"/>
    <w:rsid w:val="003F20F5"/>
    <w:rsid w:val="003F22FE"/>
    <w:rsid w:val="003F3023"/>
    <w:rsid w:val="003F3037"/>
    <w:rsid w:val="003F3A67"/>
    <w:rsid w:val="003F41B0"/>
    <w:rsid w:val="003F41FC"/>
    <w:rsid w:val="003F44BA"/>
    <w:rsid w:val="003F5284"/>
    <w:rsid w:val="003F5983"/>
    <w:rsid w:val="003F5A09"/>
    <w:rsid w:val="003F5BA7"/>
    <w:rsid w:val="003F5E1B"/>
    <w:rsid w:val="003F5F5C"/>
    <w:rsid w:val="003F6481"/>
    <w:rsid w:val="003F656E"/>
    <w:rsid w:val="003F69C5"/>
    <w:rsid w:val="003F69FD"/>
    <w:rsid w:val="003F6A11"/>
    <w:rsid w:val="003F6DDB"/>
    <w:rsid w:val="003F6F8A"/>
    <w:rsid w:val="003F7673"/>
    <w:rsid w:val="003F78C6"/>
    <w:rsid w:val="003F7A0F"/>
    <w:rsid w:val="003F7B5D"/>
    <w:rsid w:val="003F7DB2"/>
    <w:rsid w:val="004000A2"/>
    <w:rsid w:val="004002DC"/>
    <w:rsid w:val="00400392"/>
    <w:rsid w:val="004003A5"/>
    <w:rsid w:val="004004C1"/>
    <w:rsid w:val="00400E4C"/>
    <w:rsid w:val="00400F7C"/>
    <w:rsid w:val="00401044"/>
    <w:rsid w:val="00401105"/>
    <w:rsid w:val="0040137E"/>
    <w:rsid w:val="00401B30"/>
    <w:rsid w:val="0040201E"/>
    <w:rsid w:val="004020EC"/>
    <w:rsid w:val="004023F3"/>
    <w:rsid w:val="00402D0A"/>
    <w:rsid w:val="00402DEE"/>
    <w:rsid w:val="00402F2A"/>
    <w:rsid w:val="00403719"/>
    <w:rsid w:val="00403810"/>
    <w:rsid w:val="00403A0A"/>
    <w:rsid w:val="00404132"/>
    <w:rsid w:val="00404CDF"/>
    <w:rsid w:val="00405184"/>
    <w:rsid w:val="004052D7"/>
    <w:rsid w:val="00405496"/>
    <w:rsid w:val="00405672"/>
    <w:rsid w:val="00405B91"/>
    <w:rsid w:val="00405BA9"/>
    <w:rsid w:val="0040625A"/>
    <w:rsid w:val="00406565"/>
    <w:rsid w:val="00406865"/>
    <w:rsid w:val="00406876"/>
    <w:rsid w:val="004068A3"/>
    <w:rsid w:val="0040691E"/>
    <w:rsid w:val="00406AD8"/>
    <w:rsid w:val="00406B8D"/>
    <w:rsid w:val="00407418"/>
    <w:rsid w:val="00407B00"/>
    <w:rsid w:val="004101B0"/>
    <w:rsid w:val="00410460"/>
    <w:rsid w:val="004104D0"/>
    <w:rsid w:val="00410675"/>
    <w:rsid w:val="00412064"/>
    <w:rsid w:val="004124D8"/>
    <w:rsid w:val="004126F4"/>
    <w:rsid w:val="0041277F"/>
    <w:rsid w:val="004127F5"/>
    <w:rsid w:val="00412C60"/>
    <w:rsid w:val="00412FA2"/>
    <w:rsid w:val="00412FDF"/>
    <w:rsid w:val="004130B2"/>
    <w:rsid w:val="00413875"/>
    <w:rsid w:val="00413FC9"/>
    <w:rsid w:val="0041422A"/>
    <w:rsid w:val="0041452D"/>
    <w:rsid w:val="00414841"/>
    <w:rsid w:val="00414AC3"/>
    <w:rsid w:val="0041539A"/>
    <w:rsid w:val="004155CD"/>
    <w:rsid w:val="00415CB1"/>
    <w:rsid w:val="00415D73"/>
    <w:rsid w:val="00416303"/>
    <w:rsid w:val="0041640C"/>
    <w:rsid w:val="00416512"/>
    <w:rsid w:val="004167BC"/>
    <w:rsid w:val="00416B21"/>
    <w:rsid w:val="00416CA0"/>
    <w:rsid w:val="00416FB1"/>
    <w:rsid w:val="0041766A"/>
    <w:rsid w:val="00417A61"/>
    <w:rsid w:val="00417C06"/>
    <w:rsid w:val="004203E6"/>
    <w:rsid w:val="00420D7D"/>
    <w:rsid w:val="00420DF0"/>
    <w:rsid w:val="00420E57"/>
    <w:rsid w:val="00420F10"/>
    <w:rsid w:val="00421391"/>
    <w:rsid w:val="004215D6"/>
    <w:rsid w:val="0042171A"/>
    <w:rsid w:val="0042187A"/>
    <w:rsid w:val="00421BCA"/>
    <w:rsid w:val="00421D07"/>
    <w:rsid w:val="00422377"/>
    <w:rsid w:val="0042270C"/>
    <w:rsid w:val="0042282F"/>
    <w:rsid w:val="00422EB7"/>
    <w:rsid w:val="004231CF"/>
    <w:rsid w:val="00423240"/>
    <w:rsid w:val="00423688"/>
    <w:rsid w:val="00423BB1"/>
    <w:rsid w:val="00423E90"/>
    <w:rsid w:val="00424303"/>
    <w:rsid w:val="00424B25"/>
    <w:rsid w:val="00424D92"/>
    <w:rsid w:val="00424DD2"/>
    <w:rsid w:val="00425172"/>
    <w:rsid w:val="004252EF"/>
    <w:rsid w:val="004254AC"/>
    <w:rsid w:val="0042579F"/>
    <w:rsid w:val="004258CC"/>
    <w:rsid w:val="00425D22"/>
    <w:rsid w:val="00425DC4"/>
    <w:rsid w:val="00426508"/>
    <w:rsid w:val="00426732"/>
    <w:rsid w:val="0042682F"/>
    <w:rsid w:val="004272B3"/>
    <w:rsid w:val="004276F4"/>
    <w:rsid w:val="00427984"/>
    <w:rsid w:val="004279E8"/>
    <w:rsid w:val="00430311"/>
    <w:rsid w:val="00430314"/>
    <w:rsid w:val="0043040B"/>
    <w:rsid w:val="004306FD"/>
    <w:rsid w:val="00430867"/>
    <w:rsid w:val="0043087E"/>
    <w:rsid w:val="004309B1"/>
    <w:rsid w:val="00430DAA"/>
    <w:rsid w:val="00430F7F"/>
    <w:rsid w:val="00431236"/>
    <w:rsid w:val="004314DF"/>
    <w:rsid w:val="0043153D"/>
    <w:rsid w:val="00431E81"/>
    <w:rsid w:val="004321B3"/>
    <w:rsid w:val="0043288D"/>
    <w:rsid w:val="0043298D"/>
    <w:rsid w:val="00432D3A"/>
    <w:rsid w:val="00432E49"/>
    <w:rsid w:val="004333BD"/>
    <w:rsid w:val="00433A62"/>
    <w:rsid w:val="00433F02"/>
    <w:rsid w:val="00433F59"/>
    <w:rsid w:val="0043409E"/>
    <w:rsid w:val="0043412C"/>
    <w:rsid w:val="00434519"/>
    <w:rsid w:val="00434741"/>
    <w:rsid w:val="0043491A"/>
    <w:rsid w:val="00434D04"/>
    <w:rsid w:val="00435352"/>
    <w:rsid w:val="00435513"/>
    <w:rsid w:val="0043574F"/>
    <w:rsid w:val="004358BF"/>
    <w:rsid w:val="00436121"/>
    <w:rsid w:val="00436266"/>
    <w:rsid w:val="0043672C"/>
    <w:rsid w:val="004367C9"/>
    <w:rsid w:val="00436D13"/>
    <w:rsid w:val="0043772E"/>
    <w:rsid w:val="00437745"/>
    <w:rsid w:val="00437D2E"/>
    <w:rsid w:val="00437D4F"/>
    <w:rsid w:val="00440137"/>
    <w:rsid w:val="004405E6"/>
    <w:rsid w:val="00440ADE"/>
    <w:rsid w:val="00440B1A"/>
    <w:rsid w:val="00440DC0"/>
    <w:rsid w:val="00440EF7"/>
    <w:rsid w:val="00440FBB"/>
    <w:rsid w:val="00441088"/>
    <w:rsid w:val="004411A2"/>
    <w:rsid w:val="00441CFE"/>
    <w:rsid w:val="00441F06"/>
    <w:rsid w:val="00442231"/>
    <w:rsid w:val="00442937"/>
    <w:rsid w:val="00442ABB"/>
    <w:rsid w:val="00442DCA"/>
    <w:rsid w:val="00442F60"/>
    <w:rsid w:val="00443665"/>
    <w:rsid w:val="00443708"/>
    <w:rsid w:val="00443C3F"/>
    <w:rsid w:val="00444282"/>
    <w:rsid w:val="00444B4B"/>
    <w:rsid w:val="00444BD7"/>
    <w:rsid w:val="00445A8D"/>
    <w:rsid w:val="00446053"/>
    <w:rsid w:val="004461A8"/>
    <w:rsid w:val="00446243"/>
    <w:rsid w:val="00446AFE"/>
    <w:rsid w:val="00446CD7"/>
    <w:rsid w:val="00446D9B"/>
    <w:rsid w:val="004471B6"/>
    <w:rsid w:val="004472EA"/>
    <w:rsid w:val="00447BB9"/>
    <w:rsid w:val="00447C13"/>
    <w:rsid w:val="004502CE"/>
    <w:rsid w:val="00450356"/>
    <w:rsid w:val="0045050E"/>
    <w:rsid w:val="00450852"/>
    <w:rsid w:val="00450D2B"/>
    <w:rsid w:val="00450E97"/>
    <w:rsid w:val="0045176E"/>
    <w:rsid w:val="00451DB6"/>
    <w:rsid w:val="0045294A"/>
    <w:rsid w:val="00452A29"/>
    <w:rsid w:val="00452AE1"/>
    <w:rsid w:val="00452B63"/>
    <w:rsid w:val="00452C80"/>
    <w:rsid w:val="00452D29"/>
    <w:rsid w:val="00453226"/>
    <w:rsid w:val="004533D2"/>
    <w:rsid w:val="00453DDE"/>
    <w:rsid w:val="00453FA0"/>
    <w:rsid w:val="00453FFA"/>
    <w:rsid w:val="004543BB"/>
    <w:rsid w:val="00454731"/>
    <w:rsid w:val="00454812"/>
    <w:rsid w:val="004549A7"/>
    <w:rsid w:val="004549F3"/>
    <w:rsid w:val="00454A86"/>
    <w:rsid w:val="00454C17"/>
    <w:rsid w:val="00454FB6"/>
    <w:rsid w:val="0045507D"/>
    <w:rsid w:val="00455116"/>
    <w:rsid w:val="004551C9"/>
    <w:rsid w:val="00455541"/>
    <w:rsid w:val="0045557F"/>
    <w:rsid w:val="0045569D"/>
    <w:rsid w:val="004556BA"/>
    <w:rsid w:val="00455E11"/>
    <w:rsid w:val="004565F1"/>
    <w:rsid w:val="004566A8"/>
    <w:rsid w:val="004566C2"/>
    <w:rsid w:val="004570EF"/>
    <w:rsid w:val="00457119"/>
    <w:rsid w:val="0045735D"/>
    <w:rsid w:val="00457928"/>
    <w:rsid w:val="00457C4B"/>
    <w:rsid w:val="0046005F"/>
    <w:rsid w:val="004605D7"/>
    <w:rsid w:val="00460643"/>
    <w:rsid w:val="00460B86"/>
    <w:rsid w:val="00460BDD"/>
    <w:rsid w:val="00460BE7"/>
    <w:rsid w:val="00460C0B"/>
    <w:rsid w:val="004610C8"/>
    <w:rsid w:val="00461581"/>
    <w:rsid w:val="0046180B"/>
    <w:rsid w:val="004619A7"/>
    <w:rsid w:val="00461B0B"/>
    <w:rsid w:val="00461CD8"/>
    <w:rsid w:val="00461E43"/>
    <w:rsid w:val="00461E51"/>
    <w:rsid w:val="0046201F"/>
    <w:rsid w:val="00462AE6"/>
    <w:rsid w:val="00462E3F"/>
    <w:rsid w:val="00462F20"/>
    <w:rsid w:val="00462F88"/>
    <w:rsid w:val="00462FAB"/>
    <w:rsid w:val="004636F5"/>
    <w:rsid w:val="00463D4D"/>
    <w:rsid w:val="0046408C"/>
    <w:rsid w:val="004643AE"/>
    <w:rsid w:val="00464AD0"/>
    <w:rsid w:val="00464E65"/>
    <w:rsid w:val="00465B8E"/>
    <w:rsid w:val="00465EAD"/>
    <w:rsid w:val="00465EAE"/>
    <w:rsid w:val="00465FE0"/>
    <w:rsid w:val="00466C94"/>
    <w:rsid w:val="00466D87"/>
    <w:rsid w:val="00467354"/>
    <w:rsid w:val="00467403"/>
    <w:rsid w:val="004676D6"/>
    <w:rsid w:val="004677D4"/>
    <w:rsid w:val="004678B7"/>
    <w:rsid w:val="00467BF1"/>
    <w:rsid w:val="00470748"/>
    <w:rsid w:val="00470952"/>
    <w:rsid w:val="00471041"/>
    <w:rsid w:val="00471049"/>
    <w:rsid w:val="004712DB"/>
    <w:rsid w:val="004715E0"/>
    <w:rsid w:val="004716F8"/>
    <w:rsid w:val="00471A3F"/>
    <w:rsid w:val="00471B10"/>
    <w:rsid w:val="00472A94"/>
    <w:rsid w:val="00472D56"/>
    <w:rsid w:val="00473266"/>
    <w:rsid w:val="0047336E"/>
    <w:rsid w:val="004737DD"/>
    <w:rsid w:val="00473DC7"/>
    <w:rsid w:val="00474A90"/>
    <w:rsid w:val="00474C71"/>
    <w:rsid w:val="00474CB3"/>
    <w:rsid w:val="004750C3"/>
    <w:rsid w:val="0047543E"/>
    <w:rsid w:val="0047564D"/>
    <w:rsid w:val="0047655D"/>
    <w:rsid w:val="0047671C"/>
    <w:rsid w:val="00476AA0"/>
    <w:rsid w:val="00477718"/>
    <w:rsid w:val="00477881"/>
    <w:rsid w:val="004804A0"/>
    <w:rsid w:val="004805EA"/>
    <w:rsid w:val="00480EB3"/>
    <w:rsid w:val="0048105A"/>
    <w:rsid w:val="004814DA"/>
    <w:rsid w:val="00481620"/>
    <w:rsid w:val="00481731"/>
    <w:rsid w:val="004817D0"/>
    <w:rsid w:val="0048199D"/>
    <w:rsid w:val="00481C52"/>
    <w:rsid w:val="00481C5C"/>
    <w:rsid w:val="00481C95"/>
    <w:rsid w:val="00481D00"/>
    <w:rsid w:val="004821D7"/>
    <w:rsid w:val="00482232"/>
    <w:rsid w:val="00482C8A"/>
    <w:rsid w:val="00482F0F"/>
    <w:rsid w:val="00482F1C"/>
    <w:rsid w:val="00482F55"/>
    <w:rsid w:val="00482FCC"/>
    <w:rsid w:val="00483436"/>
    <w:rsid w:val="0048355E"/>
    <w:rsid w:val="00483905"/>
    <w:rsid w:val="00483AC3"/>
    <w:rsid w:val="00483DB2"/>
    <w:rsid w:val="00483EF7"/>
    <w:rsid w:val="0048421D"/>
    <w:rsid w:val="00484AE5"/>
    <w:rsid w:val="0048542A"/>
    <w:rsid w:val="004855A0"/>
    <w:rsid w:val="00485C12"/>
    <w:rsid w:val="00485D42"/>
    <w:rsid w:val="004866F0"/>
    <w:rsid w:val="00486984"/>
    <w:rsid w:val="00486B62"/>
    <w:rsid w:val="00486E98"/>
    <w:rsid w:val="004871CA"/>
    <w:rsid w:val="00487710"/>
    <w:rsid w:val="00487A1F"/>
    <w:rsid w:val="00487CB4"/>
    <w:rsid w:val="00487FA5"/>
    <w:rsid w:val="00490535"/>
    <w:rsid w:val="00490665"/>
    <w:rsid w:val="0049097B"/>
    <w:rsid w:val="00490A6C"/>
    <w:rsid w:val="00490C59"/>
    <w:rsid w:val="00490DA3"/>
    <w:rsid w:val="00491353"/>
    <w:rsid w:val="004919F4"/>
    <w:rsid w:val="004919FF"/>
    <w:rsid w:val="00491A4D"/>
    <w:rsid w:val="00491BBF"/>
    <w:rsid w:val="00491C9C"/>
    <w:rsid w:val="004923FD"/>
    <w:rsid w:val="0049294E"/>
    <w:rsid w:val="004930E4"/>
    <w:rsid w:val="00493210"/>
    <w:rsid w:val="00493BCB"/>
    <w:rsid w:val="00493EFE"/>
    <w:rsid w:val="00494159"/>
    <w:rsid w:val="004943C9"/>
    <w:rsid w:val="004944FB"/>
    <w:rsid w:val="00494BBC"/>
    <w:rsid w:val="0049500E"/>
    <w:rsid w:val="0049508F"/>
    <w:rsid w:val="0049537E"/>
    <w:rsid w:val="00495503"/>
    <w:rsid w:val="00495524"/>
    <w:rsid w:val="00495A45"/>
    <w:rsid w:val="00495BA7"/>
    <w:rsid w:val="00495BC9"/>
    <w:rsid w:val="00495FEA"/>
    <w:rsid w:val="00496072"/>
    <w:rsid w:val="0049620A"/>
    <w:rsid w:val="004971E9"/>
    <w:rsid w:val="004974DB"/>
    <w:rsid w:val="004977A4"/>
    <w:rsid w:val="00497A89"/>
    <w:rsid w:val="00497CE1"/>
    <w:rsid w:val="00497EC2"/>
    <w:rsid w:val="004A03A3"/>
    <w:rsid w:val="004A05EA"/>
    <w:rsid w:val="004A073A"/>
    <w:rsid w:val="004A1393"/>
    <w:rsid w:val="004A172E"/>
    <w:rsid w:val="004A1A46"/>
    <w:rsid w:val="004A1E61"/>
    <w:rsid w:val="004A2644"/>
    <w:rsid w:val="004A2A5C"/>
    <w:rsid w:val="004A2D7D"/>
    <w:rsid w:val="004A2DC3"/>
    <w:rsid w:val="004A2E45"/>
    <w:rsid w:val="004A3175"/>
    <w:rsid w:val="004A3320"/>
    <w:rsid w:val="004A3401"/>
    <w:rsid w:val="004A3436"/>
    <w:rsid w:val="004A3B93"/>
    <w:rsid w:val="004A3CD0"/>
    <w:rsid w:val="004A3E84"/>
    <w:rsid w:val="004A46A3"/>
    <w:rsid w:val="004A470A"/>
    <w:rsid w:val="004A48D1"/>
    <w:rsid w:val="004A48E3"/>
    <w:rsid w:val="004A499F"/>
    <w:rsid w:val="004A5173"/>
    <w:rsid w:val="004A539D"/>
    <w:rsid w:val="004A55C5"/>
    <w:rsid w:val="004A56FA"/>
    <w:rsid w:val="004A58FA"/>
    <w:rsid w:val="004A5A38"/>
    <w:rsid w:val="004A5AB3"/>
    <w:rsid w:val="004A5D5C"/>
    <w:rsid w:val="004A6466"/>
    <w:rsid w:val="004A64B3"/>
    <w:rsid w:val="004A65A3"/>
    <w:rsid w:val="004A66D9"/>
    <w:rsid w:val="004A675B"/>
    <w:rsid w:val="004A6A05"/>
    <w:rsid w:val="004A6AF9"/>
    <w:rsid w:val="004A6BE7"/>
    <w:rsid w:val="004A6D14"/>
    <w:rsid w:val="004A6F43"/>
    <w:rsid w:val="004A6FF1"/>
    <w:rsid w:val="004A708E"/>
    <w:rsid w:val="004A7631"/>
    <w:rsid w:val="004A77D4"/>
    <w:rsid w:val="004A7996"/>
    <w:rsid w:val="004A7D12"/>
    <w:rsid w:val="004B03CB"/>
    <w:rsid w:val="004B055B"/>
    <w:rsid w:val="004B0E78"/>
    <w:rsid w:val="004B0F59"/>
    <w:rsid w:val="004B106C"/>
    <w:rsid w:val="004B1182"/>
    <w:rsid w:val="004B11E9"/>
    <w:rsid w:val="004B13CF"/>
    <w:rsid w:val="004B143A"/>
    <w:rsid w:val="004B1B79"/>
    <w:rsid w:val="004B1FD0"/>
    <w:rsid w:val="004B222B"/>
    <w:rsid w:val="004B270B"/>
    <w:rsid w:val="004B28D4"/>
    <w:rsid w:val="004B311B"/>
    <w:rsid w:val="004B3306"/>
    <w:rsid w:val="004B3F05"/>
    <w:rsid w:val="004B400F"/>
    <w:rsid w:val="004B41EA"/>
    <w:rsid w:val="004B439E"/>
    <w:rsid w:val="004B474D"/>
    <w:rsid w:val="004B4CDF"/>
    <w:rsid w:val="004B50D2"/>
    <w:rsid w:val="004B54CC"/>
    <w:rsid w:val="004B58C1"/>
    <w:rsid w:val="004B5B22"/>
    <w:rsid w:val="004B5C5D"/>
    <w:rsid w:val="004B631F"/>
    <w:rsid w:val="004B67D8"/>
    <w:rsid w:val="004B682F"/>
    <w:rsid w:val="004B690D"/>
    <w:rsid w:val="004B6BE3"/>
    <w:rsid w:val="004B6E70"/>
    <w:rsid w:val="004B744B"/>
    <w:rsid w:val="004C03A8"/>
    <w:rsid w:val="004C05D6"/>
    <w:rsid w:val="004C06BF"/>
    <w:rsid w:val="004C08D8"/>
    <w:rsid w:val="004C08EC"/>
    <w:rsid w:val="004C0919"/>
    <w:rsid w:val="004C0924"/>
    <w:rsid w:val="004C0AC4"/>
    <w:rsid w:val="004C0C59"/>
    <w:rsid w:val="004C1AF3"/>
    <w:rsid w:val="004C1C15"/>
    <w:rsid w:val="004C20EB"/>
    <w:rsid w:val="004C212F"/>
    <w:rsid w:val="004C21AC"/>
    <w:rsid w:val="004C240E"/>
    <w:rsid w:val="004C2DE1"/>
    <w:rsid w:val="004C3053"/>
    <w:rsid w:val="004C3105"/>
    <w:rsid w:val="004C3462"/>
    <w:rsid w:val="004C3B03"/>
    <w:rsid w:val="004C4B71"/>
    <w:rsid w:val="004C4DCE"/>
    <w:rsid w:val="004C51CB"/>
    <w:rsid w:val="004C58B4"/>
    <w:rsid w:val="004C58F5"/>
    <w:rsid w:val="004C5D1D"/>
    <w:rsid w:val="004C5DB8"/>
    <w:rsid w:val="004C5EE8"/>
    <w:rsid w:val="004C5F6C"/>
    <w:rsid w:val="004C628D"/>
    <w:rsid w:val="004C6298"/>
    <w:rsid w:val="004C62A2"/>
    <w:rsid w:val="004C63B1"/>
    <w:rsid w:val="004C6443"/>
    <w:rsid w:val="004C6517"/>
    <w:rsid w:val="004C6959"/>
    <w:rsid w:val="004C6CA1"/>
    <w:rsid w:val="004C6D4E"/>
    <w:rsid w:val="004C7218"/>
    <w:rsid w:val="004C72F1"/>
    <w:rsid w:val="004C7511"/>
    <w:rsid w:val="004C76CB"/>
    <w:rsid w:val="004C787A"/>
    <w:rsid w:val="004C7981"/>
    <w:rsid w:val="004C7E9A"/>
    <w:rsid w:val="004C7FC6"/>
    <w:rsid w:val="004D1515"/>
    <w:rsid w:val="004D15A3"/>
    <w:rsid w:val="004D1A01"/>
    <w:rsid w:val="004D1C6B"/>
    <w:rsid w:val="004D24BF"/>
    <w:rsid w:val="004D2820"/>
    <w:rsid w:val="004D2A17"/>
    <w:rsid w:val="004D2B68"/>
    <w:rsid w:val="004D2EDC"/>
    <w:rsid w:val="004D305A"/>
    <w:rsid w:val="004D30F9"/>
    <w:rsid w:val="004D323B"/>
    <w:rsid w:val="004D3759"/>
    <w:rsid w:val="004D3C52"/>
    <w:rsid w:val="004D3D32"/>
    <w:rsid w:val="004D43E2"/>
    <w:rsid w:val="004D488B"/>
    <w:rsid w:val="004D48EE"/>
    <w:rsid w:val="004D4AD8"/>
    <w:rsid w:val="004D4B32"/>
    <w:rsid w:val="004D4E4E"/>
    <w:rsid w:val="004D4FBA"/>
    <w:rsid w:val="004D5828"/>
    <w:rsid w:val="004D5C23"/>
    <w:rsid w:val="004D5C61"/>
    <w:rsid w:val="004D5EAD"/>
    <w:rsid w:val="004D6177"/>
    <w:rsid w:val="004D642D"/>
    <w:rsid w:val="004D676D"/>
    <w:rsid w:val="004D6841"/>
    <w:rsid w:val="004D6944"/>
    <w:rsid w:val="004D6B56"/>
    <w:rsid w:val="004D6F30"/>
    <w:rsid w:val="004D6FF7"/>
    <w:rsid w:val="004D76FE"/>
    <w:rsid w:val="004D78C1"/>
    <w:rsid w:val="004D7B13"/>
    <w:rsid w:val="004D7D16"/>
    <w:rsid w:val="004E0066"/>
    <w:rsid w:val="004E0785"/>
    <w:rsid w:val="004E0809"/>
    <w:rsid w:val="004E112A"/>
    <w:rsid w:val="004E12F3"/>
    <w:rsid w:val="004E132B"/>
    <w:rsid w:val="004E1738"/>
    <w:rsid w:val="004E19C0"/>
    <w:rsid w:val="004E1B1D"/>
    <w:rsid w:val="004E1B57"/>
    <w:rsid w:val="004E1E32"/>
    <w:rsid w:val="004E2688"/>
    <w:rsid w:val="004E3ACA"/>
    <w:rsid w:val="004E3F25"/>
    <w:rsid w:val="004E4075"/>
    <w:rsid w:val="004E42ED"/>
    <w:rsid w:val="004E48A7"/>
    <w:rsid w:val="004E48B5"/>
    <w:rsid w:val="004E49E1"/>
    <w:rsid w:val="004E4B5D"/>
    <w:rsid w:val="004E4B86"/>
    <w:rsid w:val="004E5009"/>
    <w:rsid w:val="004E591C"/>
    <w:rsid w:val="004E59A3"/>
    <w:rsid w:val="004E5A4D"/>
    <w:rsid w:val="004E5E7D"/>
    <w:rsid w:val="004E5FB0"/>
    <w:rsid w:val="004E6172"/>
    <w:rsid w:val="004E65E3"/>
    <w:rsid w:val="004E739E"/>
    <w:rsid w:val="004E7607"/>
    <w:rsid w:val="004E7E58"/>
    <w:rsid w:val="004F0157"/>
    <w:rsid w:val="004F020D"/>
    <w:rsid w:val="004F032D"/>
    <w:rsid w:val="004F0C68"/>
    <w:rsid w:val="004F1E73"/>
    <w:rsid w:val="004F1EB2"/>
    <w:rsid w:val="004F220B"/>
    <w:rsid w:val="004F2253"/>
    <w:rsid w:val="004F286A"/>
    <w:rsid w:val="004F2C50"/>
    <w:rsid w:val="004F2CF2"/>
    <w:rsid w:val="004F306C"/>
    <w:rsid w:val="004F4173"/>
    <w:rsid w:val="004F41F7"/>
    <w:rsid w:val="004F4463"/>
    <w:rsid w:val="004F4671"/>
    <w:rsid w:val="004F492F"/>
    <w:rsid w:val="004F4AFB"/>
    <w:rsid w:val="004F4CEF"/>
    <w:rsid w:val="004F50C1"/>
    <w:rsid w:val="004F510A"/>
    <w:rsid w:val="004F535D"/>
    <w:rsid w:val="004F53BF"/>
    <w:rsid w:val="004F5595"/>
    <w:rsid w:val="004F5A44"/>
    <w:rsid w:val="004F5AD7"/>
    <w:rsid w:val="004F5DFC"/>
    <w:rsid w:val="004F5E12"/>
    <w:rsid w:val="004F5E19"/>
    <w:rsid w:val="004F5F60"/>
    <w:rsid w:val="004F63FB"/>
    <w:rsid w:val="004F6569"/>
    <w:rsid w:val="004F69F5"/>
    <w:rsid w:val="004F6BB5"/>
    <w:rsid w:val="004F6CB0"/>
    <w:rsid w:val="004F6E19"/>
    <w:rsid w:val="004F6F41"/>
    <w:rsid w:val="004F7B6B"/>
    <w:rsid w:val="004F7EC1"/>
    <w:rsid w:val="00500843"/>
    <w:rsid w:val="00500A62"/>
    <w:rsid w:val="00500AF2"/>
    <w:rsid w:val="005010EC"/>
    <w:rsid w:val="005011D5"/>
    <w:rsid w:val="0050150A"/>
    <w:rsid w:val="00501971"/>
    <w:rsid w:val="00501AF4"/>
    <w:rsid w:val="00501FC5"/>
    <w:rsid w:val="005020C7"/>
    <w:rsid w:val="0050214A"/>
    <w:rsid w:val="00502186"/>
    <w:rsid w:val="00502249"/>
    <w:rsid w:val="005024A5"/>
    <w:rsid w:val="00502523"/>
    <w:rsid w:val="005025AB"/>
    <w:rsid w:val="00502806"/>
    <w:rsid w:val="005036B1"/>
    <w:rsid w:val="00504734"/>
    <w:rsid w:val="00504CA1"/>
    <w:rsid w:val="00504F83"/>
    <w:rsid w:val="005053E2"/>
    <w:rsid w:val="00505425"/>
    <w:rsid w:val="005059CA"/>
    <w:rsid w:val="00505C89"/>
    <w:rsid w:val="00505E2A"/>
    <w:rsid w:val="00505EC4"/>
    <w:rsid w:val="0050634D"/>
    <w:rsid w:val="0050649D"/>
    <w:rsid w:val="0050696F"/>
    <w:rsid w:val="00506A00"/>
    <w:rsid w:val="00507211"/>
    <w:rsid w:val="005076ED"/>
    <w:rsid w:val="00507872"/>
    <w:rsid w:val="00510921"/>
    <w:rsid w:val="00510C94"/>
    <w:rsid w:val="00510F01"/>
    <w:rsid w:val="00510FE0"/>
    <w:rsid w:val="0051136E"/>
    <w:rsid w:val="005113B0"/>
    <w:rsid w:val="0051147D"/>
    <w:rsid w:val="00511695"/>
    <w:rsid w:val="005119C6"/>
    <w:rsid w:val="00511C3A"/>
    <w:rsid w:val="00512A70"/>
    <w:rsid w:val="0051374E"/>
    <w:rsid w:val="00513889"/>
    <w:rsid w:val="00513940"/>
    <w:rsid w:val="00513998"/>
    <w:rsid w:val="00513C9D"/>
    <w:rsid w:val="00514156"/>
    <w:rsid w:val="005142CE"/>
    <w:rsid w:val="00515253"/>
    <w:rsid w:val="0051578F"/>
    <w:rsid w:val="005158D2"/>
    <w:rsid w:val="00515957"/>
    <w:rsid w:val="005164B0"/>
    <w:rsid w:val="005167C5"/>
    <w:rsid w:val="0051686E"/>
    <w:rsid w:val="0051692F"/>
    <w:rsid w:val="00517155"/>
    <w:rsid w:val="00517933"/>
    <w:rsid w:val="005179DC"/>
    <w:rsid w:val="00517CDF"/>
    <w:rsid w:val="0052081B"/>
    <w:rsid w:val="00520A22"/>
    <w:rsid w:val="00520B2C"/>
    <w:rsid w:val="00520B93"/>
    <w:rsid w:val="00520DAB"/>
    <w:rsid w:val="00520EEE"/>
    <w:rsid w:val="005210B2"/>
    <w:rsid w:val="00521687"/>
    <w:rsid w:val="00521838"/>
    <w:rsid w:val="005218C4"/>
    <w:rsid w:val="00521950"/>
    <w:rsid w:val="00521D6F"/>
    <w:rsid w:val="00521E3E"/>
    <w:rsid w:val="005221D4"/>
    <w:rsid w:val="005222E9"/>
    <w:rsid w:val="005225BB"/>
    <w:rsid w:val="00522CD4"/>
    <w:rsid w:val="00522EC6"/>
    <w:rsid w:val="00522FC5"/>
    <w:rsid w:val="005230BF"/>
    <w:rsid w:val="005231EB"/>
    <w:rsid w:val="005234AB"/>
    <w:rsid w:val="005234DE"/>
    <w:rsid w:val="00523545"/>
    <w:rsid w:val="005236E5"/>
    <w:rsid w:val="00523968"/>
    <w:rsid w:val="00523D0B"/>
    <w:rsid w:val="00524363"/>
    <w:rsid w:val="005243DD"/>
    <w:rsid w:val="005243FB"/>
    <w:rsid w:val="0052468C"/>
    <w:rsid w:val="00524993"/>
    <w:rsid w:val="00524D0D"/>
    <w:rsid w:val="00524E9E"/>
    <w:rsid w:val="00525331"/>
    <w:rsid w:val="005257CD"/>
    <w:rsid w:val="00525A2B"/>
    <w:rsid w:val="00525A5D"/>
    <w:rsid w:val="00525B2D"/>
    <w:rsid w:val="00525F04"/>
    <w:rsid w:val="005264E6"/>
    <w:rsid w:val="00526734"/>
    <w:rsid w:val="00526B3C"/>
    <w:rsid w:val="00526E60"/>
    <w:rsid w:val="00526F93"/>
    <w:rsid w:val="00526FEF"/>
    <w:rsid w:val="0052702A"/>
    <w:rsid w:val="005271BB"/>
    <w:rsid w:val="00527432"/>
    <w:rsid w:val="0052747F"/>
    <w:rsid w:val="00527941"/>
    <w:rsid w:val="005279BD"/>
    <w:rsid w:val="00530135"/>
    <w:rsid w:val="005307DC"/>
    <w:rsid w:val="00530A0C"/>
    <w:rsid w:val="00530C62"/>
    <w:rsid w:val="00530D16"/>
    <w:rsid w:val="00531113"/>
    <w:rsid w:val="005311FD"/>
    <w:rsid w:val="00531249"/>
    <w:rsid w:val="005312BF"/>
    <w:rsid w:val="005316D3"/>
    <w:rsid w:val="00531808"/>
    <w:rsid w:val="00531E2A"/>
    <w:rsid w:val="00531FD2"/>
    <w:rsid w:val="00532307"/>
    <w:rsid w:val="00532A94"/>
    <w:rsid w:val="00532D42"/>
    <w:rsid w:val="00532D61"/>
    <w:rsid w:val="00532ED3"/>
    <w:rsid w:val="00532FFB"/>
    <w:rsid w:val="005337B1"/>
    <w:rsid w:val="00533BC5"/>
    <w:rsid w:val="00533F65"/>
    <w:rsid w:val="005341F9"/>
    <w:rsid w:val="005343E6"/>
    <w:rsid w:val="005346D3"/>
    <w:rsid w:val="00534CBA"/>
    <w:rsid w:val="00534D28"/>
    <w:rsid w:val="005350B2"/>
    <w:rsid w:val="00535603"/>
    <w:rsid w:val="00535B9B"/>
    <w:rsid w:val="0053672B"/>
    <w:rsid w:val="005369BE"/>
    <w:rsid w:val="005369CB"/>
    <w:rsid w:val="00536A58"/>
    <w:rsid w:val="005377CD"/>
    <w:rsid w:val="005377D3"/>
    <w:rsid w:val="00537CC0"/>
    <w:rsid w:val="00537F70"/>
    <w:rsid w:val="005402E6"/>
    <w:rsid w:val="00540323"/>
    <w:rsid w:val="0054037E"/>
    <w:rsid w:val="0054062A"/>
    <w:rsid w:val="00540E33"/>
    <w:rsid w:val="005412C4"/>
    <w:rsid w:val="00541382"/>
    <w:rsid w:val="00541BE0"/>
    <w:rsid w:val="00541C03"/>
    <w:rsid w:val="00541C8F"/>
    <w:rsid w:val="00541D66"/>
    <w:rsid w:val="005423DC"/>
    <w:rsid w:val="005427DD"/>
    <w:rsid w:val="00542953"/>
    <w:rsid w:val="00542ABF"/>
    <w:rsid w:val="00542CEF"/>
    <w:rsid w:val="00542EC6"/>
    <w:rsid w:val="005430CB"/>
    <w:rsid w:val="005435CD"/>
    <w:rsid w:val="00543B4C"/>
    <w:rsid w:val="00543BAC"/>
    <w:rsid w:val="00543BE5"/>
    <w:rsid w:val="0054463C"/>
    <w:rsid w:val="00544680"/>
    <w:rsid w:val="0054487E"/>
    <w:rsid w:val="005448B7"/>
    <w:rsid w:val="005449F8"/>
    <w:rsid w:val="0054539E"/>
    <w:rsid w:val="00545549"/>
    <w:rsid w:val="005455DF"/>
    <w:rsid w:val="00545FC1"/>
    <w:rsid w:val="0054606C"/>
    <w:rsid w:val="005464AE"/>
    <w:rsid w:val="00546671"/>
    <w:rsid w:val="005467BD"/>
    <w:rsid w:val="00546A2B"/>
    <w:rsid w:val="00547998"/>
    <w:rsid w:val="00547B94"/>
    <w:rsid w:val="00550107"/>
    <w:rsid w:val="005506DB"/>
    <w:rsid w:val="005509AE"/>
    <w:rsid w:val="00551309"/>
    <w:rsid w:val="005516B6"/>
    <w:rsid w:val="00551BD2"/>
    <w:rsid w:val="005527FB"/>
    <w:rsid w:val="00552C24"/>
    <w:rsid w:val="005531BD"/>
    <w:rsid w:val="00553369"/>
    <w:rsid w:val="005535FC"/>
    <w:rsid w:val="00553826"/>
    <w:rsid w:val="00553D7E"/>
    <w:rsid w:val="00553EF5"/>
    <w:rsid w:val="00554265"/>
    <w:rsid w:val="005543F8"/>
    <w:rsid w:val="005544CF"/>
    <w:rsid w:val="00554877"/>
    <w:rsid w:val="0055591A"/>
    <w:rsid w:val="00555B90"/>
    <w:rsid w:val="00555C7F"/>
    <w:rsid w:val="00555CBD"/>
    <w:rsid w:val="00555DCD"/>
    <w:rsid w:val="00555F29"/>
    <w:rsid w:val="00555F97"/>
    <w:rsid w:val="00555FDD"/>
    <w:rsid w:val="00556295"/>
    <w:rsid w:val="0055650A"/>
    <w:rsid w:val="00556624"/>
    <w:rsid w:val="005576EF"/>
    <w:rsid w:val="00557E51"/>
    <w:rsid w:val="00560118"/>
    <w:rsid w:val="005605DD"/>
    <w:rsid w:val="00560625"/>
    <w:rsid w:val="005610D0"/>
    <w:rsid w:val="00561163"/>
    <w:rsid w:val="005616E8"/>
    <w:rsid w:val="00562845"/>
    <w:rsid w:val="00562AD3"/>
    <w:rsid w:val="00562BFE"/>
    <w:rsid w:val="00562D82"/>
    <w:rsid w:val="00562E3C"/>
    <w:rsid w:val="00563014"/>
    <w:rsid w:val="00563260"/>
    <w:rsid w:val="005635CE"/>
    <w:rsid w:val="005636F0"/>
    <w:rsid w:val="00563843"/>
    <w:rsid w:val="00563896"/>
    <w:rsid w:val="0056437F"/>
    <w:rsid w:val="00564984"/>
    <w:rsid w:val="00564A9E"/>
    <w:rsid w:val="00564AAD"/>
    <w:rsid w:val="00564D73"/>
    <w:rsid w:val="00564EAE"/>
    <w:rsid w:val="00564F2D"/>
    <w:rsid w:val="00565090"/>
    <w:rsid w:val="0056536B"/>
    <w:rsid w:val="00565415"/>
    <w:rsid w:val="00565A31"/>
    <w:rsid w:val="00565C76"/>
    <w:rsid w:val="00565C7D"/>
    <w:rsid w:val="00565D16"/>
    <w:rsid w:val="0056603A"/>
    <w:rsid w:val="0056612A"/>
    <w:rsid w:val="0056626A"/>
    <w:rsid w:val="00566735"/>
    <w:rsid w:val="00566994"/>
    <w:rsid w:val="00566A45"/>
    <w:rsid w:val="00566B22"/>
    <w:rsid w:val="00566B8E"/>
    <w:rsid w:val="005671F8"/>
    <w:rsid w:val="00567437"/>
    <w:rsid w:val="00567786"/>
    <w:rsid w:val="00567AA5"/>
    <w:rsid w:val="00567B39"/>
    <w:rsid w:val="00567EAC"/>
    <w:rsid w:val="005702A0"/>
    <w:rsid w:val="00570A15"/>
    <w:rsid w:val="00570CF8"/>
    <w:rsid w:val="00570EC4"/>
    <w:rsid w:val="00571122"/>
    <w:rsid w:val="005717B5"/>
    <w:rsid w:val="00571A56"/>
    <w:rsid w:val="00571F1B"/>
    <w:rsid w:val="00571F27"/>
    <w:rsid w:val="00571FDA"/>
    <w:rsid w:val="005729B2"/>
    <w:rsid w:val="00572E66"/>
    <w:rsid w:val="00573204"/>
    <w:rsid w:val="00573A5E"/>
    <w:rsid w:val="00573D9F"/>
    <w:rsid w:val="00573E72"/>
    <w:rsid w:val="00574417"/>
    <w:rsid w:val="0057482C"/>
    <w:rsid w:val="00574A69"/>
    <w:rsid w:val="00574AC1"/>
    <w:rsid w:val="00574BB4"/>
    <w:rsid w:val="00574C4F"/>
    <w:rsid w:val="0057510C"/>
    <w:rsid w:val="005755A1"/>
    <w:rsid w:val="00575BE0"/>
    <w:rsid w:val="00575CAA"/>
    <w:rsid w:val="00575EDD"/>
    <w:rsid w:val="00576C0A"/>
    <w:rsid w:val="00576D87"/>
    <w:rsid w:val="00576DE9"/>
    <w:rsid w:val="0057716C"/>
    <w:rsid w:val="0057765C"/>
    <w:rsid w:val="005809D6"/>
    <w:rsid w:val="005812A2"/>
    <w:rsid w:val="00581368"/>
    <w:rsid w:val="005813BB"/>
    <w:rsid w:val="005813ED"/>
    <w:rsid w:val="0058221A"/>
    <w:rsid w:val="005827A9"/>
    <w:rsid w:val="00582B4B"/>
    <w:rsid w:val="00582E76"/>
    <w:rsid w:val="00583292"/>
    <w:rsid w:val="00583467"/>
    <w:rsid w:val="005836CC"/>
    <w:rsid w:val="00583900"/>
    <w:rsid w:val="00583D19"/>
    <w:rsid w:val="00583DFA"/>
    <w:rsid w:val="0058422D"/>
    <w:rsid w:val="0058425B"/>
    <w:rsid w:val="00584990"/>
    <w:rsid w:val="005849DD"/>
    <w:rsid w:val="00584BC7"/>
    <w:rsid w:val="005855F3"/>
    <w:rsid w:val="005858E5"/>
    <w:rsid w:val="00585C6C"/>
    <w:rsid w:val="00585C9C"/>
    <w:rsid w:val="0058614E"/>
    <w:rsid w:val="005866EB"/>
    <w:rsid w:val="005869CC"/>
    <w:rsid w:val="00586C05"/>
    <w:rsid w:val="005876FD"/>
    <w:rsid w:val="00587AF7"/>
    <w:rsid w:val="00590189"/>
    <w:rsid w:val="00590D3D"/>
    <w:rsid w:val="00590E77"/>
    <w:rsid w:val="005910E1"/>
    <w:rsid w:val="0059140C"/>
    <w:rsid w:val="005916A4"/>
    <w:rsid w:val="00591C21"/>
    <w:rsid w:val="0059201E"/>
    <w:rsid w:val="0059216B"/>
    <w:rsid w:val="00592436"/>
    <w:rsid w:val="00592FBF"/>
    <w:rsid w:val="00593023"/>
    <w:rsid w:val="0059305D"/>
    <w:rsid w:val="0059394D"/>
    <w:rsid w:val="00593E87"/>
    <w:rsid w:val="005942DB"/>
    <w:rsid w:val="005949E7"/>
    <w:rsid w:val="00594C71"/>
    <w:rsid w:val="00595142"/>
    <w:rsid w:val="005955EE"/>
    <w:rsid w:val="005958D8"/>
    <w:rsid w:val="00595E6D"/>
    <w:rsid w:val="00595FB8"/>
    <w:rsid w:val="005960D9"/>
    <w:rsid w:val="00596252"/>
    <w:rsid w:val="005963D9"/>
    <w:rsid w:val="00596A3B"/>
    <w:rsid w:val="00596BEB"/>
    <w:rsid w:val="00596C13"/>
    <w:rsid w:val="005975D6"/>
    <w:rsid w:val="00597B5E"/>
    <w:rsid w:val="00597CD5"/>
    <w:rsid w:val="005A03A4"/>
    <w:rsid w:val="005A04A4"/>
    <w:rsid w:val="005A07F2"/>
    <w:rsid w:val="005A08CD"/>
    <w:rsid w:val="005A121B"/>
    <w:rsid w:val="005A143D"/>
    <w:rsid w:val="005A1627"/>
    <w:rsid w:val="005A1861"/>
    <w:rsid w:val="005A196E"/>
    <w:rsid w:val="005A2000"/>
    <w:rsid w:val="005A23DE"/>
    <w:rsid w:val="005A2876"/>
    <w:rsid w:val="005A2878"/>
    <w:rsid w:val="005A2916"/>
    <w:rsid w:val="005A2F02"/>
    <w:rsid w:val="005A2F6B"/>
    <w:rsid w:val="005A320F"/>
    <w:rsid w:val="005A3476"/>
    <w:rsid w:val="005A36F5"/>
    <w:rsid w:val="005A3CD1"/>
    <w:rsid w:val="005A3ECE"/>
    <w:rsid w:val="005A3FA6"/>
    <w:rsid w:val="005A423E"/>
    <w:rsid w:val="005A506A"/>
    <w:rsid w:val="005A5DFF"/>
    <w:rsid w:val="005A5F3D"/>
    <w:rsid w:val="005A5F40"/>
    <w:rsid w:val="005A5F5D"/>
    <w:rsid w:val="005A6514"/>
    <w:rsid w:val="005A65D5"/>
    <w:rsid w:val="005A66A4"/>
    <w:rsid w:val="005A6746"/>
    <w:rsid w:val="005A677C"/>
    <w:rsid w:val="005A6D25"/>
    <w:rsid w:val="005A6F9F"/>
    <w:rsid w:val="005A71D0"/>
    <w:rsid w:val="005A7517"/>
    <w:rsid w:val="005A75F1"/>
    <w:rsid w:val="005A7833"/>
    <w:rsid w:val="005A7EFD"/>
    <w:rsid w:val="005B01D2"/>
    <w:rsid w:val="005B021C"/>
    <w:rsid w:val="005B04EC"/>
    <w:rsid w:val="005B06F1"/>
    <w:rsid w:val="005B0AE4"/>
    <w:rsid w:val="005B0F76"/>
    <w:rsid w:val="005B1019"/>
    <w:rsid w:val="005B102D"/>
    <w:rsid w:val="005B104F"/>
    <w:rsid w:val="005B160F"/>
    <w:rsid w:val="005B18AA"/>
    <w:rsid w:val="005B1971"/>
    <w:rsid w:val="005B1B56"/>
    <w:rsid w:val="005B1DEC"/>
    <w:rsid w:val="005B1E99"/>
    <w:rsid w:val="005B1EC8"/>
    <w:rsid w:val="005B1F7E"/>
    <w:rsid w:val="005B20E0"/>
    <w:rsid w:val="005B2100"/>
    <w:rsid w:val="005B24BB"/>
    <w:rsid w:val="005B2CAA"/>
    <w:rsid w:val="005B2E58"/>
    <w:rsid w:val="005B2FD3"/>
    <w:rsid w:val="005B37A1"/>
    <w:rsid w:val="005B38D3"/>
    <w:rsid w:val="005B3918"/>
    <w:rsid w:val="005B3935"/>
    <w:rsid w:val="005B3A8C"/>
    <w:rsid w:val="005B3BE1"/>
    <w:rsid w:val="005B3E1F"/>
    <w:rsid w:val="005B3F68"/>
    <w:rsid w:val="005B40E5"/>
    <w:rsid w:val="005B4421"/>
    <w:rsid w:val="005B463B"/>
    <w:rsid w:val="005B4711"/>
    <w:rsid w:val="005B4781"/>
    <w:rsid w:val="005B4830"/>
    <w:rsid w:val="005B5717"/>
    <w:rsid w:val="005B59FC"/>
    <w:rsid w:val="005B5A6F"/>
    <w:rsid w:val="005B62BC"/>
    <w:rsid w:val="005B664D"/>
    <w:rsid w:val="005B6B88"/>
    <w:rsid w:val="005B73BA"/>
    <w:rsid w:val="005B7744"/>
    <w:rsid w:val="005B7E5F"/>
    <w:rsid w:val="005B7EDB"/>
    <w:rsid w:val="005C0007"/>
    <w:rsid w:val="005C000B"/>
    <w:rsid w:val="005C0431"/>
    <w:rsid w:val="005C09C4"/>
    <w:rsid w:val="005C11DB"/>
    <w:rsid w:val="005C123A"/>
    <w:rsid w:val="005C1554"/>
    <w:rsid w:val="005C1CD8"/>
    <w:rsid w:val="005C20D9"/>
    <w:rsid w:val="005C25AA"/>
    <w:rsid w:val="005C2735"/>
    <w:rsid w:val="005C2BD0"/>
    <w:rsid w:val="005C3129"/>
    <w:rsid w:val="005C3612"/>
    <w:rsid w:val="005C3854"/>
    <w:rsid w:val="005C3C14"/>
    <w:rsid w:val="005C3ED6"/>
    <w:rsid w:val="005C4305"/>
    <w:rsid w:val="005C4DCD"/>
    <w:rsid w:val="005C51F0"/>
    <w:rsid w:val="005C5937"/>
    <w:rsid w:val="005C6138"/>
    <w:rsid w:val="005C61B0"/>
    <w:rsid w:val="005C6327"/>
    <w:rsid w:val="005C633E"/>
    <w:rsid w:val="005C63E7"/>
    <w:rsid w:val="005C6670"/>
    <w:rsid w:val="005C6689"/>
    <w:rsid w:val="005C67CB"/>
    <w:rsid w:val="005C689A"/>
    <w:rsid w:val="005C6B98"/>
    <w:rsid w:val="005C6CD5"/>
    <w:rsid w:val="005C6F17"/>
    <w:rsid w:val="005C70B6"/>
    <w:rsid w:val="005C7226"/>
    <w:rsid w:val="005C7589"/>
    <w:rsid w:val="005C7678"/>
    <w:rsid w:val="005C7DD9"/>
    <w:rsid w:val="005D045B"/>
    <w:rsid w:val="005D081A"/>
    <w:rsid w:val="005D0958"/>
    <w:rsid w:val="005D095E"/>
    <w:rsid w:val="005D121E"/>
    <w:rsid w:val="005D1496"/>
    <w:rsid w:val="005D1519"/>
    <w:rsid w:val="005D17A3"/>
    <w:rsid w:val="005D1C12"/>
    <w:rsid w:val="005D20CA"/>
    <w:rsid w:val="005D2419"/>
    <w:rsid w:val="005D260C"/>
    <w:rsid w:val="005D293A"/>
    <w:rsid w:val="005D2D7F"/>
    <w:rsid w:val="005D300F"/>
    <w:rsid w:val="005D3016"/>
    <w:rsid w:val="005D336F"/>
    <w:rsid w:val="005D3707"/>
    <w:rsid w:val="005D3F64"/>
    <w:rsid w:val="005D4095"/>
    <w:rsid w:val="005D413F"/>
    <w:rsid w:val="005D4279"/>
    <w:rsid w:val="005D4361"/>
    <w:rsid w:val="005D4696"/>
    <w:rsid w:val="005D4B79"/>
    <w:rsid w:val="005D4EA0"/>
    <w:rsid w:val="005D4F98"/>
    <w:rsid w:val="005D54E8"/>
    <w:rsid w:val="005D5AA0"/>
    <w:rsid w:val="005D5D16"/>
    <w:rsid w:val="005D5D49"/>
    <w:rsid w:val="005D5DFB"/>
    <w:rsid w:val="005D648C"/>
    <w:rsid w:val="005D6850"/>
    <w:rsid w:val="005D68B7"/>
    <w:rsid w:val="005D6A19"/>
    <w:rsid w:val="005D6EA0"/>
    <w:rsid w:val="005D6FE2"/>
    <w:rsid w:val="005D7398"/>
    <w:rsid w:val="005D75D9"/>
    <w:rsid w:val="005D77A4"/>
    <w:rsid w:val="005D7DE7"/>
    <w:rsid w:val="005D7EDD"/>
    <w:rsid w:val="005D7F7A"/>
    <w:rsid w:val="005E01ED"/>
    <w:rsid w:val="005E05B9"/>
    <w:rsid w:val="005E0760"/>
    <w:rsid w:val="005E0E36"/>
    <w:rsid w:val="005E105F"/>
    <w:rsid w:val="005E1386"/>
    <w:rsid w:val="005E1522"/>
    <w:rsid w:val="005E1B75"/>
    <w:rsid w:val="005E1E8A"/>
    <w:rsid w:val="005E29F9"/>
    <w:rsid w:val="005E2D08"/>
    <w:rsid w:val="005E2D7D"/>
    <w:rsid w:val="005E2EED"/>
    <w:rsid w:val="005E2F1B"/>
    <w:rsid w:val="005E3364"/>
    <w:rsid w:val="005E3842"/>
    <w:rsid w:val="005E397B"/>
    <w:rsid w:val="005E3B27"/>
    <w:rsid w:val="005E3BBC"/>
    <w:rsid w:val="005E3BE8"/>
    <w:rsid w:val="005E3D4D"/>
    <w:rsid w:val="005E400B"/>
    <w:rsid w:val="005E43E3"/>
    <w:rsid w:val="005E4495"/>
    <w:rsid w:val="005E48FF"/>
    <w:rsid w:val="005E4C75"/>
    <w:rsid w:val="005E531F"/>
    <w:rsid w:val="005E5372"/>
    <w:rsid w:val="005E539E"/>
    <w:rsid w:val="005E5A0C"/>
    <w:rsid w:val="005E5A38"/>
    <w:rsid w:val="005E5C02"/>
    <w:rsid w:val="005E5E7B"/>
    <w:rsid w:val="005E5FDE"/>
    <w:rsid w:val="005E637A"/>
    <w:rsid w:val="005E63AB"/>
    <w:rsid w:val="005E6677"/>
    <w:rsid w:val="005E6D13"/>
    <w:rsid w:val="005E6E96"/>
    <w:rsid w:val="005E740B"/>
    <w:rsid w:val="005E7535"/>
    <w:rsid w:val="005E7599"/>
    <w:rsid w:val="005E7B40"/>
    <w:rsid w:val="005E7BD1"/>
    <w:rsid w:val="005E7DF8"/>
    <w:rsid w:val="005F066D"/>
    <w:rsid w:val="005F127F"/>
    <w:rsid w:val="005F204D"/>
    <w:rsid w:val="005F25FF"/>
    <w:rsid w:val="005F26AD"/>
    <w:rsid w:val="005F26E8"/>
    <w:rsid w:val="005F28B9"/>
    <w:rsid w:val="005F362C"/>
    <w:rsid w:val="005F3DD6"/>
    <w:rsid w:val="005F46E6"/>
    <w:rsid w:val="005F474F"/>
    <w:rsid w:val="005F5183"/>
    <w:rsid w:val="005F5229"/>
    <w:rsid w:val="005F5252"/>
    <w:rsid w:val="005F56B1"/>
    <w:rsid w:val="005F56C6"/>
    <w:rsid w:val="005F5DDD"/>
    <w:rsid w:val="005F5DF3"/>
    <w:rsid w:val="005F5E11"/>
    <w:rsid w:val="005F5F66"/>
    <w:rsid w:val="005F6280"/>
    <w:rsid w:val="005F63F8"/>
    <w:rsid w:val="005F64FD"/>
    <w:rsid w:val="005F650D"/>
    <w:rsid w:val="005F67E9"/>
    <w:rsid w:val="005F6ADA"/>
    <w:rsid w:val="005F72B9"/>
    <w:rsid w:val="005F7547"/>
    <w:rsid w:val="005F7833"/>
    <w:rsid w:val="005F7C36"/>
    <w:rsid w:val="006002E7"/>
    <w:rsid w:val="00600AA7"/>
    <w:rsid w:val="00600C85"/>
    <w:rsid w:val="00600E01"/>
    <w:rsid w:val="00600FA9"/>
    <w:rsid w:val="00601191"/>
    <w:rsid w:val="006011DB"/>
    <w:rsid w:val="00601436"/>
    <w:rsid w:val="006022AF"/>
    <w:rsid w:val="00602CBE"/>
    <w:rsid w:val="00602E61"/>
    <w:rsid w:val="0060304E"/>
    <w:rsid w:val="0060341F"/>
    <w:rsid w:val="0060381D"/>
    <w:rsid w:val="00603996"/>
    <w:rsid w:val="00604157"/>
    <w:rsid w:val="00604F10"/>
    <w:rsid w:val="006052AB"/>
    <w:rsid w:val="0060549A"/>
    <w:rsid w:val="00605B29"/>
    <w:rsid w:val="00605FF5"/>
    <w:rsid w:val="0060670D"/>
    <w:rsid w:val="00606947"/>
    <w:rsid w:val="006069F2"/>
    <w:rsid w:val="006072EF"/>
    <w:rsid w:val="006075E4"/>
    <w:rsid w:val="0061063B"/>
    <w:rsid w:val="00610DD2"/>
    <w:rsid w:val="006119DD"/>
    <w:rsid w:val="00611C32"/>
    <w:rsid w:val="00611DB8"/>
    <w:rsid w:val="00611EDD"/>
    <w:rsid w:val="00611FBF"/>
    <w:rsid w:val="00611FEC"/>
    <w:rsid w:val="00612319"/>
    <w:rsid w:val="00612371"/>
    <w:rsid w:val="00612ED7"/>
    <w:rsid w:val="00613031"/>
    <w:rsid w:val="00613829"/>
    <w:rsid w:val="0061396B"/>
    <w:rsid w:val="00613996"/>
    <w:rsid w:val="00613B9C"/>
    <w:rsid w:val="00613BA3"/>
    <w:rsid w:val="00613BBE"/>
    <w:rsid w:val="00613CF2"/>
    <w:rsid w:val="00614117"/>
    <w:rsid w:val="006141A4"/>
    <w:rsid w:val="006141E6"/>
    <w:rsid w:val="0061427B"/>
    <w:rsid w:val="006142C0"/>
    <w:rsid w:val="0061685C"/>
    <w:rsid w:val="00617740"/>
    <w:rsid w:val="006179B3"/>
    <w:rsid w:val="00617AF5"/>
    <w:rsid w:val="00617CA4"/>
    <w:rsid w:val="00620124"/>
    <w:rsid w:val="0062027D"/>
    <w:rsid w:val="00620CB5"/>
    <w:rsid w:val="00620D6B"/>
    <w:rsid w:val="0062155D"/>
    <w:rsid w:val="006219B0"/>
    <w:rsid w:val="006219F6"/>
    <w:rsid w:val="00621A03"/>
    <w:rsid w:val="00621ABF"/>
    <w:rsid w:val="006220E7"/>
    <w:rsid w:val="006223E0"/>
    <w:rsid w:val="0062298D"/>
    <w:rsid w:val="00622B07"/>
    <w:rsid w:val="00622ECC"/>
    <w:rsid w:val="006230AF"/>
    <w:rsid w:val="006234CE"/>
    <w:rsid w:val="00623EBB"/>
    <w:rsid w:val="006240C6"/>
    <w:rsid w:val="00624260"/>
    <w:rsid w:val="006244A7"/>
    <w:rsid w:val="006246CA"/>
    <w:rsid w:val="0062499D"/>
    <w:rsid w:val="00625512"/>
    <w:rsid w:val="0062619D"/>
    <w:rsid w:val="00626602"/>
    <w:rsid w:val="00626782"/>
    <w:rsid w:val="00626FC4"/>
    <w:rsid w:val="00627296"/>
    <w:rsid w:val="006272EF"/>
    <w:rsid w:val="0062738F"/>
    <w:rsid w:val="0062794F"/>
    <w:rsid w:val="00627B7D"/>
    <w:rsid w:val="00627C1D"/>
    <w:rsid w:val="006306C7"/>
    <w:rsid w:val="006309AB"/>
    <w:rsid w:val="00630A7D"/>
    <w:rsid w:val="00630C58"/>
    <w:rsid w:val="00631218"/>
    <w:rsid w:val="0063144C"/>
    <w:rsid w:val="00631665"/>
    <w:rsid w:val="00631EB2"/>
    <w:rsid w:val="006323CC"/>
    <w:rsid w:val="00632DD5"/>
    <w:rsid w:val="006333E5"/>
    <w:rsid w:val="00633818"/>
    <w:rsid w:val="00633D47"/>
    <w:rsid w:val="00633D48"/>
    <w:rsid w:val="00633FA1"/>
    <w:rsid w:val="006340A7"/>
    <w:rsid w:val="00634224"/>
    <w:rsid w:val="006344E3"/>
    <w:rsid w:val="0063487D"/>
    <w:rsid w:val="00635033"/>
    <w:rsid w:val="0063685B"/>
    <w:rsid w:val="00636998"/>
    <w:rsid w:val="00636BB1"/>
    <w:rsid w:val="00637017"/>
    <w:rsid w:val="00637106"/>
    <w:rsid w:val="006372B1"/>
    <w:rsid w:val="0063773E"/>
    <w:rsid w:val="00637769"/>
    <w:rsid w:val="00637AA8"/>
    <w:rsid w:val="00637C00"/>
    <w:rsid w:val="00637DFC"/>
    <w:rsid w:val="0064019D"/>
    <w:rsid w:val="006401AA"/>
    <w:rsid w:val="00640376"/>
    <w:rsid w:val="00640884"/>
    <w:rsid w:val="00640BDE"/>
    <w:rsid w:val="00640D3A"/>
    <w:rsid w:val="00640DC5"/>
    <w:rsid w:val="00640E49"/>
    <w:rsid w:val="00640E96"/>
    <w:rsid w:val="00640FEA"/>
    <w:rsid w:val="0064115C"/>
    <w:rsid w:val="006418DA"/>
    <w:rsid w:val="00641AB3"/>
    <w:rsid w:val="0064221D"/>
    <w:rsid w:val="006422AF"/>
    <w:rsid w:val="00642403"/>
    <w:rsid w:val="00642603"/>
    <w:rsid w:val="0064265C"/>
    <w:rsid w:val="00642A1C"/>
    <w:rsid w:val="00642F7E"/>
    <w:rsid w:val="0064330B"/>
    <w:rsid w:val="00643370"/>
    <w:rsid w:val="006433FF"/>
    <w:rsid w:val="006447C4"/>
    <w:rsid w:val="00644F3E"/>
    <w:rsid w:val="00645128"/>
    <w:rsid w:val="006451F9"/>
    <w:rsid w:val="00645256"/>
    <w:rsid w:val="00645635"/>
    <w:rsid w:val="006458CE"/>
    <w:rsid w:val="00645ACE"/>
    <w:rsid w:val="00645C27"/>
    <w:rsid w:val="0064698C"/>
    <w:rsid w:val="006469FD"/>
    <w:rsid w:val="0064744F"/>
    <w:rsid w:val="0064751B"/>
    <w:rsid w:val="00647A49"/>
    <w:rsid w:val="00650036"/>
    <w:rsid w:val="00650309"/>
    <w:rsid w:val="00650934"/>
    <w:rsid w:val="00650D24"/>
    <w:rsid w:val="00650E07"/>
    <w:rsid w:val="00650EFD"/>
    <w:rsid w:val="00650FB2"/>
    <w:rsid w:val="00651288"/>
    <w:rsid w:val="00651633"/>
    <w:rsid w:val="00651750"/>
    <w:rsid w:val="00651873"/>
    <w:rsid w:val="00651E1C"/>
    <w:rsid w:val="00651F3A"/>
    <w:rsid w:val="00651F63"/>
    <w:rsid w:val="00652F66"/>
    <w:rsid w:val="0065337B"/>
    <w:rsid w:val="006537D2"/>
    <w:rsid w:val="00653823"/>
    <w:rsid w:val="00653A38"/>
    <w:rsid w:val="00654497"/>
    <w:rsid w:val="00654612"/>
    <w:rsid w:val="006549B6"/>
    <w:rsid w:val="00654BA6"/>
    <w:rsid w:val="00654CAE"/>
    <w:rsid w:val="00654DC9"/>
    <w:rsid w:val="00655151"/>
    <w:rsid w:val="006552BE"/>
    <w:rsid w:val="00655368"/>
    <w:rsid w:val="00655589"/>
    <w:rsid w:val="00655652"/>
    <w:rsid w:val="006557CF"/>
    <w:rsid w:val="00655AB7"/>
    <w:rsid w:val="00655B9E"/>
    <w:rsid w:val="006560C0"/>
    <w:rsid w:val="006561DA"/>
    <w:rsid w:val="006563F8"/>
    <w:rsid w:val="00656949"/>
    <w:rsid w:val="00656D8E"/>
    <w:rsid w:val="00657519"/>
    <w:rsid w:val="00657A1C"/>
    <w:rsid w:val="00657E0C"/>
    <w:rsid w:val="00659ACF"/>
    <w:rsid w:val="00660121"/>
    <w:rsid w:val="00660472"/>
    <w:rsid w:val="006604C5"/>
    <w:rsid w:val="00660AEB"/>
    <w:rsid w:val="00661229"/>
    <w:rsid w:val="0066123B"/>
    <w:rsid w:val="006617B4"/>
    <w:rsid w:val="00661AE0"/>
    <w:rsid w:val="00661D19"/>
    <w:rsid w:val="0066261C"/>
    <w:rsid w:val="00662665"/>
    <w:rsid w:val="006626F3"/>
    <w:rsid w:val="00662C55"/>
    <w:rsid w:val="00662D9E"/>
    <w:rsid w:val="00663917"/>
    <w:rsid w:val="00663945"/>
    <w:rsid w:val="00663C3E"/>
    <w:rsid w:val="0066424D"/>
    <w:rsid w:val="006643DD"/>
    <w:rsid w:val="00664A5F"/>
    <w:rsid w:val="00664C9F"/>
    <w:rsid w:val="006651F7"/>
    <w:rsid w:val="00665235"/>
    <w:rsid w:val="00665388"/>
    <w:rsid w:val="00665396"/>
    <w:rsid w:val="00665950"/>
    <w:rsid w:val="00665E8E"/>
    <w:rsid w:val="0066638C"/>
    <w:rsid w:val="0066646D"/>
    <w:rsid w:val="00666BE8"/>
    <w:rsid w:val="00667423"/>
    <w:rsid w:val="00667962"/>
    <w:rsid w:val="006679C8"/>
    <w:rsid w:val="00670075"/>
    <w:rsid w:val="0067018A"/>
    <w:rsid w:val="00670809"/>
    <w:rsid w:val="00670938"/>
    <w:rsid w:val="00670DF5"/>
    <w:rsid w:val="00670E39"/>
    <w:rsid w:val="006710BC"/>
    <w:rsid w:val="0067145D"/>
    <w:rsid w:val="006719E0"/>
    <w:rsid w:val="00671CE2"/>
    <w:rsid w:val="00671D45"/>
    <w:rsid w:val="00671E71"/>
    <w:rsid w:val="00671F92"/>
    <w:rsid w:val="006720A9"/>
    <w:rsid w:val="006722F9"/>
    <w:rsid w:val="0067250E"/>
    <w:rsid w:val="00672865"/>
    <w:rsid w:val="00672D62"/>
    <w:rsid w:val="00673072"/>
    <w:rsid w:val="0067319F"/>
    <w:rsid w:val="006732CF"/>
    <w:rsid w:val="006734AE"/>
    <w:rsid w:val="006736E0"/>
    <w:rsid w:val="006736E5"/>
    <w:rsid w:val="00673D8C"/>
    <w:rsid w:val="00673E79"/>
    <w:rsid w:val="00674401"/>
    <w:rsid w:val="00674436"/>
    <w:rsid w:val="00674C92"/>
    <w:rsid w:val="00674DAA"/>
    <w:rsid w:val="00675431"/>
    <w:rsid w:val="0067552F"/>
    <w:rsid w:val="00675738"/>
    <w:rsid w:val="00675EC8"/>
    <w:rsid w:val="006761B2"/>
    <w:rsid w:val="00676316"/>
    <w:rsid w:val="0067670B"/>
    <w:rsid w:val="00676781"/>
    <w:rsid w:val="00676EAA"/>
    <w:rsid w:val="006771AD"/>
    <w:rsid w:val="006771F4"/>
    <w:rsid w:val="00677357"/>
    <w:rsid w:val="0067786F"/>
    <w:rsid w:val="00677D17"/>
    <w:rsid w:val="00677FD4"/>
    <w:rsid w:val="006802C4"/>
    <w:rsid w:val="006803F3"/>
    <w:rsid w:val="0068057F"/>
    <w:rsid w:val="0068083F"/>
    <w:rsid w:val="00680E74"/>
    <w:rsid w:val="00681097"/>
    <w:rsid w:val="0068118F"/>
    <w:rsid w:val="0068167E"/>
    <w:rsid w:val="00681A01"/>
    <w:rsid w:val="00681A94"/>
    <w:rsid w:val="00681B5E"/>
    <w:rsid w:val="00681BD7"/>
    <w:rsid w:val="00681E46"/>
    <w:rsid w:val="0068299C"/>
    <w:rsid w:val="00682ADA"/>
    <w:rsid w:val="00682C46"/>
    <w:rsid w:val="00682D40"/>
    <w:rsid w:val="00682F72"/>
    <w:rsid w:val="006837A5"/>
    <w:rsid w:val="006839AA"/>
    <w:rsid w:val="00683A85"/>
    <w:rsid w:val="00683AFD"/>
    <w:rsid w:val="00683DE3"/>
    <w:rsid w:val="00684196"/>
    <w:rsid w:val="006842C1"/>
    <w:rsid w:val="006844CA"/>
    <w:rsid w:val="00684C29"/>
    <w:rsid w:val="00684CDE"/>
    <w:rsid w:val="006852E6"/>
    <w:rsid w:val="00685399"/>
    <w:rsid w:val="006854D5"/>
    <w:rsid w:val="0068557F"/>
    <w:rsid w:val="00685A09"/>
    <w:rsid w:val="006862E1"/>
    <w:rsid w:val="006869E7"/>
    <w:rsid w:val="00686B20"/>
    <w:rsid w:val="00686CC7"/>
    <w:rsid w:val="00686CDD"/>
    <w:rsid w:val="00686E06"/>
    <w:rsid w:val="006870E7"/>
    <w:rsid w:val="0068735E"/>
    <w:rsid w:val="006876E8"/>
    <w:rsid w:val="00687C11"/>
    <w:rsid w:val="00690386"/>
    <w:rsid w:val="00690419"/>
    <w:rsid w:val="0069050C"/>
    <w:rsid w:val="00690554"/>
    <w:rsid w:val="0069066F"/>
    <w:rsid w:val="006908F1"/>
    <w:rsid w:val="00690AB2"/>
    <w:rsid w:val="00690ACF"/>
    <w:rsid w:val="006910F1"/>
    <w:rsid w:val="0069129D"/>
    <w:rsid w:val="00691340"/>
    <w:rsid w:val="0069175C"/>
    <w:rsid w:val="00691D39"/>
    <w:rsid w:val="00692440"/>
    <w:rsid w:val="00692797"/>
    <w:rsid w:val="006927BB"/>
    <w:rsid w:val="00692940"/>
    <w:rsid w:val="006929E9"/>
    <w:rsid w:val="00692A98"/>
    <w:rsid w:val="006935EF"/>
    <w:rsid w:val="00693A4C"/>
    <w:rsid w:val="00693A7E"/>
    <w:rsid w:val="00693BF0"/>
    <w:rsid w:val="00693CCC"/>
    <w:rsid w:val="00694078"/>
    <w:rsid w:val="006940C4"/>
    <w:rsid w:val="006940D3"/>
    <w:rsid w:val="0069459C"/>
    <w:rsid w:val="006947A9"/>
    <w:rsid w:val="00694ED2"/>
    <w:rsid w:val="006950AA"/>
    <w:rsid w:val="00695494"/>
    <w:rsid w:val="006955A3"/>
    <w:rsid w:val="006955D7"/>
    <w:rsid w:val="00695838"/>
    <w:rsid w:val="00695882"/>
    <w:rsid w:val="00695921"/>
    <w:rsid w:val="006959F7"/>
    <w:rsid w:val="00695A28"/>
    <w:rsid w:val="00695BA8"/>
    <w:rsid w:val="00695E9F"/>
    <w:rsid w:val="0069607B"/>
    <w:rsid w:val="006962E9"/>
    <w:rsid w:val="006966AC"/>
    <w:rsid w:val="00696966"/>
    <w:rsid w:val="00697198"/>
    <w:rsid w:val="00697FFC"/>
    <w:rsid w:val="006A03A0"/>
    <w:rsid w:val="006A052D"/>
    <w:rsid w:val="006A060C"/>
    <w:rsid w:val="006A0681"/>
    <w:rsid w:val="006A093A"/>
    <w:rsid w:val="006A0C46"/>
    <w:rsid w:val="006A0CF1"/>
    <w:rsid w:val="006A1269"/>
    <w:rsid w:val="006A126A"/>
    <w:rsid w:val="006A126E"/>
    <w:rsid w:val="006A15BE"/>
    <w:rsid w:val="006A16C1"/>
    <w:rsid w:val="006A1929"/>
    <w:rsid w:val="006A1FB8"/>
    <w:rsid w:val="006A229A"/>
    <w:rsid w:val="006A230C"/>
    <w:rsid w:val="006A2363"/>
    <w:rsid w:val="006A252A"/>
    <w:rsid w:val="006A2555"/>
    <w:rsid w:val="006A2FB0"/>
    <w:rsid w:val="006A354E"/>
    <w:rsid w:val="006A421E"/>
    <w:rsid w:val="006A42B1"/>
    <w:rsid w:val="006A446F"/>
    <w:rsid w:val="006A46B4"/>
    <w:rsid w:val="006A4785"/>
    <w:rsid w:val="006A4890"/>
    <w:rsid w:val="006A4A92"/>
    <w:rsid w:val="006A4C93"/>
    <w:rsid w:val="006A4CAC"/>
    <w:rsid w:val="006A5073"/>
    <w:rsid w:val="006A5507"/>
    <w:rsid w:val="006A59B3"/>
    <w:rsid w:val="006A5A08"/>
    <w:rsid w:val="006A5DFF"/>
    <w:rsid w:val="006A614B"/>
    <w:rsid w:val="006A67E5"/>
    <w:rsid w:val="006A69B1"/>
    <w:rsid w:val="006A6AB3"/>
    <w:rsid w:val="006A6BEF"/>
    <w:rsid w:val="006A6C38"/>
    <w:rsid w:val="006A6D45"/>
    <w:rsid w:val="006A6DA3"/>
    <w:rsid w:val="006A7225"/>
    <w:rsid w:val="006A736A"/>
    <w:rsid w:val="006A77E7"/>
    <w:rsid w:val="006B00A2"/>
    <w:rsid w:val="006B08AF"/>
    <w:rsid w:val="006B0CA4"/>
    <w:rsid w:val="006B0E19"/>
    <w:rsid w:val="006B19D5"/>
    <w:rsid w:val="006B1D7A"/>
    <w:rsid w:val="006B2357"/>
    <w:rsid w:val="006B2AC3"/>
    <w:rsid w:val="006B2DA4"/>
    <w:rsid w:val="006B2DA6"/>
    <w:rsid w:val="006B2DC6"/>
    <w:rsid w:val="006B2E98"/>
    <w:rsid w:val="006B31A0"/>
    <w:rsid w:val="006B388E"/>
    <w:rsid w:val="006B4710"/>
    <w:rsid w:val="006B4B15"/>
    <w:rsid w:val="006B5421"/>
    <w:rsid w:val="006B577E"/>
    <w:rsid w:val="006B5F91"/>
    <w:rsid w:val="006B6050"/>
    <w:rsid w:val="006B62B1"/>
    <w:rsid w:val="006B6990"/>
    <w:rsid w:val="006B6F9C"/>
    <w:rsid w:val="006B7540"/>
    <w:rsid w:val="006B75C1"/>
    <w:rsid w:val="006B7754"/>
    <w:rsid w:val="006B7A29"/>
    <w:rsid w:val="006B7B8F"/>
    <w:rsid w:val="006C047E"/>
    <w:rsid w:val="006C092B"/>
    <w:rsid w:val="006C0B61"/>
    <w:rsid w:val="006C0C69"/>
    <w:rsid w:val="006C0D3A"/>
    <w:rsid w:val="006C1244"/>
    <w:rsid w:val="006C1511"/>
    <w:rsid w:val="006C160F"/>
    <w:rsid w:val="006C172C"/>
    <w:rsid w:val="006C186E"/>
    <w:rsid w:val="006C1A01"/>
    <w:rsid w:val="006C1BCD"/>
    <w:rsid w:val="006C1FA4"/>
    <w:rsid w:val="006C219B"/>
    <w:rsid w:val="006C25C1"/>
    <w:rsid w:val="006C2638"/>
    <w:rsid w:val="006C2C7C"/>
    <w:rsid w:val="006C2E01"/>
    <w:rsid w:val="006C38FD"/>
    <w:rsid w:val="006C4329"/>
    <w:rsid w:val="006C433A"/>
    <w:rsid w:val="006C4BE6"/>
    <w:rsid w:val="006C4E8C"/>
    <w:rsid w:val="006C5333"/>
    <w:rsid w:val="006C53C9"/>
    <w:rsid w:val="006C543E"/>
    <w:rsid w:val="006C5805"/>
    <w:rsid w:val="006C581A"/>
    <w:rsid w:val="006C58E3"/>
    <w:rsid w:val="006C5B5E"/>
    <w:rsid w:val="006C5C13"/>
    <w:rsid w:val="006C5CA1"/>
    <w:rsid w:val="006C5CC0"/>
    <w:rsid w:val="006C6038"/>
    <w:rsid w:val="006C6156"/>
    <w:rsid w:val="006C61BC"/>
    <w:rsid w:val="006C637C"/>
    <w:rsid w:val="006C667C"/>
    <w:rsid w:val="006C66BD"/>
    <w:rsid w:val="006C68CF"/>
    <w:rsid w:val="006C68E9"/>
    <w:rsid w:val="006C6A48"/>
    <w:rsid w:val="006C6BC1"/>
    <w:rsid w:val="006C6C66"/>
    <w:rsid w:val="006C6ED1"/>
    <w:rsid w:val="006C711F"/>
    <w:rsid w:val="006C72CD"/>
    <w:rsid w:val="006C74F1"/>
    <w:rsid w:val="006C7A09"/>
    <w:rsid w:val="006C7BF7"/>
    <w:rsid w:val="006D081B"/>
    <w:rsid w:val="006D09E5"/>
    <w:rsid w:val="006D1019"/>
    <w:rsid w:val="006D146E"/>
    <w:rsid w:val="006D1519"/>
    <w:rsid w:val="006D2406"/>
    <w:rsid w:val="006D2553"/>
    <w:rsid w:val="006D2C0B"/>
    <w:rsid w:val="006D2E66"/>
    <w:rsid w:val="006D3074"/>
    <w:rsid w:val="006D3265"/>
    <w:rsid w:val="006D3E29"/>
    <w:rsid w:val="006D3E83"/>
    <w:rsid w:val="006D4356"/>
    <w:rsid w:val="006D440E"/>
    <w:rsid w:val="006D475B"/>
    <w:rsid w:val="006D4D30"/>
    <w:rsid w:val="006D4D81"/>
    <w:rsid w:val="006D513D"/>
    <w:rsid w:val="006D6256"/>
    <w:rsid w:val="006D62BB"/>
    <w:rsid w:val="006D64D2"/>
    <w:rsid w:val="006D6633"/>
    <w:rsid w:val="006D6AB8"/>
    <w:rsid w:val="006D6E4C"/>
    <w:rsid w:val="006D700B"/>
    <w:rsid w:val="006D746F"/>
    <w:rsid w:val="006D75E5"/>
    <w:rsid w:val="006D7809"/>
    <w:rsid w:val="006E0020"/>
    <w:rsid w:val="006E00F3"/>
    <w:rsid w:val="006E0253"/>
    <w:rsid w:val="006E03BA"/>
    <w:rsid w:val="006E109E"/>
    <w:rsid w:val="006E17AE"/>
    <w:rsid w:val="006E1D4E"/>
    <w:rsid w:val="006E2070"/>
    <w:rsid w:val="006E2110"/>
    <w:rsid w:val="006E254E"/>
    <w:rsid w:val="006E28B5"/>
    <w:rsid w:val="006E2CD3"/>
    <w:rsid w:val="006E2D63"/>
    <w:rsid w:val="006E3615"/>
    <w:rsid w:val="006E3AD0"/>
    <w:rsid w:val="006E3CD0"/>
    <w:rsid w:val="006E3D78"/>
    <w:rsid w:val="006E4793"/>
    <w:rsid w:val="006E47E6"/>
    <w:rsid w:val="006E4C8D"/>
    <w:rsid w:val="006E4CC1"/>
    <w:rsid w:val="006E4CD2"/>
    <w:rsid w:val="006E5008"/>
    <w:rsid w:val="006E527D"/>
    <w:rsid w:val="006E52E2"/>
    <w:rsid w:val="006E5341"/>
    <w:rsid w:val="006E5433"/>
    <w:rsid w:val="006E594F"/>
    <w:rsid w:val="006E63E8"/>
    <w:rsid w:val="006E6526"/>
    <w:rsid w:val="006E65DC"/>
    <w:rsid w:val="006E6A6E"/>
    <w:rsid w:val="006E6AD3"/>
    <w:rsid w:val="006E6CE3"/>
    <w:rsid w:val="006E757A"/>
    <w:rsid w:val="006E76A3"/>
    <w:rsid w:val="006E7780"/>
    <w:rsid w:val="006E7D80"/>
    <w:rsid w:val="006E7ED5"/>
    <w:rsid w:val="006E7F59"/>
    <w:rsid w:val="006F0348"/>
    <w:rsid w:val="006F0425"/>
    <w:rsid w:val="006F0CEA"/>
    <w:rsid w:val="006F0E83"/>
    <w:rsid w:val="006F0F60"/>
    <w:rsid w:val="006F1387"/>
    <w:rsid w:val="006F1DD5"/>
    <w:rsid w:val="006F2262"/>
    <w:rsid w:val="006F23F8"/>
    <w:rsid w:val="006F274A"/>
    <w:rsid w:val="006F27D2"/>
    <w:rsid w:val="006F2AFA"/>
    <w:rsid w:val="006F2C3D"/>
    <w:rsid w:val="006F3150"/>
    <w:rsid w:val="006F325F"/>
    <w:rsid w:val="006F4108"/>
    <w:rsid w:val="006F473F"/>
    <w:rsid w:val="006F4BAA"/>
    <w:rsid w:val="006F4F47"/>
    <w:rsid w:val="006F53B4"/>
    <w:rsid w:val="006F5420"/>
    <w:rsid w:val="006F5487"/>
    <w:rsid w:val="006F5B41"/>
    <w:rsid w:val="006F69EA"/>
    <w:rsid w:val="006F6B27"/>
    <w:rsid w:val="006F6DD1"/>
    <w:rsid w:val="006F7A82"/>
    <w:rsid w:val="006F7BAB"/>
    <w:rsid w:val="00700733"/>
    <w:rsid w:val="00700797"/>
    <w:rsid w:val="007007EA"/>
    <w:rsid w:val="00700B96"/>
    <w:rsid w:val="00700BF9"/>
    <w:rsid w:val="00700D90"/>
    <w:rsid w:val="0070171C"/>
    <w:rsid w:val="0070210F"/>
    <w:rsid w:val="007021B5"/>
    <w:rsid w:val="007028A1"/>
    <w:rsid w:val="00702E19"/>
    <w:rsid w:val="00702E3A"/>
    <w:rsid w:val="00702E90"/>
    <w:rsid w:val="00703158"/>
    <w:rsid w:val="0070330D"/>
    <w:rsid w:val="0070369C"/>
    <w:rsid w:val="0070380F"/>
    <w:rsid w:val="00703CBB"/>
    <w:rsid w:val="00704291"/>
    <w:rsid w:val="007042AE"/>
    <w:rsid w:val="007046EF"/>
    <w:rsid w:val="00704706"/>
    <w:rsid w:val="0070492A"/>
    <w:rsid w:val="00704A59"/>
    <w:rsid w:val="00705336"/>
    <w:rsid w:val="0070539D"/>
    <w:rsid w:val="0070596E"/>
    <w:rsid w:val="00705975"/>
    <w:rsid w:val="007059A5"/>
    <w:rsid w:val="0070614A"/>
    <w:rsid w:val="0070630F"/>
    <w:rsid w:val="00706382"/>
    <w:rsid w:val="00707177"/>
    <w:rsid w:val="0070791E"/>
    <w:rsid w:val="00707921"/>
    <w:rsid w:val="00707BDE"/>
    <w:rsid w:val="00707C7F"/>
    <w:rsid w:val="00707CD2"/>
    <w:rsid w:val="007100D2"/>
    <w:rsid w:val="00710166"/>
    <w:rsid w:val="0071044F"/>
    <w:rsid w:val="007104AE"/>
    <w:rsid w:val="00710E43"/>
    <w:rsid w:val="0071124D"/>
    <w:rsid w:val="0071151C"/>
    <w:rsid w:val="00711549"/>
    <w:rsid w:val="00711A2B"/>
    <w:rsid w:val="007120DE"/>
    <w:rsid w:val="00712200"/>
    <w:rsid w:val="00712739"/>
    <w:rsid w:val="007128CB"/>
    <w:rsid w:val="00712C1C"/>
    <w:rsid w:val="00712CE1"/>
    <w:rsid w:val="00712D7F"/>
    <w:rsid w:val="00713422"/>
    <w:rsid w:val="007134BE"/>
    <w:rsid w:val="00713553"/>
    <w:rsid w:val="00713CA3"/>
    <w:rsid w:val="00714230"/>
    <w:rsid w:val="0071429E"/>
    <w:rsid w:val="0071451C"/>
    <w:rsid w:val="00714568"/>
    <w:rsid w:val="00714900"/>
    <w:rsid w:val="00714A20"/>
    <w:rsid w:val="00714C5F"/>
    <w:rsid w:val="00714FE3"/>
    <w:rsid w:val="00715448"/>
    <w:rsid w:val="007154BF"/>
    <w:rsid w:val="00715A97"/>
    <w:rsid w:val="00715E7F"/>
    <w:rsid w:val="0071657A"/>
    <w:rsid w:val="00716B31"/>
    <w:rsid w:val="00716D3D"/>
    <w:rsid w:val="00717153"/>
    <w:rsid w:val="00717766"/>
    <w:rsid w:val="00717945"/>
    <w:rsid w:val="00717BC1"/>
    <w:rsid w:val="00717D01"/>
    <w:rsid w:val="00717F25"/>
    <w:rsid w:val="007200E5"/>
    <w:rsid w:val="00720339"/>
    <w:rsid w:val="00720E5E"/>
    <w:rsid w:val="007216FD"/>
    <w:rsid w:val="00721E99"/>
    <w:rsid w:val="00722541"/>
    <w:rsid w:val="00722696"/>
    <w:rsid w:val="007227BA"/>
    <w:rsid w:val="00723032"/>
    <w:rsid w:val="007234D6"/>
    <w:rsid w:val="007235B6"/>
    <w:rsid w:val="0072361C"/>
    <w:rsid w:val="00723833"/>
    <w:rsid w:val="00723C46"/>
    <w:rsid w:val="00723CBD"/>
    <w:rsid w:val="00723E10"/>
    <w:rsid w:val="00723E9A"/>
    <w:rsid w:val="00723FC2"/>
    <w:rsid w:val="00724375"/>
    <w:rsid w:val="00724AF1"/>
    <w:rsid w:val="00724B6E"/>
    <w:rsid w:val="00724DA5"/>
    <w:rsid w:val="00724F7A"/>
    <w:rsid w:val="0072575E"/>
    <w:rsid w:val="00725CE2"/>
    <w:rsid w:val="007262D2"/>
    <w:rsid w:val="007263B1"/>
    <w:rsid w:val="007264F6"/>
    <w:rsid w:val="00726784"/>
    <w:rsid w:val="007267B6"/>
    <w:rsid w:val="007268E1"/>
    <w:rsid w:val="00726B27"/>
    <w:rsid w:val="00726F56"/>
    <w:rsid w:val="007278C2"/>
    <w:rsid w:val="00727D93"/>
    <w:rsid w:val="00727F84"/>
    <w:rsid w:val="00730252"/>
    <w:rsid w:val="007302A7"/>
    <w:rsid w:val="007309FB"/>
    <w:rsid w:val="00730F7B"/>
    <w:rsid w:val="007310CE"/>
    <w:rsid w:val="0073130A"/>
    <w:rsid w:val="007315DF"/>
    <w:rsid w:val="007315F4"/>
    <w:rsid w:val="0073180A"/>
    <w:rsid w:val="00731C42"/>
    <w:rsid w:val="00732386"/>
    <w:rsid w:val="007326B9"/>
    <w:rsid w:val="007326E8"/>
    <w:rsid w:val="007327AC"/>
    <w:rsid w:val="00732C76"/>
    <w:rsid w:val="0073308F"/>
    <w:rsid w:val="00733490"/>
    <w:rsid w:val="0073354A"/>
    <w:rsid w:val="00733625"/>
    <w:rsid w:val="007339F8"/>
    <w:rsid w:val="00733AE1"/>
    <w:rsid w:val="00733BA2"/>
    <w:rsid w:val="00733D19"/>
    <w:rsid w:val="00733D33"/>
    <w:rsid w:val="0073401A"/>
    <w:rsid w:val="007340F8"/>
    <w:rsid w:val="00735051"/>
    <w:rsid w:val="00735462"/>
    <w:rsid w:val="00735521"/>
    <w:rsid w:val="0073566B"/>
    <w:rsid w:val="0073657B"/>
    <w:rsid w:val="007366BE"/>
    <w:rsid w:val="00736BBB"/>
    <w:rsid w:val="00736F90"/>
    <w:rsid w:val="00736F9C"/>
    <w:rsid w:val="007371F1"/>
    <w:rsid w:val="0073720A"/>
    <w:rsid w:val="007373A9"/>
    <w:rsid w:val="00737428"/>
    <w:rsid w:val="007378A1"/>
    <w:rsid w:val="007378B0"/>
    <w:rsid w:val="00737F3D"/>
    <w:rsid w:val="00740908"/>
    <w:rsid w:val="007409B5"/>
    <w:rsid w:val="00740F4B"/>
    <w:rsid w:val="00741386"/>
    <w:rsid w:val="007413F8"/>
    <w:rsid w:val="00741B83"/>
    <w:rsid w:val="0074234A"/>
    <w:rsid w:val="007426EA"/>
    <w:rsid w:val="00742B99"/>
    <w:rsid w:val="00742BCB"/>
    <w:rsid w:val="00742D91"/>
    <w:rsid w:val="00742DA3"/>
    <w:rsid w:val="00743081"/>
    <w:rsid w:val="0074326D"/>
    <w:rsid w:val="007434BC"/>
    <w:rsid w:val="00743630"/>
    <w:rsid w:val="00743A2F"/>
    <w:rsid w:val="00743B3D"/>
    <w:rsid w:val="00743DD6"/>
    <w:rsid w:val="00743FE6"/>
    <w:rsid w:val="00744F89"/>
    <w:rsid w:val="00745879"/>
    <w:rsid w:val="00745BE2"/>
    <w:rsid w:val="00745D38"/>
    <w:rsid w:val="007460BA"/>
    <w:rsid w:val="007460EC"/>
    <w:rsid w:val="00746481"/>
    <w:rsid w:val="00746919"/>
    <w:rsid w:val="00746C08"/>
    <w:rsid w:val="0074719D"/>
    <w:rsid w:val="00747996"/>
    <w:rsid w:val="007479CA"/>
    <w:rsid w:val="00747A83"/>
    <w:rsid w:val="007500C6"/>
    <w:rsid w:val="007505F3"/>
    <w:rsid w:val="00750D39"/>
    <w:rsid w:val="00750DD9"/>
    <w:rsid w:val="00750E6F"/>
    <w:rsid w:val="00750FBE"/>
    <w:rsid w:val="007511E0"/>
    <w:rsid w:val="00751223"/>
    <w:rsid w:val="00751388"/>
    <w:rsid w:val="007514CF"/>
    <w:rsid w:val="007514E7"/>
    <w:rsid w:val="0075178C"/>
    <w:rsid w:val="00751973"/>
    <w:rsid w:val="0075199B"/>
    <w:rsid w:val="0075199F"/>
    <w:rsid w:val="00751BAF"/>
    <w:rsid w:val="00751C81"/>
    <w:rsid w:val="00752486"/>
    <w:rsid w:val="0075254B"/>
    <w:rsid w:val="0075291B"/>
    <w:rsid w:val="00752941"/>
    <w:rsid w:val="00752C9F"/>
    <w:rsid w:val="0075324F"/>
    <w:rsid w:val="007533DA"/>
    <w:rsid w:val="0075357F"/>
    <w:rsid w:val="00753690"/>
    <w:rsid w:val="00753B14"/>
    <w:rsid w:val="00753CBC"/>
    <w:rsid w:val="00753D73"/>
    <w:rsid w:val="00753DE9"/>
    <w:rsid w:val="00754064"/>
    <w:rsid w:val="00754079"/>
    <w:rsid w:val="00754289"/>
    <w:rsid w:val="00754772"/>
    <w:rsid w:val="00754AE2"/>
    <w:rsid w:val="00754B1D"/>
    <w:rsid w:val="00755332"/>
    <w:rsid w:val="007557FE"/>
    <w:rsid w:val="007569A5"/>
    <w:rsid w:val="00756A8D"/>
    <w:rsid w:val="00756B95"/>
    <w:rsid w:val="00756C52"/>
    <w:rsid w:val="00756C90"/>
    <w:rsid w:val="00756D0A"/>
    <w:rsid w:val="00756E18"/>
    <w:rsid w:val="00757152"/>
    <w:rsid w:val="0075789A"/>
    <w:rsid w:val="007579BD"/>
    <w:rsid w:val="00757C22"/>
    <w:rsid w:val="00757C6F"/>
    <w:rsid w:val="00757CB4"/>
    <w:rsid w:val="00757E29"/>
    <w:rsid w:val="007600D9"/>
    <w:rsid w:val="007604B1"/>
    <w:rsid w:val="00760785"/>
    <w:rsid w:val="00760A3B"/>
    <w:rsid w:val="007612BD"/>
    <w:rsid w:val="0076153D"/>
    <w:rsid w:val="00761699"/>
    <w:rsid w:val="00761E0B"/>
    <w:rsid w:val="0076209A"/>
    <w:rsid w:val="00762210"/>
    <w:rsid w:val="00762F60"/>
    <w:rsid w:val="0076340B"/>
    <w:rsid w:val="00763EA9"/>
    <w:rsid w:val="00765008"/>
    <w:rsid w:val="0076509A"/>
    <w:rsid w:val="00765108"/>
    <w:rsid w:val="00765351"/>
    <w:rsid w:val="00765759"/>
    <w:rsid w:val="00765EE1"/>
    <w:rsid w:val="00766234"/>
    <w:rsid w:val="00766274"/>
    <w:rsid w:val="007667CF"/>
    <w:rsid w:val="00766AC1"/>
    <w:rsid w:val="00766B69"/>
    <w:rsid w:val="00766C17"/>
    <w:rsid w:val="00767BB8"/>
    <w:rsid w:val="00767D77"/>
    <w:rsid w:val="00770B7D"/>
    <w:rsid w:val="00770C17"/>
    <w:rsid w:val="007712E4"/>
    <w:rsid w:val="007719D0"/>
    <w:rsid w:val="00771A63"/>
    <w:rsid w:val="00771A91"/>
    <w:rsid w:val="00771DBA"/>
    <w:rsid w:val="00771DED"/>
    <w:rsid w:val="007722A9"/>
    <w:rsid w:val="007726B9"/>
    <w:rsid w:val="0077334C"/>
    <w:rsid w:val="0077355E"/>
    <w:rsid w:val="007737AC"/>
    <w:rsid w:val="0077386A"/>
    <w:rsid w:val="00773C7A"/>
    <w:rsid w:val="00773CE0"/>
    <w:rsid w:val="0077428C"/>
    <w:rsid w:val="00774728"/>
    <w:rsid w:val="00774E1A"/>
    <w:rsid w:val="00774F0E"/>
    <w:rsid w:val="007752E1"/>
    <w:rsid w:val="007753ED"/>
    <w:rsid w:val="00775461"/>
    <w:rsid w:val="00775E51"/>
    <w:rsid w:val="00775F1B"/>
    <w:rsid w:val="00776150"/>
    <w:rsid w:val="007761C5"/>
    <w:rsid w:val="00776842"/>
    <w:rsid w:val="00777CF9"/>
    <w:rsid w:val="0078032E"/>
    <w:rsid w:val="00780B81"/>
    <w:rsid w:val="00780EA3"/>
    <w:rsid w:val="00780FEC"/>
    <w:rsid w:val="00781490"/>
    <w:rsid w:val="00781695"/>
    <w:rsid w:val="0078204A"/>
    <w:rsid w:val="00782302"/>
    <w:rsid w:val="007835B9"/>
    <w:rsid w:val="00784142"/>
    <w:rsid w:val="00784505"/>
    <w:rsid w:val="00784707"/>
    <w:rsid w:val="0078472A"/>
    <w:rsid w:val="00784868"/>
    <w:rsid w:val="00784C0E"/>
    <w:rsid w:val="00784EDC"/>
    <w:rsid w:val="00785670"/>
    <w:rsid w:val="00785696"/>
    <w:rsid w:val="00785DF2"/>
    <w:rsid w:val="00785FBB"/>
    <w:rsid w:val="00786037"/>
    <w:rsid w:val="007861F1"/>
    <w:rsid w:val="0078666C"/>
    <w:rsid w:val="00786926"/>
    <w:rsid w:val="007869CF"/>
    <w:rsid w:val="00786AAD"/>
    <w:rsid w:val="00786D27"/>
    <w:rsid w:val="007878A0"/>
    <w:rsid w:val="00787E7E"/>
    <w:rsid w:val="007905CB"/>
    <w:rsid w:val="00790615"/>
    <w:rsid w:val="007907FB"/>
    <w:rsid w:val="00791309"/>
    <w:rsid w:val="007913CF"/>
    <w:rsid w:val="007915AB"/>
    <w:rsid w:val="007915D3"/>
    <w:rsid w:val="00791796"/>
    <w:rsid w:val="007917CE"/>
    <w:rsid w:val="0079185A"/>
    <w:rsid w:val="00791CDE"/>
    <w:rsid w:val="00791E1A"/>
    <w:rsid w:val="00791FF2"/>
    <w:rsid w:val="00792099"/>
    <w:rsid w:val="00792122"/>
    <w:rsid w:val="00792E8B"/>
    <w:rsid w:val="00793E49"/>
    <w:rsid w:val="007941FA"/>
    <w:rsid w:val="00795026"/>
    <w:rsid w:val="007951A7"/>
    <w:rsid w:val="0079529E"/>
    <w:rsid w:val="00795DF6"/>
    <w:rsid w:val="00795E39"/>
    <w:rsid w:val="00796084"/>
    <w:rsid w:val="007962E0"/>
    <w:rsid w:val="0079684F"/>
    <w:rsid w:val="00796A6B"/>
    <w:rsid w:val="00796AD1"/>
    <w:rsid w:val="00796C01"/>
    <w:rsid w:val="00796C2E"/>
    <w:rsid w:val="00796C7C"/>
    <w:rsid w:val="00796E36"/>
    <w:rsid w:val="00796E9F"/>
    <w:rsid w:val="0079763D"/>
    <w:rsid w:val="00797AB7"/>
    <w:rsid w:val="007A0154"/>
    <w:rsid w:val="007A01D9"/>
    <w:rsid w:val="007A06E3"/>
    <w:rsid w:val="007A0B0A"/>
    <w:rsid w:val="007A0DBF"/>
    <w:rsid w:val="007A1008"/>
    <w:rsid w:val="007A1565"/>
    <w:rsid w:val="007A1805"/>
    <w:rsid w:val="007A1FB7"/>
    <w:rsid w:val="007A2372"/>
    <w:rsid w:val="007A2427"/>
    <w:rsid w:val="007A26AA"/>
    <w:rsid w:val="007A28F7"/>
    <w:rsid w:val="007A2F17"/>
    <w:rsid w:val="007A305C"/>
    <w:rsid w:val="007A386B"/>
    <w:rsid w:val="007A3B5A"/>
    <w:rsid w:val="007A3BCD"/>
    <w:rsid w:val="007A3C82"/>
    <w:rsid w:val="007A3DFB"/>
    <w:rsid w:val="007A41FD"/>
    <w:rsid w:val="007A4258"/>
    <w:rsid w:val="007A44AF"/>
    <w:rsid w:val="007A4684"/>
    <w:rsid w:val="007A48D8"/>
    <w:rsid w:val="007A4EFB"/>
    <w:rsid w:val="007A5214"/>
    <w:rsid w:val="007A5A62"/>
    <w:rsid w:val="007A5CE2"/>
    <w:rsid w:val="007A64DB"/>
    <w:rsid w:val="007A6686"/>
    <w:rsid w:val="007A68C5"/>
    <w:rsid w:val="007A6A33"/>
    <w:rsid w:val="007A6F27"/>
    <w:rsid w:val="007A72EC"/>
    <w:rsid w:val="007A75CC"/>
    <w:rsid w:val="007A793A"/>
    <w:rsid w:val="007A7A87"/>
    <w:rsid w:val="007A7B63"/>
    <w:rsid w:val="007B033D"/>
    <w:rsid w:val="007B0C1E"/>
    <w:rsid w:val="007B114C"/>
    <w:rsid w:val="007B1692"/>
    <w:rsid w:val="007B1722"/>
    <w:rsid w:val="007B220A"/>
    <w:rsid w:val="007B2BD0"/>
    <w:rsid w:val="007B2BE8"/>
    <w:rsid w:val="007B2FA3"/>
    <w:rsid w:val="007B332D"/>
    <w:rsid w:val="007B3393"/>
    <w:rsid w:val="007B33B1"/>
    <w:rsid w:val="007B3534"/>
    <w:rsid w:val="007B3585"/>
    <w:rsid w:val="007B3698"/>
    <w:rsid w:val="007B3AE6"/>
    <w:rsid w:val="007B3C86"/>
    <w:rsid w:val="007B412A"/>
    <w:rsid w:val="007B4515"/>
    <w:rsid w:val="007B47D1"/>
    <w:rsid w:val="007B48A2"/>
    <w:rsid w:val="007B4C4A"/>
    <w:rsid w:val="007B581C"/>
    <w:rsid w:val="007B5936"/>
    <w:rsid w:val="007B5942"/>
    <w:rsid w:val="007B5C9E"/>
    <w:rsid w:val="007B5DBB"/>
    <w:rsid w:val="007B5EB9"/>
    <w:rsid w:val="007B65FC"/>
    <w:rsid w:val="007B66A0"/>
    <w:rsid w:val="007B6A9E"/>
    <w:rsid w:val="007B6DD1"/>
    <w:rsid w:val="007B6F97"/>
    <w:rsid w:val="007B71C1"/>
    <w:rsid w:val="007B72D8"/>
    <w:rsid w:val="007B739E"/>
    <w:rsid w:val="007B7877"/>
    <w:rsid w:val="007B78C6"/>
    <w:rsid w:val="007B7A6D"/>
    <w:rsid w:val="007B7F56"/>
    <w:rsid w:val="007C0441"/>
    <w:rsid w:val="007C0ABD"/>
    <w:rsid w:val="007C1081"/>
    <w:rsid w:val="007C1094"/>
    <w:rsid w:val="007C11B3"/>
    <w:rsid w:val="007C149B"/>
    <w:rsid w:val="007C1537"/>
    <w:rsid w:val="007C1C05"/>
    <w:rsid w:val="007C274C"/>
    <w:rsid w:val="007C28E4"/>
    <w:rsid w:val="007C2A51"/>
    <w:rsid w:val="007C2CC1"/>
    <w:rsid w:val="007C2D84"/>
    <w:rsid w:val="007C38CA"/>
    <w:rsid w:val="007C3A24"/>
    <w:rsid w:val="007C40F5"/>
    <w:rsid w:val="007C424F"/>
    <w:rsid w:val="007C4305"/>
    <w:rsid w:val="007C44D3"/>
    <w:rsid w:val="007C4599"/>
    <w:rsid w:val="007C46D8"/>
    <w:rsid w:val="007C4B4C"/>
    <w:rsid w:val="007C4B64"/>
    <w:rsid w:val="007C4E3B"/>
    <w:rsid w:val="007C4EB2"/>
    <w:rsid w:val="007C4F94"/>
    <w:rsid w:val="007C4FB8"/>
    <w:rsid w:val="007C53A8"/>
    <w:rsid w:val="007C5547"/>
    <w:rsid w:val="007C58F1"/>
    <w:rsid w:val="007C5A37"/>
    <w:rsid w:val="007C6004"/>
    <w:rsid w:val="007C603A"/>
    <w:rsid w:val="007C62C7"/>
    <w:rsid w:val="007C6444"/>
    <w:rsid w:val="007C64AD"/>
    <w:rsid w:val="007C65AD"/>
    <w:rsid w:val="007C665C"/>
    <w:rsid w:val="007C6768"/>
    <w:rsid w:val="007C6D44"/>
    <w:rsid w:val="007C6F01"/>
    <w:rsid w:val="007C7447"/>
    <w:rsid w:val="007C796D"/>
    <w:rsid w:val="007C7E32"/>
    <w:rsid w:val="007D042B"/>
    <w:rsid w:val="007D107A"/>
    <w:rsid w:val="007D1242"/>
    <w:rsid w:val="007D1510"/>
    <w:rsid w:val="007D1579"/>
    <w:rsid w:val="007D1942"/>
    <w:rsid w:val="007D24EA"/>
    <w:rsid w:val="007D2A6F"/>
    <w:rsid w:val="007D2D5B"/>
    <w:rsid w:val="007D3269"/>
    <w:rsid w:val="007D3580"/>
    <w:rsid w:val="007D3C79"/>
    <w:rsid w:val="007D3D29"/>
    <w:rsid w:val="007D3D4E"/>
    <w:rsid w:val="007D3D5D"/>
    <w:rsid w:val="007D48C9"/>
    <w:rsid w:val="007D4BD6"/>
    <w:rsid w:val="007D4D5A"/>
    <w:rsid w:val="007D50BA"/>
    <w:rsid w:val="007D51E9"/>
    <w:rsid w:val="007D53F0"/>
    <w:rsid w:val="007D5461"/>
    <w:rsid w:val="007D55EC"/>
    <w:rsid w:val="007D574F"/>
    <w:rsid w:val="007D5952"/>
    <w:rsid w:val="007D5F44"/>
    <w:rsid w:val="007D66CF"/>
    <w:rsid w:val="007D6880"/>
    <w:rsid w:val="007D743B"/>
    <w:rsid w:val="007D7A4A"/>
    <w:rsid w:val="007E12C7"/>
    <w:rsid w:val="007E1415"/>
    <w:rsid w:val="007E1453"/>
    <w:rsid w:val="007E1479"/>
    <w:rsid w:val="007E17AC"/>
    <w:rsid w:val="007E17DF"/>
    <w:rsid w:val="007E18DB"/>
    <w:rsid w:val="007E1A85"/>
    <w:rsid w:val="007E28D8"/>
    <w:rsid w:val="007E2A26"/>
    <w:rsid w:val="007E2BAA"/>
    <w:rsid w:val="007E306C"/>
    <w:rsid w:val="007E32A4"/>
    <w:rsid w:val="007E332C"/>
    <w:rsid w:val="007E3AC8"/>
    <w:rsid w:val="007E3DD0"/>
    <w:rsid w:val="007E423B"/>
    <w:rsid w:val="007E44D8"/>
    <w:rsid w:val="007E5444"/>
    <w:rsid w:val="007E552F"/>
    <w:rsid w:val="007E570C"/>
    <w:rsid w:val="007E589E"/>
    <w:rsid w:val="007E5908"/>
    <w:rsid w:val="007E59F4"/>
    <w:rsid w:val="007E5B4E"/>
    <w:rsid w:val="007E5D66"/>
    <w:rsid w:val="007E63CB"/>
    <w:rsid w:val="007E64B5"/>
    <w:rsid w:val="007E6870"/>
    <w:rsid w:val="007E69E8"/>
    <w:rsid w:val="007E757D"/>
    <w:rsid w:val="007E77C8"/>
    <w:rsid w:val="007E7BDC"/>
    <w:rsid w:val="007E7C61"/>
    <w:rsid w:val="007E7E61"/>
    <w:rsid w:val="007F0217"/>
    <w:rsid w:val="007F09C6"/>
    <w:rsid w:val="007F0D05"/>
    <w:rsid w:val="007F15D6"/>
    <w:rsid w:val="007F1701"/>
    <w:rsid w:val="007F1A73"/>
    <w:rsid w:val="007F1A8E"/>
    <w:rsid w:val="007F1C05"/>
    <w:rsid w:val="007F1E2E"/>
    <w:rsid w:val="007F2488"/>
    <w:rsid w:val="007F24EE"/>
    <w:rsid w:val="007F26F7"/>
    <w:rsid w:val="007F27B2"/>
    <w:rsid w:val="007F289A"/>
    <w:rsid w:val="007F2CAB"/>
    <w:rsid w:val="007F2CE5"/>
    <w:rsid w:val="007F3316"/>
    <w:rsid w:val="007F34E3"/>
    <w:rsid w:val="007F34FB"/>
    <w:rsid w:val="007F3554"/>
    <w:rsid w:val="007F3580"/>
    <w:rsid w:val="007F362C"/>
    <w:rsid w:val="007F3CC5"/>
    <w:rsid w:val="007F3D90"/>
    <w:rsid w:val="007F3FAB"/>
    <w:rsid w:val="007F4082"/>
    <w:rsid w:val="007F491D"/>
    <w:rsid w:val="007F491E"/>
    <w:rsid w:val="007F4CBB"/>
    <w:rsid w:val="007F5584"/>
    <w:rsid w:val="007F57BD"/>
    <w:rsid w:val="007F585C"/>
    <w:rsid w:val="007F5ADE"/>
    <w:rsid w:val="007F610A"/>
    <w:rsid w:val="007F619E"/>
    <w:rsid w:val="007F646F"/>
    <w:rsid w:val="007F6722"/>
    <w:rsid w:val="007F6AAC"/>
    <w:rsid w:val="007F6C13"/>
    <w:rsid w:val="007F6C63"/>
    <w:rsid w:val="007F6CA2"/>
    <w:rsid w:val="007F6D4C"/>
    <w:rsid w:val="007F6D9E"/>
    <w:rsid w:val="007F6DDB"/>
    <w:rsid w:val="007F6F9F"/>
    <w:rsid w:val="007F72C5"/>
    <w:rsid w:val="007F7748"/>
    <w:rsid w:val="007F7A8C"/>
    <w:rsid w:val="00800245"/>
    <w:rsid w:val="00800A0E"/>
    <w:rsid w:val="00800BE1"/>
    <w:rsid w:val="00801492"/>
    <w:rsid w:val="008018B5"/>
    <w:rsid w:val="0080296A"/>
    <w:rsid w:val="00802BA2"/>
    <w:rsid w:val="00802C43"/>
    <w:rsid w:val="008030E0"/>
    <w:rsid w:val="008037E4"/>
    <w:rsid w:val="00803A5F"/>
    <w:rsid w:val="00803FE4"/>
    <w:rsid w:val="00804136"/>
    <w:rsid w:val="008043B4"/>
    <w:rsid w:val="00804ADE"/>
    <w:rsid w:val="008054A8"/>
    <w:rsid w:val="008056E0"/>
    <w:rsid w:val="00805A6B"/>
    <w:rsid w:val="008061DC"/>
    <w:rsid w:val="00806AAD"/>
    <w:rsid w:val="00806AFA"/>
    <w:rsid w:val="00806C15"/>
    <w:rsid w:val="00806D20"/>
    <w:rsid w:val="00806D7F"/>
    <w:rsid w:val="00806DB1"/>
    <w:rsid w:val="00806EA8"/>
    <w:rsid w:val="0080735A"/>
    <w:rsid w:val="0080740A"/>
    <w:rsid w:val="0080772E"/>
    <w:rsid w:val="0080794A"/>
    <w:rsid w:val="00807B48"/>
    <w:rsid w:val="00807E90"/>
    <w:rsid w:val="008100E1"/>
    <w:rsid w:val="00810389"/>
    <w:rsid w:val="00810C51"/>
    <w:rsid w:val="008110BC"/>
    <w:rsid w:val="008112CC"/>
    <w:rsid w:val="00811375"/>
    <w:rsid w:val="008113EA"/>
    <w:rsid w:val="008114F6"/>
    <w:rsid w:val="00811A75"/>
    <w:rsid w:val="00811FB6"/>
    <w:rsid w:val="0081221F"/>
    <w:rsid w:val="008126B3"/>
    <w:rsid w:val="00813664"/>
    <w:rsid w:val="00813ADE"/>
    <w:rsid w:val="008143DC"/>
    <w:rsid w:val="0081450F"/>
    <w:rsid w:val="008146DA"/>
    <w:rsid w:val="00814977"/>
    <w:rsid w:val="0081520B"/>
    <w:rsid w:val="0081540B"/>
    <w:rsid w:val="0081556E"/>
    <w:rsid w:val="00815B04"/>
    <w:rsid w:val="0081606C"/>
    <w:rsid w:val="0081650E"/>
    <w:rsid w:val="00816984"/>
    <w:rsid w:val="00816E7B"/>
    <w:rsid w:val="00817048"/>
    <w:rsid w:val="0081752B"/>
    <w:rsid w:val="00817613"/>
    <w:rsid w:val="008176F1"/>
    <w:rsid w:val="00817A13"/>
    <w:rsid w:val="00820414"/>
    <w:rsid w:val="00820789"/>
    <w:rsid w:val="008207EB"/>
    <w:rsid w:val="00820DD6"/>
    <w:rsid w:val="008214FB"/>
    <w:rsid w:val="008215A6"/>
    <w:rsid w:val="008215BD"/>
    <w:rsid w:val="0082177D"/>
    <w:rsid w:val="00821933"/>
    <w:rsid w:val="00821CF6"/>
    <w:rsid w:val="00821D0C"/>
    <w:rsid w:val="0082240C"/>
    <w:rsid w:val="0082275F"/>
    <w:rsid w:val="0082281A"/>
    <w:rsid w:val="008234AC"/>
    <w:rsid w:val="008234F3"/>
    <w:rsid w:val="00823524"/>
    <w:rsid w:val="008237A5"/>
    <w:rsid w:val="00823A2D"/>
    <w:rsid w:val="00823F48"/>
    <w:rsid w:val="00823F54"/>
    <w:rsid w:val="0082413A"/>
    <w:rsid w:val="00824D20"/>
    <w:rsid w:val="00824E02"/>
    <w:rsid w:val="00825320"/>
    <w:rsid w:val="0082544B"/>
    <w:rsid w:val="008256B9"/>
    <w:rsid w:val="0082572C"/>
    <w:rsid w:val="008257B8"/>
    <w:rsid w:val="00826405"/>
    <w:rsid w:val="00826FFF"/>
    <w:rsid w:val="00827163"/>
    <w:rsid w:val="00827494"/>
    <w:rsid w:val="0082779F"/>
    <w:rsid w:val="00827DDF"/>
    <w:rsid w:val="0083055F"/>
    <w:rsid w:val="00830C1E"/>
    <w:rsid w:val="00830D52"/>
    <w:rsid w:val="00831024"/>
    <w:rsid w:val="008310E3"/>
    <w:rsid w:val="00831730"/>
    <w:rsid w:val="00831BA5"/>
    <w:rsid w:val="00831BB9"/>
    <w:rsid w:val="00831BE0"/>
    <w:rsid w:val="00831CB1"/>
    <w:rsid w:val="0083205F"/>
    <w:rsid w:val="00832912"/>
    <w:rsid w:val="00832979"/>
    <w:rsid w:val="0083321E"/>
    <w:rsid w:val="00833703"/>
    <w:rsid w:val="00833A18"/>
    <w:rsid w:val="00833B17"/>
    <w:rsid w:val="00834BA1"/>
    <w:rsid w:val="00834FFE"/>
    <w:rsid w:val="008350D5"/>
    <w:rsid w:val="008353BA"/>
    <w:rsid w:val="00835764"/>
    <w:rsid w:val="00835B70"/>
    <w:rsid w:val="00835DA8"/>
    <w:rsid w:val="00835DAD"/>
    <w:rsid w:val="00835DED"/>
    <w:rsid w:val="008365B6"/>
    <w:rsid w:val="00836641"/>
    <w:rsid w:val="00836CBC"/>
    <w:rsid w:val="00836DC1"/>
    <w:rsid w:val="00836E6C"/>
    <w:rsid w:val="0083704E"/>
    <w:rsid w:val="00837A55"/>
    <w:rsid w:val="008400A8"/>
    <w:rsid w:val="00840B6C"/>
    <w:rsid w:val="00840B72"/>
    <w:rsid w:val="00840E8D"/>
    <w:rsid w:val="008410C3"/>
    <w:rsid w:val="0084120F"/>
    <w:rsid w:val="008413DA"/>
    <w:rsid w:val="008414A3"/>
    <w:rsid w:val="0084199C"/>
    <w:rsid w:val="00841D27"/>
    <w:rsid w:val="00842468"/>
    <w:rsid w:val="0084260F"/>
    <w:rsid w:val="00842756"/>
    <w:rsid w:val="00842781"/>
    <w:rsid w:val="00842977"/>
    <w:rsid w:val="00842D25"/>
    <w:rsid w:val="00842F92"/>
    <w:rsid w:val="008431E3"/>
    <w:rsid w:val="008437E4"/>
    <w:rsid w:val="0084380C"/>
    <w:rsid w:val="00843A80"/>
    <w:rsid w:val="00843B76"/>
    <w:rsid w:val="00843D30"/>
    <w:rsid w:val="008441E6"/>
    <w:rsid w:val="008442E5"/>
    <w:rsid w:val="00844472"/>
    <w:rsid w:val="008444BD"/>
    <w:rsid w:val="0084490B"/>
    <w:rsid w:val="00844AA3"/>
    <w:rsid w:val="0084514F"/>
    <w:rsid w:val="008452DF"/>
    <w:rsid w:val="0084559E"/>
    <w:rsid w:val="00845754"/>
    <w:rsid w:val="008457B6"/>
    <w:rsid w:val="00845B7E"/>
    <w:rsid w:val="0084658E"/>
    <w:rsid w:val="0084661E"/>
    <w:rsid w:val="00846B1C"/>
    <w:rsid w:val="00846D49"/>
    <w:rsid w:val="00846D6B"/>
    <w:rsid w:val="00847328"/>
    <w:rsid w:val="00847A5B"/>
    <w:rsid w:val="00847DC2"/>
    <w:rsid w:val="00850364"/>
    <w:rsid w:val="008504E2"/>
    <w:rsid w:val="0085080A"/>
    <w:rsid w:val="0085085C"/>
    <w:rsid w:val="00850D7C"/>
    <w:rsid w:val="00850D8A"/>
    <w:rsid w:val="008522A5"/>
    <w:rsid w:val="008526AD"/>
    <w:rsid w:val="00852A2B"/>
    <w:rsid w:val="00852DE6"/>
    <w:rsid w:val="00852F82"/>
    <w:rsid w:val="0085302F"/>
    <w:rsid w:val="00853230"/>
    <w:rsid w:val="00853462"/>
    <w:rsid w:val="008536E3"/>
    <w:rsid w:val="00853F33"/>
    <w:rsid w:val="008540BD"/>
    <w:rsid w:val="008541AC"/>
    <w:rsid w:val="00854268"/>
    <w:rsid w:val="008546F0"/>
    <w:rsid w:val="00854DE5"/>
    <w:rsid w:val="00854E40"/>
    <w:rsid w:val="00854E5C"/>
    <w:rsid w:val="00855180"/>
    <w:rsid w:val="00855C1F"/>
    <w:rsid w:val="00855DAE"/>
    <w:rsid w:val="00855E82"/>
    <w:rsid w:val="0085626D"/>
    <w:rsid w:val="008564D9"/>
    <w:rsid w:val="00856522"/>
    <w:rsid w:val="00856795"/>
    <w:rsid w:val="00856839"/>
    <w:rsid w:val="008568BE"/>
    <w:rsid w:val="008568E6"/>
    <w:rsid w:val="00856A1D"/>
    <w:rsid w:val="00857C31"/>
    <w:rsid w:val="00857EB1"/>
    <w:rsid w:val="00857FE3"/>
    <w:rsid w:val="008604F2"/>
    <w:rsid w:val="008608D3"/>
    <w:rsid w:val="00860ADE"/>
    <w:rsid w:val="00860BEC"/>
    <w:rsid w:val="00860D5E"/>
    <w:rsid w:val="008619F2"/>
    <w:rsid w:val="00861E7F"/>
    <w:rsid w:val="00861F20"/>
    <w:rsid w:val="0086206C"/>
    <w:rsid w:val="00862D10"/>
    <w:rsid w:val="00862FC0"/>
    <w:rsid w:val="00863372"/>
    <w:rsid w:val="008634BE"/>
    <w:rsid w:val="008635A5"/>
    <w:rsid w:val="008636AD"/>
    <w:rsid w:val="0086383C"/>
    <w:rsid w:val="0086387B"/>
    <w:rsid w:val="0086397E"/>
    <w:rsid w:val="00863A25"/>
    <w:rsid w:val="00863AC7"/>
    <w:rsid w:val="00864151"/>
    <w:rsid w:val="0086456D"/>
    <w:rsid w:val="00864D97"/>
    <w:rsid w:val="00864FE3"/>
    <w:rsid w:val="0086519C"/>
    <w:rsid w:val="008651E8"/>
    <w:rsid w:val="008652E4"/>
    <w:rsid w:val="00865480"/>
    <w:rsid w:val="00865F7C"/>
    <w:rsid w:val="0086606D"/>
    <w:rsid w:val="008661DA"/>
    <w:rsid w:val="008662AF"/>
    <w:rsid w:val="008662D5"/>
    <w:rsid w:val="008664BA"/>
    <w:rsid w:val="0086675A"/>
    <w:rsid w:val="00866802"/>
    <w:rsid w:val="00866B47"/>
    <w:rsid w:val="00866E23"/>
    <w:rsid w:val="00866E63"/>
    <w:rsid w:val="00867025"/>
    <w:rsid w:val="00867397"/>
    <w:rsid w:val="00867831"/>
    <w:rsid w:val="00867C2C"/>
    <w:rsid w:val="00870947"/>
    <w:rsid w:val="00870B05"/>
    <w:rsid w:val="00870BFC"/>
    <w:rsid w:val="00870EB7"/>
    <w:rsid w:val="00870ED4"/>
    <w:rsid w:val="0087112F"/>
    <w:rsid w:val="00871A21"/>
    <w:rsid w:val="008721FC"/>
    <w:rsid w:val="00872554"/>
    <w:rsid w:val="008728B1"/>
    <w:rsid w:val="00872913"/>
    <w:rsid w:val="0087377A"/>
    <w:rsid w:val="00874125"/>
    <w:rsid w:val="00874616"/>
    <w:rsid w:val="0087487D"/>
    <w:rsid w:val="00874965"/>
    <w:rsid w:val="0087510E"/>
    <w:rsid w:val="00875394"/>
    <w:rsid w:val="008754D5"/>
    <w:rsid w:val="008757C8"/>
    <w:rsid w:val="0087598F"/>
    <w:rsid w:val="00875A76"/>
    <w:rsid w:val="00875AED"/>
    <w:rsid w:val="00875BDC"/>
    <w:rsid w:val="008760BB"/>
    <w:rsid w:val="008765DD"/>
    <w:rsid w:val="008769AA"/>
    <w:rsid w:val="008769B2"/>
    <w:rsid w:val="00877016"/>
    <w:rsid w:val="008775D2"/>
    <w:rsid w:val="0088068E"/>
    <w:rsid w:val="00880D58"/>
    <w:rsid w:val="0088104B"/>
    <w:rsid w:val="00881542"/>
    <w:rsid w:val="00881574"/>
    <w:rsid w:val="00881A62"/>
    <w:rsid w:val="00882518"/>
    <w:rsid w:val="00882AF4"/>
    <w:rsid w:val="00882C49"/>
    <w:rsid w:val="00882C6A"/>
    <w:rsid w:val="00882CC3"/>
    <w:rsid w:val="00883000"/>
    <w:rsid w:val="00883A0E"/>
    <w:rsid w:val="00883B92"/>
    <w:rsid w:val="00883D33"/>
    <w:rsid w:val="00883D48"/>
    <w:rsid w:val="00883ECF"/>
    <w:rsid w:val="00884278"/>
    <w:rsid w:val="008846A4"/>
    <w:rsid w:val="00884C40"/>
    <w:rsid w:val="00885236"/>
    <w:rsid w:val="008853FC"/>
    <w:rsid w:val="00885ACB"/>
    <w:rsid w:val="00885E3A"/>
    <w:rsid w:val="00886318"/>
    <w:rsid w:val="008869F6"/>
    <w:rsid w:val="00886E88"/>
    <w:rsid w:val="00887001"/>
    <w:rsid w:val="00887496"/>
    <w:rsid w:val="0088764B"/>
    <w:rsid w:val="008878B3"/>
    <w:rsid w:val="00887911"/>
    <w:rsid w:val="00887A66"/>
    <w:rsid w:val="00887DDB"/>
    <w:rsid w:val="008900CA"/>
    <w:rsid w:val="008903D5"/>
    <w:rsid w:val="008906EE"/>
    <w:rsid w:val="00890822"/>
    <w:rsid w:val="00890DF1"/>
    <w:rsid w:val="00891002"/>
    <w:rsid w:val="00891255"/>
    <w:rsid w:val="008913E0"/>
    <w:rsid w:val="008915EB"/>
    <w:rsid w:val="008917C5"/>
    <w:rsid w:val="00891FA9"/>
    <w:rsid w:val="0089274C"/>
    <w:rsid w:val="00892867"/>
    <w:rsid w:val="0089290F"/>
    <w:rsid w:val="0089291B"/>
    <w:rsid w:val="00892DC8"/>
    <w:rsid w:val="00892E12"/>
    <w:rsid w:val="00892F89"/>
    <w:rsid w:val="00893137"/>
    <w:rsid w:val="008931A7"/>
    <w:rsid w:val="008933B0"/>
    <w:rsid w:val="008934AC"/>
    <w:rsid w:val="008937DF"/>
    <w:rsid w:val="00893976"/>
    <w:rsid w:val="008939DF"/>
    <w:rsid w:val="00893ABF"/>
    <w:rsid w:val="00893DFE"/>
    <w:rsid w:val="0089404E"/>
    <w:rsid w:val="00894091"/>
    <w:rsid w:val="008943B7"/>
    <w:rsid w:val="008944A9"/>
    <w:rsid w:val="008944E6"/>
    <w:rsid w:val="00894C08"/>
    <w:rsid w:val="00894D09"/>
    <w:rsid w:val="008950EC"/>
    <w:rsid w:val="00895104"/>
    <w:rsid w:val="00895113"/>
    <w:rsid w:val="00896175"/>
    <w:rsid w:val="00896245"/>
    <w:rsid w:val="0089665A"/>
    <w:rsid w:val="00896992"/>
    <w:rsid w:val="0089771B"/>
    <w:rsid w:val="008978A3"/>
    <w:rsid w:val="008978FC"/>
    <w:rsid w:val="008A065F"/>
    <w:rsid w:val="008A07B9"/>
    <w:rsid w:val="008A087B"/>
    <w:rsid w:val="008A0A5A"/>
    <w:rsid w:val="008A115A"/>
    <w:rsid w:val="008A1451"/>
    <w:rsid w:val="008A1A7D"/>
    <w:rsid w:val="008A1BB9"/>
    <w:rsid w:val="008A1CD5"/>
    <w:rsid w:val="008A1D4B"/>
    <w:rsid w:val="008A1E04"/>
    <w:rsid w:val="008A227E"/>
    <w:rsid w:val="008A22CF"/>
    <w:rsid w:val="008A2699"/>
    <w:rsid w:val="008A2700"/>
    <w:rsid w:val="008A2C16"/>
    <w:rsid w:val="008A2EFE"/>
    <w:rsid w:val="008A2F15"/>
    <w:rsid w:val="008A341F"/>
    <w:rsid w:val="008A36DD"/>
    <w:rsid w:val="008A38DD"/>
    <w:rsid w:val="008A3907"/>
    <w:rsid w:val="008A39E9"/>
    <w:rsid w:val="008A406B"/>
    <w:rsid w:val="008A42CC"/>
    <w:rsid w:val="008A45E5"/>
    <w:rsid w:val="008A4690"/>
    <w:rsid w:val="008A48D0"/>
    <w:rsid w:val="008A4B59"/>
    <w:rsid w:val="008A4C88"/>
    <w:rsid w:val="008A4F4C"/>
    <w:rsid w:val="008A5386"/>
    <w:rsid w:val="008A560B"/>
    <w:rsid w:val="008A5AB1"/>
    <w:rsid w:val="008A645C"/>
    <w:rsid w:val="008A64AC"/>
    <w:rsid w:val="008A64CE"/>
    <w:rsid w:val="008A6746"/>
    <w:rsid w:val="008A6CE4"/>
    <w:rsid w:val="008A6D64"/>
    <w:rsid w:val="008A6E6A"/>
    <w:rsid w:val="008A793E"/>
    <w:rsid w:val="008B08CB"/>
    <w:rsid w:val="008B09DA"/>
    <w:rsid w:val="008B0C16"/>
    <w:rsid w:val="008B124D"/>
    <w:rsid w:val="008B135E"/>
    <w:rsid w:val="008B1423"/>
    <w:rsid w:val="008B146C"/>
    <w:rsid w:val="008B1521"/>
    <w:rsid w:val="008B1655"/>
    <w:rsid w:val="008B1A23"/>
    <w:rsid w:val="008B1E41"/>
    <w:rsid w:val="008B2048"/>
    <w:rsid w:val="008B24A2"/>
    <w:rsid w:val="008B254E"/>
    <w:rsid w:val="008B2B64"/>
    <w:rsid w:val="008B2BF4"/>
    <w:rsid w:val="008B2C50"/>
    <w:rsid w:val="008B2CA3"/>
    <w:rsid w:val="008B314C"/>
    <w:rsid w:val="008B33D2"/>
    <w:rsid w:val="008B342F"/>
    <w:rsid w:val="008B39D7"/>
    <w:rsid w:val="008B39E9"/>
    <w:rsid w:val="008B3C21"/>
    <w:rsid w:val="008B3D2C"/>
    <w:rsid w:val="008B3DE0"/>
    <w:rsid w:val="008B4002"/>
    <w:rsid w:val="008B4136"/>
    <w:rsid w:val="008B418C"/>
    <w:rsid w:val="008B4F1B"/>
    <w:rsid w:val="008B570D"/>
    <w:rsid w:val="008B5B70"/>
    <w:rsid w:val="008B5FFC"/>
    <w:rsid w:val="008B611F"/>
    <w:rsid w:val="008B63BC"/>
    <w:rsid w:val="008B6701"/>
    <w:rsid w:val="008B6902"/>
    <w:rsid w:val="008B6ABD"/>
    <w:rsid w:val="008B728A"/>
    <w:rsid w:val="008B73B8"/>
    <w:rsid w:val="008B740B"/>
    <w:rsid w:val="008B7972"/>
    <w:rsid w:val="008B7CE6"/>
    <w:rsid w:val="008B7F47"/>
    <w:rsid w:val="008C0181"/>
    <w:rsid w:val="008C081F"/>
    <w:rsid w:val="008C0B26"/>
    <w:rsid w:val="008C0B30"/>
    <w:rsid w:val="008C0CBF"/>
    <w:rsid w:val="008C0D6A"/>
    <w:rsid w:val="008C0D98"/>
    <w:rsid w:val="008C0FBD"/>
    <w:rsid w:val="008C10EA"/>
    <w:rsid w:val="008C1417"/>
    <w:rsid w:val="008C1463"/>
    <w:rsid w:val="008C159B"/>
    <w:rsid w:val="008C1A3E"/>
    <w:rsid w:val="008C1EB1"/>
    <w:rsid w:val="008C2025"/>
    <w:rsid w:val="008C25A5"/>
    <w:rsid w:val="008C25C7"/>
    <w:rsid w:val="008C26CE"/>
    <w:rsid w:val="008C274D"/>
    <w:rsid w:val="008C2827"/>
    <w:rsid w:val="008C2AD8"/>
    <w:rsid w:val="008C343B"/>
    <w:rsid w:val="008C37B6"/>
    <w:rsid w:val="008C37F5"/>
    <w:rsid w:val="008C39D6"/>
    <w:rsid w:val="008C3C62"/>
    <w:rsid w:val="008C3DE7"/>
    <w:rsid w:val="008C4291"/>
    <w:rsid w:val="008C43EE"/>
    <w:rsid w:val="008C468F"/>
    <w:rsid w:val="008C4D34"/>
    <w:rsid w:val="008C4FBB"/>
    <w:rsid w:val="008C5723"/>
    <w:rsid w:val="008C5C21"/>
    <w:rsid w:val="008C6087"/>
    <w:rsid w:val="008C60EE"/>
    <w:rsid w:val="008C62DD"/>
    <w:rsid w:val="008C63F9"/>
    <w:rsid w:val="008C6509"/>
    <w:rsid w:val="008C6511"/>
    <w:rsid w:val="008C65B7"/>
    <w:rsid w:val="008C67DE"/>
    <w:rsid w:val="008C6C77"/>
    <w:rsid w:val="008C6D05"/>
    <w:rsid w:val="008C70B2"/>
    <w:rsid w:val="008C75B3"/>
    <w:rsid w:val="008C781F"/>
    <w:rsid w:val="008C7BEB"/>
    <w:rsid w:val="008C7D0C"/>
    <w:rsid w:val="008D0189"/>
    <w:rsid w:val="008D05A4"/>
    <w:rsid w:val="008D078A"/>
    <w:rsid w:val="008D09EF"/>
    <w:rsid w:val="008D0B49"/>
    <w:rsid w:val="008D1121"/>
    <w:rsid w:val="008D126E"/>
    <w:rsid w:val="008D12CD"/>
    <w:rsid w:val="008D132C"/>
    <w:rsid w:val="008D1D13"/>
    <w:rsid w:val="008D1E13"/>
    <w:rsid w:val="008D240A"/>
    <w:rsid w:val="008D25BF"/>
    <w:rsid w:val="008D2645"/>
    <w:rsid w:val="008D27B4"/>
    <w:rsid w:val="008D2B73"/>
    <w:rsid w:val="008D2BFB"/>
    <w:rsid w:val="008D2D07"/>
    <w:rsid w:val="008D3283"/>
    <w:rsid w:val="008D330E"/>
    <w:rsid w:val="008D3851"/>
    <w:rsid w:val="008D3A3F"/>
    <w:rsid w:val="008D3A5D"/>
    <w:rsid w:val="008D3E41"/>
    <w:rsid w:val="008D3FF6"/>
    <w:rsid w:val="008D40D5"/>
    <w:rsid w:val="008D4279"/>
    <w:rsid w:val="008D4714"/>
    <w:rsid w:val="008D4B9B"/>
    <w:rsid w:val="008D4C91"/>
    <w:rsid w:val="008D4D5D"/>
    <w:rsid w:val="008D4F75"/>
    <w:rsid w:val="008D503E"/>
    <w:rsid w:val="008D5288"/>
    <w:rsid w:val="008D5602"/>
    <w:rsid w:val="008D5C7F"/>
    <w:rsid w:val="008D6542"/>
    <w:rsid w:val="008D6801"/>
    <w:rsid w:val="008D6A74"/>
    <w:rsid w:val="008D6DD3"/>
    <w:rsid w:val="008D7046"/>
    <w:rsid w:val="008D7498"/>
    <w:rsid w:val="008D7A18"/>
    <w:rsid w:val="008D7A1A"/>
    <w:rsid w:val="008E0388"/>
    <w:rsid w:val="008E04D1"/>
    <w:rsid w:val="008E074A"/>
    <w:rsid w:val="008E07C2"/>
    <w:rsid w:val="008E0898"/>
    <w:rsid w:val="008E1BAC"/>
    <w:rsid w:val="008E1F4B"/>
    <w:rsid w:val="008E28B2"/>
    <w:rsid w:val="008E2EDD"/>
    <w:rsid w:val="008E2FCD"/>
    <w:rsid w:val="008E3969"/>
    <w:rsid w:val="008E3982"/>
    <w:rsid w:val="008E3A8F"/>
    <w:rsid w:val="008E3F3A"/>
    <w:rsid w:val="008E3F7E"/>
    <w:rsid w:val="008E4360"/>
    <w:rsid w:val="008E4CB0"/>
    <w:rsid w:val="008E4FC6"/>
    <w:rsid w:val="008E532D"/>
    <w:rsid w:val="008E5BBE"/>
    <w:rsid w:val="008E5E56"/>
    <w:rsid w:val="008E63F9"/>
    <w:rsid w:val="008E65E8"/>
    <w:rsid w:val="008E713E"/>
    <w:rsid w:val="008E7294"/>
    <w:rsid w:val="008E7B53"/>
    <w:rsid w:val="008F02DC"/>
    <w:rsid w:val="008F0EFC"/>
    <w:rsid w:val="008F0F86"/>
    <w:rsid w:val="008F120D"/>
    <w:rsid w:val="008F178F"/>
    <w:rsid w:val="008F18FE"/>
    <w:rsid w:val="008F2402"/>
    <w:rsid w:val="008F245A"/>
    <w:rsid w:val="008F2835"/>
    <w:rsid w:val="008F2EB3"/>
    <w:rsid w:val="008F324A"/>
    <w:rsid w:val="008F336A"/>
    <w:rsid w:val="008F45CD"/>
    <w:rsid w:val="008F4830"/>
    <w:rsid w:val="008F494D"/>
    <w:rsid w:val="008F4DFA"/>
    <w:rsid w:val="008F54C8"/>
    <w:rsid w:val="008F5C92"/>
    <w:rsid w:val="008F5F6C"/>
    <w:rsid w:val="008F67CE"/>
    <w:rsid w:val="008F6BA0"/>
    <w:rsid w:val="008F72C6"/>
    <w:rsid w:val="008F77C0"/>
    <w:rsid w:val="008F7831"/>
    <w:rsid w:val="008F784F"/>
    <w:rsid w:val="009004F2"/>
    <w:rsid w:val="0090067F"/>
    <w:rsid w:val="00900743"/>
    <w:rsid w:val="00900A10"/>
    <w:rsid w:val="00900C9B"/>
    <w:rsid w:val="00901422"/>
    <w:rsid w:val="009014F6"/>
    <w:rsid w:val="00901C90"/>
    <w:rsid w:val="0090212D"/>
    <w:rsid w:val="009022BD"/>
    <w:rsid w:val="009024EB"/>
    <w:rsid w:val="00902B8E"/>
    <w:rsid w:val="00902D46"/>
    <w:rsid w:val="00902F80"/>
    <w:rsid w:val="00903902"/>
    <w:rsid w:val="00903A08"/>
    <w:rsid w:val="00903CC6"/>
    <w:rsid w:val="00903DF1"/>
    <w:rsid w:val="00903FD2"/>
    <w:rsid w:val="009048EF"/>
    <w:rsid w:val="00904B46"/>
    <w:rsid w:val="00904E58"/>
    <w:rsid w:val="009050F4"/>
    <w:rsid w:val="009053FA"/>
    <w:rsid w:val="00905939"/>
    <w:rsid w:val="00905AAB"/>
    <w:rsid w:val="00905C90"/>
    <w:rsid w:val="00905FA2"/>
    <w:rsid w:val="009061C3"/>
    <w:rsid w:val="00906A85"/>
    <w:rsid w:val="00906F34"/>
    <w:rsid w:val="0090718D"/>
    <w:rsid w:val="0090756C"/>
    <w:rsid w:val="00907855"/>
    <w:rsid w:val="0090796A"/>
    <w:rsid w:val="00907A88"/>
    <w:rsid w:val="00907ABE"/>
    <w:rsid w:val="00907CBF"/>
    <w:rsid w:val="00907CEC"/>
    <w:rsid w:val="0091006B"/>
    <w:rsid w:val="009100A6"/>
    <w:rsid w:val="009102BB"/>
    <w:rsid w:val="0091057E"/>
    <w:rsid w:val="009105DB"/>
    <w:rsid w:val="00910808"/>
    <w:rsid w:val="00910B17"/>
    <w:rsid w:val="009110BF"/>
    <w:rsid w:val="009110E2"/>
    <w:rsid w:val="00911368"/>
    <w:rsid w:val="00911508"/>
    <w:rsid w:val="00911D21"/>
    <w:rsid w:val="00912717"/>
    <w:rsid w:val="00912C4B"/>
    <w:rsid w:val="009130B6"/>
    <w:rsid w:val="0091365E"/>
    <w:rsid w:val="00913C18"/>
    <w:rsid w:val="00913F2E"/>
    <w:rsid w:val="00914417"/>
    <w:rsid w:val="009146B2"/>
    <w:rsid w:val="009149B5"/>
    <w:rsid w:val="00914D5F"/>
    <w:rsid w:val="00914DDA"/>
    <w:rsid w:val="0091562D"/>
    <w:rsid w:val="00915BBE"/>
    <w:rsid w:val="00915DA2"/>
    <w:rsid w:val="00916138"/>
    <w:rsid w:val="009165CF"/>
    <w:rsid w:val="00916713"/>
    <w:rsid w:val="00916C5A"/>
    <w:rsid w:val="00917A94"/>
    <w:rsid w:val="00920050"/>
    <w:rsid w:val="009201D1"/>
    <w:rsid w:val="009201E8"/>
    <w:rsid w:val="00920B15"/>
    <w:rsid w:val="00920CE7"/>
    <w:rsid w:val="00920D2E"/>
    <w:rsid w:val="00921209"/>
    <w:rsid w:val="00921321"/>
    <w:rsid w:val="0092182F"/>
    <w:rsid w:val="00921CDD"/>
    <w:rsid w:val="00921EA6"/>
    <w:rsid w:val="0092248F"/>
    <w:rsid w:val="0092249F"/>
    <w:rsid w:val="00922523"/>
    <w:rsid w:val="009225A4"/>
    <w:rsid w:val="009225E8"/>
    <w:rsid w:val="00923754"/>
    <w:rsid w:val="00923949"/>
    <w:rsid w:val="00923A03"/>
    <w:rsid w:val="00923C3A"/>
    <w:rsid w:val="00923CC4"/>
    <w:rsid w:val="0092405F"/>
    <w:rsid w:val="009240EC"/>
    <w:rsid w:val="0092465C"/>
    <w:rsid w:val="00924821"/>
    <w:rsid w:val="00924B85"/>
    <w:rsid w:val="00924E15"/>
    <w:rsid w:val="009255C8"/>
    <w:rsid w:val="00926180"/>
    <w:rsid w:val="0092662C"/>
    <w:rsid w:val="00926AEE"/>
    <w:rsid w:val="009270F8"/>
    <w:rsid w:val="0092727D"/>
    <w:rsid w:val="00927982"/>
    <w:rsid w:val="00927B67"/>
    <w:rsid w:val="00927E68"/>
    <w:rsid w:val="009302B8"/>
    <w:rsid w:val="0093042B"/>
    <w:rsid w:val="00930CC6"/>
    <w:rsid w:val="00931654"/>
    <w:rsid w:val="00932124"/>
    <w:rsid w:val="0093212C"/>
    <w:rsid w:val="00932317"/>
    <w:rsid w:val="009327D1"/>
    <w:rsid w:val="00932B2A"/>
    <w:rsid w:val="00932C1B"/>
    <w:rsid w:val="00932CBD"/>
    <w:rsid w:val="00933614"/>
    <w:rsid w:val="009336CD"/>
    <w:rsid w:val="009336D2"/>
    <w:rsid w:val="00933840"/>
    <w:rsid w:val="00933D0D"/>
    <w:rsid w:val="00933E22"/>
    <w:rsid w:val="00934A60"/>
    <w:rsid w:val="00934C40"/>
    <w:rsid w:val="00934D5E"/>
    <w:rsid w:val="00935114"/>
    <w:rsid w:val="00935192"/>
    <w:rsid w:val="00935194"/>
    <w:rsid w:val="009354F6"/>
    <w:rsid w:val="00935E17"/>
    <w:rsid w:val="00935F81"/>
    <w:rsid w:val="00936C49"/>
    <w:rsid w:val="00936C54"/>
    <w:rsid w:val="00936D1C"/>
    <w:rsid w:val="00936D4D"/>
    <w:rsid w:val="00936E92"/>
    <w:rsid w:val="00937152"/>
    <w:rsid w:val="0093749B"/>
    <w:rsid w:val="00937663"/>
    <w:rsid w:val="00937948"/>
    <w:rsid w:val="00937DFE"/>
    <w:rsid w:val="0094013F"/>
    <w:rsid w:val="0094081B"/>
    <w:rsid w:val="0094090A"/>
    <w:rsid w:val="00940B6F"/>
    <w:rsid w:val="00940BE7"/>
    <w:rsid w:val="00940C30"/>
    <w:rsid w:val="00940EEC"/>
    <w:rsid w:val="00941281"/>
    <w:rsid w:val="00941711"/>
    <w:rsid w:val="009417FE"/>
    <w:rsid w:val="009419A1"/>
    <w:rsid w:val="009427BD"/>
    <w:rsid w:val="009428C0"/>
    <w:rsid w:val="0094300D"/>
    <w:rsid w:val="009436C0"/>
    <w:rsid w:val="009442A3"/>
    <w:rsid w:val="00944BE1"/>
    <w:rsid w:val="00944CCA"/>
    <w:rsid w:val="00944D39"/>
    <w:rsid w:val="00944DEA"/>
    <w:rsid w:val="00944FDA"/>
    <w:rsid w:val="00945016"/>
    <w:rsid w:val="0094557C"/>
    <w:rsid w:val="009457E6"/>
    <w:rsid w:val="00946235"/>
    <w:rsid w:val="0094674A"/>
    <w:rsid w:val="0094707C"/>
    <w:rsid w:val="009470AB"/>
    <w:rsid w:val="009473D3"/>
    <w:rsid w:val="009507E0"/>
    <w:rsid w:val="00950FBB"/>
    <w:rsid w:val="00951422"/>
    <w:rsid w:val="009514B3"/>
    <w:rsid w:val="00951651"/>
    <w:rsid w:val="00951951"/>
    <w:rsid w:val="00951A3E"/>
    <w:rsid w:val="00951D87"/>
    <w:rsid w:val="00951DFB"/>
    <w:rsid w:val="00951EC3"/>
    <w:rsid w:val="009525B3"/>
    <w:rsid w:val="00952600"/>
    <w:rsid w:val="00952690"/>
    <w:rsid w:val="009528AB"/>
    <w:rsid w:val="0095299A"/>
    <w:rsid w:val="00952AF9"/>
    <w:rsid w:val="00952B6B"/>
    <w:rsid w:val="00952C26"/>
    <w:rsid w:val="0095348A"/>
    <w:rsid w:val="009535CF"/>
    <w:rsid w:val="00953D7E"/>
    <w:rsid w:val="0095426B"/>
    <w:rsid w:val="009545FA"/>
    <w:rsid w:val="009547E0"/>
    <w:rsid w:val="00954FB9"/>
    <w:rsid w:val="00955AF2"/>
    <w:rsid w:val="00955B20"/>
    <w:rsid w:val="00955CBA"/>
    <w:rsid w:val="00955FAE"/>
    <w:rsid w:val="00955FCF"/>
    <w:rsid w:val="009566DD"/>
    <w:rsid w:val="00956CB3"/>
    <w:rsid w:val="00957229"/>
    <w:rsid w:val="0095755A"/>
    <w:rsid w:val="00957572"/>
    <w:rsid w:val="009575E8"/>
    <w:rsid w:val="009579FF"/>
    <w:rsid w:val="009603F9"/>
    <w:rsid w:val="0096055C"/>
    <w:rsid w:val="009607C0"/>
    <w:rsid w:val="00960844"/>
    <w:rsid w:val="0096133C"/>
    <w:rsid w:val="009613E0"/>
    <w:rsid w:val="00961479"/>
    <w:rsid w:val="00961823"/>
    <w:rsid w:val="00961841"/>
    <w:rsid w:val="009618DC"/>
    <w:rsid w:val="00961A7D"/>
    <w:rsid w:val="00962017"/>
    <w:rsid w:val="00962836"/>
    <w:rsid w:val="009630D0"/>
    <w:rsid w:val="009635C3"/>
    <w:rsid w:val="00963619"/>
    <w:rsid w:val="0096379C"/>
    <w:rsid w:val="00963870"/>
    <w:rsid w:val="00963E49"/>
    <w:rsid w:val="00964203"/>
    <w:rsid w:val="0096421B"/>
    <w:rsid w:val="009643A1"/>
    <w:rsid w:val="009643BC"/>
    <w:rsid w:val="00964853"/>
    <w:rsid w:val="0096490D"/>
    <w:rsid w:val="00964A14"/>
    <w:rsid w:val="00964E40"/>
    <w:rsid w:val="00965117"/>
    <w:rsid w:val="0096512C"/>
    <w:rsid w:val="009656FE"/>
    <w:rsid w:val="0096583C"/>
    <w:rsid w:val="00965C2A"/>
    <w:rsid w:val="00965CAA"/>
    <w:rsid w:val="00965F1B"/>
    <w:rsid w:val="009661C3"/>
    <w:rsid w:val="009665D8"/>
    <w:rsid w:val="00966850"/>
    <w:rsid w:val="00966890"/>
    <w:rsid w:val="009669B9"/>
    <w:rsid w:val="00966E2D"/>
    <w:rsid w:val="00966F53"/>
    <w:rsid w:val="00967038"/>
    <w:rsid w:val="00967A91"/>
    <w:rsid w:val="00970127"/>
    <w:rsid w:val="0097034A"/>
    <w:rsid w:val="00970401"/>
    <w:rsid w:val="009704D1"/>
    <w:rsid w:val="00970514"/>
    <w:rsid w:val="00970523"/>
    <w:rsid w:val="00970FC9"/>
    <w:rsid w:val="0097155E"/>
    <w:rsid w:val="0097173C"/>
    <w:rsid w:val="0097183B"/>
    <w:rsid w:val="00971A2B"/>
    <w:rsid w:val="00971E56"/>
    <w:rsid w:val="00971EDD"/>
    <w:rsid w:val="0097232D"/>
    <w:rsid w:val="009728B2"/>
    <w:rsid w:val="00972DB9"/>
    <w:rsid w:val="00972DEA"/>
    <w:rsid w:val="00973443"/>
    <w:rsid w:val="009734C5"/>
    <w:rsid w:val="009735C9"/>
    <w:rsid w:val="0097395B"/>
    <w:rsid w:val="00973A43"/>
    <w:rsid w:val="00973CB3"/>
    <w:rsid w:val="00973E0C"/>
    <w:rsid w:val="00973E60"/>
    <w:rsid w:val="0097458F"/>
    <w:rsid w:val="00974A68"/>
    <w:rsid w:val="00975001"/>
    <w:rsid w:val="009751F3"/>
    <w:rsid w:val="00975294"/>
    <w:rsid w:val="009752E3"/>
    <w:rsid w:val="009760D5"/>
    <w:rsid w:val="00976354"/>
    <w:rsid w:val="00976AF7"/>
    <w:rsid w:val="00976D30"/>
    <w:rsid w:val="00976D82"/>
    <w:rsid w:val="00976DC8"/>
    <w:rsid w:val="00977385"/>
    <w:rsid w:val="00977435"/>
    <w:rsid w:val="009774BA"/>
    <w:rsid w:val="00977513"/>
    <w:rsid w:val="00977C74"/>
    <w:rsid w:val="00977D37"/>
    <w:rsid w:val="00977D86"/>
    <w:rsid w:val="00977EC4"/>
    <w:rsid w:val="00977ECB"/>
    <w:rsid w:val="00977EFC"/>
    <w:rsid w:val="00980217"/>
    <w:rsid w:val="0098050C"/>
    <w:rsid w:val="009807B3"/>
    <w:rsid w:val="00980EEE"/>
    <w:rsid w:val="00980F3A"/>
    <w:rsid w:val="00981056"/>
    <w:rsid w:val="0098106F"/>
    <w:rsid w:val="009811CF"/>
    <w:rsid w:val="009811ED"/>
    <w:rsid w:val="009812B8"/>
    <w:rsid w:val="00981471"/>
    <w:rsid w:val="0098195B"/>
    <w:rsid w:val="00981A0E"/>
    <w:rsid w:val="00981BF3"/>
    <w:rsid w:val="00981D80"/>
    <w:rsid w:val="00981F87"/>
    <w:rsid w:val="009824B5"/>
    <w:rsid w:val="009824DE"/>
    <w:rsid w:val="00982998"/>
    <w:rsid w:val="00982AA4"/>
    <w:rsid w:val="00982AD2"/>
    <w:rsid w:val="00982CD5"/>
    <w:rsid w:val="00983517"/>
    <w:rsid w:val="00983739"/>
    <w:rsid w:val="00983C6E"/>
    <w:rsid w:val="00983F46"/>
    <w:rsid w:val="00983F80"/>
    <w:rsid w:val="009844FC"/>
    <w:rsid w:val="00984598"/>
    <w:rsid w:val="00984FC6"/>
    <w:rsid w:val="00985247"/>
    <w:rsid w:val="0098562E"/>
    <w:rsid w:val="00985706"/>
    <w:rsid w:val="009863FC"/>
    <w:rsid w:val="00986661"/>
    <w:rsid w:val="0098702A"/>
    <w:rsid w:val="00987632"/>
    <w:rsid w:val="00987AFE"/>
    <w:rsid w:val="00987BA3"/>
    <w:rsid w:val="00987DBD"/>
    <w:rsid w:val="009904FA"/>
    <w:rsid w:val="0099085C"/>
    <w:rsid w:val="00990AB1"/>
    <w:rsid w:val="00990B60"/>
    <w:rsid w:val="009912A3"/>
    <w:rsid w:val="009912B7"/>
    <w:rsid w:val="0099230D"/>
    <w:rsid w:val="00992489"/>
    <w:rsid w:val="0099279E"/>
    <w:rsid w:val="0099296F"/>
    <w:rsid w:val="00992DA2"/>
    <w:rsid w:val="00993624"/>
    <w:rsid w:val="0099375D"/>
    <w:rsid w:val="009941B4"/>
    <w:rsid w:val="00994265"/>
    <w:rsid w:val="0099498B"/>
    <w:rsid w:val="009949EF"/>
    <w:rsid w:val="00995284"/>
    <w:rsid w:val="009953FF"/>
    <w:rsid w:val="00995A08"/>
    <w:rsid w:val="00996474"/>
    <w:rsid w:val="00996695"/>
    <w:rsid w:val="0099682E"/>
    <w:rsid w:val="00996C14"/>
    <w:rsid w:val="00996DFC"/>
    <w:rsid w:val="00997191"/>
    <w:rsid w:val="009975EB"/>
    <w:rsid w:val="00997728"/>
    <w:rsid w:val="009977B9"/>
    <w:rsid w:val="0099786A"/>
    <w:rsid w:val="00997DAB"/>
    <w:rsid w:val="00997DC7"/>
    <w:rsid w:val="00997EFB"/>
    <w:rsid w:val="00997F67"/>
    <w:rsid w:val="009A0262"/>
    <w:rsid w:val="009A04A6"/>
    <w:rsid w:val="009A0750"/>
    <w:rsid w:val="009A07C0"/>
    <w:rsid w:val="009A0AC9"/>
    <w:rsid w:val="009A0E6E"/>
    <w:rsid w:val="009A116F"/>
    <w:rsid w:val="009A1441"/>
    <w:rsid w:val="009A1E60"/>
    <w:rsid w:val="009A1EA4"/>
    <w:rsid w:val="009A1FE4"/>
    <w:rsid w:val="009A2076"/>
    <w:rsid w:val="009A219C"/>
    <w:rsid w:val="009A2203"/>
    <w:rsid w:val="009A25FA"/>
    <w:rsid w:val="009A289B"/>
    <w:rsid w:val="009A2AAB"/>
    <w:rsid w:val="009A30C5"/>
    <w:rsid w:val="009A3292"/>
    <w:rsid w:val="009A37DD"/>
    <w:rsid w:val="009A399E"/>
    <w:rsid w:val="009A3A29"/>
    <w:rsid w:val="009A3D48"/>
    <w:rsid w:val="009A4346"/>
    <w:rsid w:val="009A4746"/>
    <w:rsid w:val="009A4769"/>
    <w:rsid w:val="009A47B8"/>
    <w:rsid w:val="009A4A70"/>
    <w:rsid w:val="009A4E29"/>
    <w:rsid w:val="009A4EEE"/>
    <w:rsid w:val="009A5049"/>
    <w:rsid w:val="009A52EB"/>
    <w:rsid w:val="009A55A3"/>
    <w:rsid w:val="009A55AA"/>
    <w:rsid w:val="009A5807"/>
    <w:rsid w:val="009A58BA"/>
    <w:rsid w:val="009A6060"/>
    <w:rsid w:val="009A63A6"/>
    <w:rsid w:val="009A648D"/>
    <w:rsid w:val="009A6698"/>
    <w:rsid w:val="009A6760"/>
    <w:rsid w:val="009A6972"/>
    <w:rsid w:val="009A6F81"/>
    <w:rsid w:val="009A7362"/>
    <w:rsid w:val="009A73CF"/>
    <w:rsid w:val="009A752F"/>
    <w:rsid w:val="009A76D3"/>
    <w:rsid w:val="009B003C"/>
    <w:rsid w:val="009B023F"/>
    <w:rsid w:val="009B0519"/>
    <w:rsid w:val="009B07D5"/>
    <w:rsid w:val="009B09EF"/>
    <w:rsid w:val="009B0B03"/>
    <w:rsid w:val="009B1178"/>
    <w:rsid w:val="009B1322"/>
    <w:rsid w:val="009B1376"/>
    <w:rsid w:val="009B18E2"/>
    <w:rsid w:val="009B1C8A"/>
    <w:rsid w:val="009B2194"/>
    <w:rsid w:val="009B223F"/>
    <w:rsid w:val="009B2610"/>
    <w:rsid w:val="009B267C"/>
    <w:rsid w:val="009B2EA8"/>
    <w:rsid w:val="009B3C3F"/>
    <w:rsid w:val="009B3CC7"/>
    <w:rsid w:val="009B45FC"/>
    <w:rsid w:val="009B47A6"/>
    <w:rsid w:val="009B4AB4"/>
    <w:rsid w:val="009B4D75"/>
    <w:rsid w:val="009B52C5"/>
    <w:rsid w:val="009B5B67"/>
    <w:rsid w:val="009B5C46"/>
    <w:rsid w:val="009B5DD9"/>
    <w:rsid w:val="009B5E6F"/>
    <w:rsid w:val="009B5EBC"/>
    <w:rsid w:val="009B60AF"/>
    <w:rsid w:val="009B6260"/>
    <w:rsid w:val="009B65AF"/>
    <w:rsid w:val="009B65E0"/>
    <w:rsid w:val="009B66AA"/>
    <w:rsid w:val="009B66AF"/>
    <w:rsid w:val="009B69D8"/>
    <w:rsid w:val="009B6C09"/>
    <w:rsid w:val="009B6D49"/>
    <w:rsid w:val="009B77A4"/>
    <w:rsid w:val="009B78AA"/>
    <w:rsid w:val="009B7DA4"/>
    <w:rsid w:val="009C069B"/>
    <w:rsid w:val="009C0D63"/>
    <w:rsid w:val="009C105F"/>
    <w:rsid w:val="009C11C9"/>
    <w:rsid w:val="009C15D1"/>
    <w:rsid w:val="009C161F"/>
    <w:rsid w:val="009C19A9"/>
    <w:rsid w:val="009C1A33"/>
    <w:rsid w:val="009C1CDD"/>
    <w:rsid w:val="009C1D51"/>
    <w:rsid w:val="009C1E0A"/>
    <w:rsid w:val="009C1F3E"/>
    <w:rsid w:val="009C1FDC"/>
    <w:rsid w:val="009C2014"/>
    <w:rsid w:val="009C2594"/>
    <w:rsid w:val="009C2C08"/>
    <w:rsid w:val="009C3202"/>
    <w:rsid w:val="009C3315"/>
    <w:rsid w:val="009C38DF"/>
    <w:rsid w:val="009C3A3A"/>
    <w:rsid w:val="009C3BB7"/>
    <w:rsid w:val="009C3CE8"/>
    <w:rsid w:val="009C432D"/>
    <w:rsid w:val="009C44D6"/>
    <w:rsid w:val="009C4578"/>
    <w:rsid w:val="009C4F0E"/>
    <w:rsid w:val="009C58F5"/>
    <w:rsid w:val="009C5978"/>
    <w:rsid w:val="009C5B05"/>
    <w:rsid w:val="009C5B82"/>
    <w:rsid w:val="009C6139"/>
    <w:rsid w:val="009C635F"/>
    <w:rsid w:val="009C63CE"/>
    <w:rsid w:val="009C6588"/>
    <w:rsid w:val="009C6703"/>
    <w:rsid w:val="009C67DD"/>
    <w:rsid w:val="009C6A63"/>
    <w:rsid w:val="009C6FB2"/>
    <w:rsid w:val="009C72FE"/>
    <w:rsid w:val="009C7464"/>
    <w:rsid w:val="009D01B9"/>
    <w:rsid w:val="009D0658"/>
    <w:rsid w:val="009D0DF0"/>
    <w:rsid w:val="009D1456"/>
    <w:rsid w:val="009D166E"/>
    <w:rsid w:val="009D1723"/>
    <w:rsid w:val="009D174E"/>
    <w:rsid w:val="009D1B9D"/>
    <w:rsid w:val="009D1E6E"/>
    <w:rsid w:val="009D2232"/>
    <w:rsid w:val="009D23A9"/>
    <w:rsid w:val="009D2663"/>
    <w:rsid w:val="009D28AD"/>
    <w:rsid w:val="009D2A4E"/>
    <w:rsid w:val="009D2B13"/>
    <w:rsid w:val="009D2F1B"/>
    <w:rsid w:val="009D2FF1"/>
    <w:rsid w:val="009D3436"/>
    <w:rsid w:val="009D3567"/>
    <w:rsid w:val="009D370F"/>
    <w:rsid w:val="009D3946"/>
    <w:rsid w:val="009D3CD5"/>
    <w:rsid w:val="009D4864"/>
    <w:rsid w:val="009D4922"/>
    <w:rsid w:val="009D4956"/>
    <w:rsid w:val="009D4C69"/>
    <w:rsid w:val="009D52B1"/>
    <w:rsid w:val="009D5416"/>
    <w:rsid w:val="009D5CFC"/>
    <w:rsid w:val="009D5D0F"/>
    <w:rsid w:val="009D5DAA"/>
    <w:rsid w:val="009D608E"/>
    <w:rsid w:val="009D6250"/>
    <w:rsid w:val="009D6296"/>
    <w:rsid w:val="009D6305"/>
    <w:rsid w:val="009D65C0"/>
    <w:rsid w:val="009D6609"/>
    <w:rsid w:val="009D6D09"/>
    <w:rsid w:val="009D6F94"/>
    <w:rsid w:val="009D76AB"/>
    <w:rsid w:val="009D7E70"/>
    <w:rsid w:val="009D7F41"/>
    <w:rsid w:val="009E0080"/>
    <w:rsid w:val="009E01BF"/>
    <w:rsid w:val="009E02B9"/>
    <w:rsid w:val="009E02E7"/>
    <w:rsid w:val="009E0318"/>
    <w:rsid w:val="009E03AC"/>
    <w:rsid w:val="009E03C7"/>
    <w:rsid w:val="009E05A9"/>
    <w:rsid w:val="009E0AA4"/>
    <w:rsid w:val="009E0BBB"/>
    <w:rsid w:val="009E0D0B"/>
    <w:rsid w:val="009E0D52"/>
    <w:rsid w:val="009E0E48"/>
    <w:rsid w:val="009E0ECA"/>
    <w:rsid w:val="009E1120"/>
    <w:rsid w:val="009E14D2"/>
    <w:rsid w:val="009E1599"/>
    <w:rsid w:val="009E1893"/>
    <w:rsid w:val="009E1B24"/>
    <w:rsid w:val="009E1CF7"/>
    <w:rsid w:val="009E227E"/>
    <w:rsid w:val="009E2320"/>
    <w:rsid w:val="009E29A8"/>
    <w:rsid w:val="009E2CE2"/>
    <w:rsid w:val="009E2D1E"/>
    <w:rsid w:val="009E38E1"/>
    <w:rsid w:val="009E3D81"/>
    <w:rsid w:val="009E3EB3"/>
    <w:rsid w:val="009E44C2"/>
    <w:rsid w:val="009E48EF"/>
    <w:rsid w:val="009E62CE"/>
    <w:rsid w:val="009E6742"/>
    <w:rsid w:val="009E6E4D"/>
    <w:rsid w:val="009E7768"/>
    <w:rsid w:val="009E78DA"/>
    <w:rsid w:val="009E79DA"/>
    <w:rsid w:val="009E7D01"/>
    <w:rsid w:val="009E7D23"/>
    <w:rsid w:val="009E7D42"/>
    <w:rsid w:val="009F07E9"/>
    <w:rsid w:val="009F0C78"/>
    <w:rsid w:val="009F0D24"/>
    <w:rsid w:val="009F0F13"/>
    <w:rsid w:val="009F1446"/>
    <w:rsid w:val="009F180E"/>
    <w:rsid w:val="009F18BD"/>
    <w:rsid w:val="009F208A"/>
    <w:rsid w:val="009F22E8"/>
    <w:rsid w:val="009F2351"/>
    <w:rsid w:val="009F2CAC"/>
    <w:rsid w:val="009F2D17"/>
    <w:rsid w:val="009F351B"/>
    <w:rsid w:val="009F35BB"/>
    <w:rsid w:val="009F3876"/>
    <w:rsid w:val="009F3DB7"/>
    <w:rsid w:val="009F42A7"/>
    <w:rsid w:val="009F4659"/>
    <w:rsid w:val="009F46E5"/>
    <w:rsid w:val="009F472A"/>
    <w:rsid w:val="009F4965"/>
    <w:rsid w:val="009F4B8B"/>
    <w:rsid w:val="009F4C8B"/>
    <w:rsid w:val="009F5364"/>
    <w:rsid w:val="009F5733"/>
    <w:rsid w:val="009F57A7"/>
    <w:rsid w:val="009F58FF"/>
    <w:rsid w:val="009F5B8C"/>
    <w:rsid w:val="009F5C69"/>
    <w:rsid w:val="009F5E51"/>
    <w:rsid w:val="009F5E94"/>
    <w:rsid w:val="009F5F6A"/>
    <w:rsid w:val="009F6249"/>
    <w:rsid w:val="009F62EF"/>
    <w:rsid w:val="009F63BF"/>
    <w:rsid w:val="009F6441"/>
    <w:rsid w:val="009F6987"/>
    <w:rsid w:val="009F6A6C"/>
    <w:rsid w:val="009F6B7A"/>
    <w:rsid w:val="009F70BD"/>
    <w:rsid w:val="009F748B"/>
    <w:rsid w:val="009F794E"/>
    <w:rsid w:val="009F7DE1"/>
    <w:rsid w:val="009F7FAB"/>
    <w:rsid w:val="00A00541"/>
    <w:rsid w:val="00A00940"/>
    <w:rsid w:val="00A00BB0"/>
    <w:rsid w:val="00A00CE8"/>
    <w:rsid w:val="00A0156C"/>
    <w:rsid w:val="00A0159C"/>
    <w:rsid w:val="00A015FA"/>
    <w:rsid w:val="00A01A3D"/>
    <w:rsid w:val="00A01EA1"/>
    <w:rsid w:val="00A0204C"/>
    <w:rsid w:val="00A02494"/>
    <w:rsid w:val="00A02A8A"/>
    <w:rsid w:val="00A02D1D"/>
    <w:rsid w:val="00A030EE"/>
    <w:rsid w:val="00A031C0"/>
    <w:rsid w:val="00A03309"/>
    <w:rsid w:val="00A03852"/>
    <w:rsid w:val="00A03A42"/>
    <w:rsid w:val="00A03AEA"/>
    <w:rsid w:val="00A03E43"/>
    <w:rsid w:val="00A04539"/>
    <w:rsid w:val="00A04E00"/>
    <w:rsid w:val="00A04E71"/>
    <w:rsid w:val="00A05040"/>
    <w:rsid w:val="00A050C9"/>
    <w:rsid w:val="00A050D2"/>
    <w:rsid w:val="00A05139"/>
    <w:rsid w:val="00A054E9"/>
    <w:rsid w:val="00A0574B"/>
    <w:rsid w:val="00A05A7C"/>
    <w:rsid w:val="00A05DAF"/>
    <w:rsid w:val="00A05E6C"/>
    <w:rsid w:val="00A05F80"/>
    <w:rsid w:val="00A0609B"/>
    <w:rsid w:val="00A06412"/>
    <w:rsid w:val="00A0692D"/>
    <w:rsid w:val="00A06AF0"/>
    <w:rsid w:val="00A06DB2"/>
    <w:rsid w:val="00A06DB7"/>
    <w:rsid w:val="00A06E20"/>
    <w:rsid w:val="00A06E5B"/>
    <w:rsid w:val="00A070AC"/>
    <w:rsid w:val="00A0719D"/>
    <w:rsid w:val="00A07229"/>
    <w:rsid w:val="00A07459"/>
    <w:rsid w:val="00A07492"/>
    <w:rsid w:val="00A0749D"/>
    <w:rsid w:val="00A074A5"/>
    <w:rsid w:val="00A074DE"/>
    <w:rsid w:val="00A0772F"/>
    <w:rsid w:val="00A07A40"/>
    <w:rsid w:val="00A10191"/>
    <w:rsid w:val="00A103A9"/>
    <w:rsid w:val="00A10421"/>
    <w:rsid w:val="00A10492"/>
    <w:rsid w:val="00A104F3"/>
    <w:rsid w:val="00A106D2"/>
    <w:rsid w:val="00A10738"/>
    <w:rsid w:val="00A1080F"/>
    <w:rsid w:val="00A108D2"/>
    <w:rsid w:val="00A109E2"/>
    <w:rsid w:val="00A10CBD"/>
    <w:rsid w:val="00A10DAC"/>
    <w:rsid w:val="00A10FD2"/>
    <w:rsid w:val="00A10FF1"/>
    <w:rsid w:val="00A11009"/>
    <w:rsid w:val="00A11048"/>
    <w:rsid w:val="00A1127F"/>
    <w:rsid w:val="00A11E8C"/>
    <w:rsid w:val="00A11E9D"/>
    <w:rsid w:val="00A1208A"/>
    <w:rsid w:val="00A120E6"/>
    <w:rsid w:val="00A12307"/>
    <w:rsid w:val="00A12650"/>
    <w:rsid w:val="00A1274E"/>
    <w:rsid w:val="00A128FB"/>
    <w:rsid w:val="00A129D0"/>
    <w:rsid w:val="00A12A9F"/>
    <w:rsid w:val="00A12B96"/>
    <w:rsid w:val="00A12F34"/>
    <w:rsid w:val="00A131CD"/>
    <w:rsid w:val="00A137AD"/>
    <w:rsid w:val="00A13C43"/>
    <w:rsid w:val="00A13CF1"/>
    <w:rsid w:val="00A1510D"/>
    <w:rsid w:val="00A15530"/>
    <w:rsid w:val="00A15752"/>
    <w:rsid w:val="00A159A4"/>
    <w:rsid w:val="00A15BF0"/>
    <w:rsid w:val="00A15CF7"/>
    <w:rsid w:val="00A15D06"/>
    <w:rsid w:val="00A15D73"/>
    <w:rsid w:val="00A16019"/>
    <w:rsid w:val="00A16114"/>
    <w:rsid w:val="00A16AE0"/>
    <w:rsid w:val="00A16DB0"/>
    <w:rsid w:val="00A17826"/>
    <w:rsid w:val="00A1797C"/>
    <w:rsid w:val="00A17B2A"/>
    <w:rsid w:val="00A17CF0"/>
    <w:rsid w:val="00A17FD7"/>
    <w:rsid w:val="00A17FE6"/>
    <w:rsid w:val="00A21116"/>
    <w:rsid w:val="00A213BD"/>
    <w:rsid w:val="00A21B22"/>
    <w:rsid w:val="00A21BFF"/>
    <w:rsid w:val="00A22091"/>
    <w:rsid w:val="00A22099"/>
    <w:rsid w:val="00A2259F"/>
    <w:rsid w:val="00A22681"/>
    <w:rsid w:val="00A22891"/>
    <w:rsid w:val="00A22C8D"/>
    <w:rsid w:val="00A22CA5"/>
    <w:rsid w:val="00A22D83"/>
    <w:rsid w:val="00A23402"/>
    <w:rsid w:val="00A237F8"/>
    <w:rsid w:val="00A240F9"/>
    <w:rsid w:val="00A243B8"/>
    <w:rsid w:val="00A2465C"/>
    <w:rsid w:val="00A248A2"/>
    <w:rsid w:val="00A248E8"/>
    <w:rsid w:val="00A24BD8"/>
    <w:rsid w:val="00A24CA5"/>
    <w:rsid w:val="00A24D90"/>
    <w:rsid w:val="00A24DC4"/>
    <w:rsid w:val="00A24DF0"/>
    <w:rsid w:val="00A25827"/>
    <w:rsid w:val="00A25B28"/>
    <w:rsid w:val="00A25B7E"/>
    <w:rsid w:val="00A25C76"/>
    <w:rsid w:val="00A25E94"/>
    <w:rsid w:val="00A25EA9"/>
    <w:rsid w:val="00A26760"/>
    <w:rsid w:val="00A26BC6"/>
    <w:rsid w:val="00A27748"/>
    <w:rsid w:val="00A277F3"/>
    <w:rsid w:val="00A27D9E"/>
    <w:rsid w:val="00A30373"/>
    <w:rsid w:val="00A307C5"/>
    <w:rsid w:val="00A30B9C"/>
    <w:rsid w:val="00A30EB7"/>
    <w:rsid w:val="00A310B1"/>
    <w:rsid w:val="00A314E2"/>
    <w:rsid w:val="00A31554"/>
    <w:rsid w:val="00A318B4"/>
    <w:rsid w:val="00A31CCE"/>
    <w:rsid w:val="00A320A7"/>
    <w:rsid w:val="00A32BD9"/>
    <w:rsid w:val="00A32D2E"/>
    <w:rsid w:val="00A32DC0"/>
    <w:rsid w:val="00A33243"/>
    <w:rsid w:val="00A33677"/>
    <w:rsid w:val="00A33DFD"/>
    <w:rsid w:val="00A34356"/>
    <w:rsid w:val="00A34F0E"/>
    <w:rsid w:val="00A35058"/>
    <w:rsid w:val="00A35260"/>
    <w:rsid w:val="00A3576D"/>
    <w:rsid w:val="00A363D3"/>
    <w:rsid w:val="00A3666B"/>
    <w:rsid w:val="00A36743"/>
    <w:rsid w:val="00A368B9"/>
    <w:rsid w:val="00A36D6D"/>
    <w:rsid w:val="00A36D78"/>
    <w:rsid w:val="00A3724C"/>
    <w:rsid w:val="00A3747F"/>
    <w:rsid w:val="00A37B2D"/>
    <w:rsid w:val="00A37C5A"/>
    <w:rsid w:val="00A40393"/>
    <w:rsid w:val="00A403B4"/>
    <w:rsid w:val="00A40419"/>
    <w:rsid w:val="00A40621"/>
    <w:rsid w:val="00A40898"/>
    <w:rsid w:val="00A40D2A"/>
    <w:rsid w:val="00A40DB0"/>
    <w:rsid w:val="00A40F89"/>
    <w:rsid w:val="00A41213"/>
    <w:rsid w:val="00A4174B"/>
    <w:rsid w:val="00A42239"/>
    <w:rsid w:val="00A4236A"/>
    <w:rsid w:val="00A424F0"/>
    <w:rsid w:val="00A4262A"/>
    <w:rsid w:val="00A42719"/>
    <w:rsid w:val="00A42D9C"/>
    <w:rsid w:val="00A42FCA"/>
    <w:rsid w:val="00A43000"/>
    <w:rsid w:val="00A43043"/>
    <w:rsid w:val="00A431CB"/>
    <w:rsid w:val="00A435D0"/>
    <w:rsid w:val="00A4363A"/>
    <w:rsid w:val="00A43645"/>
    <w:rsid w:val="00A43820"/>
    <w:rsid w:val="00A43C85"/>
    <w:rsid w:val="00A43DBA"/>
    <w:rsid w:val="00A44123"/>
    <w:rsid w:val="00A44755"/>
    <w:rsid w:val="00A44C41"/>
    <w:rsid w:val="00A4532B"/>
    <w:rsid w:val="00A45548"/>
    <w:rsid w:val="00A45BA4"/>
    <w:rsid w:val="00A45BC4"/>
    <w:rsid w:val="00A45C28"/>
    <w:rsid w:val="00A45E7F"/>
    <w:rsid w:val="00A45F64"/>
    <w:rsid w:val="00A4618C"/>
    <w:rsid w:val="00A4635D"/>
    <w:rsid w:val="00A46503"/>
    <w:rsid w:val="00A4667B"/>
    <w:rsid w:val="00A46ABE"/>
    <w:rsid w:val="00A46F66"/>
    <w:rsid w:val="00A474F8"/>
    <w:rsid w:val="00A4757F"/>
    <w:rsid w:val="00A47994"/>
    <w:rsid w:val="00A504A9"/>
    <w:rsid w:val="00A508C9"/>
    <w:rsid w:val="00A50B30"/>
    <w:rsid w:val="00A50EBE"/>
    <w:rsid w:val="00A511C1"/>
    <w:rsid w:val="00A51D5A"/>
    <w:rsid w:val="00A522A0"/>
    <w:rsid w:val="00A52370"/>
    <w:rsid w:val="00A52674"/>
    <w:rsid w:val="00A52A7C"/>
    <w:rsid w:val="00A52B12"/>
    <w:rsid w:val="00A52BCB"/>
    <w:rsid w:val="00A52CEC"/>
    <w:rsid w:val="00A53780"/>
    <w:rsid w:val="00A537C0"/>
    <w:rsid w:val="00A53BE7"/>
    <w:rsid w:val="00A53F30"/>
    <w:rsid w:val="00A54369"/>
    <w:rsid w:val="00A54592"/>
    <w:rsid w:val="00A54873"/>
    <w:rsid w:val="00A54AB8"/>
    <w:rsid w:val="00A54B0A"/>
    <w:rsid w:val="00A55033"/>
    <w:rsid w:val="00A555F9"/>
    <w:rsid w:val="00A5585C"/>
    <w:rsid w:val="00A559E6"/>
    <w:rsid w:val="00A5655B"/>
    <w:rsid w:val="00A565F4"/>
    <w:rsid w:val="00A56658"/>
    <w:rsid w:val="00A568A5"/>
    <w:rsid w:val="00A56917"/>
    <w:rsid w:val="00A56C9B"/>
    <w:rsid w:val="00A56ED3"/>
    <w:rsid w:val="00A57745"/>
    <w:rsid w:val="00A57C88"/>
    <w:rsid w:val="00A57D12"/>
    <w:rsid w:val="00A60183"/>
    <w:rsid w:val="00A603AE"/>
    <w:rsid w:val="00A6053C"/>
    <w:rsid w:val="00A60B11"/>
    <w:rsid w:val="00A60C34"/>
    <w:rsid w:val="00A60D8B"/>
    <w:rsid w:val="00A61309"/>
    <w:rsid w:val="00A614F3"/>
    <w:rsid w:val="00A61ECB"/>
    <w:rsid w:val="00A61F2C"/>
    <w:rsid w:val="00A6205F"/>
    <w:rsid w:val="00A6255F"/>
    <w:rsid w:val="00A627AF"/>
    <w:rsid w:val="00A62A94"/>
    <w:rsid w:val="00A630DC"/>
    <w:rsid w:val="00A63180"/>
    <w:rsid w:val="00A63734"/>
    <w:rsid w:val="00A6390F"/>
    <w:rsid w:val="00A63CC6"/>
    <w:rsid w:val="00A642A1"/>
    <w:rsid w:val="00A649C3"/>
    <w:rsid w:val="00A64C1F"/>
    <w:rsid w:val="00A64D54"/>
    <w:rsid w:val="00A65572"/>
    <w:rsid w:val="00A657CB"/>
    <w:rsid w:val="00A65AAC"/>
    <w:rsid w:val="00A65C76"/>
    <w:rsid w:val="00A660D6"/>
    <w:rsid w:val="00A66149"/>
    <w:rsid w:val="00A665B3"/>
    <w:rsid w:val="00A669AA"/>
    <w:rsid w:val="00A669D4"/>
    <w:rsid w:val="00A66F9C"/>
    <w:rsid w:val="00A670C9"/>
    <w:rsid w:val="00A67416"/>
    <w:rsid w:val="00A67598"/>
    <w:rsid w:val="00A6764D"/>
    <w:rsid w:val="00A67732"/>
    <w:rsid w:val="00A679A3"/>
    <w:rsid w:val="00A67B7D"/>
    <w:rsid w:val="00A67FE1"/>
    <w:rsid w:val="00A70060"/>
    <w:rsid w:val="00A7012B"/>
    <w:rsid w:val="00A7033B"/>
    <w:rsid w:val="00A706FD"/>
    <w:rsid w:val="00A707B1"/>
    <w:rsid w:val="00A707CA"/>
    <w:rsid w:val="00A70D6B"/>
    <w:rsid w:val="00A71000"/>
    <w:rsid w:val="00A715B3"/>
    <w:rsid w:val="00A718CF"/>
    <w:rsid w:val="00A71F0E"/>
    <w:rsid w:val="00A720F4"/>
    <w:rsid w:val="00A72745"/>
    <w:rsid w:val="00A727FD"/>
    <w:rsid w:val="00A72965"/>
    <w:rsid w:val="00A7316C"/>
    <w:rsid w:val="00A7355B"/>
    <w:rsid w:val="00A73698"/>
    <w:rsid w:val="00A73C49"/>
    <w:rsid w:val="00A740A6"/>
    <w:rsid w:val="00A743BD"/>
    <w:rsid w:val="00A74A0A"/>
    <w:rsid w:val="00A74AA1"/>
    <w:rsid w:val="00A752BE"/>
    <w:rsid w:val="00A75629"/>
    <w:rsid w:val="00A75A1C"/>
    <w:rsid w:val="00A75E83"/>
    <w:rsid w:val="00A75EF9"/>
    <w:rsid w:val="00A76015"/>
    <w:rsid w:val="00A76586"/>
    <w:rsid w:val="00A766CB"/>
    <w:rsid w:val="00A76714"/>
    <w:rsid w:val="00A76771"/>
    <w:rsid w:val="00A76E33"/>
    <w:rsid w:val="00A770AF"/>
    <w:rsid w:val="00A77BDC"/>
    <w:rsid w:val="00A77D21"/>
    <w:rsid w:val="00A77D8A"/>
    <w:rsid w:val="00A77DFB"/>
    <w:rsid w:val="00A80114"/>
    <w:rsid w:val="00A809D4"/>
    <w:rsid w:val="00A80B0A"/>
    <w:rsid w:val="00A80BC5"/>
    <w:rsid w:val="00A8111A"/>
    <w:rsid w:val="00A811DB"/>
    <w:rsid w:val="00A8129D"/>
    <w:rsid w:val="00A8161D"/>
    <w:rsid w:val="00A8179B"/>
    <w:rsid w:val="00A81818"/>
    <w:rsid w:val="00A81A54"/>
    <w:rsid w:val="00A81A65"/>
    <w:rsid w:val="00A81B2A"/>
    <w:rsid w:val="00A81B34"/>
    <w:rsid w:val="00A81DA4"/>
    <w:rsid w:val="00A822AB"/>
    <w:rsid w:val="00A82DB0"/>
    <w:rsid w:val="00A83028"/>
    <w:rsid w:val="00A837B7"/>
    <w:rsid w:val="00A838CC"/>
    <w:rsid w:val="00A83CBB"/>
    <w:rsid w:val="00A83CC8"/>
    <w:rsid w:val="00A83CE3"/>
    <w:rsid w:val="00A84672"/>
    <w:rsid w:val="00A84C02"/>
    <w:rsid w:val="00A852C3"/>
    <w:rsid w:val="00A8533C"/>
    <w:rsid w:val="00A85495"/>
    <w:rsid w:val="00A8579B"/>
    <w:rsid w:val="00A859FC"/>
    <w:rsid w:val="00A86009"/>
    <w:rsid w:val="00A8608C"/>
    <w:rsid w:val="00A8653B"/>
    <w:rsid w:val="00A868ED"/>
    <w:rsid w:val="00A86CA0"/>
    <w:rsid w:val="00A86F4E"/>
    <w:rsid w:val="00A86FB8"/>
    <w:rsid w:val="00A86FC6"/>
    <w:rsid w:val="00A8706B"/>
    <w:rsid w:val="00A87692"/>
    <w:rsid w:val="00A87914"/>
    <w:rsid w:val="00A87999"/>
    <w:rsid w:val="00A87FEB"/>
    <w:rsid w:val="00A90139"/>
    <w:rsid w:val="00A9038D"/>
    <w:rsid w:val="00A903C1"/>
    <w:rsid w:val="00A9054A"/>
    <w:rsid w:val="00A90F8F"/>
    <w:rsid w:val="00A911C0"/>
    <w:rsid w:val="00A91422"/>
    <w:rsid w:val="00A91854"/>
    <w:rsid w:val="00A91F33"/>
    <w:rsid w:val="00A92026"/>
    <w:rsid w:val="00A929C9"/>
    <w:rsid w:val="00A92A04"/>
    <w:rsid w:val="00A92E16"/>
    <w:rsid w:val="00A9319F"/>
    <w:rsid w:val="00A93CE9"/>
    <w:rsid w:val="00A93F38"/>
    <w:rsid w:val="00A94106"/>
    <w:rsid w:val="00A94AC0"/>
    <w:rsid w:val="00A94D60"/>
    <w:rsid w:val="00A94E40"/>
    <w:rsid w:val="00A95CAF"/>
    <w:rsid w:val="00A9600F"/>
    <w:rsid w:val="00A967C2"/>
    <w:rsid w:val="00A96C49"/>
    <w:rsid w:val="00A96D3C"/>
    <w:rsid w:val="00A97196"/>
    <w:rsid w:val="00A972AF"/>
    <w:rsid w:val="00A97513"/>
    <w:rsid w:val="00A9763F"/>
    <w:rsid w:val="00A97D5E"/>
    <w:rsid w:val="00A97D62"/>
    <w:rsid w:val="00A97F1C"/>
    <w:rsid w:val="00AA0098"/>
    <w:rsid w:val="00AA02B8"/>
    <w:rsid w:val="00AA0959"/>
    <w:rsid w:val="00AA0E02"/>
    <w:rsid w:val="00AA109F"/>
    <w:rsid w:val="00AA1787"/>
    <w:rsid w:val="00AA18BA"/>
    <w:rsid w:val="00AA1958"/>
    <w:rsid w:val="00AA208D"/>
    <w:rsid w:val="00AA2757"/>
    <w:rsid w:val="00AA2DB1"/>
    <w:rsid w:val="00AA3C1A"/>
    <w:rsid w:val="00AA40D0"/>
    <w:rsid w:val="00AA4749"/>
    <w:rsid w:val="00AA49F6"/>
    <w:rsid w:val="00AA4ADE"/>
    <w:rsid w:val="00AA4F3C"/>
    <w:rsid w:val="00AA5000"/>
    <w:rsid w:val="00AA50A6"/>
    <w:rsid w:val="00AA5467"/>
    <w:rsid w:val="00AA592A"/>
    <w:rsid w:val="00AA599F"/>
    <w:rsid w:val="00AA5C40"/>
    <w:rsid w:val="00AA5DEA"/>
    <w:rsid w:val="00AA600D"/>
    <w:rsid w:val="00AA6294"/>
    <w:rsid w:val="00AA6426"/>
    <w:rsid w:val="00AA6AEA"/>
    <w:rsid w:val="00AA6F87"/>
    <w:rsid w:val="00AA753C"/>
    <w:rsid w:val="00AA7B41"/>
    <w:rsid w:val="00AA7CD1"/>
    <w:rsid w:val="00AA7F53"/>
    <w:rsid w:val="00AB02DC"/>
    <w:rsid w:val="00AB02F4"/>
    <w:rsid w:val="00AB0735"/>
    <w:rsid w:val="00AB0756"/>
    <w:rsid w:val="00AB0873"/>
    <w:rsid w:val="00AB0D68"/>
    <w:rsid w:val="00AB10DA"/>
    <w:rsid w:val="00AB12CE"/>
    <w:rsid w:val="00AB16A6"/>
    <w:rsid w:val="00AB16BC"/>
    <w:rsid w:val="00AB1960"/>
    <w:rsid w:val="00AB1AC1"/>
    <w:rsid w:val="00AB1B4D"/>
    <w:rsid w:val="00AB1B7E"/>
    <w:rsid w:val="00AB20BD"/>
    <w:rsid w:val="00AB2274"/>
    <w:rsid w:val="00AB22C0"/>
    <w:rsid w:val="00AB2541"/>
    <w:rsid w:val="00AB2783"/>
    <w:rsid w:val="00AB2792"/>
    <w:rsid w:val="00AB28EB"/>
    <w:rsid w:val="00AB2BCA"/>
    <w:rsid w:val="00AB2F6B"/>
    <w:rsid w:val="00AB3C1C"/>
    <w:rsid w:val="00AB3E4E"/>
    <w:rsid w:val="00AB42B9"/>
    <w:rsid w:val="00AB44DD"/>
    <w:rsid w:val="00AB46C1"/>
    <w:rsid w:val="00AB4B8C"/>
    <w:rsid w:val="00AB4BA6"/>
    <w:rsid w:val="00AB4D1F"/>
    <w:rsid w:val="00AB4EA4"/>
    <w:rsid w:val="00AB4F50"/>
    <w:rsid w:val="00AB5229"/>
    <w:rsid w:val="00AB580B"/>
    <w:rsid w:val="00AB59B5"/>
    <w:rsid w:val="00AB688E"/>
    <w:rsid w:val="00AB6BC3"/>
    <w:rsid w:val="00AB6DFA"/>
    <w:rsid w:val="00AB6F44"/>
    <w:rsid w:val="00AB71A7"/>
    <w:rsid w:val="00AB7410"/>
    <w:rsid w:val="00AB7745"/>
    <w:rsid w:val="00AB78BA"/>
    <w:rsid w:val="00AB7B20"/>
    <w:rsid w:val="00AB7C33"/>
    <w:rsid w:val="00AC0B41"/>
    <w:rsid w:val="00AC0B4F"/>
    <w:rsid w:val="00AC1312"/>
    <w:rsid w:val="00AC13EA"/>
    <w:rsid w:val="00AC1461"/>
    <w:rsid w:val="00AC1532"/>
    <w:rsid w:val="00AC19A6"/>
    <w:rsid w:val="00AC1B7F"/>
    <w:rsid w:val="00AC1EDE"/>
    <w:rsid w:val="00AC1F09"/>
    <w:rsid w:val="00AC2011"/>
    <w:rsid w:val="00AC2075"/>
    <w:rsid w:val="00AC23E3"/>
    <w:rsid w:val="00AC262F"/>
    <w:rsid w:val="00AC2926"/>
    <w:rsid w:val="00AC29A3"/>
    <w:rsid w:val="00AC2AF9"/>
    <w:rsid w:val="00AC2EAB"/>
    <w:rsid w:val="00AC3517"/>
    <w:rsid w:val="00AC369F"/>
    <w:rsid w:val="00AC374C"/>
    <w:rsid w:val="00AC3C9C"/>
    <w:rsid w:val="00AC3FEA"/>
    <w:rsid w:val="00AC44C8"/>
    <w:rsid w:val="00AC4D8F"/>
    <w:rsid w:val="00AC4EBF"/>
    <w:rsid w:val="00AC4EF5"/>
    <w:rsid w:val="00AC5122"/>
    <w:rsid w:val="00AC523B"/>
    <w:rsid w:val="00AC54BB"/>
    <w:rsid w:val="00AC5758"/>
    <w:rsid w:val="00AC5AD2"/>
    <w:rsid w:val="00AC5DC0"/>
    <w:rsid w:val="00AC5E29"/>
    <w:rsid w:val="00AC5FFE"/>
    <w:rsid w:val="00AC6049"/>
    <w:rsid w:val="00AC609F"/>
    <w:rsid w:val="00AC60CC"/>
    <w:rsid w:val="00AC610B"/>
    <w:rsid w:val="00AC62CD"/>
    <w:rsid w:val="00AC6D90"/>
    <w:rsid w:val="00AC6F33"/>
    <w:rsid w:val="00AC719A"/>
    <w:rsid w:val="00AC72D8"/>
    <w:rsid w:val="00AC7A18"/>
    <w:rsid w:val="00AC7CB0"/>
    <w:rsid w:val="00AC7ECA"/>
    <w:rsid w:val="00AD0261"/>
    <w:rsid w:val="00AD032F"/>
    <w:rsid w:val="00AD0483"/>
    <w:rsid w:val="00AD04EE"/>
    <w:rsid w:val="00AD068E"/>
    <w:rsid w:val="00AD0A82"/>
    <w:rsid w:val="00AD0A93"/>
    <w:rsid w:val="00AD0C56"/>
    <w:rsid w:val="00AD0FE9"/>
    <w:rsid w:val="00AD10B7"/>
    <w:rsid w:val="00AD1285"/>
    <w:rsid w:val="00AD1AB6"/>
    <w:rsid w:val="00AD1E11"/>
    <w:rsid w:val="00AD1E5C"/>
    <w:rsid w:val="00AD2272"/>
    <w:rsid w:val="00AD2409"/>
    <w:rsid w:val="00AD2494"/>
    <w:rsid w:val="00AD2733"/>
    <w:rsid w:val="00AD2A40"/>
    <w:rsid w:val="00AD2B27"/>
    <w:rsid w:val="00AD2F0F"/>
    <w:rsid w:val="00AD308D"/>
    <w:rsid w:val="00AD3353"/>
    <w:rsid w:val="00AD33F8"/>
    <w:rsid w:val="00AD355D"/>
    <w:rsid w:val="00AD39FB"/>
    <w:rsid w:val="00AD42A7"/>
    <w:rsid w:val="00AD48E8"/>
    <w:rsid w:val="00AD49BB"/>
    <w:rsid w:val="00AD4C76"/>
    <w:rsid w:val="00AD4DFE"/>
    <w:rsid w:val="00AD5046"/>
    <w:rsid w:val="00AD5331"/>
    <w:rsid w:val="00AD56D1"/>
    <w:rsid w:val="00AD56DA"/>
    <w:rsid w:val="00AD56DD"/>
    <w:rsid w:val="00AD5702"/>
    <w:rsid w:val="00AD5822"/>
    <w:rsid w:val="00AD65DF"/>
    <w:rsid w:val="00AD69E1"/>
    <w:rsid w:val="00AD754F"/>
    <w:rsid w:val="00AD75CB"/>
    <w:rsid w:val="00AD7AC9"/>
    <w:rsid w:val="00AD7CC3"/>
    <w:rsid w:val="00AE028F"/>
    <w:rsid w:val="00AE037D"/>
    <w:rsid w:val="00AE049A"/>
    <w:rsid w:val="00AE082A"/>
    <w:rsid w:val="00AE0973"/>
    <w:rsid w:val="00AE16C1"/>
    <w:rsid w:val="00AE230F"/>
    <w:rsid w:val="00AE2765"/>
    <w:rsid w:val="00AE2786"/>
    <w:rsid w:val="00AE305F"/>
    <w:rsid w:val="00AE30CC"/>
    <w:rsid w:val="00AE3AED"/>
    <w:rsid w:val="00AE3BCB"/>
    <w:rsid w:val="00AE3D07"/>
    <w:rsid w:val="00AE3F2C"/>
    <w:rsid w:val="00AE4333"/>
    <w:rsid w:val="00AE459D"/>
    <w:rsid w:val="00AE4B8A"/>
    <w:rsid w:val="00AE4F7D"/>
    <w:rsid w:val="00AE5192"/>
    <w:rsid w:val="00AE5713"/>
    <w:rsid w:val="00AE59D8"/>
    <w:rsid w:val="00AE5BBF"/>
    <w:rsid w:val="00AE5EE3"/>
    <w:rsid w:val="00AE5F32"/>
    <w:rsid w:val="00AE609C"/>
    <w:rsid w:val="00AE61AE"/>
    <w:rsid w:val="00AE6312"/>
    <w:rsid w:val="00AE6DE1"/>
    <w:rsid w:val="00AE6E8A"/>
    <w:rsid w:val="00AE7059"/>
    <w:rsid w:val="00AE7096"/>
    <w:rsid w:val="00AE7416"/>
    <w:rsid w:val="00AE7439"/>
    <w:rsid w:val="00AE76EF"/>
    <w:rsid w:val="00AE7919"/>
    <w:rsid w:val="00AF02D9"/>
    <w:rsid w:val="00AF0382"/>
    <w:rsid w:val="00AF046B"/>
    <w:rsid w:val="00AF0487"/>
    <w:rsid w:val="00AF0B64"/>
    <w:rsid w:val="00AF10D4"/>
    <w:rsid w:val="00AF1204"/>
    <w:rsid w:val="00AF14F6"/>
    <w:rsid w:val="00AF16C9"/>
    <w:rsid w:val="00AF1C1D"/>
    <w:rsid w:val="00AF1E30"/>
    <w:rsid w:val="00AF223B"/>
    <w:rsid w:val="00AF2775"/>
    <w:rsid w:val="00AF2BE4"/>
    <w:rsid w:val="00AF2F03"/>
    <w:rsid w:val="00AF33D6"/>
    <w:rsid w:val="00AF3582"/>
    <w:rsid w:val="00AF3B7D"/>
    <w:rsid w:val="00AF3BA2"/>
    <w:rsid w:val="00AF3FFA"/>
    <w:rsid w:val="00AF466D"/>
    <w:rsid w:val="00AF46E7"/>
    <w:rsid w:val="00AF4D01"/>
    <w:rsid w:val="00AF4D62"/>
    <w:rsid w:val="00AF4DC9"/>
    <w:rsid w:val="00AF54AA"/>
    <w:rsid w:val="00AF5AB1"/>
    <w:rsid w:val="00AF5B2C"/>
    <w:rsid w:val="00AF5E8A"/>
    <w:rsid w:val="00AF6664"/>
    <w:rsid w:val="00AF68DF"/>
    <w:rsid w:val="00AF6BBD"/>
    <w:rsid w:val="00AF6C63"/>
    <w:rsid w:val="00AF71F2"/>
    <w:rsid w:val="00AF7227"/>
    <w:rsid w:val="00AF7416"/>
    <w:rsid w:val="00AF74D3"/>
    <w:rsid w:val="00B001D5"/>
    <w:rsid w:val="00B004DF"/>
    <w:rsid w:val="00B0083C"/>
    <w:rsid w:val="00B009DC"/>
    <w:rsid w:val="00B00B17"/>
    <w:rsid w:val="00B00FE6"/>
    <w:rsid w:val="00B01127"/>
    <w:rsid w:val="00B01185"/>
    <w:rsid w:val="00B015AF"/>
    <w:rsid w:val="00B0166A"/>
    <w:rsid w:val="00B02540"/>
    <w:rsid w:val="00B0379D"/>
    <w:rsid w:val="00B03879"/>
    <w:rsid w:val="00B03A7A"/>
    <w:rsid w:val="00B03E52"/>
    <w:rsid w:val="00B03FF8"/>
    <w:rsid w:val="00B04090"/>
    <w:rsid w:val="00B042FE"/>
    <w:rsid w:val="00B04801"/>
    <w:rsid w:val="00B0488C"/>
    <w:rsid w:val="00B04A93"/>
    <w:rsid w:val="00B04BBA"/>
    <w:rsid w:val="00B051E5"/>
    <w:rsid w:val="00B056FB"/>
    <w:rsid w:val="00B05800"/>
    <w:rsid w:val="00B058B4"/>
    <w:rsid w:val="00B05C5A"/>
    <w:rsid w:val="00B05D49"/>
    <w:rsid w:val="00B05EDC"/>
    <w:rsid w:val="00B060C5"/>
    <w:rsid w:val="00B0628C"/>
    <w:rsid w:val="00B0659E"/>
    <w:rsid w:val="00B067BE"/>
    <w:rsid w:val="00B06A17"/>
    <w:rsid w:val="00B0719D"/>
    <w:rsid w:val="00B0769B"/>
    <w:rsid w:val="00B0775E"/>
    <w:rsid w:val="00B0781D"/>
    <w:rsid w:val="00B079EA"/>
    <w:rsid w:val="00B1002D"/>
    <w:rsid w:val="00B1058B"/>
    <w:rsid w:val="00B10984"/>
    <w:rsid w:val="00B10A9C"/>
    <w:rsid w:val="00B10DAF"/>
    <w:rsid w:val="00B11235"/>
    <w:rsid w:val="00B11878"/>
    <w:rsid w:val="00B1187B"/>
    <w:rsid w:val="00B11946"/>
    <w:rsid w:val="00B11AB6"/>
    <w:rsid w:val="00B11BD3"/>
    <w:rsid w:val="00B1201E"/>
    <w:rsid w:val="00B120DF"/>
    <w:rsid w:val="00B124BE"/>
    <w:rsid w:val="00B1279B"/>
    <w:rsid w:val="00B12872"/>
    <w:rsid w:val="00B12E3A"/>
    <w:rsid w:val="00B132F3"/>
    <w:rsid w:val="00B1332A"/>
    <w:rsid w:val="00B13C37"/>
    <w:rsid w:val="00B13C96"/>
    <w:rsid w:val="00B13D80"/>
    <w:rsid w:val="00B1401F"/>
    <w:rsid w:val="00B14C71"/>
    <w:rsid w:val="00B15581"/>
    <w:rsid w:val="00B16369"/>
    <w:rsid w:val="00B16947"/>
    <w:rsid w:val="00B16B08"/>
    <w:rsid w:val="00B17288"/>
    <w:rsid w:val="00B17639"/>
    <w:rsid w:val="00B17C97"/>
    <w:rsid w:val="00B17DFB"/>
    <w:rsid w:val="00B20294"/>
    <w:rsid w:val="00B206FA"/>
    <w:rsid w:val="00B20822"/>
    <w:rsid w:val="00B21220"/>
    <w:rsid w:val="00B21704"/>
    <w:rsid w:val="00B21B01"/>
    <w:rsid w:val="00B21B25"/>
    <w:rsid w:val="00B21E32"/>
    <w:rsid w:val="00B222BB"/>
    <w:rsid w:val="00B22BCB"/>
    <w:rsid w:val="00B2363F"/>
    <w:rsid w:val="00B23874"/>
    <w:rsid w:val="00B2409D"/>
    <w:rsid w:val="00B24183"/>
    <w:rsid w:val="00B241EA"/>
    <w:rsid w:val="00B24349"/>
    <w:rsid w:val="00B2494A"/>
    <w:rsid w:val="00B24BD8"/>
    <w:rsid w:val="00B2514E"/>
    <w:rsid w:val="00B253F2"/>
    <w:rsid w:val="00B2569B"/>
    <w:rsid w:val="00B25DFF"/>
    <w:rsid w:val="00B26130"/>
    <w:rsid w:val="00B264B5"/>
    <w:rsid w:val="00B26548"/>
    <w:rsid w:val="00B26936"/>
    <w:rsid w:val="00B26B40"/>
    <w:rsid w:val="00B26D43"/>
    <w:rsid w:val="00B26FA2"/>
    <w:rsid w:val="00B27310"/>
    <w:rsid w:val="00B274A6"/>
    <w:rsid w:val="00B274D6"/>
    <w:rsid w:val="00B27E54"/>
    <w:rsid w:val="00B27F63"/>
    <w:rsid w:val="00B3004F"/>
    <w:rsid w:val="00B30FBE"/>
    <w:rsid w:val="00B30FEE"/>
    <w:rsid w:val="00B312BB"/>
    <w:rsid w:val="00B312F8"/>
    <w:rsid w:val="00B31341"/>
    <w:rsid w:val="00B314A5"/>
    <w:rsid w:val="00B316E1"/>
    <w:rsid w:val="00B31E3B"/>
    <w:rsid w:val="00B31F77"/>
    <w:rsid w:val="00B32186"/>
    <w:rsid w:val="00B324DD"/>
    <w:rsid w:val="00B32BA8"/>
    <w:rsid w:val="00B32E1C"/>
    <w:rsid w:val="00B33322"/>
    <w:rsid w:val="00B33979"/>
    <w:rsid w:val="00B340F9"/>
    <w:rsid w:val="00B341C7"/>
    <w:rsid w:val="00B343CC"/>
    <w:rsid w:val="00B347F4"/>
    <w:rsid w:val="00B349DE"/>
    <w:rsid w:val="00B34DBC"/>
    <w:rsid w:val="00B34DCC"/>
    <w:rsid w:val="00B355CA"/>
    <w:rsid w:val="00B35751"/>
    <w:rsid w:val="00B35A11"/>
    <w:rsid w:val="00B35D46"/>
    <w:rsid w:val="00B36A0B"/>
    <w:rsid w:val="00B374D0"/>
    <w:rsid w:val="00B37636"/>
    <w:rsid w:val="00B37972"/>
    <w:rsid w:val="00B37BED"/>
    <w:rsid w:val="00B37C53"/>
    <w:rsid w:val="00B40192"/>
    <w:rsid w:val="00B4037C"/>
    <w:rsid w:val="00B405D5"/>
    <w:rsid w:val="00B40928"/>
    <w:rsid w:val="00B40CA6"/>
    <w:rsid w:val="00B410EC"/>
    <w:rsid w:val="00B41640"/>
    <w:rsid w:val="00B41EC7"/>
    <w:rsid w:val="00B41F9C"/>
    <w:rsid w:val="00B4202C"/>
    <w:rsid w:val="00B4246D"/>
    <w:rsid w:val="00B426F6"/>
    <w:rsid w:val="00B429B3"/>
    <w:rsid w:val="00B42A72"/>
    <w:rsid w:val="00B43333"/>
    <w:rsid w:val="00B4347D"/>
    <w:rsid w:val="00B43766"/>
    <w:rsid w:val="00B43ABF"/>
    <w:rsid w:val="00B43BB6"/>
    <w:rsid w:val="00B43DF7"/>
    <w:rsid w:val="00B43E29"/>
    <w:rsid w:val="00B44155"/>
    <w:rsid w:val="00B44769"/>
    <w:rsid w:val="00B44B50"/>
    <w:rsid w:val="00B44D5D"/>
    <w:rsid w:val="00B44E34"/>
    <w:rsid w:val="00B451AD"/>
    <w:rsid w:val="00B453E2"/>
    <w:rsid w:val="00B457AB"/>
    <w:rsid w:val="00B4580F"/>
    <w:rsid w:val="00B4645B"/>
    <w:rsid w:val="00B46738"/>
    <w:rsid w:val="00B46CBB"/>
    <w:rsid w:val="00B46E73"/>
    <w:rsid w:val="00B46EC3"/>
    <w:rsid w:val="00B472B3"/>
    <w:rsid w:val="00B47304"/>
    <w:rsid w:val="00B47593"/>
    <w:rsid w:val="00B47C95"/>
    <w:rsid w:val="00B47D0B"/>
    <w:rsid w:val="00B47F6B"/>
    <w:rsid w:val="00B50238"/>
    <w:rsid w:val="00B509FC"/>
    <w:rsid w:val="00B50EBA"/>
    <w:rsid w:val="00B51168"/>
    <w:rsid w:val="00B514BC"/>
    <w:rsid w:val="00B5197E"/>
    <w:rsid w:val="00B51A59"/>
    <w:rsid w:val="00B51DBA"/>
    <w:rsid w:val="00B51E2E"/>
    <w:rsid w:val="00B51FA3"/>
    <w:rsid w:val="00B528B1"/>
    <w:rsid w:val="00B528B2"/>
    <w:rsid w:val="00B52D99"/>
    <w:rsid w:val="00B536CE"/>
    <w:rsid w:val="00B545D4"/>
    <w:rsid w:val="00B546F3"/>
    <w:rsid w:val="00B54C29"/>
    <w:rsid w:val="00B55B28"/>
    <w:rsid w:val="00B55E8B"/>
    <w:rsid w:val="00B55FDC"/>
    <w:rsid w:val="00B56052"/>
    <w:rsid w:val="00B56177"/>
    <w:rsid w:val="00B56965"/>
    <w:rsid w:val="00B56D72"/>
    <w:rsid w:val="00B56D7E"/>
    <w:rsid w:val="00B57587"/>
    <w:rsid w:val="00B577B2"/>
    <w:rsid w:val="00B57842"/>
    <w:rsid w:val="00B578BD"/>
    <w:rsid w:val="00B5799B"/>
    <w:rsid w:val="00B57A3A"/>
    <w:rsid w:val="00B60436"/>
    <w:rsid w:val="00B60884"/>
    <w:rsid w:val="00B6095B"/>
    <w:rsid w:val="00B60AD9"/>
    <w:rsid w:val="00B6106E"/>
    <w:rsid w:val="00B61287"/>
    <w:rsid w:val="00B612E1"/>
    <w:rsid w:val="00B61746"/>
    <w:rsid w:val="00B61A25"/>
    <w:rsid w:val="00B61BEE"/>
    <w:rsid w:val="00B61CAA"/>
    <w:rsid w:val="00B61D39"/>
    <w:rsid w:val="00B62059"/>
    <w:rsid w:val="00B6226C"/>
    <w:rsid w:val="00B622EE"/>
    <w:rsid w:val="00B62300"/>
    <w:rsid w:val="00B62818"/>
    <w:rsid w:val="00B62A3A"/>
    <w:rsid w:val="00B62CBA"/>
    <w:rsid w:val="00B62CCE"/>
    <w:rsid w:val="00B63138"/>
    <w:rsid w:val="00B63B4F"/>
    <w:rsid w:val="00B6404C"/>
    <w:rsid w:val="00B642C3"/>
    <w:rsid w:val="00B6459B"/>
    <w:rsid w:val="00B64A32"/>
    <w:rsid w:val="00B64C91"/>
    <w:rsid w:val="00B64F2E"/>
    <w:rsid w:val="00B65482"/>
    <w:rsid w:val="00B65531"/>
    <w:rsid w:val="00B65617"/>
    <w:rsid w:val="00B65C07"/>
    <w:rsid w:val="00B65F7F"/>
    <w:rsid w:val="00B6621B"/>
    <w:rsid w:val="00B662EF"/>
    <w:rsid w:val="00B663F6"/>
    <w:rsid w:val="00B66557"/>
    <w:rsid w:val="00B66B9D"/>
    <w:rsid w:val="00B66DFD"/>
    <w:rsid w:val="00B67260"/>
    <w:rsid w:val="00B6731A"/>
    <w:rsid w:val="00B67366"/>
    <w:rsid w:val="00B675C0"/>
    <w:rsid w:val="00B67A2C"/>
    <w:rsid w:val="00B67F30"/>
    <w:rsid w:val="00B70184"/>
    <w:rsid w:val="00B706D5"/>
    <w:rsid w:val="00B707B4"/>
    <w:rsid w:val="00B70E70"/>
    <w:rsid w:val="00B71040"/>
    <w:rsid w:val="00B713DB"/>
    <w:rsid w:val="00B7152A"/>
    <w:rsid w:val="00B7180A"/>
    <w:rsid w:val="00B7186C"/>
    <w:rsid w:val="00B71A3F"/>
    <w:rsid w:val="00B71AE2"/>
    <w:rsid w:val="00B71B25"/>
    <w:rsid w:val="00B71B33"/>
    <w:rsid w:val="00B71BDA"/>
    <w:rsid w:val="00B71E06"/>
    <w:rsid w:val="00B72126"/>
    <w:rsid w:val="00B72224"/>
    <w:rsid w:val="00B72B4A"/>
    <w:rsid w:val="00B72D05"/>
    <w:rsid w:val="00B72EC4"/>
    <w:rsid w:val="00B72F03"/>
    <w:rsid w:val="00B72FDB"/>
    <w:rsid w:val="00B738ED"/>
    <w:rsid w:val="00B73AAD"/>
    <w:rsid w:val="00B73BD7"/>
    <w:rsid w:val="00B740DA"/>
    <w:rsid w:val="00B741EB"/>
    <w:rsid w:val="00B743C3"/>
    <w:rsid w:val="00B74413"/>
    <w:rsid w:val="00B748D2"/>
    <w:rsid w:val="00B74DAC"/>
    <w:rsid w:val="00B74DCB"/>
    <w:rsid w:val="00B74E33"/>
    <w:rsid w:val="00B74F8C"/>
    <w:rsid w:val="00B750C6"/>
    <w:rsid w:val="00B75101"/>
    <w:rsid w:val="00B75511"/>
    <w:rsid w:val="00B757DA"/>
    <w:rsid w:val="00B765FF"/>
    <w:rsid w:val="00B766D3"/>
    <w:rsid w:val="00B76A7A"/>
    <w:rsid w:val="00B77379"/>
    <w:rsid w:val="00B7737B"/>
    <w:rsid w:val="00B775A9"/>
    <w:rsid w:val="00B7771C"/>
    <w:rsid w:val="00B777ED"/>
    <w:rsid w:val="00B77EE4"/>
    <w:rsid w:val="00B8059E"/>
    <w:rsid w:val="00B80B3C"/>
    <w:rsid w:val="00B80D68"/>
    <w:rsid w:val="00B80F9F"/>
    <w:rsid w:val="00B814AA"/>
    <w:rsid w:val="00B815E1"/>
    <w:rsid w:val="00B81CD2"/>
    <w:rsid w:val="00B82551"/>
    <w:rsid w:val="00B828A3"/>
    <w:rsid w:val="00B828F0"/>
    <w:rsid w:val="00B82A3A"/>
    <w:rsid w:val="00B83151"/>
    <w:rsid w:val="00B83856"/>
    <w:rsid w:val="00B839B4"/>
    <w:rsid w:val="00B83B45"/>
    <w:rsid w:val="00B84059"/>
    <w:rsid w:val="00B8433F"/>
    <w:rsid w:val="00B84601"/>
    <w:rsid w:val="00B84640"/>
    <w:rsid w:val="00B849B6"/>
    <w:rsid w:val="00B849D2"/>
    <w:rsid w:val="00B84C6C"/>
    <w:rsid w:val="00B84D06"/>
    <w:rsid w:val="00B84D48"/>
    <w:rsid w:val="00B850F4"/>
    <w:rsid w:val="00B85A4B"/>
    <w:rsid w:val="00B85B60"/>
    <w:rsid w:val="00B85B97"/>
    <w:rsid w:val="00B85CD0"/>
    <w:rsid w:val="00B8618D"/>
    <w:rsid w:val="00B86360"/>
    <w:rsid w:val="00B86753"/>
    <w:rsid w:val="00B86914"/>
    <w:rsid w:val="00B869D8"/>
    <w:rsid w:val="00B86A19"/>
    <w:rsid w:val="00B86A69"/>
    <w:rsid w:val="00B86A7A"/>
    <w:rsid w:val="00B86E29"/>
    <w:rsid w:val="00B86EC4"/>
    <w:rsid w:val="00B878DD"/>
    <w:rsid w:val="00B87C0C"/>
    <w:rsid w:val="00B87D80"/>
    <w:rsid w:val="00B900F0"/>
    <w:rsid w:val="00B90154"/>
    <w:rsid w:val="00B909F6"/>
    <w:rsid w:val="00B90BA7"/>
    <w:rsid w:val="00B90C3D"/>
    <w:rsid w:val="00B9101C"/>
    <w:rsid w:val="00B9136D"/>
    <w:rsid w:val="00B91F0F"/>
    <w:rsid w:val="00B91FCD"/>
    <w:rsid w:val="00B925FA"/>
    <w:rsid w:val="00B92F39"/>
    <w:rsid w:val="00B93146"/>
    <w:rsid w:val="00B9314A"/>
    <w:rsid w:val="00B93615"/>
    <w:rsid w:val="00B93B7A"/>
    <w:rsid w:val="00B941A7"/>
    <w:rsid w:val="00B94237"/>
    <w:rsid w:val="00B943B6"/>
    <w:rsid w:val="00B94506"/>
    <w:rsid w:val="00B948AA"/>
    <w:rsid w:val="00B94A5B"/>
    <w:rsid w:val="00B94A6A"/>
    <w:rsid w:val="00B9530E"/>
    <w:rsid w:val="00B955A6"/>
    <w:rsid w:val="00B9595B"/>
    <w:rsid w:val="00B959BD"/>
    <w:rsid w:val="00B95BD0"/>
    <w:rsid w:val="00B95DD5"/>
    <w:rsid w:val="00B9619F"/>
    <w:rsid w:val="00B96334"/>
    <w:rsid w:val="00B963A8"/>
    <w:rsid w:val="00B966B2"/>
    <w:rsid w:val="00B9699A"/>
    <w:rsid w:val="00B96C89"/>
    <w:rsid w:val="00B96DD5"/>
    <w:rsid w:val="00B97243"/>
    <w:rsid w:val="00B972ED"/>
    <w:rsid w:val="00B97D90"/>
    <w:rsid w:val="00BA0845"/>
    <w:rsid w:val="00BA08E2"/>
    <w:rsid w:val="00BA0C67"/>
    <w:rsid w:val="00BA157A"/>
    <w:rsid w:val="00BA18DF"/>
    <w:rsid w:val="00BA197D"/>
    <w:rsid w:val="00BA19B4"/>
    <w:rsid w:val="00BA1D09"/>
    <w:rsid w:val="00BA2087"/>
    <w:rsid w:val="00BA21AC"/>
    <w:rsid w:val="00BA21CF"/>
    <w:rsid w:val="00BA2930"/>
    <w:rsid w:val="00BA2A14"/>
    <w:rsid w:val="00BA3145"/>
    <w:rsid w:val="00BA3673"/>
    <w:rsid w:val="00BA38D3"/>
    <w:rsid w:val="00BA3FA7"/>
    <w:rsid w:val="00BA4251"/>
    <w:rsid w:val="00BA42D3"/>
    <w:rsid w:val="00BA459C"/>
    <w:rsid w:val="00BA45D0"/>
    <w:rsid w:val="00BA4AD6"/>
    <w:rsid w:val="00BA4E1D"/>
    <w:rsid w:val="00BA4F8C"/>
    <w:rsid w:val="00BA500F"/>
    <w:rsid w:val="00BA50DA"/>
    <w:rsid w:val="00BA5CC8"/>
    <w:rsid w:val="00BA6004"/>
    <w:rsid w:val="00BA645B"/>
    <w:rsid w:val="00BA6BD3"/>
    <w:rsid w:val="00BA6CB9"/>
    <w:rsid w:val="00BA7484"/>
    <w:rsid w:val="00BA77DB"/>
    <w:rsid w:val="00BA7B76"/>
    <w:rsid w:val="00BA7C35"/>
    <w:rsid w:val="00BB05C5"/>
    <w:rsid w:val="00BB0955"/>
    <w:rsid w:val="00BB0FC4"/>
    <w:rsid w:val="00BB1091"/>
    <w:rsid w:val="00BB10DC"/>
    <w:rsid w:val="00BB22DB"/>
    <w:rsid w:val="00BB2447"/>
    <w:rsid w:val="00BB2532"/>
    <w:rsid w:val="00BB26E3"/>
    <w:rsid w:val="00BB282A"/>
    <w:rsid w:val="00BB2ADE"/>
    <w:rsid w:val="00BB2BA8"/>
    <w:rsid w:val="00BB2D85"/>
    <w:rsid w:val="00BB3171"/>
    <w:rsid w:val="00BB32F5"/>
    <w:rsid w:val="00BB34AF"/>
    <w:rsid w:val="00BB368D"/>
    <w:rsid w:val="00BB3995"/>
    <w:rsid w:val="00BB3BCC"/>
    <w:rsid w:val="00BB47EF"/>
    <w:rsid w:val="00BB487B"/>
    <w:rsid w:val="00BB4945"/>
    <w:rsid w:val="00BB4E50"/>
    <w:rsid w:val="00BB500A"/>
    <w:rsid w:val="00BB6EA5"/>
    <w:rsid w:val="00BB759F"/>
    <w:rsid w:val="00BB78C5"/>
    <w:rsid w:val="00BB7D07"/>
    <w:rsid w:val="00BB7F03"/>
    <w:rsid w:val="00BC0651"/>
    <w:rsid w:val="00BC07E0"/>
    <w:rsid w:val="00BC0876"/>
    <w:rsid w:val="00BC0D4F"/>
    <w:rsid w:val="00BC1070"/>
    <w:rsid w:val="00BC124C"/>
    <w:rsid w:val="00BC18E3"/>
    <w:rsid w:val="00BC1C3A"/>
    <w:rsid w:val="00BC22D0"/>
    <w:rsid w:val="00BC2660"/>
    <w:rsid w:val="00BC29B0"/>
    <w:rsid w:val="00BC2EE6"/>
    <w:rsid w:val="00BC2F40"/>
    <w:rsid w:val="00BC3106"/>
    <w:rsid w:val="00BC326C"/>
    <w:rsid w:val="00BC3308"/>
    <w:rsid w:val="00BC3793"/>
    <w:rsid w:val="00BC385C"/>
    <w:rsid w:val="00BC38F3"/>
    <w:rsid w:val="00BC4A43"/>
    <w:rsid w:val="00BC5173"/>
    <w:rsid w:val="00BC5372"/>
    <w:rsid w:val="00BC58C5"/>
    <w:rsid w:val="00BC5E4D"/>
    <w:rsid w:val="00BC632A"/>
    <w:rsid w:val="00BC650C"/>
    <w:rsid w:val="00BC7003"/>
    <w:rsid w:val="00BC712D"/>
    <w:rsid w:val="00BC7342"/>
    <w:rsid w:val="00BC776D"/>
    <w:rsid w:val="00BC7F07"/>
    <w:rsid w:val="00BD0313"/>
    <w:rsid w:val="00BD0F24"/>
    <w:rsid w:val="00BD135A"/>
    <w:rsid w:val="00BD1BCA"/>
    <w:rsid w:val="00BD20C2"/>
    <w:rsid w:val="00BD235C"/>
    <w:rsid w:val="00BD2442"/>
    <w:rsid w:val="00BD28D7"/>
    <w:rsid w:val="00BD2A97"/>
    <w:rsid w:val="00BD34CD"/>
    <w:rsid w:val="00BD3A4F"/>
    <w:rsid w:val="00BD3AB6"/>
    <w:rsid w:val="00BD3D7C"/>
    <w:rsid w:val="00BD3E16"/>
    <w:rsid w:val="00BD3F5A"/>
    <w:rsid w:val="00BD4534"/>
    <w:rsid w:val="00BD45CE"/>
    <w:rsid w:val="00BD4927"/>
    <w:rsid w:val="00BD4F19"/>
    <w:rsid w:val="00BD5332"/>
    <w:rsid w:val="00BD5A03"/>
    <w:rsid w:val="00BD5A2D"/>
    <w:rsid w:val="00BD5C79"/>
    <w:rsid w:val="00BD64E5"/>
    <w:rsid w:val="00BD668E"/>
    <w:rsid w:val="00BD675D"/>
    <w:rsid w:val="00BD6DD7"/>
    <w:rsid w:val="00BD6F80"/>
    <w:rsid w:val="00BD702D"/>
    <w:rsid w:val="00BD738C"/>
    <w:rsid w:val="00BD77E5"/>
    <w:rsid w:val="00BD7A71"/>
    <w:rsid w:val="00BD7ED7"/>
    <w:rsid w:val="00BD7F38"/>
    <w:rsid w:val="00BE0D19"/>
    <w:rsid w:val="00BE0D8E"/>
    <w:rsid w:val="00BE0EEF"/>
    <w:rsid w:val="00BE175B"/>
    <w:rsid w:val="00BE1B40"/>
    <w:rsid w:val="00BE205A"/>
    <w:rsid w:val="00BE26BA"/>
    <w:rsid w:val="00BE2B65"/>
    <w:rsid w:val="00BE321C"/>
    <w:rsid w:val="00BE333F"/>
    <w:rsid w:val="00BE3794"/>
    <w:rsid w:val="00BE3B15"/>
    <w:rsid w:val="00BE417F"/>
    <w:rsid w:val="00BE4780"/>
    <w:rsid w:val="00BE4999"/>
    <w:rsid w:val="00BE5233"/>
    <w:rsid w:val="00BE5B8C"/>
    <w:rsid w:val="00BE5B98"/>
    <w:rsid w:val="00BE5E06"/>
    <w:rsid w:val="00BE5EDE"/>
    <w:rsid w:val="00BE5F2E"/>
    <w:rsid w:val="00BE6161"/>
    <w:rsid w:val="00BE61CD"/>
    <w:rsid w:val="00BE6597"/>
    <w:rsid w:val="00BE76C5"/>
    <w:rsid w:val="00BE77DE"/>
    <w:rsid w:val="00BE782E"/>
    <w:rsid w:val="00BE7A92"/>
    <w:rsid w:val="00BE7AD3"/>
    <w:rsid w:val="00BF05A6"/>
    <w:rsid w:val="00BF0631"/>
    <w:rsid w:val="00BF07DF"/>
    <w:rsid w:val="00BF0C62"/>
    <w:rsid w:val="00BF0E50"/>
    <w:rsid w:val="00BF0F30"/>
    <w:rsid w:val="00BF169C"/>
    <w:rsid w:val="00BF1757"/>
    <w:rsid w:val="00BF18E5"/>
    <w:rsid w:val="00BF1A84"/>
    <w:rsid w:val="00BF2151"/>
    <w:rsid w:val="00BF220F"/>
    <w:rsid w:val="00BF223B"/>
    <w:rsid w:val="00BF2371"/>
    <w:rsid w:val="00BF2BF9"/>
    <w:rsid w:val="00BF38D6"/>
    <w:rsid w:val="00BF3995"/>
    <w:rsid w:val="00BF3E30"/>
    <w:rsid w:val="00BF3E9A"/>
    <w:rsid w:val="00BF4C57"/>
    <w:rsid w:val="00BF4FC6"/>
    <w:rsid w:val="00BF5255"/>
    <w:rsid w:val="00BF5424"/>
    <w:rsid w:val="00BF55F5"/>
    <w:rsid w:val="00BF5658"/>
    <w:rsid w:val="00BF5BCA"/>
    <w:rsid w:val="00BF5C66"/>
    <w:rsid w:val="00BF5E2E"/>
    <w:rsid w:val="00BF60D6"/>
    <w:rsid w:val="00BF6AB7"/>
    <w:rsid w:val="00BF6E65"/>
    <w:rsid w:val="00BF740B"/>
    <w:rsid w:val="00BF742D"/>
    <w:rsid w:val="00BF78C0"/>
    <w:rsid w:val="00C003F1"/>
    <w:rsid w:val="00C00504"/>
    <w:rsid w:val="00C005AF"/>
    <w:rsid w:val="00C00908"/>
    <w:rsid w:val="00C00C41"/>
    <w:rsid w:val="00C00C5B"/>
    <w:rsid w:val="00C01002"/>
    <w:rsid w:val="00C01041"/>
    <w:rsid w:val="00C0128F"/>
    <w:rsid w:val="00C01AFF"/>
    <w:rsid w:val="00C020EB"/>
    <w:rsid w:val="00C0219D"/>
    <w:rsid w:val="00C0246B"/>
    <w:rsid w:val="00C028B7"/>
    <w:rsid w:val="00C02A6F"/>
    <w:rsid w:val="00C032E3"/>
    <w:rsid w:val="00C0367C"/>
    <w:rsid w:val="00C03A8D"/>
    <w:rsid w:val="00C03BD5"/>
    <w:rsid w:val="00C03D7C"/>
    <w:rsid w:val="00C03D7E"/>
    <w:rsid w:val="00C03DC7"/>
    <w:rsid w:val="00C04474"/>
    <w:rsid w:val="00C04F71"/>
    <w:rsid w:val="00C05029"/>
    <w:rsid w:val="00C050E5"/>
    <w:rsid w:val="00C0526C"/>
    <w:rsid w:val="00C056CE"/>
    <w:rsid w:val="00C05B40"/>
    <w:rsid w:val="00C06547"/>
    <w:rsid w:val="00C06A98"/>
    <w:rsid w:val="00C06BCC"/>
    <w:rsid w:val="00C070C7"/>
    <w:rsid w:val="00C07A25"/>
    <w:rsid w:val="00C07B4D"/>
    <w:rsid w:val="00C1014F"/>
    <w:rsid w:val="00C101DE"/>
    <w:rsid w:val="00C10983"/>
    <w:rsid w:val="00C11497"/>
    <w:rsid w:val="00C116FB"/>
    <w:rsid w:val="00C11A92"/>
    <w:rsid w:val="00C11F83"/>
    <w:rsid w:val="00C12074"/>
    <w:rsid w:val="00C1225C"/>
    <w:rsid w:val="00C12356"/>
    <w:rsid w:val="00C12603"/>
    <w:rsid w:val="00C12C00"/>
    <w:rsid w:val="00C12D1E"/>
    <w:rsid w:val="00C12D70"/>
    <w:rsid w:val="00C12E96"/>
    <w:rsid w:val="00C13013"/>
    <w:rsid w:val="00C13718"/>
    <w:rsid w:val="00C13D84"/>
    <w:rsid w:val="00C13D8C"/>
    <w:rsid w:val="00C140F3"/>
    <w:rsid w:val="00C143F2"/>
    <w:rsid w:val="00C146CA"/>
    <w:rsid w:val="00C14937"/>
    <w:rsid w:val="00C15C80"/>
    <w:rsid w:val="00C15E75"/>
    <w:rsid w:val="00C167E8"/>
    <w:rsid w:val="00C16807"/>
    <w:rsid w:val="00C169BD"/>
    <w:rsid w:val="00C17317"/>
    <w:rsid w:val="00C17580"/>
    <w:rsid w:val="00C200A7"/>
    <w:rsid w:val="00C20566"/>
    <w:rsid w:val="00C20577"/>
    <w:rsid w:val="00C20A95"/>
    <w:rsid w:val="00C20B26"/>
    <w:rsid w:val="00C20B51"/>
    <w:rsid w:val="00C20EC8"/>
    <w:rsid w:val="00C212FA"/>
    <w:rsid w:val="00C21412"/>
    <w:rsid w:val="00C2167C"/>
    <w:rsid w:val="00C222CA"/>
    <w:rsid w:val="00C22702"/>
    <w:rsid w:val="00C22BBC"/>
    <w:rsid w:val="00C22FF4"/>
    <w:rsid w:val="00C2346F"/>
    <w:rsid w:val="00C23932"/>
    <w:rsid w:val="00C23B67"/>
    <w:rsid w:val="00C23BE6"/>
    <w:rsid w:val="00C24035"/>
    <w:rsid w:val="00C24956"/>
    <w:rsid w:val="00C25036"/>
    <w:rsid w:val="00C254CC"/>
    <w:rsid w:val="00C25606"/>
    <w:rsid w:val="00C25D7A"/>
    <w:rsid w:val="00C25F86"/>
    <w:rsid w:val="00C25FAE"/>
    <w:rsid w:val="00C26F2A"/>
    <w:rsid w:val="00C270F0"/>
    <w:rsid w:val="00C2747B"/>
    <w:rsid w:val="00C276BD"/>
    <w:rsid w:val="00C276FF"/>
    <w:rsid w:val="00C27E63"/>
    <w:rsid w:val="00C27E7B"/>
    <w:rsid w:val="00C27F68"/>
    <w:rsid w:val="00C301E0"/>
    <w:rsid w:val="00C3043A"/>
    <w:rsid w:val="00C3043E"/>
    <w:rsid w:val="00C30486"/>
    <w:rsid w:val="00C30771"/>
    <w:rsid w:val="00C30A12"/>
    <w:rsid w:val="00C310A3"/>
    <w:rsid w:val="00C31376"/>
    <w:rsid w:val="00C31572"/>
    <w:rsid w:val="00C315AE"/>
    <w:rsid w:val="00C31848"/>
    <w:rsid w:val="00C319B2"/>
    <w:rsid w:val="00C31B74"/>
    <w:rsid w:val="00C31DBA"/>
    <w:rsid w:val="00C321CC"/>
    <w:rsid w:val="00C322C1"/>
    <w:rsid w:val="00C32364"/>
    <w:rsid w:val="00C32613"/>
    <w:rsid w:val="00C32833"/>
    <w:rsid w:val="00C3291E"/>
    <w:rsid w:val="00C32F65"/>
    <w:rsid w:val="00C33249"/>
    <w:rsid w:val="00C333AD"/>
    <w:rsid w:val="00C337E3"/>
    <w:rsid w:val="00C33E34"/>
    <w:rsid w:val="00C3498D"/>
    <w:rsid w:val="00C349CB"/>
    <w:rsid w:val="00C34A1D"/>
    <w:rsid w:val="00C34BD0"/>
    <w:rsid w:val="00C350BA"/>
    <w:rsid w:val="00C35575"/>
    <w:rsid w:val="00C35E1F"/>
    <w:rsid w:val="00C3634D"/>
    <w:rsid w:val="00C366BE"/>
    <w:rsid w:val="00C36947"/>
    <w:rsid w:val="00C3698C"/>
    <w:rsid w:val="00C369A6"/>
    <w:rsid w:val="00C36A9B"/>
    <w:rsid w:val="00C36AD5"/>
    <w:rsid w:val="00C36CB7"/>
    <w:rsid w:val="00C36E78"/>
    <w:rsid w:val="00C36EA0"/>
    <w:rsid w:val="00C36F66"/>
    <w:rsid w:val="00C36F7E"/>
    <w:rsid w:val="00C37153"/>
    <w:rsid w:val="00C3736E"/>
    <w:rsid w:val="00C37458"/>
    <w:rsid w:val="00C3772B"/>
    <w:rsid w:val="00C37764"/>
    <w:rsid w:val="00C378ED"/>
    <w:rsid w:val="00C37C3E"/>
    <w:rsid w:val="00C37DB3"/>
    <w:rsid w:val="00C40224"/>
    <w:rsid w:val="00C40B91"/>
    <w:rsid w:val="00C40C83"/>
    <w:rsid w:val="00C41A90"/>
    <w:rsid w:val="00C41B9B"/>
    <w:rsid w:val="00C41F76"/>
    <w:rsid w:val="00C420C1"/>
    <w:rsid w:val="00C4255F"/>
    <w:rsid w:val="00C425F7"/>
    <w:rsid w:val="00C42656"/>
    <w:rsid w:val="00C42EAE"/>
    <w:rsid w:val="00C430A8"/>
    <w:rsid w:val="00C433FA"/>
    <w:rsid w:val="00C43522"/>
    <w:rsid w:val="00C43692"/>
    <w:rsid w:val="00C43745"/>
    <w:rsid w:val="00C43E09"/>
    <w:rsid w:val="00C44112"/>
    <w:rsid w:val="00C449C9"/>
    <w:rsid w:val="00C44DA5"/>
    <w:rsid w:val="00C44EB9"/>
    <w:rsid w:val="00C45317"/>
    <w:rsid w:val="00C454B6"/>
    <w:rsid w:val="00C455BB"/>
    <w:rsid w:val="00C455EF"/>
    <w:rsid w:val="00C4592A"/>
    <w:rsid w:val="00C45A51"/>
    <w:rsid w:val="00C45C18"/>
    <w:rsid w:val="00C461A5"/>
    <w:rsid w:val="00C4651D"/>
    <w:rsid w:val="00C465B1"/>
    <w:rsid w:val="00C46812"/>
    <w:rsid w:val="00C46BF2"/>
    <w:rsid w:val="00C46C41"/>
    <w:rsid w:val="00C46E07"/>
    <w:rsid w:val="00C46E9D"/>
    <w:rsid w:val="00C47332"/>
    <w:rsid w:val="00C4744A"/>
    <w:rsid w:val="00C476EC"/>
    <w:rsid w:val="00C47FBA"/>
    <w:rsid w:val="00C47FE3"/>
    <w:rsid w:val="00C50344"/>
    <w:rsid w:val="00C50952"/>
    <w:rsid w:val="00C50A3A"/>
    <w:rsid w:val="00C50C6E"/>
    <w:rsid w:val="00C50E1B"/>
    <w:rsid w:val="00C50F0C"/>
    <w:rsid w:val="00C51724"/>
    <w:rsid w:val="00C51D55"/>
    <w:rsid w:val="00C51F0E"/>
    <w:rsid w:val="00C51F91"/>
    <w:rsid w:val="00C52217"/>
    <w:rsid w:val="00C52363"/>
    <w:rsid w:val="00C52641"/>
    <w:rsid w:val="00C52689"/>
    <w:rsid w:val="00C52C6C"/>
    <w:rsid w:val="00C53079"/>
    <w:rsid w:val="00C5307A"/>
    <w:rsid w:val="00C5329F"/>
    <w:rsid w:val="00C5351E"/>
    <w:rsid w:val="00C53880"/>
    <w:rsid w:val="00C53D83"/>
    <w:rsid w:val="00C53E09"/>
    <w:rsid w:val="00C53FCD"/>
    <w:rsid w:val="00C55B11"/>
    <w:rsid w:val="00C5619E"/>
    <w:rsid w:val="00C5628C"/>
    <w:rsid w:val="00C56B13"/>
    <w:rsid w:val="00C56FFF"/>
    <w:rsid w:val="00C57934"/>
    <w:rsid w:val="00C57C40"/>
    <w:rsid w:val="00C57CDE"/>
    <w:rsid w:val="00C57EF6"/>
    <w:rsid w:val="00C57FD4"/>
    <w:rsid w:val="00C60A38"/>
    <w:rsid w:val="00C60FBD"/>
    <w:rsid w:val="00C61291"/>
    <w:rsid w:val="00C61471"/>
    <w:rsid w:val="00C618B2"/>
    <w:rsid w:val="00C61D3F"/>
    <w:rsid w:val="00C622C5"/>
    <w:rsid w:val="00C62A93"/>
    <w:rsid w:val="00C62BDB"/>
    <w:rsid w:val="00C62F46"/>
    <w:rsid w:val="00C63030"/>
    <w:rsid w:val="00C6364A"/>
    <w:rsid w:val="00C63752"/>
    <w:rsid w:val="00C6378E"/>
    <w:rsid w:val="00C63830"/>
    <w:rsid w:val="00C63AFE"/>
    <w:rsid w:val="00C63DDF"/>
    <w:rsid w:val="00C64718"/>
    <w:rsid w:val="00C65345"/>
    <w:rsid w:val="00C65673"/>
    <w:rsid w:val="00C6569E"/>
    <w:rsid w:val="00C65FE9"/>
    <w:rsid w:val="00C66093"/>
    <w:rsid w:val="00C662AB"/>
    <w:rsid w:val="00C66616"/>
    <w:rsid w:val="00C66ADF"/>
    <w:rsid w:val="00C67283"/>
    <w:rsid w:val="00C67356"/>
    <w:rsid w:val="00C67DDA"/>
    <w:rsid w:val="00C701F8"/>
    <w:rsid w:val="00C702DF"/>
    <w:rsid w:val="00C7031C"/>
    <w:rsid w:val="00C70510"/>
    <w:rsid w:val="00C705CD"/>
    <w:rsid w:val="00C70939"/>
    <w:rsid w:val="00C709E8"/>
    <w:rsid w:val="00C70D87"/>
    <w:rsid w:val="00C70FF6"/>
    <w:rsid w:val="00C71972"/>
    <w:rsid w:val="00C71DF0"/>
    <w:rsid w:val="00C71F0D"/>
    <w:rsid w:val="00C72B62"/>
    <w:rsid w:val="00C72BAF"/>
    <w:rsid w:val="00C72D61"/>
    <w:rsid w:val="00C730CA"/>
    <w:rsid w:val="00C731E1"/>
    <w:rsid w:val="00C7324F"/>
    <w:rsid w:val="00C73314"/>
    <w:rsid w:val="00C73546"/>
    <w:rsid w:val="00C736EC"/>
    <w:rsid w:val="00C736ED"/>
    <w:rsid w:val="00C73D9B"/>
    <w:rsid w:val="00C747BC"/>
    <w:rsid w:val="00C748F0"/>
    <w:rsid w:val="00C74B7D"/>
    <w:rsid w:val="00C74E08"/>
    <w:rsid w:val="00C74E4B"/>
    <w:rsid w:val="00C74E4C"/>
    <w:rsid w:val="00C74F81"/>
    <w:rsid w:val="00C7526B"/>
    <w:rsid w:val="00C75429"/>
    <w:rsid w:val="00C754FC"/>
    <w:rsid w:val="00C757E1"/>
    <w:rsid w:val="00C75A0E"/>
    <w:rsid w:val="00C75DBD"/>
    <w:rsid w:val="00C76295"/>
    <w:rsid w:val="00C7637B"/>
    <w:rsid w:val="00C7690B"/>
    <w:rsid w:val="00C76D36"/>
    <w:rsid w:val="00C77302"/>
    <w:rsid w:val="00C77CC0"/>
    <w:rsid w:val="00C77D43"/>
    <w:rsid w:val="00C77D93"/>
    <w:rsid w:val="00C80079"/>
    <w:rsid w:val="00C80133"/>
    <w:rsid w:val="00C80264"/>
    <w:rsid w:val="00C80288"/>
    <w:rsid w:val="00C80727"/>
    <w:rsid w:val="00C80970"/>
    <w:rsid w:val="00C80BB1"/>
    <w:rsid w:val="00C80F2E"/>
    <w:rsid w:val="00C81016"/>
    <w:rsid w:val="00C8111F"/>
    <w:rsid w:val="00C811DC"/>
    <w:rsid w:val="00C81371"/>
    <w:rsid w:val="00C814AF"/>
    <w:rsid w:val="00C81CDB"/>
    <w:rsid w:val="00C820B0"/>
    <w:rsid w:val="00C82806"/>
    <w:rsid w:val="00C82AA1"/>
    <w:rsid w:val="00C82AB3"/>
    <w:rsid w:val="00C82D4D"/>
    <w:rsid w:val="00C83191"/>
    <w:rsid w:val="00C832B9"/>
    <w:rsid w:val="00C834FE"/>
    <w:rsid w:val="00C8352C"/>
    <w:rsid w:val="00C83860"/>
    <w:rsid w:val="00C83970"/>
    <w:rsid w:val="00C83B63"/>
    <w:rsid w:val="00C83D19"/>
    <w:rsid w:val="00C84130"/>
    <w:rsid w:val="00C8443E"/>
    <w:rsid w:val="00C84680"/>
    <w:rsid w:val="00C84DB1"/>
    <w:rsid w:val="00C852B3"/>
    <w:rsid w:val="00C85A71"/>
    <w:rsid w:val="00C86272"/>
    <w:rsid w:val="00C8639D"/>
    <w:rsid w:val="00C86472"/>
    <w:rsid w:val="00C86501"/>
    <w:rsid w:val="00C86CBC"/>
    <w:rsid w:val="00C86DD2"/>
    <w:rsid w:val="00C86F01"/>
    <w:rsid w:val="00C87018"/>
    <w:rsid w:val="00C87061"/>
    <w:rsid w:val="00C873C6"/>
    <w:rsid w:val="00C87414"/>
    <w:rsid w:val="00C878D4"/>
    <w:rsid w:val="00C878F4"/>
    <w:rsid w:val="00C87C6E"/>
    <w:rsid w:val="00C87CCD"/>
    <w:rsid w:val="00C90303"/>
    <w:rsid w:val="00C906F4"/>
    <w:rsid w:val="00C90782"/>
    <w:rsid w:val="00C90C6B"/>
    <w:rsid w:val="00C90D28"/>
    <w:rsid w:val="00C90D2F"/>
    <w:rsid w:val="00C9116F"/>
    <w:rsid w:val="00C911F9"/>
    <w:rsid w:val="00C9128C"/>
    <w:rsid w:val="00C912AB"/>
    <w:rsid w:val="00C915E7"/>
    <w:rsid w:val="00C916DB"/>
    <w:rsid w:val="00C91EED"/>
    <w:rsid w:val="00C92B46"/>
    <w:rsid w:val="00C92FC7"/>
    <w:rsid w:val="00C93033"/>
    <w:rsid w:val="00C933A3"/>
    <w:rsid w:val="00C9367C"/>
    <w:rsid w:val="00C936CB"/>
    <w:rsid w:val="00C937B7"/>
    <w:rsid w:val="00C9384D"/>
    <w:rsid w:val="00C93D38"/>
    <w:rsid w:val="00C93F19"/>
    <w:rsid w:val="00C947C1"/>
    <w:rsid w:val="00C94945"/>
    <w:rsid w:val="00C94991"/>
    <w:rsid w:val="00C94ADF"/>
    <w:rsid w:val="00C94EC3"/>
    <w:rsid w:val="00C94EE1"/>
    <w:rsid w:val="00C94FEE"/>
    <w:rsid w:val="00C95651"/>
    <w:rsid w:val="00C95842"/>
    <w:rsid w:val="00C960CB"/>
    <w:rsid w:val="00C974E5"/>
    <w:rsid w:val="00C9774C"/>
    <w:rsid w:val="00C97783"/>
    <w:rsid w:val="00C97803"/>
    <w:rsid w:val="00C97F8A"/>
    <w:rsid w:val="00CA015E"/>
    <w:rsid w:val="00CA042B"/>
    <w:rsid w:val="00CA0679"/>
    <w:rsid w:val="00CA06AF"/>
    <w:rsid w:val="00CA09AE"/>
    <w:rsid w:val="00CA0D93"/>
    <w:rsid w:val="00CA0EDE"/>
    <w:rsid w:val="00CA12A9"/>
    <w:rsid w:val="00CA172A"/>
    <w:rsid w:val="00CA18A8"/>
    <w:rsid w:val="00CA1E33"/>
    <w:rsid w:val="00CA21E0"/>
    <w:rsid w:val="00CA2333"/>
    <w:rsid w:val="00CA25A8"/>
    <w:rsid w:val="00CA33C1"/>
    <w:rsid w:val="00CA3583"/>
    <w:rsid w:val="00CA35D0"/>
    <w:rsid w:val="00CA3872"/>
    <w:rsid w:val="00CA387E"/>
    <w:rsid w:val="00CA39A4"/>
    <w:rsid w:val="00CA41D1"/>
    <w:rsid w:val="00CA41EC"/>
    <w:rsid w:val="00CA4284"/>
    <w:rsid w:val="00CA4797"/>
    <w:rsid w:val="00CA4C81"/>
    <w:rsid w:val="00CA4D76"/>
    <w:rsid w:val="00CA4F15"/>
    <w:rsid w:val="00CA58C2"/>
    <w:rsid w:val="00CA5A44"/>
    <w:rsid w:val="00CA6187"/>
    <w:rsid w:val="00CA62C3"/>
    <w:rsid w:val="00CA631C"/>
    <w:rsid w:val="00CA659B"/>
    <w:rsid w:val="00CA671D"/>
    <w:rsid w:val="00CA67DC"/>
    <w:rsid w:val="00CA6891"/>
    <w:rsid w:val="00CA70EB"/>
    <w:rsid w:val="00CA7466"/>
    <w:rsid w:val="00CB0929"/>
    <w:rsid w:val="00CB0B6F"/>
    <w:rsid w:val="00CB0B92"/>
    <w:rsid w:val="00CB0D04"/>
    <w:rsid w:val="00CB0EA6"/>
    <w:rsid w:val="00CB0F08"/>
    <w:rsid w:val="00CB1024"/>
    <w:rsid w:val="00CB13EB"/>
    <w:rsid w:val="00CB17A3"/>
    <w:rsid w:val="00CB183D"/>
    <w:rsid w:val="00CB1ACD"/>
    <w:rsid w:val="00CB1CDC"/>
    <w:rsid w:val="00CB2374"/>
    <w:rsid w:val="00CB243F"/>
    <w:rsid w:val="00CB2681"/>
    <w:rsid w:val="00CB30D2"/>
    <w:rsid w:val="00CB3278"/>
    <w:rsid w:val="00CB3762"/>
    <w:rsid w:val="00CB3C7D"/>
    <w:rsid w:val="00CB4167"/>
    <w:rsid w:val="00CB4462"/>
    <w:rsid w:val="00CB45F3"/>
    <w:rsid w:val="00CB4EE5"/>
    <w:rsid w:val="00CB5595"/>
    <w:rsid w:val="00CB5CA4"/>
    <w:rsid w:val="00CB5DEB"/>
    <w:rsid w:val="00CB5FCC"/>
    <w:rsid w:val="00CB6212"/>
    <w:rsid w:val="00CB6229"/>
    <w:rsid w:val="00CB6681"/>
    <w:rsid w:val="00CB68E6"/>
    <w:rsid w:val="00CB6A07"/>
    <w:rsid w:val="00CB6DDA"/>
    <w:rsid w:val="00CB6EED"/>
    <w:rsid w:val="00CB72B3"/>
    <w:rsid w:val="00CB780D"/>
    <w:rsid w:val="00CB7914"/>
    <w:rsid w:val="00CB79B6"/>
    <w:rsid w:val="00CC07C9"/>
    <w:rsid w:val="00CC098F"/>
    <w:rsid w:val="00CC0F39"/>
    <w:rsid w:val="00CC1447"/>
    <w:rsid w:val="00CC151F"/>
    <w:rsid w:val="00CC1AC2"/>
    <w:rsid w:val="00CC1DEC"/>
    <w:rsid w:val="00CC22BC"/>
    <w:rsid w:val="00CC25CD"/>
    <w:rsid w:val="00CC273E"/>
    <w:rsid w:val="00CC2863"/>
    <w:rsid w:val="00CC2965"/>
    <w:rsid w:val="00CC32FF"/>
    <w:rsid w:val="00CC3384"/>
    <w:rsid w:val="00CC33CC"/>
    <w:rsid w:val="00CC3707"/>
    <w:rsid w:val="00CC375D"/>
    <w:rsid w:val="00CC3EAF"/>
    <w:rsid w:val="00CC3FF0"/>
    <w:rsid w:val="00CC401F"/>
    <w:rsid w:val="00CC440E"/>
    <w:rsid w:val="00CC47A3"/>
    <w:rsid w:val="00CC4877"/>
    <w:rsid w:val="00CC498F"/>
    <w:rsid w:val="00CC5063"/>
    <w:rsid w:val="00CC51FE"/>
    <w:rsid w:val="00CC562D"/>
    <w:rsid w:val="00CC5E59"/>
    <w:rsid w:val="00CC5F70"/>
    <w:rsid w:val="00CC6378"/>
    <w:rsid w:val="00CC642A"/>
    <w:rsid w:val="00CC6A22"/>
    <w:rsid w:val="00CC6A8D"/>
    <w:rsid w:val="00CC6E3B"/>
    <w:rsid w:val="00CC6E9E"/>
    <w:rsid w:val="00CC6FEE"/>
    <w:rsid w:val="00CC707F"/>
    <w:rsid w:val="00CC7182"/>
    <w:rsid w:val="00CC71CA"/>
    <w:rsid w:val="00CC731D"/>
    <w:rsid w:val="00CC74D5"/>
    <w:rsid w:val="00CC7705"/>
    <w:rsid w:val="00CC77A7"/>
    <w:rsid w:val="00CC7877"/>
    <w:rsid w:val="00CC7DE5"/>
    <w:rsid w:val="00CC7DEE"/>
    <w:rsid w:val="00CD013E"/>
    <w:rsid w:val="00CD0463"/>
    <w:rsid w:val="00CD0F3F"/>
    <w:rsid w:val="00CD17AA"/>
    <w:rsid w:val="00CD1B0E"/>
    <w:rsid w:val="00CD1ED3"/>
    <w:rsid w:val="00CD218E"/>
    <w:rsid w:val="00CD2555"/>
    <w:rsid w:val="00CD264F"/>
    <w:rsid w:val="00CD49D2"/>
    <w:rsid w:val="00CD50E3"/>
    <w:rsid w:val="00CD5238"/>
    <w:rsid w:val="00CD5731"/>
    <w:rsid w:val="00CD57C3"/>
    <w:rsid w:val="00CD58F6"/>
    <w:rsid w:val="00CD5A9D"/>
    <w:rsid w:val="00CD5BA0"/>
    <w:rsid w:val="00CD70E3"/>
    <w:rsid w:val="00CD74E9"/>
    <w:rsid w:val="00CD75BC"/>
    <w:rsid w:val="00CE0658"/>
    <w:rsid w:val="00CE06D3"/>
    <w:rsid w:val="00CE0824"/>
    <w:rsid w:val="00CE09F1"/>
    <w:rsid w:val="00CE0A0A"/>
    <w:rsid w:val="00CE0DFC"/>
    <w:rsid w:val="00CE0F69"/>
    <w:rsid w:val="00CE0F87"/>
    <w:rsid w:val="00CE1698"/>
    <w:rsid w:val="00CE1BAB"/>
    <w:rsid w:val="00CE23E2"/>
    <w:rsid w:val="00CE2485"/>
    <w:rsid w:val="00CE25BE"/>
    <w:rsid w:val="00CE280D"/>
    <w:rsid w:val="00CE2ED6"/>
    <w:rsid w:val="00CE324A"/>
    <w:rsid w:val="00CE33C3"/>
    <w:rsid w:val="00CE3478"/>
    <w:rsid w:val="00CE35F4"/>
    <w:rsid w:val="00CE38A9"/>
    <w:rsid w:val="00CE3EAD"/>
    <w:rsid w:val="00CE441D"/>
    <w:rsid w:val="00CE443C"/>
    <w:rsid w:val="00CE48C9"/>
    <w:rsid w:val="00CE48E1"/>
    <w:rsid w:val="00CE4BE7"/>
    <w:rsid w:val="00CE53B7"/>
    <w:rsid w:val="00CE54AA"/>
    <w:rsid w:val="00CE58AA"/>
    <w:rsid w:val="00CE6500"/>
    <w:rsid w:val="00CE68C3"/>
    <w:rsid w:val="00CE6EDB"/>
    <w:rsid w:val="00CE7498"/>
    <w:rsid w:val="00CE7566"/>
    <w:rsid w:val="00CE7AAB"/>
    <w:rsid w:val="00CF01DB"/>
    <w:rsid w:val="00CF05E7"/>
    <w:rsid w:val="00CF07C5"/>
    <w:rsid w:val="00CF0BE6"/>
    <w:rsid w:val="00CF0E12"/>
    <w:rsid w:val="00CF0F19"/>
    <w:rsid w:val="00CF12B8"/>
    <w:rsid w:val="00CF13EC"/>
    <w:rsid w:val="00CF1579"/>
    <w:rsid w:val="00CF1614"/>
    <w:rsid w:val="00CF164D"/>
    <w:rsid w:val="00CF1670"/>
    <w:rsid w:val="00CF18B0"/>
    <w:rsid w:val="00CF1C82"/>
    <w:rsid w:val="00CF1CE8"/>
    <w:rsid w:val="00CF208E"/>
    <w:rsid w:val="00CF25D7"/>
    <w:rsid w:val="00CF2643"/>
    <w:rsid w:val="00CF2792"/>
    <w:rsid w:val="00CF27C9"/>
    <w:rsid w:val="00CF2BDC"/>
    <w:rsid w:val="00CF2FC9"/>
    <w:rsid w:val="00CF304B"/>
    <w:rsid w:val="00CF3408"/>
    <w:rsid w:val="00CF3B06"/>
    <w:rsid w:val="00CF3C8B"/>
    <w:rsid w:val="00CF3CA8"/>
    <w:rsid w:val="00CF413C"/>
    <w:rsid w:val="00CF43DA"/>
    <w:rsid w:val="00CF4797"/>
    <w:rsid w:val="00CF4799"/>
    <w:rsid w:val="00CF4C0D"/>
    <w:rsid w:val="00CF4C89"/>
    <w:rsid w:val="00CF552B"/>
    <w:rsid w:val="00CF56C7"/>
    <w:rsid w:val="00CF5849"/>
    <w:rsid w:val="00CF594D"/>
    <w:rsid w:val="00CF5983"/>
    <w:rsid w:val="00CF5D5E"/>
    <w:rsid w:val="00CF6482"/>
    <w:rsid w:val="00CF6568"/>
    <w:rsid w:val="00CF67F2"/>
    <w:rsid w:val="00CF6A5B"/>
    <w:rsid w:val="00CF6D6C"/>
    <w:rsid w:val="00CF6FAB"/>
    <w:rsid w:val="00CF7942"/>
    <w:rsid w:val="00CF7B8D"/>
    <w:rsid w:val="00CF7C8B"/>
    <w:rsid w:val="00D01569"/>
    <w:rsid w:val="00D01745"/>
    <w:rsid w:val="00D01B4F"/>
    <w:rsid w:val="00D02616"/>
    <w:rsid w:val="00D026D0"/>
    <w:rsid w:val="00D028FC"/>
    <w:rsid w:val="00D02AC5"/>
    <w:rsid w:val="00D02F75"/>
    <w:rsid w:val="00D0311F"/>
    <w:rsid w:val="00D031BB"/>
    <w:rsid w:val="00D035A5"/>
    <w:rsid w:val="00D037A9"/>
    <w:rsid w:val="00D0397A"/>
    <w:rsid w:val="00D03B9A"/>
    <w:rsid w:val="00D045AA"/>
    <w:rsid w:val="00D048A0"/>
    <w:rsid w:val="00D04E8C"/>
    <w:rsid w:val="00D050AD"/>
    <w:rsid w:val="00D050C2"/>
    <w:rsid w:val="00D051CF"/>
    <w:rsid w:val="00D05255"/>
    <w:rsid w:val="00D052AE"/>
    <w:rsid w:val="00D05406"/>
    <w:rsid w:val="00D05418"/>
    <w:rsid w:val="00D05436"/>
    <w:rsid w:val="00D05996"/>
    <w:rsid w:val="00D05A9B"/>
    <w:rsid w:val="00D05F60"/>
    <w:rsid w:val="00D063DB"/>
    <w:rsid w:val="00D06BD6"/>
    <w:rsid w:val="00D06DD5"/>
    <w:rsid w:val="00D06E41"/>
    <w:rsid w:val="00D078A4"/>
    <w:rsid w:val="00D079EE"/>
    <w:rsid w:val="00D07C24"/>
    <w:rsid w:val="00D07F81"/>
    <w:rsid w:val="00D103D8"/>
    <w:rsid w:val="00D103E7"/>
    <w:rsid w:val="00D10AE9"/>
    <w:rsid w:val="00D10E9C"/>
    <w:rsid w:val="00D1119F"/>
    <w:rsid w:val="00D1146B"/>
    <w:rsid w:val="00D114C4"/>
    <w:rsid w:val="00D1179A"/>
    <w:rsid w:val="00D11A73"/>
    <w:rsid w:val="00D11C7F"/>
    <w:rsid w:val="00D11F14"/>
    <w:rsid w:val="00D130F6"/>
    <w:rsid w:val="00D13652"/>
    <w:rsid w:val="00D13939"/>
    <w:rsid w:val="00D13CF5"/>
    <w:rsid w:val="00D13E03"/>
    <w:rsid w:val="00D144AA"/>
    <w:rsid w:val="00D1457A"/>
    <w:rsid w:val="00D14668"/>
    <w:rsid w:val="00D149C4"/>
    <w:rsid w:val="00D14C23"/>
    <w:rsid w:val="00D14F37"/>
    <w:rsid w:val="00D1544D"/>
    <w:rsid w:val="00D158AA"/>
    <w:rsid w:val="00D15E0B"/>
    <w:rsid w:val="00D16580"/>
    <w:rsid w:val="00D1670B"/>
    <w:rsid w:val="00D16E50"/>
    <w:rsid w:val="00D16E80"/>
    <w:rsid w:val="00D170BB"/>
    <w:rsid w:val="00D1740C"/>
    <w:rsid w:val="00D17471"/>
    <w:rsid w:val="00D176D8"/>
    <w:rsid w:val="00D17B98"/>
    <w:rsid w:val="00D17FD2"/>
    <w:rsid w:val="00D2069B"/>
    <w:rsid w:val="00D20866"/>
    <w:rsid w:val="00D20B20"/>
    <w:rsid w:val="00D20D89"/>
    <w:rsid w:val="00D212F2"/>
    <w:rsid w:val="00D21854"/>
    <w:rsid w:val="00D21A6E"/>
    <w:rsid w:val="00D21DD6"/>
    <w:rsid w:val="00D227E7"/>
    <w:rsid w:val="00D22849"/>
    <w:rsid w:val="00D22917"/>
    <w:rsid w:val="00D22AE8"/>
    <w:rsid w:val="00D2343A"/>
    <w:rsid w:val="00D23474"/>
    <w:rsid w:val="00D23E07"/>
    <w:rsid w:val="00D2436F"/>
    <w:rsid w:val="00D244D2"/>
    <w:rsid w:val="00D2451F"/>
    <w:rsid w:val="00D26717"/>
    <w:rsid w:val="00D26842"/>
    <w:rsid w:val="00D26A17"/>
    <w:rsid w:val="00D26A20"/>
    <w:rsid w:val="00D26A6F"/>
    <w:rsid w:val="00D2746D"/>
    <w:rsid w:val="00D2778A"/>
    <w:rsid w:val="00D2791D"/>
    <w:rsid w:val="00D2791F"/>
    <w:rsid w:val="00D27DD4"/>
    <w:rsid w:val="00D301FF"/>
    <w:rsid w:val="00D30235"/>
    <w:rsid w:val="00D30438"/>
    <w:rsid w:val="00D306C0"/>
    <w:rsid w:val="00D30703"/>
    <w:rsid w:val="00D30D1C"/>
    <w:rsid w:val="00D31007"/>
    <w:rsid w:val="00D3102B"/>
    <w:rsid w:val="00D316F0"/>
    <w:rsid w:val="00D31B81"/>
    <w:rsid w:val="00D3246A"/>
    <w:rsid w:val="00D3274B"/>
    <w:rsid w:val="00D32AD1"/>
    <w:rsid w:val="00D32D81"/>
    <w:rsid w:val="00D33085"/>
    <w:rsid w:val="00D333A1"/>
    <w:rsid w:val="00D3369B"/>
    <w:rsid w:val="00D336AD"/>
    <w:rsid w:val="00D33AA9"/>
    <w:rsid w:val="00D33D20"/>
    <w:rsid w:val="00D33DEE"/>
    <w:rsid w:val="00D33E3D"/>
    <w:rsid w:val="00D33E6B"/>
    <w:rsid w:val="00D341A6"/>
    <w:rsid w:val="00D34208"/>
    <w:rsid w:val="00D34B9E"/>
    <w:rsid w:val="00D35040"/>
    <w:rsid w:val="00D35047"/>
    <w:rsid w:val="00D35226"/>
    <w:rsid w:val="00D35929"/>
    <w:rsid w:val="00D3596B"/>
    <w:rsid w:val="00D35D08"/>
    <w:rsid w:val="00D35ECE"/>
    <w:rsid w:val="00D35FBC"/>
    <w:rsid w:val="00D36184"/>
    <w:rsid w:val="00D36713"/>
    <w:rsid w:val="00D36AD9"/>
    <w:rsid w:val="00D36CFA"/>
    <w:rsid w:val="00D36FA0"/>
    <w:rsid w:val="00D3733F"/>
    <w:rsid w:val="00D37578"/>
    <w:rsid w:val="00D3780F"/>
    <w:rsid w:val="00D400F5"/>
    <w:rsid w:val="00D4011C"/>
    <w:rsid w:val="00D406B5"/>
    <w:rsid w:val="00D4097C"/>
    <w:rsid w:val="00D40EB0"/>
    <w:rsid w:val="00D41355"/>
    <w:rsid w:val="00D413CD"/>
    <w:rsid w:val="00D41411"/>
    <w:rsid w:val="00D4214B"/>
    <w:rsid w:val="00D4290A"/>
    <w:rsid w:val="00D42999"/>
    <w:rsid w:val="00D42A5C"/>
    <w:rsid w:val="00D42B24"/>
    <w:rsid w:val="00D4349C"/>
    <w:rsid w:val="00D437C2"/>
    <w:rsid w:val="00D439F4"/>
    <w:rsid w:val="00D43B62"/>
    <w:rsid w:val="00D4456F"/>
    <w:rsid w:val="00D448C3"/>
    <w:rsid w:val="00D449B6"/>
    <w:rsid w:val="00D44BE0"/>
    <w:rsid w:val="00D44F99"/>
    <w:rsid w:val="00D44FD2"/>
    <w:rsid w:val="00D45345"/>
    <w:rsid w:val="00D456E7"/>
    <w:rsid w:val="00D457EC"/>
    <w:rsid w:val="00D45DDD"/>
    <w:rsid w:val="00D464F9"/>
    <w:rsid w:val="00D46AAC"/>
    <w:rsid w:val="00D46C70"/>
    <w:rsid w:val="00D472B3"/>
    <w:rsid w:val="00D47326"/>
    <w:rsid w:val="00D4757F"/>
    <w:rsid w:val="00D47E81"/>
    <w:rsid w:val="00D50028"/>
    <w:rsid w:val="00D50803"/>
    <w:rsid w:val="00D509E7"/>
    <w:rsid w:val="00D50AB7"/>
    <w:rsid w:val="00D50C19"/>
    <w:rsid w:val="00D511F5"/>
    <w:rsid w:val="00D514AA"/>
    <w:rsid w:val="00D51597"/>
    <w:rsid w:val="00D517BF"/>
    <w:rsid w:val="00D51976"/>
    <w:rsid w:val="00D51F40"/>
    <w:rsid w:val="00D51FC6"/>
    <w:rsid w:val="00D52069"/>
    <w:rsid w:val="00D52201"/>
    <w:rsid w:val="00D5249F"/>
    <w:rsid w:val="00D52C2B"/>
    <w:rsid w:val="00D52CC7"/>
    <w:rsid w:val="00D52D17"/>
    <w:rsid w:val="00D52FB7"/>
    <w:rsid w:val="00D53017"/>
    <w:rsid w:val="00D53625"/>
    <w:rsid w:val="00D53805"/>
    <w:rsid w:val="00D53C42"/>
    <w:rsid w:val="00D54039"/>
    <w:rsid w:val="00D54132"/>
    <w:rsid w:val="00D544D5"/>
    <w:rsid w:val="00D54C22"/>
    <w:rsid w:val="00D54E59"/>
    <w:rsid w:val="00D559A9"/>
    <w:rsid w:val="00D55C9B"/>
    <w:rsid w:val="00D55CA4"/>
    <w:rsid w:val="00D56099"/>
    <w:rsid w:val="00D562EB"/>
    <w:rsid w:val="00D5635C"/>
    <w:rsid w:val="00D56812"/>
    <w:rsid w:val="00D568A7"/>
    <w:rsid w:val="00D56D6B"/>
    <w:rsid w:val="00D56D85"/>
    <w:rsid w:val="00D56E1B"/>
    <w:rsid w:val="00D56E52"/>
    <w:rsid w:val="00D5712E"/>
    <w:rsid w:val="00D576BC"/>
    <w:rsid w:val="00D578D7"/>
    <w:rsid w:val="00D57C55"/>
    <w:rsid w:val="00D57CC7"/>
    <w:rsid w:val="00D6023B"/>
    <w:rsid w:val="00D606B3"/>
    <w:rsid w:val="00D6077B"/>
    <w:rsid w:val="00D6153E"/>
    <w:rsid w:val="00D6174B"/>
    <w:rsid w:val="00D61D7F"/>
    <w:rsid w:val="00D61F79"/>
    <w:rsid w:val="00D625A9"/>
    <w:rsid w:val="00D63102"/>
    <w:rsid w:val="00D632EA"/>
    <w:rsid w:val="00D63901"/>
    <w:rsid w:val="00D6451D"/>
    <w:rsid w:val="00D6464B"/>
    <w:rsid w:val="00D64726"/>
    <w:rsid w:val="00D64877"/>
    <w:rsid w:val="00D64E0B"/>
    <w:rsid w:val="00D65CCD"/>
    <w:rsid w:val="00D66471"/>
    <w:rsid w:val="00D664AE"/>
    <w:rsid w:val="00D66A74"/>
    <w:rsid w:val="00D66E35"/>
    <w:rsid w:val="00D66FFC"/>
    <w:rsid w:val="00D6701A"/>
    <w:rsid w:val="00D674DD"/>
    <w:rsid w:val="00D678A1"/>
    <w:rsid w:val="00D679CC"/>
    <w:rsid w:val="00D67B7A"/>
    <w:rsid w:val="00D67E1F"/>
    <w:rsid w:val="00D67F94"/>
    <w:rsid w:val="00D7000F"/>
    <w:rsid w:val="00D70408"/>
    <w:rsid w:val="00D707A5"/>
    <w:rsid w:val="00D70A6B"/>
    <w:rsid w:val="00D71424"/>
    <w:rsid w:val="00D71560"/>
    <w:rsid w:val="00D7159D"/>
    <w:rsid w:val="00D716D8"/>
    <w:rsid w:val="00D72004"/>
    <w:rsid w:val="00D7209C"/>
    <w:rsid w:val="00D723DD"/>
    <w:rsid w:val="00D725DA"/>
    <w:rsid w:val="00D72C34"/>
    <w:rsid w:val="00D73AB3"/>
    <w:rsid w:val="00D73C8F"/>
    <w:rsid w:val="00D73DD8"/>
    <w:rsid w:val="00D741C5"/>
    <w:rsid w:val="00D7453E"/>
    <w:rsid w:val="00D74D4E"/>
    <w:rsid w:val="00D74F18"/>
    <w:rsid w:val="00D74FBF"/>
    <w:rsid w:val="00D76506"/>
    <w:rsid w:val="00D76882"/>
    <w:rsid w:val="00D77027"/>
    <w:rsid w:val="00D77622"/>
    <w:rsid w:val="00D77670"/>
    <w:rsid w:val="00D80A6B"/>
    <w:rsid w:val="00D80AA9"/>
    <w:rsid w:val="00D80AF2"/>
    <w:rsid w:val="00D80CB7"/>
    <w:rsid w:val="00D812F0"/>
    <w:rsid w:val="00D814D8"/>
    <w:rsid w:val="00D81625"/>
    <w:rsid w:val="00D818AD"/>
    <w:rsid w:val="00D8195F"/>
    <w:rsid w:val="00D81D9B"/>
    <w:rsid w:val="00D81FF8"/>
    <w:rsid w:val="00D82599"/>
    <w:rsid w:val="00D827F0"/>
    <w:rsid w:val="00D82AAD"/>
    <w:rsid w:val="00D82AD1"/>
    <w:rsid w:val="00D83112"/>
    <w:rsid w:val="00D836D9"/>
    <w:rsid w:val="00D83752"/>
    <w:rsid w:val="00D8392D"/>
    <w:rsid w:val="00D83B17"/>
    <w:rsid w:val="00D83DC2"/>
    <w:rsid w:val="00D84177"/>
    <w:rsid w:val="00D842CD"/>
    <w:rsid w:val="00D8458B"/>
    <w:rsid w:val="00D84595"/>
    <w:rsid w:val="00D84657"/>
    <w:rsid w:val="00D849EE"/>
    <w:rsid w:val="00D85092"/>
    <w:rsid w:val="00D858E9"/>
    <w:rsid w:val="00D85A5D"/>
    <w:rsid w:val="00D85C74"/>
    <w:rsid w:val="00D85D32"/>
    <w:rsid w:val="00D8605A"/>
    <w:rsid w:val="00D866C0"/>
    <w:rsid w:val="00D8688D"/>
    <w:rsid w:val="00D86B76"/>
    <w:rsid w:val="00D86F39"/>
    <w:rsid w:val="00D878E2"/>
    <w:rsid w:val="00D87C14"/>
    <w:rsid w:val="00D87EA9"/>
    <w:rsid w:val="00D90264"/>
    <w:rsid w:val="00D902E0"/>
    <w:rsid w:val="00D905E8"/>
    <w:rsid w:val="00D9091B"/>
    <w:rsid w:val="00D909A2"/>
    <w:rsid w:val="00D90A9C"/>
    <w:rsid w:val="00D90ADA"/>
    <w:rsid w:val="00D91136"/>
    <w:rsid w:val="00D91F9F"/>
    <w:rsid w:val="00D9204B"/>
    <w:rsid w:val="00D92324"/>
    <w:rsid w:val="00D92432"/>
    <w:rsid w:val="00D92BBC"/>
    <w:rsid w:val="00D9376A"/>
    <w:rsid w:val="00D938B1"/>
    <w:rsid w:val="00D938E6"/>
    <w:rsid w:val="00D939DE"/>
    <w:rsid w:val="00D93A07"/>
    <w:rsid w:val="00D93A4C"/>
    <w:rsid w:val="00D93C1A"/>
    <w:rsid w:val="00D949BA"/>
    <w:rsid w:val="00D94F58"/>
    <w:rsid w:val="00D950A5"/>
    <w:rsid w:val="00D9512A"/>
    <w:rsid w:val="00D951CB"/>
    <w:rsid w:val="00D9543F"/>
    <w:rsid w:val="00D9582B"/>
    <w:rsid w:val="00D95B3F"/>
    <w:rsid w:val="00D95C92"/>
    <w:rsid w:val="00D95EAF"/>
    <w:rsid w:val="00D9629D"/>
    <w:rsid w:val="00D96661"/>
    <w:rsid w:val="00D9671C"/>
    <w:rsid w:val="00D96917"/>
    <w:rsid w:val="00D96E89"/>
    <w:rsid w:val="00D97D51"/>
    <w:rsid w:val="00DA0089"/>
    <w:rsid w:val="00DA03D6"/>
    <w:rsid w:val="00DA0417"/>
    <w:rsid w:val="00DA0572"/>
    <w:rsid w:val="00DA0E6A"/>
    <w:rsid w:val="00DA164D"/>
    <w:rsid w:val="00DA1EBE"/>
    <w:rsid w:val="00DA21E3"/>
    <w:rsid w:val="00DA2344"/>
    <w:rsid w:val="00DA238D"/>
    <w:rsid w:val="00DA25BB"/>
    <w:rsid w:val="00DA3029"/>
    <w:rsid w:val="00DA3475"/>
    <w:rsid w:val="00DA3EC5"/>
    <w:rsid w:val="00DA3ECD"/>
    <w:rsid w:val="00DA414D"/>
    <w:rsid w:val="00DA43D3"/>
    <w:rsid w:val="00DA4996"/>
    <w:rsid w:val="00DA49DF"/>
    <w:rsid w:val="00DA4AF8"/>
    <w:rsid w:val="00DA4CFC"/>
    <w:rsid w:val="00DA4D48"/>
    <w:rsid w:val="00DA530B"/>
    <w:rsid w:val="00DA5333"/>
    <w:rsid w:val="00DA5794"/>
    <w:rsid w:val="00DA5C13"/>
    <w:rsid w:val="00DA5C7F"/>
    <w:rsid w:val="00DA5F46"/>
    <w:rsid w:val="00DA633C"/>
    <w:rsid w:val="00DA649E"/>
    <w:rsid w:val="00DA6B22"/>
    <w:rsid w:val="00DA6E3C"/>
    <w:rsid w:val="00DA6F16"/>
    <w:rsid w:val="00DA72AC"/>
    <w:rsid w:val="00DA7370"/>
    <w:rsid w:val="00DA78DE"/>
    <w:rsid w:val="00DA7C4A"/>
    <w:rsid w:val="00DA7FBF"/>
    <w:rsid w:val="00DA7FD4"/>
    <w:rsid w:val="00DB0482"/>
    <w:rsid w:val="00DB05C4"/>
    <w:rsid w:val="00DB0923"/>
    <w:rsid w:val="00DB0EDD"/>
    <w:rsid w:val="00DB1190"/>
    <w:rsid w:val="00DB15AE"/>
    <w:rsid w:val="00DB174C"/>
    <w:rsid w:val="00DB205B"/>
    <w:rsid w:val="00DB2553"/>
    <w:rsid w:val="00DB2AD5"/>
    <w:rsid w:val="00DB3012"/>
    <w:rsid w:val="00DB342C"/>
    <w:rsid w:val="00DB3746"/>
    <w:rsid w:val="00DB3C35"/>
    <w:rsid w:val="00DB40DF"/>
    <w:rsid w:val="00DB450E"/>
    <w:rsid w:val="00DB4A57"/>
    <w:rsid w:val="00DB560B"/>
    <w:rsid w:val="00DB58A1"/>
    <w:rsid w:val="00DB65E7"/>
    <w:rsid w:val="00DB6C8F"/>
    <w:rsid w:val="00DB7140"/>
    <w:rsid w:val="00DB7219"/>
    <w:rsid w:val="00DB747D"/>
    <w:rsid w:val="00DB7DB1"/>
    <w:rsid w:val="00DC06C6"/>
    <w:rsid w:val="00DC07B9"/>
    <w:rsid w:val="00DC096D"/>
    <w:rsid w:val="00DC0A37"/>
    <w:rsid w:val="00DC0B1E"/>
    <w:rsid w:val="00DC0EB0"/>
    <w:rsid w:val="00DC120C"/>
    <w:rsid w:val="00DC1A3B"/>
    <w:rsid w:val="00DC1E9F"/>
    <w:rsid w:val="00DC21FA"/>
    <w:rsid w:val="00DC22AA"/>
    <w:rsid w:val="00DC259F"/>
    <w:rsid w:val="00DC265B"/>
    <w:rsid w:val="00DC2BD7"/>
    <w:rsid w:val="00DC3078"/>
    <w:rsid w:val="00DC345F"/>
    <w:rsid w:val="00DC363B"/>
    <w:rsid w:val="00DC36D5"/>
    <w:rsid w:val="00DC3744"/>
    <w:rsid w:val="00DC38E3"/>
    <w:rsid w:val="00DC4072"/>
    <w:rsid w:val="00DC40D8"/>
    <w:rsid w:val="00DC4520"/>
    <w:rsid w:val="00DC458A"/>
    <w:rsid w:val="00DC4EBA"/>
    <w:rsid w:val="00DC509C"/>
    <w:rsid w:val="00DC5346"/>
    <w:rsid w:val="00DC61B9"/>
    <w:rsid w:val="00DC61E4"/>
    <w:rsid w:val="00DC621D"/>
    <w:rsid w:val="00DC6317"/>
    <w:rsid w:val="00DC684F"/>
    <w:rsid w:val="00DC68D6"/>
    <w:rsid w:val="00DC6951"/>
    <w:rsid w:val="00DC6C19"/>
    <w:rsid w:val="00DC6C27"/>
    <w:rsid w:val="00DC6C42"/>
    <w:rsid w:val="00DC6EFC"/>
    <w:rsid w:val="00DC720F"/>
    <w:rsid w:val="00DC7398"/>
    <w:rsid w:val="00DC73D3"/>
    <w:rsid w:val="00DC760C"/>
    <w:rsid w:val="00DC7707"/>
    <w:rsid w:val="00DC79BB"/>
    <w:rsid w:val="00DD00D5"/>
    <w:rsid w:val="00DD0673"/>
    <w:rsid w:val="00DD0D8C"/>
    <w:rsid w:val="00DD1125"/>
    <w:rsid w:val="00DD1177"/>
    <w:rsid w:val="00DD1695"/>
    <w:rsid w:val="00DD16D5"/>
    <w:rsid w:val="00DD19FD"/>
    <w:rsid w:val="00DD220C"/>
    <w:rsid w:val="00DD27FF"/>
    <w:rsid w:val="00DD2C76"/>
    <w:rsid w:val="00DD317F"/>
    <w:rsid w:val="00DD3723"/>
    <w:rsid w:val="00DD393D"/>
    <w:rsid w:val="00DD3969"/>
    <w:rsid w:val="00DD3ECF"/>
    <w:rsid w:val="00DD3F5D"/>
    <w:rsid w:val="00DD4083"/>
    <w:rsid w:val="00DD4169"/>
    <w:rsid w:val="00DD4A6A"/>
    <w:rsid w:val="00DD4EA4"/>
    <w:rsid w:val="00DD4F00"/>
    <w:rsid w:val="00DD5427"/>
    <w:rsid w:val="00DD58A3"/>
    <w:rsid w:val="00DD5997"/>
    <w:rsid w:val="00DD5DD7"/>
    <w:rsid w:val="00DD5DEA"/>
    <w:rsid w:val="00DD5E8D"/>
    <w:rsid w:val="00DD5EE5"/>
    <w:rsid w:val="00DD6676"/>
    <w:rsid w:val="00DD6BA9"/>
    <w:rsid w:val="00DD6E30"/>
    <w:rsid w:val="00DD7268"/>
    <w:rsid w:val="00DD7535"/>
    <w:rsid w:val="00DD7649"/>
    <w:rsid w:val="00DE0340"/>
    <w:rsid w:val="00DE086F"/>
    <w:rsid w:val="00DE0AB2"/>
    <w:rsid w:val="00DE0B6F"/>
    <w:rsid w:val="00DE11CB"/>
    <w:rsid w:val="00DE1541"/>
    <w:rsid w:val="00DE156E"/>
    <w:rsid w:val="00DE1C15"/>
    <w:rsid w:val="00DE1F67"/>
    <w:rsid w:val="00DE2142"/>
    <w:rsid w:val="00DE22FD"/>
    <w:rsid w:val="00DE2339"/>
    <w:rsid w:val="00DE2505"/>
    <w:rsid w:val="00DE254B"/>
    <w:rsid w:val="00DE261B"/>
    <w:rsid w:val="00DE2A78"/>
    <w:rsid w:val="00DE2E56"/>
    <w:rsid w:val="00DE2F3C"/>
    <w:rsid w:val="00DE2F7E"/>
    <w:rsid w:val="00DE3717"/>
    <w:rsid w:val="00DE37EE"/>
    <w:rsid w:val="00DE40EA"/>
    <w:rsid w:val="00DE437A"/>
    <w:rsid w:val="00DE4395"/>
    <w:rsid w:val="00DE5385"/>
    <w:rsid w:val="00DE5C6E"/>
    <w:rsid w:val="00DE6E4A"/>
    <w:rsid w:val="00DE726A"/>
    <w:rsid w:val="00DE7F20"/>
    <w:rsid w:val="00DE7F9E"/>
    <w:rsid w:val="00DE7FDA"/>
    <w:rsid w:val="00DF01D9"/>
    <w:rsid w:val="00DF0405"/>
    <w:rsid w:val="00DF0482"/>
    <w:rsid w:val="00DF0C24"/>
    <w:rsid w:val="00DF0D09"/>
    <w:rsid w:val="00DF1675"/>
    <w:rsid w:val="00DF1CE5"/>
    <w:rsid w:val="00DF234B"/>
    <w:rsid w:val="00DF28C9"/>
    <w:rsid w:val="00DF294D"/>
    <w:rsid w:val="00DF2D75"/>
    <w:rsid w:val="00DF2FA5"/>
    <w:rsid w:val="00DF3070"/>
    <w:rsid w:val="00DF307F"/>
    <w:rsid w:val="00DF34AA"/>
    <w:rsid w:val="00DF34CA"/>
    <w:rsid w:val="00DF3816"/>
    <w:rsid w:val="00DF3A2B"/>
    <w:rsid w:val="00DF3A66"/>
    <w:rsid w:val="00DF3B45"/>
    <w:rsid w:val="00DF3E19"/>
    <w:rsid w:val="00DF41AA"/>
    <w:rsid w:val="00DF454A"/>
    <w:rsid w:val="00DF4929"/>
    <w:rsid w:val="00DF49A2"/>
    <w:rsid w:val="00DF49C4"/>
    <w:rsid w:val="00DF4F9F"/>
    <w:rsid w:val="00DF509F"/>
    <w:rsid w:val="00DF5235"/>
    <w:rsid w:val="00DF5888"/>
    <w:rsid w:val="00DF5902"/>
    <w:rsid w:val="00DF5905"/>
    <w:rsid w:val="00DF606F"/>
    <w:rsid w:val="00DF6912"/>
    <w:rsid w:val="00DF71D2"/>
    <w:rsid w:val="00DF7706"/>
    <w:rsid w:val="00DF774F"/>
    <w:rsid w:val="00DF7958"/>
    <w:rsid w:val="00DF79F6"/>
    <w:rsid w:val="00E001F3"/>
    <w:rsid w:val="00E00261"/>
    <w:rsid w:val="00E003B7"/>
    <w:rsid w:val="00E00C19"/>
    <w:rsid w:val="00E00F29"/>
    <w:rsid w:val="00E01575"/>
    <w:rsid w:val="00E015CC"/>
    <w:rsid w:val="00E01A26"/>
    <w:rsid w:val="00E01A6D"/>
    <w:rsid w:val="00E01B96"/>
    <w:rsid w:val="00E02410"/>
    <w:rsid w:val="00E0283D"/>
    <w:rsid w:val="00E02F29"/>
    <w:rsid w:val="00E031BC"/>
    <w:rsid w:val="00E03254"/>
    <w:rsid w:val="00E03270"/>
    <w:rsid w:val="00E03381"/>
    <w:rsid w:val="00E039EC"/>
    <w:rsid w:val="00E03F1B"/>
    <w:rsid w:val="00E042E4"/>
    <w:rsid w:val="00E04310"/>
    <w:rsid w:val="00E04419"/>
    <w:rsid w:val="00E04598"/>
    <w:rsid w:val="00E04647"/>
    <w:rsid w:val="00E0471F"/>
    <w:rsid w:val="00E04795"/>
    <w:rsid w:val="00E05773"/>
    <w:rsid w:val="00E05A99"/>
    <w:rsid w:val="00E05CC9"/>
    <w:rsid w:val="00E05D23"/>
    <w:rsid w:val="00E05FC8"/>
    <w:rsid w:val="00E0601E"/>
    <w:rsid w:val="00E0607A"/>
    <w:rsid w:val="00E0647C"/>
    <w:rsid w:val="00E06F1A"/>
    <w:rsid w:val="00E06F54"/>
    <w:rsid w:val="00E0727A"/>
    <w:rsid w:val="00E072AE"/>
    <w:rsid w:val="00E074C6"/>
    <w:rsid w:val="00E07D6E"/>
    <w:rsid w:val="00E07EAE"/>
    <w:rsid w:val="00E10583"/>
    <w:rsid w:val="00E10623"/>
    <w:rsid w:val="00E11184"/>
    <w:rsid w:val="00E1176C"/>
    <w:rsid w:val="00E11DAA"/>
    <w:rsid w:val="00E11E4E"/>
    <w:rsid w:val="00E11EE0"/>
    <w:rsid w:val="00E1214E"/>
    <w:rsid w:val="00E12285"/>
    <w:rsid w:val="00E126E4"/>
    <w:rsid w:val="00E1275F"/>
    <w:rsid w:val="00E12C2B"/>
    <w:rsid w:val="00E12C6B"/>
    <w:rsid w:val="00E12EF5"/>
    <w:rsid w:val="00E13046"/>
    <w:rsid w:val="00E13221"/>
    <w:rsid w:val="00E13C53"/>
    <w:rsid w:val="00E13F07"/>
    <w:rsid w:val="00E140A2"/>
    <w:rsid w:val="00E146A1"/>
    <w:rsid w:val="00E146B4"/>
    <w:rsid w:val="00E1472E"/>
    <w:rsid w:val="00E148B4"/>
    <w:rsid w:val="00E14BF4"/>
    <w:rsid w:val="00E14F41"/>
    <w:rsid w:val="00E15BD7"/>
    <w:rsid w:val="00E15CE2"/>
    <w:rsid w:val="00E15F9B"/>
    <w:rsid w:val="00E162C4"/>
    <w:rsid w:val="00E16867"/>
    <w:rsid w:val="00E169A3"/>
    <w:rsid w:val="00E16B49"/>
    <w:rsid w:val="00E16C87"/>
    <w:rsid w:val="00E16D2C"/>
    <w:rsid w:val="00E1756B"/>
    <w:rsid w:val="00E175BE"/>
    <w:rsid w:val="00E17908"/>
    <w:rsid w:val="00E20125"/>
    <w:rsid w:val="00E202D7"/>
    <w:rsid w:val="00E20485"/>
    <w:rsid w:val="00E20513"/>
    <w:rsid w:val="00E2064F"/>
    <w:rsid w:val="00E212EB"/>
    <w:rsid w:val="00E2147D"/>
    <w:rsid w:val="00E2152C"/>
    <w:rsid w:val="00E21A33"/>
    <w:rsid w:val="00E21DEE"/>
    <w:rsid w:val="00E22EA9"/>
    <w:rsid w:val="00E2309B"/>
    <w:rsid w:val="00E23129"/>
    <w:rsid w:val="00E23465"/>
    <w:rsid w:val="00E23478"/>
    <w:rsid w:val="00E2348C"/>
    <w:rsid w:val="00E23503"/>
    <w:rsid w:val="00E238D4"/>
    <w:rsid w:val="00E238E9"/>
    <w:rsid w:val="00E23EA5"/>
    <w:rsid w:val="00E24194"/>
    <w:rsid w:val="00E241A5"/>
    <w:rsid w:val="00E2476A"/>
    <w:rsid w:val="00E24B0A"/>
    <w:rsid w:val="00E24DD4"/>
    <w:rsid w:val="00E25271"/>
    <w:rsid w:val="00E25331"/>
    <w:rsid w:val="00E25861"/>
    <w:rsid w:val="00E25D3F"/>
    <w:rsid w:val="00E2603A"/>
    <w:rsid w:val="00E266AD"/>
    <w:rsid w:val="00E26792"/>
    <w:rsid w:val="00E2703F"/>
    <w:rsid w:val="00E271E5"/>
    <w:rsid w:val="00E27240"/>
    <w:rsid w:val="00E2788B"/>
    <w:rsid w:val="00E2797B"/>
    <w:rsid w:val="00E279B2"/>
    <w:rsid w:val="00E27A7A"/>
    <w:rsid w:val="00E300E0"/>
    <w:rsid w:val="00E30725"/>
    <w:rsid w:val="00E3075B"/>
    <w:rsid w:val="00E30E5F"/>
    <w:rsid w:val="00E311C0"/>
    <w:rsid w:val="00E312E0"/>
    <w:rsid w:val="00E313A1"/>
    <w:rsid w:val="00E31D51"/>
    <w:rsid w:val="00E322EF"/>
    <w:rsid w:val="00E324AC"/>
    <w:rsid w:val="00E324F5"/>
    <w:rsid w:val="00E325B3"/>
    <w:rsid w:val="00E327D2"/>
    <w:rsid w:val="00E32E84"/>
    <w:rsid w:val="00E32E85"/>
    <w:rsid w:val="00E33184"/>
    <w:rsid w:val="00E33277"/>
    <w:rsid w:val="00E33754"/>
    <w:rsid w:val="00E33954"/>
    <w:rsid w:val="00E339DA"/>
    <w:rsid w:val="00E34045"/>
    <w:rsid w:val="00E340E4"/>
    <w:rsid w:val="00E34282"/>
    <w:rsid w:val="00E342F6"/>
    <w:rsid w:val="00E34DF3"/>
    <w:rsid w:val="00E356A9"/>
    <w:rsid w:val="00E35876"/>
    <w:rsid w:val="00E35F48"/>
    <w:rsid w:val="00E3609F"/>
    <w:rsid w:val="00E36236"/>
    <w:rsid w:val="00E36D6D"/>
    <w:rsid w:val="00E3702A"/>
    <w:rsid w:val="00E37C4A"/>
    <w:rsid w:val="00E37D07"/>
    <w:rsid w:val="00E37E65"/>
    <w:rsid w:val="00E4026E"/>
    <w:rsid w:val="00E4053C"/>
    <w:rsid w:val="00E40945"/>
    <w:rsid w:val="00E40A3E"/>
    <w:rsid w:val="00E40DB1"/>
    <w:rsid w:val="00E40E60"/>
    <w:rsid w:val="00E411A2"/>
    <w:rsid w:val="00E414E7"/>
    <w:rsid w:val="00E41700"/>
    <w:rsid w:val="00E417C4"/>
    <w:rsid w:val="00E418BB"/>
    <w:rsid w:val="00E41C67"/>
    <w:rsid w:val="00E420C0"/>
    <w:rsid w:val="00E421A2"/>
    <w:rsid w:val="00E42251"/>
    <w:rsid w:val="00E429DA"/>
    <w:rsid w:val="00E42AA8"/>
    <w:rsid w:val="00E42B8C"/>
    <w:rsid w:val="00E4349F"/>
    <w:rsid w:val="00E43557"/>
    <w:rsid w:val="00E43610"/>
    <w:rsid w:val="00E43845"/>
    <w:rsid w:val="00E43A7E"/>
    <w:rsid w:val="00E43ABB"/>
    <w:rsid w:val="00E44D98"/>
    <w:rsid w:val="00E4502F"/>
    <w:rsid w:val="00E4520B"/>
    <w:rsid w:val="00E453BD"/>
    <w:rsid w:val="00E4599F"/>
    <w:rsid w:val="00E45D11"/>
    <w:rsid w:val="00E462F9"/>
    <w:rsid w:val="00E4636D"/>
    <w:rsid w:val="00E46B96"/>
    <w:rsid w:val="00E46C0C"/>
    <w:rsid w:val="00E47177"/>
    <w:rsid w:val="00E474DE"/>
    <w:rsid w:val="00E4763E"/>
    <w:rsid w:val="00E47A23"/>
    <w:rsid w:val="00E47B6C"/>
    <w:rsid w:val="00E47C3F"/>
    <w:rsid w:val="00E50232"/>
    <w:rsid w:val="00E50A15"/>
    <w:rsid w:val="00E50A2D"/>
    <w:rsid w:val="00E50C14"/>
    <w:rsid w:val="00E512CA"/>
    <w:rsid w:val="00E513B4"/>
    <w:rsid w:val="00E51732"/>
    <w:rsid w:val="00E51C30"/>
    <w:rsid w:val="00E51E82"/>
    <w:rsid w:val="00E51F30"/>
    <w:rsid w:val="00E51FDB"/>
    <w:rsid w:val="00E52335"/>
    <w:rsid w:val="00E523EE"/>
    <w:rsid w:val="00E52A3F"/>
    <w:rsid w:val="00E52C9C"/>
    <w:rsid w:val="00E531F6"/>
    <w:rsid w:val="00E53607"/>
    <w:rsid w:val="00E539AF"/>
    <w:rsid w:val="00E53B74"/>
    <w:rsid w:val="00E5413C"/>
    <w:rsid w:val="00E54A2A"/>
    <w:rsid w:val="00E54AF1"/>
    <w:rsid w:val="00E5542F"/>
    <w:rsid w:val="00E555E1"/>
    <w:rsid w:val="00E55BDA"/>
    <w:rsid w:val="00E55D89"/>
    <w:rsid w:val="00E564FC"/>
    <w:rsid w:val="00E56775"/>
    <w:rsid w:val="00E56A70"/>
    <w:rsid w:val="00E56E70"/>
    <w:rsid w:val="00E5742E"/>
    <w:rsid w:val="00E57583"/>
    <w:rsid w:val="00E576F7"/>
    <w:rsid w:val="00E57C15"/>
    <w:rsid w:val="00E57FD3"/>
    <w:rsid w:val="00E60070"/>
    <w:rsid w:val="00E60075"/>
    <w:rsid w:val="00E6008B"/>
    <w:rsid w:val="00E60198"/>
    <w:rsid w:val="00E6051F"/>
    <w:rsid w:val="00E605A4"/>
    <w:rsid w:val="00E60E54"/>
    <w:rsid w:val="00E61661"/>
    <w:rsid w:val="00E61B0B"/>
    <w:rsid w:val="00E61C40"/>
    <w:rsid w:val="00E61EA0"/>
    <w:rsid w:val="00E61F5B"/>
    <w:rsid w:val="00E62145"/>
    <w:rsid w:val="00E6252A"/>
    <w:rsid w:val="00E62711"/>
    <w:rsid w:val="00E62813"/>
    <w:rsid w:val="00E62878"/>
    <w:rsid w:val="00E62C71"/>
    <w:rsid w:val="00E62FAE"/>
    <w:rsid w:val="00E63234"/>
    <w:rsid w:val="00E632D6"/>
    <w:rsid w:val="00E63587"/>
    <w:rsid w:val="00E638C6"/>
    <w:rsid w:val="00E63B52"/>
    <w:rsid w:val="00E642FC"/>
    <w:rsid w:val="00E64430"/>
    <w:rsid w:val="00E644FD"/>
    <w:rsid w:val="00E6467D"/>
    <w:rsid w:val="00E64CBD"/>
    <w:rsid w:val="00E6532A"/>
    <w:rsid w:val="00E657D9"/>
    <w:rsid w:val="00E658CD"/>
    <w:rsid w:val="00E65DC2"/>
    <w:rsid w:val="00E65DE7"/>
    <w:rsid w:val="00E660A9"/>
    <w:rsid w:val="00E6640F"/>
    <w:rsid w:val="00E664DD"/>
    <w:rsid w:val="00E66EEE"/>
    <w:rsid w:val="00E67009"/>
    <w:rsid w:val="00E6745F"/>
    <w:rsid w:val="00E70824"/>
    <w:rsid w:val="00E70E76"/>
    <w:rsid w:val="00E71274"/>
    <w:rsid w:val="00E71619"/>
    <w:rsid w:val="00E71719"/>
    <w:rsid w:val="00E718AA"/>
    <w:rsid w:val="00E718EA"/>
    <w:rsid w:val="00E719E4"/>
    <w:rsid w:val="00E71C2F"/>
    <w:rsid w:val="00E7243F"/>
    <w:rsid w:val="00E72F5A"/>
    <w:rsid w:val="00E7304F"/>
    <w:rsid w:val="00E73676"/>
    <w:rsid w:val="00E73930"/>
    <w:rsid w:val="00E73A9F"/>
    <w:rsid w:val="00E73B5C"/>
    <w:rsid w:val="00E73F14"/>
    <w:rsid w:val="00E74177"/>
    <w:rsid w:val="00E748AC"/>
    <w:rsid w:val="00E748D5"/>
    <w:rsid w:val="00E74BE7"/>
    <w:rsid w:val="00E75066"/>
    <w:rsid w:val="00E75530"/>
    <w:rsid w:val="00E7574A"/>
    <w:rsid w:val="00E75EA8"/>
    <w:rsid w:val="00E76917"/>
    <w:rsid w:val="00E76F3A"/>
    <w:rsid w:val="00E77600"/>
    <w:rsid w:val="00E77676"/>
    <w:rsid w:val="00E77B41"/>
    <w:rsid w:val="00E77BA9"/>
    <w:rsid w:val="00E77BEE"/>
    <w:rsid w:val="00E77C39"/>
    <w:rsid w:val="00E800A4"/>
    <w:rsid w:val="00E806C4"/>
    <w:rsid w:val="00E80743"/>
    <w:rsid w:val="00E80F4F"/>
    <w:rsid w:val="00E81796"/>
    <w:rsid w:val="00E81D69"/>
    <w:rsid w:val="00E81ED5"/>
    <w:rsid w:val="00E81EF3"/>
    <w:rsid w:val="00E8246D"/>
    <w:rsid w:val="00E82BF7"/>
    <w:rsid w:val="00E82FF1"/>
    <w:rsid w:val="00E8376A"/>
    <w:rsid w:val="00E83799"/>
    <w:rsid w:val="00E83B31"/>
    <w:rsid w:val="00E83C1B"/>
    <w:rsid w:val="00E8473A"/>
    <w:rsid w:val="00E848CF"/>
    <w:rsid w:val="00E849D2"/>
    <w:rsid w:val="00E84D08"/>
    <w:rsid w:val="00E84DD2"/>
    <w:rsid w:val="00E850D0"/>
    <w:rsid w:val="00E8510A"/>
    <w:rsid w:val="00E856CF"/>
    <w:rsid w:val="00E85792"/>
    <w:rsid w:val="00E857FC"/>
    <w:rsid w:val="00E85B43"/>
    <w:rsid w:val="00E85CD8"/>
    <w:rsid w:val="00E85D6B"/>
    <w:rsid w:val="00E86309"/>
    <w:rsid w:val="00E86451"/>
    <w:rsid w:val="00E864B5"/>
    <w:rsid w:val="00E866FF"/>
    <w:rsid w:val="00E86F31"/>
    <w:rsid w:val="00E87448"/>
    <w:rsid w:val="00E87502"/>
    <w:rsid w:val="00E87A02"/>
    <w:rsid w:val="00E87F91"/>
    <w:rsid w:val="00E90059"/>
    <w:rsid w:val="00E906DE"/>
    <w:rsid w:val="00E907A7"/>
    <w:rsid w:val="00E907B6"/>
    <w:rsid w:val="00E9084A"/>
    <w:rsid w:val="00E90FD1"/>
    <w:rsid w:val="00E91353"/>
    <w:rsid w:val="00E91BC4"/>
    <w:rsid w:val="00E91C2C"/>
    <w:rsid w:val="00E91C69"/>
    <w:rsid w:val="00E91F20"/>
    <w:rsid w:val="00E92052"/>
    <w:rsid w:val="00E922E7"/>
    <w:rsid w:val="00E92F79"/>
    <w:rsid w:val="00E93666"/>
    <w:rsid w:val="00E93B27"/>
    <w:rsid w:val="00E93E70"/>
    <w:rsid w:val="00E9405D"/>
    <w:rsid w:val="00E94541"/>
    <w:rsid w:val="00E94767"/>
    <w:rsid w:val="00E95748"/>
    <w:rsid w:val="00E95D8F"/>
    <w:rsid w:val="00E95DBF"/>
    <w:rsid w:val="00E96108"/>
    <w:rsid w:val="00E96558"/>
    <w:rsid w:val="00E96712"/>
    <w:rsid w:val="00E96858"/>
    <w:rsid w:val="00E96919"/>
    <w:rsid w:val="00E96B2A"/>
    <w:rsid w:val="00E970F0"/>
    <w:rsid w:val="00E973B9"/>
    <w:rsid w:val="00E97C18"/>
    <w:rsid w:val="00E97F0F"/>
    <w:rsid w:val="00EA01FD"/>
    <w:rsid w:val="00EA0547"/>
    <w:rsid w:val="00EA0662"/>
    <w:rsid w:val="00EA0CDC"/>
    <w:rsid w:val="00EA153B"/>
    <w:rsid w:val="00EA1585"/>
    <w:rsid w:val="00EA1697"/>
    <w:rsid w:val="00EA23CC"/>
    <w:rsid w:val="00EA2472"/>
    <w:rsid w:val="00EA27BE"/>
    <w:rsid w:val="00EA2DA4"/>
    <w:rsid w:val="00EA2FDC"/>
    <w:rsid w:val="00EA3AC8"/>
    <w:rsid w:val="00EA3B70"/>
    <w:rsid w:val="00EA3CA5"/>
    <w:rsid w:val="00EA3DFB"/>
    <w:rsid w:val="00EA4089"/>
    <w:rsid w:val="00EA424E"/>
    <w:rsid w:val="00EA4681"/>
    <w:rsid w:val="00EA4AD2"/>
    <w:rsid w:val="00EA4B3A"/>
    <w:rsid w:val="00EA5217"/>
    <w:rsid w:val="00EA54F3"/>
    <w:rsid w:val="00EA5A92"/>
    <w:rsid w:val="00EA5B06"/>
    <w:rsid w:val="00EA5C44"/>
    <w:rsid w:val="00EA5E33"/>
    <w:rsid w:val="00EA666D"/>
    <w:rsid w:val="00EA6751"/>
    <w:rsid w:val="00EA6BAC"/>
    <w:rsid w:val="00EB009B"/>
    <w:rsid w:val="00EB0126"/>
    <w:rsid w:val="00EB01CA"/>
    <w:rsid w:val="00EB0312"/>
    <w:rsid w:val="00EB04C8"/>
    <w:rsid w:val="00EB0541"/>
    <w:rsid w:val="00EB08BD"/>
    <w:rsid w:val="00EB0AE6"/>
    <w:rsid w:val="00EB0C9E"/>
    <w:rsid w:val="00EB0DB5"/>
    <w:rsid w:val="00EB0DCD"/>
    <w:rsid w:val="00EB126B"/>
    <w:rsid w:val="00EB15DC"/>
    <w:rsid w:val="00EB1771"/>
    <w:rsid w:val="00EB1784"/>
    <w:rsid w:val="00EB1DCC"/>
    <w:rsid w:val="00EB2518"/>
    <w:rsid w:val="00EB3241"/>
    <w:rsid w:val="00EB34C0"/>
    <w:rsid w:val="00EB3915"/>
    <w:rsid w:val="00EB427F"/>
    <w:rsid w:val="00EB4308"/>
    <w:rsid w:val="00EB4704"/>
    <w:rsid w:val="00EB4837"/>
    <w:rsid w:val="00EB4E2B"/>
    <w:rsid w:val="00EB514C"/>
    <w:rsid w:val="00EB56EA"/>
    <w:rsid w:val="00EB58CF"/>
    <w:rsid w:val="00EB5A2C"/>
    <w:rsid w:val="00EB5B3C"/>
    <w:rsid w:val="00EB5CAE"/>
    <w:rsid w:val="00EB5DA6"/>
    <w:rsid w:val="00EB61D7"/>
    <w:rsid w:val="00EB6234"/>
    <w:rsid w:val="00EB654E"/>
    <w:rsid w:val="00EB6BAF"/>
    <w:rsid w:val="00EB6E46"/>
    <w:rsid w:val="00EB70DA"/>
    <w:rsid w:val="00EB73CA"/>
    <w:rsid w:val="00EB73D8"/>
    <w:rsid w:val="00EB792E"/>
    <w:rsid w:val="00EB79FF"/>
    <w:rsid w:val="00EB7AEC"/>
    <w:rsid w:val="00EB7F61"/>
    <w:rsid w:val="00EC0006"/>
    <w:rsid w:val="00EC041E"/>
    <w:rsid w:val="00EC065E"/>
    <w:rsid w:val="00EC0B23"/>
    <w:rsid w:val="00EC0E9D"/>
    <w:rsid w:val="00EC0F33"/>
    <w:rsid w:val="00EC13D9"/>
    <w:rsid w:val="00EC16C0"/>
    <w:rsid w:val="00EC19A7"/>
    <w:rsid w:val="00EC21E1"/>
    <w:rsid w:val="00EC24CA"/>
    <w:rsid w:val="00EC25A1"/>
    <w:rsid w:val="00EC27AC"/>
    <w:rsid w:val="00EC2C69"/>
    <w:rsid w:val="00EC2D42"/>
    <w:rsid w:val="00EC316C"/>
    <w:rsid w:val="00EC362D"/>
    <w:rsid w:val="00EC36B3"/>
    <w:rsid w:val="00EC36CE"/>
    <w:rsid w:val="00EC3947"/>
    <w:rsid w:val="00EC39D3"/>
    <w:rsid w:val="00EC3A45"/>
    <w:rsid w:val="00EC3AE5"/>
    <w:rsid w:val="00EC405F"/>
    <w:rsid w:val="00EC433D"/>
    <w:rsid w:val="00EC4B03"/>
    <w:rsid w:val="00EC4ECF"/>
    <w:rsid w:val="00EC51BA"/>
    <w:rsid w:val="00EC51E0"/>
    <w:rsid w:val="00EC52BB"/>
    <w:rsid w:val="00EC59FC"/>
    <w:rsid w:val="00EC5ABD"/>
    <w:rsid w:val="00EC5B5C"/>
    <w:rsid w:val="00EC628F"/>
    <w:rsid w:val="00EC6DAF"/>
    <w:rsid w:val="00EC6E5B"/>
    <w:rsid w:val="00EC7120"/>
    <w:rsid w:val="00ED05A7"/>
    <w:rsid w:val="00ED06E6"/>
    <w:rsid w:val="00ED09CE"/>
    <w:rsid w:val="00ED0B5D"/>
    <w:rsid w:val="00ED0E56"/>
    <w:rsid w:val="00ED0EE9"/>
    <w:rsid w:val="00ED107F"/>
    <w:rsid w:val="00ED11A6"/>
    <w:rsid w:val="00ED1233"/>
    <w:rsid w:val="00ED1298"/>
    <w:rsid w:val="00ED1AE9"/>
    <w:rsid w:val="00ED219C"/>
    <w:rsid w:val="00ED226F"/>
    <w:rsid w:val="00ED2328"/>
    <w:rsid w:val="00ED2B68"/>
    <w:rsid w:val="00ED2FF6"/>
    <w:rsid w:val="00ED3395"/>
    <w:rsid w:val="00ED34BF"/>
    <w:rsid w:val="00ED35E7"/>
    <w:rsid w:val="00ED361A"/>
    <w:rsid w:val="00ED3C16"/>
    <w:rsid w:val="00ED4999"/>
    <w:rsid w:val="00ED51C8"/>
    <w:rsid w:val="00ED5E31"/>
    <w:rsid w:val="00ED5F5B"/>
    <w:rsid w:val="00ED64C8"/>
    <w:rsid w:val="00ED6A59"/>
    <w:rsid w:val="00ED6EA7"/>
    <w:rsid w:val="00ED7918"/>
    <w:rsid w:val="00ED79F1"/>
    <w:rsid w:val="00EE02A6"/>
    <w:rsid w:val="00EE0F67"/>
    <w:rsid w:val="00EE1351"/>
    <w:rsid w:val="00EE14AC"/>
    <w:rsid w:val="00EE167E"/>
    <w:rsid w:val="00EE18EC"/>
    <w:rsid w:val="00EE1CD8"/>
    <w:rsid w:val="00EE23C2"/>
    <w:rsid w:val="00EE29B2"/>
    <w:rsid w:val="00EE2C14"/>
    <w:rsid w:val="00EE30F1"/>
    <w:rsid w:val="00EE34DC"/>
    <w:rsid w:val="00EE3673"/>
    <w:rsid w:val="00EE378A"/>
    <w:rsid w:val="00EE3DBC"/>
    <w:rsid w:val="00EE4359"/>
    <w:rsid w:val="00EE4A98"/>
    <w:rsid w:val="00EE4E73"/>
    <w:rsid w:val="00EE50A6"/>
    <w:rsid w:val="00EE536D"/>
    <w:rsid w:val="00EE5B0A"/>
    <w:rsid w:val="00EE5F96"/>
    <w:rsid w:val="00EE5FFF"/>
    <w:rsid w:val="00EE61E9"/>
    <w:rsid w:val="00EE62DB"/>
    <w:rsid w:val="00EE6C60"/>
    <w:rsid w:val="00EE6C80"/>
    <w:rsid w:val="00EE7374"/>
    <w:rsid w:val="00EE7650"/>
    <w:rsid w:val="00EE7723"/>
    <w:rsid w:val="00EE7988"/>
    <w:rsid w:val="00EE7D51"/>
    <w:rsid w:val="00EE7EAD"/>
    <w:rsid w:val="00EF024B"/>
    <w:rsid w:val="00EF0434"/>
    <w:rsid w:val="00EF0E47"/>
    <w:rsid w:val="00EF0F8C"/>
    <w:rsid w:val="00EF104D"/>
    <w:rsid w:val="00EF1E2C"/>
    <w:rsid w:val="00EF1F4C"/>
    <w:rsid w:val="00EF2793"/>
    <w:rsid w:val="00EF2BAC"/>
    <w:rsid w:val="00EF301C"/>
    <w:rsid w:val="00EF35B4"/>
    <w:rsid w:val="00EF4A4D"/>
    <w:rsid w:val="00EF4C52"/>
    <w:rsid w:val="00EF53B5"/>
    <w:rsid w:val="00EF56A4"/>
    <w:rsid w:val="00EF5BAD"/>
    <w:rsid w:val="00EF5D17"/>
    <w:rsid w:val="00EF5D82"/>
    <w:rsid w:val="00EF5FDE"/>
    <w:rsid w:val="00EF63E1"/>
    <w:rsid w:val="00EF6488"/>
    <w:rsid w:val="00EF6A23"/>
    <w:rsid w:val="00EF6B9D"/>
    <w:rsid w:val="00EF6E80"/>
    <w:rsid w:val="00EF6FAE"/>
    <w:rsid w:val="00EF72A9"/>
    <w:rsid w:val="00EF72E3"/>
    <w:rsid w:val="00EF7418"/>
    <w:rsid w:val="00EF7BC9"/>
    <w:rsid w:val="00EF7CF7"/>
    <w:rsid w:val="00EF7F58"/>
    <w:rsid w:val="00F001DD"/>
    <w:rsid w:val="00F00750"/>
    <w:rsid w:val="00F0090C"/>
    <w:rsid w:val="00F01049"/>
    <w:rsid w:val="00F0115A"/>
    <w:rsid w:val="00F0134B"/>
    <w:rsid w:val="00F015A3"/>
    <w:rsid w:val="00F0193D"/>
    <w:rsid w:val="00F01B80"/>
    <w:rsid w:val="00F020F1"/>
    <w:rsid w:val="00F022B1"/>
    <w:rsid w:val="00F025F5"/>
    <w:rsid w:val="00F029F9"/>
    <w:rsid w:val="00F02C69"/>
    <w:rsid w:val="00F02E6C"/>
    <w:rsid w:val="00F02F90"/>
    <w:rsid w:val="00F0334E"/>
    <w:rsid w:val="00F03764"/>
    <w:rsid w:val="00F03B74"/>
    <w:rsid w:val="00F04465"/>
    <w:rsid w:val="00F04B5D"/>
    <w:rsid w:val="00F04F96"/>
    <w:rsid w:val="00F05138"/>
    <w:rsid w:val="00F056C0"/>
    <w:rsid w:val="00F05FC6"/>
    <w:rsid w:val="00F06044"/>
    <w:rsid w:val="00F0608E"/>
    <w:rsid w:val="00F0619C"/>
    <w:rsid w:val="00F0627A"/>
    <w:rsid w:val="00F063AE"/>
    <w:rsid w:val="00F06670"/>
    <w:rsid w:val="00F066BD"/>
    <w:rsid w:val="00F066C4"/>
    <w:rsid w:val="00F06846"/>
    <w:rsid w:val="00F06A42"/>
    <w:rsid w:val="00F06ED9"/>
    <w:rsid w:val="00F06F3A"/>
    <w:rsid w:val="00F071F7"/>
    <w:rsid w:val="00F07314"/>
    <w:rsid w:val="00F075EB"/>
    <w:rsid w:val="00F07878"/>
    <w:rsid w:val="00F07E11"/>
    <w:rsid w:val="00F07E85"/>
    <w:rsid w:val="00F07F36"/>
    <w:rsid w:val="00F104AC"/>
    <w:rsid w:val="00F10A08"/>
    <w:rsid w:val="00F111A2"/>
    <w:rsid w:val="00F11A1E"/>
    <w:rsid w:val="00F126BD"/>
    <w:rsid w:val="00F12DE8"/>
    <w:rsid w:val="00F12EB7"/>
    <w:rsid w:val="00F133F1"/>
    <w:rsid w:val="00F1382E"/>
    <w:rsid w:val="00F13976"/>
    <w:rsid w:val="00F13A5E"/>
    <w:rsid w:val="00F13A63"/>
    <w:rsid w:val="00F13C8D"/>
    <w:rsid w:val="00F13D87"/>
    <w:rsid w:val="00F1424D"/>
    <w:rsid w:val="00F14B05"/>
    <w:rsid w:val="00F1503C"/>
    <w:rsid w:val="00F153B3"/>
    <w:rsid w:val="00F154F9"/>
    <w:rsid w:val="00F15560"/>
    <w:rsid w:val="00F15689"/>
    <w:rsid w:val="00F156DF"/>
    <w:rsid w:val="00F15918"/>
    <w:rsid w:val="00F15CBE"/>
    <w:rsid w:val="00F1601E"/>
    <w:rsid w:val="00F16527"/>
    <w:rsid w:val="00F166DA"/>
    <w:rsid w:val="00F17148"/>
    <w:rsid w:val="00F1722F"/>
    <w:rsid w:val="00F17377"/>
    <w:rsid w:val="00F17F40"/>
    <w:rsid w:val="00F17F8D"/>
    <w:rsid w:val="00F20093"/>
    <w:rsid w:val="00F20769"/>
    <w:rsid w:val="00F20B04"/>
    <w:rsid w:val="00F20E5A"/>
    <w:rsid w:val="00F211BE"/>
    <w:rsid w:val="00F212E6"/>
    <w:rsid w:val="00F215D8"/>
    <w:rsid w:val="00F216AB"/>
    <w:rsid w:val="00F219E6"/>
    <w:rsid w:val="00F21B1D"/>
    <w:rsid w:val="00F21CF4"/>
    <w:rsid w:val="00F21FAB"/>
    <w:rsid w:val="00F22176"/>
    <w:rsid w:val="00F221F1"/>
    <w:rsid w:val="00F222FB"/>
    <w:rsid w:val="00F22355"/>
    <w:rsid w:val="00F2283F"/>
    <w:rsid w:val="00F22D4F"/>
    <w:rsid w:val="00F23072"/>
    <w:rsid w:val="00F233D4"/>
    <w:rsid w:val="00F23B84"/>
    <w:rsid w:val="00F23BC9"/>
    <w:rsid w:val="00F23FC2"/>
    <w:rsid w:val="00F24274"/>
    <w:rsid w:val="00F24587"/>
    <w:rsid w:val="00F245F2"/>
    <w:rsid w:val="00F2480D"/>
    <w:rsid w:val="00F2506D"/>
    <w:rsid w:val="00F25510"/>
    <w:rsid w:val="00F261C0"/>
    <w:rsid w:val="00F26A52"/>
    <w:rsid w:val="00F26FD3"/>
    <w:rsid w:val="00F27827"/>
    <w:rsid w:val="00F30567"/>
    <w:rsid w:val="00F30657"/>
    <w:rsid w:val="00F30716"/>
    <w:rsid w:val="00F30ADB"/>
    <w:rsid w:val="00F30B95"/>
    <w:rsid w:val="00F30BF8"/>
    <w:rsid w:val="00F30BFF"/>
    <w:rsid w:val="00F30C12"/>
    <w:rsid w:val="00F31253"/>
    <w:rsid w:val="00F3127B"/>
    <w:rsid w:val="00F313FB"/>
    <w:rsid w:val="00F316D8"/>
    <w:rsid w:val="00F317F7"/>
    <w:rsid w:val="00F31803"/>
    <w:rsid w:val="00F318B2"/>
    <w:rsid w:val="00F319E4"/>
    <w:rsid w:val="00F31A21"/>
    <w:rsid w:val="00F31AA8"/>
    <w:rsid w:val="00F31BD6"/>
    <w:rsid w:val="00F31E7A"/>
    <w:rsid w:val="00F32212"/>
    <w:rsid w:val="00F3236D"/>
    <w:rsid w:val="00F33523"/>
    <w:rsid w:val="00F33944"/>
    <w:rsid w:val="00F33F27"/>
    <w:rsid w:val="00F33FDD"/>
    <w:rsid w:val="00F34A18"/>
    <w:rsid w:val="00F34C9F"/>
    <w:rsid w:val="00F34CEC"/>
    <w:rsid w:val="00F34F5E"/>
    <w:rsid w:val="00F34F76"/>
    <w:rsid w:val="00F353BF"/>
    <w:rsid w:val="00F35546"/>
    <w:rsid w:val="00F3571C"/>
    <w:rsid w:val="00F35840"/>
    <w:rsid w:val="00F35AEC"/>
    <w:rsid w:val="00F35BDF"/>
    <w:rsid w:val="00F35E01"/>
    <w:rsid w:val="00F35F33"/>
    <w:rsid w:val="00F3675D"/>
    <w:rsid w:val="00F36925"/>
    <w:rsid w:val="00F37214"/>
    <w:rsid w:val="00F401DD"/>
    <w:rsid w:val="00F410F4"/>
    <w:rsid w:val="00F4129C"/>
    <w:rsid w:val="00F413B5"/>
    <w:rsid w:val="00F41641"/>
    <w:rsid w:val="00F41969"/>
    <w:rsid w:val="00F41B72"/>
    <w:rsid w:val="00F41ED6"/>
    <w:rsid w:val="00F42444"/>
    <w:rsid w:val="00F426A8"/>
    <w:rsid w:val="00F42CD6"/>
    <w:rsid w:val="00F438F4"/>
    <w:rsid w:val="00F43C99"/>
    <w:rsid w:val="00F43CC7"/>
    <w:rsid w:val="00F43E14"/>
    <w:rsid w:val="00F44027"/>
    <w:rsid w:val="00F4404A"/>
    <w:rsid w:val="00F44310"/>
    <w:rsid w:val="00F44662"/>
    <w:rsid w:val="00F447B8"/>
    <w:rsid w:val="00F4541B"/>
    <w:rsid w:val="00F4554E"/>
    <w:rsid w:val="00F4559A"/>
    <w:rsid w:val="00F4570E"/>
    <w:rsid w:val="00F45B17"/>
    <w:rsid w:val="00F45BDE"/>
    <w:rsid w:val="00F46477"/>
    <w:rsid w:val="00F46669"/>
    <w:rsid w:val="00F46704"/>
    <w:rsid w:val="00F477A8"/>
    <w:rsid w:val="00F478B9"/>
    <w:rsid w:val="00F47972"/>
    <w:rsid w:val="00F47ACE"/>
    <w:rsid w:val="00F50123"/>
    <w:rsid w:val="00F50188"/>
    <w:rsid w:val="00F5074C"/>
    <w:rsid w:val="00F50945"/>
    <w:rsid w:val="00F50A55"/>
    <w:rsid w:val="00F50BE7"/>
    <w:rsid w:val="00F50E46"/>
    <w:rsid w:val="00F511EC"/>
    <w:rsid w:val="00F5153D"/>
    <w:rsid w:val="00F51653"/>
    <w:rsid w:val="00F5171F"/>
    <w:rsid w:val="00F51FA9"/>
    <w:rsid w:val="00F522EF"/>
    <w:rsid w:val="00F5289A"/>
    <w:rsid w:val="00F5297C"/>
    <w:rsid w:val="00F52A5D"/>
    <w:rsid w:val="00F52B35"/>
    <w:rsid w:val="00F530E8"/>
    <w:rsid w:val="00F531A6"/>
    <w:rsid w:val="00F534D3"/>
    <w:rsid w:val="00F5370D"/>
    <w:rsid w:val="00F54399"/>
    <w:rsid w:val="00F54610"/>
    <w:rsid w:val="00F54835"/>
    <w:rsid w:val="00F55017"/>
    <w:rsid w:val="00F55104"/>
    <w:rsid w:val="00F552A9"/>
    <w:rsid w:val="00F55739"/>
    <w:rsid w:val="00F55918"/>
    <w:rsid w:val="00F55A18"/>
    <w:rsid w:val="00F55B6F"/>
    <w:rsid w:val="00F55C69"/>
    <w:rsid w:val="00F5614E"/>
    <w:rsid w:val="00F5626B"/>
    <w:rsid w:val="00F562B4"/>
    <w:rsid w:val="00F565E9"/>
    <w:rsid w:val="00F5678F"/>
    <w:rsid w:val="00F568E7"/>
    <w:rsid w:val="00F56A12"/>
    <w:rsid w:val="00F56C81"/>
    <w:rsid w:val="00F56EC1"/>
    <w:rsid w:val="00F5702C"/>
    <w:rsid w:val="00F570DA"/>
    <w:rsid w:val="00F5744A"/>
    <w:rsid w:val="00F5776F"/>
    <w:rsid w:val="00F579EE"/>
    <w:rsid w:val="00F60B74"/>
    <w:rsid w:val="00F60D95"/>
    <w:rsid w:val="00F61077"/>
    <w:rsid w:val="00F61373"/>
    <w:rsid w:val="00F614BA"/>
    <w:rsid w:val="00F616DB"/>
    <w:rsid w:val="00F616E3"/>
    <w:rsid w:val="00F6173E"/>
    <w:rsid w:val="00F61ABE"/>
    <w:rsid w:val="00F61B9E"/>
    <w:rsid w:val="00F62074"/>
    <w:rsid w:val="00F625BE"/>
    <w:rsid w:val="00F62CDA"/>
    <w:rsid w:val="00F63206"/>
    <w:rsid w:val="00F632B7"/>
    <w:rsid w:val="00F632BE"/>
    <w:rsid w:val="00F6351B"/>
    <w:rsid w:val="00F63CFC"/>
    <w:rsid w:val="00F64544"/>
    <w:rsid w:val="00F64A6D"/>
    <w:rsid w:val="00F64DE2"/>
    <w:rsid w:val="00F64F83"/>
    <w:rsid w:val="00F65166"/>
    <w:rsid w:val="00F658ED"/>
    <w:rsid w:val="00F65ABC"/>
    <w:rsid w:val="00F66C32"/>
    <w:rsid w:val="00F66E27"/>
    <w:rsid w:val="00F6711F"/>
    <w:rsid w:val="00F6719E"/>
    <w:rsid w:val="00F67265"/>
    <w:rsid w:val="00F675D0"/>
    <w:rsid w:val="00F67985"/>
    <w:rsid w:val="00F67D07"/>
    <w:rsid w:val="00F67E5C"/>
    <w:rsid w:val="00F700AD"/>
    <w:rsid w:val="00F70404"/>
    <w:rsid w:val="00F7040E"/>
    <w:rsid w:val="00F706B3"/>
    <w:rsid w:val="00F7076F"/>
    <w:rsid w:val="00F70F41"/>
    <w:rsid w:val="00F713B9"/>
    <w:rsid w:val="00F71418"/>
    <w:rsid w:val="00F7161E"/>
    <w:rsid w:val="00F71BB6"/>
    <w:rsid w:val="00F71D8B"/>
    <w:rsid w:val="00F71ED0"/>
    <w:rsid w:val="00F72020"/>
    <w:rsid w:val="00F72B85"/>
    <w:rsid w:val="00F73319"/>
    <w:rsid w:val="00F73A55"/>
    <w:rsid w:val="00F73C57"/>
    <w:rsid w:val="00F73EE3"/>
    <w:rsid w:val="00F740B0"/>
    <w:rsid w:val="00F74650"/>
    <w:rsid w:val="00F746F5"/>
    <w:rsid w:val="00F747F9"/>
    <w:rsid w:val="00F74EF5"/>
    <w:rsid w:val="00F7507C"/>
    <w:rsid w:val="00F75740"/>
    <w:rsid w:val="00F76375"/>
    <w:rsid w:val="00F76614"/>
    <w:rsid w:val="00F768BB"/>
    <w:rsid w:val="00F76AFA"/>
    <w:rsid w:val="00F76FFD"/>
    <w:rsid w:val="00F77409"/>
    <w:rsid w:val="00F774A3"/>
    <w:rsid w:val="00F778A6"/>
    <w:rsid w:val="00F77950"/>
    <w:rsid w:val="00F77B1B"/>
    <w:rsid w:val="00F77B36"/>
    <w:rsid w:val="00F77B3C"/>
    <w:rsid w:val="00F802CC"/>
    <w:rsid w:val="00F804C9"/>
    <w:rsid w:val="00F80554"/>
    <w:rsid w:val="00F80ECE"/>
    <w:rsid w:val="00F8169C"/>
    <w:rsid w:val="00F820B9"/>
    <w:rsid w:val="00F826CC"/>
    <w:rsid w:val="00F82A22"/>
    <w:rsid w:val="00F82A6E"/>
    <w:rsid w:val="00F82AA4"/>
    <w:rsid w:val="00F82D3C"/>
    <w:rsid w:val="00F830E2"/>
    <w:rsid w:val="00F837D0"/>
    <w:rsid w:val="00F8421F"/>
    <w:rsid w:val="00F842D0"/>
    <w:rsid w:val="00F8453C"/>
    <w:rsid w:val="00F852CB"/>
    <w:rsid w:val="00F853B9"/>
    <w:rsid w:val="00F856CA"/>
    <w:rsid w:val="00F85D45"/>
    <w:rsid w:val="00F8623C"/>
    <w:rsid w:val="00F863F9"/>
    <w:rsid w:val="00F8697F"/>
    <w:rsid w:val="00F869C6"/>
    <w:rsid w:val="00F876D9"/>
    <w:rsid w:val="00F877DA"/>
    <w:rsid w:val="00F87893"/>
    <w:rsid w:val="00F87ACA"/>
    <w:rsid w:val="00F87F9F"/>
    <w:rsid w:val="00F90297"/>
    <w:rsid w:val="00F90868"/>
    <w:rsid w:val="00F90F28"/>
    <w:rsid w:val="00F910D6"/>
    <w:rsid w:val="00F91224"/>
    <w:rsid w:val="00F9130A"/>
    <w:rsid w:val="00F91350"/>
    <w:rsid w:val="00F913B3"/>
    <w:rsid w:val="00F91A1D"/>
    <w:rsid w:val="00F91E35"/>
    <w:rsid w:val="00F91F50"/>
    <w:rsid w:val="00F91F7C"/>
    <w:rsid w:val="00F92397"/>
    <w:rsid w:val="00F923B6"/>
    <w:rsid w:val="00F925D7"/>
    <w:rsid w:val="00F9264F"/>
    <w:rsid w:val="00F926D4"/>
    <w:rsid w:val="00F929B2"/>
    <w:rsid w:val="00F92A22"/>
    <w:rsid w:val="00F92C82"/>
    <w:rsid w:val="00F93580"/>
    <w:rsid w:val="00F93AAF"/>
    <w:rsid w:val="00F93E8D"/>
    <w:rsid w:val="00F941ED"/>
    <w:rsid w:val="00F947C4"/>
    <w:rsid w:val="00F9495C"/>
    <w:rsid w:val="00F94A3C"/>
    <w:rsid w:val="00F94B1C"/>
    <w:rsid w:val="00F94C58"/>
    <w:rsid w:val="00F94F86"/>
    <w:rsid w:val="00F9516A"/>
    <w:rsid w:val="00F95BCC"/>
    <w:rsid w:val="00F95EF6"/>
    <w:rsid w:val="00F960F2"/>
    <w:rsid w:val="00F967C5"/>
    <w:rsid w:val="00F96C3A"/>
    <w:rsid w:val="00F96EA6"/>
    <w:rsid w:val="00F96FBD"/>
    <w:rsid w:val="00F97149"/>
    <w:rsid w:val="00F97229"/>
    <w:rsid w:val="00F976CF"/>
    <w:rsid w:val="00F97B9B"/>
    <w:rsid w:val="00F97DB3"/>
    <w:rsid w:val="00F97ECF"/>
    <w:rsid w:val="00FA00CB"/>
    <w:rsid w:val="00FA1156"/>
    <w:rsid w:val="00FA1A7F"/>
    <w:rsid w:val="00FA1AA2"/>
    <w:rsid w:val="00FA1C83"/>
    <w:rsid w:val="00FA2011"/>
    <w:rsid w:val="00FA231B"/>
    <w:rsid w:val="00FA2521"/>
    <w:rsid w:val="00FA2807"/>
    <w:rsid w:val="00FA2A72"/>
    <w:rsid w:val="00FA2D0D"/>
    <w:rsid w:val="00FA2EB8"/>
    <w:rsid w:val="00FA330B"/>
    <w:rsid w:val="00FA335E"/>
    <w:rsid w:val="00FA3766"/>
    <w:rsid w:val="00FA3863"/>
    <w:rsid w:val="00FA3947"/>
    <w:rsid w:val="00FA3B62"/>
    <w:rsid w:val="00FA3BAA"/>
    <w:rsid w:val="00FA3DEF"/>
    <w:rsid w:val="00FA3EFD"/>
    <w:rsid w:val="00FA3F6C"/>
    <w:rsid w:val="00FA42FC"/>
    <w:rsid w:val="00FA486C"/>
    <w:rsid w:val="00FA4A3C"/>
    <w:rsid w:val="00FA4DEA"/>
    <w:rsid w:val="00FA51FB"/>
    <w:rsid w:val="00FA5297"/>
    <w:rsid w:val="00FA57C0"/>
    <w:rsid w:val="00FA5C1F"/>
    <w:rsid w:val="00FA5C7D"/>
    <w:rsid w:val="00FA5C84"/>
    <w:rsid w:val="00FA600E"/>
    <w:rsid w:val="00FA6136"/>
    <w:rsid w:val="00FA6639"/>
    <w:rsid w:val="00FA669A"/>
    <w:rsid w:val="00FA6A88"/>
    <w:rsid w:val="00FA700E"/>
    <w:rsid w:val="00FA7021"/>
    <w:rsid w:val="00FA71C6"/>
    <w:rsid w:val="00FA736B"/>
    <w:rsid w:val="00FA76BB"/>
    <w:rsid w:val="00FA772C"/>
    <w:rsid w:val="00FA778D"/>
    <w:rsid w:val="00FA780A"/>
    <w:rsid w:val="00FA7927"/>
    <w:rsid w:val="00FA7F6F"/>
    <w:rsid w:val="00FB01AD"/>
    <w:rsid w:val="00FB04AB"/>
    <w:rsid w:val="00FB0A8B"/>
    <w:rsid w:val="00FB0A9F"/>
    <w:rsid w:val="00FB1D59"/>
    <w:rsid w:val="00FB2128"/>
    <w:rsid w:val="00FB2E4A"/>
    <w:rsid w:val="00FB35AE"/>
    <w:rsid w:val="00FB388E"/>
    <w:rsid w:val="00FB3981"/>
    <w:rsid w:val="00FB3DDB"/>
    <w:rsid w:val="00FB3FAF"/>
    <w:rsid w:val="00FB447E"/>
    <w:rsid w:val="00FB478E"/>
    <w:rsid w:val="00FB4876"/>
    <w:rsid w:val="00FB4FDE"/>
    <w:rsid w:val="00FB50A9"/>
    <w:rsid w:val="00FB5364"/>
    <w:rsid w:val="00FB542E"/>
    <w:rsid w:val="00FB562C"/>
    <w:rsid w:val="00FB57C0"/>
    <w:rsid w:val="00FB5E87"/>
    <w:rsid w:val="00FB6391"/>
    <w:rsid w:val="00FB63EA"/>
    <w:rsid w:val="00FB705B"/>
    <w:rsid w:val="00FB7AC2"/>
    <w:rsid w:val="00FB7B4B"/>
    <w:rsid w:val="00FB7F75"/>
    <w:rsid w:val="00FC04C8"/>
    <w:rsid w:val="00FC0518"/>
    <w:rsid w:val="00FC051D"/>
    <w:rsid w:val="00FC0760"/>
    <w:rsid w:val="00FC087B"/>
    <w:rsid w:val="00FC0CAE"/>
    <w:rsid w:val="00FC0E67"/>
    <w:rsid w:val="00FC128B"/>
    <w:rsid w:val="00FC14AA"/>
    <w:rsid w:val="00FC14BD"/>
    <w:rsid w:val="00FC1509"/>
    <w:rsid w:val="00FC1602"/>
    <w:rsid w:val="00FC16ED"/>
    <w:rsid w:val="00FC194F"/>
    <w:rsid w:val="00FC21FD"/>
    <w:rsid w:val="00FC2264"/>
    <w:rsid w:val="00FC226E"/>
    <w:rsid w:val="00FC2497"/>
    <w:rsid w:val="00FC24CC"/>
    <w:rsid w:val="00FC2BCD"/>
    <w:rsid w:val="00FC2EFD"/>
    <w:rsid w:val="00FC3648"/>
    <w:rsid w:val="00FC36E4"/>
    <w:rsid w:val="00FC3B1A"/>
    <w:rsid w:val="00FC3BA0"/>
    <w:rsid w:val="00FC3BC8"/>
    <w:rsid w:val="00FC40EF"/>
    <w:rsid w:val="00FC4216"/>
    <w:rsid w:val="00FC4894"/>
    <w:rsid w:val="00FC48B1"/>
    <w:rsid w:val="00FC4A6C"/>
    <w:rsid w:val="00FC4AEE"/>
    <w:rsid w:val="00FC4E37"/>
    <w:rsid w:val="00FC5B66"/>
    <w:rsid w:val="00FC5C45"/>
    <w:rsid w:val="00FC63CB"/>
    <w:rsid w:val="00FC6992"/>
    <w:rsid w:val="00FC6B28"/>
    <w:rsid w:val="00FC7034"/>
    <w:rsid w:val="00FC705B"/>
    <w:rsid w:val="00FC7445"/>
    <w:rsid w:val="00FC7607"/>
    <w:rsid w:val="00FC789B"/>
    <w:rsid w:val="00FD00EC"/>
    <w:rsid w:val="00FD0489"/>
    <w:rsid w:val="00FD11D2"/>
    <w:rsid w:val="00FD13BC"/>
    <w:rsid w:val="00FD150B"/>
    <w:rsid w:val="00FD162F"/>
    <w:rsid w:val="00FD1911"/>
    <w:rsid w:val="00FD1BD9"/>
    <w:rsid w:val="00FD1C6D"/>
    <w:rsid w:val="00FD2326"/>
    <w:rsid w:val="00FD26EF"/>
    <w:rsid w:val="00FD2B0A"/>
    <w:rsid w:val="00FD2C62"/>
    <w:rsid w:val="00FD304C"/>
    <w:rsid w:val="00FD3131"/>
    <w:rsid w:val="00FD37BC"/>
    <w:rsid w:val="00FD38BA"/>
    <w:rsid w:val="00FD39B3"/>
    <w:rsid w:val="00FD3B9A"/>
    <w:rsid w:val="00FD3DBE"/>
    <w:rsid w:val="00FD41AF"/>
    <w:rsid w:val="00FD4D6C"/>
    <w:rsid w:val="00FD581A"/>
    <w:rsid w:val="00FD5B3E"/>
    <w:rsid w:val="00FD5C9E"/>
    <w:rsid w:val="00FD5DDC"/>
    <w:rsid w:val="00FD5F55"/>
    <w:rsid w:val="00FD6166"/>
    <w:rsid w:val="00FD62FF"/>
    <w:rsid w:val="00FD6484"/>
    <w:rsid w:val="00FD6512"/>
    <w:rsid w:val="00FD6BD9"/>
    <w:rsid w:val="00FD7057"/>
    <w:rsid w:val="00FD72C0"/>
    <w:rsid w:val="00FD74FB"/>
    <w:rsid w:val="00FD75E8"/>
    <w:rsid w:val="00FD7A2B"/>
    <w:rsid w:val="00FD7AC6"/>
    <w:rsid w:val="00FD7B99"/>
    <w:rsid w:val="00FD7F4F"/>
    <w:rsid w:val="00FE01CF"/>
    <w:rsid w:val="00FE0CD6"/>
    <w:rsid w:val="00FE0EAF"/>
    <w:rsid w:val="00FE0EC5"/>
    <w:rsid w:val="00FE0F74"/>
    <w:rsid w:val="00FE14A3"/>
    <w:rsid w:val="00FE169D"/>
    <w:rsid w:val="00FE177C"/>
    <w:rsid w:val="00FE19A2"/>
    <w:rsid w:val="00FE1DE7"/>
    <w:rsid w:val="00FE2016"/>
    <w:rsid w:val="00FE226E"/>
    <w:rsid w:val="00FE2467"/>
    <w:rsid w:val="00FE2555"/>
    <w:rsid w:val="00FE2B22"/>
    <w:rsid w:val="00FE2DF7"/>
    <w:rsid w:val="00FE3207"/>
    <w:rsid w:val="00FE379D"/>
    <w:rsid w:val="00FE41E3"/>
    <w:rsid w:val="00FE44B5"/>
    <w:rsid w:val="00FE4875"/>
    <w:rsid w:val="00FE4C43"/>
    <w:rsid w:val="00FE5275"/>
    <w:rsid w:val="00FE52A2"/>
    <w:rsid w:val="00FE6682"/>
    <w:rsid w:val="00FE6834"/>
    <w:rsid w:val="00FE70D2"/>
    <w:rsid w:val="00FE73CF"/>
    <w:rsid w:val="00FE7985"/>
    <w:rsid w:val="00FE7994"/>
    <w:rsid w:val="00FE7E25"/>
    <w:rsid w:val="00FF0B62"/>
    <w:rsid w:val="00FF115B"/>
    <w:rsid w:val="00FF129D"/>
    <w:rsid w:val="00FF1488"/>
    <w:rsid w:val="00FF17FA"/>
    <w:rsid w:val="00FF181C"/>
    <w:rsid w:val="00FF1FC0"/>
    <w:rsid w:val="00FF2031"/>
    <w:rsid w:val="00FF2115"/>
    <w:rsid w:val="00FF2396"/>
    <w:rsid w:val="00FF2559"/>
    <w:rsid w:val="00FF2608"/>
    <w:rsid w:val="00FF2F7D"/>
    <w:rsid w:val="00FF3368"/>
    <w:rsid w:val="00FF3463"/>
    <w:rsid w:val="00FF35AF"/>
    <w:rsid w:val="00FF36E6"/>
    <w:rsid w:val="00FF3987"/>
    <w:rsid w:val="00FF3D88"/>
    <w:rsid w:val="00FF444D"/>
    <w:rsid w:val="00FF4726"/>
    <w:rsid w:val="00FF4841"/>
    <w:rsid w:val="00FF4B54"/>
    <w:rsid w:val="00FF5571"/>
    <w:rsid w:val="00FF587A"/>
    <w:rsid w:val="00FF58D4"/>
    <w:rsid w:val="00FF626F"/>
    <w:rsid w:val="00FF6489"/>
    <w:rsid w:val="00FF6545"/>
    <w:rsid w:val="00FF6594"/>
    <w:rsid w:val="00FF659E"/>
    <w:rsid w:val="00FF65B1"/>
    <w:rsid w:val="00FF6B76"/>
    <w:rsid w:val="00FF6D99"/>
    <w:rsid w:val="00FF6FDB"/>
    <w:rsid w:val="00FF757B"/>
    <w:rsid w:val="00FF7941"/>
    <w:rsid w:val="00FF7992"/>
    <w:rsid w:val="00FF7A5C"/>
    <w:rsid w:val="010ADD3B"/>
    <w:rsid w:val="0173AAE2"/>
    <w:rsid w:val="02676DD5"/>
    <w:rsid w:val="032481C9"/>
    <w:rsid w:val="033ED7EE"/>
    <w:rsid w:val="03B65256"/>
    <w:rsid w:val="03D7DB01"/>
    <w:rsid w:val="03EAC647"/>
    <w:rsid w:val="04598902"/>
    <w:rsid w:val="04B31552"/>
    <w:rsid w:val="0555E9C3"/>
    <w:rsid w:val="057DBC46"/>
    <w:rsid w:val="058EF71D"/>
    <w:rsid w:val="059F0E97"/>
    <w:rsid w:val="05C4192C"/>
    <w:rsid w:val="05D5D6AD"/>
    <w:rsid w:val="0620B26E"/>
    <w:rsid w:val="06431205"/>
    <w:rsid w:val="068AE404"/>
    <w:rsid w:val="06A733C8"/>
    <w:rsid w:val="07161D22"/>
    <w:rsid w:val="07BCAAD3"/>
    <w:rsid w:val="07DC523A"/>
    <w:rsid w:val="08C697DF"/>
    <w:rsid w:val="0902AAE8"/>
    <w:rsid w:val="0944463B"/>
    <w:rsid w:val="096FF8C6"/>
    <w:rsid w:val="0A0AD30D"/>
    <w:rsid w:val="0A1BF6D3"/>
    <w:rsid w:val="0A59E51C"/>
    <w:rsid w:val="0B52F250"/>
    <w:rsid w:val="0BCA20CE"/>
    <w:rsid w:val="0BF0F7DA"/>
    <w:rsid w:val="0C4B8C55"/>
    <w:rsid w:val="0D4130C7"/>
    <w:rsid w:val="0D46024B"/>
    <w:rsid w:val="0D78A237"/>
    <w:rsid w:val="0DA1F688"/>
    <w:rsid w:val="0DD29540"/>
    <w:rsid w:val="0E37A31B"/>
    <w:rsid w:val="0E9A10EE"/>
    <w:rsid w:val="0E9A7ED8"/>
    <w:rsid w:val="0FAC08C0"/>
    <w:rsid w:val="0FB637DC"/>
    <w:rsid w:val="0FC20ED6"/>
    <w:rsid w:val="0FD3B12B"/>
    <w:rsid w:val="0FFEAADF"/>
    <w:rsid w:val="10353FF9"/>
    <w:rsid w:val="111A1CEB"/>
    <w:rsid w:val="11656DC9"/>
    <w:rsid w:val="122FCF17"/>
    <w:rsid w:val="1268F231"/>
    <w:rsid w:val="12EDD89E"/>
    <w:rsid w:val="136122FE"/>
    <w:rsid w:val="136E3F05"/>
    <w:rsid w:val="1566B8A9"/>
    <w:rsid w:val="15CF2165"/>
    <w:rsid w:val="15E300CE"/>
    <w:rsid w:val="15F26E9B"/>
    <w:rsid w:val="17655A49"/>
    <w:rsid w:val="17727650"/>
    <w:rsid w:val="177F7AFB"/>
    <w:rsid w:val="186EF368"/>
    <w:rsid w:val="1896657B"/>
    <w:rsid w:val="18D04F8E"/>
    <w:rsid w:val="18D0A1BD"/>
    <w:rsid w:val="193CB9DD"/>
    <w:rsid w:val="19415611"/>
    <w:rsid w:val="19487CFA"/>
    <w:rsid w:val="1950FD51"/>
    <w:rsid w:val="196E316B"/>
    <w:rsid w:val="197336A2"/>
    <w:rsid w:val="19BFDBE0"/>
    <w:rsid w:val="19DB2106"/>
    <w:rsid w:val="1A199FAD"/>
    <w:rsid w:val="1A1E2C5F"/>
    <w:rsid w:val="1A3397D5"/>
    <w:rsid w:val="1B0A01CC"/>
    <w:rsid w:val="1B180EB0"/>
    <w:rsid w:val="1B622B26"/>
    <w:rsid w:val="1BB20F3A"/>
    <w:rsid w:val="1BF2C48A"/>
    <w:rsid w:val="1BFF8482"/>
    <w:rsid w:val="1C240B7B"/>
    <w:rsid w:val="1C709B1A"/>
    <w:rsid w:val="1CD8A0C4"/>
    <w:rsid w:val="1DE2B9F4"/>
    <w:rsid w:val="1E92B4E8"/>
    <w:rsid w:val="1EDACB7C"/>
    <w:rsid w:val="1EF19D82"/>
    <w:rsid w:val="1F012A8D"/>
    <w:rsid w:val="1F081AF9"/>
    <w:rsid w:val="1F14DD68"/>
    <w:rsid w:val="1F18FD2E"/>
    <w:rsid w:val="1F7C1DD3"/>
    <w:rsid w:val="20155CEC"/>
    <w:rsid w:val="2036AF3D"/>
    <w:rsid w:val="20744586"/>
    <w:rsid w:val="20C036B0"/>
    <w:rsid w:val="20D507A1"/>
    <w:rsid w:val="2167C479"/>
    <w:rsid w:val="21902FF5"/>
    <w:rsid w:val="21B12D4D"/>
    <w:rsid w:val="223737B8"/>
    <w:rsid w:val="224B4CC4"/>
    <w:rsid w:val="225FCF6C"/>
    <w:rsid w:val="22CF7EE6"/>
    <w:rsid w:val="22EBAC35"/>
    <w:rsid w:val="231FE2EF"/>
    <w:rsid w:val="23266724"/>
    <w:rsid w:val="23B8484E"/>
    <w:rsid w:val="23EC6555"/>
    <w:rsid w:val="245CD856"/>
    <w:rsid w:val="24683B86"/>
    <w:rsid w:val="2488AF21"/>
    <w:rsid w:val="249330E1"/>
    <w:rsid w:val="24CE2AB7"/>
    <w:rsid w:val="255A7AC2"/>
    <w:rsid w:val="256450A6"/>
    <w:rsid w:val="25AD03DD"/>
    <w:rsid w:val="260E1F64"/>
    <w:rsid w:val="26879121"/>
    <w:rsid w:val="26C5A4FD"/>
    <w:rsid w:val="279189C0"/>
    <w:rsid w:val="279E7455"/>
    <w:rsid w:val="27B493FB"/>
    <w:rsid w:val="27C140A7"/>
    <w:rsid w:val="27C5017E"/>
    <w:rsid w:val="27DE2C21"/>
    <w:rsid w:val="28A69C5D"/>
    <w:rsid w:val="28AADA6C"/>
    <w:rsid w:val="291473F0"/>
    <w:rsid w:val="292557CE"/>
    <w:rsid w:val="2A4CEFAC"/>
    <w:rsid w:val="2B5303AB"/>
    <w:rsid w:val="2B580F93"/>
    <w:rsid w:val="2B870D02"/>
    <w:rsid w:val="2BABCF06"/>
    <w:rsid w:val="2BB15BA0"/>
    <w:rsid w:val="2BC8E9D6"/>
    <w:rsid w:val="2C9DB763"/>
    <w:rsid w:val="2CCA0766"/>
    <w:rsid w:val="2D32C861"/>
    <w:rsid w:val="2D4EEED5"/>
    <w:rsid w:val="2E282AD8"/>
    <w:rsid w:val="2EA05D8F"/>
    <w:rsid w:val="2EA8D8B2"/>
    <w:rsid w:val="2EDB4C09"/>
    <w:rsid w:val="2F60C031"/>
    <w:rsid w:val="30FCCDFB"/>
    <w:rsid w:val="313D945E"/>
    <w:rsid w:val="316F8BCD"/>
    <w:rsid w:val="317E2C43"/>
    <w:rsid w:val="31D403FA"/>
    <w:rsid w:val="31F1A331"/>
    <w:rsid w:val="31F57CCD"/>
    <w:rsid w:val="32DC665B"/>
    <w:rsid w:val="33460DA0"/>
    <w:rsid w:val="3368117F"/>
    <w:rsid w:val="336FD45B"/>
    <w:rsid w:val="33702548"/>
    <w:rsid w:val="33B977C7"/>
    <w:rsid w:val="34A27428"/>
    <w:rsid w:val="34FEF1D9"/>
    <w:rsid w:val="3524CD19"/>
    <w:rsid w:val="35C330B7"/>
    <w:rsid w:val="3665E000"/>
    <w:rsid w:val="368004B7"/>
    <w:rsid w:val="373F988C"/>
    <w:rsid w:val="377BB418"/>
    <w:rsid w:val="37C1A0AB"/>
    <w:rsid w:val="381B8A9C"/>
    <w:rsid w:val="38899E12"/>
    <w:rsid w:val="39CD5E2A"/>
    <w:rsid w:val="39EB8B59"/>
    <w:rsid w:val="3A1E216D"/>
    <w:rsid w:val="3A500653"/>
    <w:rsid w:val="3A8A8638"/>
    <w:rsid w:val="3A932483"/>
    <w:rsid w:val="3B2A37BE"/>
    <w:rsid w:val="3B36A7E5"/>
    <w:rsid w:val="3BB08AF9"/>
    <w:rsid w:val="3C3B951F"/>
    <w:rsid w:val="3C5B033D"/>
    <w:rsid w:val="3CC1CDCA"/>
    <w:rsid w:val="3CD4E534"/>
    <w:rsid w:val="3D167E4C"/>
    <w:rsid w:val="3D3B99C8"/>
    <w:rsid w:val="3DFF9A22"/>
    <w:rsid w:val="3E1888E7"/>
    <w:rsid w:val="3E335C58"/>
    <w:rsid w:val="3E4623A5"/>
    <w:rsid w:val="3E65A3DA"/>
    <w:rsid w:val="3E9A7BE0"/>
    <w:rsid w:val="3EF8CC54"/>
    <w:rsid w:val="3FDF574F"/>
    <w:rsid w:val="3FF87FAC"/>
    <w:rsid w:val="40D3BE31"/>
    <w:rsid w:val="40FEFD53"/>
    <w:rsid w:val="41B28839"/>
    <w:rsid w:val="4206C72A"/>
    <w:rsid w:val="42651478"/>
    <w:rsid w:val="429933A2"/>
    <w:rsid w:val="4328587A"/>
    <w:rsid w:val="432A0674"/>
    <w:rsid w:val="433054B5"/>
    <w:rsid w:val="436CABC0"/>
    <w:rsid w:val="4385F825"/>
    <w:rsid w:val="43BD0D41"/>
    <w:rsid w:val="44229BD3"/>
    <w:rsid w:val="446298FD"/>
    <w:rsid w:val="447979D8"/>
    <w:rsid w:val="44D42EFE"/>
    <w:rsid w:val="44EA30D0"/>
    <w:rsid w:val="458FA960"/>
    <w:rsid w:val="4597B65F"/>
    <w:rsid w:val="4608D896"/>
    <w:rsid w:val="46198B8E"/>
    <w:rsid w:val="462090EA"/>
    <w:rsid w:val="4648F573"/>
    <w:rsid w:val="46CF2A1D"/>
    <w:rsid w:val="46EEB1A4"/>
    <w:rsid w:val="471D2892"/>
    <w:rsid w:val="471F33FA"/>
    <w:rsid w:val="48039191"/>
    <w:rsid w:val="4857E652"/>
    <w:rsid w:val="48F0DC8C"/>
    <w:rsid w:val="492F1F7D"/>
    <w:rsid w:val="497F6DB2"/>
    <w:rsid w:val="49D56997"/>
    <w:rsid w:val="49E01647"/>
    <w:rsid w:val="49EEB8AA"/>
    <w:rsid w:val="4A029858"/>
    <w:rsid w:val="4B3B3253"/>
    <w:rsid w:val="4B8C44AD"/>
    <w:rsid w:val="4BD1AADB"/>
    <w:rsid w:val="4BED47A5"/>
    <w:rsid w:val="4C0B4A17"/>
    <w:rsid w:val="4C0F59C0"/>
    <w:rsid w:val="4CB48D06"/>
    <w:rsid w:val="4D12952F"/>
    <w:rsid w:val="4D475D8C"/>
    <w:rsid w:val="4D49A44C"/>
    <w:rsid w:val="4D61D411"/>
    <w:rsid w:val="4D6D7B3C"/>
    <w:rsid w:val="4E1A48BC"/>
    <w:rsid w:val="4FF92A22"/>
    <w:rsid w:val="50B734EA"/>
    <w:rsid w:val="50E82688"/>
    <w:rsid w:val="51033B4A"/>
    <w:rsid w:val="51B75890"/>
    <w:rsid w:val="5202DC35"/>
    <w:rsid w:val="52DE10D5"/>
    <w:rsid w:val="5328430A"/>
    <w:rsid w:val="552128BA"/>
    <w:rsid w:val="55A9B6DC"/>
    <w:rsid w:val="55B70137"/>
    <w:rsid w:val="55BAB7D3"/>
    <w:rsid w:val="55BCAF2F"/>
    <w:rsid w:val="560B7EA3"/>
    <w:rsid w:val="56217771"/>
    <w:rsid w:val="5652DC06"/>
    <w:rsid w:val="56576E38"/>
    <w:rsid w:val="57AE5747"/>
    <w:rsid w:val="57E03AB7"/>
    <w:rsid w:val="58598CDE"/>
    <w:rsid w:val="58CD911E"/>
    <w:rsid w:val="58FF3DB8"/>
    <w:rsid w:val="593E956D"/>
    <w:rsid w:val="59978890"/>
    <w:rsid w:val="599EBA12"/>
    <w:rsid w:val="5AE132AC"/>
    <w:rsid w:val="5AE95CA0"/>
    <w:rsid w:val="5AEFCCCF"/>
    <w:rsid w:val="5B0D653F"/>
    <w:rsid w:val="5B4BFD5E"/>
    <w:rsid w:val="5B76AAB4"/>
    <w:rsid w:val="5C2BF0B3"/>
    <w:rsid w:val="5C7BBB3C"/>
    <w:rsid w:val="5C7D030D"/>
    <w:rsid w:val="5C852D01"/>
    <w:rsid w:val="5D57A6D8"/>
    <w:rsid w:val="5D758B5D"/>
    <w:rsid w:val="5DBDE25F"/>
    <w:rsid w:val="5E1D98CB"/>
    <w:rsid w:val="5EA14560"/>
    <w:rsid w:val="5EB9D63B"/>
    <w:rsid w:val="5F639175"/>
    <w:rsid w:val="5FFA09FD"/>
    <w:rsid w:val="6004B03C"/>
    <w:rsid w:val="6017AAB1"/>
    <w:rsid w:val="605D4FD3"/>
    <w:rsid w:val="60F7E98B"/>
    <w:rsid w:val="61577AFD"/>
    <w:rsid w:val="61758D18"/>
    <w:rsid w:val="61AF5CCA"/>
    <w:rsid w:val="61D73749"/>
    <w:rsid w:val="61DD4118"/>
    <w:rsid w:val="623C499D"/>
    <w:rsid w:val="62880EBB"/>
    <w:rsid w:val="62965966"/>
    <w:rsid w:val="62F8F774"/>
    <w:rsid w:val="6355B4AB"/>
    <w:rsid w:val="6440D4A2"/>
    <w:rsid w:val="64652F0A"/>
    <w:rsid w:val="648F39EE"/>
    <w:rsid w:val="64A10579"/>
    <w:rsid w:val="64CBD681"/>
    <w:rsid w:val="64E6FD8C"/>
    <w:rsid w:val="6589C426"/>
    <w:rsid w:val="658E6601"/>
    <w:rsid w:val="65ED2F87"/>
    <w:rsid w:val="65FAE99D"/>
    <w:rsid w:val="6605EE87"/>
    <w:rsid w:val="66B25D96"/>
    <w:rsid w:val="67C29A3E"/>
    <w:rsid w:val="688043C7"/>
    <w:rsid w:val="689B0A1C"/>
    <w:rsid w:val="68F938E4"/>
    <w:rsid w:val="6945E2AD"/>
    <w:rsid w:val="696838F8"/>
    <w:rsid w:val="69D0CF80"/>
    <w:rsid w:val="69ED9431"/>
    <w:rsid w:val="6A05F53A"/>
    <w:rsid w:val="6A617CC3"/>
    <w:rsid w:val="6A839A51"/>
    <w:rsid w:val="6ABD87BF"/>
    <w:rsid w:val="6B040959"/>
    <w:rsid w:val="6B8745AA"/>
    <w:rsid w:val="6C1A543D"/>
    <w:rsid w:val="6C9F41BD"/>
    <w:rsid w:val="6D2507D8"/>
    <w:rsid w:val="6D5336F6"/>
    <w:rsid w:val="6D554021"/>
    <w:rsid w:val="6D6DC16D"/>
    <w:rsid w:val="6D7BB6C4"/>
    <w:rsid w:val="6DA4CE15"/>
    <w:rsid w:val="6E06BFF2"/>
    <w:rsid w:val="6E727E1E"/>
    <w:rsid w:val="6EAEC7E3"/>
    <w:rsid w:val="6EC896EE"/>
    <w:rsid w:val="6F00709A"/>
    <w:rsid w:val="6F0A060E"/>
    <w:rsid w:val="6F14816E"/>
    <w:rsid w:val="6F5BB411"/>
    <w:rsid w:val="6F687A68"/>
    <w:rsid w:val="6F7DFBC0"/>
    <w:rsid w:val="6FC2C9F9"/>
    <w:rsid w:val="6FD77A7C"/>
    <w:rsid w:val="6FDBE83B"/>
    <w:rsid w:val="70655B40"/>
    <w:rsid w:val="712849F6"/>
    <w:rsid w:val="71F1714E"/>
    <w:rsid w:val="720037B0"/>
    <w:rsid w:val="734C29A8"/>
    <w:rsid w:val="734EE09C"/>
    <w:rsid w:val="73895B8B"/>
    <w:rsid w:val="738B9E3C"/>
    <w:rsid w:val="73BA5F73"/>
    <w:rsid w:val="73DC92CA"/>
    <w:rsid w:val="74391803"/>
    <w:rsid w:val="74AAEB9F"/>
    <w:rsid w:val="75451D37"/>
    <w:rsid w:val="7554C4B6"/>
    <w:rsid w:val="756D99D1"/>
    <w:rsid w:val="758290F0"/>
    <w:rsid w:val="75858635"/>
    <w:rsid w:val="75A709CE"/>
    <w:rsid w:val="75F907EC"/>
    <w:rsid w:val="760B61DC"/>
    <w:rsid w:val="7648ADED"/>
    <w:rsid w:val="76875CD1"/>
    <w:rsid w:val="77215696"/>
    <w:rsid w:val="77738C4D"/>
    <w:rsid w:val="779F9D49"/>
    <w:rsid w:val="77E5E32E"/>
    <w:rsid w:val="78232D32"/>
    <w:rsid w:val="7849B2B6"/>
    <w:rsid w:val="786895D1"/>
    <w:rsid w:val="7896DEE9"/>
    <w:rsid w:val="78C04F07"/>
    <w:rsid w:val="795E0986"/>
    <w:rsid w:val="7A3FCEFB"/>
    <w:rsid w:val="7A4C4475"/>
    <w:rsid w:val="7B310807"/>
    <w:rsid w:val="7B33D7AE"/>
    <w:rsid w:val="7B53668B"/>
    <w:rsid w:val="7B7291E9"/>
    <w:rsid w:val="7B95A7EF"/>
    <w:rsid w:val="7BD91BE9"/>
    <w:rsid w:val="7BEE8D98"/>
    <w:rsid w:val="7C013D33"/>
    <w:rsid w:val="7CA620CC"/>
    <w:rsid w:val="7D39EBC5"/>
    <w:rsid w:val="7D549E54"/>
    <w:rsid w:val="7DCF5357"/>
    <w:rsid w:val="7E96057C"/>
    <w:rsid w:val="7EB59F6A"/>
    <w:rsid w:val="7EC9CA6D"/>
    <w:rsid w:val="7F13401E"/>
    <w:rsid w:val="7F2C687B"/>
    <w:rsid w:val="7F38DDF5"/>
    <w:rsid w:val="7F772357"/>
    <w:rsid w:val="7FDA8EE2"/>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A468A56"/>
  <w15:docId w15:val="{7EF82959-84C8-4033-9283-A0AC1A4AE3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17740"/>
    <w:rPr>
      <w:rFonts w:asciiTheme="minorHAnsi" w:eastAsia="Times New Roman" w:hAnsiTheme="minorHAnsi" w:cs="Times New Roman"/>
      <w:sz w:val="24"/>
      <w:szCs w:val="24"/>
      <w:lang w:val="en-AU"/>
    </w:rPr>
  </w:style>
  <w:style w:type="paragraph" w:styleId="Heading1">
    <w:name w:val="heading 1"/>
    <w:next w:val="Normal"/>
    <w:link w:val="Heading1Char"/>
    <w:uiPriority w:val="9"/>
    <w:qFormat/>
    <w:rsid w:val="00844472"/>
    <w:pPr>
      <w:keepNext/>
      <w:numPr>
        <w:numId w:val="15"/>
      </w:numPr>
      <w:tabs>
        <w:tab w:val="left" w:pos="1134"/>
      </w:tabs>
      <w:spacing w:after="480"/>
      <w:outlineLvl w:val="0"/>
    </w:pPr>
    <w:rPr>
      <w:rFonts w:ascii="Calibri" w:eastAsia="Times New Roman" w:hAnsi="Calibri" w:cs="Times New Roman"/>
      <w:b/>
      <w:bCs/>
      <w:color w:val="0196A7" w:themeColor="accent3"/>
      <w:sz w:val="48"/>
      <w:szCs w:val="28"/>
      <w:lang w:val="en-AU"/>
    </w:rPr>
  </w:style>
  <w:style w:type="paragraph" w:styleId="Heading2">
    <w:name w:val="heading 2"/>
    <w:basedOn w:val="Heading1"/>
    <w:next w:val="Normal"/>
    <w:link w:val="Heading2Char"/>
    <w:uiPriority w:val="9"/>
    <w:unhideWhenUsed/>
    <w:qFormat/>
    <w:rsid w:val="00844472"/>
    <w:pPr>
      <w:keepLines/>
      <w:numPr>
        <w:ilvl w:val="1"/>
      </w:numPr>
      <w:spacing w:before="360" w:after="240"/>
      <w:outlineLvl w:val="1"/>
    </w:pPr>
    <w:rPr>
      <w:bCs w:val="0"/>
      <w:sz w:val="32"/>
      <w:szCs w:val="26"/>
    </w:rPr>
  </w:style>
  <w:style w:type="paragraph" w:styleId="Heading3">
    <w:name w:val="heading 3"/>
    <w:basedOn w:val="Heading2"/>
    <w:next w:val="Normal"/>
    <w:link w:val="Heading3Char"/>
    <w:uiPriority w:val="9"/>
    <w:unhideWhenUsed/>
    <w:rsid w:val="003E4DFA"/>
    <w:pPr>
      <w:numPr>
        <w:ilvl w:val="2"/>
      </w:numPr>
      <w:spacing w:before="300" w:after="120"/>
      <w:outlineLvl w:val="2"/>
    </w:pPr>
    <w:rPr>
      <w:bCs/>
      <w:sz w:val="26"/>
    </w:rPr>
  </w:style>
  <w:style w:type="paragraph" w:styleId="Heading4">
    <w:name w:val="heading 4"/>
    <w:basedOn w:val="Heading3"/>
    <w:next w:val="Normal"/>
    <w:link w:val="Heading4Char"/>
    <w:uiPriority w:val="9"/>
    <w:unhideWhenUsed/>
    <w:qFormat/>
    <w:rsid w:val="006734AE"/>
    <w:pPr>
      <w:numPr>
        <w:ilvl w:val="3"/>
      </w:numPr>
      <w:spacing w:before="240"/>
      <w:ind w:left="737" w:hanging="737"/>
      <w:outlineLvl w:val="3"/>
    </w:pPr>
    <w:rPr>
      <w:rFonts w:asciiTheme="majorHAnsi" w:hAnsiTheme="majorHAnsi"/>
      <w:bCs w:val="0"/>
      <w:iCs/>
      <w:sz w:val="22"/>
    </w:rPr>
  </w:style>
  <w:style w:type="paragraph" w:styleId="Heading5">
    <w:name w:val="heading 5"/>
    <w:basedOn w:val="Heading4"/>
    <w:next w:val="Normal"/>
    <w:link w:val="Heading5Char"/>
    <w:uiPriority w:val="9"/>
    <w:unhideWhenUsed/>
    <w:rsid w:val="00C72D61"/>
    <w:pPr>
      <w:numPr>
        <w:ilvl w:val="4"/>
      </w:numPr>
      <w:spacing w:before="360" w:after="80"/>
      <w:outlineLvl w:val="4"/>
    </w:pPr>
    <w:rPr>
      <w:b w:val="0"/>
    </w:rPr>
  </w:style>
  <w:style w:type="paragraph" w:styleId="Heading6">
    <w:name w:val="heading 6"/>
    <w:basedOn w:val="Normal"/>
    <w:next w:val="Normal"/>
    <w:link w:val="Heading6Char"/>
    <w:uiPriority w:val="9"/>
    <w:semiHidden/>
    <w:unhideWhenUsed/>
    <w:rsid w:val="00EF6B9D"/>
    <w:pPr>
      <w:keepNext/>
      <w:keepLines/>
      <w:numPr>
        <w:ilvl w:val="5"/>
        <w:numId w:val="15"/>
      </w:numPr>
      <w:spacing w:before="200"/>
      <w:outlineLvl w:val="5"/>
    </w:pPr>
    <w:rPr>
      <w:rFonts w:ascii="Cambria" w:hAnsi="Cambria"/>
      <w:i/>
      <w:iCs/>
      <w:color w:val="243F60"/>
    </w:rPr>
  </w:style>
  <w:style w:type="paragraph" w:styleId="Heading7">
    <w:name w:val="heading 7"/>
    <w:basedOn w:val="Normal"/>
    <w:next w:val="Normal"/>
    <w:link w:val="Heading7Char"/>
    <w:uiPriority w:val="9"/>
    <w:rsid w:val="00EF6B9D"/>
    <w:pPr>
      <w:keepNext/>
      <w:keepLines/>
      <w:numPr>
        <w:ilvl w:val="6"/>
        <w:numId w:val="15"/>
      </w:numPr>
      <w:spacing w:before="200"/>
      <w:outlineLvl w:val="6"/>
    </w:pPr>
    <w:rPr>
      <w:rFonts w:ascii="Cambria" w:hAnsi="Cambria"/>
      <w:i/>
      <w:iCs/>
      <w:color w:val="404040"/>
    </w:rPr>
  </w:style>
  <w:style w:type="paragraph" w:styleId="Heading8">
    <w:name w:val="heading 8"/>
    <w:basedOn w:val="Normal"/>
    <w:next w:val="Normal"/>
    <w:link w:val="Heading8Char"/>
    <w:uiPriority w:val="9"/>
    <w:rsid w:val="00EF6B9D"/>
    <w:pPr>
      <w:keepNext/>
      <w:keepLines/>
      <w:numPr>
        <w:ilvl w:val="7"/>
        <w:numId w:val="15"/>
      </w:numPr>
      <w:spacing w:before="200"/>
      <w:outlineLvl w:val="7"/>
    </w:pPr>
    <w:rPr>
      <w:rFonts w:ascii="Cambria" w:hAnsi="Cambria"/>
      <w:color w:val="4F81BD"/>
      <w:szCs w:val="20"/>
    </w:rPr>
  </w:style>
  <w:style w:type="paragraph" w:styleId="Heading9">
    <w:name w:val="heading 9"/>
    <w:basedOn w:val="Normal"/>
    <w:next w:val="Normal"/>
    <w:link w:val="Heading9Char"/>
    <w:uiPriority w:val="9"/>
    <w:rsid w:val="00EF6B9D"/>
    <w:pPr>
      <w:keepNext/>
      <w:keepLines/>
      <w:numPr>
        <w:ilvl w:val="8"/>
        <w:numId w:val="15"/>
      </w:numPr>
      <w:spacing w:before="200"/>
      <w:outlineLvl w:val="8"/>
    </w:pPr>
    <w:rPr>
      <w:rFonts w:ascii="Cambria" w:hAnsi="Cambria"/>
      <w:i/>
      <w:iCs/>
      <w:color w:val="40404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rsid w:val="00065A36"/>
    <w:pPr>
      <w:keepNext/>
      <w:keepLines/>
    </w:pPr>
    <w:rPr>
      <w:rFonts w:ascii="Calibri" w:hAnsi="Calibri"/>
      <w:b/>
      <w:color w:val="FFFFFF" w:themeColor="background1"/>
      <w:sz w:val="52"/>
      <w:szCs w:val="72"/>
    </w:rPr>
  </w:style>
  <w:style w:type="character" w:customStyle="1" w:styleId="Heading1Char">
    <w:name w:val="Heading 1 Char"/>
    <w:link w:val="Heading1"/>
    <w:uiPriority w:val="9"/>
    <w:rsid w:val="00844472"/>
    <w:rPr>
      <w:rFonts w:ascii="Calibri" w:eastAsia="Times New Roman" w:hAnsi="Calibri" w:cs="Times New Roman"/>
      <w:b/>
      <w:bCs/>
      <w:color w:val="0196A7" w:themeColor="accent3"/>
      <w:sz w:val="48"/>
      <w:szCs w:val="28"/>
      <w:lang w:val="en-AU"/>
    </w:rPr>
  </w:style>
  <w:style w:type="character" w:customStyle="1" w:styleId="Heading2Char">
    <w:name w:val="Heading 2 Char"/>
    <w:link w:val="Heading2"/>
    <w:uiPriority w:val="9"/>
    <w:rsid w:val="00844472"/>
    <w:rPr>
      <w:rFonts w:ascii="Calibri" w:eastAsia="Times New Roman" w:hAnsi="Calibri" w:cs="Times New Roman"/>
      <w:b/>
      <w:color w:val="0196A7" w:themeColor="accent3"/>
      <w:sz w:val="32"/>
      <w:szCs w:val="26"/>
      <w:lang w:val="en-AU"/>
    </w:rPr>
  </w:style>
  <w:style w:type="character" w:customStyle="1" w:styleId="Heading3Char">
    <w:name w:val="Heading 3 Char"/>
    <w:link w:val="Heading3"/>
    <w:uiPriority w:val="9"/>
    <w:rsid w:val="003E4DFA"/>
    <w:rPr>
      <w:rFonts w:ascii="Calibri" w:eastAsia="Times New Roman" w:hAnsi="Calibri" w:cs="Times New Roman"/>
      <w:b/>
      <w:bCs/>
      <w:color w:val="0196A7" w:themeColor="accent3"/>
      <w:sz w:val="26"/>
      <w:szCs w:val="26"/>
      <w:lang w:val="en-AU"/>
    </w:rPr>
  </w:style>
  <w:style w:type="character" w:customStyle="1" w:styleId="Heading4Char">
    <w:name w:val="Heading 4 Char"/>
    <w:link w:val="Heading4"/>
    <w:uiPriority w:val="9"/>
    <w:rsid w:val="006734AE"/>
    <w:rPr>
      <w:rFonts w:asciiTheme="majorHAnsi" w:eastAsia="Times New Roman" w:hAnsiTheme="majorHAnsi" w:cs="Times New Roman"/>
      <w:b/>
      <w:iCs/>
      <w:color w:val="0196A7" w:themeColor="accent3"/>
      <w:sz w:val="22"/>
      <w:szCs w:val="26"/>
      <w:lang w:val="en-AU"/>
    </w:rPr>
  </w:style>
  <w:style w:type="character" w:customStyle="1" w:styleId="Heading5Char">
    <w:name w:val="Heading 5 Char"/>
    <w:link w:val="Heading5"/>
    <w:uiPriority w:val="9"/>
    <w:rsid w:val="00087B68"/>
    <w:rPr>
      <w:rFonts w:asciiTheme="majorHAnsi" w:eastAsia="Times New Roman" w:hAnsiTheme="majorHAnsi" w:cs="Times New Roman"/>
      <w:iCs/>
      <w:color w:val="0196A7" w:themeColor="accent3"/>
      <w:sz w:val="22"/>
      <w:szCs w:val="26"/>
      <w:lang w:val="en-AU"/>
    </w:rPr>
  </w:style>
  <w:style w:type="character" w:customStyle="1" w:styleId="Heading6Char">
    <w:name w:val="Heading 6 Char"/>
    <w:link w:val="Heading6"/>
    <w:uiPriority w:val="9"/>
    <w:semiHidden/>
    <w:rsid w:val="001D6659"/>
    <w:rPr>
      <w:rFonts w:ascii="Cambria" w:eastAsia="Times New Roman" w:hAnsi="Cambria" w:cs="Times New Roman"/>
      <w:i/>
      <w:iCs/>
      <w:color w:val="243F60"/>
      <w:sz w:val="24"/>
      <w:szCs w:val="24"/>
      <w:lang w:val="en-AU"/>
    </w:rPr>
  </w:style>
  <w:style w:type="character" w:customStyle="1" w:styleId="Heading7Char">
    <w:name w:val="Heading 7 Char"/>
    <w:link w:val="Heading7"/>
    <w:uiPriority w:val="9"/>
    <w:rsid w:val="001D6659"/>
    <w:rPr>
      <w:rFonts w:ascii="Cambria" w:eastAsia="Times New Roman" w:hAnsi="Cambria" w:cs="Times New Roman"/>
      <w:i/>
      <w:iCs/>
      <w:color w:val="404040"/>
      <w:sz w:val="24"/>
      <w:szCs w:val="24"/>
      <w:lang w:val="en-AU"/>
    </w:rPr>
  </w:style>
  <w:style w:type="character" w:customStyle="1" w:styleId="Heading8Char">
    <w:name w:val="Heading 8 Char"/>
    <w:link w:val="Heading8"/>
    <w:uiPriority w:val="9"/>
    <w:rsid w:val="001D6659"/>
    <w:rPr>
      <w:rFonts w:ascii="Cambria" w:eastAsia="Times New Roman" w:hAnsi="Cambria" w:cs="Times New Roman"/>
      <w:color w:val="4F81BD"/>
      <w:sz w:val="24"/>
      <w:lang w:val="en-AU"/>
    </w:rPr>
  </w:style>
  <w:style w:type="character" w:customStyle="1" w:styleId="Heading9Char">
    <w:name w:val="Heading 9 Char"/>
    <w:link w:val="Heading9"/>
    <w:uiPriority w:val="9"/>
    <w:rsid w:val="001D6659"/>
    <w:rPr>
      <w:rFonts w:ascii="Cambria" w:eastAsia="Times New Roman" w:hAnsi="Cambria" w:cs="Times New Roman"/>
      <w:i/>
      <w:iCs/>
      <w:color w:val="404040"/>
      <w:sz w:val="24"/>
      <w:lang w:val="en-AU"/>
    </w:rPr>
  </w:style>
  <w:style w:type="paragraph" w:styleId="Caption">
    <w:name w:val="caption"/>
    <w:basedOn w:val="Normal"/>
    <w:next w:val="Normal"/>
    <w:uiPriority w:val="35"/>
    <w:rsid w:val="001D6659"/>
    <w:rPr>
      <w:b/>
      <w:bCs/>
      <w:color w:val="4F81BD"/>
      <w:sz w:val="18"/>
      <w:szCs w:val="18"/>
    </w:rPr>
  </w:style>
  <w:style w:type="paragraph" w:styleId="Subtitle">
    <w:name w:val="Subtitle"/>
    <w:basedOn w:val="Normal"/>
    <w:next w:val="Normal"/>
    <w:link w:val="SubtitleChar"/>
    <w:uiPriority w:val="11"/>
    <w:rPr>
      <w:rFonts w:ascii="Cambria" w:eastAsia="Cambria" w:hAnsi="Cambria" w:cs="Cambria"/>
      <w:i/>
      <w:color w:val="4F81BD"/>
    </w:rPr>
  </w:style>
  <w:style w:type="character" w:customStyle="1" w:styleId="SubtitleChar">
    <w:name w:val="Subtitle Char"/>
    <w:link w:val="Subtitle"/>
    <w:uiPriority w:val="11"/>
    <w:rsid w:val="001D6659"/>
    <w:rPr>
      <w:rFonts w:ascii="Cambria" w:eastAsia="Times New Roman" w:hAnsi="Cambria" w:cs="Times New Roman"/>
      <w:i/>
      <w:iCs/>
      <w:color w:val="4F81BD"/>
      <w:spacing w:val="15"/>
      <w:sz w:val="24"/>
      <w:szCs w:val="24"/>
    </w:rPr>
  </w:style>
  <w:style w:type="character" w:styleId="Strong">
    <w:name w:val="Strong"/>
    <w:uiPriority w:val="22"/>
    <w:qFormat/>
    <w:rsid w:val="001D6659"/>
    <w:rPr>
      <w:b/>
      <w:bCs/>
    </w:rPr>
  </w:style>
  <w:style w:type="character" w:styleId="Emphasis">
    <w:name w:val="Emphasis"/>
    <w:uiPriority w:val="20"/>
    <w:rsid w:val="001D6659"/>
    <w:rPr>
      <w:i/>
      <w:iCs/>
    </w:rPr>
  </w:style>
  <w:style w:type="paragraph" w:styleId="NoSpacing">
    <w:name w:val="No Spacing"/>
    <w:uiPriority w:val="1"/>
    <w:rsid w:val="001D6659"/>
    <w:rPr>
      <w:sz w:val="22"/>
      <w:szCs w:val="22"/>
      <w:lang w:val="en-US" w:eastAsia="en-US" w:bidi="en-US"/>
    </w:rPr>
  </w:style>
  <w:style w:type="paragraph" w:styleId="ListParagraph">
    <w:name w:val="List Paragraph"/>
    <w:basedOn w:val="Normal"/>
    <w:link w:val="ListParagraphChar"/>
    <w:uiPriority w:val="34"/>
    <w:qFormat/>
    <w:rsid w:val="001D6659"/>
    <w:pPr>
      <w:ind w:left="720"/>
      <w:contextualSpacing/>
    </w:pPr>
  </w:style>
  <w:style w:type="paragraph" w:styleId="Quote">
    <w:name w:val="Quote"/>
    <w:basedOn w:val="Normal"/>
    <w:next w:val="Normal"/>
    <w:link w:val="QuoteChar"/>
    <w:uiPriority w:val="29"/>
    <w:rsid w:val="00F76AFA"/>
    <w:pPr>
      <w:pBdr>
        <w:top w:val="single" w:sz="12" w:space="5" w:color="BE5227" w:themeColor="accent1"/>
        <w:bottom w:val="single" w:sz="12" w:space="5" w:color="BE5227" w:themeColor="accent1"/>
      </w:pBdr>
      <w:shd w:val="clear" w:color="auto" w:fill="FBECD2" w:themeFill="background2" w:themeFillTint="33"/>
      <w:spacing w:before="120" w:after="120"/>
    </w:pPr>
    <w:rPr>
      <w:color w:val="000000"/>
      <w:sz w:val="22"/>
      <w:szCs w:val="28"/>
    </w:rPr>
  </w:style>
  <w:style w:type="character" w:customStyle="1" w:styleId="QuoteChar">
    <w:name w:val="Quote Char"/>
    <w:link w:val="Quote"/>
    <w:uiPriority w:val="29"/>
    <w:rsid w:val="00F76AFA"/>
    <w:rPr>
      <w:rFonts w:asciiTheme="minorHAnsi" w:eastAsia="Times New Roman" w:hAnsiTheme="minorHAnsi" w:cs="Times New Roman"/>
      <w:color w:val="000000"/>
      <w:sz w:val="22"/>
      <w:szCs w:val="28"/>
      <w:shd w:val="clear" w:color="auto" w:fill="FBECD2" w:themeFill="background2" w:themeFillTint="33"/>
      <w:lang w:val="en-AU"/>
    </w:rPr>
  </w:style>
  <w:style w:type="paragraph" w:styleId="IntenseQuote">
    <w:name w:val="Intense Quote"/>
    <w:basedOn w:val="Normal"/>
    <w:next w:val="Normal"/>
    <w:link w:val="IntenseQuoteChar"/>
    <w:uiPriority w:val="30"/>
    <w:rsid w:val="001D6659"/>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1D6659"/>
    <w:rPr>
      <w:b/>
      <w:bCs/>
      <w:i/>
      <w:iCs/>
      <w:color w:val="4F81BD"/>
    </w:rPr>
  </w:style>
  <w:style w:type="character" w:styleId="SubtleEmphasis">
    <w:name w:val="Subtle Emphasis"/>
    <w:uiPriority w:val="19"/>
    <w:rsid w:val="005869A2"/>
    <w:rPr>
      <w:rFonts w:ascii="Arial" w:hAnsi="Arial"/>
      <w:iCs/>
      <w:color w:val="auto"/>
      <w:sz w:val="16"/>
    </w:rPr>
  </w:style>
  <w:style w:type="character" w:styleId="IntenseEmphasis">
    <w:name w:val="Intense Emphasis"/>
    <w:uiPriority w:val="21"/>
    <w:rsid w:val="001D6659"/>
    <w:rPr>
      <w:b/>
      <w:bCs/>
      <w:i/>
      <w:iCs/>
      <w:color w:val="4F81BD"/>
    </w:rPr>
  </w:style>
  <w:style w:type="character" w:styleId="SubtleReference">
    <w:name w:val="Subtle Reference"/>
    <w:uiPriority w:val="31"/>
    <w:rsid w:val="001D6659"/>
    <w:rPr>
      <w:smallCaps/>
      <w:color w:val="C0504D"/>
      <w:u w:val="single"/>
    </w:rPr>
  </w:style>
  <w:style w:type="character" w:styleId="IntenseReference">
    <w:name w:val="Intense Reference"/>
    <w:uiPriority w:val="32"/>
    <w:rsid w:val="001D6659"/>
    <w:rPr>
      <w:b/>
      <w:bCs/>
      <w:smallCaps/>
      <w:color w:val="C0504D"/>
      <w:spacing w:val="5"/>
      <w:u w:val="single"/>
    </w:rPr>
  </w:style>
  <w:style w:type="paragraph" w:styleId="TOCHeading">
    <w:name w:val="TOC Heading"/>
    <w:basedOn w:val="Heading1"/>
    <w:next w:val="Normal"/>
    <w:uiPriority w:val="39"/>
    <w:rsid w:val="001D6659"/>
    <w:pPr>
      <w:outlineLvl w:val="9"/>
    </w:pPr>
  </w:style>
  <w:style w:type="paragraph" w:styleId="Header">
    <w:name w:val="header"/>
    <w:basedOn w:val="Normal"/>
    <w:link w:val="HeaderChar"/>
    <w:uiPriority w:val="99"/>
    <w:unhideWhenUsed/>
    <w:rsid w:val="00132CFB"/>
    <w:pPr>
      <w:tabs>
        <w:tab w:val="center" w:pos="4513"/>
        <w:tab w:val="right" w:pos="9026"/>
      </w:tabs>
    </w:pPr>
    <w:rPr>
      <w:sz w:val="16"/>
    </w:rPr>
  </w:style>
  <w:style w:type="character" w:customStyle="1" w:styleId="HeaderChar">
    <w:name w:val="Header Char"/>
    <w:link w:val="Header"/>
    <w:uiPriority w:val="99"/>
    <w:rsid w:val="00132CFB"/>
    <w:rPr>
      <w:sz w:val="16"/>
      <w:szCs w:val="22"/>
      <w:lang w:val="en-US" w:eastAsia="en-US" w:bidi="en-US"/>
    </w:rPr>
  </w:style>
  <w:style w:type="paragraph" w:styleId="Footer">
    <w:name w:val="footer"/>
    <w:basedOn w:val="Normal"/>
    <w:link w:val="FooterChar"/>
    <w:uiPriority w:val="99"/>
    <w:unhideWhenUsed/>
    <w:rsid w:val="00570EC4"/>
    <w:pPr>
      <w:tabs>
        <w:tab w:val="center" w:pos="4513"/>
        <w:tab w:val="right" w:pos="9026"/>
      </w:tabs>
    </w:pPr>
    <w:rPr>
      <w:rFonts w:ascii="Calibri" w:hAnsi="Calibri"/>
      <w:sz w:val="22"/>
    </w:rPr>
  </w:style>
  <w:style w:type="character" w:customStyle="1" w:styleId="FooterChar">
    <w:name w:val="Footer Char"/>
    <w:link w:val="Footer"/>
    <w:uiPriority w:val="99"/>
    <w:rsid w:val="00570EC4"/>
    <w:rPr>
      <w:rFonts w:ascii="Calibri" w:eastAsia="Times New Roman" w:hAnsi="Calibri" w:cs="Times New Roman"/>
      <w:sz w:val="22"/>
      <w:szCs w:val="24"/>
      <w:lang w:val="en-AU"/>
    </w:rPr>
  </w:style>
  <w:style w:type="paragraph" w:styleId="BalloonText">
    <w:name w:val="Balloon Text"/>
    <w:basedOn w:val="Normal"/>
    <w:link w:val="BalloonTextChar"/>
    <w:uiPriority w:val="99"/>
    <w:semiHidden/>
    <w:unhideWhenUsed/>
    <w:rsid w:val="00393177"/>
    <w:rPr>
      <w:rFonts w:ascii="Tahoma" w:hAnsi="Tahoma" w:cs="Tahoma"/>
      <w:sz w:val="16"/>
      <w:szCs w:val="16"/>
    </w:rPr>
  </w:style>
  <w:style w:type="character" w:customStyle="1" w:styleId="BalloonTextChar">
    <w:name w:val="Balloon Text Char"/>
    <w:link w:val="BalloonText"/>
    <w:uiPriority w:val="99"/>
    <w:semiHidden/>
    <w:rsid w:val="00393177"/>
    <w:rPr>
      <w:rFonts w:ascii="Tahoma" w:hAnsi="Tahoma" w:cs="Tahoma"/>
      <w:sz w:val="16"/>
      <w:szCs w:val="16"/>
    </w:rPr>
  </w:style>
  <w:style w:type="paragraph" w:styleId="DocumentMap">
    <w:name w:val="Document Map"/>
    <w:basedOn w:val="Normal"/>
    <w:link w:val="DocumentMapChar"/>
    <w:uiPriority w:val="99"/>
    <w:semiHidden/>
    <w:unhideWhenUsed/>
    <w:rsid w:val="00393177"/>
    <w:rPr>
      <w:rFonts w:ascii="Tahoma" w:hAnsi="Tahoma" w:cs="Tahoma"/>
      <w:sz w:val="16"/>
      <w:szCs w:val="16"/>
    </w:rPr>
  </w:style>
  <w:style w:type="character" w:customStyle="1" w:styleId="DocumentMapChar">
    <w:name w:val="Document Map Char"/>
    <w:link w:val="DocumentMap"/>
    <w:uiPriority w:val="99"/>
    <w:semiHidden/>
    <w:rsid w:val="00393177"/>
    <w:rPr>
      <w:rFonts w:ascii="Tahoma" w:hAnsi="Tahoma" w:cs="Tahoma"/>
      <w:sz w:val="16"/>
      <w:szCs w:val="16"/>
    </w:rPr>
  </w:style>
  <w:style w:type="table" w:styleId="TableGrid">
    <w:name w:val="Table Grid"/>
    <w:basedOn w:val="TableNormal"/>
    <w:uiPriority w:val="59"/>
    <w:rsid w:val="005869A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Hyperlink">
    <w:name w:val="Hyperlink"/>
    <w:uiPriority w:val="99"/>
    <w:unhideWhenUsed/>
    <w:rsid w:val="005869A2"/>
    <w:rPr>
      <w:color w:val="0000FF"/>
      <w:u w:val="single"/>
    </w:rPr>
  </w:style>
  <w:style w:type="paragraph" w:styleId="ListNumber">
    <w:name w:val="List Number"/>
    <w:basedOn w:val="Normal"/>
    <w:uiPriority w:val="99"/>
    <w:unhideWhenUsed/>
    <w:rsid w:val="001D3B1D"/>
    <w:pPr>
      <w:spacing w:before="120" w:after="120"/>
      <w:contextualSpacing/>
    </w:pPr>
    <w:rPr>
      <w:b/>
    </w:rPr>
  </w:style>
  <w:style w:type="paragraph" w:styleId="ListNumber2">
    <w:name w:val="List Number 2"/>
    <w:basedOn w:val="Normal"/>
    <w:uiPriority w:val="99"/>
    <w:unhideWhenUsed/>
    <w:rsid w:val="001D3B1D"/>
    <w:pPr>
      <w:numPr>
        <w:numId w:val="1"/>
      </w:numPr>
      <w:contextualSpacing/>
    </w:pPr>
  </w:style>
  <w:style w:type="paragraph" w:styleId="ListContinue2">
    <w:name w:val="List Continue 2"/>
    <w:basedOn w:val="Normal"/>
    <w:uiPriority w:val="99"/>
    <w:unhideWhenUsed/>
    <w:rsid w:val="001D3B1D"/>
    <w:pPr>
      <w:spacing w:after="120"/>
      <w:ind w:left="566"/>
      <w:contextualSpacing/>
    </w:pPr>
  </w:style>
  <w:style w:type="numbering" w:customStyle="1" w:styleId="ANUTOC">
    <w:name w:val="ANU_TOC"/>
    <w:basedOn w:val="NoList"/>
    <w:uiPriority w:val="99"/>
    <w:rsid w:val="003D09BD"/>
  </w:style>
  <w:style w:type="paragraph" w:customStyle="1" w:styleId="TableHeading">
    <w:name w:val="Table Heading"/>
    <w:basedOn w:val="Normal"/>
    <w:rsid w:val="008C468F"/>
    <w:pPr>
      <w:spacing w:before="60" w:after="60"/>
    </w:pPr>
    <w:rPr>
      <w:rFonts w:ascii="Calibri" w:hAnsi="Calibri"/>
      <w:color w:val="FFFFFF" w:themeColor="background1"/>
      <w:sz w:val="20"/>
      <w:szCs w:val="20"/>
    </w:rPr>
  </w:style>
  <w:style w:type="paragraph" w:customStyle="1" w:styleId="TableText">
    <w:name w:val="Table Text"/>
    <w:basedOn w:val="Normal"/>
    <w:rsid w:val="00235F49"/>
    <w:pPr>
      <w:spacing w:before="20" w:after="40"/>
    </w:pPr>
    <w:rPr>
      <w:sz w:val="20"/>
      <w:szCs w:val="20"/>
    </w:rPr>
  </w:style>
  <w:style w:type="paragraph" w:styleId="TOC1">
    <w:name w:val="toc 1"/>
    <w:basedOn w:val="Normal"/>
    <w:next w:val="Normal"/>
    <w:autoRedefine/>
    <w:uiPriority w:val="39"/>
    <w:unhideWhenUsed/>
    <w:qFormat/>
    <w:rsid w:val="00C028B7"/>
    <w:pPr>
      <w:tabs>
        <w:tab w:val="left" w:pos="340"/>
        <w:tab w:val="right" w:leader="dot" w:pos="9639"/>
      </w:tabs>
      <w:spacing w:before="120" w:after="80"/>
    </w:pPr>
    <w:rPr>
      <w:rFonts w:ascii="Calibri" w:hAnsi="Calibri" w:cs="Calibri"/>
      <w:b/>
      <w:bCs/>
      <w:szCs w:val="20"/>
    </w:rPr>
  </w:style>
  <w:style w:type="paragraph" w:styleId="TOC2">
    <w:name w:val="toc 2"/>
    <w:basedOn w:val="Normal"/>
    <w:next w:val="Normal"/>
    <w:autoRedefine/>
    <w:uiPriority w:val="39"/>
    <w:unhideWhenUsed/>
    <w:qFormat/>
    <w:rsid w:val="006734AE"/>
    <w:pPr>
      <w:tabs>
        <w:tab w:val="left" w:pos="907"/>
        <w:tab w:val="right" w:leader="dot" w:pos="9639"/>
      </w:tabs>
      <w:spacing w:after="60"/>
    </w:pPr>
    <w:rPr>
      <w:rFonts w:ascii="Calibri" w:hAnsi="Calibri" w:cs="Calibri"/>
      <w:sz w:val="22"/>
      <w:szCs w:val="20"/>
    </w:rPr>
  </w:style>
  <w:style w:type="paragraph" w:styleId="TOC3">
    <w:name w:val="toc 3"/>
    <w:aliases w:val="Ninti TOC 3"/>
    <w:basedOn w:val="Normal"/>
    <w:next w:val="Normal"/>
    <w:autoRedefine/>
    <w:uiPriority w:val="39"/>
    <w:unhideWhenUsed/>
    <w:rsid w:val="00546A2B"/>
    <w:pPr>
      <w:tabs>
        <w:tab w:val="right" w:leader="dot" w:pos="9639"/>
      </w:tabs>
      <w:spacing w:after="60"/>
    </w:pPr>
    <w:rPr>
      <w:rFonts w:ascii="Calibri" w:hAnsi="Calibri" w:cs="Calibri"/>
      <w:iCs/>
      <w:sz w:val="22"/>
      <w:szCs w:val="20"/>
    </w:rPr>
  </w:style>
  <w:style w:type="paragraph" w:styleId="TOC4">
    <w:name w:val="toc 4"/>
    <w:basedOn w:val="Normal"/>
    <w:next w:val="Normal"/>
    <w:autoRedefine/>
    <w:uiPriority w:val="39"/>
    <w:unhideWhenUsed/>
    <w:rsid w:val="005635CE"/>
    <w:pPr>
      <w:tabs>
        <w:tab w:val="right" w:leader="dot" w:pos="9628"/>
      </w:tabs>
      <w:ind w:left="1134"/>
    </w:pPr>
    <w:rPr>
      <w:rFonts w:ascii="Calibri" w:hAnsi="Calibri" w:cs="Calibri"/>
      <w:sz w:val="20"/>
      <w:szCs w:val="18"/>
    </w:rPr>
  </w:style>
  <w:style w:type="paragraph" w:styleId="TOC5">
    <w:name w:val="toc 5"/>
    <w:basedOn w:val="Normal"/>
    <w:next w:val="Normal"/>
    <w:autoRedefine/>
    <w:uiPriority w:val="39"/>
    <w:unhideWhenUsed/>
    <w:rsid w:val="005A3C86"/>
    <w:pPr>
      <w:ind w:left="800"/>
    </w:pPr>
    <w:rPr>
      <w:rFonts w:ascii="Calibri" w:hAnsi="Calibri" w:cs="Calibri"/>
      <w:sz w:val="18"/>
      <w:szCs w:val="18"/>
    </w:rPr>
  </w:style>
  <w:style w:type="paragraph" w:styleId="TOC6">
    <w:name w:val="toc 6"/>
    <w:basedOn w:val="Normal"/>
    <w:next w:val="Normal"/>
    <w:autoRedefine/>
    <w:uiPriority w:val="39"/>
    <w:unhideWhenUsed/>
    <w:rsid w:val="005A3C86"/>
    <w:pPr>
      <w:ind w:left="1000"/>
    </w:pPr>
    <w:rPr>
      <w:rFonts w:ascii="Calibri" w:hAnsi="Calibri" w:cs="Calibri"/>
      <w:sz w:val="18"/>
      <w:szCs w:val="18"/>
    </w:rPr>
  </w:style>
  <w:style w:type="paragraph" w:styleId="TOC7">
    <w:name w:val="toc 7"/>
    <w:basedOn w:val="Normal"/>
    <w:next w:val="Normal"/>
    <w:autoRedefine/>
    <w:uiPriority w:val="39"/>
    <w:unhideWhenUsed/>
    <w:rsid w:val="005A3C86"/>
    <w:pPr>
      <w:ind w:left="1200"/>
    </w:pPr>
    <w:rPr>
      <w:rFonts w:ascii="Calibri" w:hAnsi="Calibri" w:cs="Calibri"/>
      <w:sz w:val="18"/>
      <w:szCs w:val="18"/>
    </w:rPr>
  </w:style>
  <w:style w:type="paragraph" w:styleId="TOC8">
    <w:name w:val="toc 8"/>
    <w:basedOn w:val="Normal"/>
    <w:next w:val="Normal"/>
    <w:autoRedefine/>
    <w:uiPriority w:val="39"/>
    <w:unhideWhenUsed/>
    <w:rsid w:val="005A3C86"/>
    <w:pPr>
      <w:ind w:left="1400"/>
    </w:pPr>
    <w:rPr>
      <w:rFonts w:ascii="Calibri" w:hAnsi="Calibri" w:cs="Calibri"/>
      <w:sz w:val="18"/>
      <w:szCs w:val="18"/>
    </w:rPr>
  </w:style>
  <w:style w:type="paragraph" w:styleId="TOC9">
    <w:name w:val="toc 9"/>
    <w:basedOn w:val="Normal"/>
    <w:next w:val="Normal"/>
    <w:autoRedefine/>
    <w:uiPriority w:val="39"/>
    <w:unhideWhenUsed/>
    <w:rsid w:val="005A3C86"/>
    <w:pPr>
      <w:ind w:left="1600"/>
    </w:pPr>
    <w:rPr>
      <w:rFonts w:ascii="Calibri" w:hAnsi="Calibri" w:cs="Calibri"/>
      <w:sz w:val="18"/>
      <w:szCs w:val="18"/>
    </w:rPr>
  </w:style>
  <w:style w:type="paragraph" w:customStyle="1" w:styleId="Default">
    <w:name w:val="Default"/>
    <w:rsid w:val="00264272"/>
    <w:pPr>
      <w:autoSpaceDE w:val="0"/>
      <w:autoSpaceDN w:val="0"/>
      <w:adjustRightInd w:val="0"/>
    </w:pPr>
    <w:rPr>
      <w:rFonts w:ascii="Calibri" w:hAnsi="Calibri" w:cs="Calibri"/>
      <w:color w:val="000000"/>
      <w:sz w:val="24"/>
      <w:szCs w:val="24"/>
    </w:rPr>
  </w:style>
  <w:style w:type="character" w:styleId="CommentReference">
    <w:name w:val="annotation reference"/>
    <w:basedOn w:val="DefaultParagraphFont"/>
    <w:uiPriority w:val="99"/>
    <w:semiHidden/>
    <w:unhideWhenUsed/>
    <w:rsid w:val="00C32A05"/>
    <w:rPr>
      <w:sz w:val="16"/>
      <w:szCs w:val="16"/>
    </w:rPr>
  </w:style>
  <w:style w:type="paragraph" w:styleId="CommentText">
    <w:name w:val="annotation text"/>
    <w:basedOn w:val="Normal"/>
    <w:link w:val="CommentTextChar"/>
    <w:uiPriority w:val="99"/>
    <w:unhideWhenUsed/>
    <w:rsid w:val="00C32A05"/>
    <w:rPr>
      <w:szCs w:val="20"/>
    </w:rPr>
  </w:style>
  <w:style w:type="character" w:customStyle="1" w:styleId="CommentTextChar">
    <w:name w:val="Comment Text Char"/>
    <w:basedOn w:val="DefaultParagraphFont"/>
    <w:link w:val="CommentText"/>
    <w:uiPriority w:val="99"/>
    <w:rsid w:val="00C32A05"/>
    <w:rPr>
      <w:lang w:val="en-US" w:eastAsia="en-US" w:bidi="en-US"/>
    </w:rPr>
  </w:style>
  <w:style w:type="paragraph" w:styleId="CommentSubject">
    <w:name w:val="annotation subject"/>
    <w:basedOn w:val="CommentText"/>
    <w:next w:val="CommentText"/>
    <w:link w:val="CommentSubjectChar"/>
    <w:uiPriority w:val="99"/>
    <w:semiHidden/>
    <w:unhideWhenUsed/>
    <w:rsid w:val="00C32A05"/>
    <w:rPr>
      <w:b/>
      <w:bCs/>
    </w:rPr>
  </w:style>
  <w:style w:type="character" w:customStyle="1" w:styleId="CommentSubjectChar">
    <w:name w:val="Comment Subject Char"/>
    <w:basedOn w:val="CommentTextChar"/>
    <w:link w:val="CommentSubject"/>
    <w:uiPriority w:val="99"/>
    <w:semiHidden/>
    <w:rsid w:val="00C32A05"/>
    <w:rPr>
      <w:b/>
      <w:bCs/>
      <w:lang w:val="en-US" w:eastAsia="en-US" w:bidi="en-US"/>
    </w:rPr>
  </w:style>
  <w:style w:type="paragraph" w:styleId="EndnoteText">
    <w:name w:val="endnote text"/>
    <w:basedOn w:val="Normal"/>
    <w:link w:val="EndnoteTextChar"/>
    <w:uiPriority w:val="99"/>
    <w:unhideWhenUsed/>
    <w:rsid w:val="00E4726B"/>
    <w:pPr>
      <w:spacing w:line="256" w:lineRule="auto"/>
    </w:pPr>
    <w:rPr>
      <w:rFonts w:eastAsiaTheme="minorHAnsi" w:cstheme="minorBidi"/>
      <w:szCs w:val="20"/>
    </w:rPr>
  </w:style>
  <w:style w:type="character" w:customStyle="1" w:styleId="EndnoteTextChar">
    <w:name w:val="Endnote Text Char"/>
    <w:basedOn w:val="DefaultParagraphFont"/>
    <w:link w:val="EndnoteText"/>
    <w:uiPriority w:val="99"/>
    <w:rsid w:val="00E4726B"/>
    <w:rPr>
      <w:rFonts w:asciiTheme="minorHAnsi" w:eastAsiaTheme="minorHAnsi" w:hAnsiTheme="minorHAnsi" w:cstheme="minorBidi"/>
      <w:lang w:eastAsia="en-US"/>
    </w:rPr>
  </w:style>
  <w:style w:type="character" w:styleId="EndnoteReference">
    <w:name w:val="endnote reference"/>
    <w:basedOn w:val="DefaultParagraphFont"/>
    <w:uiPriority w:val="99"/>
    <w:semiHidden/>
    <w:unhideWhenUsed/>
    <w:rsid w:val="00E4726B"/>
    <w:rPr>
      <w:vertAlign w:val="superscript"/>
    </w:rPr>
  </w:style>
  <w:style w:type="paragraph" w:customStyle="1" w:styleId="EndNoteBibliographyTitle">
    <w:name w:val="EndNote Bibliography Title"/>
    <w:basedOn w:val="Normal"/>
    <w:link w:val="EndNoteBibliographyTitleChar"/>
    <w:rsid w:val="005A4B36"/>
    <w:pPr>
      <w:jc w:val="center"/>
    </w:pPr>
    <w:rPr>
      <w:rFonts w:cs="Arial"/>
      <w:noProof/>
    </w:rPr>
  </w:style>
  <w:style w:type="character" w:customStyle="1" w:styleId="ListParagraphChar">
    <w:name w:val="List Paragraph Char"/>
    <w:basedOn w:val="DefaultParagraphFont"/>
    <w:link w:val="ListParagraph"/>
    <w:uiPriority w:val="34"/>
    <w:rsid w:val="005A4B36"/>
    <w:rPr>
      <w:szCs w:val="22"/>
      <w:lang w:val="en-US" w:eastAsia="en-US" w:bidi="en-US"/>
    </w:rPr>
  </w:style>
  <w:style w:type="character" w:customStyle="1" w:styleId="EndNoteBibliographyTitleChar">
    <w:name w:val="EndNote Bibliography Title Char"/>
    <w:basedOn w:val="ListParagraphChar"/>
    <w:link w:val="EndNoteBibliographyTitle"/>
    <w:rsid w:val="005A4B36"/>
    <w:rPr>
      <w:rFonts w:cs="Arial"/>
      <w:noProof/>
      <w:szCs w:val="22"/>
      <w:lang w:val="en-GB" w:eastAsia="en-US" w:bidi="en-US"/>
    </w:rPr>
  </w:style>
  <w:style w:type="character" w:customStyle="1" w:styleId="UnresolvedMention1">
    <w:name w:val="Unresolved Mention1"/>
    <w:basedOn w:val="DefaultParagraphFont"/>
    <w:uiPriority w:val="99"/>
    <w:semiHidden/>
    <w:unhideWhenUsed/>
    <w:rsid w:val="00AF15B8"/>
    <w:rPr>
      <w:color w:val="605E5C"/>
      <w:shd w:val="clear" w:color="auto" w:fill="E1DFDD"/>
    </w:rPr>
  </w:style>
  <w:style w:type="paragraph" w:customStyle="1" w:styleId="List1">
    <w:name w:val="List 1"/>
    <w:basedOn w:val="ListParagraph"/>
    <w:link w:val="List1Char"/>
    <w:rsid w:val="00A715B3"/>
    <w:pPr>
      <w:numPr>
        <w:numId w:val="16"/>
      </w:numPr>
      <w:spacing w:after="60"/>
      <w:contextualSpacing w:val="0"/>
    </w:pPr>
    <w:rPr>
      <w:rFonts w:ascii="Calibri" w:eastAsiaTheme="minorHAnsi" w:hAnsi="Calibri" w:cstheme="minorBidi"/>
      <w:sz w:val="22"/>
    </w:rPr>
  </w:style>
  <w:style w:type="character" w:customStyle="1" w:styleId="List1Char">
    <w:name w:val="List 1 Char"/>
    <w:basedOn w:val="ListParagraphChar"/>
    <w:link w:val="List1"/>
    <w:rsid w:val="00A715B3"/>
    <w:rPr>
      <w:rFonts w:ascii="Calibri" w:eastAsiaTheme="minorHAnsi" w:hAnsi="Calibri" w:cstheme="minorBidi"/>
      <w:sz w:val="22"/>
      <w:szCs w:val="24"/>
      <w:lang w:val="en-AU" w:eastAsia="en-US" w:bidi="en-US"/>
    </w:rPr>
  </w:style>
  <w:style w:type="paragraph" w:styleId="NormalWeb">
    <w:name w:val="Normal (Web)"/>
    <w:basedOn w:val="Normal"/>
    <w:uiPriority w:val="99"/>
    <w:unhideWhenUsed/>
    <w:rsid w:val="00F93D51"/>
    <w:pPr>
      <w:spacing w:before="100" w:beforeAutospacing="1" w:after="100" w:afterAutospacing="1"/>
    </w:pPr>
    <w:rPr>
      <w:lang w:eastAsia="en-AU"/>
    </w:rPr>
  </w:style>
  <w:style w:type="paragraph" w:styleId="TableofFigures">
    <w:name w:val="table of figures"/>
    <w:basedOn w:val="Normal"/>
    <w:next w:val="Normal"/>
    <w:uiPriority w:val="99"/>
    <w:unhideWhenUsed/>
    <w:rsid w:val="003A61FF"/>
    <w:pPr>
      <w:tabs>
        <w:tab w:val="right" w:leader="dot" w:pos="9628"/>
      </w:tabs>
      <w:spacing w:after="40"/>
      <w:ind w:left="907" w:hanging="907"/>
    </w:pPr>
    <w:rPr>
      <w:rFonts w:cstheme="minorHAnsi"/>
      <w:iCs/>
      <w:sz w:val="22"/>
      <w:szCs w:val="20"/>
    </w:rPr>
  </w:style>
  <w:style w:type="paragraph" w:styleId="FootnoteText">
    <w:name w:val="footnote text"/>
    <w:basedOn w:val="Normal"/>
    <w:link w:val="FootnoteTextChar"/>
    <w:uiPriority w:val="99"/>
    <w:semiHidden/>
    <w:unhideWhenUsed/>
    <w:rsid w:val="00161072"/>
    <w:rPr>
      <w:szCs w:val="20"/>
    </w:rPr>
  </w:style>
  <w:style w:type="character" w:customStyle="1" w:styleId="FootnoteTextChar">
    <w:name w:val="Footnote Text Char"/>
    <w:basedOn w:val="DefaultParagraphFont"/>
    <w:link w:val="FootnoteText"/>
    <w:uiPriority w:val="99"/>
    <w:semiHidden/>
    <w:rsid w:val="00161072"/>
    <w:rPr>
      <w:lang w:val="en-US" w:eastAsia="en-US" w:bidi="en-US"/>
    </w:rPr>
  </w:style>
  <w:style w:type="character" w:styleId="FootnoteReference">
    <w:name w:val="footnote reference"/>
    <w:basedOn w:val="DefaultParagraphFont"/>
    <w:uiPriority w:val="99"/>
    <w:semiHidden/>
    <w:unhideWhenUsed/>
    <w:rsid w:val="00161072"/>
    <w:rPr>
      <w:vertAlign w:val="superscript"/>
    </w:rPr>
  </w:style>
  <w:style w:type="table" w:styleId="GridTable1Light">
    <w:name w:val="Grid Table 1 Light"/>
    <w:basedOn w:val="TableNormal"/>
    <w:uiPriority w:val="46"/>
    <w:rsid w:val="001968F3"/>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4">
    <w:name w:val="Plain Table 4"/>
    <w:basedOn w:val="TableNormal"/>
    <w:uiPriority w:val="44"/>
    <w:rsid w:val="00EC4FCD"/>
    <w:rPr>
      <w:rFonts w:asciiTheme="minorHAnsi" w:eastAsiaTheme="minorHAnsi" w:hAnsiTheme="minorHAnsi" w:cstheme="minorBidi"/>
      <w:sz w:val="22"/>
      <w:szCs w:val="22"/>
      <w:lang w:eastAsia="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paragraph">
    <w:name w:val="paragraph"/>
    <w:basedOn w:val="Normal"/>
    <w:rsid w:val="002B486C"/>
    <w:pPr>
      <w:spacing w:before="100" w:beforeAutospacing="1" w:after="100" w:afterAutospacing="1"/>
    </w:pPr>
    <w:rPr>
      <w:lang w:eastAsia="en-AU"/>
    </w:rPr>
  </w:style>
  <w:style w:type="paragraph" w:styleId="Revision">
    <w:name w:val="Revision"/>
    <w:hidden/>
    <w:uiPriority w:val="99"/>
    <w:semiHidden/>
    <w:rsid w:val="009E44CF"/>
    <w:rPr>
      <w:szCs w:val="22"/>
      <w:lang w:val="en-US" w:eastAsia="en-US" w:bidi="en-US"/>
    </w:rPr>
  </w:style>
  <w:style w:type="paragraph" w:customStyle="1" w:styleId="ListofFiguresandTablesTOCHeading">
    <w:name w:val="List of Figures and Tables TOC Heading"/>
    <w:basedOn w:val="TOCHeading"/>
    <w:next w:val="TableofFigures"/>
    <w:uiPriority w:val="14"/>
    <w:rsid w:val="005504B3"/>
    <w:pPr>
      <w:spacing w:line="480" w:lineRule="exact"/>
      <w:ind w:left="0" w:firstLine="0"/>
      <w:outlineLvl w:val="1"/>
    </w:pPr>
    <w:rPr>
      <w:rFonts w:eastAsiaTheme="majorEastAsia" w:cstheme="majorBidi"/>
      <w:b w:val="0"/>
      <w:bCs w:val="0"/>
      <w:sz w:val="44"/>
      <w:lang w:eastAsia="en-AU"/>
    </w:rPr>
  </w:style>
  <w:style w:type="character" w:styleId="FollowedHyperlink">
    <w:name w:val="FollowedHyperlink"/>
    <w:basedOn w:val="DefaultParagraphFont"/>
    <w:uiPriority w:val="99"/>
    <w:semiHidden/>
    <w:unhideWhenUsed/>
    <w:rsid w:val="001056A1"/>
    <w:rPr>
      <w:color w:val="BE5227" w:themeColor="followedHyperlink"/>
      <w:u w:val="single"/>
    </w:rPr>
  </w:style>
  <w:style w:type="numbering" w:customStyle="1" w:styleId="IPAstyles">
    <w:name w:val="IPAstyles"/>
    <w:uiPriority w:val="99"/>
    <w:rsid w:val="003F305A"/>
  </w:style>
  <w:style w:type="numbering" w:customStyle="1" w:styleId="TableNumbers">
    <w:name w:val="TableNumbers"/>
    <w:uiPriority w:val="99"/>
    <w:rsid w:val="004A4BB8"/>
  </w:style>
  <w:style w:type="paragraph" w:customStyle="1" w:styleId="Tablebodytext">
    <w:name w:val="Table body text"/>
    <w:basedOn w:val="Normal"/>
    <w:rsid w:val="00043AEE"/>
    <w:rPr>
      <w:rFonts w:eastAsia="Calibri"/>
    </w:rPr>
  </w:style>
  <w:style w:type="table" w:styleId="GridTable4-Accent1">
    <w:name w:val="Grid Table 4 Accent 1"/>
    <w:basedOn w:val="TableNormal"/>
    <w:uiPriority w:val="49"/>
    <w:rsid w:val="009654E7"/>
    <w:rPr>
      <w:rFonts w:asciiTheme="minorHAnsi" w:hAnsiTheme="minorHAnsi"/>
    </w:rPr>
    <w:tblPr>
      <w:tblStyleRowBandSize w:val="1"/>
      <w:tblStyleColBandSize w:val="1"/>
      <w:tblBorders>
        <w:top w:val="single" w:sz="4" w:space="0" w:color="E29273" w:themeColor="accent1" w:themeTint="99"/>
        <w:left w:val="single" w:sz="4" w:space="0" w:color="E29273" w:themeColor="accent1" w:themeTint="99"/>
        <w:bottom w:val="single" w:sz="4" w:space="0" w:color="E29273" w:themeColor="accent1" w:themeTint="99"/>
        <w:right w:val="single" w:sz="4" w:space="0" w:color="E29273" w:themeColor="accent1" w:themeTint="99"/>
        <w:insideH w:val="single" w:sz="4" w:space="0" w:color="E29273" w:themeColor="accent1" w:themeTint="99"/>
        <w:insideV w:val="single" w:sz="4" w:space="0" w:color="E29273" w:themeColor="accent1" w:themeTint="99"/>
      </w:tblBorders>
    </w:tblPr>
    <w:tblStylePr w:type="firstRow">
      <w:rPr>
        <w:b/>
        <w:bCs/>
        <w:color w:val="FFFFFF" w:themeColor="background1"/>
      </w:rPr>
      <w:tblPr/>
      <w:tcPr>
        <w:tcBorders>
          <w:top w:val="single" w:sz="4" w:space="0" w:color="BE5227" w:themeColor="accent1"/>
          <w:left w:val="single" w:sz="4" w:space="0" w:color="BE5227" w:themeColor="accent1"/>
          <w:bottom w:val="single" w:sz="4" w:space="0" w:color="BE5227" w:themeColor="accent1"/>
          <w:right w:val="single" w:sz="4" w:space="0" w:color="BE5227" w:themeColor="accent1"/>
          <w:insideH w:val="nil"/>
          <w:insideV w:val="nil"/>
        </w:tcBorders>
        <w:shd w:val="clear" w:color="auto" w:fill="BE5227" w:themeFill="accent1"/>
      </w:tcPr>
    </w:tblStylePr>
    <w:tblStylePr w:type="lastRow">
      <w:rPr>
        <w:b/>
        <w:bCs/>
      </w:rPr>
      <w:tblPr/>
      <w:tcPr>
        <w:tcBorders>
          <w:top w:val="double" w:sz="4" w:space="0" w:color="BE5227" w:themeColor="accent1"/>
        </w:tcBorders>
      </w:tcPr>
    </w:tblStylePr>
    <w:tblStylePr w:type="firstCol">
      <w:rPr>
        <w:b/>
        <w:bCs/>
      </w:rPr>
    </w:tblStylePr>
    <w:tblStylePr w:type="lastCol">
      <w:rPr>
        <w:b/>
        <w:bCs/>
      </w:rPr>
    </w:tblStylePr>
    <w:tblStylePr w:type="band1Vert">
      <w:tblPr/>
      <w:tcPr>
        <w:shd w:val="clear" w:color="auto" w:fill="F5DAD0" w:themeFill="accent1" w:themeFillTint="33"/>
      </w:tcPr>
    </w:tblStylePr>
    <w:tblStylePr w:type="band1Horz">
      <w:tblPr/>
      <w:tcPr>
        <w:shd w:val="clear" w:color="auto" w:fill="F5DAD0" w:themeFill="accent1" w:themeFillTint="33"/>
      </w:tcPr>
    </w:tblStylePr>
  </w:style>
  <w:style w:type="paragraph" w:styleId="ListBullet">
    <w:name w:val="List Bullet"/>
    <w:basedOn w:val="Normal"/>
    <w:uiPriority w:val="99"/>
    <w:unhideWhenUsed/>
    <w:rsid w:val="003B7D4F"/>
    <w:pPr>
      <w:tabs>
        <w:tab w:val="num" w:pos="720"/>
      </w:tabs>
      <w:ind w:left="720" w:hanging="720"/>
      <w:contextualSpacing/>
    </w:pPr>
  </w:style>
  <w:style w:type="table" w:styleId="ListTable4-Accent1">
    <w:name w:val="List Table 4 Accent 1"/>
    <w:basedOn w:val="TableNormal"/>
    <w:uiPriority w:val="49"/>
    <w:rsid w:val="00ED4415"/>
    <w:tblPr>
      <w:tblStyleRowBandSize w:val="1"/>
      <w:tblStyleColBandSize w:val="1"/>
      <w:tblBorders>
        <w:top w:val="single" w:sz="4" w:space="0" w:color="E29273" w:themeColor="accent1" w:themeTint="99"/>
        <w:left w:val="single" w:sz="4" w:space="0" w:color="E29273" w:themeColor="accent1" w:themeTint="99"/>
        <w:bottom w:val="single" w:sz="4" w:space="0" w:color="E29273" w:themeColor="accent1" w:themeTint="99"/>
        <w:right w:val="single" w:sz="4" w:space="0" w:color="E29273" w:themeColor="accent1" w:themeTint="99"/>
        <w:insideH w:val="single" w:sz="4" w:space="0" w:color="E29273" w:themeColor="accent1" w:themeTint="99"/>
      </w:tblBorders>
    </w:tblPr>
    <w:tblStylePr w:type="firstRow">
      <w:rPr>
        <w:b/>
        <w:bCs/>
        <w:color w:val="FFFFFF" w:themeColor="background1"/>
      </w:rPr>
      <w:tblPr/>
      <w:tcPr>
        <w:tcBorders>
          <w:top w:val="single" w:sz="4" w:space="0" w:color="BE5227" w:themeColor="accent1"/>
          <w:left w:val="single" w:sz="4" w:space="0" w:color="BE5227" w:themeColor="accent1"/>
          <w:bottom w:val="single" w:sz="4" w:space="0" w:color="BE5227" w:themeColor="accent1"/>
          <w:right w:val="single" w:sz="4" w:space="0" w:color="BE5227" w:themeColor="accent1"/>
          <w:insideH w:val="nil"/>
        </w:tcBorders>
        <w:shd w:val="clear" w:color="auto" w:fill="BE5227" w:themeFill="accent1"/>
      </w:tcPr>
    </w:tblStylePr>
    <w:tblStylePr w:type="lastRow">
      <w:rPr>
        <w:b/>
        <w:bCs/>
      </w:rPr>
      <w:tblPr/>
      <w:tcPr>
        <w:tcBorders>
          <w:top w:val="double" w:sz="4" w:space="0" w:color="E29273" w:themeColor="accent1" w:themeTint="99"/>
        </w:tcBorders>
      </w:tcPr>
    </w:tblStylePr>
    <w:tblStylePr w:type="firstCol">
      <w:rPr>
        <w:b/>
        <w:bCs/>
      </w:rPr>
    </w:tblStylePr>
    <w:tblStylePr w:type="lastCol">
      <w:rPr>
        <w:b/>
        <w:bCs/>
      </w:rPr>
    </w:tblStylePr>
    <w:tblStylePr w:type="band1Vert">
      <w:tblPr/>
      <w:tcPr>
        <w:shd w:val="clear" w:color="auto" w:fill="F5DAD0" w:themeFill="accent1" w:themeFillTint="33"/>
      </w:tcPr>
    </w:tblStylePr>
    <w:tblStylePr w:type="band1Horz">
      <w:tblPr/>
      <w:tcPr>
        <w:shd w:val="clear" w:color="auto" w:fill="F5DAD0" w:themeFill="accent1" w:themeFillTint="33"/>
      </w:tcPr>
    </w:tblStylePr>
  </w:style>
  <w:style w:type="table" w:styleId="GridTable4-Accent5">
    <w:name w:val="Grid Table 4 Accent 5"/>
    <w:basedOn w:val="TableNormal"/>
    <w:uiPriority w:val="49"/>
    <w:rsid w:val="00ED4415"/>
    <w:tblPr>
      <w:tblStyleRowBandSize w:val="1"/>
      <w:tblStyleColBandSize w:val="1"/>
      <w:tblBorders>
        <w:top w:val="single" w:sz="4" w:space="0" w:color="DC5B0A" w:themeColor="accent5" w:themeTint="99"/>
        <w:left w:val="single" w:sz="4" w:space="0" w:color="DC5B0A" w:themeColor="accent5" w:themeTint="99"/>
        <w:bottom w:val="single" w:sz="4" w:space="0" w:color="DC5B0A" w:themeColor="accent5" w:themeTint="99"/>
        <w:right w:val="single" w:sz="4" w:space="0" w:color="DC5B0A" w:themeColor="accent5" w:themeTint="99"/>
        <w:insideH w:val="single" w:sz="4" w:space="0" w:color="DC5B0A" w:themeColor="accent5" w:themeTint="99"/>
        <w:insideV w:val="single" w:sz="4" w:space="0" w:color="DC5B0A" w:themeColor="accent5" w:themeTint="99"/>
      </w:tblBorders>
    </w:tblPr>
    <w:tblStylePr w:type="firstRow">
      <w:rPr>
        <w:b/>
        <w:bCs/>
        <w:color w:val="FFFFFF" w:themeColor="background1"/>
      </w:rPr>
      <w:tblPr/>
      <w:tcPr>
        <w:tcBorders>
          <w:top w:val="single" w:sz="4" w:space="0" w:color="2B1202" w:themeColor="accent5"/>
          <w:left w:val="single" w:sz="4" w:space="0" w:color="2B1202" w:themeColor="accent5"/>
          <w:bottom w:val="single" w:sz="4" w:space="0" w:color="2B1202" w:themeColor="accent5"/>
          <w:right w:val="single" w:sz="4" w:space="0" w:color="2B1202" w:themeColor="accent5"/>
          <w:insideH w:val="nil"/>
          <w:insideV w:val="nil"/>
        </w:tcBorders>
        <w:shd w:val="clear" w:color="auto" w:fill="2B1202" w:themeFill="accent5"/>
      </w:tcPr>
    </w:tblStylePr>
    <w:tblStylePr w:type="lastRow">
      <w:rPr>
        <w:b/>
        <w:bCs/>
      </w:rPr>
      <w:tblPr/>
      <w:tcPr>
        <w:tcBorders>
          <w:top w:val="double" w:sz="4" w:space="0" w:color="2B1202" w:themeColor="accent5"/>
        </w:tcBorders>
      </w:tcPr>
    </w:tblStylePr>
    <w:tblStylePr w:type="firstCol">
      <w:rPr>
        <w:b/>
        <w:bCs/>
      </w:rPr>
    </w:tblStylePr>
    <w:tblStylePr w:type="lastCol">
      <w:rPr>
        <w:b/>
        <w:bCs/>
      </w:rPr>
    </w:tblStylePr>
    <w:tblStylePr w:type="band1Vert">
      <w:tblPr/>
      <w:tcPr>
        <w:shd w:val="clear" w:color="auto" w:fill="FBC7A6" w:themeFill="accent5" w:themeFillTint="33"/>
      </w:tcPr>
    </w:tblStylePr>
    <w:tblStylePr w:type="band1Horz">
      <w:tblPr/>
      <w:tcPr>
        <w:shd w:val="clear" w:color="auto" w:fill="FBC7A6" w:themeFill="accent5" w:themeFillTint="33"/>
      </w:tcPr>
    </w:tblStylePr>
  </w:style>
  <w:style w:type="table" w:styleId="GridTable4-Accent4">
    <w:name w:val="Grid Table 4 Accent 4"/>
    <w:basedOn w:val="TableNormal"/>
    <w:uiPriority w:val="49"/>
    <w:rsid w:val="002E0259"/>
    <w:tblPr>
      <w:tblStyleRowBandSize w:val="1"/>
      <w:tblStyleColBandSize w:val="1"/>
      <w:tblBorders>
        <w:top w:val="single" w:sz="4" w:space="0" w:color="F5C778" w:themeColor="accent4" w:themeTint="99"/>
        <w:left w:val="single" w:sz="4" w:space="0" w:color="F5C778" w:themeColor="accent4" w:themeTint="99"/>
        <w:bottom w:val="single" w:sz="4" w:space="0" w:color="F5C778" w:themeColor="accent4" w:themeTint="99"/>
        <w:right w:val="single" w:sz="4" w:space="0" w:color="F5C778" w:themeColor="accent4" w:themeTint="99"/>
        <w:insideH w:val="single" w:sz="4" w:space="0" w:color="F5C778" w:themeColor="accent4" w:themeTint="99"/>
        <w:insideV w:val="single" w:sz="4" w:space="0" w:color="F5C778" w:themeColor="accent4" w:themeTint="99"/>
      </w:tblBorders>
    </w:tblPr>
    <w:tblStylePr w:type="firstRow">
      <w:rPr>
        <w:b/>
        <w:bCs/>
        <w:color w:val="FFFFFF" w:themeColor="background1"/>
      </w:rPr>
      <w:tblPr/>
      <w:tcPr>
        <w:tcBorders>
          <w:top w:val="single" w:sz="4" w:space="0" w:color="EFA31F" w:themeColor="accent4"/>
          <w:left w:val="single" w:sz="4" w:space="0" w:color="EFA31F" w:themeColor="accent4"/>
          <w:bottom w:val="single" w:sz="4" w:space="0" w:color="EFA31F" w:themeColor="accent4"/>
          <w:right w:val="single" w:sz="4" w:space="0" w:color="EFA31F" w:themeColor="accent4"/>
          <w:insideH w:val="nil"/>
          <w:insideV w:val="nil"/>
        </w:tcBorders>
        <w:shd w:val="clear" w:color="auto" w:fill="EFA31F" w:themeFill="accent4"/>
      </w:tcPr>
    </w:tblStylePr>
    <w:tblStylePr w:type="lastRow">
      <w:rPr>
        <w:b/>
        <w:bCs/>
      </w:rPr>
      <w:tblPr/>
      <w:tcPr>
        <w:tcBorders>
          <w:top w:val="double" w:sz="4" w:space="0" w:color="EFA31F" w:themeColor="accent4"/>
        </w:tcBorders>
      </w:tcPr>
    </w:tblStylePr>
    <w:tblStylePr w:type="firstCol">
      <w:rPr>
        <w:b/>
        <w:bCs/>
      </w:rPr>
    </w:tblStylePr>
    <w:tblStylePr w:type="lastCol">
      <w:rPr>
        <w:b/>
        <w:bCs/>
      </w:rPr>
    </w:tblStylePr>
    <w:tblStylePr w:type="band1Vert">
      <w:tblPr/>
      <w:tcPr>
        <w:shd w:val="clear" w:color="auto" w:fill="FBECD2" w:themeFill="accent4" w:themeFillTint="33"/>
      </w:tcPr>
    </w:tblStylePr>
    <w:tblStylePr w:type="band1Horz">
      <w:tblPr/>
      <w:tcPr>
        <w:shd w:val="clear" w:color="auto" w:fill="FBECD2" w:themeFill="accent4" w:themeFillTint="33"/>
      </w:tcPr>
    </w:tblStylePr>
  </w:style>
  <w:style w:type="table" w:customStyle="1" w:styleId="11">
    <w:name w:val="11"/>
    <w:basedOn w:val="TableNormal"/>
    <w:rPr>
      <w:rFonts w:ascii="Calibri" w:eastAsia="Calibri" w:hAnsi="Calibri" w:cs="Calibri"/>
      <w:sz w:val="22"/>
      <w:szCs w:val="22"/>
    </w:rPr>
    <w:tblPr>
      <w:tblStyleRowBandSize w:val="1"/>
      <w:tblStyleColBandSize w:val="1"/>
    </w:tblPr>
    <w:tblStylePr w:type="firstRow">
      <w:rPr>
        <w:b/>
        <w:color w:val="FFFFFF"/>
      </w:rPr>
      <w:tblPr/>
      <w:tcPr>
        <w:tcBorders>
          <w:top w:val="single" w:sz="4" w:space="0" w:color="EFA31F"/>
          <w:left w:val="single" w:sz="4" w:space="0" w:color="EFA31F"/>
          <w:bottom w:val="single" w:sz="4" w:space="0" w:color="EFA31F"/>
          <w:right w:val="single" w:sz="4" w:space="0" w:color="EFA31F"/>
          <w:insideH w:val="nil"/>
          <w:insideV w:val="nil"/>
        </w:tcBorders>
        <w:shd w:val="clear" w:color="auto" w:fill="EFA31F"/>
      </w:tcPr>
    </w:tblStylePr>
    <w:tblStylePr w:type="lastRow">
      <w:rPr>
        <w:b/>
      </w:rPr>
      <w:tblPr/>
      <w:tcPr>
        <w:tcBorders>
          <w:top w:val="single" w:sz="4" w:space="0" w:color="EFA31F"/>
        </w:tcBorders>
      </w:tcPr>
    </w:tblStylePr>
    <w:tblStylePr w:type="firstCol">
      <w:rPr>
        <w:b/>
      </w:rPr>
    </w:tblStylePr>
    <w:tblStylePr w:type="lastCol">
      <w:rPr>
        <w:b/>
      </w:rPr>
    </w:tblStylePr>
    <w:tblStylePr w:type="band1Vert">
      <w:tblPr/>
      <w:tcPr>
        <w:shd w:val="clear" w:color="auto" w:fill="FBECD2"/>
      </w:tcPr>
    </w:tblStylePr>
    <w:tblStylePr w:type="band1Horz">
      <w:tblPr/>
      <w:tcPr>
        <w:shd w:val="clear" w:color="auto" w:fill="FBECD2"/>
      </w:tcPr>
    </w:tblStylePr>
  </w:style>
  <w:style w:type="table" w:customStyle="1" w:styleId="10">
    <w:name w:val="10"/>
    <w:basedOn w:val="TableNormal"/>
    <w:rPr>
      <w:rFonts w:ascii="Calibri" w:eastAsia="Calibri" w:hAnsi="Calibri" w:cs="Calibri"/>
      <w:sz w:val="22"/>
      <w:szCs w:val="22"/>
    </w:rPr>
    <w:tblPr>
      <w:tblStyleRowBandSize w:val="1"/>
      <w:tblStyleColBandSize w:val="1"/>
      <w:tblCellMar>
        <w:top w:w="57" w:type="dxa"/>
        <w:left w:w="85" w:type="dxa"/>
        <w:bottom w:w="57" w:type="dxa"/>
        <w:right w:w="85" w:type="dxa"/>
      </w:tblCellMar>
    </w:tblPr>
    <w:tblStylePr w:type="firstRow">
      <w:rPr>
        <w:b/>
        <w:color w:val="FFFFFF"/>
      </w:rPr>
      <w:tblPr/>
      <w:tcPr>
        <w:tcBorders>
          <w:top w:val="single" w:sz="4" w:space="0" w:color="EFA31F"/>
          <w:left w:val="single" w:sz="4" w:space="0" w:color="EFA31F"/>
          <w:bottom w:val="single" w:sz="4" w:space="0" w:color="EFA31F"/>
          <w:right w:val="single" w:sz="4" w:space="0" w:color="EFA31F"/>
          <w:insideH w:val="nil"/>
          <w:insideV w:val="nil"/>
        </w:tcBorders>
        <w:shd w:val="clear" w:color="auto" w:fill="EFA31F"/>
      </w:tcPr>
    </w:tblStylePr>
    <w:tblStylePr w:type="lastRow">
      <w:rPr>
        <w:b/>
      </w:rPr>
      <w:tblPr/>
      <w:tcPr>
        <w:tcBorders>
          <w:top w:val="single" w:sz="4" w:space="0" w:color="EFA31F"/>
        </w:tcBorders>
      </w:tcPr>
    </w:tblStylePr>
    <w:tblStylePr w:type="firstCol">
      <w:rPr>
        <w:b/>
      </w:rPr>
    </w:tblStylePr>
    <w:tblStylePr w:type="lastCol">
      <w:rPr>
        <w:b/>
      </w:rPr>
    </w:tblStylePr>
    <w:tblStylePr w:type="band1Vert">
      <w:tblPr/>
      <w:tcPr>
        <w:shd w:val="clear" w:color="auto" w:fill="FBECD2"/>
      </w:tcPr>
    </w:tblStylePr>
    <w:tblStylePr w:type="band1Horz">
      <w:tblPr/>
      <w:tcPr>
        <w:shd w:val="clear" w:color="auto" w:fill="FBECD2"/>
      </w:tcPr>
    </w:tblStylePr>
  </w:style>
  <w:style w:type="table" w:customStyle="1" w:styleId="9">
    <w:name w:val="9"/>
    <w:basedOn w:val="TableNormal"/>
    <w:rPr>
      <w:rFonts w:ascii="Calibri" w:eastAsia="Calibri" w:hAnsi="Calibri" w:cs="Calibri"/>
      <w:sz w:val="22"/>
      <w:szCs w:val="22"/>
    </w:rPr>
    <w:tblPr>
      <w:tblStyleRowBandSize w:val="1"/>
      <w:tblStyleColBandSize w:val="1"/>
      <w:tblCellMar>
        <w:top w:w="57" w:type="dxa"/>
        <w:left w:w="85" w:type="dxa"/>
        <w:bottom w:w="57" w:type="dxa"/>
        <w:right w:w="85" w:type="dxa"/>
      </w:tblCellMar>
    </w:tblPr>
    <w:tblStylePr w:type="firstRow">
      <w:rPr>
        <w:b/>
        <w:color w:val="FFFFFF"/>
      </w:rPr>
      <w:tblPr/>
      <w:tcPr>
        <w:tcBorders>
          <w:top w:val="single" w:sz="4" w:space="0" w:color="EFA31F"/>
          <w:left w:val="single" w:sz="4" w:space="0" w:color="EFA31F"/>
          <w:bottom w:val="single" w:sz="4" w:space="0" w:color="EFA31F"/>
          <w:right w:val="single" w:sz="4" w:space="0" w:color="EFA31F"/>
          <w:insideH w:val="nil"/>
          <w:insideV w:val="nil"/>
        </w:tcBorders>
        <w:shd w:val="clear" w:color="auto" w:fill="EFA31F"/>
      </w:tcPr>
    </w:tblStylePr>
    <w:tblStylePr w:type="lastRow">
      <w:rPr>
        <w:b/>
      </w:rPr>
      <w:tblPr/>
      <w:tcPr>
        <w:tcBorders>
          <w:top w:val="single" w:sz="4" w:space="0" w:color="EFA31F"/>
        </w:tcBorders>
      </w:tcPr>
    </w:tblStylePr>
    <w:tblStylePr w:type="firstCol">
      <w:rPr>
        <w:b/>
      </w:rPr>
    </w:tblStylePr>
    <w:tblStylePr w:type="lastCol">
      <w:rPr>
        <w:b/>
      </w:rPr>
    </w:tblStylePr>
    <w:tblStylePr w:type="band1Vert">
      <w:tblPr/>
      <w:tcPr>
        <w:shd w:val="clear" w:color="auto" w:fill="FBECD2"/>
      </w:tcPr>
    </w:tblStylePr>
    <w:tblStylePr w:type="band1Horz">
      <w:tblPr/>
      <w:tcPr>
        <w:shd w:val="clear" w:color="auto" w:fill="FBECD2"/>
      </w:tcPr>
    </w:tblStylePr>
  </w:style>
  <w:style w:type="table" w:customStyle="1" w:styleId="8">
    <w:name w:val="8"/>
    <w:basedOn w:val="TableNormal"/>
    <w:rPr>
      <w:rFonts w:ascii="Calibri" w:eastAsia="Calibri" w:hAnsi="Calibri" w:cs="Calibri"/>
      <w:sz w:val="22"/>
      <w:szCs w:val="22"/>
    </w:rPr>
    <w:tblPr>
      <w:tblStyleRowBandSize w:val="1"/>
      <w:tblStyleColBandSize w:val="1"/>
      <w:tblCellMar>
        <w:top w:w="57" w:type="dxa"/>
        <w:left w:w="85" w:type="dxa"/>
        <w:bottom w:w="57" w:type="dxa"/>
        <w:right w:w="85" w:type="dxa"/>
      </w:tblCellMar>
    </w:tblPr>
    <w:tblStylePr w:type="firstRow">
      <w:rPr>
        <w:b/>
        <w:color w:val="FFFFFF"/>
      </w:rPr>
      <w:tblPr/>
      <w:tcPr>
        <w:tcBorders>
          <w:top w:val="single" w:sz="4" w:space="0" w:color="EFA31F"/>
          <w:left w:val="single" w:sz="4" w:space="0" w:color="EFA31F"/>
          <w:bottom w:val="single" w:sz="4" w:space="0" w:color="EFA31F"/>
          <w:right w:val="single" w:sz="4" w:space="0" w:color="EFA31F"/>
          <w:insideH w:val="nil"/>
          <w:insideV w:val="nil"/>
        </w:tcBorders>
        <w:shd w:val="clear" w:color="auto" w:fill="EFA31F"/>
      </w:tcPr>
    </w:tblStylePr>
    <w:tblStylePr w:type="lastRow">
      <w:rPr>
        <w:b/>
      </w:rPr>
      <w:tblPr/>
      <w:tcPr>
        <w:tcBorders>
          <w:top w:val="single" w:sz="4" w:space="0" w:color="EFA31F"/>
        </w:tcBorders>
      </w:tcPr>
    </w:tblStylePr>
    <w:tblStylePr w:type="firstCol">
      <w:rPr>
        <w:b/>
      </w:rPr>
    </w:tblStylePr>
    <w:tblStylePr w:type="lastCol">
      <w:rPr>
        <w:b/>
      </w:rPr>
    </w:tblStylePr>
    <w:tblStylePr w:type="band1Vert">
      <w:tblPr/>
      <w:tcPr>
        <w:shd w:val="clear" w:color="auto" w:fill="FBECD2"/>
      </w:tcPr>
    </w:tblStylePr>
    <w:tblStylePr w:type="band1Horz">
      <w:tblPr/>
      <w:tcPr>
        <w:shd w:val="clear" w:color="auto" w:fill="FBECD2"/>
      </w:tcPr>
    </w:tblStylePr>
  </w:style>
  <w:style w:type="table" w:customStyle="1" w:styleId="7">
    <w:name w:val="7"/>
    <w:basedOn w:val="TableNormal"/>
    <w:rPr>
      <w:rFonts w:ascii="Calibri" w:eastAsia="Calibri" w:hAnsi="Calibri" w:cs="Calibri"/>
      <w:sz w:val="22"/>
      <w:szCs w:val="22"/>
    </w:rPr>
    <w:tblPr>
      <w:tblStyleRowBandSize w:val="1"/>
      <w:tblStyleColBandSize w:val="1"/>
      <w:tblCellMar>
        <w:top w:w="57" w:type="dxa"/>
        <w:left w:w="85" w:type="dxa"/>
        <w:bottom w:w="57" w:type="dxa"/>
        <w:right w:w="85" w:type="dxa"/>
      </w:tblCellMar>
    </w:tblPr>
    <w:tblStylePr w:type="firstRow">
      <w:rPr>
        <w:b/>
        <w:color w:val="FFFFFF"/>
      </w:rPr>
      <w:tblPr/>
      <w:tcPr>
        <w:tcBorders>
          <w:top w:val="single" w:sz="4" w:space="0" w:color="EFA31F"/>
          <w:left w:val="single" w:sz="4" w:space="0" w:color="EFA31F"/>
          <w:bottom w:val="single" w:sz="4" w:space="0" w:color="EFA31F"/>
          <w:right w:val="single" w:sz="4" w:space="0" w:color="EFA31F"/>
          <w:insideH w:val="nil"/>
          <w:insideV w:val="nil"/>
        </w:tcBorders>
        <w:shd w:val="clear" w:color="auto" w:fill="EFA31F"/>
      </w:tcPr>
    </w:tblStylePr>
    <w:tblStylePr w:type="lastRow">
      <w:rPr>
        <w:b/>
      </w:rPr>
      <w:tblPr/>
      <w:tcPr>
        <w:tcBorders>
          <w:top w:val="single" w:sz="4" w:space="0" w:color="EFA31F"/>
        </w:tcBorders>
      </w:tcPr>
    </w:tblStylePr>
    <w:tblStylePr w:type="firstCol">
      <w:rPr>
        <w:b/>
      </w:rPr>
    </w:tblStylePr>
    <w:tblStylePr w:type="lastCol">
      <w:rPr>
        <w:b/>
      </w:rPr>
    </w:tblStylePr>
    <w:tblStylePr w:type="band1Vert">
      <w:tblPr/>
      <w:tcPr>
        <w:shd w:val="clear" w:color="auto" w:fill="FBECD2"/>
      </w:tcPr>
    </w:tblStylePr>
    <w:tblStylePr w:type="band1Horz">
      <w:tblPr/>
      <w:tcPr>
        <w:shd w:val="clear" w:color="auto" w:fill="FBECD2"/>
      </w:tcPr>
    </w:tblStylePr>
  </w:style>
  <w:style w:type="table" w:customStyle="1" w:styleId="6">
    <w:name w:val="6"/>
    <w:basedOn w:val="TableNormal"/>
    <w:rPr>
      <w:rFonts w:ascii="Calibri" w:eastAsia="Calibri" w:hAnsi="Calibri" w:cs="Calibri"/>
      <w:sz w:val="22"/>
      <w:szCs w:val="22"/>
    </w:rPr>
    <w:tblPr>
      <w:tblStyleRowBandSize w:val="1"/>
      <w:tblStyleColBandSize w:val="1"/>
      <w:tblCellMar>
        <w:top w:w="57" w:type="dxa"/>
        <w:left w:w="85" w:type="dxa"/>
        <w:bottom w:w="57" w:type="dxa"/>
        <w:right w:w="85" w:type="dxa"/>
      </w:tblCellMar>
    </w:tblPr>
    <w:tblStylePr w:type="firstRow">
      <w:rPr>
        <w:b/>
        <w:color w:val="FFFFFF"/>
      </w:rPr>
      <w:tblPr/>
      <w:tcPr>
        <w:tcBorders>
          <w:top w:val="single" w:sz="4" w:space="0" w:color="EFA31F"/>
          <w:left w:val="single" w:sz="4" w:space="0" w:color="EFA31F"/>
          <w:bottom w:val="single" w:sz="4" w:space="0" w:color="EFA31F"/>
          <w:right w:val="single" w:sz="4" w:space="0" w:color="EFA31F"/>
          <w:insideH w:val="nil"/>
          <w:insideV w:val="nil"/>
        </w:tcBorders>
        <w:shd w:val="clear" w:color="auto" w:fill="EFA31F"/>
      </w:tcPr>
    </w:tblStylePr>
    <w:tblStylePr w:type="lastRow">
      <w:rPr>
        <w:b/>
      </w:rPr>
      <w:tblPr/>
      <w:tcPr>
        <w:tcBorders>
          <w:top w:val="single" w:sz="4" w:space="0" w:color="EFA31F"/>
        </w:tcBorders>
      </w:tcPr>
    </w:tblStylePr>
    <w:tblStylePr w:type="firstCol">
      <w:rPr>
        <w:b/>
      </w:rPr>
    </w:tblStylePr>
    <w:tblStylePr w:type="lastCol">
      <w:rPr>
        <w:b/>
      </w:rPr>
    </w:tblStylePr>
    <w:tblStylePr w:type="band1Vert">
      <w:tblPr/>
      <w:tcPr>
        <w:shd w:val="clear" w:color="auto" w:fill="FBECD2"/>
      </w:tcPr>
    </w:tblStylePr>
    <w:tblStylePr w:type="band1Horz">
      <w:tblPr/>
      <w:tcPr>
        <w:shd w:val="clear" w:color="auto" w:fill="FBECD2"/>
      </w:tcPr>
    </w:tblStylePr>
  </w:style>
  <w:style w:type="table" w:customStyle="1" w:styleId="5">
    <w:name w:val="5"/>
    <w:basedOn w:val="TableNormal"/>
    <w:rPr>
      <w:rFonts w:ascii="Calibri" w:eastAsia="Calibri" w:hAnsi="Calibri" w:cs="Calibri"/>
      <w:sz w:val="22"/>
      <w:szCs w:val="22"/>
    </w:rPr>
    <w:tblPr>
      <w:tblStyleRowBandSize w:val="1"/>
      <w:tblStyleColBandSize w:val="1"/>
      <w:tblCellMar>
        <w:top w:w="57" w:type="dxa"/>
        <w:left w:w="85" w:type="dxa"/>
        <w:bottom w:w="57" w:type="dxa"/>
        <w:right w:w="85" w:type="dxa"/>
      </w:tblCellMar>
    </w:tblPr>
    <w:tblStylePr w:type="firstRow">
      <w:rPr>
        <w:b/>
        <w:color w:val="FFFFFF"/>
      </w:rPr>
      <w:tblPr/>
      <w:tcPr>
        <w:tcBorders>
          <w:top w:val="single" w:sz="4" w:space="0" w:color="EFA31F"/>
          <w:left w:val="single" w:sz="4" w:space="0" w:color="EFA31F"/>
          <w:bottom w:val="single" w:sz="4" w:space="0" w:color="EFA31F"/>
          <w:right w:val="single" w:sz="4" w:space="0" w:color="EFA31F"/>
          <w:insideH w:val="nil"/>
          <w:insideV w:val="nil"/>
        </w:tcBorders>
        <w:shd w:val="clear" w:color="auto" w:fill="EFA31F"/>
      </w:tcPr>
    </w:tblStylePr>
    <w:tblStylePr w:type="lastRow">
      <w:rPr>
        <w:b/>
      </w:rPr>
      <w:tblPr/>
      <w:tcPr>
        <w:tcBorders>
          <w:top w:val="single" w:sz="4" w:space="0" w:color="EFA31F"/>
        </w:tcBorders>
      </w:tcPr>
    </w:tblStylePr>
    <w:tblStylePr w:type="firstCol">
      <w:rPr>
        <w:b/>
      </w:rPr>
    </w:tblStylePr>
    <w:tblStylePr w:type="lastCol">
      <w:rPr>
        <w:b/>
      </w:rPr>
    </w:tblStylePr>
    <w:tblStylePr w:type="band1Vert">
      <w:tblPr/>
      <w:tcPr>
        <w:shd w:val="clear" w:color="auto" w:fill="FBECD2"/>
      </w:tcPr>
    </w:tblStylePr>
    <w:tblStylePr w:type="band1Horz">
      <w:tblPr/>
      <w:tcPr>
        <w:shd w:val="clear" w:color="auto" w:fill="FBECD2"/>
      </w:tcPr>
    </w:tblStylePr>
  </w:style>
  <w:style w:type="table" w:customStyle="1" w:styleId="4">
    <w:name w:val="4"/>
    <w:basedOn w:val="TableNormal"/>
    <w:rPr>
      <w:rFonts w:ascii="Calibri" w:eastAsia="Calibri" w:hAnsi="Calibri" w:cs="Calibri"/>
      <w:sz w:val="22"/>
      <w:szCs w:val="22"/>
    </w:rPr>
    <w:tblPr>
      <w:tblStyleRowBandSize w:val="1"/>
      <w:tblStyleColBandSize w:val="1"/>
      <w:tblCellMar>
        <w:top w:w="57" w:type="dxa"/>
        <w:left w:w="85" w:type="dxa"/>
        <w:bottom w:w="57" w:type="dxa"/>
        <w:right w:w="85" w:type="dxa"/>
      </w:tblCellMar>
    </w:tblPr>
    <w:tblStylePr w:type="firstRow">
      <w:rPr>
        <w:b/>
        <w:color w:val="FFFFFF"/>
      </w:rPr>
      <w:tblPr/>
      <w:tcPr>
        <w:tcBorders>
          <w:top w:val="single" w:sz="4" w:space="0" w:color="EFA31F"/>
          <w:left w:val="single" w:sz="4" w:space="0" w:color="EFA31F"/>
          <w:bottom w:val="single" w:sz="4" w:space="0" w:color="EFA31F"/>
          <w:right w:val="single" w:sz="4" w:space="0" w:color="EFA31F"/>
          <w:insideH w:val="nil"/>
          <w:insideV w:val="nil"/>
        </w:tcBorders>
        <w:shd w:val="clear" w:color="auto" w:fill="EFA31F"/>
      </w:tcPr>
    </w:tblStylePr>
    <w:tblStylePr w:type="lastRow">
      <w:rPr>
        <w:b/>
      </w:rPr>
      <w:tblPr/>
      <w:tcPr>
        <w:tcBorders>
          <w:top w:val="single" w:sz="4" w:space="0" w:color="EFA31F"/>
        </w:tcBorders>
      </w:tcPr>
    </w:tblStylePr>
    <w:tblStylePr w:type="firstCol">
      <w:rPr>
        <w:b/>
      </w:rPr>
    </w:tblStylePr>
    <w:tblStylePr w:type="lastCol">
      <w:rPr>
        <w:b/>
      </w:rPr>
    </w:tblStylePr>
    <w:tblStylePr w:type="band1Vert">
      <w:tblPr/>
      <w:tcPr>
        <w:shd w:val="clear" w:color="auto" w:fill="FBECD2"/>
      </w:tcPr>
    </w:tblStylePr>
    <w:tblStylePr w:type="band1Horz">
      <w:tblPr/>
      <w:tcPr>
        <w:shd w:val="clear" w:color="auto" w:fill="FBECD2"/>
      </w:tcPr>
    </w:tblStylePr>
  </w:style>
  <w:style w:type="table" w:customStyle="1" w:styleId="3">
    <w:name w:val="3"/>
    <w:basedOn w:val="TableNormal"/>
    <w:rPr>
      <w:rFonts w:ascii="Calibri" w:eastAsia="Calibri" w:hAnsi="Calibri" w:cs="Calibri"/>
      <w:sz w:val="22"/>
      <w:szCs w:val="22"/>
    </w:rPr>
    <w:tblPr>
      <w:tblStyleRowBandSize w:val="1"/>
      <w:tblStyleColBandSize w:val="1"/>
      <w:tblCellMar>
        <w:top w:w="57" w:type="dxa"/>
        <w:left w:w="85" w:type="dxa"/>
        <w:bottom w:w="57" w:type="dxa"/>
        <w:right w:w="85" w:type="dxa"/>
      </w:tblCellMar>
    </w:tblPr>
    <w:tblStylePr w:type="firstRow">
      <w:rPr>
        <w:b/>
        <w:color w:val="FFFFFF"/>
      </w:rPr>
      <w:tblPr/>
      <w:tcPr>
        <w:tcBorders>
          <w:top w:val="single" w:sz="4" w:space="0" w:color="EFA31F"/>
          <w:left w:val="single" w:sz="4" w:space="0" w:color="EFA31F"/>
          <w:bottom w:val="single" w:sz="4" w:space="0" w:color="EFA31F"/>
          <w:right w:val="single" w:sz="4" w:space="0" w:color="EFA31F"/>
          <w:insideH w:val="nil"/>
          <w:insideV w:val="nil"/>
        </w:tcBorders>
        <w:shd w:val="clear" w:color="auto" w:fill="EFA31F"/>
      </w:tcPr>
    </w:tblStylePr>
    <w:tblStylePr w:type="lastRow">
      <w:rPr>
        <w:b/>
      </w:rPr>
      <w:tblPr/>
      <w:tcPr>
        <w:tcBorders>
          <w:top w:val="single" w:sz="4" w:space="0" w:color="EFA31F"/>
        </w:tcBorders>
      </w:tcPr>
    </w:tblStylePr>
    <w:tblStylePr w:type="firstCol">
      <w:rPr>
        <w:b/>
      </w:rPr>
    </w:tblStylePr>
    <w:tblStylePr w:type="lastCol">
      <w:rPr>
        <w:b/>
      </w:rPr>
    </w:tblStylePr>
    <w:tblStylePr w:type="band1Vert">
      <w:tblPr/>
      <w:tcPr>
        <w:shd w:val="clear" w:color="auto" w:fill="FBECD2"/>
      </w:tcPr>
    </w:tblStylePr>
    <w:tblStylePr w:type="band1Horz">
      <w:tblPr/>
      <w:tcPr>
        <w:shd w:val="clear" w:color="auto" w:fill="FBECD2"/>
      </w:tcPr>
    </w:tblStylePr>
  </w:style>
  <w:style w:type="table" w:customStyle="1" w:styleId="2">
    <w:name w:val="2"/>
    <w:basedOn w:val="TableNormal"/>
    <w:tblPr>
      <w:tblStyleRowBandSize w:val="1"/>
      <w:tblStyleColBandSize w:val="1"/>
      <w:tblCellMar>
        <w:left w:w="115" w:type="dxa"/>
        <w:right w:w="115" w:type="dxa"/>
      </w:tblCellMar>
    </w:tblPr>
  </w:style>
  <w:style w:type="table" w:customStyle="1" w:styleId="1">
    <w:name w:val="1"/>
    <w:basedOn w:val="TableNormal"/>
    <w:tblPr>
      <w:tblStyleRowBandSize w:val="1"/>
      <w:tblStyleColBandSize w:val="1"/>
      <w:tblCellMar>
        <w:left w:w="115" w:type="dxa"/>
        <w:right w:w="115" w:type="dxa"/>
      </w:tblCellMar>
    </w:tblPr>
  </w:style>
  <w:style w:type="table" w:styleId="GridTable7Colorful-Accent5">
    <w:name w:val="Grid Table 7 Colorful Accent 5"/>
    <w:basedOn w:val="TableNormal"/>
    <w:uiPriority w:val="52"/>
    <w:rsid w:val="00A33677"/>
    <w:rPr>
      <w:color w:val="200D01" w:themeColor="accent5" w:themeShade="BF"/>
    </w:rPr>
    <w:tblPr>
      <w:tblStyleRowBandSize w:val="1"/>
      <w:tblStyleColBandSize w:val="1"/>
      <w:tblBorders>
        <w:top w:val="single" w:sz="4" w:space="0" w:color="DC5B0A" w:themeColor="accent5" w:themeTint="99"/>
        <w:left w:val="single" w:sz="4" w:space="0" w:color="DC5B0A" w:themeColor="accent5" w:themeTint="99"/>
        <w:bottom w:val="single" w:sz="4" w:space="0" w:color="DC5B0A" w:themeColor="accent5" w:themeTint="99"/>
        <w:right w:val="single" w:sz="4" w:space="0" w:color="DC5B0A" w:themeColor="accent5" w:themeTint="99"/>
        <w:insideH w:val="single" w:sz="4" w:space="0" w:color="DC5B0A" w:themeColor="accent5" w:themeTint="99"/>
        <w:insideV w:val="single" w:sz="4" w:space="0" w:color="DC5B0A"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C7A6" w:themeFill="accent5" w:themeFillTint="33"/>
      </w:tcPr>
    </w:tblStylePr>
    <w:tblStylePr w:type="band1Horz">
      <w:tblPr/>
      <w:tcPr>
        <w:shd w:val="clear" w:color="auto" w:fill="FBC7A6" w:themeFill="accent5" w:themeFillTint="33"/>
      </w:tcPr>
    </w:tblStylePr>
    <w:tblStylePr w:type="neCell">
      <w:tblPr/>
      <w:tcPr>
        <w:tcBorders>
          <w:bottom w:val="single" w:sz="4" w:space="0" w:color="DC5B0A" w:themeColor="accent5" w:themeTint="99"/>
        </w:tcBorders>
      </w:tcPr>
    </w:tblStylePr>
    <w:tblStylePr w:type="nwCell">
      <w:tblPr/>
      <w:tcPr>
        <w:tcBorders>
          <w:bottom w:val="single" w:sz="4" w:space="0" w:color="DC5B0A" w:themeColor="accent5" w:themeTint="99"/>
        </w:tcBorders>
      </w:tcPr>
    </w:tblStylePr>
    <w:tblStylePr w:type="seCell">
      <w:tblPr/>
      <w:tcPr>
        <w:tcBorders>
          <w:top w:val="single" w:sz="4" w:space="0" w:color="DC5B0A" w:themeColor="accent5" w:themeTint="99"/>
        </w:tcBorders>
      </w:tcPr>
    </w:tblStylePr>
    <w:tblStylePr w:type="swCell">
      <w:tblPr/>
      <w:tcPr>
        <w:tcBorders>
          <w:top w:val="single" w:sz="4" w:space="0" w:color="DC5B0A" w:themeColor="accent5" w:themeTint="99"/>
        </w:tcBorders>
      </w:tcPr>
    </w:tblStylePr>
  </w:style>
  <w:style w:type="paragraph" w:customStyle="1" w:styleId="msonormal0">
    <w:name w:val="msonormal"/>
    <w:basedOn w:val="Normal"/>
    <w:rsid w:val="00A33677"/>
    <w:pPr>
      <w:spacing w:before="100" w:beforeAutospacing="1" w:after="100" w:afterAutospacing="1"/>
    </w:pPr>
  </w:style>
  <w:style w:type="table" w:styleId="TableGridLight">
    <w:name w:val="Grid Table Light"/>
    <w:basedOn w:val="TableNormal"/>
    <w:uiPriority w:val="40"/>
    <w:rsid w:val="008350D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HeadingLevel2NoNumber">
    <w:name w:val="HeadingLevel2NoNumber"/>
    <w:basedOn w:val="Heading2"/>
    <w:next w:val="Normal"/>
    <w:rsid w:val="00844472"/>
    <w:pPr>
      <w:numPr>
        <w:numId w:val="0"/>
      </w:numPr>
    </w:pPr>
    <w:rPr>
      <w:lang w:val="en-GB" w:eastAsia="en-US" w:bidi="en-US"/>
    </w:rPr>
  </w:style>
  <w:style w:type="numbering" w:customStyle="1" w:styleId="Subnumbers">
    <w:name w:val="Subnumbers"/>
    <w:uiPriority w:val="99"/>
    <w:rsid w:val="00B909F6"/>
    <w:pPr>
      <w:numPr>
        <w:numId w:val="16"/>
      </w:numPr>
    </w:pPr>
  </w:style>
  <w:style w:type="paragraph" w:customStyle="1" w:styleId="CaptionFigure">
    <w:name w:val="Caption Figure"/>
    <w:basedOn w:val="Caption"/>
    <w:next w:val="Normal"/>
    <w:qFormat/>
    <w:rsid w:val="00C73D9B"/>
    <w:pPr>
      <w:keepNext/>
      <w:snapToGrid w:val="0"/>
      <w:spacing w:before="180" w:after="120"/>
      <w:jc w:val="center"/>
    </w:pPr>
    <w:rPr>
      <w:rFonts w:cstheme="minorHAnsi"/>
      <w:bCs w:val="0"/>
      <w:color w:val="auto"/>
      <w:sz w:val="20"/>
      <w:lang w:val="en-GB" w:eastAsia="en-US" w:bidi="en-US"/>
    </w:rPr>
  </w:style>
  <w:style w:type="paragraph" w:customStyle="1" w:styleId="CaptionTable">
    <w:name w:val="Caption Table"/>
    <w:basedOn w:val="CaptionFigure"/>
    <w:rsid w:val="00C73D9B"/>
    <w:rPr>
      <w:lang w:val="en-AU"/>
    </w:rPr>
  </w:style>
  <w:style w:type="character" w:customStyle="1" w:styleId="TitleChar">
    <w:name w:val="Title Char"/>
    <w:basedOn w:val="DefaultParagraphFont"/>
    <w:link w:val="Title"/>
    <w:uiPriority w:val="10"/>
    <w:rsid w:val="00065A36"/>
    <w:rPr>
      <w:rFonts w:ascii="Calibri" w:eastAsia="Times New Roman" w:hAnsi="Calibri" w:cs="Times New Roman"/>
      <w:b/>
      <w:color w:val="FFFFFF" w:themeColor="background1"/>
      <w:sz w:val="52"/>
      <w:szCs w:val="72"/>
      <w:lang w:val="en-AU"/>
    </w:rPr>
  </w:style>
  <w:style w:type="paragraph" w:customStyle="1" w:styleId="TableTextbullets">
    <w:name w:val="Table Text bullets"/>
    <w:basedOn w:val="TableText"/>
    <w:rsid w:val="00EF35B4"/>
    <w:pPr>
      <w:numPr>
        <w:numId w:val="3"/>
      </w:numPr>
    </w:pPr>
  </w:style>
  <w:style w:type="paragraph" w:customStyle="1" w:styleId="References">
    <w:name w:val="References"/>
    <w:basedOn w:val="Normal"/>
    <w:rsid w:val="009442A3"/>
    <w:pPr>
      <w:spacing w:after="120"/>
    </w:pPr>
    <w:rPr>
      <w:rFonts w:ascii="Calibri" w:eastAsia="Calibri" w:hAnsi="Calibri" w:cs="Calibri"/>
      <w:sz w:val="22"/>
      <w:szCs w:val="22"/>
      <w:lang w:val="en-GB" w:eastAsia="en-US" w:bidi="en-US"/>
    </w:rPr>
  </w:style>
  <w:style w:type="character" w:styleId="Mention">
    <w:name w:val="Mention"/>
    <w:basedOn w:val="DefaultParagraphFont"/>
    <w:uiPriority w:val="99"/>
    <w:unhideWhenUsed/>
    <w:rsid w:val="000A0E32"/>
    <w:rPr>
      <w:color w:val="2B579A"/>
      <w:shd w:val="clear" w:color="auto" w:fill="E6E6E6"/>
    </w:rPr>
  </w:style>
  <w:style w:type="table" w:styleId="GridTable5Dark-Accent5">
    <w:name w:val="Grid Table 5 Dark Accent 5"/>
    <w:basedOn w:val="TableNormal"/>
    <w:uiPriority w:val="50"/>
    <w:rsid w:val="006A4CAC"/>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C7A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B1202"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B1202"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B1202"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B1202" w:themeFill="accent5"/>
      </w:tcPr>
    </w:tblStylePr>
    <w:tblStylePr w:type="band1Vert">
      <w:tblPr/>
      <w:tcPr>
        <w:shd w:val="clear" w:color="auto" w:fill="F68F4D" w:themeFill="accent5" w:themeFillTint="66"/>
      </w:tcPr>
    </w:tblStylePr>
    <w:tblStylePr w:type="band1Horz">
      <w:tblPr/>
      <w:tcPr>
        <w:shd w:val="clear" w:color="auto" w:fill="F68F4D" w:themeFill="accent5" w:themeFillTint="66"/>
      </w:tcPr>
    </w:tblStylePr>
  </w:style>
  <w:style w:type="table" w:customStyle="1" w:styleId="Style1">
    <w:name w:val="Style1"/>
    <w:basedOn w:val="TableNormal"/>
    <w:uiPriority w:val="99"/>
    <w:rsid w:val="006A4CAC"/>
    <w:tblPr/>
  </w:style>
  <w:style w:type="table" w:customStyle="1" w:styleId="Style2">
    <w:name w:val="Style2"/>
    <w:basedOn w:val="TableNormal"/>
    <w:uiPriority w:val="99"/>
    <w:rsid w:val="006A4CAC"/>
    <w:tblPr/>
  </w:style>
  <w:style w:type="table" w:styleId="GridTable1Light-Accent1">
    <w:name w:val="Grid Table 1 Light Accent 1"/>
    <w:basedOn w:val="TableNormal"/>
    <w:uiPriority w:val="46"/>
    <w:rsid w:val="009A5049"/>
    <w:tblPr>
      <w:tblStyleRowBandSize w:val="1"/>
      <w:tblStyleColBandSize w:val="1"/>
      <w:tblBorders>
        <w:top w:val="single" w:sz="4" w:space="0" w:color="EBB6A1" w:themeColor="accent1" w:themeTint="66"/>
        <w:left w:val="single" w:sz="4" w:space="0" w:color="EBB6A1" w:themeColor="accent1" w:themeTint="66"/>
        <w:bottom w:val="single" w:sz="4" w:space="0" w:color="EBB6A1" w:themeColor="accent1" w:themeTint="66"/>
        <w:right w:val="single" w:sz="4" w:space="0" w:color="EBB6A1" w:themeColor="accent1" w:themeTint="66"/>
        <w:insideH w:val="single" w:sz="4" w:space="0" w:color="EBB6A1" w:themeColor="accent1" w:themeTint="66"/>
        <w:insideV w:val="single" w:sz="4" w:space="0" w:color="EBB6A1" w:themeColor="accent1" w:themeTint="66"/>
      </w:tblBorders>
    </w:tblPr>
    <w:tblStylePr w:type="firstRow">
      <w:rPr>
        <w:b/>
        <w:bCs/>
      </w:rPr>
      <w:tblPr/>
      <w:tcPr>
        <w:tcBorders>
          <w:bottom w:val="single" w:sz="12" w:space="0" w:color="E29273" w:themeColor="accent1" w:themeTint="99"/>
        </w:tcBorders>
      </w:tcPr>
    </w:tblStylePr>
    <w:tblStylePr w:type="lastRow">
      <w:rPr>
        <w:b/>
        <w:bCs/>
      </w:rPr>
      <w:tblPr/>
      <w:tcPr>
        <w:tcBorders>
          <w:top w:val="double" w:sz="2" w:space="0" w:color="E29273" w:themeColor="accent1" w:themeTint="99"/>
        </w:tcBorders>
      </w:tcPr>
    </w:tblStylePr>
    <w:tblStylePr w:type="firstCol">
      <w:rPr>
        <w:b/>
        <w:bCs/>
      </w:rPr>
    </w:tblStylePr>
    <w:tblStylePr w:type="lastCol">
      <w:rPr>
        <w:b/>
        <w:bCs/>
      </w:rPr>
    </w:tblStylePr>
  </w:style>
  <w:style w:type="table" w:styleId="PlainTable2">
    <w:name w:val="Plain Table 2"/>
    <w:basedOn w:val="TableNormal"/>
    <w:uiPriority w:val="42"/>
    <w:rsid w:val="009F7DE1"/>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PageNumber">
    <w:name w:val="page number"/>
    <w:basedOn w:val="DefaultParagraphFont"/>
    <w:uiPriority w:val="99"/>
    <w:semiHidden/>
    <w:unhideWhenUsed/>
    <w:rsid w:val="00877016"/>
  </w:style>
  <w:style w:type="table" w:styleId="GridTable1Light-Accent4">
    <w:name w:val="Grid Table 1 Light Accent 4"/>
    <w:basedOn w:val="TableNormal"/>
    <w:uiPriority w:val="46"/>
    <w:rsid w:val="006C68E9"/>
    <w:tblPr>
      <w:tblStyleRowBandSize w:val="1"/>
      <w:tblStyleColBandSize w:val="1"/>
      <w:tblBorders>
        <w:top w:val="single" w:sz="4" w:space="0" w:color="F8D9A5" w:themeColor="accent4" w:themeTint="66"/>
        <w:left w:val="single" w:sz="4" w:space="0" w:color="F8D9A5" w:themeColor="accent4" w:themeTint="66"/>
        <w:bottom w:val="single" w:sz="4" w:space="0" w:color="F8D9A5" w:themeColor="accent4" w:themeTint="66"/>
        <w:right w:val="single" w:sz="4" w:space="0" w:color="F8D9A5" w:themeColor="accent4" w:themeTint="66"/>
        <w:insideH w:val="single" w:sz="4" w:space="0" w:color="F8D9A5" w:themeColor="accent4" w:themeTint="66"/>
        <w:insideV w:val="single" w:sz="4" w:space="0" w:color="F8D9A5" w:themeColor="accent4" w:themeTint="66"/>
      </w:tblBorders>
    </w:tblPr>
    <w:tblStylePr w:type="firstRow">
      <w:rPr>
        <w:b/>
        <w:bCs/>
      </w:rPr>
      <w:tblPr/>
      <w:tcPr>
        <w:tcBorders>
          <w:bottom w:val="single" w:sz="12" w:space="0" w:color="F5C778" w:themeColor="accent4" w:themeTint="99"/>
        </w:tcBorders>
      </w:tcPr>
    </w:tblStylePr>
    <w:tblStylePr w:type="lastRow">
      <w:rPr>
        <w:b/>
        <w:bCs/>
      </w:rPr>
      <w:tblPr/>
      <w:tcPr>
        <w:tcBorders>
          <w:top w:val="double" w:sz="2" w:space="0" w:color="F5C778" w:themeColor="accent4" w:themeTint="99"/>
        </w:tcBorders>
      </w:tcPr>
    </w:tblStylePr>
    <w:tblStylePr w:type="firstCol">
      <w:rPr>
        <w:b/>
        <w:bCs/>
      </w:rPr>
    </w:tblStylePr>
    <w:tblStylePr w:type="lastCol">
      <w:rPr>
        <w:b/>
        <w:bCs/>
      </w:rPr>
    </w:tblStylePr>
  </w:style>
  <w:style w:type="paragraph" w:customStyle="1" w:styleId="CaptionBox">
    <w:name w:val="Caption Box"/>
    <w:basedOn w:val="Caption"/>
    <w:rsid w:val="00953D7E"/>
    <w:pPr>
      <w:keepNext/>
      <w:spacing w:before="240" w:after="60"/>
      <w:jc w:val="center"/>
    </w:pPr>
    <w:rPr>
      <w:color w:val="auto"/>
      <w:sz w:val="20"/>
    </w:rPr>
  </w:style>
  <w:style w:type="table" w:customStyle="1" w:styleId="TtWReportTableTemplate2">
    <w:name w:val="TtW Report Table Template 2"/>
    <w:basedOn w:val="TableNormal"/>
    <w:uiPriority w:val="99"/>
    <w:rsid w:val="000F0B11"/>
    <w:pPr>
      <w:spacing w:before="240"/>
    </w:pPr>
    <w:rPr>
      <w:rFonts w:asciiTheme="minorHAnsi" w:eastAsiaTheme="minorEastAsia" w:hAnsiTheme="minorHAnsi" w:cstheme="minorBidi"/>
      <w:sz w:val="22"/>
      <w:szCs w:val="22"/>
      <w:lang w:val="en-AU" w:eastAsia="en-US"/>
      <w14:ligatures w14:val="standardContextual"/>
    </w:rPr>
    <w:tblPr>
      <w:tblStyleRowBandSize w:val="1"/>
      <w:tblStyleColBandSize w:val="1"/>
      <w:tblInd w:w="0" w:type="nil"/>
      <w:tblBorders>
        <w:bottom w:val="single" w:sz="4" w:space="0" w:color="0097A6"/>
        <w:insideH w:val="single" w:sz="4" w:space="0" w:color="808080" w:themeColor="background1" w:themeShade="80"/>
      </w:tblBorders>
    </w:tblPr>
    <w:tcPr>
      <w:shd w:val="clear" w:color="auto" w:fill="FFFFFF" w:themeFill="background1"/>
      <w:tcMar>
        <w:top w:w="28" w:type="dxa"/>
        <w:left w:w="85" w:type="dxa"/>
        <w:bottom w:w="28" w:type="dxa"/>
        <w:right w:w="85" w:type="dxa"/>
      </w:tcMar>
    </w:tcPr>
    <w:tblStylePr w:type="firstRow">
      <w:pPr>
        <w:jc w:val="left"/>
      </w:pPr>
      <w:rPr>
        <w:rFonts w:ascii="Calibri" w:hAnsi="Calibri" w:cs="Calibri" w:hint="default"/>
        <w:b/>
        <w:color w:val="FFFFFF" w:themeColor="background1"/>
        <w:sz w:val="20"/>
        <w:szCs w:val="20"/>
      </w:rPr>
      <w:tblPr/>
      <w:tcPr>
        <w:shd w:val="clear" w:color="auto" w:fill="0097A6"/>
      </w:tcPr>
    </w:tblStylePr>
    <w:tblStylePr w:type="lastRow">
      <w:rPr>
        <w:rFonts w:asciiTheme="minorHAnsi" w:hAnsiTheme="minorHAnsi" w:cs="Calibri" w:hint="default"/>
        <w:b w:val="0"/>
        <w:sz w:val="20"/>
        <w:szCs w:val="20"/>
      </w:rPr>
      <w:tblPr/>
      <w:tcPr>
        <w:tcBorders>
          <w:top w:val="nil"/>
          <w:left w:val="nil"/>
          <w:bottom w:val="single" w:sz="8" w:space="0" w:color="0097A6"/>
          <w:right w:val="nil"/>
          <w:insideH w:val="nil"/>
          <w:insideV w:val="nil"/>
          <w:tl2br w:val="nil"/>
          <w:tr2bl w:val="nil"/>
        </w:tcBorders>
        <w:shd w:val="clear" w:color="auto" w:fill="FFFFFF" w:themeFill="background1"/>
      </w:tcPr>
    </w:tblStylePr>
    <w:tblStylePr w:type="firstCol">
      <w:rPr>
        <w:b/>
      </w:rPr>
    </w:tblStylePr>
    <w:tblStylePr w:type="band1Vert">
      <w:rPr>
        <w:rFonts w:asciiTheme="minorHAnsi" w:hAnsiTheme="minorHAnsi"/>
        <w:b w:val="0"/>
        <w:i w:val="0"/>
        <w:caps w:val="0"/>
        <w:smallCaps w:val="0"/>
        <w:strike w:val="0"/>
        <w:dstrike w:val="0"/>
        <w:vanish w:val="0"/>
        <w:sz w:val="22"/>
        <w:vertAlign w:val="baseline"/>
      </w:rPr>
    </w:tblStylePr>
    <w:tblStylePr w:type="band1Horz">
      <w:rPr>
        <w:rFonts w:asciiTheme="minorHAnsi" w:hAnsiTheme="minorHAnsi" w:cs="Calibri" w:hint="default"/>
        <w:sz w:val="20"/>
        <w:szCs w:val="20"/>
      </w:rPr>
      <w:tblPr/>
      <w:tcPr>
        <w:tcBorders>
          <w:insideH w:val="nil"/>
        </w:tcBorders>
        <w:shd w:val="clear" w:color="auto" w:fill="FFFFFF" w:themeFill="background1"/>
      </w:tcPr>
    </w:tblStylePr>
    <w:tblStylePr w:type="band2Horz">
      <w:rPr>
        <w:rFonts w:asciiTheme="minorHAnsi" w:hAnsiTheme="minorHAnsi" w:cs="Calibri" w:hint="default"/>
        <w:color w:val="auto"/>
        <w:sz w:val="20"/>
        <w:szCs w:val="20"/>
      </w:rPr>
      <w:tblPr/>
      <w:tcPr>
        <w:tcBorders>
          <w:insideH w:val="nil"/>
        </w:tcBorders>
        <w:shd w:val="clear" w:color="auto" w:fill="FFFFFF" w:themeFill="background1"/>
      </w:tcPr>
    </w:tblStylePr>
  </w:style>
  <w:style w:type="paragraph" w:customStyle="1" w:styleId="TableParagraph">
    <w:name w:val="Table Paragraph"/>
    <w:basedOn w:val="Normal"/>
    <w:uiPriority w:val="1"/>
    <w:qFormat/>
    <w:rsid w:val="000F0B11"/>
    <w:pPr>
      <w:widowControl w:val="0"/>
      <w:autoSpaceDE w:val="0"/>
      <w:autoSpaceDN w:val="0"/>
      <w:spacing w:before="12" w:line="268" w:lineRule="exact"/>
    </w:pPr>
    <w:rPr>
      <w:rFonts w:ascii="FiraSans-Light" w:eastAsia="FiraSans-Light" w:hAnsi="FiraSans-Light" w:cs="FiraSans-Light"/>
      <w:lang w:val="en-US"/>
      <w14:ligatures w14:val="standardContextual"/>
    </w:rPr>
  </w:style>
  <w:style w:type="paragraph" w:styleId="BodyText">
    <w:name w:val="Body Text"/>
    <w:basedOn w:val="Normal"/>
    <w:link w:val="BodyTextChar"/>
    <w:uiPriority w:val="1"/>
    <w:rsid w:val="00AD65DF"/>
    <w:pPr>
      <w:autoSpaceDE w:val="0"/>
      <w:autoSpaceDN w:val="0"/>
      <w:spacing w:after="120"/>
    </w:pPr>
    <w:rPr>
      <w:rFonts w:ascii="Calibri" w:eastAsia="FiraSans-Light" w:hAnsi="Calibri" w:cs="FiraSans-Light"/>
      <w:sz w:val="22"/>
      <w:szCs w:val="20"/>
      <w14:ligatures w14:val="standardContextual"/>
    </w:rPr>
  </w:style>
  <w:style w:type="character" w:customStyle="1" w:styleId="BodyTextChar">
    <w:name w:val="Body Text Char"/>
    <w:basedOn w:val="DefaultParagraphFont"/>
    <w:link w:val="BodyText"/>
    <w:uiPriority w:val="1"/>
    <w:rsid w:val="00AD65DF"/>
    <w:rPr>
      <w:rFonts w:ascii="Calibri" w:eastAsia="FiraSans-Light" w:hAnsi="Calibri" w:cs="FiraSans-Light"/>
      <w:sz w:val="22"/>
      <w:lang w:val="en-AU"/>
      <w14:ligatures w14:val="standardContextual"/>
    </w:rPr>
  </w:style>
  <w:style w:type="paragraph" w:customStyle="1" w:styleId="NoParagraphStyle">
    <w:name w:val="[No Paragraph Style]"/>
    <w:rsid w:val="000F0B11"/>
    <w:pPr>
      <w:autoSpaceDE w:val="0"/>
      <w:autoSpaceDN w:val="0"/>
      <w:adjustRightInd w:val="0"/>
      <w:spacing w:line="288" w:lineRule="auto"/>
      <w:textAlignment w:val="center"/>
    </w:pPr>
    <w:rPr>
      <w:rFonts w:ascii="Minion Pro" w:eastAsiaTheme="minorHAnsi" w:hAnsi="Minion Pro" w:cs="Minion Pro"/>
      <w:color w:val="000000"/>
      <w:sz w:val="24"/>
      <w:szCs w:val="24"/>
      <w:lang w:eastAsia="en-US"/>
      <w14:ligatures w14:val="standardContextual"/>
    </w:rPr>
  </w:style>
  <w:style w:type="paragraph" w:customStyle="1" w:styleId="SubheadHeadings">
    <w:name w:val="Subhead (Headings)"/>
    <w:basedOn w:val="Normal"/>
    <w:uiPriority w:val="99"/>
    <w:rsid w:val="000F0B11"/>
    <w:pPr>
      <w:suppressAutoHyphens/>
      <w:autoSpaceDE w:val="0"/>
      <w:autoSpaceDN w:val="0"/>
      <w:adjustRightInd w:val="0"/>
      <w:spacing w:after="170" w:line="320" w:lineRule="atLeast"/>
      <w:textAlignment w:val="center"/>
    </w:pPr>
    <w:rPr>
      <w:rFonts w:ascii="Fira Sans Heavy" w:hAnsi="Fira Sans Heavy" w:cs="Fira Sans Heavy"/>
      <w:color w:val="6FA2B1"/>
      <w:sz w:val="28"/>
      <w:szCs w:val="28"/>
      <w:lang w:val="en-GB"/>
      <w14:ligatures w14:val="standardContextual"/>
    </w:rPr>
  </w:style>
  <w:style w:type="table" w:customStyle="1" w:styleId="Focus">
    <w:name w:val="Focus"/>
    <w:basedOn w:val="TableNormal"/>
    <w:uiPriority w:val="99"/>
    <w:rsid w:val="000F0B11"/>
    <w:rPr>
      <w:rFonts w:asciiTheme="minorHAnsi" w:eastAsiaTheme="minorHAnsi" w:hAnsiTheme="minorHAnsi" w:cstheme="minorBidi"/>
      <w:kern w:val="2"/>
      <w:sz w:val="22"/>
      <w:szCs w:val="22"/>
      <w:lang w:val="en-US" w:eastAsia="en-US"/>
      <w14:ligatures w14:val="standardContextual"/>
    </w:rPr>
    <w:tblPr/>
  </w:style>
  <w:style w:type="paragraph" w:customStyle="1" w:styleId="BasicParagraph">
    <w:name w:val="[Basic Paragraph]"/>
    <w:basedOn w:val="NoParagraphStyle"/>
    <w:uiPriority w:val="99"/>
    <w:rsid w:val="000F0B11"/>
  </w:style>
  <w:style w:type="character" w:customStyle="1" w:styleId="eop">
    <w:name w:val="eop"/>
    <w:basedOn w:val="DefaultParagraphFont"/>
    <w:rsid w:val="000F0B11"/>
  </w:style>
  <w:style w:type="paragraph" w:customStyle="1" w:styleId="Notes">
    <w:name w:val="Notes"/>
    <w:basedOn w:val="BodyText"/>
    <w:rsid w:val="00B44E34"/>
    <w:pPr>
      <w:spacing w:before="120"/>
    </w:pPr>
    <w:rPr>
      <w:sz w:val="18"/>
      <w:szCs w:val="18"/>
    </w:rPr>
  </w:style>
  <w:style w:type="character" w:customStyle="1" w:styleId="normaltextrun">
    <w:name w:val="normaltextrun"/>
    <w:basedOn w:val="DefaultParagraphFont"/>
    <w:rsid w:val="003D7EE8"/>
  </w:style>
  <w:style w:type="table" w:customStyle="1" w:styleId="Newtableforresport">
    <w:name w:val="New table for resport"/>
    <w:basedOn w:val="TableNormal"/>
    <w:uiPriority w:val="99"/>
    <w:rsid w:val="009B52C5"/>
    <w:pPr>
      <w:spacing w:before="240"/>
    </w:pPr>
    <w:rPr>
      <w:rFonts w:asciiTheme="minorHAnsi" w:eastAsiaTheme="minorEastAsia" w:hAnsiTheme="minorHAnsi" w:cstheme="minorBidi"/>
      <w:sz w:val="22"/>
      <w:szCs w:val="22"/>
      <w:lang w:val="en-AU" w:eastAsia="en-US"/>
      <w14:ligatures w14:val="standardContextual"/>
    </w:rPr>
    <w:tblPr>
      <w:tblStyleRowBandSize w:val="1"/>
      <w:tblStyleColBandSize w:val="1"/>
      <w:tblInd w:w="0" w:type="nil"/>
      <w:tblBorders>
        <w:bottom w:val="single" w:sz="4" w:space="0" w:color="BFBFBF" w:themeColor="background1" w:themeShade="BF"/>
        <w:insideH w:val="single" w:sz="4" w:space="0" w:color="BFBFBF" w:themeColor="background1" w:themeShade="BF"/>
      </w:tblBorders>
    </w:tblPr>
    <w:tcPr>
      <w:shd w:val="clear" w:color="auto" w:fill="FFFFFF" w:themeFill="background1"/>
      <w:tcMar>
        <w:top w:w="28" w:type="dxa"/>
        <w:left w:w="85" w:type="dxa"/>
        <w:bottom w:w="28" w:type="dxa"/>
        <w:right w:w="85" w:type="dxa"/>
      </w:tcMar>
    </w:tcPr>
    <w:tblStylePr w:type="firstRow">
      <w:pPr>
        <w:jc w:val="left"/>
      </w:pPr>
      <w:rPr>
        <w:rFonts w:ascii="Calibri" w:hAnsi="Calibri" w:cs="Calibri" w:hint="default"/>
        <w:b/>
        <w:color w:val="FFFFFF" w:themeColor="background1"/>
        <w:sz w:val="20"/>
        <w:szCs w:val="20"/>
      </w:rPr>
      <w:tblPr/>
      <w:tcPr>
        <w:shd w:val="clear" w:color="auto" w:fill="0097A6"/>
      </w:tcPr>
    </w:tblStylePr>
    <w:tblStylePr w:type="lastRow">
      <w:rPr>
        <w:rFonts w:asciiTheme="minorHAnsi" w:hAnsiTheme="minorHAnsi" w:cs="Calibri" w:hint="default"/>
        <w:b w:val="0"/>
        <w:sz w:val="20"/>
        <w:szCs w:val="20"/>
      </w:rPr>
      <w:tblPr/>
      <w:tcPr>
        <w:tcBorders>
          <w:top w:val="single" w:sz="4" w:space="0" w:color="0196A7" w:themeColor="accent3"/>
          <w:left w:val="nil"/>
          <w:bottom w:val="single" w:sz="4" w:space="0" w:color="0196A7" w:themeColor="accent3"/>
          <w:right w:val="nil"/>
          <w:insideH w:val="nil"/>
          <w:insideV w:val="nil"/>
          <w:tl2br w:val="nil"/>
          <w:tr2bl w:val="nil"/>
        </w:tcBorders>
        <w:shd w:val="clear" w:color="auto" w:fill="FFFFFF" w:themeFill="background1"/>
      </w:tcPr>
    </w:tblStylePr>
    <w:tblStylePr w:type="firstCol">
      <w:rPr>
        <w:b/>
      </w:rPr>
    </w:tblStylePr>
    <w:tblStylePr w:type="band1Vert">
      <w:rPr>
        <w:rFonts w:asciiTheme="minorHAnsi" w:hAnsiTheme="minorHAnsi"/>
        <w:b w:val="0"/>
        <w:i w:val="0"/>
        <w:caps w:val="0"/>
        <w:smallCaps w:val="0"/>
        <w:strike w:val="0"/>
        <w:dstrike w:val="0"/>
        <w:vanish w:val="0"/>
        <w:sz w:val="22"/>
        <w:vertAlign w:val="baseline"/>
      </w:rPr>
    </w:tblStylePr>
    <w:tblStylePr w:type="band1Horz">
      <w:rPr>
        <w:rFonts w:asciiTheme="minorHAnsi" w:hAnsiTheme="minorHAnsi" w:cs="Calibri" w:hint="default"/>
        <w:sz w:val="20"/>
        <w:szCs w:val="20"/>
      </w:rPr>
      <w:tblPr/>
      <w:tcPr>
        <w:tcBorders>
          <w:insideH w:val="nil"/>
        </w:tcBorders>
        <w:shd w:val="clear" w:color="auto" w:fill="FFFFFF" w:themeFill="background1"/>
      </w:tcPr>
    </w:tblStylePr>
    <w:tblStylePr w:type="band2Horz">
      <w:rPr>
        <w:rFonts w:asciiTheme="minorHAnsi" w:hAnsiTheme="minorHAnsi" w:cs="Calibri" w:hint="default"/>
        <w:color w:val="auto"/>
        <w:sz w:val="20"/>
        <w:szCs w:val="20"/>
      </w:rPr>
      <w:tblPr/>
      <w:tcPr>
        <w:tcBorders>
          <w:insideH w:val="nil"/>
        </w:tcBorders>
        <w:shd w:val="clear" w:color="auto" w:fill="FFFFFF" w:themeFill="background1"/>
      </w:tcPr>
    </w:tblStylePr>
  </w:style>
  <w:style w:type="table" w:customStyle="1" w:styleId="NintiBox">
    <w:name w:val="Ninti Box"/>
    <w:basedOn w:val="TableNormal"/>
    <w:uiPriority w:val="99"/>
    <w:rsid w:val="00EA5B06"/>
    <w:tblPr>
      <w:tblBorders>
        <w:top w:val="single" w:sz="4" w:space="0" w:color="0196A7" w:themeColor="accent3"/>
        <w:left w:val="single" w:sz="4" w:space="0" w:color="0196A7" w:themeColor="accent3"/>
        <w:bottom w:val="single" w:sz="4" w:space="0" w:color="0196A7" w:themeColor="accent3"/>
        <w:right w:val="single" w:sz="4" w:space="0" w:color="0196A7" w:themeColor="accent3"/>
      </w:tblBorders>
      <w:tblCellMar>
        <w:top w:w="170" w:type="dxa"/>
        <w:left w:w="284" w:type="dxa"/>
        <w:bottom w:w="284" w:type="dxa"/>
        <w:right w:w="284" w:type="dxa"/>
      </w:tblCellMar>
    </w:tblPr>
    <w:tcPr>
      <w:shd w:val="clear" w:color="auto" w:fill="F2F2F2" w:themeFill="background1" w:themeFillShade="F2"/>
    </w:tcPr>
  </w:style>
  <w:style w:type="paragraph" w:customStyle="1" w:styleId="Introquote">
    <w:name w:val="Intro quote"/>
    <w:basedOn w:val="Normal"/>
    <w:qFormat/>
    <w:rsid w:val="00AA3C1A"/>
    <w:pPr>
      <w:spacing w:before="120" w:after="120"/>
      <w:ind w:left="720" w:right="849"/>
    </w:pPr>
    <w:rPr>
      <w:rFonts w:cstheme="minorHAnsi"/>
      <w:i/>
      <w:iCs/>
      <w:color w:val="98002E" w:themeColor="accent2"/>
      <w:lang w:eastAsia="en-US" w:bidi="en-US"/>
    </w:rPr>
  </w:style>
  <w:style w:type="paragraph" w:styleId="Index5">
    <w:name w:val="index 5"/>
    <w:basedOn w:val="Normal"/>
    <w:next w:val="Normal"/>
    <w:autoRedefine/>
    <w:uiPriority w:val="99"/>
    <w:unhideWhenUsed/>
    <w:rsid w:val="0036618F"/>
    <w:pPr>
      <w:ind w:left="1200" w:hanging="240"/>
    </w:pPr>
  </w:style>
  <w:style w:type="paragraph" w:styleId="List">
    <w:name w:val="List"/>
    <w:basedOn w:val="Normal"/>
    <w:uiPriority w:val="99"/>
    <w:unhideWhenUsed/>
    <w:rsid w:val="007E423B"/>
    <w:pPr>
      <w:ind w:left="283" w:hanging="283"/>
      <w:contextualSpacing/>
    </w:pPr>
  </w:style>
  <w:style w:type="paragraph" w:styleId="ListBullet2">
    <w:name w:val="List Bullet 2"/>
    <w:basedOn w:val="Normal"/>
    <w:uiPriority w:val="99"/>
    <w:unhideWhenUsed/>
    <w:rsid w:val="002F1E04"/>
    <w:pPr>
      <w:numPr>
        <w:numId w:val="6"/>
      </w:numPr>
      <w:tabs>
        <w:tab w:val="clear" w:pos="643"/>
      </w:tabs>
      <w:spacing w:after="60"/>
      <w:ind w:left="357" w:hanging="357"/>
    </w:pPr>
    <w:rPr>
      <w:sz w:val="22"/>
    </w:rPr>
  </w:style>
  <w:style w:type="numbering" w:customStyle="1" w:styleId="MHSPheadings">
    <w:name w:val="MHSPheadings"/>
    <w:uiPriority w:val="99"/>
    <w:rsid w:val="00EF6B9D"/>
    <w:pPr>
      <w:numPr>
        <w:numId w:val="9"/>
      </w:numPr>
    </w:pPr>
  </w:style>
  <w:style w:type="paragraph" w:customStyle="1" w:styleId="HeadingLevel1NoNumber">
    <w:name w:val="HeadingLevel1NoNumber"/>
    <w:basedOn w:val="Heading1"/>
    <w:qFormat/>
    <w:rsid w:val="00B30FBE"/>
    <w:pPr>
      <w:numPr>
        <w:numId w:val="0"/>
      </w:numPr>
    </w:pPr>
  </w:style>
  <w:style w:type="paragraph" w:customStyle="1" w:styleId="HeadingLevel3NoNumber">
    <w:name w:val="HeadingLevel3NoNumber"/>
    <w:basedOn w:val="Heading3"/>
    <w:qFormat/>
    <w:rsid w:val="00974A68"/>
    <w:pPr>
      <w:numPr>
        <w:ilvl w:val="0"/>
        <w:numId w:val="0"/>
      </w:numPr>
    </w:pPr>
  </w:style>
  <w:style w:type="paragraph" w:customStyle="1" w:styleId="HeadingLevel5NoNumber">
    <w:name w:val="HeadingLevel5NoNumber"/>
    <w:basedOn w:val="Heading5"/>
    <w:qFormat/>
    <w:rsid w:val="00974A68"/>
    <w:pPr>
      <w:numPr>
        <w:ilvl w:val="0"/>
        <w:numId w:val="0"/>
      </w:numPr>
    </w:pPr>
    <w:rPr>
      <w:rFonts w:ascii="Calibri" w:hAnsi="Calibri"/>
      <w:i/>
    </w:rPr>
  </w:style>
  <w:style w:type="paragraph" w:customStyle="1" w:styleId="BodyText1stparaafterlist">
    <w:name w:val="Body Text 1st para after list"/>
    <w:basedOn w:val="BodyText"/>
    <w:qFormat/>
    <w:rsid w:val="00721E99"/>
    <w:pPr>
      <w:spacing w:before="180"/>
    </w:pPr>
  </w:style>
  <w:style w:type="paragraph" w:styleId="List2">
    <w:name w:val="List 2"/>
    <w:basedOn w:val="Normal"/>
    <w:uiPriority w:val="99"/>
    <w:unhideWhenUsed/>
    <w:rsid w:val="00A715B3"/>
    <w:pPr>
      <w:numPr>
        <w:ilvl w:val="1"/>
        <w:numId w:val="16"/>
      </w:numPr>
      <w:spacing w:after="40"/>
      <w:ind w:left="1077" w:hanging="510"/>
    </w:pPr>
    <w:rPr>
      <w:sz w:val="22"/>
    </w:rPr>
  </w:style>
  <w:style w:type="paragraph" w:styleId="List3">
    <w:name w:val="List 3"/>
    <w:basedOn w:val="Normal"/>
    <w:uiPriority w:val="99"/>
    <w:unhideWhenUsed/>
    <w:rsid w:val="006B7540"/>
    <w:pPr>
      <w:ind w:left="849" w:hanging="283"/>
      <w:contextualSpacing/>
    </w:pPr>
  </w:style>
  <w:style w:type="paragraph" w:styleId="ListBullet3">
    <w:name w:val="List Bullet 3"/>
    <w:basedOn w:val="Normal"/>
    <w:uiPriority w:val="99"/>
    <w:unhideWhenUsed/>
    <w:rsid w:val="009F63BF"/>
    <w:pPr>
      <w:numPr>
        <w:numId w:val="13"/>
      </w:numPr>
      <w:ind w:left="754" w:hanging="357"/>
      <w:contextualSpacing/>
    </w:pPr>
    <w:rPr>
      <w:sz w:val="22"/>
    </w:rPr>
  </w:style>
  <w:style w:type="character" w:styleId="LineNumber">
    <w:name w:val="line number"/>
    <w:basedOn w:val="DefaultParagraphFont"/>
    <w:uiPriority w:val="99"/>
    <w:unhideWhenUsed/>
    <w:rsid w:val="009F63BF"/>
  </w:style>
  <w:style w:type="paragraph" w:customStyle="1" w:styleId="Heading1App">
    <w:name w:val="Heading 1 App"/>
    <w:basedOn w:val="Heading1"/>
    <w:qFormat/>
    <w:rsid w:val="001611E1"/>
    <w:pPr>
      <w:numPr>
        <w:numId w:val="0"/>
      </w:numPr>
    </w:pPr>
  </w:style>
  <w:style w:type="paragraph" w:customStyle="1" w:styleId="HeadingLevel4NoNumber">
    <w:name w:val="HeadingLevel4NoNumber"/>
    <w:basedOn w:val="Heading4"/>
    <w:qFormat/>
    <w:rsid w:val="005D336F"/>
    <w:pPr>
      <w:numPr>
        <w:ilvl w:val="0"/>
        <w:numId w:val="0"/>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185018">
      <w:bodyDiv w:val="1"/>
      <w:marLeft w:val="0"/>
      <w:marRight w:val="0"/>
      <w:marTop w:val="0"/>
      <w:marBottom w:val="0"/>
      <w:divBdr>
        <w:top w:val="none" w:sz="0" w:space="0" w:color="auto"/>
        <w:left w:val="none" w:sz="0" w:space="0" w:color="auto"/>
        <w:bottom w:val="none" w:sz="0" w:space="0" w:color="auto"/>
        <w:right w:val="none" w:sz="0" w:space="0" w:color="auto"/>
      </w:divBdr>
      <w:divsChild>
        <w:div w:id="864367074">
          <w:marLeft w:val="0"/>
          <w:marRight w:val="0"/>
          <w:marTop w:val="0"/>
          <w:marBottom w:val="0"/>
          <w:divBdr>
            <w:top w:val="none" w:sz="0" w:space="0" w:color="auto"/>
            <w:left w:val="none" w:sz="0" w:space="0" w:color="auto"/>
            <w:bottom w:val="none" w:sz="0" w:space="0" w:color="auto"/>
            <w:right w:val="none" w:sz="0" w:space="0" w:color="auto"/>
          </w:divBdr>
        </w:div>
        <w:div w:id="1231113441">
          <w:marLeft w:val="0"/>
          <w:marRight w:val="0"/>
          <w:marTop w:val="0"/>
          <w:marBottom w:val="0"/>
          <w:divBdr>
            <w:top w:val="none" w:sz="0" w:space="0" w:color="auto"/>
            <w:left w:val="none" w:sz="0" w:space="0" w:color="auto"/>
            <w:bottom w:val="none" w:sz="0" w:space="0" w:color="auto"/>
            <w:right w:val="none" w:sz="0" w:space="0" w:color="auto"/>
          </w:divBdr>
        </w:div>
      </w:divsChild>
    </w:div>
    <w:div w:id="16738023">
      <w:bodyDiv w:val="1"/>
      <w:marLeft w:val="0"/>
      <w:marRight w:val="0"/>
      <w:marTop w:val="0"/>
      <w:marBottom w:val="0"/>
      <w:divBdr>
        <w:top w:val="none" w:sz="0" w:space="0" w:color="auto"/>
        <w:left w:val="none" w:sz="0" w:space="0" w:color="auto"/>
        <w:bottom w:val="none" w:sz="0" w:space="0" w:color="auto"/>
        <w:right w:val="none" w:sz="0" w:space="0" w:color="auto"/>
      </w:divBdr>
    </w:div>
    <w:div w:id="26830447">
      <w:bodyDiv w:val="1"/>
      <w:marLeft w:val="0"/>
      <w:marRight w:val="0"/>
      <w:marTop w:val="0"/>
      <w:marBottom w:val="0"/>
      <w:divBdr>
        <w:top w:val="none" w:sz="0" w:space="0" w:color="auto"/>
        <w:left w:val="none" w:sz="0" w:space="0" w:color="auto"/>
        <w:bottom w:val="none" w:sz="0" w:space="0" w:color="auto"/>
        <w:right w:val="none" w:sz="0" w:space="0" w:color="auto"/>
      </w:divBdr>
    </w:div>
    <w:div w:id="31812810">
      <w:bodyDiv w:val="1"/>
      <w:marLeft w:val="0"/>
      <w:marRight w:val="0"/>
      <w:marTop w:val="0"/>
      <w:marBottom w:val="0"/>
      <w:divBdr>
        <w:top w:val="none" w:sz="0" w:space="0" w:color="auto"/>
        <w:left w:val="none" w:sz="0" w:space="0" w:color="auto"/>
        <w:bottom w:val="none" w:sz="0" w:space="0" w:color="auto"/>
        <w:right w:val="none" w:sz="0" w:space="0" w:color="auto"/>
      </w:divBdr>
    </w:div>
    <w:div w:id="36710832">
      <w:bodyDiv w:val="1"/>
      <w:marLeft w:val="0"/>
      <w:marRight w:val="0"/>
      <w:marTop w:val="0"/>
      <w:marBottom w:val="0"/>
      <w:divBdr>
        <w:top w:val="none" w:sz="0" w:space="0" w:color="auto"/>
        <w:left w:val="none" w:sz="0" w:space="0" w:color="auto"/>
        <w:bottom w:val="none" w:sz="0" w:space="0" w:color="auto"/>
        <w:right w:val="none" w:sz="0" w:space="0" w:color="auto"/>
      </w:divBdr>
    </w:div>
    <w:div w:id="62263455">
      <w:bodyDiv w:val="1"/>
      <w:marLeft w:val="0"/>
      <w:marRight w:val="0"/>
      <w:marTop w:val="0"/>
      <w:marBottom w:val="0"/>
      <w:divBdr>
        <w:top w:val="none" w:sz="0" w:space="0" w:color="auto"/>
        <w:left w:val="none" w:sz="0" w:space="0" w:color="auto"/>
        <w:bottom w:val="none" w:sz="0" w:space="0" w:color="auto"/>
        <w:right w:val="none" w:sz="0" w:space="0" w:color="auto"/>
      </w:divBdr>
    </w:div>
    <w:div w:id="62879483">
      <w:bodyDiv w:val="1"/>
      <w:marLeft w:val="0"/>
      <w:marRight w:val="0"/>
      <w:marTop w:val="0"/>
      <w:marBottom w:val="0"/>
      <w:divBdr>
        <w:top w:val="none" w:sz="0" w:space="0" w:color="auto"/>
        <w:left w:val="none" w:sz="0" w:space="0" w:color="auto"/>
        <w:bottom w:val="none" w:sz="0" w:space="0" w:color="auto"/>
        <w:right w:val="none" w:sz="0" w:space="0" w:color="auto"/>
      </w:divBdr>
    </w:div>
    <w:div w:id="116217484">
      <w:bodyDiv w:val="1"/>
      <w:marLeft w:val="0"/>
      <w:marRight w:val="0"/>
      <w:marTop w:val="0"/>
      <w:marBottom w:val="0"/>
      <w:divBdr>
        <w:top w:val="none" w:sz="0" w:space="0" w:color="auto"/>
        <w:left w:val="none" w:sz="0" w:space="0" w:color="auto"/>
        <w:bottom w:val="none" w:sz="0" w:space="0" w:color="auto"/>
        <w:right w:val="none" w:sz="0" w:space="0" w:color="auto"/>
      </w:divBdr>
    </w:div>
    <w:div w:id="161626282">
      <w:bodyDiv w:val="1"/>
      <w:marLeft w:val="0"/>
      <w:marRight w:val="0"/>
      <w:marTop w:val="0"/>
      <w:marBottom w:val="0"/>
      <w:divBdr>
        <w:top w:val="none" w:sz="0" w:space="0" w:color="auto"/>
        <w:left w:val="none" w:sz="0" w:space="0" w:color="auto"/>
        <w:bottom w:val="none" w:sz="0" w:space="0" w:color="auto"/>
        <w:right w:val="none" w:sz="0" w:space="0" w:color="auto"/>
      </w:divBdr>
    </w:div>
    <w:div w:id="175580007">
      <w:bodyDiv w:val="1"/>
      <w:marLeft w:val="0"/>
      <w:marRight w:val="0"/>
      <w:marTop w:val="0"/>
      <w:marBottom w:val="0"/>
      <w:divBdr>
        <w:top w:val="none" w:sz="0" w:space="0" w:color="auto"/>
        <w:left w:val="none" w:sz="0" w:space="0" w:color="auto"/>
        <w:bottom w:val="none" w:sz="0" w:space="0" w:color="auto"/>
        <w:right w:val="none" w:sz="0" w:space="0" w:color="auto"/>
      </w:divBdr>
    </w:div>
    <w:div w:id="187136484">
      <w:bodyDiv w:val="1"/>
      <w:marLeft w:val="0"/>
      <w:marRight w:val="0"/>
      <w:marTop w:val="0"/>
      <w:marBottom w:val="0"/>
      <w:divBdr>
        <w:top w:val="none" w:sz="0" w:space="0" w:color="auto"/>
        <w:left w:val="none" w:sz="0" w:space="0" w:color="auto"/>
        <w:bottom w:val="none" w:sz="0" w:space="0" w:color="auto"/>
        <w:right w:val="none" w:sz="0" w:space="0" w:color="auto"/>
      </w:divBdr>
    </w:div>
    <w:div w:id="223375604">
      <w:bodyDiv w:val="1"/>
      <w:marLeft w:val="0"/>
      <w:marRight w:val="0"/>
      <w:marTop w:val="0"/>
      <w:marBottom w:val="0"/>
      <w:divBdr>
        <w:top w:val="none" w:sz="0" w:space="0" w:color="auto"/>
        <w:left w:val="none" w:sz="0" w:space="0" w:color="auto"/>
        <w:bottom w:val="none" w:sz="0" w:space="0" w:color="auto"/>
        <w:right w:val="none" w:sz="0" w:space="0" w:color="auto"/>
      </w:divBdr>
    </w:div>
    <w:div w:id="232088452">
      <w:bodyDiv w:val="1"/>
      <w:marLeft w:val="0"/>
      <w:marRight w:val="0"/>
      <w:marTop w:val="0"/>
      <w:marBottom w:val="0"/>
      <w:divBdr>
        <w:top w:val="none" w:sz="0" w:space="0" w:color="auto"/>
        <w:left w:val="none" w:sz="0" w:space="0" w:color="auto"/>
        <w:bottom w:val="none" w:sz="0" w:space="0" w:color="auto"/>
        <w:right w:val="none" w:sz="0" w:space="0" w:color="auto"/>
      </w:divBdr>
    </w:div>
    <w:div w:id="242299959">
      <w:bodyDiv w:val="1"/>
      <w:marLeft w:val="0"/>
      <w:marRight w:val="0"/>
      <w:marTop w:val="0"/>
      <w:marBottom w:val="0"/>
      <w:divBdr>
        <w:top w:val="none" w:sz="0" w:space="0" w:color="auto"/>
        <w:left w:val="none" w:sz="0" w:space="0" w:color="auto"/>
        <w:bottom w:val="none" w:sz="0" w:space="0" w:color="auto"/>
        <w:right w:val="none" w:sz="0" w:space="0" w:color="auto"/>
      </w:divBdr>
    </w:div>
    <w:div w:id="242615093">
      <w:bodyDiv w:val="1"/>
      <w:marLeft w:val="0"/>
      <w:marRight w:val="0"/>
      <w:marTop w:val="0"/>
      <w:marBottom w:val="0"/>
      <w:divBdr>
        <w:top w:val="none" w:sz="0" w:space="0" w:color="auto"/>
        <w:left w:val="none" w:sz="0" w:space="0" w:color="auto"/>
        <w:bottom w:val="none" w:sz="0" w:space="0" w:color="auto"/>
        <w:right w:val="none" w:sz="0" w:space="0" w:color="auto"/>
      </w:divBdr>
    </w:div>
    <w:div w:id="277638288">
      <w:bodyDiv w:val="1"/>
      <w:marLeft w:val="0"/>
      <w:marRight w:val="0"/>
      <w:marTop w:val="0"/>
      <w:marBottom w:val="0"/>
      <w:divBdr>
        <w:top w:val="none" w:sz="0" w:space="0" w:color="auto"/>
        <w:left w:val="none" w:sz="0" w:space="0" w:color="auto"/>
        <w:bottom w:val="none" w:sz="0" w:space="0" w:color="auto"/>
        <w:right w:val="none" w:sz="0" w:space="0" w:color="auto"/>
      </w:divBdr>
    </w:div>
    <w:div w:id="337393962">
      <w:bodyDiv w:val="1"/>
      <w:marLeft w:val="0"/>
      <w:marRight w:val="0"/>
      <w:marTop w:val="0"/>
      <w:marBottom w:val="0"/>
      <w:divBdr>
        <w:top w:val="none" w:sz="0" w:space="0" w:color="auto"/>
        <w:left w:val="none" w:sz="0" w:space="0" w:color="auto"/>
        <w:bottom w:val="none" w:sz="0" w:space="0" w:color="auto"/>
        <w:right w:val="none" w:sz="0" w:space="0" w:color="auto"/>
      </w:divBdr>
    </w:div>
    <w:div w:id="340426309">
      <w:bodyDiv w:val="1"/>
      <w:marLeft w:val="0"/>
      <w:marRight w:val="0"/>
      <w:marTop w:val="0"/>
      <w:marBottom w:val="0"/>
      <w:divBdr>
        <w:top w:val="none" w:sz="0" w:space="0" w:color="auto"/>
        <w:left w:val="none" w:sz="0" w:space="0" w:color="auto"/>
        <w:bottom w:val="none" w:sz="0" w:space="0" w:color="auto"/>
        <w:right w:val="none" w:sz="0" w:space="0" w:color="auto"/>
      </w:divBdr>
    </w:div>
    <w:div w:id="362287922">
      <w:bodyDiv w:val="1"/>
      <w:marLeft w:val="0"/>
      <w:marRight w:val="0"/>
      <w:marTop w:val="0"/>
      <w:marBottom w:val="0"/>
      <w:divBdr>
        <w:top w:val="none" w:sz="0" w:space="0" w:color="auto"/>
        <w:left w:val="none" w:sz="0" w:space="0" w:color="auto"/>
        <w:bottom w:val="none" w:sz="0" w:space="0" w:color="auto"/>
        <w:right w:val="none" w:sz="0" w:space="0" w:color="auto"/>
      </w:divBdr>
    </w:div>
    <w:div w:id="374038094">
      <w:bodyDiv w:val="1"/>
      <w:marLeft w:val="0"/>
      <w:marRight w:val="0"/>
      <w:marTop w:val="0"/>
      <w:marBottom w:val="0"/>
      <w:divBdr>
        <w:top w:val="none" w:sz="0" w:space="0" w:color="auto"/>
        <w:left w:val="none" w:sz="0" w:space="0" w:color="auto"/>
        <w:bottom w:val="none" w:sz="0" w:space="0" w:color="auto"/>
        <w:right w:val="none" w:sz="0" w:space="0" w:color="auto"/>
      </w:divBdr>
      <w:divsChild>
        <w:div w:id="442116907">
          <w:marLeft w:val="274"/>
          <w:marRight w:val="0"/>
          <w:marTop w:val="0"/>
          <w:marBottom w:val="60"/>
          <w:divBdr>
            <w:top w:val="none" w:sz="0" w:space="0" w:color="auto"/>
            <w:left w:val="none" w:sz="0" w:space="0" w:color="auto"/>
            <w:bottom w:val="none" w:sz="0" w:space="0" w:color="auto"/>
            <w:right w:val="none" w:sz="0" w:space="0" w:color="auto"/>
          </w:divBdr>
        </w:div>
      </w:divsChild>
    </w:div>
    <w:div w:id="380520459">
      <w:bodyDiv w:val="1"/>
      <w:marLeft w:val="0"/>
      <w:marRight w:val="0"/>
      <w:marTop w:val="0"/>
      <w:marBottom w:val="0"/>
      <w:divBdr>
        <w:top w:val="none" w:sz="0" w:space="0" w:color="auto"/>
        <w:left w:val="none" w:sz="0" w:space="0" w:color="auto"/>
        <w:bottom w:val="none" w:sz="0" w:space="0" w:color="auto"/>
        <w:right w:val="none" w:sz="0" w:space="0" w:color="auto"/>
      </w:divBdr>
    </w:div>
    <w:div w:id="402142697">
      <w:bodyDiv w:val="1"/>
      <w:marLeft w:val="0"/>
      <w:marRight w:val="0"/>
      <w:marTop w:val="0"/>
      <w:marBottom w:val="0"/>
      <w:divBdr>
        <w:top w:val="none" w:sz="0" w:space="0" w:color="auto"/>
        <w:left w:val="none" w:sz="0" w:space="0" w:color="auto"/>
        <w:bottom w:val="none" w:sz="0" w:space="0" w:color="auto"/>
        <w:right w:val="none" w:sz="0" w:space="0" w:color="auto"/>
      </w:divBdr>
    </w:div>
    <w:div w:id="415252233">
      <w:bodyDiv w:val="1"/>
      <w:marLeft w:val="0"/>
      <w:marRight w:val="0"/>
      <w:marTop w:val="0"/>
      <w:marBottom w:val="0"/>
      <w:divBdr>
        <w:top w:val="none" w:sz="0" w:space="0" w:color="auto"/>
        <w:left w:val="none" w:sz="0" w:space="0" w:color="auto"/>
        <w:bottom w:val="none" w:sz="0" w:space="0" w:color="auto"/>
        <w:right w:val="none" w:sz="0" w:space="0" w:color="auto"/>
      </w:divBdr>
      <w:divsChild>
        <w:div w:id="442724887">
          <w:marLeft w:val="274"/>
          <w:marRight w:val="0"/>
          <w:marTop w:val="0"/>
          <w:marBottom w:val="60"/>
          <w:divBdr>
            <w:top w:val="none" w:sz="0" w:space="0" w:color="auto"/>
            <w:left w:val="none" w:sz="0" w:space="0" w:color="auto"/>
            <w:bottom w:val="none" w:sz="0" w:space="0" w:color="auto"/>
            <w:right w:val="none" w:sz="0" w:space="0" w:color="auto"/>
          </w:divBdr>
        </w:div>
      </w:divsChild>
    </w:div>
    <w:div w:id="419374306">
      <w:bodyDiv w:val="1"/>
      <w:marLeft w:val="0"/>
      <w:marRight w:val="0"/>
      <w:marTop w:val="0"/>
      <w:marBottom w:val="0"/>
      <w:divBdr>
        <w:top w:val="none" w:sz="0" w:space="0" w:color="auto"/>
        <w:left w:val="none" w:sz="0" w:space="0" w:color="auto"/>
        <w:bottom w:val="none" w:sz="0" w:space="0" w:color="auto"/>
        <w:right w:val="none" w:sz="0" w:space="0" w:color="auto"/>
      </w:divBdr>
      <w:divsChild>
        <w:div w:id="1245527195">
          <w:marLeft w:val="274"/>
          <w:marRight w:val="0"/>
          <w:marTop w:val="0"/>
          <w:marBottom w:val="60"/>
          <w:divBdr>
            <w:top w:val="none" w:sz="0" w:space="0" w:color="auto"/>
            <w:left w:val="none" w:sz="0" w:space="0" w:color="auto"/>
            <w:bottom w:val="none" w:sz="0" w:space="0" w:color="auto"/>
            <w:right w:val="none" w:sz="0" w:space="0" w:color="auto"/>
          </w:divBdr>
        </w:div>
      </w:divsChild>
    </w:div>
    <w:div w:id="437603778">
      <w:bodyDiv w:val="1"/>
      <w:marLeft w:val="0"/>
      <w:marRight w:val="0"/>
      <w:marTop w:val="0"/>
      <w:marBottom w:val="0"/>
      <w:divBdr>
        <w:top w:val="none" w:sz="0" w:space="0" w:color="auto"/>
        <w:left w:val="none" w:sz="0" w:space="0" w:color="auto"/>
        <w:bottom w:val="none" w:sz="0" w:space="0" w:color="auto"/>
        <w:right w:val="none" w:sz="0" w:space="0" w:color="auto"/>
      </w:divBdr>
    </w:div>
    <w:div w:id="440926359">
      <w:bodyDiv w:val="1"/>
      <w:marLeft w:val="0"/>
      <w:marRight w:val="0"/>
      <w:marTop w:val="0"/>
      <w:marBottom w:val="0"/>
      <w:divBdr>
        <w:top w:val="none" w:sz="0" w:space="0" w:color="auto"/>
        <w:left w:val="none" w:sz="0" w:space="0" w:color="auto"/>
        <w:bottom w:val="none" w:sz="0" w:space="0" w:color="auto"/>
        <w:right w:val="none" w:sz="0" w:space="0" w:color="auto"/>
      </w:divBdr>
    </w:div>
    <w:div w:id="462507730">
      <w:bodyDiv w:val="1"/>
      <w:marLeft w:val="0"/>
      <w:marRight w:val="0"/>
      <w:marTop w:val="0"/>
      <w:marBottom w:val="0"/>
      <w:divBdr>
        <w:top w:val="none" w:sz="0" w:space="0" w:color="auto"/>
        <w:left w:val="none" w:sz="0" w:space="0" w:color="auto"/>
        <w:bottom w:val="none" w:sz="0" w:space="0" w:color="auto"/>
        <w:right w:val="none" w:sz="0" w:space="0" w:color="auto"/>
      </w:divBdr>
    </w:div>
    <w:div w:id="518390849">
      <w:bodyDiv w:val="1"/>
      <w:marLeft w:val="0"/>
      <w:marRight w:val="0"/>
      <w:marTop w:val="0"/>
      <w:marBottom w:val="0"/>
      <w:divBdr>
        <w:top w:val="none" w:sz="0" w:space="0" w:color="auto"/>
        <w:left w:val="none" w:sz="0" w:space="0" w:color="auto"/>
        <w:bottom w:val="none" w:sz="0" w:space="0" w:color="auto"/>
        <w:right w:val="none" w:sz="0" w:space="0" w:color="auto"/>
      </w:divBdr>
    </w:div>
    <w:div w:id="531654861">
      <w:bodyDiv w:val="1"/>
      <w:marLeft w:val="0"/>
      <w:marRight w:val="0"/>
      <w:marTop w:val="0"/>
      <w:marBottom w:val="0"/>
      <w:divBdr>
        <w:top w:val="none" w:sz="0" w:space="0" w:color="auto"/>
        <w:left w:val="none" w:sz="0" w:space="0" w:color="auto"/>
        <w:bottom w:val="none" w:sz="0" w:space="0" w:color="auto"/>
        <w:right w:val="none" w:sz="0" w:space="0" w:color="auto"/>
      </w:divBdr>
    </w:div>
    <w:div w:id="542788565">
      <w:bodyDiv w:val="1"/>
      <w:marLeft w:val="0"/>
      <w:marRight w:val="0"/>
      <w:marTop w:val="0"/>
      <w:marBottom w:val="0"/>
      <w:divBdr>
        <w:top w:val="none" w:sz="0" w:space="0" w:color="auto"/>
        <w:left w:val="none" w:sz="0" w:space="0" w:color="auto"/>
        <w:bottom w:val="none" w:sz="0" w:space="0" w:color="auto"/>
        <w:right w:val="none" w:sz="0" w:space="0" w:color="auto"/>
      </w:divBdr>
    </w:div>
    <w:div w:id="559562219">
      <w:bodyDiv w:val="1"/>
      <w:marLeft w:val="0"/>
      <w:marRight w:val="0"/>
      <w:marTop w:val="0"/>
      <w:marBottom w:val="0"/>
      <w:divBdr>
        <w:top w:val="none" w:sz="0" w:space="0" w:color="auto"/>
        <w:left w:val="none" w:sz="0" w:space="0" w:color="auto"/>
        <w:bottom w:val="none" w:sz="0" w:space="0" w:color="auto"/>
        <w:right w:val="none" w:sz="0" w:space="0" w:color="auto"/>
      </w:divBdr>
    </w:div>
    <w:div w:id="561723073">
      <w:bodyDiv w:val="1"/>
      <w:marLeft w:val="0"/>
      <w:marRight w:val="0"/>
      <w:marTop w:val="0"/>
      <w:marBottom w:val="0"/>
      <w:divBdr>
        <w:top w:val="none" w:sz="0" w:space="0" w:color="auto"/>
        <w:left w:val="none" w:sz="0" w:space="0" w:color="auto"/>
        <w:bottom w:val="none" w:sz="0" w:space="0" w:color="auto"/>
        <w:right w:val="none" w:sz="0" w:space="0" w:color="auto"/>
      </w:divBdr>
    </w:div>
    <w:div w:id="590436452">
      <w:bodyDiv w:val="1"/>
      <w:marLeft w:val="0"/>
      <w:marRight w:val="0"/>
      <w:marTop w:val="0"/>
      <w:marBottom w:val="0"/>
      <w:divBdr>
        <w:top w:val="none" w:sz="0" w:space="0" w:color="auto"/>
        <w:left w:val="none" w:sz="0" w:space="0" w:color="auto"/>
        <w:bottom w:val="none" w:sz="0" w:space="0" w:color="auto"/>
        <w:right w:val="none" w:sz="0" w:space="0" w:color="auto"/>
      </w:divBdr>
    </w:div>
    <w:div w:id="597062436">
      <w:bodyDiv w:val="1"/>
      <w:marLeft w:val="0"/>
      <w:marRight w:val="0"/>
      <w:marTop w:val="0"/>
      <w:marBottom w:val="0"/>
      <w:divBdr>
        <w:top w:val="none" w:sz="0" w:space="0" w:color="auto"/>
        <w:left w:val="none" w:sz="0" w:space="0" w:color="auto"/>
        <w:bottom w:val="none" w:sz="0" w:space="0" w:color="auto"/>
        <w:right w:val="none" w:sz="0" w:space="0" w:color="auto"/>
      </w:divBdr>
    </w:div>
    <w:div w:id="603076408">
      <w:bodyDiv w:val="1"/>
      <w:marLeft w:val="0"/>
      <w:marRight w:val="0"/>
      <w:marTop w:val="0"/>
      <w:marBottom w:val="0"/>
      <w:divBdr>
        <w:top w:val="none" w:sz="0" w:space="0" w:color="auto"/>
        <w:left w:val="none" w:sz="0" w:space="0" w:color="auto"/>
        <w:bottom w:val="none" w:sz="0" w:space="0" w:color="auto"/>
        <w:right w:val="none" w:sz="0" w:space="0" w:color="auto"/>
      </w:divBdr>
    </w:div>
    <w:div w:id="607005166">
      <w:bodyDiv w:val="1"/>
      <w:marLeft w:val="0"/>
      <w:marRight w:val="0"/>
      <w:marTop w:val="0"/>
      <w:marBottom w:val="0"/>
      <w:divBdr>
        <w:top w:val="none" w:sz="0" w:space="0" w:color="auto"/>
        <w:left w:val="none" w:sz="0" w:space="0" w:color="auto"/>
        <w:bottom w:val="none" w:sz="0" w:space="0" w:color="auto"/>
        <w:right w:val="none" w:sz="0" w:space="0" w:color="auto"/>
      </w:divBdr>
      <w:divsChild>
        <w:div w:id="1373727462">
          <w:marLeft w:val="274"/>
          <w:marRight w:val="0"/>
          <w:marTop w:val="0"/>
          <w:marBottom w:val="60"/>
          <w:divBdr>
            <w:top w:val="none" w:sz="0" w:space="0" w:color="auto"/>
            <w:left w:val="none" w:sz="0" w:space="0" w:color="auto"/>
            <w:bottom w:val="none" w:sz="0" w:space="0" w:color="auto"/>
            <w:right w:val="none" w:sz="0" w:space="0" w:color="auto"/>
          </w:divBdr>
        </w:div>
      </w:divsChild>
    </w:div>
    <w:div w:id="610667105">
      <w:bodyDiv w:val="1"/>
      <w:marLeft w:val="0"/>
      <w:marRight w:val="0"/>
      <w:marTop w:val="0"/>
      <w:marBottom w:val="0"/>
      <w:divBdr>
        <w:top w:val="none" w:sz="0" w:space="0" w:color="auto"/>
        <w:left w:val="none" w:sz="0" w:space="0" w:color="auto"/>
        <w:bottom w:val="none" w:sz="0" w:space="0" w:color="auto"/>
        <w:right w:val="none" w:sz="0" w:space="0" w:color="auto"/>
      </w:divBdr>
    </w:div>
    <w:div w:id="619805020">
      <w:bodyDiv w:val="1"/>
      <w:marLeft w:val="0"/>
      <w:marRight w:val="0"/>
      <w:marTop w:val="0"/>
      <w:marBottom w:val="0"/>
      <w:divBdr>
        <w:top w:val="none" w:sz="0" w:space="0" w:color="auto"/>
        <w:left w:val="none" w:sz="0" w:space="0" w:color="auto"/>
        <w:bottom w:val="none" w:sz="0" w:space="0" w:color="auto"/>
        <w:right w:val="none" w:sz="0" w:space="0" w:color="auto"/>
      </w:divBdr>
    </w:div>
    <w:div w:id="642850388">
      <w:bodyDiv w:val="1"/>
      <w:marLeft w:val="0"/>
      <w:marRight w:val="0"/>
      <w:marTop w:val="0"/>
      <w:marBottom w:val="0"/>
      <w:divBdr>
        <w:top w:val="none" w:sz="0" w:space="0" w:color="auto"/>
        <w:left w:val="none" w:sz="0" w:space="0" w:color="auto"/>
        <w:bottom w:val="none" w:sz="0" w:space="0" w:color="auto"/>
        <w:right w:val="none" w:sz="0" w:space="0" w:color="auto"/>
      </w:divBdr>
    </w:div>
    <w:div w:id="644162691">
      <w:bodyDiv w:val="1"/>
      <w:marLeft w:val="0"/>
      <w:marRight w:val="0"/>
      <w:marTop w:val="0"/>
      <w:marBottom w:val="0"/>
      <w:divBdr>
        <w:top w:val="none" w:sz="0" w:space="0" w:color="auto"/>
        <w:left w:val="none" w:sz="0" w:space="0" w:color="auto"/>
        <w:bottom w:val="none" w:sz="0" w:space="0" w:color="auto"/>
        <w:right w:val="none" w:sz="0" w:space="0" w:color="auto"/>
      </w:divBdr>
    </w:div>
    <w:div w:id="653919579">
      <w:bodyDiv w:val="1"/>
      <w:marLeft w:val="0"/>
      <w:marRight w:val="0"/>
      <w:marTop w:val="0"/>
      <w:marBottom w:val="0"/>
      <w:divBdr>
        <w:top w:val="none" w:sz="0" w:space="0" w:color="auto"/>
        <w:left w:val="none" w:sz="0" w:space="0" w:color="auto"/>
        <w:bottom w:val="none" w:sz="0" w:space="0" w:color="auto"/>
        <w:right w:val="none" w:sz="0" w:space="0" w:color="auto"/>
      </w:divBdr>
    </w:div>
    <w:div w:id="691692176">
      <w:bodyDiv w:val="1"/>
      <w:marLeft w:val="0"/>
      <w:marRight w:val="0"/>
      <w:marTop w:val="0"/>
      <w:marBottom w:val="0"/>
      <w:divBdr>
        <w:top w:val="none" w:sz="0" w:space="0" w:color="auto"/>
        <w:left w:val="none" w:sz="0" w:space="0" w:color="auto"/>
        <w:bottom w:val="none" w:sz="0" w:space="0" w:color="auto"/>
        <w:right w:val="none" w:sz="0" w:space="0" w:color="auto"/>
      </w:divBdr>
      <w:divsChild>
        <w:div w:id="245699937">
          <w:marLeft w:val="0"/>
          <w:marRight w:val="0"/>
          <w:marTop w:val="0"/>
          <w:marBottom w:val="0"/>
          <w:divBdr>
            <w:top w:val="none" w:sz="0" w:space="0" w:color="auto"/>
            <w:left w:val="none" w:sz="0" w:space="0" w:color="auto"/>
            <w:bottom w:val="none" w:sz="0" w:space="0" w:color="auto"/>
            <w:right w:val="none" w:sz="0" w:space="0" w:color="auto"/>
          </w:divBdr>
        </w:div>
        <w:div w:id="518008249">
          <w:marLeft w:val="0"/>
          <w:marRight w:val="0"/>
          <w:marTop w:val="0"/>
          <w:marBottom w:val="0"/>
          <w:divBdr>
            <w:top w:val="none" w:sz="0" w:space="0" w:color="auto"/>
            <w:left w:val="none" w:sz="0" w:space="0" w:color="auto"/>
            <w:bottom w:val="none" w:sz="0" w:space="0" w:color="auto"/>
            <w:right w:val="none" w:sz="0" w:space="0" w:color="auto"/>
          </w:divBdr>
        </w:div>
        <w:div w:id="1812675421">
          <w:marLeft w:val="0"/>
          <w:marRight w:val="0"/>
          <w:marTop w:val="0"/>
          <w:marBottom w:val="0"/>
          <w:divBdr>
            <w:top w:val="none" w:sz="0" w:space="0" w:color="auto"/>
            <w:left w:val="none" w:sz="0" w:space="0" w:color="auto"/>
            <w:bottom w:val="none" w:sz="0" w:space="0" w:color="auto"/>
            <w:right w:val="none" w:sz="0" w:space="0" w:color="auto"/>
          </w:divBdr>
        </w:div>
        <w:div w:id="1898197528">
          <w:marLeft w:val="0"/>
          <w:marRight w:val="0"/>
          <w:marTop w:val="0"/>
          <w:marBottom w:val="0"/>
          <w:divBdr>
            <w:top w:val="none" w:sz="0" w:space="0" w:color="auto"/>
            <w:left w:val="none" w:sz="0" w:space="0" w:color="auto"/>
            <w:bottom w:val="none" w:sz="0" w:space="0" w:color="auto"/>
            <w:right w:val="none" w:sz="0" w:space="0" w:color="auto"/>
          </w:divBdr>
        </w:div>
      </w:divsChild>
    </w:div>
    <w:div w:id="699739538">
      <w:bodyDiv w:val="1"/>
      <w:marLeft w:val="0"/>
      <w:marRight w:val="0"/>
      <w:marTop w:val="0"/>
      <w:marBottom w:val="0"/>
      <w:divBdr>
        <w:top w:val="none" w:sz="0" w:space="0" w:color="auto"/>
        <w:left w:val="none" w:sz="0" w:space="0" w:color="auto"/>
        <w:bottom w:val="none" w:sz="0" w:space="0" w:color="auto"/>
        <w:right w:val="none" w:sz="0" w:space="0" w:color="auto"/>
      </w:divBdr>
      <w:divsChild>
        <w:div w:id="121776661">
          <w:marLeft w:val="274"/>
          <w:marRight w:val="0"/>
          <w:marTop w:val="0"/>
          <w:marBottom w:val="0"/>
          <w:divBdr>
            <w:top w:val="none" w:sz="0" w:space="0" w:color="auto"/>
            <w:left w:val="none" w:sz="0" w:space="0" w:color="auto"/>
            <w:bottom w:val="none" w:sz="0" w:space="0" w:color="auto"/>
            <w:right w:val="none" w:sz="0" w:space="0" w:color="auto"/>
          </w:divBdr>
        </w:div>
        <w:div w:id="824978926">
          <w:marLeft w:val="274"/>
          <w:marRight w:val="0"/>
          <w:marTop w:val="0"/>
          <w:marBottom w:val="0"/>
          <w:divBdr>
            <w:top w:val="none" w:sz="0" w:space="0" w:color="auto"/>
            <w:left w:val="none" w:sz="0" w:space="0" w:color="auto"/>
            <w:bottom w:val="none" w:sz="0" w:space="0" w:color="auto"/>
            <w:right w:val="none" w:sz="0" w:space="0" w:color="auto"/>
          </w:divBdr>
        </w:div>
        <w:div w:id="923758250">
          <w:marLeft w:val="274"/>
          <w:marRight w:val="0"/>
          <w:marTop w:val="0"/>
          <w:marBottom w:val="0"/>
          <w:divBdr>
            <w:top w:val="none" w:sz="0" w:space="0" w:color="auto"/>
            <w:left w:val="none" w:sz="0" w:space="0" w:color="auto"/>
            <w:bottom w:val="none" w:sz="0" w:space="0" w:color="auto"/>
            <w:right w:val="none" w:sz="0" w:space="0" w:color="auto"/>
          </w:divBdr>
        </w:div>
        <w:div w:id="1251308078">
          <w:marLeft w:val="274"/>
          <w:marRight w:val="0"/>
          <w:marTop w:val="0"/>
          <w:marBottom w:val="0"/>
          <w:divBdr>
            <w:top w:val="none" w:sz="0" w:space="0" w:color="auto"/>
            <w:left w:val="none" w:sz="0" w:space="0" w:color="auto"/>
            <w:bottom w:val="none" w:sz="0" w:space="0" w:color="auto"/>
            <w:right w:val="none" w:sz="0" w:space="0" w:color="auto"/>
          </w:divBdr>
        </w:div>
        <w:div w:id="1322583078">
          <w:marLeft w:val="274"/>
          <w:marRight w:val="0"/>
          <w:marTop w:val="0"/>
          <w:marBottom w:val="0"/>
          <w:divBdr>
            <w:top w:val="none" w:sz="0" w:space="0" w:color="auto"/>
            <w:left w:val="none" w:sz="0" w:space="0" w:color="auto"/>
            <w:bottom w:val="none" w:sz="0" w:space="0" w:color="auto"/>
            <w:right w:val="none" w:sz="0" w:space="0" w:color="auto"/>
          </w:divBdr>
        </w:div>
        <w:div w:id="1650552098">
          <w:marLeft w:val="274"/>
          <w:marRight w:val="0"/>
          <w:marTop w:val="0"/>
          <w:marBottom w:val="0"/>
          <w:divBdr>
            <w:top w:val="none" w:sz="0" w:space="0" w:color="auto"/>
            <w:left w:val="none" w:sz="0" w:space="0" w:color="auto"/>
            <w:bottom w:val="none" w:sz="0" w:space="0" w:color="auto"/>
            <w:right w:val="none" w:sz="0" w:space="0" w:color="auto"/>
          </w:divBdr>
        </w:div>
        <w:div w:id="1821078022">
          <w:marLeft w:val="274"/>
          <w:marRight w:val="0"/>
          <w:marTop w:val="0"/>
          <w:marBottom w:val="0"/>
          <w:divBdr>
            <w:top w:val="none" w:sz="0" w:space="0" w:color="auto"/>
            <w:left w:val="none" w:sz="0" w:space="0" w:color="auto"/>
            <w:bottom w:val="none" w:sz="0" w:space="0" w:color="auto"/>
            <w:right w:val="none" w:sz="0" w:space="0" w:color="auto"/>
          </w:divBdr>
        </w:div>
        <w:div w:id="1871183874">
          <w:marLeft w:val="274"/>
          <w:marRight w:val="0"/>
          <w:marTop w:val="0"/>
          <w:marBottom w:val="0"/>
          <w:divBdr>
            <w:top w:val="none" w:sz="0" w:space="0" w:color="auto"/>
            <w:left w:val="none" w:sz="0" w:space="0" w:color="auto"/>
            <w:bottom w:val="none" w:sz="0" w:space="0" w:color="auto"/>
            <w:right w:val="none" w:sz="0" w:space="0" w:color="auto"/>
          </w:divBdr>
        </w:div>
        <w:div w:id="1894730508">
          <w:marLeft w:val="274"/>
          <w:marRight w:val="0"/>
          <w:marTop w:val="0"/>
          <w:marBottom w:val="0"/>
          <w:divBdr>
            <w:top w:val="none" w:sz="0" w:space="0" w:color="auto"/>
            <w:left w:val="none" w:sz="0" w:space="0" w:color="auto"/>
            <w:bottom w:val="none" w:sz="0" w:space="0" w:color="auto"/>
            <w:right w:val="none" w:sz="0" w:space="0" w:color="auto"/>
          </w:divBdr>
        </w:div>
        <w:div w:id="2045520938">
          <w:marLeft w:val="274"/>
          <w:marRight w:val="0"/>
          <w:marTop w:val="0"/>
          <w:marBottom w:val="0"/>
          <w:divBdr>
            <w:top w:val="none" w:sz="0" w:space="0" w:color="auto"/>
            <w:left w:val="none" w:sz="0" w:space="0" w:color="auto"/>
            <w:bottom w:val="none" w:sz="0" w:space="0" w:color="auto"/>
            <w:right w:val="none" w:sz="0" w:space="0" w:color="auto"/>
          </w:divBdr>
        </w:div>
        <w:div w:id="2120835677">
          <w:marLeft w:val="274"/>
          <w:marRight w:val="0"/>
          <w:marTop w:val="0"/>
          <w:marBottom w:val="0"/>
          <w:divBdr>
            <w:top w:val="none" w:sz="0" w:space="0" w:color="auto"/>
            <w:left w:val="none" w:sz="0" w:space="0" w:color="auto"/>
            <w:bottom w:val="none" w:sz="0" w:space="0" w:color="auto"/>
            <w:right w:val="none" w:sz="0" w:space="0" w:color="auto"/>
          </w:divBdr>
        </w:div>
      </w:divsChild>
    </w:div>
    <w:div w:id="703290591">
      <w:bodyDiv w:val="1"/>
      <w:marLeft w:val="0"/>
      <w:marRight w:val="0"/>
      <w:marTop w:val="0"/>
      <w:marBottom w:val="0"/>
      <w:divBdr>
        <w:top w:val="none" w:sz="0" w:space="0" w:color="auto"/>
        <w:left w:val="none" w:sz="0" w:space="0" w:color="auto"/>
        <w:bottom w:val="none" w:sz="0" w:space="0" w:color="auto"/>
        <w:right w:val="none" w:sz="0" w:space="0" w:color="auto"/>
      </w:divBdr>
    </w:div>
    <w:div w:id="703403686">
      <w:bodyDiv w:val="1"/>
      <w:marLeft w:val="0"/>
      <w:marRight w:val="0"/>
      <w:marTop w:val="0"/>
      <w:marBottom w:val="0"/>
      <w:divBdr>
        <w:top w:val="none" w:sz="0" w:space="0" w:color="auto"/>
        <w:left w:val="none" w:sz="0" w:space="0" w:color="auto"/>
        <w:bottom w:val="none" w:sz="0" w:space="0" w:color="auto"/>
        <w:right w:val="none" w:sz="0" w:space="0" w:color="auto"/>
      </w:divBdr>
    </w:div>
    <w:div w:id="746073903">
      <w:bodyDiv w:val="1"/>
      <w:marLeft w:val="0"/>
      <w:marRight w:val="0"/>
      <w:marTop w:val="0"/>
      <w:marBottom w:val="0"/>
      <w:divBdr>
        <w:top w:val="none" w:sz="0" w:space="0" w:color="auto"/>
        <w:left w:val="none" w:sz="0" w:space="0" w:color="auto"/>
        <w:bottom w:val="none" w:sz="0" w:space="0" w:color="auto"/>
        <w:right w:val="none" w:sz="0" w:space="0" w:color="auto"/>
      </w:divBdr>
      <w:divsChild>
        <w:div w:id="239097419">
          <w:marLeft w:val="274"/>
          <w:marRight w:val="0"/>
          <w:marTop w:val="0"/>
          <w:marBottom w:val="60"/>
          <w:divBdr>
            <w:top w:val="none" w:sz="0" w:space="0" w:color="auto"/>
            <w:left w:val="none" w:sz="0" w:space="0" w:color="auto"/>
            <w:bottom w:val="none" w:sz="0" w:space="0" w:color="auto"/>
            <w:right w:val="none" w:sz="0" w:space="0" w:color="auto"/>
          </w:divBdr>
        </w:div>
        <w:div w:id="262802643">
          <w:marLeft w:val="274"/>
          <w:marRight w:val="0"/>
          <w:marTop w:val="0"/>
          <w:marBottom w:val="60"/>
          <w:divBdr>
            <w:top w:val="none" w:sz="0" w:space="0" w:color="auto"/>
            <w:left w:val="none" w:sz="0" w:space="0" w:color="auto"/>
            <w:bottom w:val="none" w:sz="0" w:space="0" w:color="auto"/>
            <w:right w:val="none" w:sz="0" w:space="0" w:color="auto"/>
          </w:divBdr>
        </w:div>
        <w:div w:id="341247306">
          <w:marLeft w:val="274"/>
          <w:marRight w:val="0"/>
          <w:marTop w:val="0"/>
          <w:marBottom w:val="60"/>
          <w:divBdr>
            <w:top w:val="none" w:sz="0" w:space="0" w:color="auto"/>
            <w:left w:val="none" w:sz="0" w:space="0" w:color="auto"/>
            <w:bottom w:val="none" w:sz="0" w:space="0" w:color="auto"/>
            <w:right w:val="none" w:sz="0" w:space="0" w:color="auto"/>
          </w:divBdr>
        </w:div>
        <w:div w:id="565576734">
          <w:marLeft w:val="274"/>
          <w:marRight w:val="0"/>
          <w:marTop w:val="0"/>
          <w:marBottom w:val="60"/>
          <w:divBdr>
            <w:top w:val="none" w:sz="0" w:space="0" w:color="auto"/>
            <w:left w:val="none" w:sz="0" w:space="0" w:color="auto"/>
            <w:bottom w:val="none" w:sz="0" w:space="0" w:color="auto"/>
            <w:right w:val="none" w:sz="0" w:space="0" w:color="auto"/>
          </w:divBdr>
        </w:div>
        <w:div w:id="637346733">
          <w:marLeft w:val="274"/>
          <w:marRight w:val="0"/>
          <w:marTop w:val="0"/>
          <w:marBottom w:val="60"/>
          <w:divBdr>
            <w:top w:val="none" w:sz="0" w:space="0" w:color="auto"/>
            <w:left w:val="none" w:sz="0" w:space="0" w:color="auto"/>
            <w:bottom w:val="none" w:sz="0" w:space="0" w:color="auto"/>
            <w:right w:val="none" w:sz="0" w:space="0" w:color="auto"/>
          </w:divBdr>
        </w:div>
        <w:div w:id="1023941033">
          <w:marLeft w:val="274"/>
          <w:marRight w:val="0"/>
          <w:marTop w:val="0"/>
          <w:marBottom w:val="60"/>
          <w:divBdr>
            <w:top w:val="none" w:sz="0" w:space="0" w:color="auto"/>
            <w:left w:val="none" w:sz="0" w:space="0" w:color="auto"/>
            <w:bottom w:val="none" w:sz="0" w:space="0" w:color="auto"/>
            <w:right w:val="none" w:sz="0" w:space="0" w:color="auto"/>
          </w:divBdr>
        </w:div>
        <w:div w:id="1355767482">
          <w:marLeft w:val="274"/>
          <w:marRight w:val="0"/>
          <w:marTop w:val="0"/>
          <w:marBottom w:val="60"/>
          <w:divBdr>
            <w:top w:val="none" w:sz="0" w:space="0" w:color="auto"/>
            <w:left w:val="none" w:sz="0" w:space="0" w:color="auto"/>
            <w:bottom w:val="none" w:sz="0" w:space="0" w:color="auto"/>
            <w:right w:val="none" w:sz="0" w:space="0" w:color="auto"/>
          </w:divBdr>
        </w:div>
        <w:div w:id="1583906804">
          <w:marLeft w:val="274"/>
          <w:marRight w:val="0"/>
          <w:marTop w:val="0"/>
          <w:marBottom w:val="60"/>
          <w:divBdr>
            <w:top w:val="none" w:sz="0" w:space="0" w:color="auto"/>
            <w:left w:val="none" w:sz="0" w:space="0" w:color="auto"/>
            <w:bottom w:val="none" w:sz="0" w:space="0" w:color="auto"/>
            <w:right w:val="none" w:sz="0" w:space="0" w:color="auto"/>
          </w:divBdr>
        </w:div>
        <w:div w:id="1640300727">
          <w:marLeft w:val="274"/>
          <w:marRight w:val="0"/>
          <w:marTop w:val="0"/>
          <w:marBottom w:val="60"/>
          <w:divBdr>
            <w:top w:val="none" w:sz="0" w:space="0" w:color="auto"/>
            <w:left w:val="none" w:sz="0" w:space="0" w:color="auto"/>
            <w:bottom w:val="none" w:sz="0" w:space="0" w:color="auto"/>
            <w:right w:val="none" w:sz="0" w:space="0" w:color="auto"/>
          </w:divBdr>
        </w:div>
        <w:div w:id="1693990415">
          <w:marLeft w:val="274"/>
          <w:marRight w:val="0"/>
          <w:marTop w:val="0"/>
          <w:marBottom w:val="60"/>
          <w:divBdr>
            <w:top w:val="none" w:sz="0" w:space="0" w:color="auto"/>
            <w:left w:val="none" w:sz="0" w:space="0" w:color="auto"/>
            <w:bottom w:val="none" w:sz="0" w:space="0" w:color="auto"/>
            <w:right w:val="none" w:sz="0" w:space="0" w:color="auto"/>
          </w:divBdr>
        </w:div>
        <w:div w:id="1767723456">
          <w:marLeft w:val="274"/>
          <w:marRight w:val="0"/>
          <w:marTop w:val="0"/>
          <w:marBottom w:val="60"/>
          <w:divBdr>
            <w:top w:val="none" w:sz="0" w:space="0" w:color="auto"/>
            <w:left w:val="none" w:sz="0" w:space="0" w:color="auto"/>
            <w:bottom w:val="none" w:sz="0" w:space="0" w:color="auto"/>
            <w:right w:val="none" w:sz="0" w:space="0" w:color="auto"/>
          </w:divBdr>
        </w:div>
        <w:div w:id="1909680480">
          <w:marLeft w:val="274"/>
          <w:marRight w:val="0"/>
          <w:marTop w:val="0"/>
          <w:marBottom w:val="60"/>
          <w:divBdr>
            <w:top w:val="none" w:sz="0" w:space="0" w:color="auto"/>
            <w:left w:val="none" w:sz="0" w:space="0" w:color="auto"/>
            <w:bottom w:val="none" w:sz="0" w:space="0" w:color="auto"/>
            <w:right w:val="none" w:sz="0" w:space="0" w:color="auto"/>
          </w:divBdr>
        </w:div>
      </w:divsChild>
    </w:div>
    <w:div w:id="748234619">
      <w:bodyDiv w:val="1"/>
      <w:marLeft w:val="0"/>
      <w:marRight w:val="0"/>
      <w:marTop w:val="0"/>
      <w:marBottom w:val="0"/>
      <w:divBdr>
        <w:top w:val="none" w:sz="0" w:space="0" w:color="auto"/>
        <w:left w:val="none" w:sz="0" w:space="0" w:color="auto"/>
        <w:bottom w:val="none" w:sz="0" w:space="0" w:color="auto"/>
        <w:right w:val="none" w:sz="0" w:space="0" w:color="auto"/>
      </w:divBdr>
    </w:div>
    <w:div w:id="753555761">
      <w:bodyDiv w:val="1"/>
      <w:marLeft w:val="0"/>
      <w:marRight w:val="0"/>
      <w:marTop w:val="0"/>
      <w:marBottom w:val="0"/>
      <w:divBdr>
        <w:top w:val="none" w:sz="0" w:space="0" w:color="auto"/>
        <w:left w:val="none" w:sz="0" w:space="0" w:color="auto"/>
        <w:bottom w:val="none" w:sz="0" w:space="0" w:color="auto"/>
        <w:right w:val="none" w:sz="0" w:space="0" w:color="auto"/>
      </w:divBdr>
    </w:div>
    <w:div w:id="760879428">
      <w:bodyDiv w:val="1"/>
      <w:marLeft w:val="0"/>
      <w:marRight w:val="0"/>
      <w:marTop w:val="0"/>
      <w:marBottom w:val="0"/>
      <w:divBdr>
        <w:top w:val="none" w:sz="0" w:space="0" w:color="auto"/>
        <w:left w:val="none" w:sz="0" w:space="0" w:color="auto"/>
        <w:bottom w:val="none" w:sz="0" w:space="0" w:color="auto"/>
        <w:right w:val="none" w:sz="0" w:space="0" w:color="auto"/>
      </w:divBdr>
    </w:div>
    <w:div w:id="764812799">
      <w:bodyDiv w:val="1"/>
      <w:marLeft w:val="0"/>
      <w:marRight w:val="0"/>
      <w:marTop w:val="0"/>
      <w:marBottom w:val="0"/>
      <w:divBdr>
        <w:top w:val="none" w:sz="0" w:space="0" w:color="auto"/>
        <w:left w:val="none" w:sz="0" w:space="0" w:color="auto"/>
        <w:bottom w:val="none" w:sz="0" w:space="0" w:color="auto"/>
        <w:right w:val="none" w:sz="0" w:space="0" w:color="auto"/>
      </w:divBdr>
    </w:div>
    <w:div w:id="766465984">
      <w:bodyDiv w:val="1"/>
      <w:marLeft w:val="0"/>
      <w:marRight w:val="0"/>
      <w:marTop w:val="0"/>
      <w:marBottom w:val="0"/>
      <w:divBdr>
        <w:top w:val="none" w:sz="0" w:space="0" w:color="auto"/>
        <w:left w:val="none" w:sz="0" w:space="0" w:color="auto"/>
        <w:bottom w:val="none" w:sz="0" w:space="0" w:color="auto"/>
        <w:right w:val="none" w:sz="0" w:space="0" w:color="auto"/>
      </w:divBdr>
      <w:divsChild>
        <w:div w:id="413551038">
          <w:marLeft w:val="274"/>
          <w:marRight w:val="0"/>
          <w:marTop w:val="0"/>
          <w:marBottom w:val="60"/>
          <w:divBdr>
            <w:top w:val="none" w:sz="0" w:space="0" w:color="auto"/>
            <w:left w:val="none" w:sz="0" w:space="0" w:color="auto"/>
            <w:bottom w:val="none" w:sz="0" w:space="0" w:color="auto"/>
            <w:right w:val="none" w:sz="0" w:space="0" w:color="auto"/>
          </w:divBdr>
        </w:div>
        <w:div w:id="1083453631">
          <w:marLeft w:val="576"/>
          <w:marRight w:val="0"/>
          <w:marTop w:val="0"/>
          <w:marBottom w:val="60"/>
          <w:divBdr>
            <w:top w:val="none" w:sz="0" w:space="0" w:color="auto"/>
            <w:left w:val="none" w:sz="0" w:space="0" w:color="auto"/>
            <w:bottom w:val="none" w:sz="0" w:space="0" w:color="auto"/>
            <w:right w:val="none" w:sz="0" w:space="0" w:color="auto"/>
          </w:divBdr>
        </w:div>
        <w:div w:id="1103301784">
          <w:marLeft w:val="274"/>
          <w:marRight w:val="0"/>
          <w:marTop w:val="0"/>
          <w:marBottom w:val="60"/>
          <w:divBdr>
            <w:top w:val="none" w:sz="0" w:space="0" w:color="auto"/>
            <w:left w:val="none" w:sz="0" w:space="0" w:color="auto"/>
            <w:bottom w:val="none" w:sz="0" w:space="0" w:color="auto"/>
            <w:right w:val="none" w:sz="0" w:space="0" w:color="auto"/>
          </w:divBdr>
        </w:div>
        <w:div w:id="1161583629">
          <w:marLeft w:val="274"/>
          <w:marRight w:val="0"/>
          <w:marTop w:val="0"/>
          <w:marBottom w:val="60"/>
          <w:divBdr>
            <w:top w:val="none" w:sz="0" w:space="0" w:color="auto"/>
            <w:left w:val="none" w:sz="0" w:space="0" w:color="auto"/>
            <w:bottom w:val="none" w:sz="0" w:space="0" w:color="auto"/>
            <w:right w:val="none" w:sz="0" w:space="0" w:color="auto"/>
          </w:divBdr>
        </w:div>
        <w:div w:id="1699625233">
          <w:marLeft w:val="576"/>
          <w:marRight w:val="0"/>
          <w:marTop w:val="0"/>
          <w:marBottom w:val="60"/>
          <w:divBdr>
            <w:top w:val="none" w:sz="0" w:space="0" w:color="auto"/>
            <w:left w:val="none" w:sz="0" w:space="0" w:color="auto"/>
            <w:bottom w:val="none" w:sz="0" w:space="0" w:color="auto"/>
            <w:right w:val="none" w:sz="0" w:space="0" w:color="auto"/>
          </w:divBdr>
        </w:div>
        <w:div w:id="2025595510">
          <w:marLeft w:val="274"/>
          <w:marRight w:val="0"/>
          <w:marTop w:val="0"/>
          <w:marBottom w:val="60"/>
          <w:divBdr>
            <w:top w:val="none" w:sz="0" w:space="0" w:color="auto"/>
            <w:left w:val="none" w:sz="0" w:space="0" w:color="auto"/>
            <w:bottom w:val="none" w:sz="0" w:space="0" w:color="auto"/>
            <w:right w:val="none" w:sz="0" w:space="0" w:color="auto"/>
          </w:divBdr>
        </w:div>
      </w:divsChild>
    </w:div>
    <w:div w:id="776024600">
      <w:bodyDiv w:val="1"/>
      <w:marLeft w:val="0"/>
      <w:marRight w:val="0"/>
      <w:marTop w:val="0"/>
      <w:marBottom w:val="0"/>
      <w:divBdr>
        <w:top w:val="none" w:sz="0" w:space="0" w:color="auto"/>
        <w:left w:val="none" w:sz="0" w:space="0" w:color="auto"/>
        <w:bottom w:val="none" w:sz="0" w:space="0" w:color="auto"/>
        <w:right w:val="none" w:sz="0" w:space="0" w:color="auto"/>
      </w:divBdr>
    </w:div>
    <w:div w:id="791290001">
      <w:bodyDiv w:val="1"/>
      <w:marLeft w:val="0"/>
      <w:marRight w:val="0"/>
      <w:marTop w:val="0"/>
      <w:marBottom w:val="0"/>
      <w:divBdr>
        <w:top w:val="none" w:sz="0" w:space="0" w:color="auto"/>
        <w:left w:val="none" w:sz="0" w:space="0" w:color="auto"/>
        <w:bottom w:val="none" w:sz="0" w:space="0" w:color="auto"/>
        <w:right w:val="none" w:sz="0" w:space="0" w:color="auto"/>
      </w:divBdr>
      <w:divsChild>
        <w:div w:id="117645322">
          <w:marLeft w:val="547"/>
          <w:marRight w:val="0"/>
          <w:marTop w:val="0"/>
          <w:marBottom w:val="60"/>
          <w:divBdr>
            <w:top w:val="none" w:sz="0" w:space="0" w:color="auto"/>
            <w:left w:val="none" w:sz="0" w:space="0" w:color="auto"/>
            <w:bottom w:val="none" w:sz="0" w:space="0" w:color="auto"/>
            <w:right w:val="none" w:sz="0" w:space="0" w:color="auto"/>
          </w:divBdr>
        </w:div>
        <w:div w:id="1023672385">
          <w:marLeft w:val="547"/>
          <w:marRight w:val="0"/>
          <w:marTop w:val="0"/>
          <w:marBottom w:val="60"/>
          <w:divBdr>
            <w:top w:val="none" w:sz="0" w:space="0" w:color="auto"/>
            <w:left w:val="none" w:sz="0" w:space="0" w:color="auto"/>
            <w:bottom w:val="none" w:sz="0" w:space="0" w:color="auto"/>
            <w:right w:val="none" w:sz="0" w:space="0" w:color="auto"/>
          </w:divBdr>
        </w:div>
      </w:divsChild>
    </w:div>
    <w:div w:id="793984505">
      <w:bodyDiv w:val="1"/>
      <w:marLeft w:val="0"/>
      <w:marRight w:val="0"/>
      <w:marTop w:val="0"/>
      <w:marBottom w:val="0"/>
      <w:divBdr>
        <w:top w:val="none" w:sz="0" w:space="0" w:color="auto"/>
        <w:left w:val="none" w:sz="0" w:space="0" w:color="auto"/>
        <w:bottom w:val="none" w:sz="0" w:space="0" w:color="auto"/>
        <w:right w:val="none" w:sz="0" w:space="0" w:color="auto"/>
      </w:divBdr>
    </w:div>
    <w:div w:id="833033502">
      <w:bodyDiv w:val="1"/>
      <w:marLeft w:val="0"/>
      <w:marRight w:val="0"/>
      <w:marTop w:val="0"/>
      <w:marBottom w:val="0"/>
      <w:divBdr>
        <w:top w:val="none" w:sz="0" w:space="0" w:color="auto"/>
        <w:left w:val="none" w:sz="0" w:space="0" w:color="auto"/>
        <w:bottom w:val="none" w:sz="0" w:space="0" w:color="auto"/>
        <w:right w:val="none" w:sz="0" w:space="0" w:color="auto"/>
      </w:divBdr>
    </w:div>
    <w:div w:id="835191037">
      <w:bodyDiv w:val="1"/>
      <w:marLeft w:val="0"/>
      <w:marRight w:val="0"/>
      <w:marTop w:val="0"/>
      <w:marBottom w:val="0"/>
      <w:divBdr>
        <w:top w:val="none" w:sz="0" w:space="0" w:color="auto"/>
        <w:left w:val="none" w:sz="0" w:space="0" w:color="auto"/>
        <w:bottom w:val="none" w:sz="0" w:space="0" w:color="auto"/>
        <w:right w:val="none" w:sz="0" w:space="0" w:color="auto"/>
      </w:divBdr>
    </w:div>
    <w:div w:id="846946018">
      <w:bodyDiv w:val="1"/>
      <w:marLeft w:val="0"/>
      <w:marRight w:val="0"/>
      <w:marTop w:val="0"/>
      <w:marBottom w:val="0"/>
      <w:divBdr>
        <w:top w:val="none" w:sz="0" w:space="0" w:color="auto"/>
        <w:left w:val="none" w:sz="0" w:space="0" w:color="auto"/>
        <w:bottom w:val="none" w:sz="0" w:space="0" w:color="auto"/>
        <w:right w:val="none" w:sz="0" w:space="0" w:color="auto"/>
      </w:divBdr>
    </w:div>
    <w:div w:id="857042498">
      <w:bodyDiv w:val="1"/>
      <w:marLeft w:val="0"/>
      <w:marRight w:val="0"/>
      <w:marTop w:val="0"/>
      <w:marBottom w:val="0"/>
      <w:divBdr>
        <w:top w:val="none" w:sz="0" w:space="0" w:color="auto"/>
        <w:left w:val="none" w:sz="0" w:space="0" w:color="auto"/>
        <w:bottom w:val="none" w:sz="0" w:space="0" w:color="auto"/>
        <w:right w:val="none" w:sz="0" w:space="0" w:color="auto"/>
      </w:divBdr>
      <w:divsChild>
        <w:div w:id="1017846547">
          <w:marLeft w:val="274"/>
          <w:marRight w:val="0"/>
          <w:marTop w:val="0"/>
          <w:marBottom w:val="60"/>
          <w:divBdr>
            <w:top w:val="none" w:sz="0" w:space="0" w:color="auto"/>
            <w:left w:val="none" w:sz="0" w:space="0" w:color="auto"/>
            <w:bottom w:val="none" w:sz="0" w:space="0" w:color="auto"/>
            <w:right w:val="none" w:sz="0" w:space="0" w:color="auto"/>
          </w:divBdr>
        </w:div>
      </w:divsChild>
    </w:div>
    <w:div w:id="862330760">
      <w:bodyDiv w:val="1"/>
      <w:marLeft w:val="0"/>
      <w:marRight w:val="0"/>
      <w:marTop w:val="0"/>
      <w:marBottom w:val="0"/>
      <w:divBdr>
        <w:top w:val="none" w:sz="0" w:space="0" w:color="auto"/>
        <w:left w:val="none" w:sz="0" w:space="0" w:color="auto"/>
        <w:bottom w:val="none" w:sz="0" w:space="0" w:color="auto"/>
        <w:right w:val="none" w:sz="0" w:space="0" w:color="auto"/>
      </w:divBdr>
    </w:div>
    <w:div w:id="865749968">
      <w:bodyDiv w:val="1"/>
      <w:marLeft w:val="0"/>
      <w:marRight w:val="0"/>
      <w:marTop w:val="0"/>
      <w:marBottom w:val="0"/>
      <w:divBdr>
        <w:top w:val="none" w:sz="0" w:space="0" w:color="auto"/>
        <w:left w:val="none" w:sz="0" w:space="0" w:color="auto"/>
        <w:bottom w:val="none" w:sz="0" w:space="0" w:color="auto"/>
        <w:right w:val="none" w:sz="0" w:space="0" w:color="auto"/>
      </w:divBdr>
    </w:div>
    <w:div w:id="873804948">
      <w:bodyDiv w:val="1"/>
      <w:marLeft w:val="0"/>
      <w:marRight w:val="0"/>
      <w:marTop w:val="0"/>
      <w:marBottom w:val="0"/>
      <w:divBdr>
        <w:top w:val="none" w:sz="0" w:space="0" w:color="auto"/>
        <w:left w:val="none" w:sz="0" w:space="0" w:color="auto"/>
        <w:bottom w:val="none" w:sz="0" w:space="0" w:color="auto"/>
        <w:right w:val="none" w:sz="0" w:space="0" w:color="auto"/>
      </w:divBdr>
    </w:div>
    <w:div w:id="906258589">
      <w:bodyDiv w:val="1"/>
      <w:marLeft w:val="0"/>
      <w:marRight w:val="0"/>
      <w:marTop w:val="0"/>
      <w:marBottom w:val="0"/>
      <w:divBdr>
        <w:top w:val="none" w:sz="0" w:space="0" w:color="auto"/>
        <w:left w:val="none" w:sz="0" w:space="0" w:color="auto"/>
        <w:bottom w:val="none" w:sz="0" w:space="0" w:color="auto"/>
        <w:right w:val="none" w:sz="0" w:space="0" w:color="auto"/>
      </w:divBdr>
    </w:div>
    <w:div w:id="936910840">
      <w:bodyDiv w:val="1"/>
      <w:marLeft w:val="0"/>
      <w:marRight w:val="0"/>
      <w:marTop w:val="0"/>
      <w:marBottom w:val="0"/>
      <w:divBdr>
        <w:top w:val="none" w:sz="0" w:space="0" w:color="auto"/>
        <w:left w:val="none" w:sz="0" w:space="0" w:color="auto"/>
        <w:bottom w:val="none" w:sz="0" w:space="0" w:color="auto"/>
        <w:right w:val="none" w:sz="0" w:space="0" w:color="auto"/>
      </w:divBdr>
      <w:divsChild>
        <w:div w:id="93940291">
          <w:marLeft w:val="547"/>
          <w:marRight w:val="0"/>
          <w:marTop w:val="0"/>
          <w:marBottom w:val="60"/>
          <w:divBdr>
            <w:top w:val="none" w:sz="0" w:space="0" w:color="auto"/>
            <w:left w:val="none" w:sz="0" w:space="0" w:color="auto"/>
            <w:bottom w:val="none" w:sz="0" w:space="0" w:color="auto"/>
            <w:right w:val="none" w:sz="0" w:space="0" w:color="auto"/>
          </w:divBdr>
        </w:div>
        <w:div w:id="559363958">
          <w:marLeft w:val="547"/>
          <w:marRight w:val="0"/>
          <w:marTop w:val="0"/>
          <w:marBottom w:val="60"/>
          <w:divBdr>
            <w:top w:val="none" w:sz="0" w:space="0" w:color="auto"/>
            <w:left w:val="none" w:sz="0" w:space="0" w:color="auto"/>
            <w:bottom w:val="none" w:sz="0" w:space="0" w:color="auto"/>
            <w:right w:val="none" w:sz="0" w:space="0" w:color="auto"/>
          </w:divBdr>
        </w:div>
      </w:divsChild>
    </w:div>
    <w:div w:id="937519190">
      <w:bodyDiv w:val="1"/>
      <w:marLeft w:val="0"/>
      <w:marRight w:val="0"/>
      <w:marTop w:val="0"/>
      <w:marBottom w:val="0"/>
      <w:divBdr>
        <w:top w:val="none" w:sz="0" w:space="0" w:color="auto"/>
        <w:left w:val="none" w:sz="0" w:space="0" w:color="auto"/>
        <w:bottom w:val="none" w:sz="0" w:space="0" w:color="auto"/>
        <w:right w:val="none" w:sz="0" w:space="0" w:color="auto"/>
      </w:divBdr>
    </w:div>
    <w:div w:id="977733032">
      <w:bodyDiv w:val="1"/>
      <w:marLeft w:val="0"/>
      <w:marRight w:val="0"/>
      <w:marTop w:val="0"/>
      <w:marBottom w:val="0"/>
      <w:divBdr>
        <w:top w:val="none" w:sz="0" w:space="0" w:color="auto"/>
        <w:left w:val="none" w:sz="0" w:space="0" w:color="auto"/>
        <w:bottom w:val="none" w:sz="0" w:space="0" w:color="auto"/>
        <w:right w:val="none" w:sz="0" w:space="0" w:color="auto"/>
      </w:divBdr>
      <w:divsChild>
        <w:div w:id="1381828483">
          <w:marLeft w:val="0"/>
          <w:marRight w:val="0"/>
          <w:marTop w:val="0"/>
          <w:marBottom w:val="0"/>
          <w:divBdr>
            <w:top w:val="single" w:sz="2" w:space="0" w:color="auto"/>
            <w:left w:val="single" w:sz="2" w:space="0" w:color="auto"/>
            <w:bottom w:val="single" w:sz="6" w:space="0" w:color="auto"/>
            <w:right w:val="single" w:sz="2" w:space="0" w:color="auto"/>
          </w:divBdr>
          <w:divsChild>
            <w:div w:id="1541897911">
              <w:marLeft w:val="0"/>
              <w:marRight w:val="0"/>
              <w:marTop w:val="100"/>
              <w:marBottom w:val="100"/>
              <w:divBdr>
                <w:top w:val="single" w:sz="2" w:space="0" w:color="D9D9E3"/>
                <w:left w:val="single" w:sz="2" w:space="0" w:color="D9D9E3"/>
                <w:bottom w:val="single" w:sz="2" w:space="0" w:color="D9D9E3"/>
                <w:right w:val="single" w:sz="2" w:space="0" w:color="D9D9E3"/>
              </w:divBdr>
              <w:divsChild>
                <w:div w:id="358435154">
                  <w:marLeft w:val="0"/>
                  <w:marRight w:val="0"/>
                  <w:marTop w:val="0"/>
                  <w:marBottom w:val="0"/>
                  <w:divBdr>
                    <w:top w:val="single" w:sz="2" w:space="0" w:color="D9D9E3"/>
                    <w:left w:val="single" w:sz="2" w:space="0" w:color="D9D9E3"/>
                    <w:bottom w:val="single" w:sz="2" w:space="0" w:color="D9D9E3"/>
                    <w:right w:val="single" w:sz="2" w:space="0" w:color="D9D9E3"/>
                  </w:divBdr>
                  <w:divsChild>
                    <w:div w:id="1550148278">
                      <w:marLeft w:val="0"/>
                      <w:marRight w:val="0"/>
                      <w:marTop w:val="0"/>
                      <w:marBottom w:val="0"/>
                      <w:divBdr>
                        <w:top w:val="single" w:sz="2" w:space="0" w:color="D9D9E3"/>
                        <w:left w:val="single" w:sz="2" w:space="0" w:color="D9D9E3"/>
                        <w:bottom w:val="single" w:sz="2" w:space="0" w:color="D9D9E3"/>
                        <w:right w:val="single" w:sz="2" w:space="0" w:color="D9D9E3"/>
                      </w:divBdr>
                      <w:divsChild>
                        <w:div w:id="400979361">
                          <w:marLeft w:val="0"/>
                          <w:marRight w:val="0"/>
                          <w:marTop w:val="0"/>
                          <w:marBottom w:val="0"/>
                          <w:divBdr>
                            <w:top w:val="single" w:sz="2" w:space="0" w:color="D9D9E3"/>
                            <w:left w:val="single" w:sz="2" w:space="0" w:color="D9D9E3"/>
                            <w:bottom w:val="single" w:sz="2" w:space="0" w:color="D9D9E3"/>
                            <w:right w:val="single" w:sz="2" w:space="0" w:color="D9D9E3"/>
                          </w:divBdr>
                          <w:divsChild>
                            <w:div w:id="1517379474">
                              <w:marLeft w:val="0"/>
                              <w:marRight w:val="0"/>
                              <w:marTop w:val="0"/>
                              <w:marBottom w:val="0"/>
                              <w:divBdr>
                                <w:top w:val="single" w:sz="2" w:space="0" w:color="D9D9E3"/>
                                <w:left w:val="single" w:sz="2" w:space="0" w:color="D9D9E3"/>
                                <w:bottom w:val="single" w:sz="2" w:space="0" w:color="D9D9E3"/>
                                <w:right w:val="single" w:sz="2" w:space="0" w:color="D9D9E3"/>
                              </w:divBdr>
                              <w:divsChild>
                                <w:div w:id="151037050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984554795">
      <w:bodyDiv w:val="1"/>
      <w:marLeft w:val="0"/>
      <w:marRight w:val="0"/>
      <w:marTop w:val="0"/>
      <w:marBottom w:val="0"/>
      <w:divBdr>
        <w:top w:val="none" w:sz="0" w:space="0" w:color="auto"/>
        <w:left w:val="none" w:sz="0" w:space="0" w:color="auto"/>
        <w:bottom w:val="none" w:sz="0" w:space="0" w:color="auto"/>
        <w:right w:val="none" w:sz="0" w:space="0" w:color="auto"/>
      </w:divBdr>
    </w:div>
    <w:div w:id="1002011003">
      <w:bodyDiv w:val="1"/>
      <w:marLeft w:val="0"/>
      <w:marRight w:val="0"/>
      <w:marTop w:val="0"/>
      <w:marBottom w:val="0"/>
      <w:divBdr>
        <w:top w:val="none" w:sz="0" w:space="0" w:color="auto"/>
        <w:left w:val="none" w:sz="0" w:space="0" w:color="auto"/>
        <w:bottom w:val="none" w:sz="0" w:space="0" w:color="auto"/>
        <w:right w:val="none" w:sz="0" w:space="0" w:color="auto"/>
      </w:divBdr>
    </w:div>
    <w:div w:id="1008799906">
      <w:bodyDiv w:val="1"/>
      <w:marLeft w:val="0"/>
      <w:marRight w:val="0"/>
      <w:marTop w:val="0"/>
      <w:marBottom w:val="0"/>
      <w:divBdr>
        <w:top w:val="none" w:sz="0" w:space="0" w:color="auto"/>
        <w:left w:val="none" w:sz="0" w:space="0" w:color="auto"/>
        <w:bottom w:val="none" w:sz="0" w:space="0" w:color="auto"/>
        <w:right w:val="none" w:sz="0" w:space="0" w:color="auto"/>
      </w:divBdr>
    </w:div>
    <w:div w:id="1012293825">
      <w:bodyDiv w:val="1"/>
      <w:marLeft w:val="0"/>
      <w:marRight w:val="0"/>
      <w:marTop w:val="0"/>
      <w:marBottom w:val="0"/>
      <w:divBdr>
        <w:top w:val="none" w:sz="0" w:space="0" w:color="auto"/>
        <w:left w:val="none" w:sz="0" w:space="0" w:color="auto"/>
        <w:bottom w:val="none" w:sz="0" w:space="0" w:color="auto"/>
        <w:right w:val="none" w:sz="0" w:space="0" w:color="auto"/>
      </w:divBdr>
    </w:div>
    <w:div w:id="1026566546">
      <w:bodyDiv w:val="1"/>
      <w:marLeft w:val="0"/>
      <w:marRight w:val="0"/>
      <w:marTop w:val="0"/>
      <w:marBottom w:val="0"/>
      <w:divBdr>
        <w:top w:val="none" w:sz="0" w:space="0" w:color="auto"/>
        <w:left w:val="none" w:sz="0" w:space="0" w:color="auto"/>
        <w:bottom w:val="none" w:sz="0" w:space="0" w:color="auto"/>
        <w:right w:val="none" w:sz="0" w:space="0" w:color="auto"/>
      </w:divBdr>
    </w:div>
    <w:div w:id="1032992845">
      <w:bodyDiv w:val="1"/>
      <w:marLeft w:val="0"/>
      <w:marRight w:val="0"/>
      <w:marTop w:val="0"/>
      <w:marBottom w:val="0"/>
      <w:divBdr>
        <w:top w:val="none" w:sz="0" w:space="0" w:color="auto"/>
        <w:left w:val="none" w:sz="0" w:space="0" w:color="auto"/>
        <w:bottom w:val="none" w:sz="0" w:space="0" w:color="auto"/>
        <w:right w:val="none" w:sz="0" w:space="0" w:color="auto"/>
      </w:divBdr>
      <w:divsChild>
        <w:div w:id="279335779">
          <w:marLeft w:val="806"/>
          <w:marRight w:val="0"/>
          <w:marTop w:val="0"/>
          <w:marBottom w:val="60"/>
          <w:divBdr>
            <w:top w:val="none" w:sz="0" w:space="0" w:color="auto"/>
            <w:left w:val="none" w:sz="0" w:space="0" w:color="auto"/>
            <w:bottom w:val="none" w:sz="0" w:space="0" w:color="auto"/>
            <w:right w:val="none" w:sz="0" w:space="0" w:color="auto"/>
          </w:divBdr>
        </w:div>
        <w:div w:id="296493273">
          <w:marLeft w:val="274"/>
          <w:marRight w:val="0"/>
          <w:marTop w:val="0"/>
          <w:marBottom w:val="60"/>
          <w:divBdr>
            <w:top w:val="none" w:sz="0" w:space="0" w:color="auto"/>
            <w:left w:val="none" w:sz="0" w:space="0" w:color="auto"/>
            <w:bottom w:val="none" w:sz="0" w:space="0" w:color="auto"/>
            <w:right w:val="none" w:sz="0" w:space="0" w:color="auto"/>
          </w:divBdr>
        </w:div>
        <w:div w:id="548305604">
          <w:marLeft w:val="806"/>
          <w:marRight w:val="0"/>
          <w:marTop w:val="0"/>
          <w:marBottom w:val="60"/>
          <w:divBdr>
            <w:top w:val="none" w:sz="0" w:space="0" w:color="auto"/>
            <w:left w:val="none" w:sz="0" w:space="0" w:color="auto"/>
            <w:bottom w:val="none" w:sz="0" w:space="0" w:color="auto"/>
            <w:right w:val="none" w:sz="0" w:space="0" w:color="auto"/>
          </w:divBdr>
        </w:div>
        <w:div w:id="1206794041">
          <w:marLeft w:val="274"/>
          <w:marRight w:val="0"/>
          <w:marTop w:val="0"/>
          <w:marBottom w:val="60"/>
          <w:divBdr>
            <w:top w:val="none" w:sz="0" w:space="0" w:color="auto"/>
            <w:left w:val="none" w:sz="0" w:space="0" w:color="auto"/>
            <w:bottom w:val="none" w:sz="0" w:space="0" w:color="auto"/>
            <w:right w:val="none" w:sz="0" w:space="0" w:color="auto"/>
          </w:divBdr>
        </w:div>
        <w:div w:id="1972437445">
          <w:marLeft w:val="806"/>
          <w:marRight w:val="0"/>
          <w:marTop w:val="0"/>
          <w:marBottom w:val="60"/>
          <w:divBdr>
            <w:top w:val="none" w:sz="0" w:space="0" w:color="auto"/>
            <w:left w:val="none" w:sz="0" w:space="0" w:color="auto"/>
            <w:bottom w:val="none" w:sz="0" w:space="0" w:color="auto"/>
            <w:right w:val="none" w:sz="0" w:space="0" w:color="auto"/>
          </w:divBdr>
        </w:div>
      </w:divsChild>
    </w:div>
    <w:div w:id="1036273111">
      <w:bodyDiv w:val="1"/>
      <w:marLeft w:val="0"/>
      <w:marRight w:val="0"/>
      <w:marTop w:val="0"/>
      <w:marBottom w:val="0"/>
      <w:divBdr>
        <w:top w:val="none" w:sz="0" w:space="0" w:color="auto"/>
        <w:left w:val="none" w:sz="0" w:space="0" w:color="auto"/>
        <w:bottom w:val="none" w:sz="0" w:space="0" w:color="auto"/>
        <w:right w:val="none" w:sz="0" w:space="0" w:color="auto"/>
      </w:divBdr>
    </w:div>
    <w:div w:id="1038893812">
      <w:bodyDiv w:val="1"/>
      <w:marLeft w:val="0"/>
      <w:marRight w:val="0"/>
      <w:marTop w:val="0"/>
      <w:marBottom w:val="0"/>
      <w:divBdr>
        <w:top w:val="none" w:sz="0" w:space="0" w:color="auto"/>
        <w:left w:val="none" w:sz="0" w:space="0" w:color="auto"/>
        <w:bottom w:val="none" w:sz="0" w:space="0" w:color="auto"/>
        <w:right w:val="none" w:sz="0" w:space="0" w:color="auto"/>
      </w:divBdr>
    </w:div>
    <w:div w:id="1050959585">
      <w:bodyDiv w:val="1"/>
      <w:marLeft w:val="0"/>
      <w:marRight w:val="0"/>
      <w:marTop w:val="0"/>
      <w:marBottom w:val="0"/>
      <w:divBdr>
        <w:top w:val="none" w:sz="0" w:space="0" w:color="auto"/>
        <w:left w:val="none" w:sz="0" w:space="0" w:color="auto"/>
        <w:bottom w:val="none" w:sz="0" w:space="0" w:color="auto"/>
        <w:right w:val="none" w:sz="0" w:space="0" w:color="auto"/>
      </w:divBdr>
    </w:div>
    <w:div w:id="1057164042">
      <w:bodyDiv w:val="1"/>
      <w:marLeft w:val="0"/>
      <w:marRight w:val="0"/>
      <w:marTop w:val="0"/>
      <w:marBottom w:val="0"/>
      <w:divBdr>
        <w:top w:val="none" w:sz="0" w:space="0" w:color="auto"/>
        <w:left w:val="none" w:sz="0" w:space="0" w:color="auto"/>
        <w:bottom w:val="none" w:sz="0" w:space="0" w:color="auto"/>
        <w:right w:val="none" w:sz="0" w:space="0" w:color="auto"/>
      </w:divBdr>
    </w:div>
    <w:div w:id="1058555590">
      <w:bodyDiv w:val="1"/>
      <w:marLeft w:val="0"/>
      <w:marRight w:val="0"/>
      <w:marTop w:val="0"/>
      <w:marBottom w:val="0"/>
      <w:divBdr>
        <w:top w:val="none" w:sz="0" w:space="0" w:color="auto"/>
        <w:left w:val="none" w:sz="0" w:space="0" w:color="auto"/>
        <w:bottom w:val="none" w:sz="0" w:space="0" w:color="auto"/>
        <w:right w:val="none" w:sz="0" w:space="0" w:color="auto"/>
      </w:divBdr>
    </w:div>
    <w:div w:id="1061713249">
      <w:bodyDiv w:val="1"/>
      <w:marLeft w:val="0"/>
      <w:marRight w:val="0"/>
      <w:marTop w:val="0"/>
      <w:marBottom w:val="0"/>
      <w:divBdr>
        <w:top w:val="none" w:sz="0" w:space="0" w:color="auto"/>
        <w:left w:val="none" w:sz="0" w:space="0" w:color="auto"/>
        <w:bottom w:val="none" w:sz="0" w:space="0" w:color="auto"/>
        <w:right w:val="none" w:sz="0" w:space="0" w:color="auto"/>
      </w:divBdr>
    </w:div>
    <w:div w:id="1061826581">
      <w:bodyDiv w:val="1"/>
      <w:marLeft w:val="0"/>
      <w:marRight w:val="0"/>
      <w:marTop w:val="0"/>
      <w:marBottom w:val="0"/>
      <w:divBdr>
        <w:top w:val="none" w:sz="0" w:space="0" w:color="auto"/>
        <w:left w:val="none" w:sz="0" w:space="0" w:color="auto"/>
        <w:bottom w:val="none" w:sz="0" w:space="0" w:color="auto"/>
        <w:right w:val="none" w:sz="0" w:space="0" w:color="auto"/>
      </w:divBdr>
    </w:div>
    <w:div w:id="1088968669">
      <w:bodyDiv w:val="1"/>
      <w:marLeft w:val="0"/>
      <w:marRight w:val="0"/>
      <w:marTop w:val="0"/>
      <w:marBottom w:val="0"/>
      <w:divBdr>
        <w:top w:val="none" w:sz="0" w:space="0" w:color="auto"/>
        <w:left w:val="none" w:sz="0" w:space="0" w:color="auto"/>
        <w:bottom w:val="none" w:sz="0" w:space="0" w:color="auto"/>
        <w:right w:val="none" w:sz="0" w:space="0" w:color="auto"/>
      </w:divBdr>
    </w:div>
    <w:div w:id="1093282145">
      <w:bodyDiv w:val="1"/>
      <w:marLeft w:val="0"/>
      <w:marRight w:val="0"/>
      <w:marTop w:val="0"/>
      <w:marBottom w:val="0"/>
      <w:divBdr>
        <w:top w:val="none" w:sz="0" w:space="0" w:color="auto"/>
        <w:left w:val="none" w:sz="0" w:space="0" w:color="auto"/>
        <w:bottom w:val="none" w:sz="0" w:space="0" w:color="auto"/>
        <w:right w:val="none" w:sz="0" w:space="0" w:color="auto"/>
      </w:divBdr>
    </w:div>
    <w:div w:id="1096025721">
      <w:bodyDiv w:val="1"/>
      <w:marLeft w:val="0"/>
      <w:marRight w:val="0"/>
      <w:marTop w:val="0"/>
      <w:marBottom w:val="0"/>
      <w:divBdr>
        <w:top w:val="none" w:sz="0" w:space="0" w:color="auto"/>
        <w:left w:val="none" w:sz="0" w:space="0" w:color="auto"/>
        <w:bottom w:val="none" w:sz="0" w:space="0" w:color="auto"/>
        <w:right w:val="none" w:sz="0" w:space="0" w:color="auto"/>
      </w:divBdr>
      <w:divsChild>
        <w:div w:id="699598188">
          <w:marLeft w:val="274"/>
          <w:marRight w:val="0"/>
          <w:marTop w:val="0"/>
          <w:marBottom w:val="60"/>
          <w:divBdr>
            <w:top w:val="none" w:sz="0" w:space="0" w:color="auto"/>
            <w:left w:val="none" w:sz="0" w:space="0" w:color="auto"/>
            <w:bottom w:val="none" w:sz="0" w:space="0" w:color="auto"/>
            <w:right w:val="none" w:sz="0" w:space="0" w:color="auto"/>
          </w:divBdr>
        </w:div>
        <w:div w:id="776563571">
          <w:marLeft w:val="274"/>
          <w:marRight w:val="0"/>
          <w:marTop w:val="0"/>
          <w:marBottom w:val="60"/>
          <w:divBdr>
            <w:top w:val="none" w:sz="0" w:space="0" w:color="auto"/>
            <w:left w:val="none" w:sz="0" w:space="0" w:color="auto"/>
            <w:bottom w:val="none" w:sz="0" w:space="0" w:color="auto"/>
            <w:right w:val="none" w:sz="0" w:space="0" w:color="auto"/>
          </w:divBdr>
        </w:div>
        <w:div w:id="806624538">
          <w:marLeft w:val="274"/>
          <w:marRight w:val="0"/>
          <w:marTop w:val="0"/>
          <w:marBottom w:val="60"/>
          <w:divBdr>
            <w:top w:val="none" w:sz="0" w:space="0" w:color="auto"/>
            <w:left w:val="none" w:sz="0" w:space="0" w:color="auto"/>
            <w:bottom w:val="none" w:sz="0" w:space="0" w:color="auto"/>
            <w:right w:val="none" w:sz="0" w:space="0" w:color="auto"/>
          </w:divBdr>
        </w:div>
        <w:div w:id="869957144">
          <w:marLeft w:val="274"/>
          <w:marRight w:val="0"/>
          <w:marTop w:val="0"/>
          <w:marBottom w:val="60"/>
          <w:divBdr>
            <w:top w:val="none" w:sz="0" w:space="0" w:color="auto"/>
            <w:left w:val="none" w:sz="0" w:space="0" w:color="auto"/>
            <w:bottom w:val="none" w:sz="0" w:space="0" w:color="auto"/>
            <w:right w:val="none" w:sz="0" w:space="0" w:color="auto"/>
          </w:divBdr>
        </w:div>
        <w:div w:id="875656825">
          <w:marLeft w:val="274"/>
          <w:marRight w:val="0"/>
          <w:marTop w:val="0"/>
          <w:marBottom w:val="60"/>
          <w:divBdr>
            <w:top w:val="none" w:sz="0" w:space="0" w:color="auto"/>
            <w:left w:val="none" w:sz="0" w:space="0" w:color="auto"/>
            <w:bottom w:val="none" w:sz="0" w:space="0" w:color="auto"/>
            <w:right w:val="none" w:sz="0" w:space="0" w:color="auto"/>
          </w:divBdr>
        </w:div>
        <w:div w:id="1044133968">
          <w:marLeft w:val="274"/>
          <w:marRight w:val="0"/>
          <w:marTop w:val="0"/>
          <w:marBottom w:val="60"/>
          <w:divBdr>
            <w:top w:val="none" w:sz="0" w:space="0" w:color="auto"/>
            <w:left w:val="none" w:sz="0" w:space="0" w:color="auto"/>
            <w:bottom w:val="none" w:sz="0" w:space="0" w:color="auto"/>
            <w:right w:val="none" w:sz="0" w:space="0" w:color="auto"/>
          </w:divBdr>
        </w:div>
        <w:div w:id="1050885376">
          <w:marLeft w:val="274"/>
          <w:marRight w:val="0"/>
          <w:marTop w:val="0"/>
          <w:marBottom w:val="60"/>
          <w:divBdr>
            <w:top w:val="none" w:sz="0" w:space="0" w:color="auto"/>
            <w:left w:val="none" w:sz="0" w:space="0" w:color="auto"/>
            <w:bottom w:val="none" w:sz="0" w:space="0" w:color="auto"/>
            <w:right w:val="none" w:sz="0" w:space="0" w:color="auto"/>
          </w:divBdr>
        </w:div>
        <w:div w:id="1349604128">
          <w:marLeft w:val="274"/>
          <w:marRight w:val="0"/>
          <w:marTop w:val="0"/>
          <w:marBottom w:val="60"/>
          <w:divBdr>
            <w:top w:val="none" w:sz="0" w:space="0" w:color="auto"/>
            <w:left w:val="none" w:sz="0" w:space="0" w:color="auto"/>
            <w:bottom w:val="none" w:sz="0" w:space="0" w:color="auto"/>
            <w:right w:val="none" w:sz="0" w:space="0" w:color="auto"/>
          </w:divBdr>
        </w:div>
        <w:div w:id="1391147962">
          <w:marLeft w:val="274"/>
          <w:marRight w:val="0"/>
          <w:marTop w:val="0"/>
          <w:marBottom w:val="60"/>
          <w:divBdr>
            <w:top w:val="none" w:sz="0" w:space="0" w:color="auto"/>
            <w:left w:val="none" w:sz="0" w:space="0" w:color="auto"/>
            <w:bottom w:val="none" w:sz="0" w:space="0" w:color="auto"/>
            <w:right w:val="none" w:sz="0" w:space="0" w:color="auto"/>
          </w:divBdr>
        </w:div>
        <w:div w:id="1651904908">
          <w:marLeft w:val="274"/>
          <w:marRight w:val="0"/>
          <w:marTop w:val="0"/>
          <w:marBottom w:val="60"/>
          <w:divBdr>
            <w:top w:val="none" w:sz="0" w:space="0" w:color="auto"/>
            <w:left w:val="none" w:sz="0" w:space="0" w:color="auto"/>
            <w:bottom w:val="none" w:sz="0" w:space="0" w:color="auto"/>
            <w:right w:val="none" w:sz="0" w:space="0" w:color="auto"/>
          </w:divBdr>
        </w:div>
        <w:div w:id="1847474471">
          <w:marLeft w:val="274"/>
          <w:marRight w:val="0"/>
          <w:marTop w:val="0"/>
          <w:marBottom w:val="60"/>
          <w:divBdr>
            <w:top w:val="none" w:sz="0" w:space="0" w:color="auto"/>
            <w:left w:val="none" w:sz="0" w:space="0" w:color="auto"/>
            <w:bottom w:val="none" w:sz="0" w:space="0" w:color="auto"/>
            <w:right w:val="none" w:sz="0" w:space="0" w:color="auto"/>
          </w:divBdr>
        </w:div>
        <w:div w:id="1928727545">
          <w:marLeft w:val="274"/>
          <w:marRight w:val="0"/>
          <w:marTop w:val="0"/>
          <w:marBottom w:val="60"/>
          <w:divBdr>
            <w:top w:val="none" w:sz="0" w:space="0" w:color="auto"/>
            <w:left w:val="none" w:sz="0" w:space="0" w:color="auto"/>
            <w:bottom w:val="none" w:sz="0" w:space="0" w:color="auto"/>
            <w:right w:val="none" w:sz="0" w:space="0" w:color="auto"/>
          </w:divBdr>
        </w:div>
      </w:divsChild>
    </w:div>
    <w:div w:id="1105033368">
      <w:bodyDiv w:val="1"/>
      <w:marLeft w:val="0"/>
      <w:marRight w:val="0"/>
      <w:marTop w:val="0"/>
      <w:marBottom w:val="0"/>
      <w:divBdr>
        <w:top w:val="none" w:sz="0" w:space="0" w:color="auto"/>
        <w:left w:val="none" w:sz="0" w:space="0" w:color="auto"/>
        <w:bottom w:val="none" w:sz="0" w:space="0" w:color="auto"/>
        <w:right w:val="none" w:sz="0" w:space="0" w:color="auto"/>
      </w:divBdr>
    </w:div>
    <w:div w:id="1113790202">
      <w:bodyDiv w:val="1"/>
      <w:marLeft w:val="0"/>
      <w:marRight w:val="0"/>
      <w:marTop w:val="0"/>
      <w:marBottom w:val="0"/>
      <w:divBdr>
        <w:top w:val="none" w:sz="0" w:space="0" w:color="auto"/>
        <w:left w:val="none" w:sz="0" w:space="0" w:color="auto"/>
        <w:bottom w:val="none" w:sz="0" w:space="0" w:color="auto"/>
        <w:right w:val="none" w:sz="0" w:space="0" w:color="auto"/>
      </w:divBdr>
    </w:div>
    <w:div w:id="1115245782">
      <w:bodyDiv w:val="1"/>
      <w:marLeft w:val="0"/>
      <w:marRight w:val="0"/>
      <w:marTop w:val="0"/>
      <w:marBottom w:val="0"/>
      <w:divBdr>
        <w:top w:val="none" w:sz="0" w:space="0" w:color="auto"/>
        <w:left w:val="none" w:sz="0" w:space="0" w:color="auto"/>
        <w:bottom w:val="none" w:sz="0" w:space="0" w:color="auto"/>
        <w:right w:val="none" w:sz="0" w:space="0" w:color="auto"/>
      </w:divBdr>
    </w:div>
    <w:div w:id="1126437247">
      <w:bodyDiv w:val="1"/>
      <w:marLeft w:val="0"/>
      <w:marRight w:val="0"/>
      <w:marTop w:val="0"/>
      <w:marBottom w:val="0"/>
      <w:divBdr>
        <w:top w:val="none" w:sz="0" w:space="0" w:color="auto"/>
        <w:left w:val="none" w:sz="0" w:space="0" w:color="auto"/>
        <w:bottom w:val="none" w:sz="0" w:space="0" w:color="auto"/>
        <w:right w:val="none" w:sz="0" w:space="0" w:color="auto"/>
      </w:divBdr>
    </w:div>
    <w:div w:id="1154371767">
      <w:bodyDiv w:val="1"/>
      <w:marLeft w:val="0"/>
      <w:marRight w:val="0"/>
      <w:marTop w:val="0"/>
      <w:marBottom w:val="0"/>
      <w:divBdr>
        <w:top w:val="none" w:sz="0" w:space="0" w:color="auto"/>
        <w:left w:val="none" w:sz="0" w:space="0" w:color="auto"/>
        <w:bottom w:val="none" w:sz="0" w:space="0" w:color="auto"/>
        <w:right w:val="none" w:sz="0" w:space="0" w:color="auto"/>
      </w:divBdr>
    </w:div>
    <w:div w:id="1160316540">
      <w:bodyDiv w:val="1"/>
      <w:marLeft w:val="0"/>
      <w:marRight w:val="0"/>
      <w:marTop w:val="0"/>
      <w:marBottom w:val="0"/>
      <w:divBdr>
        <w:top w:val="none" w:sz="0" w:space="0" w:color="auto"/>
        <w:left w:val="none" w:sz="0" w:space="0" w:color="auto"/>
        <w:bottom w:val="none" w:sz="0" w:space="0" w:color="auto"/>
        <w:right w:val="none" w:sz="0" w:space="0" w:color="auto"/>
      </w:divBdr>
    </w:div>
    <w:div w:id="1165583837">
      <w:bodyDiv w:val="1"/>
      <w:marLeft w:val="0"/>
      <w:marRight w:val="0"/>
      <w:marTop w:val="0"/>
      <w:marBottom w:val="0"/>
      <w:divBdr>
        <w:top w:val="none" w:sz="0" w:space="0" w:color="auto"/>
        <w:left w:val="none" w:sz="0" w:space="0" w:color="auto"/>
        <w:bottom w:val="none" w:sz="0" w:space="0" w:color="auto"/>
        <w:right w:val="none" w:sz="0" w:space="0" w:color="auto"/>
      </w:divBdr>
    </w:div>
    <w:div w:id="1190755195">
      <w:bodyDiv w:val="1"/>
      <w:marLeft w:val="0"/>
      <w:marRight w:val="0"/>
      <w:marTop w:val="0"/>
      <w:marBottom w:val="0"/>
      <w:divBdr>
        <w:top w:val="none" w:sz="0" w:space="0" w:color="auto"/>
        <w:left w:val="none" w:sz="0" w:space="0" w:color="auto"/>
        <w:bottom w:val="none" w:sz="0" w:space="0" w:color="auto"/>
        <w:right w:val="none" w:sz="0" w:space="0" w:color="auto"/>
      </w:divBdr>
      <w:divsChild>
        <w:div w:id="840005245">
          <w:marLeft w:val="576"/>
          <w:marRight w:val="0"/>
          <w:marTop w:val="0"/>
          <w:marBottom w:val="60"/>
          <w:divBdr>
            <w:top w:val="none" w:sz="0" w:space="0" w:color="auto"/>
            <w:left w:val="none" w:sz="0" w:space="0" w:color="auto"/>
            <w:bottom w:val="none" w:sz="0" w:space="0" w:color="auto"/>
            <w:right w:val="none" w:sz="0" w:space="0" w:color="auto"/>
          </w:divBdr>
        </w:div>
        <w:div w:id="989943415">
          <w:marLeft w:val="274"/>
          <w:marRight w:val="0"/>
          <w:marTop w:val="0"/>
          <w:marBottom w:val="60"/>
          <w:divBdr>
            <w:top w:val="none" w:sz="0" w:space="0" w:color="auto"/>
            <w:left w:val="none" w:sz="0" w:space="0" w:color="auto"/>
            <w:bottom w:val="none" w:sz="0" w:space="0" w:color="auto"/>
            <w:right w:val="none" w:sz="0" w:space="0" w:color="auto"/>
          </w:divBdr>
        </w:div>
        <w:div w:id="1210606894">
          <w:marLeft w:val="576"/>
          <w:marRight w:val="0"/>
          <w:marTop w:val="0"/>
          <w:marBottom w:val="60"/>
          <w:divBdr>
            <w:top w:val="none" w:sz="0" w:space="0" w:color="auto"/>
            <w:left w:val="none" w:sz="0" w:space="0" w:color="auto"/>
            <w:bottom w:val="none" w:sz="0" w:space="0" w:color="auto"/>
            <w:right w:val="none" w:sz="0" w:space="0" w:color="auto"/>
          </w:divBdr>
        </w:div>
        <w:div w:id="1883445800">
          <w:marLeft w:val="576"/>
          <w:marRight w:val="0"/>
          <w:marTop w:val="0"/>
          <w:marBottom w:val="60"/>
          <w:divBdr>
            <w:top w:val="none" w:sz="0" w:space="0" w:color="auto"/>
            <w:left w:val="none" w:sz="0" w:space="0" w:color="auto"/>
            <w:bottom w:val="none" w:sz="0" w:space="0" w:color="auto"/>
            <w:right w:val="none" w:sz="0" w:space="0" w:color="auto"/>
          </w:divBdr>
        </w:div>
      </w:divsChild>
    </w:div>
    <w:div w:id="1206213829">
      <w:bodyDiv w:val="1"/>
      <w:marLeft w:val="0"/>
      <w:marRight w:val="0"/>
      <w:marTop w:val="0"/>
      <w:marBottom w:val="0"/>
      <w:divBdr>
        <w:top w:val="none" w:sz="0" w:space="0" w:color="auto"/>
        <w:left w:val="none" w:sz="0" w:space="0" w:color="auto"/>
        <w:bottom w:val="none" w:sz="0" w:space="0" w:color="auto"/>
        <w:right w:val="none" w:sz="0" w:space="0" w:color="auto"/>
      </w:divBdr>
    </w:div>
    <w:div w:id="1211190548">
      <w:bodyDiv w:val="1"/>
      <w:marLeft w:val="0"/>
      <w:marRight w:val="0"/>
      <w:marTop w:val="0"/>
      <w:marBottom w:val="0"/>
      <w:divBdr>
        <w:top w:val="none" w:sz="0" w:space="0" w:color="auto"/>
        <w:left w:val="none" w:sz="0" w:space="0" w:color="auto"/>
        <w:bottom w:val="none" w:sz="0" w:space="0" w:color="auto"/>
        <w:right w:val="none" w:sz="0" w:space="0" w:color="auto"/>
      </w:divBdr>
    </w:div>
    <w:div w:id="1262109647">
      <w:bodyDiv w:val="1"/>
      <w:marLeft w:val="0"/>
      <w:marRight w:val="0"/>
      <w:marTop w:val="0"/>
      <w:marBottom w:val="0"/>
      <w:divBdr>
        <w:top w:val="none" w:sz="0" w:space="0" w:color="auto"/>
        <w:left w:val="none" w:sz="0" w:space="0" w:color="auto"/>
        <w:bottom w:val="none" w:sz="0" w:space="0" w:color="auto"/>
        <w:right w:val="none" w:sz="0" w:space="0" w:color="auto"/>
      </w:divBdr>
    </w:div>
    <w:div w:id="1263565748">
      <w:bodyDiv w:val="1"/>
      <w:marLeft w:val="0"/>
      <w:marRight w:val="0"/>
      <w:marTop w:val="0"/>
      <w:marBottom w:val="0"/>
      <w:divBdr>
        <w:top w:val="none" w:sz="0" w:space="0" w:color="auto"/>
        <w:left w:val="none" w:sz="0" w:space="0" w:color="auto"/>
        <w:bottom w:val="none" w:sz="0" w:space="0" w:color="auto"/>
        <w:right w:val="none" w:sz="0" w:space="0" w:color="auto"/>
      </w:divBdr>
    </w:div>
    <w:div w:id="1286734616">
      <w:bodyDiv w:val="1"/>
      <w:marLeft w:val="0"/>
      <w:marRight w:val="0"/>
      <w:marTop w:val="0"/>
      <w:marBottom w:val="0"/>
      <w:divBdr>
        <w:top w:val="none" w:sz="0" w:space="0" w:color="auto"/>
        <w:left w:val="none" w:sz="0" w:space="0" w:color="auto"/>
        <w:bottom w:val="none" w:sz="0" w:space="0" w:color="auto"/>
        <w:right w:val="none" w:sz="0" w:space="0" w:color="auto"/>
      </w:divBdr>
      <w:divsChild>
        <w:div w:id="223836784">
          <w:marLeft w:val="274"/>
          <w:marRight w:val="0"/>
          <w:marTop w:val="0"/>
          <w:marBottom w:val="0"/>
          <w:divBdr>
            <w:top w:val="none" w:sz="0" w:space="0" w:color="auto"/>
            <w:left w:val="none" w:sz="0" w:space="0" w:color="auto"/>
            <w:bottom w:val="none" w:sz="0" w:space="0" w:color="auto"/>
            <w:right w:val="none" w:sz="0" w:space="0" w:color="auto"/>
          </w:divBdr>
        </w:div>
        <w:div w:id="275722550">
          <w:marLeft w:val="274"/>
          <w:marRight w:val="0"/>
          <w:marTop w:val="0"/>
          <w:marBottom w:val="0"/>
          <w:divBdr>
            <w:top w:val="none" w:sz="0" w:space="0" w:color="auto"/>
            <w:left w:val="none" w:sz="0" w:space="0" w:color="auto"/>
            <w:bottom w:val="none" w:sz="0" w:space="0" w:color="auto"/>
            <w:right w:val="none" w:sz="0" w:space="0" w:color="auto"/>
          </w:divBdr>
        </w:div>
        <w:div w:id="771899433">
          <w:marLeft w:val="274"/>
          <w:marRight w:val="0"/>
          <w:marTop w:val="0"/>
          <w:marBottom w:val="0"/>
          <w:divBdr>
            <w:top w:val="none" w:sz="0" w:space="0" w:color="auto"/>
            <w:left w:val="none" w:sz="0" w:space="0" w:color="auto"/>
            <w:bottom w:val="none" w:sz="0" w:space="0" w:color="auto"/>
            <w:right w:val="none" w:sz="0" w:space="0" w:color="auto"/>
          </w:divBdr>
        </w:div>
        <w:div w:id="872377492">
          <w:marLeft w:val="274"/>
          <w:marRight w:val="0"/>
          <w:marTop w:val="0"/>
          <w:marBottom w:val="0"/>
          <w:divBdr>
            <w:top w:val="none" w:sz="0" w:space="0" w:color="auto"/>
            <w:left w:val="none" w:sz="0" w:space="0" w:color="auto"/>
            <w:bottom w:val="none" w:sz="0" w:space="0" w:color="auto"/>
            <w:right w:val="none" w:sz="0" w:space="0" w:color="auto"/>
          </w:divBdr>
        </w:div>
        <w:div w:id="929048469">
          <w:marLeft w:val="274"/>
          <w:marRight w:val="0"/>
          <w:marTop w:val="0"/>
          <w:marBottom w:val="0"/>
          <w:divBdr>
            <w:top w:val="none" w:sz="0" w:space="0" w:color="auto"/>
            <w:left w:val="none" w:sz="0" w:space="0" w:color="auto"/>
            <w:bottom w:val="none" w:sz="0" w:space="0" w:color="auto"/>
            <w:right w:val="none" w:sz="0" w:space="0" w:color="auto"/>
          </w:divBdr>
        </w:div>
        <w:div w:id="1026521317">
          <w:marLeft w:val="274"/>
          <w:marRight w:val="0"/>
          <w:marTop w:val="0"/>
          <w:marBottom w:val="0"/>
          <w:divBdr>
            <w:top w:val="none" w:sz="0" w:space="0" w:color="auto"/>
            <w:left w:val="none" w:sz="0" w:space="0" w:color="auto"/>
            <w:bottom w:val="none" w:sz="0" w:space="0" w:color="auto"/>
            <w:right w:val="none" w:sz="0" w:space="0" w:color="auto"/>
          </w:divBdr>
        </w:div>
        <w:div w:id="1165248246">
          <w:marLeft w:val="274"/>
          <w:marRight w:val="0"/>
          <w:marTop w:val="0"/>
          <w:marBottom w:val="0"/>
          <w:divBdr>
            <w:top w:val="none" w:sz="0" w:space="0" w:color="auto"/>
            <w:left w:val="none" w:sz="0" w:space="0" w:color="auto"/>
            <w:bottom w:val="none" w:sz="0" w:space="0" w:color="auto"/>
            <w:right w:val="none" w:sz="0" w:space="0" w:color="auto"/>
          </w:divBdr>
        </w:div>
        <w:div w:id="1235513261">
          <w:marLeft w:val="274"/>
          <w:marRight w:val="0"/>
          <w:marTop w:val="0"/>
          <w:marBottom w:val="0"/>
          <w:divBdr>
            <w:top w:val="none" w:sz="0" w:space="0" w:color="auto"/>
            <w:left w:val="none" w:sz="0" w:space="0" w:color="auto"/>
            <w:bottom w:val="none" w:sz="0" w:space="0" w:color="auto"/>
            <w:right w:val="none" w:sz="0" w:space="0" w:color="auto"/>
          </w:divBdr>
        </w:div>
        <w:div w:id="1249801980">
          <w:marLeft w:val="274"/>
          <w:marRight w:val="0"/>
          <w:marTop w:val="0"/>
          <w:marBottom w:val="0"/>
          <w:divBdr>
            <w:top w:val="none" w:sz="0" w:space="0" w:color="auto"/>
            <w:left w:val="none" w:sz="0" w:space="0" w:color="auto"/>
            <w:bottom w:val="none" w:sz="0" w:space="0" w:color="auto"/>
            <w:right w:val="none" w:sz="0" w:space="0" w:color="auto"/>
          </w:divBdr>
        </w:div>
        <w:div w:id="1368870699">
          <w:marLeft w:val="274"/>
          <w:marRight w:val="0"/>
          <w:marTop w:val="0"/>
          <w:marBottom w:val="0"/>
          <w:divBdr>
            <w:top w:val="none" w:sz="0" w:space="0" w:color="auto"/>
            <w:left w:val="none" w:sz="0" w:space="0" w:color="auto"/>
            <w:bottom w:val="none" w:sz="0" w:space="0" w:color="auto"/>
            <w:right w:val="none" w:sz="0" w:space="0" w:color="auto"/>
          </w:divBdr>
        </w:div>
        <w:div w:id="1434862402">
          <w:marLeft w:val="274"/>
          <w:marRight w:val="0"/>
          <w:marTop w:val="0"/>
          <w:marBottom w:val="0"/>
          <w:divBdr>
            <w:top w:val="none" w:sz="0" w:space="0" w:color="auto"/>
            <w:left w:val="none" w:sz="0" w:space="0" w:color="auto"/>
            <w:bottom w:val="none" w:sz="0" w:space="0" w:color="auto"/>
            <w:right w:val="none" w:sz="0" w:space="0" w:color="auto"/>
          </w:divBdr>
        </w:div>
        <w:div w:id="1569874807">
          <w:marLeft w:val="274"/>
          <w:marRight w:val="0"/>
          <w:marTop w:val="0"/>
          <w:marBottom w:val="0"/>
          <w:divBdr>
            <w:top w:val="none" w:sz="0" w:space="0" w:color="auto"/>
            <w:left w:val="none" w:sz="0" w:space="0" w:color="auto"/>
            <w:bottom w:val="none" w:sz="0" w:space="0" w:color="auto"/>
            <w:right w:val="none" w:sz="0" w:space="0" w:color="auto"/>
          </w:divBdr>
        </w:div>
      </w:divsChild>
    </w:div>
    <w:div w:id="1299187185">
      <w:bodyDiv w:val="1"/>
      <w:marLeft w:val="0"/>
      <w:marRight w:val="0"/>
      <w:marTop w:val="0"/>
      <w:marBottom w:val="0"/>
      <w:divBdr>
        <w:top w:val="none" w:sz="0" w:space="0" w:color="auto"/>
        <w:left w:val="none" w:sz="0" w:space="0" w:color="auto"/>
        <w:bottom w:val="none" w:sz="0" w:space="0" w:color="auto"/>
        <w:right w:val="none" w:sz="0" w:space="0" w:color="auto"/>
      </w:divBdr>
    </w:div>
    <w:div w:id="1300962420">
      <w:bodyDiv w:val="1"/>
      <w:marLeft w:val="0"/>
      <w:marRight w:val="0"/>
      <w:marTop w:val="0"/>
      <w:marBottom w:val="0"/>
      <w:divBdr>
        <w:top w:val="none" w:sz="0" w:space="0" w:color="auto"/>
        <w:left w:val="none" w:sz="0" w:space="0" w:color="auto"/>
        <w:bottom w:val="none" w:sz="0" w:space="0" w:color="auto"/>
        <w:right w:val="none" w:sz="0" w:space="0" w:color="auto"/>
      </w:divBdr>
    </w:div>
    <w:div w:id="1303387753">
      <w:bodyDiv w:val="1"/>
      <w:marLeft w:val="0"/>
      <w:marRight w:val="0"/>
      <w:marTop w:val="0"/>
      <w:marBottom w:val="0"/>
      <w:divBdr>
        <w:top w:val="none" w:sz="0" w:space="0" w:color="auto"/>
        <w:left w:val="none" w:sz="0" w:space="0" w:color="auto"/>
        <w:bottom w:val="none" w:sz="0" w:space="0" w:color="auto"/>
        <w:right w:val="none" w:sz="0" w:space="0" w:color="auto"/>
      </w:divBdr>
    </w:div>
    <w:div w:id="1315795899">
      <w:bodyDiv w:val="1"/>
      <w:marLeft w:val="0"/>
      <w:marRight w:val="0"/>
      <w:marTop w:val="0"/>
      <w:marBottom w:val="0"/>
      <w:divBdr>
        <w:top w:val="none" w:sz="0" w:space="0" w:color="auto"/>
        <w:left w:val="none" w:sz="0" w:space="0" w:color="auto"/>
        <w:bottom w:val="none" w:sz="0" w:space="0" w:color="auto"/>
        <w:right w:val="none" w:sz="0" w:space="0" w:color="auto"/>
      </w:divBdr>
    </w:div>
    <w:div w:id="1327588546">
      <w:bodyDiv w:val="1"/>
      <w:marLeft w:val="0"/>
      <w:marRight w:val="0"/>
      <w:marTop w:val="0"/>
      <w:marBottom w:val="0"/>
      <w:divBdr>
        <w:top w:val="none" w:sz="0" w:space="0" w:color="auto"/>
        <w:left w:val="none" w:sz="0" w:space="0" w:color="auto"/>
        <w:bottom w:val="none" w:sz="0" w:space="0" w:color="auto"/>
        <w:right w:val="none" w:sz="0" w:space="0" w:color="auto"/>
      </w:divBdr>
    </w:div>
    <w:div w:id="1337344737">
      <w:bodyDiv w:val="1"/>
      <w:marLeft w:val="0"/>
      <w:marRight w:val="0"/>
      <w:marTop w:val="0"/>
      <w:marBottom w:val="0"/>
      <w:divBdr>
        <w:top w:val="none" w:sz="0" w:space="0" w:color="auto"/>
        <w:left w:val="none" w:sz="0" w:space="0" w:color="auto"/>
        <w:bottom w:val="none" w:sz="0" w:space="0" w:color="auto"/>
        <w:right w:val="none" w:sz="0" w:space="0" w:color="auto"/>
      </w:divBdr>
    </w:div>
    <w:div w:id="1357654349">
      <w:bodyDiv w:val="1"/>
      <w:marLeft w:val="0"/>
      <w:marRight w:val="0"/>
      <w:marTop w:val="0"/>
      <w:marBottom w:val="0"/>
      <w:divBdr>
        <w:top w:val="none" w:sz="0" w:space="0" w:color="auto"/>
        <w:left w:val="none" w:sz="0" w:space="0" w:color="auto"/>
        <w:bottom w:val="none" w:sz="0" w:space="0" w:color="auto"/>
        <w:right w:val="none" w:sz="0" w:space="0" w:color="auto"/>
      </w:divBdr>
    </w:div>
    <w:div w:id="1371418452">
      <w:bodyDiv w:val="1"/>
      <w:marLeft w:val="0"/>
      <w:marRight w:val="0"/>
      <w:marTop w:val="0"/>
      <w:marBottom w:val="0"/>
      <w:divBdr>
        <w:top w:val="none" w:sz="0" w:space="0" w:color="auto"/>
        <w:left w:val="none" w:sz="0" w:space="0" w:color="auto"/>
        <w:bottom w:val="none" w:sz="0" w:space="0" w:color="auto"/>
        <w:right w:val="none" w:sz="0" w:space="0" w:color="auto"/>
      </w:divBdr>
    </w:div>
    <w:div w:id="1379739617">
      <w:bodyDiv w:val="1"/>
      <w:marLeft w:val="0"/>
      <w:marRight w:val="0"/>
      <w:marTop w:val="0"/>
      <w:marBottom w:val="0"/>
      <w:divBdr>
        <w:top w:val="none" w:sz="0" w:space="0" w:color="auto"/>
        <w:left w:val="none" w:sz="0" w:space="0" w:color="auto"/>
        <w:bottom w:val="none" w:sz="0" w:space="0" w:color="auto"/>
        <w:right w:val="none" w:sz="0" w:space="0" w:color="auto"/>
      </w:divBdr>
    </w:div>
    <w:div w:id="1393700164">
      <w:bodyDiv w:val="1"/>
      <w:marLeft w:val="0"/>
      <w:marRight w:val="0"/>
      <w:marTop w:val="0"/>
      <w:marBottom w:val="0"/>
      <w:divBdr>
        <w:top w:val="none" w:sz="0" w:space="0" w:color="auto"/>
        <w:left w:val="none" w:sz="0" w:space="0" w:color="auto"/>
        <w:bottom w:val="none" w:sz="0" w:space="0" w:color="auto"/>
        <w:right w:val="none" w:sz="0" w:space="0" w:color="auto"/>
      </w:divBdr>
    </w:div>
    <w:div w:id="1395739225">
      <w:bodyDiv w:val="1"/>
      <w:marLeft w:val="0"/>
      <w:marRight w:val="0"/>
      <w:marTop w:val="0"/>
      <w:marBottom w:val="0"/>
      <w:divBdr>
        <w:top w:val="none" w:sz="0" w:space="0" w:color="auto"/>
        <w:left w:val="none" w:sz="0" w:space="0" w:color="auto"/>
        <w:bottom w:val="none" w:sz="0" w:space="0" w:color="auto"/>
        <w:right w:val="none" w:sz="0" w:space="0" w:color="auto"/>
      </w:divBdr>
    </w:div>
    <w:div w:id="1429883521">
      <w:bodyDiv w:val="1"/>
      <w:marLeft w:val="0"/>
      <w:marRight w:val="0"/>
      <w:marTop w:val="0"/>
      <w:marBottom w:val="0"/>
      <w:divBdr>
        <w:top w:val="none" w:sz="0" w:space="0" w:color="auto"/>
        <w:left w:val="none" w:sz="0" w:space="0" w:color="auto"/>
        <w:bottom w:val="none" w:sz="0" w:space="0" w:color="auto"/>
        <w:right w:val="none" w:sz="0" w:space="0" w:color="auto"/>
      </w:divBdr>
    </w:div>
    <w:div w:id="1432892262">
      <w:bodyDiv w:val="1"/>
      <w:marLeft w:val="0"/>
      <w:marRight w:val="0"/>
      <w:marTop w:val="0"/>
      <w:marBottom w:val="0"/>
      <w:divBdr>
        <w:top w:val="none" w:sz="0" w:space="0" w:color="auto"/>
        <w:left w:val="none" w:sz="0" w:space="0" w:color="auto"/>
        <w:bottom w:val="none" w:sz="0" w:space="0" w:color="auto"/>
        <w:right w:val="none" w:sz="0" w:space="0" w:color="auto"/>
      </w:divBdr>
    </w:div>
    <w:div w:id="1445733229">
      <w:bodyDiv w:val="1"/>
      <w:marLeft w:val="0"/>
      <w:marRight w:val="0"/>
      <w:marTop w:val="0"/>
      <w:marBottom w:val="0"/>
      <w:divBdr>
        <w:top w:val="none" w:sz="0" w:space="0" w:color="auto"/>
        <w:left w:val="none" w:sz="0" w:space="0" w:color="auto"/>
        <w:bottom w:val="none" w:sz="0" w:space="0" w:color="auto"/>
        <w:right w:val="none" w:sz="0" w:space="0" w:color="auto"/>
      </w:divBdr>
    </w:div>
    <w:div w:id="1488589974">
      <w:bodyDiv w:val="1"/>
      <w:marLeft w:val="0"/>
      <w:marRight w:val="0"/>
      <w:marTop w:val="0"/>
      <w:marBottom w:val="0"/>
      <w:divBdr>
        <w:top w:val="none" w:sz="0" w:space="0" w:color="auto"/>
        <w:left w:val="none" w:sz="0" w:space="0" w:color="auto"/>
        <w:bottom w:val="none" w:sz="0" w:space="0" w:color="auto"/>
        <w:right w:val="none" w:sz="0" w:space="0" w:color="auto"/>
      </w:divBdr>
    </w:div>
    <w:div w:id="1490364134">
      <w:bodyDiv w:val="1"/>
      <w:marLeft w:val="0"/>
      <w:marRight w:val="0"/>
      <w:marTop w:val="0"/>
      <w:marBottom w:val="0"/>
      <w:divBdr>
        <w:top w:val="none" w:sz="0" w:space="0" w:color="auto"/>
        <w:left w:val="none" w:sz="0" w:space="0" w:color="auto"/>
        <w:bottom w:val="none" w:sz="0" w:space="0" w:color="auto"/>
        <w:right w:val="none" w:sz="0" w:space="0" w:color="auto"/>
      </w:divBdr>
    </w:div>
    <w:div w:id="1492062466">
      <w:bodyDiv w:val="1"/>
      <w:marLeft w:val="0"/>
      <w:marRight w:val="0"/>
      <w:marTop w:val="0"/>
      <w:marBottom w:val="0"/>
      <w:divBdr>
        <w:top w:val="none" w:sz="0" w:space="0" w:color="auto"/>
        <w:left w:val="none" w:sz="0" w:space="0" w:color="auto"/>
        <w:bottom w:val="none" w:sz="0" w:space="0" w:color="auto"/>
        <w:right w:val="none" w:sz="0" w:space="0" w:color="auto"/>
      </w:divBdr>
    </w:div>
    <w:div w:id="1493058141">
      <w:bodyDiv w:val="1"/>
      <w:marLeft w:val="0"/>
      <w:marRight w:val="0"/>
      <w:marTop w:val="0"/>
      <w:marBottom w:val="0"/>
      <w:divBdr>
        <w:top w:val="none" w:sz="0" w:space="0" w:color="auto"/>
        <w:left w:val="none" w:sz="0" w:space="0" w:color="auto"/>
        <w:bottom w:val="none" w:sz="0" w:space="0" w:color="auto"/>
        <w:right w:val="none" w:sz="0" w:space="0" w:color="auto"/>
      </w:divBdr>
    </w:div>
    <w:div w:id="1508210904">
      <w:bodyDiv w:val="1"/>
      <w:marLeft w:val="0"/>
      <w:marRight w:val="0"/>
      <w:marTop w:val="0"/>
      <w:marBottom w:val="0"/>
      <w:divBdr>
        <w:top w:val="none" w:sz="0" w:space="0" w:color="auto"/>
        <w:left w:val="none" w:sz="0" w:space="0" w:color="auto"/>
        <w:bottom w:val="none" w:sz="0" w:space="0" w:color="auto"/>
        <w:right w:val="none" w:sz="0" w:space="0" w:color="auto"/>
      </w:divBdr>
    </w:div>
    <w:div w:id="1512069002">
      <w:bodyDiv w:val="1"/>
      <w:marLeft w:val="0"/>
      <w:marRight w:val="0"/>
      <w:marTop w:val="0"/>
      <w:marBottom w:val="0"/>
      <w:divBdr>
        <w:top w:val="none" w:sz="0" w:space="0" w:color="auto"/>
        <w:left w:val="none" w:sz="0" w:space="0" w:color="auto"/>
        <w:bottom w:val="none" w:sz="0" w:space="0" w:color="auto"/>
        <w:right w:val="none" w:sz="0" w:space="0" w:color="auto"/>
      </w:divBdr>
      <w:divsChild>
        <w:div w:id="505827204">
          <w:marLeft w:val="806"/>
          <w:marRight w:val="0"/>
          <w:marTop w:val="0"/>
          <w:marBottom w:val="60"/>
          <w:divBdr>
            <w:top w:val="none" w:sz="0" w:space="0" w:color="auto"/>
            <w:left w:val="none" w:sz="0" w:space="0" w:color="auto"/>
            <w:bottom w:val="none" w:sz="0" w:space="0" w:color="auto"/>
            <w:right w:val="none" w:sz="0" w:space="0" w:color="auto"/>
          </w:divBdr>
        </w:div>
        <w:div w:id="804665085">
          <w:marLeft w:val="806"/>
          <w:marRight w:val="0"/>
          <w:marTop w:val="0"/>
          <w:marBottom w:val="60"/>
          <w:divBdr>
            <w:top w:val="none" w:sz="0" w:space="0" w:color="auto"/>
            <w:left w:val="none" w:sz="0" w:space="0" w:color="auto"/>
            <w:bottom w:val="none" w:sz="0" w:space="0" w:color="auto"/>
            <w:right w:val="none" w:sz="0" w:space="0" w:color="auto"/>
          </w:divBdr>
        </w:div>
        <w:div w:id="1117525089">
          <w:marLeft w:val="806"/>
          <w:marRight w:val="0"/>
          <w:marTop w:val="0"/>
          <w:marBottom w:val="60"/>
          <w:divBdr>
            <w:top w:val="none" w:sz="0" w:space="0" w:color="auto"/>
            <w:left w:val="none" w:sz="0" w:space="0" w:color="auto"/>
            <w:bottom w:val="none" w:sz="0" w:space="0" w:color="auto"/>
            <w:right w:val="none" w:sz="0" w:space="0" w:color="auto"/>
          </w:divBdr>
        </w:div>
        <w:div w:id="1971936567">
          <w:marLeft w:val="274"/>
          <w:marRight w:val="0"/>
          <w:marTop w:val="0"/>
          <w:marBottom w:val="60"/>
          <w:divBdr>
            <w:top w:val="none" w:sz="0" w:space="0" w:color="auto"/>
            <w:left w:val="none" w:sz="0" w:space="0" w:color="auto"/>
            <w:bottom w:val="none" w:sz="0" w:space="0" w:color="auto"/>
            <w:right w:val="none" w:sz="0" w:space="0" w:color="auto"/>
          </w:divBdr>
        </w:div>
      </w:divsChild>
    </w:div>
    <w:div w:id="1514757889">
      <w:bodyDiv w:val="1"/>
      <w:marLeft w:val="0"/>
      <w:marRight w:val="0"/>
      <w:marTop w:val="0"/>
      <w:marBottom w:val="0"/>
      <w:divBdr>
        <w:top w:val="none" w:sz="0" w:space="0" w:color="auto"/>
        <w:left w:val="none" w:sz="0" w:space="0" w:color="auto"/>
        <w:bottom w:val="none" w:sz="0" w:space="0" w:color="auto"/>
        <w:right w:val="none" w:sz="0" w:space="0" w:color="auto"/>
      </w:divBdr>
    </w:div>
    <w:div w:id="1520894366">
      <w:bodyDiv w:val="1"/>
      <w:marLeft w:val="0"/>
      <w:marRight w:val="0"/>
      <w:marTop w:val="0"/>
      <w:marBottom w:val="0"/>
      <w:divBdr>
        <w:top w:val="none" w:sz="0" w:space="0" w:color="auto"/>
        <w:left w:val="none" w:sz="0" w:space="0" w:color="auto"/>
        <w:bottom w:val="none" w:sz="0" w:space="0" w:color="auto"/>
        <w:right w:val="none" w:sz="0" w:space="0" w:color="auto"/>
      </w:divBdr>
      <w:divsChild>
        <w:div w:id="402721818">
          <w:marLeft w:val="274"/>
          <w:marRight w:val="0"/>
          <w:marTop w:val="0"/>
          <w:marBottom w:val="60"/>
          <w:divBdr>
            <w:top w:val="none" w:sz="0" w:space="0" w:color="auto"/>
            <w:left w:val="none" w:sz="0" w:space="0" w:color="auto"/>
            <w:bottom w:val="none" w:sz="0" w:space="0" w:color="auto"/>
            <w:right w:val="none" w:sz="0" w:space="0" w:color="auto"/>
          </w:divBdr>
        </w:div>
        <w:div w:id="1067147253">
          <w:marLeft w:val="274"/>
          <w:marRight w:val="0"/>
          <w:marTop w:val="0"/>
          <w:marBottom w:val="60"/>
          <w:divBdr>
            <w:top w:val="none" w:sz="0" w:space="0" w:color="auto"/>
            <w:left w:val="none" w:sz="0" w:space="0" w:color="auto"/>
            <w:bottom w:val="none" w:sz="0" w:space="0" w:color="auto"/>
            <w:right w:val="none" w:sz="0" w:space="0" w:color="auto"/>
          </w:divBdr>
        </w:div>
      </w:divsChild>
    </w:div>
    <w:div w:id="1568690087">
      <w:bodyDiv w:val="1"/>
      <w:marLeft w:val="0"/>
      <w:marRight w:val="0"/>
      <w:marTop w:val="0"/>
      <w:marBottom w:val="0"/>
      <w:divBdr>
        <w:top w:val="none" w:sz="0" w:space="0" w:color="auto"/>
        <w:left w:val="none" w:sz="0" w:space="0" w:color="auto"/>
        <w:bottom w:val="none" w:sz="0" w:space="0" w:color="auto"/>
        <w:right w:val="none" w:sz="0" w:space="0" w:color="auto"/>
      </w:divBdr>
    </w:div>
    <w:div w:id="1570385780">
      <w:bodyDiv w:val="1"/>
      <w:marLeft w:val="0"/>
      <w:marRight w:val="0"/>
      <w:marTop w:val="0"/>
      <w:marBottom w:val="0"/>
      <w:divBdr>
        <w:top w:val="none" w:sz="0" w:space="0" w:color="auto"/>
        <w:left w:val="none" w:sz="0" w:space="0" w:color="auto"/>
        <w:bottom w:val="none" w:sz="0" w:space="0" w:color="auto"/>
        <w:right w:val="none" w:sz="0" w:space="0" w:color="auto"/>
      </w:divBdr>
    </w:div>
    <w:div w:id="1591112416">
      <w:bodyDiv w:val="1"/>
      <w:marLeft w:val="0"/>
      <w:marRight w:val="0"/>
      <w:marTop w:val="0"/>
      <w:marBottom w:val="0"/>
      <w:divBdr>
        <w:top w:val="none" w:sz="0" w:space="0" w:color="auto"/>
        <w:left w:val="none" w:sz="0" w:space="0" w:color="auto"/>
        <w:bottom w:val="none" w:sz="0" w:space="0" w:color="auto"/>
        <w:right w:val="none" w:sz="0" w:space="0" w:color="auto"/>
      </w:divBdr>
    </w:div>
    <w:div w:id="1606385117">
      <w:bodyDiv w:val="1"/>
      <w:marLeft w:val="0"/>
      <w:marRight w:val="0"/>
      <w:marTop w:val="0"/>
      <w:marBottom w:val="0"/>
      <w:divBdr>
        <w:top w:val="none" w:sz="0" w:space="0" w:color="auto"/>
        <w:left w:val="none" w:sz="0" w:space="0" w:color="auto"/>
        <w:bottom w:val="none" w:sz="0" w:space="0" w:color="auto"/>
        <w:right w:val="none" w:sz="0" w:space="0" w:color="auto"/>
      </w:divBdr>
      <w:divsChild>
        <w:div w:id="60296195">
          <w:marLeft w:val="274"/>
          <w:marRight w:val="0"/>
          <w:marTop w:val="0"/>
          <w:marBottom w:val="0"/>
          <w:divBdr>
            <w:top w:val="none" w:sz="0" w:space="0" w:color="auto"/>
            <w:left w:val="none" w:sz="0" w:space="0" w:color="auto"/>
            <w:bottom w:val="none" w:sz="0" w:space="0" w:color="auto"/>
            <w:right w:val="none" w:sz="0" w:space="0" w:color="auto"/>
          </w:divBdr>
        </w:div>
        <w:div w:id="61174564">
          <w:marLeft w:val="274"/>
          <w:marRight w:val="0"/>
          <w:marTop w:val="0"/>
          <w:marBottom w:val="0"/>
          <w:divBdr>
            <w:top w:val="none" w:sz="0" w:space="0" w:color="auto"/>
            <w:left w:val="none" w:sz="0" w:space="0" w:color="auto"/>
            <w:bottom w:val="none" w:sz="0" w:space="0" w:color="auto"/>
            <w:right w:val="none" w:sz="0" w:space="0" w:color="auto"/>
          </w:divBdr>
        </w:div>
        <w:div w:id="126708542">
          <w:marLeft w:val="274"/>
          <w:marRight w:val="0"/>
          <w:marTop w:val="0"/>
          <w:marBottom w:val="0"/>
          <w:divBdr>
            <w:top w:val="none" w:sz="0" w:space="0" w:color="auto"/>
            <w:left w:val="none" w:sz="0" w:space="0" w:color="auto"/>
            <w:bottom w:val="none" w:sz="0" w:space="0" w:color="auto"/>
            <w:right w:val="none" w:sz="0" w:space="0" w:color="auto"/>
          </w:divBdr>
        </w:div>
        <w:div w:id="128282829">
          <w:marLeft w:val="274"/>
          <w:marRight w:val="0"/>
          <w:marTop w:val="0"/>
          <w:marBottom w:val="0"/>
          <w:divBdr>
            <w:top w:val="none" w:sz="0" w:space="0" w:color="auto"/>
            <w:left w:val="none" w:sz="0" w:space="0" w:color="auto"/>
            <w:bottom w:val="none" w:sz="0" w:space="0" w:color="auto"/>
            <w:right w:val="none" w:sz="0" w:space="0" w:color="auto"/>
          </w:divBdr>
        </w:div>
        <w:div w:id="227695928">
          <w:marLeft w:val="274"/>
          <w:marRight w:val="0"/>
          <w:marTop w:val="0"/>
          <w:marBottom w:val="0"/>
          <w:divBdr>
            <w:top w:val="none" w:sz="0" w:space="0" w:color="auto"/>
            <w:left w:val="none" w:sz="0" w:space="0" w:color="auto"/>
            <w:bottom w:val="none" w:sz="0" w:space="0" w:color="auto"/>
            <w:right w:val="none" w:sz="0" w:space="0" w:color="auto"/>
          </w:divBdr>
        </w:div>
        <w:div w:id="329599552">
          <w:marLeft w:val="274"/>
          <w:marRight w:val="0"/>
          <w:marTop w:val="0"/>
          <w:marBottom w:val="0"/>
          <w:divBdr>
            <w:top w:val="none" w:sz="0" w:space="0" w:color="auto"/>
            <w:left w:val="none" w:sz="0" w:space="0" w:color="auto"/>
            <w:bottom w:val="none" w:sz="0" w:space="0" w:color="auto"/>
            <w:right w:val="none" w:sz="0" w:space="0" w:color="auto"/>
          </w:divBdr>
        </w:div>
        <w:div w:id="545261662">
          <w:marLeft w:val="274"/>
          <w:marRight w:val="0"/>
          <w:marTop w:val="0"/>
          <w:marBottom w:val="0"/>
          <w:divBdr>
            <w:top w:val="none" w:sz="0" w:space="0" w:color="auto"/>
            <w:left w:val="none" w:sz="0" w:space="0" w:color="auto"/>
            <w:bottom w:val="none" w:sz="0" w:space="0" w:color="auto"/>
            <w:right w:val="none" w:sz="0" w:space="0" w:color="auto"/>
          </w:divBdr>
        </w:div>
        <w:div w:id="802582152">
          <w:marLeft w:val="274"/>
          <w:marRight w:val="0"/>
          <w:marTop w:val="0"/>
          <w:marBottom w:val="0"/>
          <w:divBdr>
            <w:top w:val="none" w:sz="0" w:space="0" w:color="auto"/>
            <w:left w:val="none" w:sz="0" w:space="0" w:color="auto"/>
            <w:bottom w:val="none" w:sz="0" w:space="0" w:color="auto"/>
            <w:right w:val="none" w:sz="0" w:space="0" w:color="auto"/>
          </w:divBdr>
        </w:div>
        <w:div w:id="954294812">
          <w:marLeft w:val="274"/>
          <w:marRight w:val="0"/>
          <w:marTop w:val="0"/>
          <w:marBottom w:val="0"/>
          <w:divBdr>
            <w:top w:val="none" w:sz="0" w:space="0" w:color="auto"/>
            <w:left w:val="none" w:sz="0" w:space="0" w:color="auto"/>
            <w:bottom w:val="none" w:sz="0" w:space="0" w:color="auto"/>
            <w:right w:val="none" w:sz="0" w:space="0" w:color="auto"/>
          </w:divBdr>
        </w:div>
        <w:div w:id="969744869">
          <w:marLeft w:val="274"/>
          <w:marRight w:val="0"/>
          <w:marTop w:val="0"/>
          <w:marBottom w:val="0"/>
          <w:divBdr>
            <w:top w:val="none" w:sz="0" w:space="0" w:color="auto"/>
            <w:left w:val="none" w:sz="0" w:space="0" w:color="auto"/>
            <w:bottom w:val="none" w:sz="0" w:space="0" w:color="auto"/>
            <w:right w:val="none" w:sz="0" w:space="0" w:color="auto"/>
          </w:divBdr>
        </w:div>
        <w:div w:id="985664628">
          <w:marLeft w:val="274"/>
          <w:marRight w:val="0"/>
          <w:marTop w:val="0"/>
          <w:marBottom w:val="0"/>
          <w:divBdr>
            <w:top w:val="none" w:sz="0" w:space="0" w:color="auto"/>
            <w:left w:val="none" w:sz="0" w:space="0" w:color="auto"/>
            <w:bottom w:val="none" w:sz="0" w:space="0" w:color="auto"/>
            <w:right w:val="none" w:sz="0" w:space="0" w:color="auto"/>
          </w:divBdr>
        </w:div>
        <w:div w:id="1061561662">
          <w:marLeft w:val="274"/>
          <w:marRight w:val="0"/>
          <w:marTop w:val="0"/>
          <w:marBottom w:val="0"/>
          <w:divBdr>
            <w:top w:val="none" w:sz="0" w:space="0" w:color="auto"/>
            <w:left w:val="none" w:sz="0" w:space="0" w:color="auto"/>
            <w:bottom w:val="none" w:sz="0" w:space="0" w:color="auto"/>
            <w:right w:val="none" w:sz="0" w:space="0" w:color="auto"/>
          </w:divBdr>
        </w:div>
        <w:div w:id="1177384614">
          <w:marLeft w:val="274"/>
          <w:marRight w:val="0"/>
          <w:marTop w:val="0"/>
          <w:marBottom w:val="0"/>
          <w:divBdr>
            <w:top w:val="none" w:sz="0" w:space="0" w:color="auto"/>
            <w:left w:val="none" w:sz="0" w:space="0" w:color="auto"/>
            <w:bottom w:val="none" w:sz="0" w:space="0" w:color="auto"/>
            <w:right w:val="none" w:sz="0" w:space="0" w:color="auto"/>
          </w:divBdr>
        </w:div>
        <w:div w:id="1549141870">
          <w:marLeft w:val="274"/>
          <w:marRight w:val="0"/>
          <w:marTop w:val="0"/>
          <w:marBottom w:val="0"/>
          <w:divBdr>
            <w:top w:val="none" w:sz="0" w:space="0" w:color="auto"/>
            <w:left w:val="none" w:sz="0" w:space="0" w:color="auto"/>
            <w:bottom w:val="none" w:sz="0" w:space="0" w:color="auto"/>
            <w:right w:val="none" w:sz="0" w:space="0" w:color="auto"/>
          </w:divBdr>
        </w:div>
        <w:div w:id="1641617073">
          <w:marLeft w:val="274"/>
          <w:marRight w:val="0"/>
          <w:marTop w:val="0"/>
          <w:marBottom w:val="0"/>
          <w:divBdr>
            <w:top w:val="none" w:sz="0" w:space="0" w:color="auto"/>
            <w:left w:val="none" w:sz="0" w:space="0" w:color="auto"/>
            <w:bottom w:val="none" w:sz="0" w:space="0" w:color="auto"/>
            <w:right w:val="none" w:sz="0" w:space="0" w:color="auto"/>
          </w:divBdr>
        </w:div>
        <w:div w:id="1804039699">
          <w:marLeft w:val="274"/>
          <w:marRight w:val="0"/>
          <w:marTop w:val="0"/>
          <w:marBottom w:val="0"/>
          <w:divBdr>
            <w:top w:val="none" w:sz="0" w:space="0" w:color="auto"/>
            <w:left w:val="none" w:sz="0" w:space="0" w:color="auto"/>
            <w:bottom w:val="none" w:sz="0" w:space="0" w:color="auto"/>
            <w:right w:val="none" w:sz="0" w:space="0" w:color="auto"/>
          </w:divBdr>
        </w:div>
        <w:div w:id="2064791931">
          <w:marLeft w:val="274"/>
          <w:marRight w:val="0"/>
          <w:marTop w:val="0"/>
          <w:marBottom w:val="0"/>
          <w:divBdr>
            <w:top w:val="none" w:sz="0" w:space="0" w:color="auto"/>
            <w:left w:val="none" w:sz="0" w:space="0" w:color="auto"/>
            <w:bottom w:val="none" w:sz="0" w:space="0" w:color="auto"/>
            <w:right w:val="none" w:sz="0" w:space="0" w:color="auto"/>
          </w:divBdr>
        </w:div>
      </w:divsChild>
    </w:div>
    <w:div w:id="1608806812">
      <w:bodyDiv w:val="1"/>
      <w:marLeft w:val="0"/>
      <w:marRight w:val="0"/>
      <w:marTop w:val="0"/>
      <w:marBottom w:val="0"/>
      <w:divBdr>
        <w:top w:val="none" w:sz="0" w:space="0" w:color="auto"/>
        <w:left w:val="none" w:sz="0" w:space="0" w:color="auto"/>
        <w:bottom w:val="none" w:sz="0" w:space="0" w:color="auto"/>
        <w:right w:val="none" w:sz="0" w:space="0" w:color="auto"/>
      </w:divBdr>
    </w:div>
    <w:div w:id="1618676680">
      <w:bodyDiv w:val="1"/>
      <w:marLeft w:val="0"/>
      <w:marRight w:val="0"/>
      <w:marTop w:val="0"/>
      <w:marBottom w:val="0"/>
      <w:divBdr>
        <w:top w:val="none" w:sz="0" w:space="0" w:color="auto"/>
        <w:left w:val="none" w:sz="0" w:space="0" w:color="auto"/>
        <w:bottom w:val="none" w:sz="0" w:space="0" w:color="auto"/>
        <w:right w:val="none" w:sz="0" w:space="0" w:color="auto"/>
      </w:divBdr>
    </w:div>
    <w:div w:id="1619868525">
      <w:bodyDiv w:val="1"/>
      <w:marLeft w:val="0"/>
      <w:marRight w:val="0"/>
      <w:marTop w:val="0"/>
      <w:marBottom w:val="0"/>
      <w:divBdr>
        <w:top w:val="none" w:sz="0" w:space="0" w:color="auto"/>
        <w:left w:val="none" w:sz="0" w:space="0" w:color="auto"/>
        <w:bottom w:val="none" w:sz="0" w:space="0" w:color="auto"/>
        <w:right w:val="none" w:sz="0" w:space="0" w:color="auto"/>
      </w:divBdr>
    </w:div>
    <w:div w:id="1627933608">
      <w:bodyDiv w:val="1"/>
      <w:marLeft w:val="0"/>
      <w:marRight w:val="0"/>
      <w:marTop w:val="0"/>
      <w:marBottom w:val="0"/>
      <w:divBdr>
        <w:top w:val="none" w:sz="0" w:space="0" w:color="auto"/>
        <w:left w:val="none" w:sz="0" w:space="0" w:color="auto"/>
        <w:bottom w:val="none" w:sz="0" w:space="0" w:color="auto"/>
        <w:right w:val="none" w:sz="0" w:space="0" w:color="auto"/>
      </w:divBdr>
    </w:div>
    <w:div w:id="1639216589">
      <w:bodyDiv w:val="1"/>
      <w:marLeft w:val="0"/>
      <w:marRight w:val="0"/>
      <w:marTop w:val="0"/>
      <w:marBottom w:val="0"/>
      <w:divBdr>
        <w:top w:val="none" w:sz="0" w:space="0" w:color="auto"/>
        <w:left w:val="none" w:sz="0" w:space="0" w:color="auto"/>
        <w:bottom w:val="none" w:sz="0" w:space="0" w:color="auto"/>
        <w:right w:val="none" w:sz="0" w:space="0" w:color="auto"/>
      </w:divBdr>
      <w:divsChild>
        <w:div w:id="1886676705">
          <w:marLeft w:val="547"/>
          <w:marRight w:val="0"/>
          <w:marTop w:val="0"/>
          <w:marBottom w:val="60"/>
          <w:divBdr>
            <w:top w:val="none" w:sz="0" w:space="0" w:color="auto"/>
            <w:left w:val="none" w:sz="0" w:space="0" w:color="auto"/>
            <w:bottom w:val="none" w:sz="0" w:space="0" w:color="auto"/>
            <w:right w:val="none" w:sz="0" w:space="0" w:color="auto"/>
          </w:divBdr>
        </w:div>
        <w:div w:id="2109040117">
          <w:marLeft w:val="547"/>
          <w:marRight w:val="0"/>
          <w:marTop w:val="0"/>
          <w:marBottom w:val="60"/>
          <w:divBdr>
            <w:top w:val="none" w:sz="0" w:space="0" w:color="auto"/>
            <w:left w:val="none" w:sz="0" w:space="0" w:color="auto"/>
            <w:bottom w:val="none" w:sz="0" w:space="0" w:color="auto"/>
            <w:right w:val="none" w:sz="0" w:space="0" w:color="auto"/>
          </w:divBdr>
        </w:div>
      </w:divsChild>
    </w:div>
    <w:div w:id="1640529524">
      <w:bodyDiv w:val="1"/>
      <w:marLeft w:val="0"/>
      <w:marRight w:val="0"/>
      <w:marTop w:val="0"/>
      <w:marBottom w:val="0"/>
      <w:divBdr>
        <w:top w:val="none" w:sz="0" w:space="0" w:color="auto"/>
        <w:left w:val="none" w:sz="0" w:space="0" w:color="auto"/>
        <w:bottom w:val="none" w:sz="0" w:space="0" w:color="auto"/>
        <w:right w:val="none" w:sz="0" w:space="0" w:color="auto"/>
      </w:divBdr>
    </w:div>
    <w:div w:id="1659649474">
      <w:bodyDiv w:val="1"/>
      <w:marLeft w:val="0"/>
      <w:marRight w:val="0"/>
      <w:marTop w:val="0"/>
      <w:marBottom w:val="0"/>
      <w:divBdr>
        <w:top w:val="none" w:sz="0" w:space="0" w:color="auto"/>
        <w:left w:val="none" w:sz="0" w:space="0" w:color="auto"/>
        <w:bottom w:val="none" w:sz="0" w:space="0" w:color="auto"/>
        <w:right w:val="none" w:sz="0" w:space="0" w:color="auto"/>
      </w:divBdr>
    </w:div>
    <w:div w:id="1668096464">
      <w:bodyDiv w:val="1"/>
      <w:marLeft w:val="0"/>
      <w:marRight w:val="0"/>
      <w:marTop w:val="0"/>
      <w:marBottom w:val="0"/>
      <w:divBdr>
        <w:top w:val="none" w:sz="0" w:space="0" w:color="auto"/>
        <w:left w:val="none" w:sz="0" w:space="0" w:color="auto"/>
        <w:bottom w:val="none" w:sz="0" w:space="0" w:color="auto"/>
        <w:right w:val="none" w:sz="0" w:space="0" w:color="auto"/>
      </w:divBdr>
    </w:div>
    <w:div w:id="1668629169">
      <w:bodyDiv w:val="1"/>
      <w:marLeft w:val="0"/>
      <w:marRight w:val="0"/>
      <w:marTop w:val="0"/>
      <w:marBottom w:val="0"/>
      <w:divBdr>
        <w:top w:val="none" w:sz="0" w:space="0" w:color="auto"/>
        <w:left w:val="none" w:sz="0" w:space="0" w:color="auto"/>
        <w:bottom w:val="none" w:sz="0" w:space="0" w:color="auto"/>
        <w:right w:val="none" w:sz="0" w:space="0" w:color="auto"/>
      </w:divBdr>
    </w:div>
    <w:div w:id="1676879479">
      <w:bodyDiv w:val="1"/>
      <w:marLeft w:val="0"/>
      <w:marRight w:val="0"/>
      <w:marTop w:val="0"/>
      <w:marBottom w:val="0"/>
      <w:divBdr>
        <w:top w:val="none" w:sz="0" w:space="0" w:color="auto"/>
        <w:left w:val="none" w:sz="0" w:space="0" w:color="auto"/>
        <w:bottom w:val="none" w:sz="0" w:space="0" w:color="auto"/>
        <w:right w:val="none" w:sz="0" w:space="0" w:color="auto"/>
      </w:divBdr>
    </w:div>
    <w:div w:id="1678344159">
      <w:bodyDiv w:val="1"/>
      <w:marLeft w:val="0"/>
      <w:marRight w:val="0"/>
      <w:marTop w:val="0"/>
      <w:marBottom w:val="0"/>
      <w:divBdr>
        <w:top w:val="none" w:sz="0" w:space="0" w:color="auto"/>
        <w:left w:val="none" w:sz="0" w:space="0" w:color="auto"/>
        <w:bottom w:val="none" w:sz="0" w:space="0" w:color="auto"/>
        <w:right w:val="none" w:sz="0" w:space="0" w:color="auto"/>
      </w:divBdr>
    </w:div>
    <w:div w:id="1700617561">
      <w:bodyDiv w:val="1"/>
      <w:marLeft w:val="0"/>
      <w:marRight w:val="0"/>
      <w:marTop w:val="0"/>
      <w:marBottom w:val="0"/>
      <w:divBdr>
        <w:top w:val="none" w:sz="0" w:space="0" w:color="auto"/>
        <w:left w:val="none" w:sz="0" w:space="0" w:color="auto"/>
        <w:bottom w:val="none" w:sz="0" w:space="0" w:color="auto"/>
        <w:right w:val="none" w:sz="0" w:space="0" w:color="auto"/>
      </w:divBdr>
    </w:div>
    <w:div w:id="1704481950">
      <w:bodyDiv w:val="1"/>
      <w:marLeft w:val="0"/>
      <w:marRight w:val="0"/>
      <w:marTop w:val="0"/>
      <w:marBottom w:val="0"/>
      <w:divBdr>
        <w:top w:val="none" w:sz="0" w:space="0" w:color="auto"/>
        <w:left w:val="none" w:sz="0" w:space="0" w:color="auto"/>
        <w:bottom w:val="none" w:sz="0" w:space="0" w:color="auto"/>
        <w:right w:val="none" w:sz="0" w:space="0" w:color="auto"/>
      </w:divBdr>
    </w:div>
    <w:div w:id="1750805958">
      <w:bodyDiv w:val="1"/>
      <w:marLeft w:val="0"/>
      <w:marRight w:val="0"/>
      <w:marTop w:val="0"/>
      <w:marBottom w:val="0"/>
      <w:divBdr>
        <w:top w:val="none" w:sz="0" w:space="0" w:color="auto"/>
        <w:left w:val="none" w:sz="0" w:space="0" w:color="auto"/>
        <w:bottom w:val="none" w:sz="0" w:space="0" w:color="auto"/>
        <w:right w:val="none" w:sz="0" w:space="0" w:color="auto"/>
      </w:divBdr>
      <w:divsChild>
        <w:div w:id="1847598502">
          <w:marLeft w:val="720"/>
          <w:marRight w:val="0"/>
          <w:marTop w:val="0"/>
          <w:marBottom w:val="0"/>
          <w:divBdr>
            <w:top w:val="none" w:sz="0" w:space="0" w:color="auto"/>
            <w:left w:val="none" w:sz="0" w:space="0" w:color="auto"/>
            <w:bottom w:val="none" w:sz="0" w:space="0" w:color="auto"/>
            <w:right w:val="none" w:sz="0" w:space="0" w:color="auto"/>
          </w:divBdr>
        </w:div>
        <w:div w:id="2082167023">
          <w:marLeft w:val="-675"/>
          <w:marRight w:val="0"/>
          <w:marTop w:val="0"/>
          <w:marBottom w:val="0"/>
          <w:divBdr>
            <w:top w:val="none" w:sz="0" w:space="0" w:color="auto"/>
            <w:left w:val="none" w:sz="0" w:space="0" w:color="auto"/>
            <w:bottom w:val="none" w:sz="0" w:space="0" w:color="auto"/>
            <w:right w:val="none" w:sz="0" w:space="0" w:color="auto"/>
          </w:divBdr>
        </w:div>
      </w:divsChild>
    </w:div>
    <w:div w:id="1773935591">
      <w:bodyDiv w:val="1"/>
      <w:marLeft w:val="0"/>
      <w:marRight w:val="0"/>
      <w:marTop w:val="0"/>
      <w:marBottom w:val="0"/>
      <w:divBdr>
        <w:top w:val="none" w:sz="0" w:space="0" w:color="auto"/>
        <w:left w:val="none" w:sz="0" w:space="0" w:color="auto"/>
        <w:bottom w:val="none" w:sz="0" w:space="0" w:color="auto"/>
        <w:right w:val="none" w:sz="0" w:space="0" w:color="auto"/>
      </w:divBdr>
    </w:div>
    <w:div w:id="1788351077">
      <w:bodyDiv w:val="1"/>
      <w:marLeft w:val="0"/>
      <w:marRight w:val="0"/>
      <w:marTop w:val="0"/>
      <w:marBottom w:val="0"/>
      <w:divBdr>
        <w:top w:val="none" w:sz="0" w:space="0" w:color="auto"/>
        <w:left w:val="none" w:sz="0" w:space="0" w:color="auto"/>
        <w:bottom w:val="none" w:sz="0" w:space="0" w:color="auto"/>
        <w:right w:val="none" w:sz="0" w:space="0" w:color="auto"/>
      </w:divBdr>
    </w:div>
    <w:div w:id="1797724057">
      <w:bodyDiv w:val="1"/>
      <w:marLeft w:val="0"/>
      <w:marRight w:val="0"/>
      <w:marTop w:val="0"/>
      <w:marBottom w:val="0"/>
      <w:divBdr>
        <w:top w:val="none" w:sz="0" w:space="0" w:color="auto"/>
        <w:left w:val="none" w:sz="0" w:space="0" w:color="auto"/>
        <w:bottom w:val="none" w:sz="0" w:space="0" w:color="auto"/>
        <w:right w:val="none" w:sz="0" w:space="0" w:color="auto"/>
      </w:divBdr>
    </w:div>
    <w:div w:id="1800487866">
      <w:bodyDiv w:val="1"/>
      <w:marLeft w:val="0"/>
      <w:marRight w:val="0"/>
      <w:marTop w:val="0"/>
      <w:marBottom w:val="0"/>
      <w:divBdr>
        <w:top w:val="none" w:sz="0" w:space="0" w:color="auto"/>
        <w:left w:val="none" w:sz="0" w:space="0" w:color="auto"/>
        <w:bottom w:val="none" w:sz="0" w:space="0" w:color="auto"/>
        <w:right w:val="none" w:sz="0" w:space="0" w:color="auto"/>
      </w:divBdr>
    </w:div>
    <w:div w:id="1814446510">
      <w:bodyDiv w:val="1"/>
      <w:marLeft w:val="0"/>
      <w:marRight w:val="0"/>
      <w:marTop w:val="0"/>
      <w:marBottom w:val="0"/>
      <w:divBdr>
        <w:top w:val="none" w:sz="0" w:space="0" w:color="auto"/>
        <w:left w:val="none" w:sz="0" w:space="0" w:color="auto"/>
        <w:bottom w:val="none" w:sz="0" w:space="0" w:color="auto"/>
        <w:right w:val="none" w:sz="0" w:space="0" w:color="auto"/>
      </w:divBdr>
    </w:div>
    <w:div w:id="1814562451">
      <w:bodyDiv w:val="1"/>
      <w:marLeft w:val="0"/>
      <w:marRight w:val="0"/>
      <w:marTop w:val="0"/>
      <w:marBottom w:val="0"/>
      <w:divBdr>
        <w:top w:val="none" w:sz="0" w:space="0" w:color="auto"/>
        <w:left w:val="none" w:sz="0" w:space="0" w:color="auto"/>
        <w:bottom w:val="none" w:sz="0" w:space="0" w:color="auto"/>
        <w:right w:val="none" w:sz="0" w:space="0" w:color="auto"/>
      </w:divBdr>
    </w:div>
    <w:div w:id="1819689545">
      <w:bodyDiv w:val="1"/>
      <w:marLeft w:val="0"/>
      <w:marRight w:val="0"/>
      <w:marTop w:val="0"/>
      <w:marBottom w:val="0"/>
      <w:divBdr>
        <w:top w:val="none" w:sz="0" w:space="0" w:color="auto"/>
        <w:left w:val="none" w:sz="0" w:space="0" w:color="auto"/>
        <w:bottom w:val="none" w:sz="0" w:space="0" w:color="auto"/>
        <w:right w:val="none" w:sz="0" w:space="0" w:color="auto"/>
      </w:divBdr>
    </w:div>
    <w:div w:id="1828281888">
      <w:bodyDiv w:val="1"/>
      <w:marLeft w:val="0"/>
      <w:marRight w:val="0"/>
      <w:marTop w:val="0"/>
      <w:marBottom w:val="0"/>
      <w:divBdr>
        <w:top w:val="none" w:sz="0" w:space="0" w:color="auto"/>
        <w:left w:val="none" w:sz="0" w:space="0" w:color="auto"/>
        <w:bottom w:val="none" w:sz="0" w:space="0" w:color="auto"/>
        <w:right w:val="none" w:sz="0" w:space="0" w:color="auto"/>
      </w:divBdr>
    </w:div>
    <w:div w:id="1829248538">
      <w:bodyDiv w:val="1"/>
      <w:marLeft w:val="0"/>
      <w:marRight w:val="0"/>
      <w:marTop w:val="0"/>
      <w:marBottom w:val="0"/>
      <w:divBdr>
        <w:top w:val="none" w:sz="0" w:space="0" w:color="auto"/>
        <w:left w:val="none" w:sz="0" w:space="0" w:color="auto"/>
        <w:bottom w:val="none" w:sz="0" w:space="0" w:color="auto"/>
        <w:right w:val="none" w:sz="0" w:space="0" w:color="auto"/>
      </w:divBdr>
    </w:div>
    <w:div w:id="1832021495">
      <w:bodyDiv w:val="1"/>
      <w:marLeft w:val="0"/>
      <w:marRight w:val="0"/>
      <w:marTop w:val="0"/>
      <w:marBottom w:val="0"/>
      <w:divBdr>
        <w:top w:val="none" w:sz="0" w:space="0" w:color="auto"/>
        <w:left w:val="none" w:sz="0" w:space="0" w:color="auto"/>
        <w:bottom w:val="none" w:sz="0" w:space="0" w:color="auto"/>
        <w:right w:val="none" w:sz="0" w:space="0" w:color="auto"/>
      </w:divBdr>
    </w:div>
    <w:div w:id="1841844336">
      <w:bodyDiv w:val="1"/>
      <w:marLeft w:val="0"/>
      <w:marRight w:val="0"/>
      <w:marTop w:val="0"/>
      <w:marBottom w:val="0"/>
      <w:divBdr>
        <w:top w:val="none" w:sz="0" w:space="0" w:color="auto"/>
        <w:left w:val="none" w:sz="0" w:space="0" w:color="auto"/>
        <w:bottom w:val="none" w:sz="0" w:space="0" w:color="auto"/>
        <w:right w:val="none" w:sz="0" w:space="0" w:color="auto"/>
      </w:divBdr>
    </w:div>
    <w:div w:id="1878542328">
      <w:bodyDiv w:val="1"/>
      <w:marLeft w:val="0"/>
      <w:marRight w:val="0"/>
      <w:marTop w:val="0"/>
      <w:marBottom w:val="0"/>
      <w:divBdr>
        <w:top w:val="none" w:sz="0" w:space="0" w:color="auto"/>
        <w:left w:val="none" w:sz="0" w:space="0" w:color="auto"/>
        <w:bottom w:val="none" w:sz="0" w:space="0" w:color="auto"/>
        <w:right w:val="none" w:sz="0" w:space="0" w:color="auto"/>
      </w:divBdr>
      <w:divsChild>
        <w:div w:id="973411219">
          <w:marLeft w:val="-675"/>
          <w:marRight w:val="0"/>
          <w:marTop w:val="0"/>
          <w:marBottom w:val="0"/>
          <w:divBdr>
            <w:top w:val="none" w:sz="0" w:space="0" w:color="auto"/>
            <w:left w:val="none" w:sz="0" w:space="0" w:color="auto"/>
            <w:bottom w:val="none" w:sz="0" w:space="0" w:color="auto"/>
            <w:right w:val="none" w:sz="0" w:space="0" w:color="auto"/>
          </w:divBdr>
        </w:div>
      </w:divsChild>
    </w:div>
    <w:div w:id="1884363033">
      <w:bodyDiv w:val="1"/>
      <w:marLeft w:val="0"/>
      <w:marRight w:val="0"/>
      <w:marTop w:val="0"/>
      <w:marBottom w:val="0"/>
      <w:divBdr>
        <w:top w:val="none" w:sz="0" w:space="0" w:color="auto"/>
        <w:left w:val="none" w:sz="0" w:space="0" w:color="auto"/>
        <w:bottom w:val="none" w:sz="0" w:space="0" w:color="auto"/>
        <w:right w:val="none" w:sz="0" w:space="0" w:color="auto"/>
      </w:divBdr>
    </w:div>
    <w:div w:id="1892500710">
      <w:bodyDiv w:val="1"/>
      <w:marLeft w:val="0"/>
      <w:marRight w:val="0"/>
      <w:marTop w:val="0"/>
      <w:marBottom w:val="0"/>
      <w:divBdr>
        <w:top w:val="none" w:sz="0" w:space="0" w:color="auto"/>
        <w:left w:val="none" w:sz="0" w:space="0" w:color="auto"/>
        <w:bottom w:val="none" w:sz="0" w:space="0" w:color="auto"/>
        <w:right w:val="none" w:sz="0" w:space="0" w:color="auto"/>
      </w:divBdr>
    </w:div>
    <w:div w:id="1903060988">
      <w:bodyDiv w:val="1"/>
      <w:marLeft w:val="0"/>
      <w:marRight w:val="0"/>
      <w:marTop w:val="0"/>
      <w:marBottom w:val="0"/>
      <w:divBdr>
        <w:top w:val="none" w:sz="0" w:space="0" w:color="auto"/>
        <w:left w:val="none" w:sz="0" w:space="0" w:color="auto"/>
        <w:bottom w:val="none" w:sz="0" w:space="0" w:color="auto"/>
        <w:right w:val="none" w:sz="0" w:space="0" w:color="auto"/>
      </w:divBdr>
    </w:div>
    <w:div w:id="1903439025">
      <w:bodyDiv w:val="1"/>
      <w:marLeft w:val="0"/>
      <w:marRight w:val="0"/>
      <w:marTop w:val="0"/>
      <w:marBottom w:val="0"/>
      <w:divBdr>
        <w:top w:val="none" w:sz="0" w:space="0" w:color="auto"/>
        <w:left w:val="none" w:sz="0" w:space="0" w:color="auto"/>
        <w:bottom w:val="none" w:sz="0" w:space="0" w:color="auto"/>
        <w:right w:val="none" w:sz="0" w:space="0" w:color="auto"/>
      </w:divBdr>
    </w:div>
    <w:div w:id="1906836213">
      <w:bodyDiv w:val="1"/>
      <w:marLeft w:val="0"/>
      <w:marRight w:val="0"/>
      <w:marTop w:val="0"/>
      <w:marBottom w:val="0"/>
      <w:divBdr>
        <w:top w:val="none" w:sz="0" w:space="0" w:color="auto"/>
        <w:left w:val="none" w:sz="0" w:space="0" w:color="auto"/>
        <w:bottom w:val="none" w:sz="0" w:space="0" w:color="auto"/>
        <w:right w:val="none" w:sz="0" w:space="0" w:color="auto"/>
      </w:divBdr>
    </w:div>
    <w:div w:id="1907642212">
      <w:bodyDiv w:val="1"/>
      <w:marLeft w:val="0"/>
      <w:marRight w:val="0"/>
      <w:marTop w:val="0"/>
      <w:marBottom w:val="0"/>
      <w:divBdr>
        <w:top w:val="none" w:sz="0" w:space="0" w:color="auto"/>
        <w:left w:val="none" w:sz="0" w:space="0" w:color="auto"/>
        <w:bottom w:val="none" w:sz="0" w:space="0" w:color="auto"/>
        <w:right w:val="none" w:sz="0" w:space="0" w:color="auto"/>
      </w:divBdr>
    </w:div>
    <w:div w:id="1914579459">
      <w:bodyDiv w:val="1"/>
      <w:marLeft w:val="0"/>
      <w:marRight w:val="0"/>
      <w:marTop w:val="0"/>
      <w:marBottom w:val="0"/>
      <w:divBdr>
        <w:top w:val="none" w:sz="0" w:space="0" w:color="auto"/>
        <w:left w:val="none" w:sz="0" w:space="0" w:color="auto"/>
        <w:bottom w:val="none" w:sz="0" w:space="0" w:color="auto"/>
        <w:right w:val="none" w:sz="0" w:space="0" w:color="auto"/>
      </w:divBdr>
    </w:div>
    <w:div w:id="1919440595">
      <w:bodyDiv w:val="1"/>
      <w:marLeft w:val="0"/>
      <w:marRight w:val="0"/>
      <w:marTop w:val="0"/>
      <w:marBottom w:val="0"/>
      <w:divBdr>
        <w:top w:val="none" w:sz="0" w:space="0" w:color="auto"/>
        <w:left w:val="none" w:sz="0" w:space="0" w:color="auto"/>
        <w:bottom w:val="none" w:sz="0" w:space="0" w:color="auto"/>
        <w:right w:val="none" w:sz="0" w:space="0" w:color="auto"/>
      </w:divBdr>
    </w:div>
    <w:div w:id="1923835466">
      <w:bodyDiv w:val="1"/>
      <w:marLeft w:val="0"/>
      <w:marRight w:val="0"/>
      <w:marTop w:val="0"/>
      <w:marBottom w:val="0"/>
      <w:divBdr>
        <w:top w:val="none" w:sz="0" w:space="0" w:color="auto"/>
        <w:left w:val="none" w:sz="0" w:space="0" w:color="auto"/>
        <w:bottom w:val="none" w:sz="0" w:space="0" w:color="auto"/>
        <w:right w:val="none" w:sz="0" w:space="0" w:color="auto"/>
      </w:divBdr>
    </w:div>
    <w:div w:id="1939554052">
      <w:bodyDiv w:val="1"/>
      <w:marLeft w:val="0"/>
      <w:marRight w:val="0"/>
      <w:marTop w:val="0"/>
      <w:marBottom w:val="0"/>
      <w:divBdr>
        <w:top w:val="none" w:sz="0" w:space="0" w:color="auto"/>
        <w:left w:val="none" w:sz="0" w:space="0" w:color="auto"/>
        <w:bottom w:val="none" w:sz="0" w:space="0" w:color="auto"/>
        <w:right w:val="none" w:sz="0" w:space="0" w:color="auto"/>
      </w:divBdr>
    </w:div>
    <w:div w:id="1943798807">
      <w:bodyDiv w:val="1"/>
      <w:marLeft w:val="0"/>
      <w:marRight w:val="0"/>
      <w:marTop w:val="0"/>
      <w:marBottom w:val="0"/>
      <w:divBdr>
        <w:top w:val="none" w:sz="0" w:space="0" w:color="auto"/>
        <w:left w:val="none" w:sz="0" w:space="0" w:color="auto"/>
        <w:bottom w:val="none" w:sz="0" w:space="0" w:color="auto"/>
        <w:right w:val="none" w:sz="0" w:space="0" w:color="auto"/>
      </w:divBdr>
    </w:div>
    <w:div w:id="1952468851">
      <w:bodyDiv w:val="1"/>
      <w:marLeft w:val="0"/>
      <w:marRight w:val="0"/>
      <w:marTop w:val="0"/>
      <w:marBottom w:val="0"/>
      <w:divBdr>
        <w:top w:val="none" w:sz="0" w:space="0" w:color="auto"/>
        <w:left w:val="none" w:sz="0" w:space="0" w:color="auto"/>
        <w:bottom w:val="none" w:sz="0" w:space="0" w:color="auto"/>
        <w:right w:val="none" w:sz="0" w:space="0" w:color="auto"/>
      </w:divBdr>
    </w:div>
    <w:div w:id="1971740547">
      <w:bodyDiv w:val="1"/>
      <w:marLeft w:val="0"/>
      <w:marRight w:val="0"/>
      <w:marTop w:val="0"/>
      <w:marBottom w:val="0"/>
      <w:divBdr>
        <w:top w:val="none" w:sz="0" w:space="0" w:color="auto"/>
        <w:left w:val="none" w:sz="0" w:space="0" w:color="auto"/>
        <w:bottom w:val="none" w:sz="0" w:space="0" w:color="auto"/>
        <w:right w:val="none" w:sz="0" w:space="0" w:color="auto"/>
      </w:divBdr>
    </w:div>
    <w:div w:id="1991325694">
      <w:bodyDiv w:val="1"/>
      <w:marLeft w:val="0"/>
      <w:marRight w:val="0"/>
      <w:marTop w:val="0"/>
      <w:marBottom w:val="0"/>
      <w:divBdr>
        <w:top w:val="none" w:sz="0" w:space="0" w:color="auto"/>
        <w:left w:val="none" w:sz="0" w:space="0" w:color="auto"/>
        <w:bottom w:val="none" w:sz="0" w:space="0" w:color="auto"/>
        <w:right w:val="none" w:sz="0" w:space="0" w:color="auto"/>
      </w:divBdr>
    </w:div>
    <w:div w:id="2024550711">
      <w:bodyDiv w:val="1"/>
      <w:marLeft w:val="0"/>
      <w:marRight w:val="0"/>
      <w:marTop w:val="0"/>
      <w:marBottom w:val="0"/>
      <w:divBdr>
        <w:top w:val="none" w:sz="0" w:space="0" w:color="auto"/>
        <w:left w:val="none" w:sz="0" w:space="0" w:color="auto"/>
        <w:bottom w:val="none" w:sz="0" w:space="0" w:color="auto"/>
        <w:right w:val="none" w:sz="0" w:space="0" w:color="auto"/>
      </w:divBdr>
      <w:divsChild>
        <w:div w:id="554582486">
          <w:marLeft w:val="274"/>
          <w:marRight w:val="0"/>
          <w:marTop w:val="0"/>
          <w:marBottom w:val="0"/>
          <w:divBdr>
            <w:top w:val="none" w:sz="0" w:space="0" w:color="auto"/>
            <w:left w:val="none" w:sz="0" w:space="0" w:color="auto"/>
            <w:bottom w:val="none" w:sz="0" w:space="0" w:color="auto"/>
            <w:right w:val="none" w:sz="0" w:space="0" w:color="auto"/>
          </w:divBdr>
        </w:div>
        <w:div w:id="647439149">
          <w:marLeft w:val="274"/>
          <w:marRight w:val="0"/>
          <w:marTop w:val="0"/>
          <w:marBottom w:val="0"/>
          <w:divBdr>
            <w:top w:val="none" w:sz="0" w:space="0" w:color="auto"/>
            <w:left w:val="none" w:sz="0" w:space="0" w:color="auto"/>
            <w:bottom w:val="none" w:sz="0" w:space="0" w:color="auto"/>
            <w:right w:val="none" w:sz="0" w:space="0" w:color="auto"/>
          </w:divBdr>
        </w:div>
        <w:div w:id="746390483">
          <w:marLeft w:val="274"/>
          <w:marRight w:val="0"/>
          <w:marTop w:val="0"/>
          <w:marBottom w:val="0"/>
          <w:divBdr>
            <w:top w:val="none" w:sz="0" w:space="0" w:color="auto"/>
            <w:left w:val="none" w:sz="0" w:space="0" w:color="auto"/>
            <w:bottom w:val="none" w:sz="0" w:space="0" w:color="auto"/>
            <w:right w:val="none" w:sz="0" w:space="0" w:color="auto"/>
          </w:divBdr>
        </w:div>
        <w:div w:id="795371300">
          <w:marLeft w:val="274"/>
          <w:marRight w:val="0"/>
          <w:marTop w:val="0"/>
          <w:marBottom w:val="0"/>
          <w:divBdr>
            <w:top w:val="none" w:sz="0" w:space="0" w:color="auto"/>
            <w:left w:val="none" w:sz="0" w:space="0" w:color="auto"/>
            <w:bottom w:val="none" w:sz="0" w:space="0" w:color="auto"/>
            <w:right w:val="none" w:sz="0" w:space="0" w:color="auto"/>
          </w:divBdr>
        </w:div>
        <w:div w:id="1160270962">
          <w:marLeft w:val="274"/>
          <w:marRight w:val="0"/>
          <w:marTop w:val="0"/>
          <w:marBottom w:val="0"/>
          <w:divBdr>
            <w:top w:val="none" w:sz="0" w:space="0" w:color="auto"/>
            <w:left w:val="none" w:sz="0" w:space="0" w:color="auto"/>
            <w:bottom w:val="none" w:sz="0" w:space="0" w:color="auto"/>
            <w:right w:val="none" w:sz="0" w:space="0" w:color="auto"/>
          </w:divBdr>
        </w:div>
        <w:div w:id="1163161008">
          <w:marLeft w:val="274"/>
          <w:marRight w:val="0"/>
          <w:marTop w:val="0"/>
          <w:marBottom w:val="0"/>
          <w:divBdr>
            <w:top w:val="none" w:sz="0" w:space="0" w:color="auto"/>
            <w:left w:val="none" w:sz="0" w:space="0" w:color="auto"/>
            <w:bottom w:val="none" w:sz="0" w:space="0" w:color="auto"/>
            <w:right w:val="none" w:sz="0" w:space="0" w:color="auto"/>
          </w:divBdr>
        </w:div>
      </w:divsChild>
    </w:div>
    <w:div w:id="2037462981">
      <w:bodyDiv w:val="1"/>
      <w:marLeft w:val="0"/>
      <w:marRight w:val="0"/>
      <w:marTop w:val="0"/>
      <w:marBottom w:val="0"/>
      <w:divBdr>
        <w:top w:val="none" w:sz="0" w:space="0" w:color="auto"/>
        <w:left w:val="none" w:sz="0" w:space="0" w:color="auto"/>
        <w:bottom w:val="none" w:sz="0" w:space="0" w:color="auto"/>
        <w:right w:val="none" w:sz="0" w:space="0" w:color="auto"/>
      </w:divBdr>
      <w:divsChild>
        <w:div w:id="743453162">
          <w:marLeft w:val="274"/>
          <w:marRight w:val="0"/>
          <w:marTop w:val="0"/>
          <w:marBottom w:val="60"/>
          <w:divBdr>
            <w:top w:val="none" w:sz="0" w:space="0" w:color="auto"/>
            <w:left w:val="none" w:sz="0" w:space="0" w:color="auto"/>
            <w:bottom w:val="none" w:sz="0" w:space="0" w:color="auto"/>
            <w:right w:val="none" w:sz="0" w:space="0" w:color="auto"/>
          </w:divBdr>
        </w:div>
      </w:divsChild>
    </w:div>
    <w:div w:id="2043282916">
      <w:bodyDiv w:val="1"/>
      <w:marLeft w:val="0"/>
      <w:marRight w:val="0"/>
      <w:marTop w:val="0"/>
      <w:marBottom w:val="0"/>
      <w:divBdr>
        <w:top w:val="none" w:sz="0" w:space="0" w:color="auto"/>
        <w:left w:val="none" w:sz="0" w:space="0" w:color="auto"/>
        <w:bottom w:val="none" w:sz="0" w:space="0" w:color="auto"/>
        <w:right w:val="none" w:sz="0" w:space="0" w:color="auto"/>
      </w:divBdr>
    </w:div>
    <w:div w:id="2058163586">
      <w:bodyDiv w:val="1"/>
      <w:marLeft w:val="0"/>
      <w:marRight w:val="0"/>
      <w:marTop w:val="0"/>
      <w:marBottom w:val="0"/>
      <w:divBdr>
        <w:top w:val="none" w:sz="0" w:space="0" w:color="auto"/>
        <w:left w:val="none" w:sz="0" w:space="0" w:color="auto"/>
        <w:bottom w:val="none" w:sz="0" w:space="0" w:color="auto"/>
        <w:right w:val="none" w:sz="0" w:space="0" w:color="auto"/>
      </w:divBdr>
    </w:div>
    <w:div w:id="2068065398">
      <w:bodyDiv w:val="1"/>
      <w:marLeft w:val="0"/>
      <w:marRight w:val="0"/>
      <w:marTop w:val="0"/>
      <w:marBottom w:val="0"/>
      <w:divBdr>
        <w:top w:val="none" w:sz="0" w:space="0" w:color="auto"/>
        <w:left w:val="none" w:sz="0" w:space="0" w:color="auto"/>
        <w:bottom w:val="none" w:sz="0" w:space="0" w:color="auto"/>
        <w:right w:val="none" w:sz="0" w:space="0" w:color="auto"/>
      </w:divBdr>
    </w:div>
    <w:div w:id="2071733389">
      <w:bodyDiv w:val="1"/>
      <w:marLeft w:val="0"/>
      <w:marRight w:val="0"/>
      <w:marTop w:val="0"/>
      <w:marBottom w:val="0"/>
      <w:divBdr>
        <w:top w:val="none" w:sz="0" w:space="0" w:color="auto"/>
        <w:left w:val="none" w:sz="0" w:space="0" w:color="auto"/>
        <w:bottom w:val="none" w:sz="0" w:space="0" w:color="auto"/>
        <w:right w:val="none" w:sz="0" w:space="0" w:color="auto"/>
      </w:divBdr>
      <w:divsChild>
        <w:div w:id="1854027202">
          <w:marLeft w:val="274"/>
          <w:marRight w:val="0"/>
          <w:marTop w:val="0"/>
          <w:marBottom w:val="60"/>
          <w:divBdr>
            <w:top w:val="none" w:sz="0" w:space="0" w:color="auto"/>
            <w:left w:val="none" w:sz="0" w:space="0" w:color="auto"/>
            <w:bottom w:val="none" w:sz="0" w:space="0" w:color="auto"/>
            <w:right w:val="none" w:sz="0" w:space="0" w:color="auto"/>
          </w:divBdr>
        </w:div>
      </w:divsChild>
    </w:div>
    <w:div w:id="2080977397">
      <w:bodyDiv w:val="1"/>
      <w:marLeft w:val="0"/>
      <w:marRight w:val="0"/>
      <w:marTop w:val="0"/>
      <w:marBottom w:val="0"/>
      <w:divBdr>
        <w:top w:val="none" w:sz="0" w:space="0" w:color="auto"/>
        <w:left w:val="none" w:sz="0" w:space="0" w:color="auto"/>
        <w:bottom w:val="none" w:sz="0" w:space="0" w:color="auto"/>
        <w:right w:val="none" w:sz="0" w:space="0" w:color="auto"/>
      </w:divBdr>
    </w:div>
    <w:div w:id="213150841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20.xml"/><Relationship Id="rId21" Type="http://schemas.openxmlformats.org/officeDocument/2006/relationships/header" Target="header4.xml"/><Relationship Id="rId42" Type="http://schemas.openxmlformats.org/officeDocument/2006/relationships/footer" Target="footer8.xml"/><Relationship Id="rId63" Type="http://schemas.openxmlformats.org/officeDocument/2006/relationships/hyperlink" Target="https://library.bsl.org.au/jspui/bitstream/1/679/1/200511_behrendt_atsic.pdf" TargetMode="External"/><Relationship Id="rId84" Type="http://schemas.openxmlformats.org/officeDocument/2006/relationships/hyperlink" Target="https://www.health.gov.au/sites/default/files/documents/2020/12/integrated-team-care-program-implementation-guidelines.pdf" TargetMode="External"/><Relationship Id="rId138" Type="http://schemas.openxmlformats.org/officeDocument/2006/relationships/hyperlink" Target="https://nativetitle.org.au/learn/pbcs-making-it-work/about-governance/two-way-governance" TargetMode="External"/><Relationship Id="rId159" Type="http://schemas.openxmlformats.org/officeDocument/2006/relationships/hyperlink" Target="https://www.health.vic.gov.au/sites/default/files/migrated/files/collections/policies-and-guidelines/a/aboriginal-governance-accountability-framework.pdf" TargetMode="External"/><Relationship Id="rId170" Type="http://schemas.openxmlformats.org/officeDocument/2006/relationships/hyperlink" Target="https://www.indigenousmhspc.gov.au/publications/indigenous-self-governance-for-mental-health-and-s" TargetMode="External"/><Relationship Id="rId191" Type="http://schemas.openxmlformats.org/officeDocument/2006/relationships/hyperlink" Target="https://mhaustralia.org/sites/default/files/docs/discussion_paper_-_options_for_commissioning_and_funding_of_mental_health_services_may_2015.pdf" TargetMode="External"/><Relationship Id="rId205" Type="http://schemas.openxmlformats.org/officeDocument/2006/relationships/hyperlink" Target="https://researchinvolvement.biomedcentral.com/articles/10.1186/s40900-020-0176-9" TargetMode="External"/><Relationship Id="rId226" Type="http://schemas.openxmlformats.org/officeDocument/2006/relationships/hyperlink" Target="https://thunderbirdpf.org/wp-content/uploads/2022/03/first_nations_mental_wellness_continuum_framework.pdf" TargetMode="External"/><Relationship Id="rId247" Type="http://schemas.openxmlformats.org/officeDocument/2006/relationships/header" Target="header23.xml"/><Relationship Id="rId107" Type="http://schemas.openxmlformats.org/officeDocument/2006/relationships/footer" Target="footer15.xml"/><Relationship Id="rId11" Type="http://schemas.openxmlformats.org/officeDocument/2006/relationships/endnotes" Target="endnotes.xml"/><Relationship Id="rId32" Type="http://schemas.openxmlformats.org/officeDocument/2006/relationships/footer" Target="footer6.xml"/><Relationship Id="rId53" Type="http://schemas.openxmlformats.org/officeDocument/2006/relationships/hyperlink" Target="https://www.aes.asn.au/images/AES_FirstNations_Cultural_Framework_finalWEB_final.pdf" TargetMode="External"/><Relationship Id="rId74" Type="http://schemas.openxmlformats.org/officeDocument/2006/relationships/hyperlink" Target="https://pubmed.ncbi.nlm.nih.gov/34301256/" TargetMode="External"/><Relationship Id="rId128" Type="http://schemas.openxmlformats.org/officeDocument/2006/relationships/hyperlink" Target="https://www.aihw.gov.au/reports/indigenous-australians/indigenous-primary-health-care-results-osr-nkpi/contents/osr-introduction" TargetMode="External"/><Relationship Id="rId149" Type="http://schemas.openxmlformats.org/officeDocument/2006/relationships/hyperlink" Target="https://www.chde.qld.gov.au/about/initiatives/place-based-approaches" TargetMode="External"/><Relationship Id="rId5" Type="http://schemas.openxmlformats.org/officeDocument/2006/relationships/customXml" Target="../customXml/item4.xml"/><Relationship Id="rId95" Type="http://schemas.openxmlformats.org/officeDocument/2006/relationships/image" Target="media/image25.png"/><Relationship Id="rId160" Type="http://schemas.openxmlformats.org/officeDocument/2006/relationships/hyperlink" Target="https://www.closingthegap.gov.au/" TargetMode="External"/><Relationship Id="rId181" Type="http://schemas.openxmlformats.org/officeDocument/2006/relationships/hyperlink" Target="https://www.sac-isc.gc.ca/eng/1513101878632/1559071219169" TargetMode="External"/><Relationship Id="rId216" Type="http://schemas.openxmlformats.org/officeDocument/2006/relationships/hyperlink" Target="https://www.sis.uwa.edu.au/research/NEP" TargetMode="External"/><Relationship Id="rId237" Type="http://schemas.openxmlformats.org/officeDocument/2006/relationships/header" Target="header22.xml"/><Relationship Id="rId22" Type="http://schemas.openxmlformats.org/officeDocument/2006/relationships/footer" Target="footer4.xml"/><Relationship Id="rId43" Type="http://schemas.openxmlformats.org/officeDocument/2006/relationships/header" Target="header9.xml"/><Relationship Id="rId64" Type="http://schemas.openxmlformats.org/officeDocument/2006/relationships/hyperlink" Target="https://cbpatsisp.com.au/about-us/" TargetMode="External"/><Relationship Id="rId118" Type="http://schemas.openxmlformats.org/officeDocument/2006/relationships/footer" Target="footer20.xml"/><Relationship Id="rId139" Type="http://schemas.openxmlformats.org/officeDocument/2006/relationships/hyperlink" Target="https://www.cdc.gov/healthytribes/ghwic.htm" TargetMode="External"/><Relationship Id="rId85" Type="http://schemas.openxmlformats.org/officeDocument/2006/relationships/hyperlink" Target="https://www.health.gov.au/sites/default/files/documents/2021/04/primary-health-networks-phn-primary-mental-health-care-guidance-aboriginal-and-torres-strait-islander-mental-health-services-primary-health-networks-phn-primary-mental-health-care-guidance-aboriginal-and-torres-strait-isla.pdf" TargetMode="External"/><Relationship Id="rId150" Type="http://schemas.openxmlformats.org/officeDocument/2006/relationships/hyperlink" Target="https://www.vic.gov.au/dhelk-dja-monitoring-evaluation-and-accountability-plan/print-all" TargetMode="External"/><Relationship Id="rId171" Type="http://schemas.openxmlformats.org/officeDocument/2006/relationships/hyperlink" Target="https://www.nccih.ca/Publications/Lists/Publications/Attachments/317/Ind-Self-Determine-Halseth-Murdoch-EN-web-2020-12-02.pdf" TargetMode="External"/><Relationship Id="rId192" Type="http://schemas.openxmlformats.org/officeDocument/2006/relationships/hyperlink" Target="https://indigenouspsyched.org.au/resource/an-evaluation-of-the-national-empowerment-project-cultural-social-and-emotional-wellbeing-program/" TargetMode="External"/><Relationship Id="rId206" Type="http://schemas.openxmlformats.org/officeDocument/2006/relationships/hyperlink" Target="https://nousgroup.com/ca/case-studies/cape-york-service-delivery-model/" TargetMode="External"/><Relationship Id="rId227" Type="http://schemas.openxmlformats.org/officeDocument/2006/relationships/hyperlink" Target="https://indiancountrytoday.com/archive/trahant-customerowners-are-key-to-the-nuka-model-of-health-care-in-anchorage" TargetMode="External"/><Relationship Id="rId248" Type="http://schemas.openxmlformats.org/officeDocument/2006/relationships/footer" Target="footer23.xml"/><Relationship Id="rId12" Type="http://schemas.openxmlformats.org/officeDocument/2006/relationships/image" Target="media/image1.png"/><Relationship Id="rId17" Type="http://schemas.openxmlformats.org/officeDocument/2006/relationships/footer" Target="footer1.xml"/><Relationship Id="rId33" Type="http://schemas.openxmlformats.org/officeDocument/2006/relationships/image" Target="media/image15.png"/><Relationship Id="rId38" Type="http://schemas.openxmlformats.org/officeDocument/2006/relationships/footer" Target="footer7.xml"/><Relationship Id="rId59" Type="http://schemas.openxmlformats.org/officeDocument/2006/relationships/hyperlink" Target="https://www.ncbi.nlm.nih.gov/pmc/articles/PMC1626072/pdf/1743-8462-3-10.pdf" TargetMode="External"/><Relationship Id="rId103" Type="http://schemas.openxmlformats.org/officeDocument/2006/relationships/hyperlink" Target="https://www.pc.gov.au/inquiries/current/closing-the-gap-review/draft/closing-the-gap-review-draft.pdf" TargetMode="External"/><Relationship Id="rId108" Type="http://schemas.openxmlformats.org/officeDocument/2006/relationships/header" Target="header16.xml"/><Relationship Id="rId124" Type="http://schemas.openxmlformats.org/officeDocument/2006/relationships/hyperlink" Target="https://www.atns.net.au/indigenous-governance" TargetMode="External"/><Relationship Id="rId129" Type="http://schemas.openxmlformats.org/officeDocument/2006/relationships/hyperlink" Target="https://doi.org/10.5888%2Fpcd16.190081" TargetMode="External"/><Relationship Id="rId54" Type="http://schemas.openxmlformats.org/officeDocument/2006/relationships/hyperlink" Target="https://natsilmh.org.au/sites/default/files/gayaa_dhuwi_declaration_A4.pdf" TargetMode="External"/><Relationship Id="rId70" Type="http://schemas.openxmlformats.org/officeDocument/2006/relationships/hyperlink" Target="https://www.indigenousmhspc.gov.au/publications/indigenous-self-governance-for-mental-health-and-s" TargetMode="External"/><Relationship Id="rId75" Type="http://schemas.openxmlformats.org/officeDocument/2006/relationships/hyperlink" Target="https://natsilmh.org.au/sites/default/files/gayaa_dhuwi_declaration_A4.pdf" TargetMode="External"/><Relationship Id="rId91" Type="http://schemas.openxmlformats.org/officeDocument/2006/relationships/footer" Target="footer12.xml"/><Relationship Id="rId96" Type="http://schemas.openxmlformats.org/officeDocument/2006/relationships/image" Target="media/image26.png"/><Relationship Id="rId140" Type="http://schemas.openxmlformats.org/officeDocument/2006/relationships/hyperlink" Target="https://www.cdc.gov/healthytribes/ghwic-funding.htm" TargetMode="External"/><Relationship Id="rId145" Type="http://schemas.openxmlformats.org/officeDocument/2006/relationships/hyperlink" Target="https://www.everycrsreport.com/files/20170717_R44040_26f7f41da6a2dd20af971a29387ab4af137a2480.pdf" TargetMode="External"/><Relationship Id="rId161" Type="http://schemas.openxmlformats.org/officeDocument/2006/relationships/hyperlink" Target="https://www.aboriginalaffairs.nsw.gov.au/media/website_pages/research-and-publications/completed-research-and-evaluation/Weaving-Knowledges-codesign-report-FINAL.pdf" TargetMode="External"/><Relationship Id="rId166" Type="http://schemas.openxmlformats.org/officeDocument/2006/relationships/hyperlink" Target="https://www.telethonkids.org.au/globalassets/media/documents/aboriginal-health/working-together-second-edition/wt-part-1-chapt-4-final.pdf" TargetMode="External"/><Relationship Id="rId182" Type="http://schemas.openxmlformats.org/officeDocument/2006/relationships/hyperlink" Target="https://www.sac-isc.gc.ca/eng/1386700365578/1611609830950" TargetMode="External"/><Relationship Id="rId187" Type="http://schemas.openxmlformats.org/officeDocument/2006/relationships/hyperlink" Target="https://www.ifsd.ca/web/default/files/Reports/2023-01-19_For%20website_Questions%20for%20federal%20funding%20of%20First%20Nations.pdf" TargetMode="External"/><Relationship Id="rId217" Type="http://schemas.openxmlformats.org/officeDocument/2006/relationships/hyperlink" Target="https://irp.cdn-website.com/0174bec0/files/uploaded/Dr%20Diane%20Smith%20report%20for%20AGMP%20combined%20PDF.pdf" TargetMode="External"/><Relationship Id="rId1" Type="http://schemas.microsoft.com/office/2006/relationships/keyMapCustomizations" Target="customizations.xml"/><Relationship Id="rId6" Type="http://schemas.openxmlformats.org/officeDocument/2006/relationships/numbering" Target="numbering.xml"/><Relationship Id="rId212" Type="http://schemas.openxmlformats.org/officeDocument/2006/relationships/hyperlink" Target="https://www.legislation.govt.nz/act/public/2000/0091/latest/whole.html" TargetMode="External"/><Relationship Id="rId233" Type="http://schemas.openxmlformats.org/officeDocument/2006/relationships/hyperlink" Target="https://www.msd.govt.nz/about-msd-and-our-work/publications-resources/journals-and-magazines/social-policy-journal/spj03/03-maori-demographic-trends.html" TargetMode="External"/><Relationship Id="rId238" Type="http://schemas.openxmlformats.org/officeDocument/2006/relationships/footer" Target="footer22.xml"/><Relationship Id="rId23" Type="http://schemas.openxmlformats.org/officeDocument/2006/relationships/image" Target="media/image9.png"/><Relationship Id="rId28" Type="http://schemas.openxmlformats.org/officeDocument/2006/relationships/footer" Target="footer5.xml"/><Relationship Id="rId49" Type="http://schemas.openxmlformats.org/officeDocument/2006/relationships/hyperlink" Target="https://www.niaa.gov.au/sites/default/files/publications/mhsewb-framework_0.pdf" TargetMode="External"/><Relationship Id="rId114" Type="http://schemas.openxmlformats.org/officeDocument/2006/relationships/image" Target="media/image28.png"/><Relationship Id="rId119" Type="http://schemas.openxmlformats.org/officeDocument/2006/relationships/image" Target="media/image29.png"/><Relationship Id="rId44" Type="http://schemas.openxmlformats.org/officeDocument/2006/relationships/footer" Target="footer9.xml"/><Relationship Id="rId60" Type="http://schemas.openxmlformats.org/officeDocument/2006/relationships/hyperlink" Target="https://link.springer.com/article/10.17269/CJPH.107.5366" TargetMode="External"/><Relationship Id="rId65" Type="http://schemas.openxmlformats.org/officeDocument/2006/relationships/hyperlink" Target="https://www.closingthegap.gov.au/sites/default/files/2022-09/ctg-national-agreement_apr-21-comm-infra-targets-updated-24-august-2022_0.pdf" TargetMode="External"/><Relationship Id="rId81" Type="http://schemas.openxmlformats.org/officeDocument/2006/relationships/hyperlink" Target="https://natsilmh.org.au/sites/default/files/uploads/Wharerata%20Declaration-JlLPS%202010.pd" TargetMode="External"/><Relationship Id="rId86" Type="http://schemas.openxmlformats.org/officeDocument/2006/relationships/hyperlink" Target="https://www.health.gov.au/our-work/indigenous-australians-health-programme" TargetMode="External"/><Relationship Id="rId130" Type="http://schemas.openxmlformats.org/officeDocument/2006/relationships/hyperlink" Target="https://aspe.hhs.gov/sites/default/files/documents/1b5d32824c31e113a2df43170c45ac15/aspe-ihs-funding-disparities-report.pdf" TargetMode="External"/><Relationship Id="rId135" Type="http://schemas.openxmlformats.org/officeDocument/2006/relationships/hyperlink" Target="https://www.anao.gov.au/sites/default/files/ANAO_Report_2010-2011_11.pdf" TargetMode="External"/><Relationship Id="rId151" Type="http://schemas.openxmlformats.org/officeDocument/2006/relationships/hyperlink" Target="https://www.finance.gov.au/government/procurement/buying-australian-government/procurement-process-considerations" TargetMode="External"/><Relationship Id="rId156" Type="http://schemas.openxmlformats.org/officeDocument/2006/relationships/hyperlink" Target="https://www.health.gov.au/sites/default/files/documents/2020/12/indigenous-australians-health-programme-primary-health-care-funding-model-overview-and-calculation-steps.docx" TargetMode="External"/><Relationship Id="rId177" Type="http://schemas.openxmlformats.org/officeDocument/2006/relationships/hyperlink" Target="https://hnc.org.au/commissioning/" TargetMode="External"/><Relationship Id="rId198" Type="http://schemas.openxmlformats.org/officeDocument/2006/relationships/hyperlink" Target="https://www.health.gov.au/sites/default/files/tackling-indigenous-smoking-program-final-evaluation-report-july-2018.pdf" TargetMode="External"/><Relationship Id="rId172" Type="http://schemas.openxmlformats.org/officeDocument/2006/relationships/hyperlink" Target="https://www.canada.ca/en/health-canada/corporate/transparency/corporate-management-reporting/internal-audits/bc-tripartite-agreement.html" TargetMode="External"/><Relationship Id="rId193" Type="http://schemas.openxmlformats.org/officeDocument/2006/relationships/hyperlink" Target="https://www.health.govt.nz/our-work/populations/maori-health/maori-health-providers" TargetMode="External"/><Relationship Id="rId202" Type="http://schemas.openxmlformats.org/officeDocument/2006/relationships/hyperlink" Target="https://www.procurement.govt.nz/assets/procurement-property/documents/guide-competitive-dialogue.pdf" TargetMode="External"/><Relationship Id="rId207" Type="http://schemas.openxmlformats.org/officeDocument/2006/relationships/hyperlink" Target="https://www.treasury.nsw.gov.au/sites/default/files/pdf/NSW_Commissioning_and_Contestability_Practice_Guide_-pdf.pdf" TargetMode="External"/><Relationship Id="rId223" Type="http://schemas.openxmlformats.org/officeDocument/2006/relationships/hyperlink" Target="https://tacklingsmoking.org.au/about-the-tackling-indigenous-smoking-resource-information-centre/" TargetMode="External"/><Relationship Id="rId228" Type="http://schemas.openxmlformats.org/officeDocument/2006/relationships/hyperlink" Target="https://www.un.org/development/desa/indigenouspeoples/wp-content/uploads/sites/19/2018/11/UNDRIP_E_web.pdf" TargetMode="External"/><Relationship Id="rId249" Type="http://schemas.openxmlformats.org/officeDocument/2006/relationships/fontTable" Target="fontTable.xml"/><Relationship Id="rId13" Type="http://schemas.openxmlformats.org/officeDocument/2006/relationships/image" Target="media/image2.png"/><Relationship Id="rId18" Type="http://schemas.openxmlformats.org/officeDocument/2006/relationships/header" Target="header3.xml"/><Relationship Id="rId39" Type="http://schemas.openxmlformats.org/officeDocument/2006/relationships/image" Target="media/image19.png"/><Relationship Id="rId109" Type="http://schemas.openxmlformats.org/officeDocument/2006/relationships/footer" Target="footer16.xml"/><Relationship Id="rId34" Type="http://schemas.openxmlformats.org/officeDocument/2006/relationships/image" Target="media/image16.png"/><Relationship Id="rId50" Type="http://schemas.openxmlformats.org/officeDocument/2006/relationships/hyperlink" Target="https://www.tsra.gov.au/__data/assets/pdf_file/0003/34590/TSRA-HCF-Guest-speaker-_-Matt-Cooke-QAIHC.pdf" TargetMode="External"/><Relationship Id="rId55" Type="http://schemas.openxmlformats.org/officeDocument/2006/relationships/hyperlink" Target="https://www.pc.gov.au/inquiries/completed/indigenous-evaluation/strategy/indigenous-evaluation-strategy.pdf" TargetMode="External"/><Relationship Id="rId76" Type="http://schemas.openxmlformats.org/officeDocument/2006/relationships/hyperlink" Target="https://treasury.gov.au/sites/default/files/2022-03/258735_national_aboriginal_community_controlled_health_organisation.pdf" TargetMode="External"/><Relationship Id="rId97" Type="http://schemas.openxmlformats.org/officeDocument/2006/relationships/image" Target="media/image27.png"/><Relationship Id="rId104" Type="http://schemas.openxmlformats.org/officeDocument/2006/relationships/header" Target="header14.xml"/><Relationship Id="rId120" Type="http://schemas.openxmlformats.org/officeDocument/2006/relationships/image" Target="media/image30.png"/><Relationship Id="rId125" Type="http://schemas.openxmlformats.org/officeDocument/2006/relationships/hyperlink" Target="https://www.aihw.gov.au/reports/australias-health/indigenous-health-and-wellbeing" TargetMode="External"/><Relationship Id="rId141" Type="http://schemas.openxmlformats.org/officeDocument/2006/relationships/hyperlink" Target="https://cbpatsisp.com.au/about-us/" TargetMode="External"/><Relationship Id="rId146" Type="http://schemas.openxmlformats.org/officeDocument/2006/relationships/hyperlink" Target="https://tacklingsmoking.org.au/wp-content/uploads/sites/5/2023/11/TIS_RTCG_FinalEvalReport_20220317_final.pdf" TargetMode="External"/><Relationship Id="rId167" Type="http://schemas.openxmlformats.org/officeDocument/2006/relationships/hyperlink" Target="https://gphn.org.au/what-we-do/commissioning-process/all-about-commissioning/" TargetMode="External"/><Relationship Id="rId188" Type="http://schemas.openxmlformats.org/officeDocument/2006/relationships/hyperlink" Target="https://www.census.gov/library/stories/2021/08/improved-race-ethnicity-measures-reveal-united-states-population-much-more-multiracial.html" TargetMode="External"/><Relationship Id="rId7" Type="http://schemas.openxmlformats.org/officeDocument/2006/relationships/styles" Target="styles.xml"/><Relationship Id="rId71" Type="http://schemas.openxmlformats.org/officeDocument/2006/relationships/hyperlink" Target="https://globalizationandhealth.biomedcentral.com/articles/10.1186/s12992-018-0332-2" TargetMode="External"/><Relationship Id="rId92" Type="http://schemas.openxmlformats.org/officeDocument/2006/relationships/image" Target="media/image22.png"/><Relationship Id="rId162" Type="http://schemas.openxmlformats.org/officeDocument/2006/relationships/hyperlink" Target="https://www.nationalempowermentproject.org.au/_files/ugd/396df4_9af682e3742644d78fb92435f7bd8c77.pdf" TargetMode="External"/><Relationship Id="rId183" Type="http://schemas.openxmlformats.org/officeDocument/2006/relationships/hyperlink" Target="https://www.sac-isc.gc.ca/eng/1581975820117/1581975841888" TargetMode="External"/><Relationship Id="rId213" Type="http://schemas.openxmlformats.org/officeDocument/2006/relationships/hyperlink" Target="https://www.pc.gov.au/inquiries/completed/mental-health/report/mental-health-volume1.pdf" TargetMode="External"/><Relationship Id="rId218" Type="http://schemas.openxmlformats.org/officeDocument/2006/relationships/hyperlink" Target="https://natsilmh.org.au/sites/default/files/uploads/Wharerata%20Declaration-JlLPS%202010.pd" TargetMode="External"/><Relationship Id="rId234" Type="http://schemas.openxmlformats.org/officeDocument/2006/relationships/hyperlink" Target="https://www.who.int/about/accountability/procurement/principles-and-processes/guiding-principles" TargetMode="External"/><Relationship Id="rId239" Type="http://schemas.openxmlformats.org/officeDocument/2006/relationships/image" Target="media/image33.jpeg"/><Relationship Id="rId2" Type="http://schemas.openxmlformats.org/officeDocument/2006/relationships/customXml" Target="../customXml/item1.xml"/><Relationship Id="rId29" Type="http://schemas.openxmlformats.org/officeDocument/2006/relationships/image" Target="media/image13.png"/><Relationship Id="rId250" Type="http://schemas.openxmlformats.org/officeDocument/2006/relationships/theme" Target="theme/theme1.xml"/><Relationship Id="rId24" Type="http://schemas.openxmlformats.org/officeDocument/2006/relationships/image" Target="media/image10.png"/><Relationship Id="rId40" Type="http://schemas.openxmlformats.org/officeDocument/2006/relationships/image" Target="media/image20.png"/><Relationship Id="rId45" Type="http://schemas.openxmlformats.org/officeDocument/2006/relationships/header" Target="header10.xml"/><Relationship Id="rId66" Type="http://schemas.openxmlformats.org/officeDocument/2006/relationships/hyperlink" Target="https://www.niaa.gov.au/2023-commonwealth-closing-gap-implementation-plan" TargetMode="External"/><Relationship Id="rId87" Type="http://schemas.openxmlformats.org/officeDocument/2006/relationships/hyperlink" Target="https://www.health.gov.au/our-work/aboriginal-and-torres-strait-islander-mental-health-program" TargetMode="External"/><Relationship Id="rId110" Type="http://schemas.openxmlformats.org/officeDocument/2006/relationships/header" Target="header17.xml"/><Relationship Id="rId115" Type="http://schemas.openxmlformats.org/officeDocument/2006/relationships/header" Target="header19.xml"/><Relationship Id="rId131" Type="http://schemas.openxmlformats.org/officeDocument/2006/relationships/hyperlink" Target="https://www.atsispep.sis.uwa.edu.au/__data/assets/pdf_file/0006/2947299/ATSISPEP-Report-Final-Web.pdf" TargetMode="External"/><Relationship Id="rId136" Type="http://schemas.openxmlformats.org/officeDocument/2006/relationships/hyperlink" Target="https://www.anao.gov.au/work/performance-audit/primary-healthcare-grants-under-the-indigenous-australians-health-program" TargetMode="External"/><Relationship Id="rId157" Type="http://schemas.openxmlformats.org/officeDocument/2006/relationships/hyperlink" Target="https://www.health.gov.au/sites/default/files/documents/2022/10/analysis-of-suicide-prevention-trials-evaluation-findings-discussion-paper.pdf" TargetMode="External"/><Relationship Id="rId178" Type="http://schemas.openxmlformats.org/officeDocument/2006/relationships/hyperlink" Target="https://www.iahpyarnes.com/phc/the-iahp" TargetMode="External"/><Relationship Id="rId61" Type="http://schemas.openxmlformats.org/officeDocument/2006/relationships/hyperlink" Target="https://www.closingthegap.gov.au/national-agreement/national-agreement-closing-the-gap/6-priority-reform-areas/two" TargetMode="External"/><Relationship Id="rId82" Type="http://schemas.openxmlformats.org/officeDocument/2006/relationships/hyperlink" Target="https://www.un.org/development/desa/indigenouspeoples/wp-content/uploads/sites/19/2018/11/UNDRIP_E_web.pdf" TargetMode="External"/><Relationship Id="rId152" Type="http://schemas.openxmlformats.org/officeDocument/2006/relationships/hyperlink" Target="https://www.health.gov.au/sites/default/files/documents/2021/04/primary-health-networks-phn-and-aboriginal-community-controlled-health-organisations-guiding-principles.pdf" TargetMode="External"/><Relationship Id="rId173" Type="http://schemas.openxmlformats.org/officeDocument/2006/relationships/hyperlink" Target="https://www.tewhatuora.govt.nz/our-health-system/primary-care-sector/primary-health-organisations/enrolment-with-a-general-practice-and-primary-health-organisation" TargetMode="External"/><Relationship Id="rId194" Type="http://schemas.openxmlformats.org/officeDocument/2006/relationships/hyperlink" Target="https://www.health.govt.nz/our-work/populations/maori-health/he-korowai-oranga" TargetMode="External"/><Relationship Id="rId199" Type="http://schemas.openxmlformats.org/officeDocument/2006/relationships/hyperlink" Target="https://nacchocommunique.files.wordpress.com/2016/12/cultural_respect_framework_1december2016_1.pdf" TargetMode="External"/><Relationship Id="rId203" Type="http://schemas.openxmlformats.org/officeDocument/2006/relationships/hyperlink" Target="https://www.health.govt.nz/system/files/documents/publications/hp8132-igps-v28.pdf" TargetMode="External"/><Relationship Id="rId208" Type="http://schemas.openxmlformats.org/officeDocument/2006/relationships/hyperlink" Target="https://cbpatsisp.com.au/wp-content/uploads/2021/03/SEWB-Workforce-Workshop-Report.pdf" TargetMode="External"/><Relationship Id="rId229" Type="http://schemas.openxmlformats.org/officeDocument/2006/relationships/hyperlink" Target="https://www.un.org/en/academic-impact/capacity-building" TargetMode="External"/><Relationship Id="rId19" Type="http://schemas.openxmlformats.org/officeDocument/2006/relationships/footer" Target="footer2.xml"/><Relationship Id="rId224" Type="http://schemas.openxmlformats.org/officeDocument/2006/relationships/hyperlink" Target="https://www.teakawhaiora.nz/our-work/" TargetMode="External"/><Relationship Id="rId240" Type="http://schemas.openxmlformats.org/officeDocument/2006/relationships/image" Target="media/image34.png"/><Relationship Id="rId245" Type="http://schemas.openxmlformats.org/officeDocument/2006/relationships/image" Target="media/image35.jpeg"/><Relationship Id="rId14" Type="http://schemas.openxmlformats.org/officeDocument/2006/relationships/image" Target="media/image3.png"/><Relationship Id="rId30" Type="http://schemas.openxmlformats.org/officeDocument/2006/relationships/image" Target="media/image14.png"/><Relationship Id="rId35" Type="http://schemas.openxmlformats.org/officeDocument/2006/relationships/image" Target="media/image17.png"/><Relationship Id="rId56" Type="http://schemas.openxmlformats.org/officeDocument/2006/relationships/hyperlink" Target="https://www.torch.health.qld.gov.au/" TargetMode="External"/><Relationship Id="rId77" Type="http://schemas.openxmlformats.org/officeDocument/2006/relationships/hyperlink" Target="https://www.niaa.gov.au/areas-of-focus" TargetMode="External"/><Relationship Id="rId100" Type="http://schemas.openxmlformats.org/officeDocument/2006/relationships/hyperlink" Target="https://www.closingthegap.gov.au/national-agreement/national-agreement-closing-the-gap/6-priority-reform-areas/two" TargetMode="External"/><Relationship Id="rId105" Type="http://schemas.openxmlformats.org/officeDocument/2006/relationships/footer" Target="footer14.xml"/><Relationship Id="rId126" Type="http://schemas.openxmlformats.org/officeDocument/2006/relationships/hyperlink" Target="https://www.aihw.gov.au/reports/indigenous-australians/cultural-safety-health-care-framework/contents/module-1-culturally-respectful-health-care-services" TargetMode="External"/><Relationship Id="rId147" Type="http://schemas.openxmlformats.org/officeDocument/2006/relationships/hyperlink" Target="https://www.health.gov.au/sites/default/files/documents/2021/11/national-suicide-prevention-trial-final-evaluation-report_0.pdf" TargetMode="External"/><Relationship Id="rId168" Type="http://schemas.openxmlformats.org/officeDocument/2006/relationships/hyperlink" Target="https://www.mediastatements.wa.gov.au/Pages/McGowan/2022/06/Mental-health-pilot-to-boost-Aboriginal-social-and-emotional-wellbeing.aspx" TargetMode="External"/><Relationship Id="rId8" Type="http://schemas.openxmlformats.org/officeDocument/2006/relationships/settings" Target="settings.xml"/><Relationship Id="rId51" Type="http://schemas.openxmlformats.org/officeDocument/2006/relationships/hyperlink" Target="https://www.health.gov.au/sites/default/files/documents/2022/06/national-aboriginal-and-torres-strait-islander-health-plan-2021-2031.pdf" TargetMode="External"/><Relationship Id="rId72" Type="http://schemas.openxmlformats.org/officeDocument/2006/relationships/hyperlink" Target="https://www.iahpyarnes.com/phc/the-iahp" TargetMode="External"/><Relationship Id="rId93" Type="http://schemas.openxmlformats.org/officeDocument/2006/relationships/image" Target="media/image23.png"/><Relationship Id="rId98" Type="http://schemas.openxmlformats.org/officeDocument/2006/relationships/header" Target="header13.xml"/><Relationship Id="rId121" Type="http://schemas.openxmlformats.org/officeDocument/2006/relationships/image" Target="media/image31.jpeg"/><Relationship Id="rId142" Type="http://schemas.openxmlformats.org/officeDocument/2006/relationships/hyperlink" Target="https://www.closingthegap.gov.au/sites/default/files/2022-09/ctg-national-agreement_apr-21-comm-infra-targets-updated-24-august-2022_0.pdf" TargetMode="External"/><Relationship Id="rId163" Type="http://schemas.openxmlformats.org/officeDocument/2006/relationships/hyperlink" Target="https://www.ehinz.ac.nz/indicators/population-vulnerability/ethnic-profile/" TargetMode="External"/><Relationship Id="rId184" Type="http://schemas.openxmlformats.org/officeDocument/2006/relationships/hyperlink" Target="https://www.sac-isc.gc.ca/eng/1626810177053/1626810219482" TargetMode="External"/><Relationship Id="rId189" Type="http://schemas.openxmlformats.org/officeDocument/2006/relationships/hyperlink" Target="https://www.austlii.edu.au/au/journals/AUIndigLawRw/2016/11.pdf" TargetMode="External"/><Relationship Id="rId219" Type="http://schemas.openxmlformats.org/officeDocument/2006/relationships/hyperlink" Target="https://www.southcentralfoundation.com/nuka-system-of-care/" TargetMode="External"/><Relationship Id="rId3" Type="http://schemas.openxmlformats.org/officeDocument/2006/relationships/customXml" Target="../customXml/item2.xml"/><Relationship Id="rId214" Type="http://schemas.openxmlformats.org/officeDocument/2006/relationships/hyperlink" Target="https://www.pwc.com.au/publications/pdf/funding-thought-leadership-18apr18.pdf" TargetMode="External"/><Relationship Id="rId230" Type="http://schemas.openxmlformats.org/officeDocument/2006/relationships/hyperlink" Target="https://indigenousfoundations.arts.ubc.ca/bands/" TargetMode="External"/><Relationship Id="rId235" Type="http://schemas.openxmlformats.org/officeDocument/2006/relationships/header" Target="header21.xml"/><Relationship Id="rId251" Type="http://schemas.microsoft.com/office/2019/05/relationships/documenttasks" Target="documenttasks/documenttasks1.xml"/><Relationship Id="rId25" Type="http://schemas.openxmlformats.org/officeDocument/2006/relationships/image" Target="media/image11.png"/><Relationship Id="rId46" Type="http://schemas.openxmlformats.org/officeDocument/2006/relationships/footer" Target="footer10.xml"/><Relationship Id="rId67" Type="http://schemas.openxmlformats.org/officeDocument/2006/relationships/hyperlink" Target="https://www.vic.gov.au/dhelk-dja-monitoring-evaluation-and-accountability-plan/print-all" TargetMode="External"/><Relationship Id="rId116" Type="http://schemas.openxmlformats.org/officeDocument/2006/relationships/footer" Target="footer19.xml"/><Relationship Id="rId137" Type="http://schemas.openxmlformats.org/officeDocument/2006/relationships/hyperlink" Target="https://www.cqu.edu.au/__data/assets/pdf_file/0025/145663/transition-to-community-control-reports.pdf" TargetMode="External"/><Relationship Id="rId158" Type="http://schemas.openxmlformats.org/officeDocument/2006/relationships/hyperlink" Target="https://www.health.gov.au/our-work/indigenous-australians-health-programme" TargetMode="External"/><Relationship Id="rId20" Type="http://schemas.openxmlformats.org/officeDocument/2006/relationships/footer" Target="footer3.xml"/><Relationship Id="rId41" Type="http://schemas.openxmlformats.org/officeDocument/2006/relationships/header" Target="header8.xml"/><Relationship Id="rId62" Type="http://schemas.openxmlformats.org/officeDocument/2006/relationships/hyperlink" Target="https://www.anao.gov.au/work/performance-audit/primary-healthcare-grants-under-the-indigenous-australians-health-program" TargetMode="External"/><Relationship Id="rId83" Type="http://schemas.openxmlformats.org/officeDocument/2006/relationships/hyperlink" Target="https://www.vahs.org.au/history-post-1967/" TargetMode="External"/><Relationship Id="rId88" Type="http://schemas.openxmlformats.org/officeDocument/2006/relationships/hyperlink" Target="http://www.nintione.com.au/resource/Aboriginal-Knowledge-and-IP-Protocol-Community-Guide-booklet-A5.pdf" TargetMode="External"/><Relationship Id="rId111" Type="http://schemas.openxmlformats.org/officeDocument/2006/relationships/footer" Target="footer17.xml"/><Relationship Id="rId132" Type="http://schemas.openxmlformats.org/officeDocument/2006/relationships/hyperlink" Target="https://www.closingthegap.gov.au/national-agreement/national-agreement-closing-the-gap/6-priority-reform-areas/two" TargetMode="External"/><Relationship Id="rId153" Type="http://schemas.openxmlformats.org/officeDocument/2006/relationships/hyperlink" Target="https://www.health.gov.au/sites/default/files/documents/2021/04/primary-health-networks-phn-grant-program-guidelines-phn-grant-program-guidelines.pdf" TargetMode="External"/><Relationship Id="rId174" Type="http://schemas.openxmlformats.org/officeDocument/2006/relationships/hyperlink" Target="https://northeasthealth.org.au/wp-content/uploads/Good-Procurement-Guide.pdf" TargetMode="External"/><Relationship Id="rId179" Type="http://schemas.openxmlformats.org/officeDocument/2006/relationships/hyperlink" Target="https://drive.google.com/drive/u/0/folders/1l3dROKUHJDktw5KlY8jC9veLQa8otqdC" TargetMode="External"/><Relationship Id="rId195" Type="http://schemas.openxmlformats.org/officeDocument/2006/relationships/hyperlink" Target="https://www.health.govt.nz/about-ministry/what-we-do/pae-ora-healthy-futures-act" TargetMode="External"/><Relationship Id="rId209" Type="http://schemas.openxmlformats.org/officeDocument/2006/relationships/hyperlink" Target="https://www.oecd.org/gov/ethics/48994520.pdf" TargetMode="External"/><Relationship Id="rId190" Type="http://schemas.openxmlformats.org/officeDocument/2006/relationships/hyperlink" Target="https://static1.squarespace.com/static/5b3043afb40b9d20411f3512/t/63ed934fe861fa061ebb9202/1676514134724/Communique-Indigenous-Data-Sovereignty-Summit.pdf" TargetMode="External"/><Relationship Id="rId204" Type="http://schemas.openxmlformats.org/officeDocument/2006/relationships/hyperlink" Target="https://www.procurement.govt.nz/procurement/principles-charter-and-rules/government-procurement-principles/" TargetMode="External"/><Relationship Id="rId220" Type="http://schemas.openxmlformats.org/officeDocument/2006/relationships/hyperlink" Target="https://www.stats.govt.nz/information-releases/national-population-estimates-at-30-june-2022/" TargetMode="External"/><Relationship Id="rId225" Type="http://schemas.openxmlformats.org/officeDocument/2006/relationships/hyperlink" Target="https://www.tewhatuora.govt.nz/about-us/publications/te-pae-tata-interim-new-zealand-health-plan-2022/" TargetMode="External"/><Relationship Id="rId246" Type="http://schemas.openxmlformats.org/officeDocument/2006/relationships/image" Target="media/image36.png"/><Relationship Id="rId15" Type="http://schemas.openxmlformats.org/officeDocument/2006/relationships/header" Target="header1.xml"/><Relationship Id="rId36" Type="http://schemas.openxmlformats.org/officeDocument/2006/relationships/image" Target="media/image18.png"/><Relationship Id="rId57" Type="http://schemas.openxmlformats.org/officeDocument/2006/relationships/header" Target="header11.xml"/><Relationship Id="rId106" Type="http://schemas.openxmlformats.org/officeDocument/2006/relationships/header" Target="header15.xml"/><Relationship Id="rId127" Type="http://schemas.openxmlformats.org/officeDocument/2006/relationships/hyperlink" Target="https://www.aihw.gov.au/reports/australias-health/indigenous-australians-use-of-health-services" TargetMode="External"/><Relationship Id="rId10" Type="http://schemas.openxmlformats.org/officeDocument/2006/relationships/footnotes" Target="footnotes.xml"/><Relationship Id="rId31" Type="http://schemas.openxmlformats.org/officeDocument/2006/relationships/header" Target="header6.xml"/><Relationship Id="rId52" Type="http://schemas.openxmlformats.org/officeDocument/2006/relationships/hyperlink" Target="https://www.health.gov.au/sites/default/files/documents/2021/02/national-aboriginal-and-torres-strait-islander-health-plan-2013-2023.pdf" TargetMode="External"/><Relationship Id="rId73" Type="http://schemas.openxmlformats.org/officeDocument/2006/relationships/hyperlink" Target="https://doi.org/10.1186/s12875-020-01300-z" TargetMode="External"/><Relationship Id="rId78" Type="http://schemas.openxmlformats.org/officeDocument/2006/relationships/hyperlink" Target="https://researchinvolvement.biomedcentral.com/articles/10.1186/s40900-020-0176-9" TargetMode="External"/><Relationship Id="rId94" Type="http://schemas.openxmlformats.org/officeDocument/2006/relationships/image" Target="media/image24.png"/><Relationship Id="rId99" Type="http://schemas.openxmlformats.org/officeDocument/2006/relationships/footer" Target="footer13.xml"/><Relationship Id="rId101" Type="http://schemas.openxmlformats.org/officeDocument/2006/relationships/hyperlink" Target="https://www.tsra.gov.au/__data/assets/pdf_file/0003/34590/TSRA-HCF-Guest-speaker-_-Matt-Cooke-QAIHC.pdf" TargetMode="External"/><Relationship Id="rId122" Type="http://schemas.openxmlformats.org/officeDocument/2006/relationships/image" Target="media/image32.png"/><Relationship Id="rId143" Type="http://schemas.openxmlformats.org/officeDocument/2006/relationships/hyperlink" Target="https://coalitionofpeaks.org.au/resources/coalition-of-peaks-annual-report-2021-2022/?utm_source=rss&amp;utm_medium=rss&amp;utm_campaign=coalition-of-peaks-annual-report-2021-2022" TargetMode="External"/><Relationship Id="rId148" Type="http://schemas.openxmlformats.org/officeDocument/2006/relationships/hyperlink" Target="https://www.wa.gov.au/organisation/department-of-communities/remote-aboriginal-communities" TargetMode="External"/><Relationship Id="rId164" Type="http://schemas.openxmlformats.org/officeDocument/2006/relationships/hyperlink" Target="https://www.health.gov.au/sites/default/files/documents/2021/06/evaluation-of-the-primary-health-networks-program.pdf" TargetMode="External"/><Relationship Id="rId169" Type="http://schemas.openxmlformats.org/officeDocument/2006/relationships/hyperlink" Target="https://www.wa.gov.au/system/files/2022-10/Annual%20Report%20in%20Closing%20the%20Gap%202022%202.pdf" TargetMode="External"/><Relationship Id="rId185" Type="http://schemas.openxmlformats.org/officeDocument/2006/relationships/hyperlink" Target="https://www.sac-isc.gc.ca/eng/1585189335380/1585189357198" TargetMode="External"/><Relationship Id="rId4" Type="http://schemas.openxmlformats.org/officeDocument/2006/relationships/customXml" Target="../customXml/item3.xml"/><Relationship Id="rId9" Type="http://schemas.openxmlformats.org/officeDocument/2006/relationships/webSettings" Target="webSettings.xml"/><Relationship Id="rId180" Type="http://schemas.openxmlformats.org/officeDocument/2006/relationships/hyperlink" Target="https://publications.gc.ca/collections/collection_2018/aanc-inac/H34-313-1-2017-eng.pdf" TargetMode="External"/><Relationship Id="rId210" Type="http://schemas.openxmlformats.org/officeDocument/2006/relationships/hyperlink" Target="https://minorityhealth.hhs.gov/omh/browse.aspx?lvl=3&amp;lvlid=62" TargetMode="External"/><Relationship Id="rId215" Type="http://schemas.openxmlformats.org/officeDocument/2006/relationships/hyperlink" Target="https://www.sahealth.sa.gov.au/wps/wcm/connect/07ab7000-b0c4-4422-9ab1-29649c0fe133/20133.1+Commissioning+Framework+A4+Report-v3.pdf?MOD=AJPERES&amp;amp;CACHEID=ROOTWORKSPACE-07ab7000-b0c4-4422-9ab1-29649c0fe133-nKLbaq1" TargetMode="External"/><Relationship Id="rId236" Type="http://schemas.openxmlformats.org/officeDocument/2006/relationships/footer" Target="footer21.xml"/><Relationship Id="rId26" Type="http://schemas.openxmlformats.org/officeDocument/2006/relationships/image" Target="media/image12.png"/><Relationship Id="rId231" Type="http://schemas.openxmlformats.org/officeDocument/2006/relationships/hyperlink" Target="https://research-repository.uwa.edu.au/en/projects/ahcwa-sewb-pilot-evaluation" TargetMode="External"/><Relationship Id="rId47" Type="http://schemas.openxmlformats.org/officeDocument/2006/relationships/hyperlink" Target="https://www.closingthegap.gov.au/national-agreement/national-agreement-closing-the-gap/6-priority-reform-areas/two" TargetMode="External"/><Relationship Id="rId68" Type="http://schemas.openxmlformats.org/officeDocument/2006/relationships/hyperlink" Target="https://www.health.gov.au/sites/default/files/documents/2020/12/indigenous-australians-health-programme-primary-health-care-funding-model-overview-and-calculation-steps.docx" TargetMode="External"/><Relationship Id="rId89" Type="http://schemas.openxmlformats.org/officeDocument/2006/relationships/image" Target="media/image21.png"/><Relationship Id="rId112" Type="http://schemas.openxmlformats.org/officeDocument/2006/relationships/header" Target="header18.xml"/><Relationship Id="rId133" Type="http://schemas.openxmlformats.org/officeDocument/2006/relationships/hyperlink" Target="https://aigi.org.au/toolkit/2-1-indigenous-governance-and-culture" TargetMode="External"/><Relationship Id="rId154" Type="http://schemas.openxmlformats.org/officeDocument/2006/relationships/hyperlink" Target="https://www.health.gov.au/sites/default/files/documents/2021/04/primary-health-networks-phn-performance-and-quality-framework.pdf" TargetMode="External"/><Relationship Id="rId175" Type="http://schemas.openxmlformats.org/officeDocument/2006/relationships/hyperlink" Target="https://healthsharevic.org.au/assets/HPP/HPPs-all.pdf" TargetMode="External"/><Relationship Id="rId196" Type="http://schemas.openxmlformats.org/officeDocument/2006/relationships/hyperlink" Target="https://www.health.govt.nz/system/files/documents/publications/maorihthproviderfunding_2022_v2indd.pdf" TargetMode="External"/><Relationship Id="rId200" Type="http://schemas.openxmlformats.org/officeDocument/2006/relationships/hyperlink" Target="https://natsilmh.org.au/sites/default/files/gayaa_dhuwi_declaration_A4.pdf" TargetMode="External"/><Relationship Id="rId16" Type="http://schemas.openxmlformats.org/officeDocument/2006/relationships/header" Target="header2.xml"/><Relationship Id="rId221" Type="http://schemas.openxmlformats.org/officeDocument/2006/relationships/hyperlink" Target="https://www.stats.govt.nz/information-releases/maori-population-estimates-mean-year-ended-31-december-2021/" TargetMode="External"/><Relationship Id="rId37" Type="http://schemas.openxmlformats.org/officeDocument/2006/relationships/header" Target="header7.xml"/><Relationship Id="rId58" Type="http://schemas.openxmlformats.org/officeDocument/2006/relationships/footer" Target="footer11.xml"/><Relationship Id="rId79" Type="http://schemas.openxmlformats.org/officeDocument/2006/relationships/hyperlink" Target="https://parlinfo.aph.gov.au/parlInfo/download/library/prspub/FXED6/upload_binary/fxed68.pdf;fileType=application%2Fpdf" TargetMode="External"/><Relationship Id="rId102" Type="http://schemas.openxmlformats.org/officeDocument/2006/relationships/hyperlink" Target="https://www.nccih.ca/Publications/Lists/Publications/Attachments/317/Ind-Self-Determine-Halseth-Murdoch-EN-web-2020-12-02.pdf" TargetMode="External"/><Relationship Id="rId123" Type="http://schemas.openxmlformats.org/officeDocument/2006/relationships/hyperlink" Target="https://www.nationalempowermentproject.org.au/_files/ugd/396df4_75ecfe319ab048eb98b27e8370c06e89.pdf" TargetMode="External"/><Relationship Id="rId144" Type="http://schemas.openxmlformats.org/officeDocument/2006/relationships/hyperlink" Target="https://crsreports.congress.gov/product/pdf/R/R43330" TargetMode="External"/><Relationship Id="rId90" Type="http://schemas.openxmlformats.org/officeDocument/2006/relationships/header" Target="header12.xml"/><Relationship Id="rId165" Type="http://schemas.openxmlformats.org/officeDocument/2006/relationships/hyperlink" Target="https://508216-1694375-raikfcquaxqncofqfm.stackpathdns.com/wp-content/uploads/First-Nations-Health-Governance-Structure-in-British-Columbia.pdf" TargetMode="External"/><Relationship Id="rId186" Type="http://schemas.openxmlformats.org/officeDocument/2006/relationships/hyperlink" Target="https://www.sac-isc.gc.ca/eng/1595249887428/1595249904867" TargetMode="External"/><Relationship Id="rId211" Type="http://schemas.openxmlformats.org/officeDocument/2006/relationships/hyperlink" Target="https://core.ac.uk/download/pdf/43335693.pdf" TargetMode="External"/><Relationship Id="rId232" Type="http://schemas.openxmlformats.org/officeDocument/2006/relationships/hyperlink" Target="https://www.vic.gov.au/framework-place-based-approaches/print-all" TargetMode="External"/><Relationship Id="rId27" Type="http://schemas.openxmlformats.org/officeDocument/2006/relationships/header" Target="header5.xml"/><Relationship Id="rId48" Type="http://schemas.openxmlformats.org/officeDocument/2006/relationships/hyperlink" Target="https://www.closingthegap.gov.au/sites/default/files/2022-09/ctg-national-agreement_apr-21-comm-infra-targets-updated-24-august-2022_0.pdf" TargetMode="External"/><Relationship Id="rId69" Type="http://schemas.openxmlformats.org/officeDocument/2006/relationships/hyperlink" Target="https://www.health.gov.au/our-work/indigenous-australians-health-programme" TargetMode="External"/><Relationship Id="rId113" Type="http://schemas.openxmlformats.org/officeDocument/2006/relationships/footer" Target="footer18.xml"/><Relationship Id="rId134" Type="http://schemas.openxmlformats.org/officeDocument/2006/relationships/hyperlink" Target="https://healthinfonet.ecu.edu.au/learn/locations/wa/" TargetMode="External"/><Relationship Id="rId80" Type="http://schemas.openxmlformats.org/officeDocument/2006/relationships/hyperlink" Target="https://www.pc.gov.au/inquiries/current/closing-the-gap-review/draft/closing-the-gap-review-draft.pdf" TargetMode="External"/><Relationship Id="rId155" Type="http://schemas.openxmlformats.org/officeDocument/2006/relationships/hyperlink" Target="https://www.health.gov.au/sites/default/files/documents/2021/06/primary-health-networks-phns-commissioning-information-sheet-overview.pdf" TargetMode="External"/><Relationship Id="rId176" Type="http://schemas.openxmlformats.org/officeDocument/2006/relationships/hyperlink" Target="https://hnc.org.au/wp-content/uploads/2018/02/Procurement-Manual-V3.1-Feb-2017-emailable-version.pdf" TargetMode="External"/><Relationship Id="rId197" Type="http://schemas.openxmlformats.org/officeDocument/2006/relationships/hyperlink" Target="https://www.health.govt.nz/system/files/documents/publications/commissioning-for-pae-ora-healthy-futures-2022-framework-jan23.pdf" TargetMode="External"/><Relationship Id="rId201" Type="http://schemas.openxmlformats.org/officeDocument/2006/relationships/hyperlink" Target="https://treasury.gov.au/sites/default/files/2022-03/258735_national_aboriginal_community_controlled_health_organisation.pdf" TargetMode="External"/><Relationship Id="rId222" Type="http://schemas.openxmlformats.org/officeDocument/2006/relationships/hyperlink" Target="https://www.aihw.gov.au/getmedia/322b47bf-ac2c-4de7-9b43-88dd001e8dfe/ctgc-rs08.pdf.aspx?inline=true" TargetMode="External"/></Relationships>
</file>

<file path=word/_rels/footer2.xml.rels><?xml version="1.0" encoding="UTF-8" standalone="yes"?>
<Relationships xmlns="http://schemas.openxmlformats.org/package/2006/relationships"><Relationship Id="rId3" Type="http://schemas.openxmlformats.org/officeDocument/2006/relationships/image" Target="cid:image002.png@01D8C8E7.B2739730" TargetMode="External"/><Relationship Id="rId7" Type="http://schemas.openxmlformats.org/officeDocument/2006/relationships/image" Target="media/image7.png"/><Relationship Id="rId2" Type="http://schemas.openxmlformats.org/officeDocument/2006/relationships/image" Target="media/image4.png"/><Relationship Id="rId1" Type="http://schemas.openxmlformats.org/officeDocument/2006/relationships/image" Target="media/image1.png"/><Relationship Id="rId6" Type="http://schemas.openxmlformats.org/officeDocument/2006/relationships/image" Target="cid:image002.png@01D8C8E7.B2739730" TargetMode="External"/><Relationship Id="rId5" Type="http://schemas.openxmlformats.org/officeDocument/2006/relationships/image" Target="media/image6.png"/><Relationship Id="rId4"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8.png"/></Relationships>
</file>

<file path=word/documenttasks/documenttasks1.xml><?xml version="1.0" encoding="utf-8"?>
<t:Tasks xmlns:t="http://schemas.microsoft.com/office/tasks/2019/documenttasks" xmlns:oel="http://schemas.microsoft.com/office/2019/extlst">
  <t:Task id="{1A1C6558-1FBA-BA45-8F08-61554FCA0663}">
    <t:Anchor>
      <t:Comment id="2118146054"/>
    </t:Anchor>
    <t:History>
      <t:Event id="{E2101037-BA49-7642-8998-11ED2A439753}" time="2023-09-05T12:05:55.423Z">
        <t:Attribution userId="S::shol.blustein@impactco.com.au::d8ccb26f-94ca-4f41-a463-f29f212b6dfa" userProvider="AD" userName="Shol Blustein (he/him)"/>
        <t:Anchor>
          <t:Comment id="2118146054"/>
        </t:Anchor>
        <t:Create/>
      </t:Event>
      <t:Event id="{5D636AD7-B7D2-5146-9F2E-342E08663519}" time="2023-09-05T12:05:55.423Z">
        <t:Attribution userId="S::shol.blustein@impactco.com.au::d8ccb26f-94ca-4f41-a463-f29f212b6dfa" userProvider="AD" userName="Shol Blustein (he/him)"/>
        <t:Anchor>
          <t:Comment id="2118146054"/>
        </t:Anchor>
        <t:Assign userId="S::tristan.ceccato@impactco.com.au::b7fd1ce3-8b8c-42cd-96de-8547b7ab6f17" userProvider="AD" userName="Tristan Ceccato (he/him)"/>
      </t:Event>
      <t:Event id="{7E61775B-1EDF-814E-9C02-9B715DCB78F7}" time="2023-09-05T12:05:55.423Z">
        <t:Attribution userId="S::shol.blustein@impactco.com.au::d8ccb26f-94ca-4f41-a463-f29f212b6dfa" userProvider="AD" userName="Shol Blustein (he/him)"/>
        <t:Anchor>
          <t:Comment id="2118146054"/>
        </t:Anchor>
        <t:SetTitle title="@Tristan Ceccato (he/him) Suggest that this entire section be moved to an appendix that I have referred in the ‘overview’ section. "/>
      </t:Event>
      <t:Event id="{8FA3D337-E6F3-8C47-9C99-9495CE44529D}" time="2023-09-06T07:25:05.729Z">
        <t:Attribution userId="S::tristan.ceccato@impactco.com.au::b7fd1ce3-8b8c-42cd-96de-8547b7ab6f17" userProvider="AD" userName="Tristan Ceccato (he/him)"/>
        <t:Progress percentComplete="100"/>
      </t:Event>
    </t:History>
  </t:Task>
  <t:Task id="{AA6EEEC6-EB30-E644-B7A2-54525FD1A5E4}">
    <t:Anchor>
      <t:Comment id="1504002147"/>
    </t:Anchor>
    <t:History>
      <t:Event id="{C0E01421-470A-5A4C-8711-D3415BA0B192}" time="2023-09-04T20:37:38.474Z">
        <t:Attribution userId="S::shol.blustein@impactco.com.au::d8ccb26f-94ca-4f41-a463-f29f212b6dfa" userProvider="AD" userName="Shol Blustein (he/him)"/>
        <t:Anchor>
          <t:Comment id="1504002147"/>
        </t:Anchor>
        <t:Create/>
      </t:Event>
      <t:Event id="{10A31FF8-8043-DA4B-959B-12D0BFD2E13F}" time="2023-09-04T20:37:38.474Z">
        <t:Attribution userId="S::shol.blustein@impactco.com.au::d8ccb26f-94ca-4f41-a463-f29f212b6dfa" userProvider="AD" userName="Shol Blustein (he/him)"/>
        <t:Anchor>
          <t:Comment id="1504002147"/>
        </t:Anchor>
        <t:Assign userId="S::tristan.ceccato@impactco.com.au::b7fd1ce3-8b8c-42cd-96de-8547b7ab6f17" userProvider="AD" userName="Tristan Ceccato (he/him)"/>
      </t:Event>
      <t:Event id="{7E6EC79E-BAD1-404D-A92B-60C29ECFDD42}" time="2023-09-04T20:37:38.474Z">
        <t:Attribution userId="S::shol.blustein@impactco.com.au::d8ccb26f-94ca-4f41-a463-f29f212b6dfa" userProvider="AD" userName="Shol Blustein (he/him)"/>
        <t:Anchor>
          <t:Comment id="1504002147"/>
        </t:Anchor>
        <t:SetTitle title="@Tristan Ceccato (he/him) I’ve tried to re-word this paragraph as I wasn’t really following what was going on. However, I’m not sure that this is how you intended it, so would be good to have you confirm you’re ok with the language / framing."/>
      </t:Event>
      <t:Event id="{30BEC82C-7C7E-2949-80AA-A30B6EB93E5C}" time="2023-09-04T22:40:02.447Z">
        <t:Attribution userId="S::tristan.ceccato@impactco.com.au::b7fd1ce3-8b8c-42cd-96de-8547b7ab6f17" userProvider="AD" userName="Tristan Ceccato (he/him)"/>
        <t:Progress percentComplete="100"/>
      </t:Event>
    </t:History>
  </t:Task>
  <t:Task id="{389E2393-5841-1D4A-A831-C301C2361BEF}">
    <t:Anchor>
      <t:Comment id="681248861"/>
    </t:Anchor>
    <t:History>
      <t:Event id="{E6F57695-E7F1-C24C-8B97-6D8DFD4D8047}" time="2023-09-05T12:18:15.146Z">
        <t:Attribution userId="S::shol.blustein@impactco.com.au::d8ccb26f-94ca-4f41-a463-f29f212b6dfa" userProvider="AD" userName="Shol Blustein (he/him)"/>
        <t:Anchor>
          <t:Comment id="278651988"/>
        </t:Anchor>
        <t:Create/>
      </t:Event>
      <t:Event id="{BF59AD5D-99C1-3545-969F-9FD3AF578182}" time="2023-09-05T12:18:15.146Z">
        <t:Attribution userId="S::shol.blustein@impactco.com.au::d8ccb26f-94ca-4f41-a463-f29f212b6dfa" userProvider="AD" userName="Shol Blustein (he/him)"/>
        <t:Anchor>
          <t:Comment id="278651988"/>
        </t:Anchor>
        <t:Assign userId="S::tristan.ceccato@impactco.com.au::b7fd1ce3-8b8c-42cd-96de-8547b7ab6f17" userProvider="AD" userName="Tristan Ceccato (he/him)"/>
      </t:Event>
      <t:Event id="{A407C760-D0C6-D045-8842-A7E6A976064A}" time="2023-09-05T12:18:15.146Z">
        <t:Attribution userId="S::shol.blustein@impactco.com.au::d8ccb26f-94ca-4f41-a463-f29f212b6dfa" userProvider="AD" userName="Shol Blustein (he/him)"/>
        <t:Anchor>
          <t:Comment id="278651988"/>
        </t:Anchor>
        <t:SetTitle title="@Tristan Ceccato (he/him) I agree that these are important and I reckon they can go into either section 2.2 or 2.3, as they represent contemporary models of funding"/>
      </t:Event>
      <t:Event id="{F77B3746-1FC3-F848-8626-60BA1102A512}" time="2023-09-06T09:38:37.578Z">
        <t:Attribution userId="S::tristan.ceccato@impactco.com.au::b7fd1ce3-8b8c-42cd-96de-8547b7ab6f17" userProvider="AD" userName="Tristan Ceccato (he/him)"/>
        <t:Progress percentComplete="100"/>
      </t:Event>
    </t:History>
  </t:Task>
</t:Tasks>
</file>

<file path=word/theme/theme1.xml><?xml version="1.0" encoding="utf-8"?>
<a:theme xmlns:a="http://schemas.openxmlformats.org/drawingml/2006/main" name="Office Theme">
  <a:themeElements>
    <a:clrScheme name="Impact CDH01">
      <a:dk1>
        <a:sysClr val="windowText" lastClr="000000"/>
      </a:dk1>
      <a:lt1>
        <a:srgbClr val="FFFFFF"/>
      </a:lt1>
      <a:dk2>
        <a:srgbClr val="98002E"/>
      </a:dk2>
      <a:lt2>
        <a:srgbClr val="EFA31F"/>
      </a:lt2>
      <a:accent1>
        <a:srgbClr val="BE5227"/>
      </a:accent1>
      <a:accent2>
        <a:srgbClr val="98002E"/>
      </a:accent2>
      <a:accent3>
        <a:srgbClr val="0196A7"/>
      </a:accent3>
      <a:accent4>
        <a:srgbClr val="EFA31F"/>
      </a:accent4>
      <a:accent5>
        <a:srgbClr val="2B1202"/>
      </a:accent5>
      <a:accent6>
        <a:srgbClr val="FFFFFF"/>
      </a:accent6>
      <a:hlink>
        <a:srgbClr val="BE5227"/>
      </a:hlink>
      <a:folHlink>
        <a:srgbClr val="BE5227"/>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SharedWithUsers xmlns="c4876c76-5897-4d5d-ac80-954d0599e137">
      <UserInfo>
        <DisplayName>MUNRO, Sheree</DisplayName>
        <AccountId>16</AccountId>
        <AccountType/>
      </UserInfo>
      <UserInfo>
        <DisplayName>ALCOCK, Abbie</DisplayName>
        <AccountId>37</AccountId>
        <AccountType/>
      </UserInfo>
      <UserInfo>
        <DisplayName>KIMPTON, Anna-Louise</DisplayName>
        <AccountId>74</AccountId>
        <AccountType/>
      </UserInfo>
      <UserInfo>
        <DisplayName>GALLOWAY, Shea</DisplayName>
        <AccountId>59</AccountId>
        <AccountType/>
      </UserInfo>
      <UserInfo>
        <DisplayName>BARRATT, Ben</DisplayName>
        <AccountId>67</AccountId>
        <AccountType/>
      </UserInfo>
    </SharedWithUsers>
    <lcf76f155ced4ddcb4097134ff3c332f xmlns="01920aa1-7832-453e-a147-98c77996387c">
      <Terms xmlns="http://schemas.microsoft.com/office/infopath/2007/PartnerControls"/>
    </lcf76f155ced4ddcb4097134ff3c332f>
    <TaxCatchAll xmlns="c4876c76-5897-4d5d-ac80-954d0599e137"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FEE71144B0A72D48BAD5085EFC329F68" ma:contentTypeVersion="13" ma:contentTypeDescription="Create a new document." ma:contentTypeScope="" ma:versionID="36c4f647fa8ecc7327bfa77d61b18872">
  <xsd:schema xmlns:xsd="http://www.w3.org/2001/XMLSchema" xmlns:xs="http://www.w3.org/2001/XMLSchema" xmlns:p="http://schemas.microsoft.com/office/2006/metadata/properties" xmlns:ns2="01920aa1-7832-453e-a147-98c77996387c" xmlns:ns3="c4876c76-5897-4d5d-ac80-954d0599e137" targetNamespace="http://schemas.microsoft.com/office/2006/metadata/properties" ma:root="true" ma:fieldsID="a1363a0f612bed6a33a5bab9568d497f" ns2:_="" ns3:_="">
    <xsd:import namespace="01920aa1-7832-453e-a147-98c77996387c"/>
    <xsd:import namespace="c4876c76-5897-4d5d-ac80-954d0599e13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920aa1-7832-453e-a147-98c77996387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4876c76-5897-4d5d-ac80-954d0599e137"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34925b9d-6299-47bf-b013-15005289d762}" ma:internalName="TaxCatchAll" ma:showField="CatchAllData" ma:web="c4876c76-5897-4d5d-ac80-954d0599e137">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C967958-63C8-42FD-A0CD-B279418DCD55}">
  <ds:schemaRefs>
    <ds:schemaRef ds:uri="http://schemas.microsoft.com/sharepoint/v3/contenttype/forms"/>
  </ds:schemaRefs>
</ds:datastoreItem>
</file>

<file path=customXml/itemProps2.xml><?xml version="1.0" encoding="utf-8"?>
<ds:datastoreItem xmlns:ds="http://schemas.openxmlformats.org/officeDocument/2006/customXml" ds:itemID="{F9A0E324-0FA1-F740-BE6D-AAD143BA02F6}">
  <ds:schemaRefs>
    <ds:schemaRef ds:uri="http://schemas.openxmlformats.org/officeDocument/2006/bibliography"/>
  </ds:schemaRefs>
</ds:datastoreItem>
</file>

<file path=customXml/itemProps3.xml><?xml version="1.0" encoding="utf-8"?>
<ds:datastoreItem xmlns:ds="http://schemas.openxmlformats.org/officeDocument/2006/customXml" ds:itemID="{A92A9BE1-71DE-4D3A-B8A8-5E6C95943E4A}">
  <ds:schemaRefs>
    <ds:schemaRef ds:uri="http://schemas.microsoft.com/office/2006/metadata/properties"/>
    <ds:schemaRef ds:uri="http://schemas.microsoft.com/office/infopath/2007/PartnerControls"/>
    <ds:schemaRef ds:uri="c4876c76-5897-4d5d-ac80-954d0599e137"/>
    <ds:schemaRef ds:uri="01920aa1-7832-453e-a147-98c77996387c"/>
  </ds:schemaRefs>
</ds:datastoreItem>
</file>

<file path=customXml/itemProps4.xml><?xml version="1.0" encoding="utf-8"?>
<ds:datastoreItem xmlns:ds="http://schemas.openxmlformats.org/officeDocument/2006/customXml" ds:itemID="{9F137166-BF92-45CB-B60A-B1E8515285E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920aa1-7832-453e-a147-98c77996387c"/>
    <ds:schemaRef ds:uri="c4876c76-5897-4d5d-ac80-954d0599e13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11390</TotalTime>
  <Pages>115</Pages>
  <Words>78396</Words>
  <Characters>446860</Characters>
  <Application>Microsoft Office Word</Application>
  <DocSecurity>0</DocSecurity>
  <Lines>3723</Lines>
  <Paragraphs>1048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524208</CharactersWithSpaces>
  <SharedDoc>false</SharedDoc>
  <HLinks>
    <vt:vector size="1686" baseType="variant">
      <vt:variant>
        <vt:i4>7077924</vt:i4>
      </vt:variant>
      <vt:variant>
        <vt:i4>1833</vt:i4>
      </vt:variant>
      <vt:variant>
        <vt:i4>0</vt:i4>
      </vt:variant>
      <vt:variant>
        <vt:i4>5</vt:i4>
      </vt:variant>
      <vt:variant>
        <vt:lpwstr>https://www.who.int/about/accountability/procurement/principles-and-processes/guiding-principles</vt:lpwstr>
      </vt:variant>
      <vt:variant>
        <vt:lpwstr>:~:text=Fairness%2C%20integrity%2C%20transparency%20and%20equal%20treatment</vt:lpwstr>
      </vt:variant>
      <vt:variant>
        <vt:i4>4194332</vt:i4>
      </vt:variant>
      <vt:variant>
        <vt:i4>1830</vt:i4>
      </vt:variant>
      <vt:variant>
        <vt:i4>0</vt:i4>
      </vt:variant>
      <vt:variant>
        <vt:i4>5</vt:i4>
      </vt:variant>
      <vt:variant>
        <vt:lpwstr>https://www.msd.govt.nz/about-msd-and-our-work/publications-resources/journals-and-magazines/social-policy-journal/spj03/03-maori-demographic-trends.html</vt:lpwstr>
      </vt:variant>
      <vt:variant>
        <vt:lpwstr/>
      </vt:variant>
      <vt:variant>
        <vt:i4>5636162</vt:i4>
      </vt:variant>
      <vt:variant>
        <vt:i4>1827</vt:i4>
      </vt:variant>
      <vt:variant>
        <vt:i4>0</vt:i4>
      </vt:variant>
      <vt:variant>
        <vt:i4>5</vt:i4>
      </vt:variant>
      <vt:variant>
        <vt:lpwstr>https://www.vic.gov.au/framework-place-based-approaches/print-all</vt:lpwstr>
      </vt:variant>
      <vt:variant>
        <vt:lpwstr/>
      </vt:variant>
      <vt:variant>
        <vt:i4>7012393</vt:i4>
      </vt:variant>
      <vt:variant>
        <vt:i4>1824</vt:i4>
      </vt:variant>
      <vt:variant>
        <vt:i4>0</vt:i4>
      </vt:variant>
      <vt:variant>
        <vt:i4>5</vt:i4>
      </vt:variant>
      <vt:variant>
        <vt:lpwstr>https://research-repository.uwa.edu.au/en/projects/ahcwa-sewb-pilot-evaluation</vt:lpwstr>
      </vt:variant>
      <vt:variant>
        <vt:lpwstr/>
      </vt:variant>
      <vt:variant>
        <vt:i4>3801205</vt:i4>
      </vt:variant>
      <vt:variant>
        <vt:i4>1821</vt:i4>
      </vt:variant>
      <vt:variant>
        <vt:i4>0</vt:i4>
      </vt:variant>
      <vt:variant>
        <vt:i4>5</vt:i4>
      </vt:variant>
      <vt:variant>
        <vt:lpwstr>https://indigenousfoundations.arts.ubc.ca/bands/</vt:lpwstr>
      </vt:variant>
      <vt:variant>
        <vt:lpwstr>:~:text=A%20%E2%80%9CBand%E2%80%9D%2C%20or%20%E2%80%9C,Majesty%2C%20have%20been%20set%20apart%E2%80%9D</vt:lpwstr>
      </vt:variant>
      <vt:variant>
        <vt:i4>2687016</vt:i4>
      </vt:variant>
      <vt:variant>
        <vt:i4>1818</vt:i4>
      </vt:variant>
      <vt:variant>
        <vt:i4>0</vt:i4>
      </vt:variant>
      <vt:variant>
        <vt:i4>5</vt:i4>
      </vt:variant>
      <vt:variant>
        <vt:lpwstr>https://www.un.org/en/academic-impact/capacity-building</vt:lpwstr>
      </vt:variant>
      <vt:variant>
        <vt:lpwstr/>
      </vt:variant>
      <vt:variant>
        <vt:i4>3735668</vt:i4>
      </vt:variant>
      <vt:variant>
        <vt:i4>1815</vt:i4>
      </vt:variant>
      <vt:variant>
        <vt:i4>0</vt:i4>
      </vt:variant>
      <vt:variant>
        <vt:i4>5</vt:i4>
      </vt:variant>
      <vt:variant>
        <vt:lpwstr>https://www.un.org/development/desa/indigenouspeoples/wp-content/uploads/sites/19/2018/11/UNDRIP_E_web.pdf</vt:lpwstr>
      </vt:variant>
      <vt:variant>
        <vt:lpwstr/>
      </vt:variant>
      <vt:variant>
        <vt:i4>2424884</vt:i4>
      </vt:variant>
      <vt:variant>
        <vt:i4>1812</vt:i4>
      </vt:variant>
      <vt:variant>
        <vt:i4>0</vt:i4>
      </vt:variant>
      <vt:variant>
        <vt:i4>5</vt:i4>
      </vt:variant>
      <vt:variant>
        <vt:lpwstr>https://indiancountrytoday.com/archive/trahant-customerowners-are-key-to-the-nuka-model-of-health-care-in-anchorage</vt:lpwstr>
      </vt:variant>
      <vt:variant>
        <vt:lpwstr/>
      </vt:variant>
      <vt:variant>
        <vt:i4>5373994</vt:i4>
      </vt:variant>
      <vt:variant>
        <vt:i4>1809</vt:i4>
      </vt:variant>
      <vt:variant>
        <vt:i4>0</vt:i4>
      </vt:variant>
      <vt:variant>
        <vt:i4>5</vt:i4>
      </vt:variant>
      <vt:variant>
        <vt:lpwstr>https://thunderbirdpf.org/wp-content/uploads/2022/03/first_nations_mental_wellness_continuum_framework.pdf</vt:lpwstr>
      </vt:variant>
      <vt:variant>
        <vt:lpwstr/>
      </vt:variant>
      <vt:variant>
        <vt:i4>2424933</vt:i4>
      </vt:variant>
      <vt:variant>
        <vt:i4>1806</vt:i4>
      </vt:variant>
      <vt:variant>
        <vt:i4>0</vt:i4>
      </vt:variant>
      <vt:variant>
        <vt:i4>5</vt:i4>
      </vt:variant>
      <vt:variant>
        <vt:lpwstr>https://www.tewhatuora.govt.nz/about-us/publications/te-pae-tata-interim-new-zealand-health-plan-2022/</vt:lpwstr>
      </vt:variant>
      <vt:variant>
        <vt:lpwstr/>
      </vt:variant>
      <vt:variant>
        <vt:i4>4390923</vt:i4>
      </vt:variant>
      <vt:variant>
        <vt:i4>1803</vt:i4>
      </vt:variant>
      <vt:variant>
        <vt:i4>0</vt:i4>
      </vt:variant>
      <vt:variant>
        <vt:i4>5</vt:i4>
      </vt:variant>
      <vt:variant>
        <vt:lpwstr>https://www.teakawhaiora.nz/our-work/</vt:lpwstr>
      </vt:variant>
      <vt:variant>
        <vt:lpwstr/>
      </vt:variant>
      <vt:variant>
        <vt:i4>5308442</vt:i4>
      </vt:variant>
      <vt:variant>
        <vt:i4>1800</vt:i4>
      </vt:variant>
      <vt:variant>
        <vt:i4>0</vt:i4>
      </vt:variant>
      <vt:variant>
        <vt:i4>5</vt:i4>
      </vt:variant>
      <vt:variant>
        <vt:lpwstr>https://tacklingsmoking.org.au/about-the-tackling-indigenous-smoking-resource-information-centre/</vt:lpwstr>
      </vt:variant>
      <vt:variant>
        <vt:lpwstr/>
      </vt:variant>
      <vt:variant>
        <vt:i4>262238</vt:i4>
      </vt:variant>
      <vt:variant>
        <vt:i4>1797</vt:i4>
      </vt:variant>
      <vt:variant>
        <vt:i4>0</vt:i4>
      </vt:variant>
      <vt:variant>
        <vt:i4>5</vt:i4>
      </vt:variant>
      <vt:variant>
        <vt:lpwstr>https://www.aihw.gov.au/getmedia/322b47bf-ac2c-4de7-9b43-88dd001e8dfe/ctgc-rs08.pdf.aspx?inline=true</vt:lpwstr>
      </vt:variant>
      <vt:variant>
        <vt:lpwstr/>
      </vt:variant>
      <vt:variant>
        <vt:i4>1114182</vt:i4>
      </vt:variant>
      <vt:variant>
        <vt:i4>1794</vt:i4>
      </vt:variant>
      <vt:variant>
        <vt:i4>0</vt:i4>
      </vt:variant>
      <vt:variant>
        <vt:i4>5</vt:i4>
      </vt:variant>
      <vt:variant>
        <vt:lpwstr>https://www.stats.govt.nz/information-releases/maori-population-estimates-mean-year-ended-31-december-2021/</vt:lpwstr>
      </vt:variant>
      <vt:variant>
        <vt:lpwstr>:~:text=New%20Zealand%27s%20estimated%20M%C4%81ori%20ethnic%20population%20was%20875%2C000</vt:lpwstr>
      </vt:variant>
      <vt:variant>
        <vt:i4>983123</vt:i4>
      </vt:variant>
      <vt:variant>
        <vt:i4>1791</vt:i4>
      </vt:variant>
      <vt:variant>
        <vt:i4>0</vt:i4>
      </vt:variant>
      <vt:variant>
        <vt:i4>5</vt:i4>
      </vt:variant>
      <vt:variant>
        <vt:lpwstr>https://www.stats.govt.nz/information-releases/national-population-estimates-at-30-june-2022/</vt:lpwstr>
      </vt:variant>
      <vt:variant>
        <vt:lpwstr/>
      </vt:variant>
      <vt:variant>
        <vt:i4>2556023</vt:i4>
      </vt:variant>
      <vt:variant>
        <vt:i4>1788</vt:i4>
      </vt:variant>
      <vt:variant>
        <vt:i4>0</vt:i4>
      </vt:variant>
      <vt:variant>
        <vt:i4>5</vt:i4>
      </vt:variant>
      <vt:variant>
        <vt:lpwstr>https://www.southcentralfoundation.com/nuka-system-of-care/</vt:lpwstr>
      </vt:variant>
      <vt:variant>
        <vt:lpwstr/>
      </vt:variant>
      <vt:variant>
        <vt:i4>7274615</vt:i4>
      </vt:variant>
      <vt:variant>
        <vt:i4>1785</vt:i4>
      </vt:variant>
      <vt:variant>
        <vt:i4>0</vt:i4>
      </vt:variant>
      <vt:variant>
        <vt:i4>5</vt:i4>
      </vt:variant>
      <vt:variant>
        <vt:lpwstr>https://natsilmh.org.au/sites/default/files/uploads/Wharerata Declaration-JlLPS 2010.pd</vt:lpwstr>
      </vt:variant>
      <vt:variant>
        <vt:lpwstr/>
      </vt:variant>
      <vt:variant>
        <vt:i4>7798827</vt:i4>
      </vt:variant>
      <vt:variant>
        <vt:i4>1782</vt:i4>
      </vt:variant>
      <vt:variant>
        <vt:i4>0</vt:i4>
      </vt:variant>
      <vt:variant>
        <vt:i4>5</vt:i4>
      </vt:variant>
      <vt:variant>
        <vt:lpwstr>https://irp.cdn-website.com/0174bec0/files/uploaded/Dr Diane Smith report for AGMP combined PDF.pdf</vt:lpwstr>
      </vt:variant>
      <vt:variant>
        <vt:lpwstr/>
      </vt:variant>
      <vt:variant>
        <vt:i4>2097278</vt:i4>
      </vt:variant>
      <vt:variant>
        <vt:i4>1779</vt:i4>
      </vt:variant>
      <vt:variant>
        <vt:i4>0</vt:i4>
      </vt:variant>
      <vt:variant>
        <vt:i4>5</vt:i4>
      </vt:variant>
      <vt:variant>
        <vt:lpwstr>https://www.sis.uwa.edu.au/research/NEP</vt:lpwstr>
      </vt:variant>
      <vt:variant>
        <vt:lpwstr/>
      </vt:variant>
      <vt:variant>
        <vt:i4>7798898</vt:i4>
      </vt:variant>
      <vt:variant>
        <vt:i4>1776</vt:i4>
      </vt:variant>
      <vt:variant>
        <vt:i4>0</vt:i4>
      </vt:variant>
      <vt:variant>
        <vt:i4>5</vt:i4>
      </vt:variant>
      <vt:variant>
        <vt:lpwstr>https://www.sahealth.sa.gov.au/wps/wcm/connect/07ab7000-b0c4-4422-9ab1-29649c0fe133/20133.1+Commissioning+Framework+A4+Report-v3.pdf?MOD=AJPERES&amp;amp;CACHEID=ROOTWORKSPACE-07ab7000-b0c4-4422-9ab1-29649c0fe133-nKLbaq1</vt:lpwstr>
      </vt:variant>
      <vt:variant>
        <vt:lpwstr/>
      </vt:variant>
      <vt:variant>
        <vt:i4>3211381</vt:i4>
      </vt:variant>
      <vt:variant>
        <vt:i4>1773</vt:i4>
      </vt:variant>
      <vt:variant>
        <vt:i4>0</vt:i4>
      </vt:variant>
      <vt:variant>
        <vt:i4>5</vt:i4>
      </vt:variant>
      <vt:variant>
        <vt:lpwstr>https://www.pwc.com.au/publications/pdf/funding-thought-leadership-18apr18.pdf</vt:lpwstr>
      </vt:variant>
      <vt:variant>
        <vt:lpwstr/>
      </vt:variant>
      <vt:variant>
        <vt:i4>4718682</vt:i4>
      </vt:variant>
      <vt:variant>
        <vt:i4>1770</vt:i4>
      </vt:variant>
      <vt:variant>
        <vt:i4>0</vt:i4>
      </vt:variant>
      <vt:variant>
        <vt:i4>5</vt:i4>
      </vt:variant>
      <vt:variant>
        <vt:lpwstr>https://www.pc.gov.au/inquiries/completed/mental-health/report/mental-health-volume1.pdf</vt:lpwstr>
      </vt:variant>
      <vt:variant>
        <vt:lpwstr/>
      </vt:variant>
      <vt:variant>
        <vt:i4>8192117</vt:i4>
      </vt:variant>
      <vt:variant>
        <vt:i4>1767</vt:i4>
      </vt:variant>
      <vt:variant>
        <vt:i4>0</vt:i4>
      </vt:variant>
      <vt:variant>
        <vt:i4>5</vt:i4>
      </vt:variant>
      <vt:variant>
        <vt:lpwstr>https://www.legislation.govt.nz/act/public/2000/0091/latest/whole.html</vt:lpwstr>
      </vt:variant>
      <vt:variant>
        <vt:lpwstr>DLM80486</vt:lpwstr>
      </vt:variant>
      <vt:variant>
        <vt:i4>5636123</vt:i4>
      </vt:variant>
      <vt:variant>
        <vt:i4>1764</vt:i4>
      </vt:variant>
      <vt:variant>
        <vt:i4>0</vt:i4>
      </vt:variant>
      <vt:variant>
        <vt:i4>5</vt:i4>
      </vt:variant>
      <vt:variant>
        <vt:lpwstr>https://core.ac.uk/download/pdf/43335693.pdf</vt:lpwstr>
      </vt:variant>
      <vt:variant>
        <vt:lpwstr/>
      </vt:variant>
      <vt:variant>
        <vt:i4>5308499</vt:i4>
      </vt:variant>
      <vt:variant>
        <vt:i4>1761</vt:i4>
      </vt:variant>
      <vt:variant>
        <vt:i4>0</vt:i4>
      </vt:variant>
      <vt:variant>
        <vt:i4>5</vt:i4>
      </vt:variant>
      <vt:variant>
        <vt:lpwstr>https://minorityhealth.hhs.gov/omh/browse.aspx?lvl=3&amp;lvlid=62</vt:lpwstr>
      </vt:variant>
      <vt:variant>
        <vt:lpwstr/>
      </vt:variant>
      <vt:variant>
        <vt:i4>196688</vt:i4>
      </vt:variant>
      <vt:variant>
        <vt:i4>1758</vt:i4>
      </vt:variant>
      <vt:variant>
        <vt:i4>0</vt:i4>
      </vt:variant>
      <vt:variant>
        <vt:i4>5</vt:i4>
      </vt:variant>
      <vt:variant>
        <vt:lpwstr>https://www.oecd.org/gov/ethics/48994520.pdf</vt:lpwstr>
      </vt:variant>
      <vt:variant>
        <vt:lpwstr/>
      </vt:variant>
      <vt:variant>
        <vt:i4>7143471</vt:i4>
      </vt:variant>
      <vt:variant>
        <vt:i4>1755</vt:i4>
      </vt:variant>
      <vt:variant>
        <vt:i4>0</vt:i4>
      </vt:variant>
      <vt:variant>
        <vt:i4>5</vt:i4>
      </vt:variant>
      <vt:variant>
        <vt:lpwstr>https://cbpatsisp.com.au/wp-content/uploads/2021/03/SEWB-Workforce-Workshop-Report.pdf</vt:lpwstr>
      </vt:variant>
      <vt:variant>
        <vt:lpwstr/>
      </vt:variant>
      <vt:variant>
        <vt:i4>2097194</vt:i4>
      </vt:variant>
      <vt:variant>
        <vt:i4>1752</vt:i4>
      </vt:variant>
      <vt:variant>
        <vt:i4>0</vt:i4>
      </vt:variant>
      <vt:variant>
        <vt:i4>5</vt:i4>
      </vt:variant>
      <vt:variant>
        <vt:lpwstr>https://www.treasury.nsw.gov.au/sites/default/files/pdf/NSW_Commissioning_and_Contestability_Practice_Guide_-pdf.pdf</vt:lpwstr>
      </vt:variant>
      <vt:variant>
        <vt:lpwstr/>
      </vt:variant>
      <vt:variant>
        <vt:i4>6815845</vt:i4>
      </vt:variant>
      <vt:variant>
        <vt:i4>1749</vt:i4>
      </vt:variant>
      <vt:variant>
        <vt:i4>0</vt:i4>
      </vt:variant>
      <vt:variant>
        <vt:i4>5</vt:i4>
      </vt:variant>
      <vt:variant>
        <vt:lpwstr>https://nousgroup.com/ca/case-studies/cape-york-service-delivery-model/</vt:lpwstr>
      </vt:variant>
      <vt:variant>
        <vt:lpwstr/>
      </vt:variant>
      <vt:variant>
        <vt:i4>4980748</vt:i4>
      </vt:variant>
      <vt:variant>
        <vt:i4>1746</vt:i4>
      </vt:variant>
      <vt:variant>
        <vt:i4>0</vt:i4>
      </vt:variant>
      <vt:variant>
        <vt:i4>5</vt:i4>
      </vt:variant>
      <vt:variant>
        <vt:lpwstr>https://researchinvolvement.biomedcentral.com/articles/10.1186/s40900-020-0176-9</vt:lpwstr>
      </vt:variant>
      <vt:variant>
        <vt:lpwstr/>
      </vt:variant>
      <vt:variant>
        <vt:i4>8323181</vt:i4>
      </vt:variant>
      <vt:variant>
        <vt:i4>1743</vt:i4>
      </vt:variant>
      <vt:variant>
        <vt:i4>0</vt:i4>
      </vt:variant>
      <vt:variant>
        <vt:i4>5</vt:i4>
      </vt:variant>
      <vt:variant>
        <vt:lpwstr>https://www.procurement.govt.nz/procurement/principles-charter-and-rules/government-procurement-principles/</vt:lpwstr>
      </vt:variant>
      <vt:variant>
        <vt:lpwstr/>
      </vt:variant>
      <vt:variant>
        <vt:i4>3211306</vt:i4>
      </vt:variant>
      <vt:variant>
        <vt:i4>1740</vt:i4>
      </vt:variant>
      <vt:variant>
        <vt:i4>0</vt:i4>
      </vt:variant>
      <vt:variant>
        <vt:i4>5</vt:i4>
      </vt:variant>
      <vt:variant>
        <vt:lpwstr>https://www.health.govt.nz/system/files/documents/publications/hp8132-igps-v28.pdf</vt:lpwstr>
      </vt:variant>
      <vt:variant>
        <vt:lpwstr/>
      </vt:variant>
      <vt:variant>
        <vt:i4>4915281</vt:i4>
      </vt:variant>
      <vt:variant>
        <vt:i4>1737</vt:i4>
      </vt:variant>
      <vt:variant>
        <vt:i4>0</vt:i4>
      </vt:variant>
      <vt:variant>
        <vt:i4>5</vt:i4>
      </vt:variant>
      <vt:variant>
        <vt:lpwstr>https://www.procurement.govt.nz/assets/procurement-property/documents/guide-competitive-dialogue.pdf</vt:lpwstr>
      </vt:variant>
      <vt:variant>
        <vt:lpwstr/>
      </vt:variant>
      <vt:variant>
        <vt:i4>6619251</vt:i4>
      </vt:variant>
      <vt:variant>
        <vt:i4>1734</vt:i4>
      </vt:variant>
      <vt:variant>
        <vt:i4>0</vt:i4>
      </vt:variant>
      <vt:variant>
        <vt:i4>5</vt:i4>
      </vt:variant>
      <vt:variant>
        <vt:lpwstr>https://treasury.gov.au/sites/default/files/2022-03/258735_national_aboriginal_community_controlled_health_organisation.pdf</vt:lpwstr>
      </vt:variant>
      <vt:variant>
        <vt:lpwstr/>
      </vt:variant>
      <vt:variant>
        <vt:i4>262267</vt:i4>
      </vt:variant>
      <vt:variant>
        <vt:i4>1731</vt:i4>
      </vt:variant>
      <vt:variant>
        <vt:i4>0</vt:i4>
      </vt:variant>
      <vt:variant>
        <vt:i4>5</vt:i4>
      </vt:variant>
      <vt:variant>
        <vt:lpwstr>https://natsilmh.org.au/sites/default/files/gayaa_dhuwi_declaration_A4.pdf</vt:lpwstr>
      </vt:variant>
      <vt:variant>
        <vt:lpwstr/>
      </vt:variant>
      <vt:variant>
        <vt:i4>4128829</vt:i4>
      </vt:variant>
      <vt:variant>
        <vt:i4>1728</vt:i4>
      </vt:variant>
      <vt:variant>
        <vt:i4>0</vt:i4>
      </vt:variant>
      <vt:variant>
        <vt:i4>5</vt:i4>
      </vt:variant>
      <vt:variant>
        <vt:lpwstr>https://nacchocommunique.files.wordpress.com/2016/12/cultural_respect_framework_1december2016_1.pdf</vt:lpwstr>
      </vt:variant>
      <vt:variant>
        <vt:lpwstr/>
      </vt:variant>
      <vt:variant>
        <vt:i4>3407987</vt:i4>
      </vt:variant>
      <vt:variant>
        <vt:i4>1725</vt:i4>
      </vt:variant>
      <vt:variant>
        <vt:i4>0</vt:i4>
      </vt:variant>
      <vt:variant>
        <vt:i4>5</vt:i4>
      </vt:variant>
      <vt:variant>
        <vt:lpwstr>https://www.health.gov.au/sites/default/files/tackling-indigenous-smoking-program-final-evaluation-report-july-2018.pdf</vt:lpwstr>
      </vt:variant>
      <vt:variant>
        <vt:lpwstr/>
      </vt:variant>
      <vt:variant>
        <vt:i4>6094934</vt:i4>
      </vt:variant>
      <vt:variant>
        <vt:i4>1722</vt:i4>
      </vt:variant>
      <vt:variant>
        <vt:i4>0</vt:i4>
      </vt:variant>
      <vt:variant>
        <vt:i4>5</vt:i4>
      </vt:variant>
      <vt:variant>
        <vt:lpwstr>https://www.health.govt.nz/system/files/documents/publications/commissioning-for-pae-ora-healthy-futures-2022-framework-jan23.pdf</vt:lpwstr>
      </vt:variant>
      <vt:variant>
        <vt:lpwstr/>
      </vt:variant>
      <vt:variant>
        <vt:i4>4718599</vt:i4>
      </vt:variant>
      <vt:variant>
        <vt:i4>1719</vt:i4>
      </vt:variant>
      <vt:variant>
        <vt:i4>0</vt:i4>
      </vt:variant>
      <vt:variant>
        <vt:i4>5</vt:i4>
      </vt:variant>
      <vt:variant>
        <vt:lpwstr>https://www.health.govt.nz/system/files/documents/publications/maorihthproviderfunding_2022_v2indd.pdf</vt:lpwstr>
      </vt:variant>
      <vt:variant>
        <vt:lpwstr/>
      </vt:variant>
      <vt:variant>
        <vt:i4>720927</vt:i4>
      </vt:variant>
      <vt:variant>
        <vt:i4>1716</vt:i4>
      </vt:variant>
      <vt:variant>
        <vt:i4>0</vt:i4>
      </vt:variant>
      <vt:variant>
        <vt:i4>5</vt:i4>
      </vt:variant>
      <vt:variant>
        <vt:lpwstr>https://www.health.govt.nz/about-ministry/what-we-do/pae-ora-healthy-futures-act</vt:lpwstr>
      </vt:variant>
      <vt:variant>
        <vt:lpwstr/>
      </vt:variant>
      <vt:variant>
        <vt:i4>2293795</vt:i4>
      </vt:variant>
      <vt:variant>
        <vt:i4>1713</vt:i4>
      </vt:variant>
      <vt:variant>
        <vt:i4>0</vt:i4>
      </vt:variant>
      <vt:variant>
        <vt:i4>5</vt:i4>
      </vt:variant>
      <vt:variant>
        <vt:lpwstr>https://www.health.govt.nz/our-work/populations/maori-health/he-korowai-oranga</vt:lpwstr>
      </vt:variant>
      <vt:variant>
        <vt:lpwstr/>
      </vt:variant>
      <vt:variant>
        <vt:i4>8257636</vt:i4>
      </vt:variant>
      <vt:variant>
        <vt:i4>1710</vt:i4>
      </vt:variant>
      <vt:variant>
        <vt:i4>0</vt:i4>
      </vt:variant>
      <vt:variant>
        <vt:i4>5</vt:i4>
      </vt:variant>
      <vt:variant>
        <vt:lpwstr>https://www.health.govt.nz/our-work/populations/maori-health/maori-health-providers</vt:lpwstr>
      </vt:variant>
      <vt:variant>
        <vt:lpwstr/>
      </vt:variant>
      <vt:variant>
        <vt:i4>1245202</vt:i4>
      </vt:variant>
      <vt:variant>
        <vt:i4>1707</vt:i4>
      </vt:variant>
      <vt:variant>
        <vt:i4>0</vt:i4>
      </vt:variant>
      <vt:variant>
        <vt:i4>5</vt:i4>
      </vt:variant>
      <vt:variant>
        <vt:lpwstr>https://indigenouspsyched.org.au/resource/an-evaluation-of-the-national-empowerment-project-cultural-social-and-emotional-wellbeing-program/</vt:lpwstr>
      </vt:variant>
      <vt:variant>
        <vt:lpwstr/>
      </vt:variant>
      <vt:variant>
        <vt:i4>7733275</vt:i4>
      </vt:variant>
      <vt:variant>
        <vt:i4>1704</vt:i4>
      </vt:variant>
      <vt:variant>
        <vt:i4>0</vt:i4>
      </vt:variant>
      <vt:variant>
        <vt:i4>5</vt:i4>
      </vt:variant>
      <vt:variant>
        <vt:lpwstr>https://mhaustralia.org/sites/default/files/docs/discussion_paper_-_options_for_commissioning_and_funding_of_mental_health_services_may_2015.pdf</vt:lpwstr>
      </vt:variant>
      <vt:variant>
        <vt:lpwstr/>
      </vt:variant>
      <vt:variant>
        <vt:i4>7602277</vt:i4>
      </vt:variant>
      <vt:variant>
        <vt:i4>1701</vt:i4>
      </vt:variant>
      <vt:variant>
        <vt:i4>0</vt:i4>
      </vt:variant>
      <vt:variant>
        <vt:i4>5</vt:i4>
      </vt:variant>
      <vt:variant>
        <vt:lpwstr>https://static1.squarespace.com/static/5b3043afb40b9d20411f3512/t/63ed934fe861fa061ebb9202/1676514134724/Communique-Indigenous-Data-Sovereignty-Summit.pdf</vt:lpwstr>
      </vt:variant>
      <vt:variant>
        <vt:lpwstr/>
      </vt:variant>
      <vt:variant>
        <vt:i4>3801149</vt:i4>
      </vt:variant>
      <vt:variant>
        <vt:i4>1698</vt:i4>
      </vt:variant>
      <vt:variant>
        <vt:i4>0</vt:i4>
      </vt:variant>
      <vt:variant>
        <vt:i4>5</vt:i4>
      </vt:variant>
      <vt:variant>
        <vt:lpwstr>https://www.austlii.edu.au/au/journals/AUIndigLawRw/2016/11.pdf</vt:lpwstr>
      </vt:variant>
      <vt:variant>
        <vt:lpwstr/>
      </vt:variant>
      <vt:variant>
        <vt:i4>393294</vt:i4>
      </vt:variant>
      <vt:variant>
        <vt:i4>1695</vt:i4>
      </vt:variant>
      <vt:variant>
        <vt:i4>0</vt:i4>
      </vt:variant>
      <vt:variant>
        <vt:i4>5</vt:i4>
      </vt:variant>
      <vt:variant>
        <vt:lpwstr>https://www.census.gov/library/stories/2021/08/improved-race-ethnicity-measures-reveal-united-states-population-much-more-multiracial.html</vt:lpwstr>
      </vt:variant>
      <vt:variant>
        <vt:lpwstr>:~:text=population%20grew%2088.7%25.-,American%20Indian%20and%20Alaska%20Native%20Population,-From%202010%20to</vt:lpwstr>
      </vt:variant>
      <vt:variant>
        <vt:i4>7864441</vt:i4>
      </vt:variant>
      <vt:variant>
        <vt:i4>1692</vt:i4>
      </vt:variant>
      <vt:variant>
        <vt:i4>0</vt:i4>
      </vt:variant>
      <vt:variant>
        <vt:i4>5</vt:i4>
      </vt:variant>
      <vt:variant>
        <vt:lpwstr>https://www.ifsd.ca/web/default/files/Reports/2023-01-19_For website_Questions for federal funding of First Nations.pdf</vt:lpwstr>
      </vt:variant>
      <vt:variant>
        <vt:lpwstr/>
      </vt:variant>
      <vt:variant>
        <vt:i4>1966156</vt:i4>
      </vt:variant>
      <vt:variant>
        <vt:i4>1689</vt:i4>
      </vt:variant>
      <vt:variant>
        <vt:i4>0</vt:i4>
      </vt:variant>
      <vt:variant>
        <vt:i4>5</vt:i4>
      </vt:variant>
      <vt:variant>
        <vt:lpwstr>https://www.sac-isc.gc.ca/eng/1595249887428/1595249904867</vt:lpwstr>
      </vt:variant>
      <vt:variant>
        <vt:lpwstr/>
      </vt:variant>
      <vt:variant>
        <vt:i4>1769540</vt:i4>
      </vt:variant>
      <vt:variant>
        <vt:i4>1686</vt:i4>
      </vt:variant>
      <vt:variant>
        <vt:i4>0</vt:i4>
      </vt:variant>
      <vt:variant>
        <vt:i4>5</vt:i4>
      </vt:variant>
      <vt:variant>
        <vt:lpwstr>https://www.sac-isc.gc.ca/eng/1585189335380/1585189357198</vt:lpwstr>
      </vt:variant>
      <vt:variant>
        <vt:lpwstr/>
      </vt:variant>
      <vt:variant>
        <vt:i4>1572929</vt:i4>
      </vt:variant>
      <vt:variant>
        <vt:i4>1683</vt:i4>
      </vt:variant>
      <vt:variant>
        <vt:i4>0</vt:i4>
      </vt:variant>
      <vt:variant>
        <vt:i4>5</vt:i4>
      </vt:variant>
      <vt:variant>
        <vt:lpwstr>https://www.sac-isc.gc.ca/eng/1626810177053/1626810219482</vt:lpwstr>
      </vt:variant>
      <vt:variant>
        <vt:lpwstr/>
      </vt:variant>
      <vt:variant>
        <vt:i4>1048648</vt:i4>
      </vt:variant>
      <vt:variant>
        <vt:i4>1680</vt:i4>
      </vt:variant>
      <vt:variant>
        <vt:i4>0</vt:i4>
      </vt:variant>
      <vt:variant>
        <vt:i4>5</vt:i4>
      </vt:variant>
      <vt:variant>
        <vt:lpwstr>https://www.sac-isc.gc.ca/eng/1581975820117/1581975841888</vt:lpwstr>
      </vt:variant>
      <vt:variant>
        <vt:lpwstr/>
      </vt:variant>
      <vt:variant>
        <vt:i4>1441856</vt:i4>
      </vt:variant>
      <vt:variant>
        <vt:i4>1677</vt:i4>
      </vt:variant>
      <vt:variant>
        <vt:i4>0</vt:i4>
      </vt:variant>
      <vt:variant>
        <vt:i4>5</vt:i4>
      </vt:variant>
      <vt:variant>
        <vt:lpwstr>https://www.sac-isc.gc.ca/eng/1386700365578/1611609830950</vt:lpwstr>
      </vt:variant>
      <vt:variant>
        <vt:lpwstr/>
      </vt:variant>
      <vt:variant>
        <vt:i4>1769542</vt:i4>
      </vt:variant>
      <vt:variant>
        <vt:i4>1674</vt:i4>
      </vt:variant>
      <vt:variant>
        <vt:i4>0</vt:i4>
      </vt:variant>
      <vt:variant>
        <vt:i4>5</vt:i4>
      </vt:variant>
      <vt:variant>
        <vt:lpwstr>https://www.sac-isc.gc.ca/eng/1513101878632/1559071219169</vt:lpwstr>
      </vt:variant>
      <vt:variant>
        <vt:lpwstr/>
      </vt:variant>
      <vt:variant>
        <vt:i4>4653088</vt:i4>
      </vt:variant>
      <vt:variant>
        <vt:i4>1671</vt:i4>
      </vt:variant>
      <vt:variant>
        <vt:i4>0</vt:i4>
      </vt:variant>
      <vt:variant>
        <vt:i4>5</vt:i4>
      </vt:variant>
      <vt:variant>
        <vt:lpwstr>https://publications.gc.ca/collections/collection_2018/aanc-inac/H34-313-1-2017-eng.pdf</vt:lpwstr>
      </vt:variant>
      <vt:variant>
        <vt:lpwstr/>
      </vt:variant>
      <vt:variant>
        <vt:i4>917574</vt:i4>
      </vt:variant>
      <vt:variant>
        <vt:i4>1668</vt:i4>
      </vt:variant>
      <vt:variant>
        <vt:i4>0</vt:i4>
      </vt:variant>
      <vt:variant>
        <vt:i4>5</vt:i4>
      </vt:variant>
      <vt:variant>
        <vt:lpwstr>https://drive.google.com/drive/u/0/folders/1l3dROKUHJDktw5KlY8jC9veLQa8otqdC</vt:lpwstr>
      </vt:variant>
      <vt:variant>
        <vt:lpwstr/>
      </vt:variant>
      <vt:variant>
        <vt:i4>2621474</vt:i4>
      </vt:variant>
      <vt:variant>
        <vt:i4>1665</vt:i4>
      </vt:variant>
      <vt:variant>
        <vt:i4>0</vt:i4>
      </vt:variant>
      <vt:variant>
        <vt:i4>5</vt:i4>
      </vt:variant>
      <vt:variant>
        <vt:lpwstr>https://www.iahpyarnes.com/phc/the-iahp</vt:lpwstr>
      </vt:variant>
      <vt:variant>
        <vt:lpwstr/>
      </vt:variant>
      <vt:variant>
        <vt:i4>851989</vt:i4>
      </vt:variant>
      <vt:variant>
        <vt:i4>1662</vt:i4>
      </vt:variant>
      <vt:variant>
        <vt:i4>0</vt:i4>
      </vt:variant>
      <vt:variant>
        <vt:i4>5</vt:i4>
      </vt:variant>
      <vt:variant>
        <vt:lpwstr>https://hnc.org.au/commissioning/</vt:lpwstr>
      </vt:variant>
      <vt:variant>
        <vt:lpwstr/>
      </vt:variant>
      <vt:variant>
        <vt:i4>5111834</vt:i4>
      </vt:variant>
      <vt:variant>
        <vt:i4>1659</vt:i4>
      </vt:variant>
      <vt:variant>
        <vt:i4>0</vt:i4>
      </vt:variant>
      <vt:variant>
        <vt:i4>5</vt:i4>
      </vt:variant>
      <vt:variant>
        <vt:lpwstr>https://hnc.org.au/wp-content/uploads/2018/02/Procurement-Manual-V3.1-Feb-2017-emailable-version.pdf</vt:lpwstr>
      </vt:variant>
      <vt:variant>
        <vt:lpwstr/>
      </vt:variant>
      <vt:variant>
        <vt:i4>5701708</vt:i4>
      </vt:variant>
      <vt:variant>
        <vt:i4>1656</vt:i4>
      </vt:variant>
      <vt:variant>
        <vt:i4>0</vt:i4>
      </vt:variant>
      <vt:variant>
        <vt:i4>5</vt:i4>
      </vt:variant>
      <vt:variant>
        <vt:lpwstr>https://healthsharevic.org.au/assets/HPP/HPPs-all.pdf</vt:lpwstr>
      </vt:variant>
      <vt:variant>
        <vt:lpwstr/>
      </vt:variant>
      <vt:variant>
        <vt:i4>5898322</vt:i4>
      </vt:variant>
      <vt:variant>
        <vt:i4>1653</vt:i4>
      </vt:variant>
      <vt:variant>
        <vt:i4>0</vt:i4>
      </vt:variant>
      <vt:variant>
        <vt:i4>5</vt:i4>
      </vt:variant>
      <vt:variant>
        <vt:lpwstr>https://northeasthealth.org.au/wp-content/uploads/Good-Procurement-Guide.pdf</vt:lpwstr>
      </vt:variant>
      <vt:variant>
        <vt:lpwstr/>
      </vt:variant>
      <vt:variant>
        <vt:i4>7602292</vt:i4>
      </vt:variant>
      <vt:variant>
        <vt:i4>1650</vt:i4>
      </vt:variant>
      <vt:variant>
        <vt:i4>0</vt:i4>
      </vt:variant>
      <vt:variant>
        <vt:i4>5</vt:i4>
      </vt:variant>
      <vt:variant>
        <vt:lpwstr>https://www.tewhatuora.govt.nz/our-health-system/primary-care-sector/primary-health-organisations/enrolment-with-a-general-practice-and-primary-health-organisation</vt:lpwstr>
      </vt:variant>
      <vt:variant>
        <vt:lpwstr/>
      </vt:variant>
      <vt:variant>
        <vt:i4>5046277</vt:i4>
      </vt:variant>
      <vt:variant>
        <vt:i4>1647</vt:i4>
      </vt:variant>
      <vt:variant>
        <vt:i4>0</vt:i4>
      </vt:variant>
      <vt:variant>
        <vt:i4>5</vt:i4>
      </vt:variant>
      <vt:variant>
        <vt:lpwstr>https://www.canada.ca/en/health-canada/corporate/transparency/corporate-management-reporting/internal-audits/bc-tripartite-agreement.html</vt:lpwstr>
      </vt:variant>
      <vt:variant>
        <vt:lpwstr/>
      </vt:variant>
      <vt:variant>
        <vt:i4>393241</vt:i4>
      </vt:variant>
      <vt:variant>
        <vt:i4>1644</vt:i4>
      </vt:variant>
      <vt:variant>
        <vt:i4>0</vt:i4>
      </vt:variant>
      <vt:variant>
        <vt:i4>5</vt:i4>
      </vt:variant>
      <vt:variant>
        <vt:lpwstr>https://www.nccih.ca/Publications/Lists/Publications/Attachments/317/Ind-Self-Determine-Halseth-Murdoch-EN-web-2020-12-02.pdf</vt:lpwstr>
      </vt:variant>
      <vt:variant>
        <vt:lpwstr/>
      </vt:variant>
      <vt:variant>
        <vt:i4>6881342</vt:i4>
      </vt:variant>
      <vt:variant>
        <vt:i4>1641</vt:i4>
      </vt:variant>
      <vt:variant>
        <vt:i4>0</vt:i4>
      </vt:variant>
      <vt:variant>
        <vt:i4>5</vt:i4>
      </vt:variant>
      <vt:variant>
        <vt:lpwstr>https://www.indigenousmhspc.gov.au/publications/indigenous-self-governance-for-mental-health-and-s</vt:lpwstr>
      </vt:variant>
      <vt:variant>
        <vt:lpwstr/>
      </vt:variant>
      <vt:variant>
        <vt:i4>7667839</vt:i4>
      </vt:variant>
      <vt:variant>
        <vt:i4>1638</vt:i4>
      </vt:variant>
      <vt:variant>
        <vt:i4>0</vt:i4>
      </vt:variant>
      <vt:variant>
        <vt:i4>5</vt:i4>
      </vt:variant>
      <vt:variant>
        <vt:lpwstr>https://www.wa.gov.au/system/files/2022-10/Annual Report in Closing the Gap 2022 2.pdf</vt:lpwstr>
      </vt:variant>
      <vt:variant>
        <vt:lpwstr/>
      </vt:variant>
      <vt:variant>
        <vt:i4>8126586</vt:i4>
      </vt:variant>
      <vt:variant>
        <vt:i4>1635</vt:i4>
      </vt:variant>
      <vt:variant>
        <vt:i4>0</vt:i4>
      </vt:variant>
      <vt:variant>
        <vt:i4>5</vt:i4>
      </vt:variant>
      <vt:variant>
        <vt:lpwstr>https://www.mediastatements.wa.gov.au/Pages/McGowan/2022/06/Mental-health-pilot-to-boost-Aboriginal-social-and-emotional-wellbeing.aspx</vt:lpwstr>
      </vt:variant>
      <vt:variant>
        <vt:lpwstr/>
      </vt:variant>
      <vt:variant>
        <vt:i4>1966150</vt:i4>
      </vt:variant>
      <vt:variant>
        <vt:i4>1632</vt:i4>
      </vt:variant>
      <vt:variant>
        <vt:i4>0</vt:i4>
      </vt:variant>
      <vt:variant>
        <vt:i4>5</vt:i4>
      </vt:variant>
      <vt:variant>
        <vt:lpwstr>https://gphn.org.au/what-we-do/commissioning-process/all-about-commissioning/</vt:lpwstr>
      </vt:variant>
      <vt:variant>
        <vt:lpwstr/>
      </vt:variant>
      <vt:variant>
        <vt:i4>2490419</vt:i4>
      </vt:variant>
      <vt:variant>
        <vt:i4>1629</vt:i4>
      </vt:variant>
      <vt:variant>
        <vt:i4>0</vt:i4>
      </vt:variant>
      <vt:variant>
        <vt:i4>5</vt:i4>
      </vt:variant>
      <vt:variant>
        <vt:lpwstr>https://www.telethonkids.org.au/globalassets/media/documents/aboriginal-health/working-together-second-edition/wt-part-1-chapt-4-final.pdf</vt:lpwstr>
      </vt:variant>
      <vt:variant>
        <vt:lpwstr/>
      </vt:variant>
      <vt:variant>
        <vt:i4>7995513</vt:i4>
      </vt:variant>
      <vt:variant>
        <vt:i4>1626</vt:i4>
      </vt:variant>
      <vt:variant>
        <vt:i4>0</vt:i4>
      </vt:variant>
      <vt:variant>
        <vt:i4>5</vt:i4>
      </vt:variant>
      <vt:variant>
        <vt:lpwstr>https://508216-1694375-raikfcquaxqncofqfm.stackpathdns.com/wp-content/uploads/First-Nations-Health-Governance-Structure-in-British-Columbia.pdf</vt:lpwstr>
      </vt:variant>
      <vt:variant>
        <vt:lpwstr/>
      </vt:variant>
      <vt:variant>
        <vt:i4>6029381</vt:i4>
      </vt:variant>
      <vt:variant>
        <vt:i4>1623</vt:i4>
      </vt:variant>
      <vt:variant>
        <vt:i4>0</vt:i4>
      </vt:variant>
      <vt:variant>
        <vt:i4>5</vt:i4>
      </vt:variant>
      <vt:variant>
        <vt:lpwstr>https://www.health.gov.au/sites/default/files/documents/2021/06/evaluation-of-the-primary-health-networks-program.pdf</vt:lpwstr>
      </vt:variant>
      <vt:variant>
        <vt:lpwstr/>
      </vt:variant>
      <vt:variant>
        <vt:i4>3407982</vt:i4>
      </vt:variant>
      <vt:variant>
        <vt:i4>1620</vt:i4>
      </vt:variant>
      <vt:variant>
        <vt:i4>0</vt:i4>
      </vt:variant>
      <vt:variant>
        <vt:i4>5</vt:i4>
      </vt:variant>
      <vt:variant>
        <vt:lpwstr>https://www.ehinz.ac.nz/indicators/population-vulnerability/ethnic-profile/</vt:lpwstr>
      </vt:variant>
      <vt:variant>
        <vt:lpwstr/>
      </vt:variant>
      <vt:variant>
        <vt:i4>2228281</vt:i4>
      </vt:variant>
      <vt:variant>
        <vt:i4>1617</vt:i4>
      </vt:variant>
      <vt:variant>
        <vt:i4>0</vt:i4>
      </vt:variant>
      <vt:variant>
        <vt:i4>5</vt:i4>
      </vt:variant>
      <vt:variant>
        <vt:lpwstr>https://www.nationalempowermentproject.org.au/_files/ugd/396df4_9af682e3742644d78fb92435f7bd8c77.pdf</vt:lpwstr>
      </vt:variant>
      <vt:variant>
        <vt:lpwstr/>
      </vt:variant>
      <vt:variant>
        <vt:i4>4718696</vt:i4>
      </vt:variant>
      <vt:variant>
        <vt:i4>1614</vt:i4>
      </vt:variant>
      <vt:variant>
        <vt:i4>0</vt:i4>
      </vt:variant>
      <vt:variant>
        <vt:i4>5</vt:i4>
      </vt:variant>
      <vt:variant>
        <vt:lpwstr>https://www.aboriginalaffairs.nsw.gov.au/media/website_pages/research-and-publications/completed-research-and-evaluation/Weaving-Knowledges-codesign-report-FINAL.pdf</vt:lpwstr>
      </vt:variant>
      <vt:variant>
        <vt:lpwstr/>
      </vt:variant>
      <vt:variant>
        <vt:i4>393229</vt:i4>
      </vt:variant>
      <vt:variant>
        <vt:i4>1611</vt:i4>
      </vt:variant>
      <vt:variant>
        <vt:i4>0</vt:i4>
      </vt:variant>
      <vt:variant>
        <vt:i4>5</vt:i4>
      </vt:variant>
      <vt:variant>
        <vt:lpwstr>https://www.health.gov.au/sites/default/files/documents/2020/12/indigenous-australians-health-programme-primary-health-care-funding-model-overview-and-calculation-steps.docx</vt:lpwstr>
      </vt:variant>
      <vt:variant>
        <vt:lpwstr/>
      </vt:variant>
      <vt:variant>
        <vt:i4>6094867</vt:i4>
      </vt:variant>
      <vt:variant>
        <vt:i4>1608</vt:i4>
      </vt:variant>
      <vt:variant>
        <vt:i4>0</vt:i4>
      </vt:variant>
      <vt:variant>
        <vt:i4>5</vt:i4>
      </vt:variant>
      <vt:variant>
        <vt:lpwstr>https://www.health.gov.au/sites/default/files/documents/2021/06/primary-health-networks-phns-commissioning-information-sheet-overview.pdf</vt:lpwstr>
      </vt:variant>
      <vt:variant>
        <vt:lpwstr/>
      </vt:variant>
      <vt:variant>
        <vt:i4>5308417</vt:i4>
      </vt:variant>
      <vt:variant>
        <vt:i4>1605</vt:i4>
      </vt:variant>
      <vt:variant>
        <vt:i4>0</vt:i4>
      </vt:variant>
      <vt:variant>
        <vt:i4>5</vt:i4>
      </vt:variant>
      <vt:variant>
        <vt:lpwstr>https://www.health.gov.au/sites/default/files/documents/2021/04/primary-health-networks-phn-performance-and-quality-framework.pdf</vt:lpwstr>
      </vt:variant>
      <vt:variant>
        <vt:lpwstr/>
      </vt:variant>
      <vt:variant>
        <vt:i4>1376284</vt:i4>
      </vt:variant>
      <vt:variant>
        <vt:i4>1602</vt:i4>
      </vt:variant>
      <vt:variant>
        <vt:i4>0</vt:i4>
      </vt:variant>
      <vt:variant>
        <vt:i4>5</vt:i4>
      </vt:variant>
      <vt:variant>
        <vt:lpwstr>https://www.health.gov.au/sites/default/files/documents/2021/04/primary-health-networks-phn-grant-program-guidelines-phn-grant-program-guidelines.pdf</vt:lpwstr>
      </vt:variant>
      <vt:variant>
        <vt:lpwstr/>
      </vt:variant>
      <vt:variant>
        <vt:i4>6488126</vt:i4>
      </vt:variant>
      <vt:variant>
        <vt:i4>1599</vt:i4>
      </vt:variant>
      <vt:variant>
        <vt:i4>0</vt:i4>
      </vt:variant>
      <vt:variant>
        <vt:i4>5</vt:i4>
      </vt:variant>
      <vt:variant>
        <vt:lpwstr>https://www.health.gov.au/sites/default/files/documents/2021/04/primary-health-networks-phn-and-aboriginal-community-controlled-health-organisations-guiding-principles.pdf</vt:lpwstr>
      </vt:variant>
      <vt:variant>
        <vt:lpwstr/>
      </vt:variant>
      <vt:variant>
        <vt:i4>524303</vt:i4>
      </vt:variant>
      <vt:variant>
        <vt:i4>1596</vt:i4>
      </vt:variant>
      <vt:variant>
        <vt:i4>0</vt:i4>
      </vt:variant>
      <vt:variant>
        <vt:i4>5</vt:i4>
      </vt:variant>
      <vt:variant>
        <vt:lpwstr>https://www.health.vic.gov.au/sites/default/files/migrated/files/collections/policies-and-guidelines/a/aboriginal-governance-accountability-framework.pdf</vt:lpwstr>
      </vt:variant>
      <vt:variant>
        <vt:lpwstr/>
      </vt:variant>
      <vt:variant>
        <vt:i4>3670073</vt:i4>
      </vt:variant>
      <vt:variant>
        <vt:i4>1593</vt:i4>
      </vt:variant>
      <vt:variant>
        <vt:i4>0</vt:i4>
      </vt:variant>
      <vt:variant>
        <vt:i4>5</vt:i4>
      </vt:variant>
      <vt:variant>
        <vt:lpwstr>https://www.health.gov.au/our-work/indigenous-australians-health-programme</vt:lpwstr>
      </vt:variant>
      <vt:variant>
        <vt:lpwstr/>
      </vt:variant>
      <vt:variant>
        <vt:i4>6946912</vt:i4>
      </vt:variant>
      <vt:variant>
        <vt:i4>1590</vt:i4>
      </vt:variant>
      <vt:variant>
        <vt:i4>0</vt:i4>
      </vt:variant>
      <vt:variant>
        <vt:i4>5</vt:i4>
      </vt:variant>
      <vt:variant>
        <vt:lpwstr>https://www.health.gov.au/sites/default/files/documents/2022/10/analysis-of-suicide-prevention-trials-evaluation-findings-discussion-paper.pdf</vt:lpwstr>
      </vt:variant>
      <vt:variant>
        <vt:lpwstr/>
      </vt:variant>
      <vt:variant>
        <vt:i4>458772</vt:i4>
      </vt:variant>
      <vt:variant>
        <vt:i4>1587</vt:i4>
      </vt:variant>
      <vt:variant>
        <vt:i4>0</vt:i4>
      </vt:variant>
      <vt:variant>
        <vt:i4>5</vt:i4>
      </vt:variant>
      <vt:variant>
        <vt:lpwstr>https://www.finance.gov.au/government/procurement/buying-australian-government/procurement-process-considerations</vt:lpwstr>
      </vt:variant>
      <vt:variant>
        <vt:lpwstr/>
      </vt:variant>
      <vt:variant>
        <vt:i4>6094878</vt:i4>
      </vt:variant>
      <vt:variant>
        <vt:i4>1584</vt:i4>
      </vt:variant>
      <vt:variant>
        <vt:i4>0</vt:i4>
      </vt:variant>
      <vt:variant>
        <vt:i4>5</vt:i4>
      </vt:variant>
      <vt:variant>
        <vt:lpwstr>https://www.vic.gov.au/dhelk-dja-monitoring-evaluation-and-accountability-plan/print-all</vt:lpwstr>
      </vt:variant>
      <vt:variant>
        <vt:lpwstr/>
      </vt:variant>
      <vt:variant>
        <vt:i4>1769558</vt:i4>
      </vt:variant>
      <vt:variant>
        <vt:i4>1581</vt:i4>
      </vt:variant>
      <vt:variant>
        <vt:i4>0</vt:i4>
      </vt:variant>
      <vt:variant>
        <vt:i4>5</vt:i4>
      </vt:variant>
      <vt:variant>
        <vt:lpwstr>https://www.chde.qld.gov.au/about/initiatives/place-based-approaches</vt:lpwstr>
      </vt:variant>
      <vt:variant>
        <vt:lpwstr>:~:text=What%20is%20a%20place%2Dbased,accountability%20for%20outcomes%20and%20impacts</vt:lpwstr>
      </vt:variant>
      <vt:variant>
        <vt:i4>7798829</vt:i4>
      </vt:variant>
      <vt:variant>
        <vt:i4>1578</vt:i4>
      </vt:variant>
      <vt:variant>
        <vt:i4>0</vt:i4>
      </vt:variant>
      <vt:variant>
        <vt:i4>5</vt:i4>
      </vt:variant>
      <vt:variant>
        <vt:lpwstr>https://www.wa.gov.au/organisation/department-of-communities/remote-aboriginal-communities</vt:lpwstr>
      </vt:variant>
      <vt:variant>
        <vt:lpwstr/>
      </vt:variant>
      <vt:variant>
        <vt:i4>5373991</vt:i4>
      </vt:variant>
      <vt:variant>
        <vt:i4>1575</vt:i4>
      </vt:variant>
      <vt:variant>
        <vt:i4>0</vt:i4>
      </vt:variant>
      <vt:variant>
        <vt:i4>5</vt:i4>
      </vt:variant>
      <vt:variant>
        <vt:lpwstr>https://www.health.gov.au/sites/default/files/documents/2021/11/national-suicide-prevention-trial-final-evaluation-report_0.pdf</vt:lpwstr>
      </vt:variant>
      <vt:variant>
        <vt:lpwstr/>
      </vt:variant>
      <vt:variant>
        <vt:i4>393281</vt:i4>
      </vt:variant>
      <vt:variant>
        <vt:i4>1572</vt:i4>
      </vt:variant>
      <vt:variant>
        <vt:i4>0</vt:i4>
      </vt:variant>
      <vt:variant>
        <vt:i4>5</vt:i4>
      </vt:variant>
      <vt:variant>
        <vt:lpwstr>https://tacklingsmoking.org.au/wp-content/uploads/sites/5/2023/11/TIS_RTCG_FinalEvalReport_20220317_final.pdf</vt:lpwstr>
      </vt:variant>
      <vt:variant>
        <vt:lpwstr/>
      </vt:variant>
      <vt:variant>
        <vt:i4>7536761</vt:i4>
      </vt:variant>
      <vt:variant>
        <vt:i4>1569</vt:i4>
      </vt:variant>
      <vt:variant>
        <vt:i4>0</vt:i4>
      </vt:variant>
      <vt:variant>
        <vt:i4>5</vt:i4>
      </vt:variant>
      <vt:variant>
        <vt:lpwstr>https://www.everycrsreport.com/files/20170717_R44040_26f7f41da6a2dd20af971a29387ab4af137a2480.pdf</vt:lpwstr>
      </vt:variant>
      <vt:variant>
        <vt:lpwstr/>
      </vt:variant>
      <vt:variant>
        <vt:i4>720903</vt:i4>
      </vt:variant>
      <vt:variant>
        <vt:i4>1566</vt:i4>
      </vt:variant>
      <vt:variant>
        <vt:i4>0</vt:i4>
      </vt:variant>
      <vt:variant>
        <vt:i4>5</vt:i4>
      </vt:variant>
      <vt:variant>
        <vt:lpwstr>https://crsreports.congress.gov/product/pdf/R/R43330</vt:lpwstr>
      </vt:variant>
      <vt:variant>
        <vt:lpwstr/>
      </vt:variant>
      <vt:variant>
        <vt:i4>2687052</vt:i4>
      </vt:variant>
      <vt:variant>
        <vt:i4>1563</vt:i4>
      </vt:variant>
      <vt:variant>
        <vt:i4>0</vt:i4>
      </vt:variant>
      <vt:variant>
        <vt:i4>5</vt:i4>
      </vt:variant>
      <vt:variant>
        <vt:lpwstr>https://coalitionofpeaks.org.au/resources/coalition-of-peaks-annual-report-2021-2022/?utm_source=rss&amp;utm_medium=rss&amp;utm_campaign=coalition-of-peaks-annual-report-2021-2022</vt:lpwstr>
      </vt:variant>
      <vt:variant>
        <vt:lpwstr/>
      </vt:variant>
      <vt:variant>
        <vt:i4>1703939</vt:i4>
      </vt:variant>
      <vt:variant>
        <vt:i4>1560</vt:i4>
      </vt:variant>
      <vt:variant>
        <vt:i4>0</vt:i4>
      </vt:variant>
      <vt:variant>
        <vt:i4>5</vt:i4>
      </vt:variant>
      <vt:variant>
        <vt:lpwstr>https://www.closingthegap.gov.au/sites/default/files/2022-09/ctg-national-agreement_apr-21-comm-infra-targets-updated-24-august-2022_0.pdf</vt:lpwstr>
      </vt:variant>
      <vt:variant>
        <vt:lpwstr/>
      </vt:variant>
      <vt:variant>
        <vt:i4>3670062</vt:i4>
      </vt:variant>
      <vt:variant>
        <vt:i4>1557</vt:i4>
      </vt:variant>
      <vt:variant>
        <vt:i4>0</vt:i4>
      </vt:variant>
      <vt:variant>
        <vt:i4>5</vt:i4>
      </vt:variant>
      <vt:variant>
        <vt:lpwstr>https://cbpatsisp.com.au/about-us/</vt:lpwstr>
      </vt:variant>
      <vt:variant>
        <vt:lpwstr>guidingprinciples</vt:lpwstr>
      </vt:variant>
      <vt:variant>
        <vt:i4>8192043</vt:i4>
      </vt:variant>
      <vt:variant>
        <vt:i4>1554</vt:i4>
      </vt:variant>
      <vt:variant>
        <vt:i4>0</vt:i4>
      </vt:variant>
      <vt:variant>
        <vt:i4>5</vt:i4>
      </vt:variant>
      <vt:variant>
        <vt:lpwstr>https://www.cdc.gov/healthytribes/ghwic-funding.htm</vt:lpwstr>
      </vt:variant>
      <vt:variant>
        <vt:lpwstr/>
      </vt:variant>
      <vt:variant>
        <vt:i4>7667765</vt:i4>
      </vt:variant>
      <vt:variant>
        <vt:i4>1551</vt:i4>
      </vt:variant>
      <vt:variant>
        <vt:i4>0</vt:i4>
      </vt:variant>
      <vt:variant>
        <vt:i4>5</vt:i4>
      </vt:variant>
      <vt:variant>
        <vt:lpwstr>https://www.cdc.gov/healthytribes/ghwic.htm</vt:lpwstr>
      </vt:variant>
      <vt:variant>
        <vt:lpwstr>:~:text=Good%20Health%20and%20Wellness%20in%20Indian%20Country%20(GHWIC)%20is%20the,promotion%20and%20chronic%20disease%20prevention</vt:lpwstr>
      </vt:variant>
      <vt:variant>
        <vt:i4>4259868</vt:i4>
      </vt:variant>
      <vt:variant>
        <vt:i4>1548</vt:i4>
      </vt:variant>
      <vt:variant>
        <vt:i4>0</vt:i4>
      </vt:variant>
      <vt:variant>
        <vt:i4>5</vt:i4>
      </vt:variant>
      <vt:variant>
        <vt:lpwstr>https://nativetitle.org.au/learn/pbcs-making-it-work/about-governance/two-way-governance</vt:lpwstr>
      </vt:variant>
      <vt:variant>
        <vt:lpwstr/>
      </vt:variant>
      <vt:variant>
        <vt:i4>7667713</vt:i4>
      </vt:variant>
      <vt:variant>
        <vt:i4>1545</vt:i4>
      </vt:variant>
      <vt:variant>
        <vt:i4>0</vt:i4>
      </vt:variant>
      <vt:variant>
        <vt:i4>5</vt:i4>
      </vt:variant>
      <vt:variant>
        <vt:lpwstr>https://www.cqu.edu.au/__data/assets/pdf_file/0025/145663/transition-to-community-control-reports.pdf</vt:lpwstr>
      </vt:variant>
      <vt:variant>
        <vt:lpwstr/>
      </vt:variant>
      <vt:variant>
        <vt:i4>4325440</vt:i4>
      </vt:variant>
      <vt:variant>
        <vt:i4>1542</vt:i4>
      </vt:variant>
      <vt:variant>
        <vt:i4>0</vt:i4>
      </vt:variant>
      <vt:variant>
        <vt:i4>5</vt:i4>
      </vt:variant>
      <vt:variant>
        <vt:lpwstr>https://www.anao.gov.au/work/performance-audit/primary-healthcare-grants-under-the-indigenous-australians-health-program</vt:lpwstr>
      </vt:variant>
      <vt:variant>
        <vt:lpwstr/>
      </vt:variant>
      <vt:variant>
        <vt:i4>262177</vt:i4>
      </vt:variant>
      <vt:variant>
        <vt:i4>1539</vt:i4>
      </vt:variant>
      <vt:variant>
        <vt:i4>0</vt:i4>
      </vt:variant>
      <vt:variant>
        <vt:i4>5</vt:i4>
      </vt:variant>
      <vt:variant>
        <vt:lpwstr>https://www.anao.gov.au/sites/default/files/ANAO_Report_2010-2011_11.pdf</vt:lpwstr>
      </vt:variant>
      <vt:variant>
        <vt:lpwstr/>
      </vt:variant>
      <vt:variant>
        <vt:i4>1310745</vt:i4>
      </vt:variant>
      <vt:variant>
        <vt:i4>1536</vt:i4>
      </vt:variant>
      <vt:variant>
        <vt:i4>0</vt:i4>
      </vt:variant>
      <vt:variant>
        <vt:i4>5</vt:i4>
      </vt:variant>
      <vt:variant>
        <vt:lpwstr>https://healthinfonet.ecu.edu.au/learn/locations/wa/</vt:lpwstr>
      </vt:variant>
      <vt:variant>
        <vt:lpwstr/>
      </vt:variant>
      <vt:variant>
        <vt:i4>1048586</vt:i4>
      </vt:variant>
      <vt:variant>
        <vt:i4>1533</vt:i4>
      </vt:variant>
      <vt:variant>
        <vt:i4>0</vt:i4>
      </vt:variant>
      <vt:variant>
        <vt:i4>5</vt:i4>
      </vt:variant>
      <vt:variant>
        <vt:lpwstr>https://aigi.org.au/toolkit/2-1-indigenous-governance-and-culture</vt:lpwstr>
      </vt:variant>
      <vt:variant>
        <vt:lpwstr/>
      </vt:variant>
      <vt:variant>
        <vt:i4>2228333</vt:i4>
      </vt:variant>
      <vt:variant>
        <vt:i4>1530</vt:i4>
      </vt:variant>
      <vt:variant>
        <vt:i4>0</vt:i4>
      </vt:variant>
      <vt:variant>
        <vt:i4>5</vt:i4>
      </vt:variant>
      <vt:variant>
        <vt:lpwstr>https://www.closingthegap.gov.au/national-agreement/national-agreement-closing-the-gap/6-priority-reform-areas/two</vt:lpwstr>
      </vt:variant>
      <vt:variant>
        <vt:lpwstr/>
      </vt:variant>
      <vt:variant>
        <vt:i4>4390944</vt:i4>
      </vt:variant>
      <vt:variant>
        <vt:i4>1527</vt:i4>
      </vt:variant>
      <vt:variant>
        <vt:i4>0</vt:i4>
      </vt:variant>
      <vt:variant>
        <vt:i4>5</vt:i4>
      </vt:variant>
      <vt:variant>
        <vt:lpwstr>https://www.atsispep.sis.uwa.edu.au/__data/assets/pdf_file/0006/2947299/ATSISPEP-Report-Final-Web.pdf</vt:lpwstr>
      </vt:variant>
      <vt:variant>
        <vt:lpwstr/>
      </vt:variant>
      <vt:variant>
        <vt:i4>6684782</vt:i4>
      </vt:variant>
      <vt:variant>
        <vt:i4>1524</vt:i4>
      </vt:variant>
      <vt:variant>
        <vt:i4>0</vt:i4>
      </vt:variant>
      <vt:variant>
        <vt:i4>5</vt:i4>
      </vt:variant>
      <vt:variant>
        <vt:lpwstr>https://aspe.hhs.gov/sites/default/files/documents/1b5d32824c31e113a2df43170c45ac15/aspe-ihs-funding-disparities-report.pdf</vt:lpwstr>
      </vt:variant>
      <vt:variant>
        <vt:lpwstr/>
      </vt:variant>
      <vt:variant>
        <vt:i4>3604595</vt:i4>
      </vt:variant>
      <vt:variant>
        <vt:i4>1521</vt:i4>
      </vt:variant>
      <vt:variant>
        <vt:i4>0</vt:i4>
      </vt:variant>
      <vt:variant>
        <vt:i4>5</vt:i4>
      </vt:variant>
      <vt:variant>
        <vt:lpwstr>https://doi.org/10.5888%2Fpcd16.190081</vt:lpwstr>
      </vt:variant>
      <vt:variant>
        <vt:lpwstr/>
      </vt:variant>
      <vt:variant>
        <vt:i4>1900634</vt:i4>
      </vt:variant>
      <vt:variant>
        <vt:i4>1518</vt:i4>
      </vt:variant>
      <vt:variant>
        <vt:i4>0</vt:i4>
      </vt:variant>
      <vt:variant>
        <vt:i4>5</vt:i4>
      </vt:variant>
      <vt:variant>
        <vt:lpwstr>https://www.aihw.gov.au/reports/indigenous-australians/indigenous-primary-health-care-results-osr-nkpi/contents/osr-introduction</vt:lpwstr>
      </vt:variant>
      <vt:variant>
        <vt:lpwstr/>
      </vt:variant>
      <vt:variant>
        <vt:i4>3014783</vt:i4>
      </vt:variant>
      <vt:variant>
        <vt:i4>1515</vt:i4>
      </vt:variant>
      <vt:variant>
        <vt:i4>0</vt:i4>
      </vt:variant>
      <vt:variant>
        <vt:i4>5</vt:i4>
      </vt:variant>
      <vt:variant>
        <vt:lpwstr>https://www.aihw.gov.au/reports/australias-health/indigenous-australians-use-of-health-services</vt:lpwstr>
      </vt:variant>
      <vt:variant>
        <vt:lpwstr/>
      </vt:variant>
      <vt:variant>
        <vt:i4>4390943</vt:i4>
      </vt:variant>
      <vt:variant>
        <vt:i4>1512</vt:i4>
      </vt:variant>
      <vt:variant>
        <vt:i4>0</vt:i4>
      </vt:variant>
      <vt:variant>
        <vt:i4>5</vt:i4>
      </vt:variant>
      <vt:variant>
        <vt:lpwstr>https://www.aihw.gov.au/reports/indigenous-australians/cultural-safety-health-care-framework/contents/module-1-culturally-respectful-health-care-services</vt:lpwstr>
      </vt:variant>
      <vt:variant>
        <vt:lpwstr/>
      </vt:variant>
      <vt:variant>
        <vt:i4>5505094</vt:i4>
      </vt:variant>
      <vt:variant>
        <vt:i4>1509</vt:i4>
      </vt:variant>
      <vt:variant>
        <vt:i4>0</vt:i4>
      </vt:variant>
      <vt:variant>
        <vt:i4>5</vt:i4>
      </vt:variant>
      <vt:variant>
        <vt:lpwstr>https://www.aihw.gov.au/reports/australias-health/indigenous-health-and-wellbeing</vt:lpwstr>
      </vt:variant>
      <vt:variant>
        <vt:lpwstr>Social%20and%20emotional%20wellbeing</vt:lpwstr>
      </vt:variant>
      <vt:variant>
        <vt:i4>6553726</vt:i4>
      </vt:variant>
      <vt:variant>
        <vt:i4>1506</vt:i4>
      </vt:variant>
      <vt:variant>
        <vt:i4>0</vt:i4>
      </vt:variant>
      <vt:variant>
        <vt:i4>5</vt:i4>
      </vt:variant>
      <vt:variant>
        <vt:lpwstr>https://www.atns.net.au/indigenous-governance</vt:lpwstr>
      </vt:variant>
      <vt:variant>
        <vt:lpwstr>:~:text=Indigenous%20governance%3A%20The%20structures%2C%20systems,and%20responsibilities%20of%20its%20leaders</vt:lpwstr>
      </vt:variant>
      <vt:variant>
        <vt:i4>2424893</vt:i4>
      </vt:variant>
      <vt:variant>
        <vt:i4>1503</vt:i4>
      </vt:variant>
      <vt:variant>
        <vt:i4>0</vt:i4>
      </vt:variant>
      <vt:variant>
        <vt:i4>5</vt:i4>
      </vt:variant>
      <vt:variant>
        <vt:lpwstr>https://www.nationalempowermentproject.org.au/_files/ugd/396df4_75ecfe319ab048eb98b27e8370c06e89.pdf</vt:lpwstr>
      </vt:variant>
      <vt:variant>
        <vt:lpwstr/>
      </vt:variant>
      <vt:variant>
        <vt:i4>5046290</vt:i4>
      </vt:variant>
      <vt:variant>
        <vt:i4>1281</vt:i4>
      </vt:variant>
      <vt:variant>
        <vt:i4>0</vt:i4>
      </vt:variant>
      <vt:variant>
        <vt:i4>5</vt:i4>
      </vt:variant>
      <vt:variant>
        <vt:lpwstr>https://www.tsra.gov.au/__data/assets/pdf_file/0003/34590/TSRA-HCF-Guest-speaker-_-Matt-Cooke-QAIHC.pdf</vt:lpwstr>
      </vt:variant>
      <vt:variant>
        <vt:lpwstr/>
      </vt:variant>
      <vt:variant>
        <vt:i4>5767199</vt:i4>
      </vt:variant>
      <vt:variant>
        <vt:i4>1278</vt:i4>
      </vt:variant>
      <vt:variant>
        <vt:i4>0</vt:i4>
      </vt:variant>
      <vt:variant>
        <vt:i4>5</vt:i4>
      </vt:variant>
      <vt:variant>
        <vt:lpwstr>https://www.pc.gov.au/inquiries/current/closing-the-gap-review/draft/closing-the-gap-review-draft.pdf</vt:lpwstr>
      </vt:variant>
      <vt:variant>
        <vt:lpwstr/>
      </vt:variant>
      <vt:variant>
        <vt:i4>6619251</vt:i4>
      </vt:variant>
      <vt:variant>
        <vt:i4>1275</vt:i4>
      </vt:variant>
      <vt:variant>
        <vt:i4>0</vt:i4>
      </vt:variant>
      <vt:variant>
        <vt:i4>5</vt:i4>
      </vt:variant>
      <vt:variant>
        <vt:lpwstr>https://treasury.gov.au/sites/default/files/2022-03/258735_national_aboriginal_community_controlled_health_organisation.pdf</vt:lpwstr>
      </vt:variant>
      <vt:variant>
        <vt:lpwstr/>
      </vt:variant>
      <vt:variant>
        <vt:i4>393241</vt:i4>
      </vt:variant>
      <vt:variant>
        <vt:i4>1272</vt:i4>
      </vt:variant>
      <vt:variant>
        <vt:i4>0</vt:i4>
      </vt:variant>
      <vt:variant>
        <vt:i4>5</vt:i4>
      </vt:variant>
      <vt:variant>
        <vt:lpwstr>https://www.nccih.ca/Publications/Lists/Publications/Attachments/317/Ind-Self-Determine-Halseth-Murdoch-EN-web-2020-12-02.pdf</vt:lpwstr>
      </vt:variant>
      <vt:variant>
        <vt:lpwstr/>
      </vt:variant>
      <vt:variant>
        <vt:i4>2228333</vt:i4>
      </vt:variant>
      <vt:variant>
        <vt:i4>1269</vt:i4>
      </vt:variant>
      <vt:variant>
        <vt:i4>0</vt:i4>
      </vt:variant>
      <vt:variant>
        <vt:i4>5</vt:i4>
      </vt:variant>
      <vt:variant>
        <vt:lpwstr>https://www.closingthegap.gov.au/national-agreement/national-agreement-closing-the-gap/6-priority-reform-areas/two</vt:lpwstr>
      </vt:variant>
      <vt:variant>
        <vt:lpwstr/>
      </vt:variant>
      <vt:variant>
        <vt:i4>6553711</vt:i4>
      </vt:variant>
      <vt:variant>
        <vt:i4>1131</vt:i4>
      </vt:variant>
      <vt:variant>
        <vt:i4>0</vt:i4>
      </vt:variant>
      <vt:variant>
        <vt:i4>5</vt:i4>
      </vt:variant>
      <vt:variant>
        <vt:lpwstr>http://www.nintione.com.au/resource/Aboriginal-Knowledge-and-IP-Protocol-Community-Guide-booklet-A5.pdf</vt:lpwstr>
      </vt:variant>
      <vt:variant>
        <vt:lpwstr/>
      </vt:variant>
      <vt:variant>
        <vt:i4>2752565</vt:i4>
      </vt:variant>
      <vt:variant>
        <vt:i4>1128</vt:i4>
      </vt:variant>
      <vt:variant>
        <vt:i4>0</vt:i4>
      </vt:variant>
      <vt:variant>
        <vt:i4>5</vt:i4>
      </vt:variant>
      <vt:variant>
        <vt:lpwstr>https://www.health.gov.au/our-work/aboriginal-and-torres-strait-islander-mental-health-program</vt:lpwstr>
      </vt:variant>
      <vt:variant>
        <vt:lpwstr/>
      </vt:variant>
      <vt:variant>
        <vt:i4>3670073</vt:i4>
      </vt:variant>
      <vt:variant>
        <vt:i4>1125</vt:i4>
      </vt:variant>
      <vt:variant>
        <vt:i4>0</vt:i4>
      </vt:variant>
      <vt:variant>
        <vt:i4>5</vt:i4>
      </vt:variant>
      <vt:variant>
        <vt:lpwstr>https://www.health.gov.au/our-work/indigenous-australians-health-programme</vt:lpwstr>
      </vt:variant>
      <vt:variant>
        <vt:lpwstr/>
      </vt:variant>
      <vt:variant>
        <vt:i4>7471151</vt:i4>
      </vt:variant>
      <vt:variant>
        <vt:i4>1122</vt:i4>
      </vt:variant>
      <vt:variant>
        <vt:i4>0</vt:i4>
      </vt:variant>
      <vt:variant>
        <vt:i4>5</vt:i4>
      </vt:variant>
      <vt:variant>
        <vt:lpwstr>https://www.health.gov.au/sites/default/files/documents/2021/04/primary-health-networks-phn-primary-mental-health-care-guidance-aboriginal-and-torres-strait-islander-mental-health-services-primary-health-networks-phn-primary-mental-health-care-guidance-aboriginal-and-torres-strait-isla.pdf</vt:lpwstr>
      </vt:variant>
      <vt:variant>
        <vt:lpwstr/>
      </vt:variant>
      <vt:variant>
        <vt:i4>7536692</vt:i4>
      </vt:variant>
      <vt:variant>
        <vt:i4>1119</vt:i4>
      </vt:variant>
      <vt:variant>
        <vt:i4>0</vt:i4>
      </vt:variant>
      <vt:variant>
        <vt:i4>5</vt:i4>
      </vt:variant>
      <vt:variant>
        <vt:lpwstr>https://www.health.gov.au/sites/default/files/documents/2020/12/integrated-team-care-program-implementation-guidelines.pdf</vt:lpwstr>
      </vt:variant>
      <vt:variant>
        <vt:lpwstr/>
      </vt:variant>
      <vt:variant>
        <vt:i4>7143540</vt:i4>
      </vt:variant>
      <vt:variant>
        <vt:i4>1116</vt:i4>
      </vt:variant>
      <vt:variant>
        <vt:i4>0</vt:i4>
      </vt:variant>
      <vt:variant>
        <vt:i4>5</vt:i4>
      </vt:variant>
      <vt:variant>
        <vt:lpwstr>https://www.vahs.org.au/history-post-1967/</vt:lpwstr>
      </vt:variant>
      <vt:variant>
        <vt:lpwstr/>
      </vt:variant>
      <vt:variant>
        <vt:i4>3735668</vt:i4>
      </vt:variant>
      <vt:variant>
        <vt:i4>1113</vt:i4>
      </vt:variant>
      <vt:variant>
        <vt:i4>0</vt:i4>
      </vt:variant>
      <vt:variant>
        <vt:i4>5</vt:i4>
      </vt:variant>
      <vt:variant>
        <vt:lpwstr>https://www.un.org/development/desa/indigenouspeoples/wp-content/uploads/sites/19/2018/11/UNDRIP_E_web.pdf</vt:lpwstr>
      </vt:variant>
      <vt:variant>
        <vt:lpwstr/>
      </vt:variant>
      <vt:variant>
        <vt:i4>7274615</vt:i4>
      </vt:variant>
      <vt:variant>
        <vt:i4>1110</vt:i4>
      </vt:variant>
      <vt:variant>
        <vt:i4>0</vt:i4>
      </vt:variant>
      <vt:variant>
        <vt:i4>5</vt:i4>
      </vt:variant>
      <vt:variant>
        <vt:lpwstr>https://natsilmh.org.au/sites/default/files/uploads/Wharerata Declaration-JlLPS 2010.pd</vt:lpwstr>
      </vt:variant>
      <vt:variant>
        <vt:lpwstr/>
      </vt:variant>
      <vt:variant>
        <vt:i4>5767199</vt:i4>
      </vt:variant>
      <vt:variant>
        <vt:i4>1107</vt:i4>
      </vt:variant>
      <vt:variant>
        <vt:i4>0</vt:i4>
      </vt:variant>
      <vt:variant>
        <vt:i4>5</vt:i4>
      </vt:variant>
      <vt:variant>
        <vt:lpwstr>https://www.pc.gov.au/inquiries/current/closing-the-gap-review/draft/closing-the-gap-review-draft.pdf</vt:lpwstr>
      </vt:variant>
      <vt:variant>
        <vt:lpwstr/>
      </vt:variant>
      <vt:variant>
        <vt:i4>1310781</vt:i4>
      </vt:variant>
      <vt:variant>
        <vt:i4>1104</vt:i4>
      </vt:variant>
      <vt:variant>
        <vt:i4>0</vt:i4>
      </vt:variant>
      <vt:variant>
        <vt:i4>5</vt:i4>
      </vt:variant>
      <vt:variant>
        <vt:lpwstr>https://parlinfo.aph.gov.au/parlInfo/download/library/prspub/FXED6/upload_binary/fxed68.pdf;fileType=application%2Fpdf</vt:lpwstr>
      </vt:variant>
      <vt:variant>
        <vt:lpwstr>search=%22library/prspub/FXED6%22</vt:lpwstr>
      </vt:variant>
      <vt:variant>
        <vt:i4>4980748</vt:i4>
      </vt:variant>
      <vt:variant>
        <vt:i4>1101</vt:i4>
      </vt:variant>
      <vt:variant>
        <vt:i4>0</vt:i4>
      </vt:variant>
      <vt:variant>
        <vt:i4>5</vt:i4>
      </vt:variant>
      <vt:variant>
        <vt:lpwstr>https://researchinvolvement.biomedcentral.com/articles/10.1186/s40900-020-0176-9</vt:lpwstr>
      </vt:variant>
      <vt:variant>
        <vt:lpwstr/>
      </vt:variant>
      <vt:variant>
        <vt:i4>3211386</vt:i4>
      </vt:variant>
      <vt:variant>
        <vt:i4>1098</vt:i4>
      </vt:variant>
      <vt:variant>
        <vt:i4>0</vt:i4>
      </vt:variant>
      <vt:variant>
        <vt:i4>5</vt:i4>
      </vt:variant>
      <vt:variant>
        <vt:lpwstr>https://www.niaa.gov.au/areas-of-focus</vt:lpwstr>
      </vt:variant>
      <vt:variant>
        <vt:lpwstr/>
      </vt:variant>
      <vt:variant>
        <vt:i4>6619251</vt:i4>
      </vt:variant>
      <vt:variant>
        <vt:i4>1095</vt:i4>
      </vt:variant>
      <vt:variant>
        <vt:i4>0</vt:i4>
      </vt:variant>
      <vt:variant>
        <vt:i4>5</vt:i4>
      </vt:variant>
      <vt:variant>
        <vt:lpwstr>https://treasury.gov.au/sites/default/files/2022-03/258735_national_aboriginal_community_controlled_health_organisation.pdf</vt:lpwstr>
      </vt:variant>
      <vt:variant>
        <vt:lpwstr/>
      </vt:variant>
      <vt:variant>
        <vt:i4>262267</vt:i4>
      </vt:variant>
      <vt:variant>
        <vt:i4>1092</vt:i4>
      </vt:variant>
      <vt:variant>
        <vt:i4>0</vt:i4>
      </vt:variant>
      <vt:variant>
        <vt:i4>5</vt:i4>
      </vt:variant>
      <vt:variant>
        <vt:lpwstr>https://natsilmh.org.au/sites/default/files/gayaa_dhuwi_declaration_A4.pdf</vt:lpwstr>
      </vt:variant>
      <vt:variant>
        <vt:lpwstr/>
      </vt:variant>
      <vt:variant>
        <vt:i4>655363</vt:i4>
      </vt:variant>
      <vt:variant>
        <vt:i4>1089</vt:i4>
      </vt:variant>
      <vt:variant>
        <vt:i4>0</vt:i4>
      </vt:variant>
      <vt:variant>
        <vt:i4>5</vt:i4>
      </vt:variant>
      <vt:variant>
        <vt:lpwstr>https://pubmed.ncbi.nlm.nih.gov/34301256/</vt:lpwstr>
      </vt:variant>
      <vt:variant>
        <vt:lpwstr/>
      </vt:variant>
      <vt:variant>
        <vt:i4>7209013</vt:i4>
      </vt:variant>
      <vt:variant>
        <vt:i4>1086</vt:i4>
      </vt:variant>
      <vt:variant>
        <vt:i4>0</vt:i4>
      </vt:variant>
      <vt:variant>
        <vt:i4>5</vt:i4>
      </vt:variant>
      <vt:variant>
        <vt:lpwstr>https://doi.org/10.1186/s12875-020-01300-z</vt:lpwstr>
      </vt:variant>
      <vt:variant>
        <vt:lpwstr/>
      </vt:variant>
      <vt:variant>
        <vt:i4>2621474</vt:i4>
      </vt:variant>
      <vt:variant>
        <vt:i4>1083</vt:i4>
      </vt:variant>
      <vt:variant>
        <vt:i4>0</vt:i4>
      </vt:variant>
      <vt:variant>
        <vt:i4>5</vt:i4>
      </vt:variant>
      <vt:variant>
        <vt:lpwstr>https://www.iahpyarnes.com/phc/the-iahp</vt:lpwstr>
      </vt:variant>
      <vt:variant>
        <vt:lpwstr/>
      </vt:variant>
      <vt:variant>
        <vt:i4>3473457</vt:i4>
      </vt:variant>
      <vt:variant>
        <vt:i4>1080</vt:i4>
      </vt:variant>
      <vt:variant>
        <vt:i4>0</vt:i4>
      </vt:variant>
      <vt:variant>
        <vt:i4>5</vt:i4>
      </vt:variant>
      <vt:variant>
        <vt:lpwstr>https://globalizationandhealth.biomedcentral.com/articles/10.1186/s12992-018-0332-2</vt:lpwstr>
      </vt:variant>
      <vt:variant>
        <vt:lpwstr/>
      </vt:variant>
      <vt:variant>
        <vt:i4>6881342</vt:i4>
      </vt:variant>
      <vt:variant>
        <vt:i4>1077</vt:i4>
      </vt:variant>
      <vt:variant>
        <vt:i4>0</vt:i4>
      </vt:variant>
      <vt:variant>
        <vt:i4>5</vt:i4>
      </vt:variant>
      <vt:variant>
        <vt:lpwstr>https://www.indigenousmhspc.gov.au/publications/indigenous-self-governance-for-mental-health-and-s</vt:lpwstr>
      </vt:variant>
      <vt:variant>
        <vt:lpwstr/>
      </vt:variant>
      <vt:variant>
        <vt:i4>3670073</vt:i4>
      </vt:variant>
      <vt:variant>
        <vt:i4>1074</vt:i4>
      </vt:variant>
      <vt:variant>
        <vt:i4>0</vt:i4>
      </vt:variant>
      <vt:variant>
        <vt:i4>5</vt:i4>
      </vt:variant>
      <vt:variant>
        <vt:lpwstr>https://www.health.gov.au/our-work/indigenous-australians-health-programme</vt:lpwstr>
      </vt:variant>
      <vt:variant>
        <vt:lpwstr/>
      </vt:variant>
      <vt:variant>
        <vt:i4>393229</vt:i4>
      </vt:variant>
      <vt:variant>
        <vt:i4>1071</vt:i4>
      </vt:variant>
      <vt:variant>
        <vt:i4>0</vt:i4>
      </vt:variant>
      <vt:variant>
        <vt:i4>5</vt:i4>
      </vt:variant>
      <vt:variant>
        <vt:lpwstr>https://www.health.gov.au/sites/default/files/documents/2020/12/indigenous-australians-health-programme-primary-health-care-funding-model-overview-and-calculation-steps.docx</vt:lpwstr>
      </vt:variant>
      <vt:variant>
        <vt:lpwstr/>
      </vt:variant>
      <vt:variant>
        <vt:i4>6094878</vt:i4>
      </vt:variant>
      <vt:variant>
        <vt:i4>1068</vt:i4>
      </vt:variant>
      <vt:variant>
        <vt:i4>0</vt:i4>
      </vt:variant>
      <vt:variant>
        <vt:i4>5</vt:i4>
      </vt:variant>
      <vt:variant>
        <vt:lpwstr>https://www.vic.gov.au/dhelk-dja-monitoring-evaluation-and-accountability-plan/print-all</vt:lpwstr>
      </vt:variant>
      <vt:variant>
        <vt:lpwstr/>
      </vt:variant>
      <vt:variant>
        <vt:i4>5701719</vt:i4>
      </vt:variant>
      <vt:variant>
        <vt:i4>1065</vt:i4>
      </vt:variant>
      <vt:variant>
        <vt:i4>0</vt:i4>
      </vt:variant>
      <vt:variant>
        <vt:i4>5</vt:i4>
      </vt:variant>
      <vt:variant>
        <vt:lpwstr>https://www.niaa.gov.au/2023-commonwealth-closing-gap-implementation-plan</vt:lpwstr>
      </vt:variant>
      <vt:variant>
        <vt:lpwstr/>
      </vt:variant>
      <vt:variant>
        <vt:i4>1703939</vt:i4>
      </vt:variant>
      <vt:variant>
        <vt:i4>1062</vt:i4>
      </vt:variant>
      <vt:variant>
        <vt:i4>0</vt:i4>
      </vt:variant>
      <vt:variant>
        <vt:i4>5</vt:i4>
      </vt:variant>
      <vt:variant>
        <vt:lpwstr>https://www.closingthegap.gov.au/sites/default/files/2022-09/ctg-national-agreement_apr-21-comm-infra-targets-updated-24-august-2022_0.pdf</vt:lpwstr>
      </vt:variant>
      <vt:variant>
        <vt:lpwstr/>
      </vt:variant>
      <vt:variant>
        <vt:i4>3670062</vt:i4>
      </vt:variant>
      <vt:variant>
        <vt:i4>1059</vt:i4>
      </vt:variant>
      <vt:variant>
        <vt:i4>0</vt:i4>
      </vt:variant>
      <vt:variant>
        <vt:i4>5</vt:i4>
      </vt:variant>
      <vt:variant>
        <vt:lpwstr>https://cbpatsisp.com.au/about-us/</vt:lpwstr>
      </vt:variant>
      <vt:variant>
        <vt:lpwstr>guidingprinciples</vt:lpwstr>
      </vt:variant>
      <vt:variant>
        <vt:i4>3276862</vt:i4>
      </vt:variant>
      <vt:variant>
        <vt:i4>1056</vt:i4>
      </vt:variant>
      <vt:variant>
        <vt:i4>0</vt:i4>
      </vt:variant>
      <vt:variant>
        <vt:i4>5</vt:i4>
      </vt:variant>
      <vt:variant>
        <vt:lpwstr>https://library.bsl.org.au/jspui/bitstream/1/679/1/200511_behrendt_atsic.pdf</vt:lpwstr>
      </vt:variant>
      <vt:variant>
        <vt:lpwstr/>
      </vt:variant>
      <vt:variant>
        <vt:i4>262177</vt:i4>
      </vt:variant>
      <vt:variant>
        <vt:i4>1053</vt:i4>
      </vt:variant>
      <vt:variant>
        <vt:i4>0</vt:i4>
      </vt:variant>
      <vt:variant>
        <vt:i4>5</vt:i4>
      </vt:variant>
      <vt:variant>
        <vt:lpwstr>https://www.anao.gov.au/sites/default/files/ANAO_Report_2010-2011_11.pdf</vt:lpwstr>
      </vt:variant>
      <vt:variant>
        <vt:lpwstr/>
      </vt:variant>
      <vt:variant>
        <vt:i4>2228333</vt:i4>
      </vt:variant>
      <vt:variant>
        <vt:i4>1050</vt:i4>
      </vt:variant>
      <vt:variant>
        <vt:i4>0</vt:i4>
      </vt:variant>
      <vt:variant>
        <vt:i4>5</vt:i4>
      </vt:variant>
      <vt:variant>
        <vt:lpwstr>https://www.closingthegap.gov.au/national-agreement/national-agreement-closing-the-gap/6-priority-reform-areas/two</vt:lpwstr>
      </vt:variant>
      <vt:variant>
        <vt:lpwstr/>
      </vt:variant>
      <vt:variant>
        <vt:i4>196683</vt:i4>
      </vt:variant>
      <vt:variant>
        <vt:i4>1047</vt:i4>
      </vt:variant>
      <vt:variant>
        <vt:i4>0</vt:i4>
      </vt:variant>
      <vt:variant>
        <vt:i4>5</vt:i4>
      </vt:variant>
      <vt:variant>
        <vt:lpwstr>https://link.springer.com/article/10.17269/CJPH.107.5366</vt:lpwstr>
      </vt:variant>
      <vt:variant>
        <vt:lpwstr/>
      </vt:variant>
      <vt:variant>
        <vt:i4>6619243</vt:i4>
      </vt:variant>
      <vt:variant>
        <vt:i4>1044</vt:i4>
      </vt:variant>
      <vt:variant>
        <vt:i4>0</vt:i4>
      </vt:variant>
      <vt:variant>
        <vt:i4>5</vt:i4>
      </vt:variant>
      <vt:variant>
        <vt:lpwstr>https://www.ncbi.nlm.nih.gov/pmc/articles/PMC1626072/pdf/1743-8462-3-10.pdf</vt:lpwstr>
      </vt:variant>
      <vt:variant>
        <vt:lpwstr/>
      </vt:variant>
      <vt:variant>
        <vt:i4>5046290</vt:i4>
      </vt:variant>
      <vt:variant>
        <vt:i4>1035</vt:i4>
      </vt:variant>
      <vt:variant>
        <vt:i4>0</vt:i4>
      </vt:variant>
      <vt:variant>
        <vt:i4>5</vt:i4>
      </vt:variant>
      <vt:variant>
        <vt:lpwstr>https://www.tsra.gov.au/__data/assets/pdf_file/0003/34590/TSRA-HCF-Guest-speaker-_-Matt-Cooke-QAIHC.pdf</vt:lpwstr>
      </vt:variant>
      <vt:variant>
        <vt:lpwstr/>
      </vt:variant>
      <vt:variant>
        <vt:i4>2949230</vt:i4>
      </vt:variant>
      <vt:variant>
        <vt:i4>1032</vt:i4>
      </vt:variant>
      <vt:variant>
        <vt:i4>0</vt:i4>
      </vt:variant>
      <vt:variant>
        <vt:i4>5</vt:i4>
      </vt:variant>
      <vt:variant>
        <vt:lpwstr>https://www.pc.gov.au/inquiries/completed/indigenous-evaluation/strategy/indigenous-evaluation-strategy.pdf</vt:lpwstr>
      </vt:variant>
      <vt:variant>
        <vt:lpwstr/>
      </vt:variant>
      <vt:variant>
        <vt:i4>262267</vt:i4>
      </vt:variant>
      <vt:variant>
        <vt:i4>1029</vt:i4>
      </vt:variant>
      <vt:variant>
        <vt:i4>0</vt:i4>
      </vt:variant>
      <vt:variant>
        <vt:i4>5</vt:i4>
      </vt:variant>
      <vt:variant>
        <vt:lpwstr>https://natsilmh.org.au/sites/default/files/gayaa_dhuwi_declaration_A4.pdf</vt:lpwstr>
      </vt:variant>
      <vt:variant>
        <vt:lpwstr/>
      </vt:variant>
      <vt:variant>
        <vt:i4>2162756</vt:i4>
      </vt:variant>
      <vt:variant>
        <vt:i4>1026</vt:i4>
      </vt:variant>
      <vt:variant>
        <vt:i4>0</vt:i4>
      </vt:variant>
      <vt:variant>
        <vt:i4>5</vt:i4>
      </vt:variant>
      <vt:variant>
        <vt:lpwstr>https://www.aes.asn.au/images/AES_FirstNations_Cultural_Framework_finalWEB_final.pdf</vt:lpwstr>
      </vt:variant>
      <vt:variant>
        <vt:lpwstr/>
      </vt:variant>
      <vt:variant>
        <vt:i4>4587538</vt:i4>
      </vt:variant>
      <vt:variant>
        <vt:i4>1023</vt:i4>
      </vt:variant>
      <vt:variant>
        <vt:i4>0</vt:i4>
      </vt:variant>
      <vt:variant>
        <vt:i4>5</vt:i4>
      </vt:variant>
      <vt:variant>
        <vt:lpwstr>https://www.health.gov.au/sites/default/files/documents/2021/02/national-aboriginal-and-torres-strait-islander-health-plan-2013-2023.pdf</vt:lpwstr>
      </vt:variant>
      <vt:variant>
        <vt:lpwstr/>
      </vt:variant>
      <vt:variant>
        <vt:i4>4456469</vt:i4>
      </vt:variant>
      <vt:variant>
        <vt:i4>1020</vt:i4>
      </vt:variant>
      <vt:variant>
        <vt:i4>0</vt:i4>
      </vt:variant>
      <vt:variant>
        <vt:i4>5</vt:i4>
      </vt:variant>
      <vt:variant>
        <vt:lpwstr>https://www.health.gov.au/sites/default/files/documents/2022/06/national-aboriginal-and-torres-strait-islander-health-plan-2021-2031.pdf</vt:lpwstr>
      </vt:variant>
      <vt:variant>
        <vt:lpwstr/>
      </vt:variant>
      <vt:variant>
        <vt:i4>65568</vt:i4>
      </vt:variant>
      <vt:variant>
        <vt:i4>1017</vt:i4>
      </vt:variant>
      <vt:variant>
        <vt:i4>0</vt:i4>
      </vt:variant>
      <vt:variant>
        <vt:i4>5</vt:i4>
      </vt:variant>
      <vt:variant>
        <vt:lpwstr>https://www.niaa.gov.au/sites/default/files/publications/mhsewb-framework_0.pdf</vt:lpwstr>
      </vt:variant>
      <vt:variant>
        <vt:lpwstr/>
      </vt:variant>
      <vt:variant>
        <vt:i4>1703939</vt:i4>
      </vt:variant>
      <vt:variant>
        <vt:i4>1014</vt:i4>
      </vt:variant>
      <vt:variant>
        <vt:i4>0</vt:i4>
      </vt:variant>
      <vt:variant>
        <vt:i4>5</vt:i4>
      </vt:variant>
      <vt:variant>
        <vt:lpwstr>https://www.closingthegap.gov.au/sites/default/files/2022-09/ctg-national-agreement_apr-21-comm-infra-targets-updated-24-august-2022_0.pdf</vt:lpwstr>
      </vt:variant>
      <vt:variant>
        <vt:lpwstr/>
      </vt:variant>
      <vt:variant>
        <vt:i4>2228333</vt:i4>
      </vt:variant>
      <vt:variant>
        <vt:i4>1011</vt:i4>
      </vt:variant>
      <vt:variant>
        <vt:i4>0</vt:i4>
      </vt:variant>
      <vt:variant>
        <vt:i4>5</vt:i4>
      </vt:variant>
      <vt:variant>
        <vt:lpwstr>https://www.closingthegap.gov.au/national-agreement/national-agreement-closing-the-gap/6-priority-reform-areas/two</vt:lpwstr>
      </vt:variant>
      <vt:variant>
        <vt:lpwstr/>
      </vt:variant>
      <vt:variant>
        <vt:i4>1703991</vt:i4>
      </vt:variant>
      <vt:variant>
        <vt:i4>755</vt:i4>
      </vt:variant>
      <vt:variant>
        <vt:i4>0</vt:i4>
      </vt:variant>
      <vt:variant>
        <vt:i4>5</vt:i4>
      </vt:variant>
      <vt:variant>
        <vt:lpwstr/>
      </vt:variant>
      <vt:variant>
        <vt:lpwstr>_Toc152869297</vt:lpwstr>
      </vt:variant>
      <vt:variant>
        <vt:i4>1703991</vt:i4>
      </vt:variant>
      <vt:variant>
        <vt:i4>749</vt:i4>
      </vt:variant>
      <vt:variant>
        <vt:i4>0</vt:i4>
      </vt:variant>
      <vt:variant>
        <vt:i4>5</vt:i4>
      </vt:variant>
      <vt:variant>
        <vt:lpwstr/>
      </vt:variant>
      <vt:variant>
        <vt:lpwstr>_Toc152869296</vt:lpwstr>
      </vt:variant>
      <vt:variant>
        <vt:i4>1703991</vt:i4>
      </vt:variant>
      <vt:variant>
        <vt:i4>743</vt:i4>
      </vt:variant>
      <vt:variant>
        <vt:i4>0</vt:i4>
      </vt:variant>
      <vt:variant>
        <vt:i4>5</vt:i4>
      </vt:variant>
      <vt:variant>
        <vt:lpwstr/>
      </vt:variant>
      <vt:variant>
        <vt:lpwstr>_Toc152869295</vt:lpwstr>
      </vt:variant>
      <vt:variant>
        <vt:i4>1703991</vt:i4>
      </vt:variant>
      <vt:variant>
        <vt:i4>737</vt:i4>
      </vt:variant>
      <vt:variant>
        <vt:i4>0</vt:i4>
      </vt:variant>
      <vt:variant>
        <vt:i4>5</vt:i4>
      </vt:variant>
      <vt:variant>
        <vt:lpwstr/>
      </vt:variant>
      <vt:variant>
        <vt:lpwstr>_Toc152869294</vt:lpwstr>
      </vt:variant>
      <vt:variant>
        <vt:i4>1703991</vt:i4>
      </vt:variant>
      <vt:variant>
        <vt:i4>731</vt:i4>
      </vt:variant>
      <vt:variant>
        <vt:i4>0</vt:i4>
      </vt:variant>
      <vt:variant>
        <vt:i4>5</vt:i4>
      </vt:variant>
      <vt:variant>
        <vt:lpwstr/>
      </vt:variant>
      <vt:variant>
        <vt:lpwstr>_Toc152869293</vt:lpwstr>
      </vt:variant>
      <vt:variant>
        <vt:i4>1703991</vt:i4>
      </vt:variant>
      <vt:variant>
        <vt:i4>725</vt:i4>
      </vt:variant>
      <vt:variant>
        <vt:i4>0</vt:i4>
      </vt:variant>
      <vt:variant>
        <vt:i4>5</vt:i4>
      </vt:variant>
      <vt:variant>
        <vt:lpwstr/>
      </vt:variant>
      <vt:variant>
        <vt:lpwstr>_Toc152869292</vt:lpwstr>
      </vt:variant>
      <vt:variant>
        <vt:i4>1703991</vt:i4>
      </vt:variant>
      <vt:variant>
        <vt:i4>719</vt:i4>
      </vt:variant>
      <vt:variant>
        <vt:i4>0</vt:i4>
      </vt:variant>
      <vt:variant>
        <vt:i4>5</vt:i4>
      </vt:variant>
      <vt:variant>
        <vt:lpwstr/>
      </vt:variant>
      <vt:variant>
        <vt:lpwstr>_Toc152869291</vt:lpwstr>
      </vt:variant>
      <vt:variant>
        <vt:i4>1703991</vt:i4>
      </vt:variant>
      <vt:variant>
        <vt:i4>713</vt:i4>
      </vt:variant>
      <vt:variant>
        <vt:i4>0</vt:i4>
      </vt:variant>
      <vt:variant>
        <vt:i4>5</vt:i4>
      </vt:variant>
      <vt:variant>
        <vt:lpwstr/>
      </vt:variant>
      <vt:variant>
        <vt:lpwstr>_Toc152869290</vt:lpwstr>
      </vt:variant>
      <vt:variant>
        <vt:i4>1769527</vt:i4>
      </vt:variant>
      <vt:variant>
        <vt:i4>707</vt:i4>
      </vt:variant>
      <vt:variant>
        <vt:i4>0</vt:i4>
      </vt:variant>
      <vt:variant>
        <vt:i4>5</vt:i4>
      </vt:variant>
      <vt:variant>
        <vt:lpwstr/>
      </vt:variant>
      <vt:variant>
        <vt:lpwstr>_Toc152869289</vt:lpwstr>
      </vt:variant>
      <vt:variant>
        <vt:i4>1769527</vt:i4>
      </vt:variant>
      <vt:variant>
        <vt:i4>701</vt:i4>
      </vt:variant>
      <vt:variant>
        <vt:i4>0</vt:i4>
      </vt:variant>
      <vt:variant>
        <vt:i4>5</vt:i4>
      </vt:variant>
      <vt:variant>
        <vt:lpwstr/>
      </vt:variant>
      <vt:variant>
        <vt:lpwstr>_Toc152869288</vt:lpwstr>
      </vt:variant>
      <vt:variant>
        <vt:i4>1769527</vt:i4>
      </vt:variant>
      <vt:variant>
        <vt:i4>695</vt:i4>
      </vt:variant>
      <vt:variant>
        <vt:i4>0</vt:i4>
      </vt:variant>
      <vt:variant>
        <vt:i4>5</vt:i4>
      </vt:variant>
      <vt:variant>
        <vt:lpwstr/>
      </vt:variant>
      <vt:variant>
        <vt:lpwstr>_Toc152869287</vt:lpwstr>
      </vt:variant>
      <vt:variant>
        <vt:i4>1769527</vt:i4>
      </vt:variant>
      <vt:variant>
        <vt:i4>689</vt:i4>
      </vt:variant>
      <vt:variant>
        <vt:i4>0</vt:i4>
      </vt:variant>
      <vt:variant>
        <vt:i4>5</vt:i4>
      </vt:variant>
      <vt:variant>
        <vt:lpwstr/>
      </vt:variant>
      <vt:variant>
        <vt:lpwstr>_Toc152869286</vt:lpwstr>
      </vt:variant>
      <vt:variant>
        <vt:i4>1769527</vt:i4>
      </vt:variant>
      <vt:variant>
        <vt:i4>683</vt:i4>
      </vt:variant>
      <vt:variant>
        <vt:i4>0</vt:i4>
      </vt:variant>
      <vt:variant>
        <vt:i4>5</vt:i4>
      </vt:variant>
      <vt:variant>
        <vt:lpwstr/>
      </vt:variant>
      <vt:variant>
        <vt:lpwstr>_Toc152869285</vt:lpwstr>
      </vt:variant>
      <vt:variant>
        <vt:i4>1769527</vt:i4>
      </vt:variant>
      <vt:variant>
        <vt:i4>677</vt:i4>
      </vt:variant>
      <vt:variant>
        <vt:i4>0</vt:i4>
      </vt:variant>
      <vt:variant>
        <vt:i4>5</vt:i4>
      </vt:variant>
      <vt:variant>
        <vt:lpwstr/>
      </vt:variant>
      <vt:variant>
        <vt:lpwstr>_Toc152869284</vt:lpwstr>
      </vt:variant>
      <vt:variant>
        <vt:i4>1769527</vt:i4>
      </vt:variant>
      <vt:variant>
        <vt:i4>671</vt:i4>
      </vt:variant>
      <vt:variant>
        <vt:i4>0</vt:i4>
      </vt:variant>
      <vt:variant>
        <vt:i4>5</vt:i4>
      </vt:variant>
      <vt:variant>
        <vt:lpwstr/>
      </vt:variant>
      <vt:variant>
        <vt:lpwstr>_Toc152869283</vt:lpwstr>
      </vt:variant>
      <vt:variant>
        <vt:i4>1769527</vt:i4>
      </vt:variant>
      <vt:variant>
        <vt:i4>665</vt:i4>
      </vt:variant>
      <vt:variant>
        <vt:i4>0</vt:i4>
      </vt:variant>
      <vt:variant>
        <vt:i4>5</vt:i4>
      </vt:variant>
      <vt:variant>
        <vt:lpwstr/>
      </vt:variant>
      <vt:variant>
        <vt:lpwstr>_Toc152869282</vt:lpwstr>
      </vt:variant>
      <vt:variant>
        <vt:i4>1769527</vt:i4>
      </vt:variant>
      <vt:variant>
        <vt:i4>659</vt:i4>
      </vt:variant>
      <vt:variant>
        <vt:i4>0</vt:i4>
      </vt:variant>
      <vt:variant>
        <vt:i4>5</vt:i4>
      </vt:variant>
      <vt:variant>
        <vt:lpwstr/>
      </vt:variant>
      <vt:variant>
        <vt:lpwstr>_Toc152869281</vt:lpwstr>
      </vt:variant>
      <vt:variant>
        <vt:i4>1769527</vt:i4>
      </vt:variant>
      <vt:variant>
        <vt:i4>653</vt:i4>
      </vt:variant>
      <vt:variant>
        <vt:i4>0</vt:i4>
      </vt:variant>
      <vt:variant>
        <vt:i4>5</vt:i4>
      </vt:variant>
      <vt:variant>
        <vt:lpwstr/>
      </vt:variant>
      <vt:variant>
        <vt:lpwstr>_Toc152869280</vt:lpwstr>
      </vt:variant>
      <vt:variant>
        <vt:i4>1310775</vt:i4>
      </vt:variant>
      <vt:variant>
        <vt:i4>647</vt:i4>
      </vt:variant>
      <vt:variant>
        <vt:i4>0</vt:i4>
      </vt:variant>
      <vt:variant>
        <vt:i4>5</vt:i4>
      </vt:variant>
      <vt:variant>
        <vt:lpwstr/>
      </vt:variant>
      <vt:variant>
        <vt:lpwstr>_Toc152869279</vt:lpwstr>
      </vt:variant>
      <vt:variant>
        <vt:i4>1310775</vt:i4>
      </vt:variant>
      <vt:variant>
        <vt:i4>641</vt:i4>
      </vt:variant>
      <vt:variant>
        <vt:i4>0</vt:i4>
      </vt:variant>
      <vt:variant>
        <vt:i4>5</vt:i4>
      </vt:variant>
      <vt:variant>
        <vt:lpwstr/>
      </vt:variant>
      <vt:variant>
        <vt:lpwstr>_Toc152869278</vt:lpwstr>
      </vt:variant>
      <vt:variant>
        <vt:i4>1310775</vt:i4>
      </vt:variant>
      <vt:variant>
        <vt:i4>635</vt:i4>
      </vt:variant>
      <vt:variant>
        <vt:i4>0</vt:i4>
      </vt:variant>
      <vt:variant>
        <vt:i4>5</vt:i4>
      </vt:variant>
      <vt:variant>
        <vt:lpwstr/>
      </vt:variant>
      <vt:variant>
        <vt:lpwstr>_Toc152869277</vt:lpwstr>
      </vt:variant>
      <vt:variant>
        <vt:i4>1310775</vt:i4>
      </vt:variant>
      <vt:variant>
        <vt:i4>629</vt:i4>
      </vt:variant>
      <vt:variant>
        <vt:i4>0</vt:i4>
      </vt:variant>
      <vt:variant>
        <vt:i4>5</vt:i4>
      </vt:variant>
      <vt:variant>
        <vt:lpwstr/>
      </vt:variant>
      <vt:variant>
        <vt:lpwstr>_Toc152869276</vt:lpwstr>
      </vt:variant>
      <vt:variant>
        <vt:i4>1310775</vt:i4>
      </vt:variant>
      <vt:variant>
        <vt:i4>623</vt:i4>
      </vt:variant>
      <vt:variant>
        <vt:i4>0</vt:i4>
      </vt:variant>
      <vt:variant>
        <vt:i4>5</vt:i4>
      </vt:variant>
      <vt:variant>
        <vt:lpwstr/>
      </vt:variant>
      <vt:variant>
        <vt:lpwstr>_Toc152869275</vt:lpwstr>
      </vt:variant>
      <vt:variant>
        <vt:i4>1310775</vt:i4>
      </vt:variant>
      <vt:variant>
        <vt:i4>617</vt:i4>
      </vt:variant>
      <vt:variant>
        <vt:i4>0</vt:i4>
      </vt:variant>
      <vt:variant>
        <vt:i4>5</vt:i4>
      </vt:variant>
      <vt:variant>
        <vt:lpwstr/>
      </vt:variant>
      <vt:variant>
        <vt:lpwstr>_Toc152869274</vt:lpwstr>
      </vt:variant>
      <vt:variant>
        <vt:i4>1310775</vt:i4>
      </vt:variant>
      <vt:variant>
        <vt:i4>611</vt:i4>
      </vt:variant>
      <vt:variant>
        <vt:i4>0</vt:i4>
      </vt:variant>
      <vt:variant>
        <vt:i4>5</vt:i4>
      </vt:variant>
      <vt:variant>
        <vt:lpwstr/>
      </vt:variant>
      <vt:variant>
        <vt:lpwstr>_Toc152869273</vt:lpwstr>
      </vt:variant>
      <vt:variant>
        <vt:i4>1310775</vt:i4>
      </vt:variant>
      <vt:variant>
        <vt:i4>605</vt:i4>
      </vt:variant>
      <vt:variant>
        <vt:i4>0</vt:i4>
      </vt:variant>
      <vt:variant>
        <vt:i4>5</vt:i4>
      </vt:variant>
      <vt:variant>
        <vt:lpwstr/>
      </vt:variant>
      <vt:variant>
        <vt:lpwstr>_Toc152869272</vt:lpwstr>
      </vt:variant>
      <vt:variant>
        <vt:i4>1310775</vt:i4>
      </vt:variant>
      <vt:variant>
        <vt:i4>599</vt:i4>
      </vt:variant>
      <vt:variant>
        <vt:i4>0</vt:i4>
      </vt:variant>
      <vt:variant>
        <vt:i4>5</vt:i4>
      </vt:variant>
      <vt:variant>
        <vt:lpwstr/>
      </vt:variant>
      <vt:variant>
        <vt:lpwstr>_Toc152869271</vt:lpwstr>
      </vt:variant>
      <vt:variant>
        <vt:i4>1310775</vt:i4>
      </vt:variant>
      <vt:variant>
        <vt:i4>593</vt:i4>
      </vt:variant>
      <vt:variant>
        <vt:i4>0</vt:i4>
      </vt:variant>
      <vt:variant>
        <vt:i4>5</vt:i4>
      </vt:variant>
      <vt:variant>
        <vt:lpwstr/>
      </vt:variant>
      <vt:variant>
        <vt:lpwstr>_Toc152869270</vt:lpwstr>
      </vt:variant>
      <vt:variant>
        <vt:i4>1376311</vt:i4>
      </vt:variant>
      <vt:variant>
        <vt:i4>587</vt:i4>
      </vt:variant>
      <vt:variant>
        <vt:i4>0</vt:i4>
      </vt:variant>
      <vt:variant>
        <vt:i4>5</vt:i4>
      </vt:variant>
      <vt:variant>
        <vt:lpwstr/>
      </vt:variant>
      <vt:variant>
        <vt:lpwstr>_Toc152869269</vt:lpwstr>
      </vt:variant>
      <vt:variant>
        <vt:i4>1376311</vt:i4>
      </vt:variant>
      <vt:variant>
        <vt:i4>581</vt:i4>
      </vt:variant>
      <vt:variant>
        <vt:i4>0</vt:i4>
      </vt:variant>
      <vt:variant>
        <vt:i4>5</vt:i4>
      </vt:variant>
      <vt:variant>
        <vt:lpwstr/>
      </vt:variant>
      <vt:variant>
        <vt:lpwstr>_Toc152869268</vt:lpwstr>
      </vt:variant>
      <vt:variant>
        <vt:i4>1376311</vt:i4>
      </vt:variant>
      <vt:variant>
        <vt:i4>575</vt:i4>
      </vt:variant>
      <vt:variant>
        <vt:i4>0</vt:i4>
      </vt:variant>
      <vt:variant>
        <vt:i4>5</vt:i4>
      </vt:variant>
      <vt:variant>
        <vt:lpwstr/>
      </vt:variant>
      <vt:variant>
        <vt:lpwstr>_Toc152869267</vt:lpwstr>
      </vt:variant>
      <vt:variant>
        <vt:i4>1376311</vt:i4>
      </vt:variant>
      <vt:variant>
        <vt:i4>569</vt:i4>
      </vt:variant>
      <vt:variant>
        <vt:i4>0</vt:i4>
      </vt:variant>
      <vt:variant>
        <vt:i4>5</vt:i4>
      </vt:variant>
      <vt:variant>
        <vt:lpwstr/>
      </vt:variant>
      <vt:variant>
        <vt:lpwstr>_Toc152869266</vt:lpwstr>
      </vt:variant>
      <vt:variant>
        <vt:i4>1376311</vt:i4>
      </vt:variant>
      <vt:variant>
        <vt:i4>563</vt:i4>
      </vt:variant>
      <vt:variant>
        <vt:i4>0</vt:i4>
      </vt:variant>
      <vt:variant>
        <vt:i4>5</vt:i4>
      </vt:variant>
      <vt:variant>
        <vt:lpwstr/>
      </vt:variant>
      <vt:variant>
        <vt:lpwstr>_Toc152869265</vt:lpwstr>
      </vt:variant>
      <vt:variant>
        <vt:i4>1376311</vt:i4>
      </vt:variant>
      <vt:variant>
        <vt:i4>557</vt:i4>
      </vt:variant>
      <vt:variant>
        <vt:i4>0</vt:i4>
      </vt:variant>
      <vt:variant>
        <vt:i4>5</vt:i4>
      </vt:variant>
      <vt:variant>
        <vt:lpwstr/>
      </vt:variant>
      <vt:variant>
        <vt:lpwstr>_Toc152869264</vt:lpwstr>
      </vt:variant>
      <vt:variant>
        <vt:i4>1376311</vt:i4>
      </vt:variant>
      <vt:variant>
        <vt:i4>551</vt:i4>
      </vt:variant>
      <vt:variant>
        <vt:i4>0</vt:i4>
      </vt:variant>
      <vt:variant>
        <vt:i4>5</vt:i4>
      </vt:variant>
      <vt:variant>
        <vt:lpwstr/>
      </vt:variant>
      <vt:variant>
        <vt:lpwstr>_Toc152869263</vt:lpwstr>
      </vt:variant>
      <vt:variant>
        <vt:i4>1376311</vt:i4>
      </vt:variant>
      <vt:variant>
        <vt:i4>545</vt:i4>
      </vt:variant>
      <vt:variant>
        <vt:i4>0</vt:i4>
      </vt:variant>
      <vt:variant>
        <vt:i4>5</vt:i4>
      </vt:variant>
      <vt:variant>
        <vt:lpwstr/>
      </vt:variant>
      <vt:variant>
        <vt:lpwstr>_Toc152869262</vt:lpwstr>
      </vt:variant>
      <vt:variant>
        <vt:i4>1376311</vt:i4>
      </vt:variant>
      <vt:variant>
        <vt:i4>539</vt:i4>
      </vt:variant>
      <vt:variant>
        <vt:i4>0</vt:i4>
      </vt:variant>
      <vt:variant>
        <vt:i4>5</vt:i4>
      </vt:variant>
      <vt:variant>
        <vt:lpwstr/>
      </vt:variant>
      <vt:variant>
        <vt:lpwstr>_Toc152869261</vt:lpwstr>
      </vt:variant>
      <vt:variant>
        <vt:i4>1376311</vt:i4>
      </vt:variant>
      <vt:variant>
        <vt:i4>533</vt:i4>
      </vt:variant>
      <vt:variant>
        <vt:i4>0</vt:i4>
      </vt:variant>
      <vt:variant>
        <vt:i4>5</vt:i4>
      </vt:variant>
      <vt:variant>
        <vt:lpwstr/>
      </vt:variant>
      <vt:variant>
        <vt:lpwstr>_Toc152869260</vt:lpwstr>
      </vt:variant>
      <vt:variant>
        <vt:i4>1441847</vt:i4>
      </vt:variant>
      <vt:variant>
        <vt:i4>527</vt:i4>
      </vt:variant>
      <vt:variant>
        <vt:i4>0</vt:i4>
      </vt:variant>
      <vt:variant>
        <vt:i4>5</vt:i4>
      </vt:variant>
      <vt:variant>
        <vt:lpwstr/>
      </vt:variant>
      <vt:variant>
        <vt:lpwstr>_Toc152869259</vt:lpwstr>
      </vt:variant>
      <vt:variant>
        <vt:i4>1441847</vt:i4>
      </vt:variant>
      <vt:variant>
        <vt:i4>521</vt:i4>
      </vt:variant>
      <vt:variant>
        <vt:i4>0</vt:i4>
      </vt:variant>
      <vt:variant>
        <vt:i4>5</vt:i4>
      </vt:variant>
      <vt:variant>
        <vt:lpwstr/>
      </vt:variant>
      <vt:variant>
        <vt:lpwstr>_Toc152869258</vt:lpwstr>
      </vt:variant>
      <vt:variant>
        <vt:i4>1441847</vt:i4>
      </vt:variant>
      <vt:variant>
        <vt:i4>515</vt:i4>
      </vt:variant>
      <vt:variant>
        <vt:i4>0</vt:i4>
      </vt:variant>
      <vt:variant>
        <vt:i4>5</vt:i4>
      </vt:variant>
      <vt:variant>
        <vt:lpwstr/>
      </vt:variant>
      <vt:variant>
        <vt:lpwstr>_Toc152869257</vt:lpwstr>
      </vt:variant>
      <vt:variant>
        <vt:i4>1441847</vt:i4>
      </vt:variant>
      <vt:variant>
        <vt:i4>509</vt:i4>
      </vt:variant>
      <vt:variant>
        <vt:i4>0</vt:i4>
      </vt:variant>
      <vt:variant>
        <vt:i4>5</vt:i4>
      </vt:variant>
      <vt:variant>
        <vt:lpwstr/>
      </vt:variant>
      <vt:variant>
        <vt:lpwstr>_Toc152869256</vt:lpwstr>
      </vt:variant>
      <vt:variant>
        <vt:i4>1441847</vt:i4>
      </vt:variant>
      <vt:variant>
        <vt:i4>503</vt:i4>
      </vt:variant>
      <vt:variant>
        <vt:i4>0</vt:i4>
      </vt:variant>
      <vt:variant>
        <vt:i4>5</vt:i4>
      </vt:variant>
      <vt:variant>
        <vt:lpwstr/>
      </vt:variant>
      <vt:variant>
        <vt:lpwstr>_Toc152869255</vt:lpwstr>
      </vt:variant>
      <vt:variant>
        <vt:i4>1441847</vt:i4>
      </vt:variant>
      <vt:variant>
        <vt:i4>497</vt:i4>
      </vt:variant>
      <vt:variant>
        <vt:i4>0</vt:i4>
      </vt:variant>
      <vt:variant>
        <vt:i4>5</vt:i4>
      </vt:variant>
      <vt:variant>
        <vt:lpwstr/>
      </vt:variant>
      <vt:variant>
        <vt:lpwstr>_Toc152869254</vt:lpwstr>
      </vt:variant>
      <vt:variant>
        <vt:i4>1441847</vt:i4>
      </vt:variant>
      <vt:variant>
        <vt:i4>491</vt:i4>
      </vt:variant>
      <vt:variant>
        <vt:i4>0</vt:i4>
      </vt:variant>
      <vt:variant>
        <vt:i4>5</vt:i4>
      </vt:variant>
      <vt:variant>
        <vt:lpwstr/>
      </vt:variant>
      <vt:variant>
        <vt:lpwstr>_Toc152869253</vt:lpwstr>
      </vt:variant>
      <vt:variant>
        <vt:i4>1441847</vt:i4>
      </vt:variant>
      <vt:variant>
        <vt:i4>485</vt:i4>
      </vt:variant>
      <vt:variant>
        <vt:i4>0</vt:i4>
      </vt:variant>
      <vt:variant>
        <vt:i4>5</vt:i4>
      </vt:variant>
      <vt:variant>
        <vt:lpwstr/>
      </vt:variant>
      <vt:variant>
        <vt:lpwstr>_Toc152869252</vt:lpwstr>
      </vt:variant>
      <vt:variant>
        <vt:i4>1441847</vt:i4>
      </vt:variant>
      <vt:variant>
        <vt:i4>479</vt:i4>
      </vt:variant>
      <vt:variant>
        <vt:i4>0</vt:i4>
      </vt:variant>
      <vt:variant>
        <vt:i4>5</vt:i4>
      </vt:variant>
      <vt:variant>
        <vt:lpwstr/>
      </vt:variant>
      <vt:variant>
        <vt:lpwstr>_Toc152869251</vt:lpwstr>
      </vt:variant>
      <vt:variant>
        <vt:i4>1441847</vt:i4>
      </vt:variant>
      <vt:variant>
        <vt:i4>473</vt:i4>
      </vt:variant>
      <vt:variant>
        <vt:i4>0</vt:i4>
      </vt:variant>
      <vt:variant>
        <vt:i4>5</vt:i4>
      </vt:variant>
      <vt:variant>
        <vt:lpwstr/>
      </vt:variant>
      <vt:variant>
        <vt:lpwstr>_Toc152869250</vt:lpwstr>
      </vt:variant>
      <vt:variant>
        <vt:i4>1507383</vt:i4>
      </vt:variant>
      <vt:variant>
        <vt:i4>467</vt:i4>
      </vt:variant>
      <vt:variant>
        <vt:i4>0</vt:i4>
      </vt:variant>
      <vt:variant>
        <vt:i4>5</vt:i4>
      </vt:variant>
      <vt:variant>
        <vt:lpwstr/>
      </vt:variant>
      <vt:variant>
        <vt:lpwstr>_Toc152869249</vt:lpwstr>
      </vt:variant>
      <vt:variant>
        <vt:i4>1507383</vt:i4>
      </vt:variant>
      <vt:variant>
        <vt:i4>458</vt:i4>
      </vt:variant>
      <vt:variant>
        <vt:i4>0</vt:i4>
      </vt:variant>
      <vt:variant>
        <vt:i4>5</vt:i4>
      </vt:variant>
      <vt:variant>
        <vt:lpwstr/>
      </vt:variant>
      <vt:variant>
        <vt:lpwstr>_Toc152869248</vt:lpwstr>
      </vt:variant>
      <vt:variant>
        <vt:i4>1507383</vt:i4>
      </vt:variant>
      <vt:variant>
        <vt:i4>452</vt:i4>
      </vt:variant>
      <vt:variant>
        <vt:i4>0</vt:i4>
      </vt:variant>
      <vt:variant>
        <vt:i4>5</vt:i4>
      </vt:variant>
      <vt:variant>
        <vt:lpwstr/>
      </vt:variant>
      <vt:variant>
        <vt:lpwstr>_Toc152869247</vt:lpwstr>
      </vt:variant>
      <vt:variant>
        <vt:i4>1507383</vt:i4>
      </vt:variant>
      <vt:variant>
        <vt:i4>446</vt:i4>
      </vt:variant>
      <vt:variant>
        <vt:i4>0</vt:i4>
      </vt:variant>
      <vt:variant>
        <vt:i4>5</vt:i4>
      </vt:variant>
      <vt:variant>
        <vt:lpwstr/>
      </vt:variant>
      <vt:variant>
        <vt:lpwstr>_Toc152869246</vt:lpwstr>
      </vt:variant>
      <vt:variant>
        <vt:i4>1507383</vt:i4>
      </vt:variant>
      <vt:variant>
        <vt:i4>440</vt:i4>
      </vt:variant>
      <vt:variant>
        <vt:i4>0</vt:i4>
      </vt:variant>
      <vt:variant>
        <vt:i4>5</vt:i4>
      </vt:variant>
      <vt:variant>
        <vt:lpwstr/>
      </vt:variant>
      <vt:variant>
        <vt:lpwstr>_Toc152869245</vt:lpwstr>
      </vt:variant>
      <vt:variant>
        <vt:i4>1507383</vt:i4>
      </vt:variant>
      <vt:variant>
        <vt:i4>434</vt:i4>
      </vt:variant>
      <vt:variant>
        <vt:i4>0</vt:i4>
      </vt:variant>
      <vt:variant>
        <vt:i4>5</vt:i4>
      </vt:variant>
      <vt:variant>
        <vt:lpwstr/>
      </vt:variant>
      <vt:variant>
        <vt:lpwstr>_Toc152869244</vt:lpwstr>
      </vt:variant>
      <vt:variant>
        <vt:i4>1507383</vt:i4>
      </vt:variant>
      <vt:variant>
        <vt:i4>428</vt:i4>
      </vt:variant>
      <vt:variant>
        <vt:i4>0</vt:i4>
      </vt:variant>
      <vt:variant>
        <vt:i4>5</vt:i4>
      </vt:variant>
      <vt:variant>
        <vt:lpwstr/>
      </vt:variant>
      <vt:variant>
        <vt:lpwstr>_Toc152869243</vt:lpwstr>
      </vt:variant>
      <vt:variant>
        <vt:i4>1507383</vt:i4>
      </vt:variant>
      <vt:variant>
        <vt:i4>422</vt:i4>
      </vt:variant>
      <vt:variant>
        <vt:i4>0</vt:i4>
      </vt:variant>
      <vt:variant>
        <vt:i4>5</vt:i4>
      </vt:variant>
      <vt:variant>
        <vt:lpwstr/>
      </vt:variant>
      <vt:variant>
        <vt:lpwstr>_Toc152869242</vt:lpwstr>
      </vt:variant>
      <vt:variant>
        <vt:i4>1507383</vt:i4>
      </vt:variant>
      <vt:variant>
        <vt:i4>416</vt:i4>
      </vt:variant>
      <vt:variant>
        <vt:i4>0</vt:i4>
      </vt:variant>
      <vt:variant>
        <vt:i4>5</vt:i4>
      </vt:variant>
      <vt:variant>
        <vt:lpwstr/>
      </vt:variant>
      <vt:variant>
        <vt:lpwstr>_Toc152869241</vt:lpwstr>
      </vt:variant>
      <vt:variant>
        <vt:i4>1507383</vt:i4>
      </vt:variant>
      <vt:variant>
        <vt:i4>410</vt:i4>
      </vt:variant>
      <vt:variant>
        <vt:i4>0</vt:i4>
      </vt:variant>
      <vt:variant>
        <vt:i4>5</vt:i4>
      </vt:variant>
      <vt:variant>
        <vt:lpwstr/>
      </vt:variant>
      <vt:variant>
        <vt:lpwstr>_Toc152869240</vt:lpwstr>
      </vt:variant>
      <vt:variant>
        <vt:i4>1048631</vt:i4>
      </vt:variant>
      <vt:variant>
        <vt:i4>404</vt:i4>
      </vt:variant>
      <vt:variant>
        <vt:i4>0</vt:i4>
      </vt:variant>
      <vt:variant>
        <vt:i4>5</vt:i4>
      </vt:variant>
      <vt:variant>
        <vt:lpwstr/>
      </vt:variant>
      <vt:variant>
        <vt:lpwstr>_Toc152869239</vt:lpwstr>
      </vt:variant>
      <vt:variant>
        <vt:i4>1048631</vt:i4>
      </vt:variant>
      <vt:variant>
        <vt:i4>398</vt:i4>
      </vt:variant>
      <vt:variant>
        <vt:i4>0</vt:i4>
      </vt:variant>
      <vt:variant>
        <vt:i4>5</vt:i4>
      </vt:variant>
      <vt:variant>
        <vt:lpwstr/>
      </vt:variant>
      <vt:variant>
        <vt:lpwstr>_Toc152869238</vt:lpwstr>
      </vt:variant>
      <vt:variant>
        <vt:i4>1048631</vt:i4>
      </vt:variant>
      <vt:variant>
        <vt:i4>392</vt:i4>
      </vt:variant>
      <vt:variant>
        <vt:i4>0</vt:i4>
      </vt:variant>
      <vt:variant>
        <vt:i4>5</vt:i4>
      </vt:variant>
      <vt:variant>
        <vt:lpwstr/>
      </vt:variant>
      <vt:variant>
        <vt:lpwstr>_Toc152869237</vt:lpwstr>
      </vt:variant>
      <vt:variant>
        <vt:i4>1048631</vt:i4>
      </vt:variant>
      <vt:variant>
        <vt:i4>386</vt:i4>
      </vt:variant>
      <vt:variant>
        <vt:i4>0</vt:i4>
      </vt:variant>
      <vt:variant>
        <vt:i4>5</vt:i4>
      </vt:variant>
      <vt:variant>
        <vt:lpwstr/>
      </vt:variant>
      <vt:variant>
        <vt:lpwstr>_Toc152869236</vt:lpwstr>
      </vt:variant>
      <vt:variant>
        <vt:i4>1048631</vt:i4>
      </vt:variant>
      <vt:variant>
        <vt:i4>380</vt:i4>
      </vt:variant>
      <vt:variant>
        <vt:i4>0</vt:i4>
      </vt:variant>
      <vt:variant>
        <vt:i4>5</vt:i4>
      </vt:variant>
      <vt:variant>
        <vt:lpwstr/>
      </vt:variant>
      <vt:variant>
        <vt:lpwstr>_Toc152869235</vt:lpwstr>
      </vt:variant>
      <vt:variant>
        <vt:i4>1048631</vt:i4>
      </vt:variant>
      <vt:variant>
        <vt:i4>374</vt:i4>
      </vt:variant>
      <vt:variant>
        <vt:i4>0</vt:i4>
      </vt:variant>
      <vt:variant>
        <vt:i4>5</vt:i4>
      </vt:variant>
      <vt:variant>
        <vt:lpwstr/>
      </vt:variant>
      <vt:variant>
        <vt:lpwstr>_Toc152869234</vt:lpwstr>
      </vt:variant>
      <vt:variant>
        <vt:i4>1048631</vt:i4>
      </vt:variant>
      <vt:variant>
        <vt:i4>368</vt:i4>
      </vt:variant>
      <vt:variant>
        <vt:i4>0</vt:i4>
      </vt:variant>
      <vt:variant>
        <vt:i4>5</vt:i4>
      </vt:variant>
      <vt:variant>
        <vt:lpwstr/>
      </vt:variant>
      <vt:variant>
        <vt:lpwstr>_Toc152869233</vt:lpwstr>
      </vt:variant>
      <vt:variant>
        <vt:i4>1048631</vt:i4>
      </vt:variant>
      <vt:variant>
        <vt:i4>362</vt:i4>
      </vt:variant>
      <vt:variant>
        <vt:i4>0</vt:i4>
      </vt:variant>
      <vt:variant>
        <vt:i4>5</vt:i4>
      </vt:variant>
      <vt:variant>
        <vt:lpwstr/>
      </vt:variant>
      <vt:variant>
        <vt:lpwstr>_Toc152869232</vt:lpwstr>
      </vt:variant>
      <vt:variant>
        <vt:i4>1048631</vt:i4>
      </vt:variant>
      <vt:variant>
        <vt:i4>356</vt:i4>
      </vt:variant>
      <vt:variant>
        <vt:i4>0</vt:i4>
      </vt:variant>
      <vt:variant>
        <vt:i4>5</vt:i4>
      </vt:variant>
      <vt:variant>
        <vt:lpwstr/>
      </vt:variant>
      <vt:variant>
        <vt:lpwstr>_Toc152869231</vt:lpwstr>
      </vt:variant>
      <vt:variant>
        <vt:i4>1048631</vt:i4>
      </vt:variant>
      <vt:variant>
        <vt:i4>350</vt:i4>
      </vt:variant>
      <vt:variant>
        <vt:i4>0</vt:i4>
      </vt:variant>
      <vt:variant>
        <vt:i4>5</vt:i4>
      </vt:variant>
      <vt:variant>
        <vt:lpwstr/>
      </vt:variant>
      <vt:variant>
        <vt:lpwstr>_Toc152869230</vt:lpwstr>
      </vt:variant>
      <vt:variant>
        <vt:i4>1114167</vt:i4>
      </vt:variant>
      <vt:variant>
        <vt:i4>344</vt:i4>
      </vt:variant>
      <vt:variant>
        <vt:i4>0</vt:i4>
      </vt:variant>
      <vt:variant>
        <vt:i4>5</vt:i4>
      </vt:variant>
      <vt:variant>
        <vt:lpwstr/>
      </vt:variant>
      <vt:variant>
        <vt:lpwstr>_Toc152869229</vt:lpwstr>
      </vt:variant>
      <vt:variant>
        <vt:i4>1114167</vt:i4>
      </vt:variant>
      <vt:variant>
        <vt:i4>338</vt:i4>
      </vt:variant>
      <vt:variant>
        <vt:i4>0</vt:i4>
      </vt:variant>
      <vt:variant>
        <vt:i4>5</vt:i4>
      </vt:variant>
      <vt:variant>
        <vt:lpwstr/>
      </vt:variant>
      <vt:variant>
        <vt:lpwstr>_Toc152869228</vt:lpwstr>
      </vt:variant>
      <vt:variant>
        <vt:i4>1114167</vt:i4>
      </vt:variant>
      <vt:variant>
        <vt:i4>332</vt:i4>
      </vt:variant>
      <vt:variant>
        <vt:i4>0</vt:i4>
      </vt:variant>
      <vt:variant>
        <vt:i4>5</vt:i4>
      </vt:variant>
      <vt:variant>
        <vt:lpwstr/>
      </vt:variant>
      <vt:variant>
        <vt:lpwstr>_Toc152869227</vt:lpwstr>
      </vt:variant>
      <vt:variant>
        <vt:i4>1769533</vt:i4>
      </vt:variant>
      <vt:variant>
        <vt:i4>323</vt:i4>
      </vt:variant>
      <vt:variant>
        <vt:i4>0</vt:i4>
      </vt:variant>
      <vt:variant>
        <vt:i4>5</vt:i4>
      </vt:variant>
      <vt:variant>
        <vt:lpwstr/>
      </vt:variant>
      <vt:variant>
        <vt:lpwstr>_Toc152868892</vt:lpwstr>
      </vt:variant>
      <vt:variant>
        <vt:i4>1769533</vt:i4>
      </vt:variant>
      <vt:variant>
        <vt:i4>317</vt:i4>
      </vt:variant>
      <vt:variant>
        <vt:i4>0</vt:i4>
      </vt:variant>
      <vt:variant>
        <vt:i4>5</vt:i4>
      </vt:variant>
      <vt:variant>
        <vt:lpwstr/>
      </vt:variant>
      <vt:variant>
        <vt:lpwstr>_Toc152868891</vt:lpwstr>
      </vt:variant>
      <vt:variant>
        <vt:i4>1769533</vt:i4>
      </vt:variant>
      <vt:variant>
        <vt:i4>311</vt:i4>
      </vt:variant>
      <vt:variant>
        <vt:i4>0</vt:i4>
      </vt:variant>
      <vt:variant>
        <vt:i4>5</vt:i4>
      </vt:variant>
      <vt:variant>
        <vt:lpwstr/>
      </vt:variant>
      <vt:variant>
        <vt:lpwstr>_Toc152868890</vt:lpwstr>
      </vt:variant>
      <vt:variant>
        <vt:i4>1703997</vt:i4>
      </vt:variant>
      <vt:variant>
        <vt:i4>305</vt:i4>
      </vt:variant>
      <vt:variant>
        <vt:i4>0</vt:i4>
      </vt:variant>
      <vt:variant>
        <vt:i4>5</vt:i4>
      </vt:variant>
      <vt:variant>
        <vt:lpwstr/>
      </vt:variant>
      <vt:variant>
        <vt:lpwstr>_Toc152868889</vt:lpwstr>
      </vt:variant>
      <vt:variant>
        <vt:i4>1703997</vt:i4>
      </vt:variant>
      <vt:variant>
        <vt:i4>299</vt:i4>
      </vt:variant>
      <vt:variant>
        <vt:i4>0</vt:i4>
      </vt:variant>
      <vt:variant>
        <vt:i4>5</vt:i4>
      </vt:variant>
      <vt:variant>
        <vt:lpwstr/>
      </vt:variant>
      <vt:variant>
        <vt:lpwstr>_Toc152868888</vt:lpwstr>
      </vt:variant>
      <vt:variant>
        <vt:i4>1703997</vt:i4>
      </vt:variant>
      <vt:variant>
        <vt:i4>293</vt:i4>
      </vt:variant>
      <vt:variant>
        <vt:i4>0</vt:i4>
      </vt:variant>
      <vt:variant>
        <vt:i4>5</vt:i4>
      </vt:variant>
      <vt:variant>
        <vt:lpwstr/>
      </vt:variant>
      <vt:variant>
        <vt:lpwstr>_Toc152868887</vt:lpwstr>
      </vt:variant>
      <vt:variant>
        <vt:i4>1703997</vt:i4>
      </vt:variant>
      <vt:variant>
        <vt:i4>287</vt:i4>
      </vt:variant>
      <vt:variant>
        <vt:i4>0</vt:i4>
      </vt:variant>
      <vt:variant>
        <vt:i4>5</vt:i4>
      </vt:variant>
      <vt:variant>
        <vt:lpwstr/>
      </vt:variant>
      <vt:variant>
        <vt:lpwstr>_Toc152868886</vt:lpwstr>
      </vt:variant>
      <vt:variant>
        <vt:i4>1703997</vt:i4>
      </vt:variant>
      <vt:variant>
        <vt:i4>281</vt:i4>
      </vt:variant>
      <vt:variant>
        <vt:i4>0</vt:i4>
      </vt:variant>
      <vt:variant>
        <vt:i4>5</vt:i4>
      </vt:variant>
      <vt:variant>
        <vt:lpwstr/>
      </vt:variant>
      <vt:variant>
        <vt:lpwstr>_Toc152868885</vt:lpwstr>
      </vt:variant>
      <vt:variant>
        <vt:i4>1703997</vt:i4>
      </vt:variant>
      <vt:variant>
        <vt:i4>275</vt:i4>
      </vt:variant>
      <vt:variant>
        <vt:i4>0</vt:i4>
      </vt:variant>
      <vt:variant>
        <vt:i4>5</vt:i4>
      </vt:variant>
      <vt:variant>
        <vt:lpwstr/>
      </vt:variant>
      <vt:variant>
        <vt:lpwstr>_Toc152868884</vt:lpwstr>
      </vt:variant>
      <vt:variant>
        <vt:i4>1703997</vt:i4>
      </vt:variant>
      <vt:variant>
        <vt:i4>269</vt:i4>
      </vt:variant>
      <vt:variant>
        <vt:i4>0</vt:i4>
      </vt:variant>
      <vt:variant>
        <vt:i4>5</vt:i4>
      </vt:variant>
      <vt:variant>
        <vt:lpwstr/>
      </vt:variant>
      <vt:variant>
        <vt:lpwstr>_Toc152868883</vt:lpwstr>
      </vt:variant>
      <vt:variant>
        <vt:i4>1703997</vt:i4>
      </vt:variant>
      <vt:variant>
        <vt:i4>263</vt:i4>
      </vt:variant>
      <vt:variant>
        <vt:i4>0</vt:i4>
      </vt:variant>
      <vt:variant>
        <vt:i4>5</vt:i4>
      </vt:variant>
      <vt:variant>
        <vt:lpwstr/>
      </vt:variant>
      <vt:variant>
        <vt:lpwstr>_Toc152868882</vt:lpwstr>
      </vt:variant>
      <vt:variant>
        <vt:i4>1703997</vt:i4>
      </vt:variant>
      <vt:variant>
        <vt:i4>257</vt:i4>
      </vt:variant>
      <vt:variant>
        <vt:i4>0</vt:i4>
      </vt:variant>
      <vt:variant>
        <vt:i4>5</vt:i4>
      </vt:variant>
      <vt:variant>
        <vt:lpwstr/>
      </vt:variant>
      <vt:variant>
        <vt:lpwstr>_Toc152868881</vt:lpwstr>
      </vt:variant>
      <vt:variant>
        <vt:i4>1703997</vt:i4>
      </vt:variant>
      <vt:variant>
        <vt:i4>251</vt:i4>
      </vt:variant>
      <vt:variant>
        <vt:i4>0</vt:i4>
      </vt:variant>
      <vt:variant>
        <vt:i4>5</vt:i4>
      </vt:variant>
      <vt:variant>
        <vt:lpwstr/>
      </vt:variant>
      <vt:variant>
        <vt:lpwstr>_Toc152868880</vt:lpwstr>
      </vt:variant>
      <vt:variant>
        <vt:i4>1376317</vt:i4>
      </vt:variant>
      <vt:variant>
        <vt:i4>245</vt:i4>
      </vt:variant>
      <vt:variant>
        <vt:i4>0</vt:i4>
      </vt:variant>
      <vt:variant>
        <vt:i4>5</vt:i4>
      </vt:variant>
      <vt:variant>
        <vt:lpwstr/>
      </vt:variant>
      <vt:variant>
        <vt:lpwstr>_Toc152868879</vt:lpwstr>
      </vt:variant>
      <vt:variant>
        <vt:i4>1376317</vt:i4>
      </vt:variant>
      <vt:variant>
        <vt:i4>239</vt:i4>
      </vt:variant>
      <vt:variant>
        <vt:i4>0</vt:i4>
      </vt:variant>
      <vt:variant>
        <vt:i4>5</vt:i4>
      </vt:variant>
      <vt:variant>
        <vt:lpwstr/>
      </vt:variant>
      <vt:variant>
        <vt:lpwstr>_Toc152868878</vt:lpwstr>
      </vt:variant>
      <vt:variant>
        <vt:i4>1376317</vt:i4>
      </vt:variant>
      <vt:variant>
        <vt:i4>233</vt:i4>
      </vt:variant>
      <vt:variant>
        <vt:i4>0</vt:i4>
      </vt:variant>
      <vt:variant>
        <vt:i4>5</vt:i4>
      </vt:variant>
      <vt:variant>
        <vt:lpwstr/>
      </vt:variant>
      <vt:variant>
        <vt:lpwstr>_Toc152868877</vt:lpwstr>
      </vt:variant>
      <vt:variant>
        <vt:i4>1376317</vt:i4>
      </vt:variant>
      <vt:variant>
        <vt:i4>227</vt:i4>
      </vt:variant>
      <vt:variant>
        <vt:i4>0</vt:i4>
      </vt:variant>
      <vt:variant>
        <vt:i4>5</vt:i4>
      </vt:variant>
      <vt:variant>
        <vt:lpwstr/>
      </vt:variant>
      <vt:variant>
        <vt:lpwstr>_Toc152868876</vt:lpwstr>
      </vt:variant>
      <vt:variant>
        <vt:i4>1376317</vt:i4>
      </vt:variant>
      <vt:variant>
        <vt:i4>221</vt:i4>
      </vt:variant>
      <vt:variant>
        <vt:i4>0</vt:i4>
      </vt:variant>
      <vt:variant>
        <vt:i4>5</vt:i4>
      </vt:variant>
      <vt:variant>
        <vt:lpwstr/>
      </vt:variant>
      <vt:variant>
        <vt:lpwstr>_Toc152868875</vt:lpwstr>
      </vt:variant>
      <vt:variant>
        <vt:i4>1376317</vt:i4>
      </vt:variant>
      <vt:variant>
        <vt:i4>215</vt:i4>
      </vt:variant>
      <vt:variant>
        <vt:i4>0</vt:i4>
      </vt:variant>
      <vt:variant>
        <vt:i4>5</vt:i4>
      </vt:variant>
      <vt:variant>
        <vt:lpwstr/>
      </vt:variant>
      <vt:variant>
        <vt:lpwstr>_Toc152868874</vt:lpwstr>
      </vt:variant>
      <vt:variant>
        <vt:i4>1376317</vt:i4>
      </vt:variant>
      <vt:variant>
        <vt:i4>209</vt:i4>
      </vt:variant>
      <vt:variant>
        <vt:i4>0</vt:i4>
      </vt:variant>
      <vt:variant>
        <vt:i4>5</vt:i4>
      </vt:variant>
      <vt:variant>
        <vt:lpwstr/>
      </vt:variant>
      <vt:variant>
        <vt:lpwstr>_Toc152868873</vt:lpwstr>
      </vt:variant>
      <vt:variant>
        <vt:i4>1376317</vt:i4>
      </vt:variant>
      <vt:variant>
        <vt:i4>203</vt:i4>
      </vt:variant>
      <vt:variant>
        <vt:i4>0</vt:i4>
      </vt:variant>
      <vt:variant>
        <vt:i4>5</vt:i4>
      </vt:variant>
      <vt:variant>
        <vt:lpwstr/>
      </vt:variant>
      <vt:variant>
        <vt:lpwstr>_Toc152868872</vt:lpwstr>
      </vt:variant>
      <vt:variant>
        <vt:i4>1376317</vt:i4>
      </vt:variant>
      <vt:variant>
        <vt:i4>197</vt:i4>
      </vt:variant>
      <vt:variant>
        <vt:i4>0</vt:i4>
      </vt:variant>
      <vt:variant>
        <vt:i4>5</vt:i4>
      </vt:variant>
      <vt:variant>
        <vt:lpwstr/>
      </vt:variant>
      <vt:variant>
        <vt:lpwstr>_Toc152868871</vt:lpwstr>
      </vt:variant>
      <vt:variant>
        <vt:i4>1376317</vt:i4>
      </vt:variant>
      <vt:variant>
        <vt:i4>191</vt:i4>
      </vt:variant>
      <vt:variant>
        <vt:i4>0</vt:i4>
      </vt:variant>
      <vt:variant>
        <vt:i4>5</vt:i4>
      </vt:variant>
      <vt:variant>
        <vt:lpwstr/>
      </vt:variant>
      <vt:variant>
        <vt:lpwstr>_Toc152868870</vt:lpwstr>
      </vt:variant>
      <vt:variant>
        <vt:i4>1310781</vt:i4>
      </vt:variant>
      <vt:variant>
        <vt:i4>185</vt:i4>
      </vt:variant>
      <vt:variant>
        <vt:i4>0</vt:i4>
      </vt:variant>
      <vt:variant>
        <vt:i4>5</vt:i4>
      </vt:variant>
      <vt:variant>
        <vt:lpwstr/>
      </vt:variant>
      <vt:variant>
        <vt:lpwstr>_Toc152868869</vt:lpwstr>
      </vt:variant>
      <vt:variant>
        <vt:i4>1114167</vt:i4>
      </vt:variant>
      <vt:variant>
        <vt:i4>176</vt:i4>
      </vt:variant>
      <vt:variant>
        <vt:i4>0</vt:i4>
      </vt:variant>
      <vt:variant>
        <vt:i4>5</vt:i4>
      </vt:variant>
      <vt:variant>
        <vt:lpwstr/>
      </vt:variant>
      <vt:variant>
        <vt:lpwstr>_Toc152869226</vt:lpwstr>
      </vt:variant>
      <vt:variant>
        <vt:i4>1114167</vt:i4>
      </vt:variant>
      <vt:variant>
        <vt:i4>170</vt:i4>
      </vt:variant>
      <vt:variant>
        <vt:i4>0</vt:i4>
      </vt:variant>
      <vt:variant>
        <vt:i4>5</vt:i4>
      </vt:variant>
      <vt:variant>
        <vt:lpwstr/>
      </vt:variant>
      <vt:variant>
        <vt:lpwstr>_Toc152869225</vt:lpwstr>
      </vt:variant>
      <vt:variant>
        <vt:i4>1114167</vt:i4>
      </vt:variant>
      <vt:variant>
        <vt:i4>164</vt:i4>
      </vt:variant>
      <vt:variant>
        <vt:i4>0</vt:i4>
      </vt:variant>
      <vt:variant>
        <vt:i4>5</vt:i4>
      </vt:variant>
      <vt:variant>
        <vt:lpwstr/>
      </vt:variant>
      <vt:variant>
        <vt:lpwstr>_Toc152869224</vt:lpwstr>
      </vt:variant>
      <vt:variant>
        <vt:i4>1114167</vt:i4>
      </vt:variant>
      <vt:variant>
        <vt:i4>158</vt:i4>
      </vt:variant>
      <vt:variant>
        <vt:i4>0</vt:i4>
      </vt:variant>
      <vt:variant>
        <vt:i4>5</vt:i4>
      </vt:variant>
      <vt:variant>
        <vt:lpwstr/>
      </vt:variant>
      <vt:variant>
        <vt:lpwstr>_Toc152869223</vt:lpwstr>
      </vt:variant>
      <vt:variant>
        <vt:i4>1114167</vt:i4>
      </vt:variant>
      <vt:variant>
        <vt:i4>152</vt:i4>
      </vt:variant>
      <vt:variant>
        <vt:i4>0</vt:i4>
      </vt:variant>
      <vt:variant>
        <vt:i4>5</vt:i4>
      </vt:variant>
      <vt:variant>
        <vt:lpwstr/>
      </vt:variant>
      <vt:variant>
        <vt:lpwstr>_Toc152869222</vt:lpwstr>
      </vt:variant>
      <vt:variant>
        <vt:i4>1114167</vt:i4>
      </vt:variant>
      <vt:variant>
        <vt:i4>146</vt:i4>
      </vt:variant>
      <vt:variant>
        <vt:i4>0</vt:i4>
      </vt:variant>
      <vt:variant>
        <vt:i4>5</vt:i4>
      </vt:variant>
      <vt:variant>
        <vt:lpwstr/>
      </vt:variant>
      <vt:variant>
        <vt:lpwstr>_Toc152869221</vt:lpwstr>
      </vt:variant>
      <vt:variant>
        <vt:i4>1114167</vt:i4>
      </vt:variant>
      <vt:variant>
        <vt:i4>140</vt:i4>
      </vt:variant>
      <vt:variant>
        <vt:i4>0</vt:i4>
      </vt:variant>
      <vt:variant>
        <vt:i4>5</vt:i4>
      </vt:variant>
      <vt:variant>
        <vt:lpwstr/>
      </vt:variant>
      <vt:variant>
        <vt:lpwstr>_Toc152869220</vt:lpwstr>
      </vt:variant>
      <vt:variant>
        <vt:i4>1179703</vt:i4>
      </vt:variant>
      <vt:variant>
        <vt:i4>134</vt:i4>
      </vt:variant>
      <vt:variant>
        <vt:i4>0</vt:i4>
      </vt:variant>
      <vt:variant>
        <vt:i4>5</vt:i4>
      </vt:variant>
      <vt:variant>
        <vt:lpwstr/>
      </vt:variant>
      <vt:variant>
        <vt:lpwstr>_Toc152869219</vt:lpwstr>
      </vt:variant>
      <vt:variant>
        <vt:i4>1179703</vt:i4>
      </vt:variant>
      <vt:variant>
        <vt:i4>128</vt:i4>
      </vt:variant>
      <vt:variant>
        <vt:i4>0</vt:i4>
      </vt:variant>
      <vt:variant>
        <vt:i4>5</vt:i4>
      </vt:variant>
      <vt:variant>
        <vt:lpwstr/>
      </vt:variant>
      <vt:variant>
        <vt:lpwstr>_Toc152869218</vt:lpwstr>
      </vt:variant>
      <vt:variant>
        <vt:i4>1179703</vt:i4>
      </vt:variant>
      <vt:variant>
        <vt:i4>122</vt:i4>
      </vt:variant>
      <vt:variant>
        <vt:i4>0</vt:i4>
      </vt:variant>
      <vt:variant>
        <vt:i4>5</vt:i4>
      </vt:variant>
      <vt:variant>
        <vt:lpwstr/>
      </vt:variant>
      <vt:variant>
        <vt:lpwstr>_Toc152869217</vt:lpwstr>
      </vt:variant>
      <vt:variant>
        <vt:i4>1179703</vt:i4>
      </vt:variant>
      <vt:variant>
        <vt:i4>116</vt:i4>
      </vt:variant>
      <vt:variant>
        <vt:i4>0</vt:i4>
      </vt:variant>
      <vt:variant>
        <vt:i4>5</vt:i4>
      </vt:variant>
      <vt:variant>
        <vt:lpwstr/>
      </vt:variant>
      <vt:variant>
        <vt:lpwstr>_Toc152869216</vt:lpwstr>
      </vt:variant>
      <vt:variant>
        <vt:i4>1179703</vt:i4>
      </vt:variant>
      <vt:variant>
        <vt:i4>110</vt:i4>
      </vt:variant>
      <vt:variant>
        <vt:i4>0</vt:i4>
      </vt:variant>
      <vt:variant>
        <vt:i4>5</vt:i4>
      </vt:variant>
      <vt:variant>
        <vt:lpwstr/>
      </vt:variant>
      <vt:variant>
        <vt:lpwstr>_Toc152869215</vt:lpwstr>
      </vt:variant>
      <vt:variant>
        <vt:i4>1179703</vt:i4>
      </vt:variant>
      <vt:variant>
        <vt:i4>104</vt:i4>
      </vt:variant>
      <vt:variant>
        <vt:i4>0</vt:i4>
      </vt:variant>
      <vt:variant>
        <vt:i4>5</vt:i4>
      </vt:variant>
      <vt:variant>
        <vt:lpwstr/>
      </vt:variant>
      <vt:variant>
        <vt:lpwstr>_Toc152869214</vt:lpwstr>
      </vt:variant>
      <vt:variant>
        <vt:i4>1179703</vt:i4>
      </vt:variant>
      <vt:variant>
        <vt:i4>98</vt:i4>
      </vt:variant>
      <vt:variant>
        <vt:i4>0</vt:i4>
      </vt:variant>
      <vt:variant>
        <vt:i4>5</vt:i4>
      </vt:variant>
      <vt:variant>
        <vt:lpwstr/>
      </vt:variant>
      <vt:variant>
        <vt:lpwstr>_Toc152869213</vt:lpwstr>
      </vt:variant>
      <vt:variant>
        <vt:i4>1179703</vt:i4>
      </vt:variant>
      <vt:variant>
        <vt:i4>92</vt:i4>
      </vt:variant>
      <vt:variant>
        <vt:i4>0</vt:i4>
      </vt:variant>
      <vt:variant>
        <vt:i4>5</vt:i4>
      </vt:variant>
      <vt:variant>
        <vt:lpwstr/>
      </vt:variant>
      <vt:variant>
        <vt:lpwstr>_Toc152869212</vt:lpwstr>
      </vt:variant>
      <vt:variant>
        <vt:i4>1179703</vt:i4>
      </vt:variant>
      <vt:variant>
        <vt:i4>86</vt:i4>
      </vt:variant>
      <vt:variant>
        <vt:i4>0</vt:i4>
      </vt:variant>
      <vt:variant>
        <vt:i4>5</vt:i4>
      </vt:variant>
      <vt:variant>
        <vt:lpwstr/>
      </vt:variant>
      <vt:variant>
        <vt:lpwstr>_Toc152869211</vt:lpwstr>
      </vt:variant>
      <vt:variant>
        <vt:i4>1179703</vt:i4>
      </vt:variant>
      <vt:variant>
        <vt:i4>80</vt:i4>
      </vt:variant>
      <vt:variant>
        <vt:i4>0</vt:i4>
      </vt:variant>
      <vt:variant>
        <vt:i4>5</vt:i4>
      </vt:variant>
      <vt:variant>
        <vt:lpwstr/>
      </vt:variant>
      <vt:variant>
        <vt:lpwstr>_Toc152869210</vt:lpwstr>
      </vt:variant>
      <vt:variant>
        <vt:i4>1245239</vt:i4>
      </vt:variant>
      <vt:variant>
        <vt:i4>74</vt:i4>
      </vt:variant>
      <vt:variant>
        <vt:i4>0</vt:i4>
      </vt:variant>
      <vt:variant>
        <vt:i4>5</vt:i4>
      </vt:variant>
      <vt:variant>
        <vt:lpwstr/>
      </vt:variant>
      <vt:variant>
        <vt:lpwstr>_Toc152869209</vt:lpwstr>
      </vt:variant>
      <vt:variant>
        <vt:i4>1245239</vt:i4>
      </vt:variant>
      <vt:variant>
        <vt:i4>68</vt:i4>
      </vt:variant>
      <vt:variant>
        <vt:i4>0</vt:i4>
      </vt:variant>
      <vt:variant>
        <vt:i4>5</vt:i4>
      </vt:variant>
      <vt:variant>
        <vt:lpwstr/>
      </vt:variant>
      <vt:variant>
        <vt:lpwstr>_Toc152869208</vt:lpwstr>
      </vt:variant>
      <vt:variant>
        <vt:i4>1245239</vt:i4>
      </vt:variant>
      <vt:variant>
        <vt:i4>62</vt:i4>
      </vt:variant>
      <vt:variant>
        <vt:i4>0</vt:i4>
      </vt:variant>
      <vt:variant>
        <vt:i4>5</vt:i4>
      </vt:variant>
      <vt:variant>
        <vt:lpwstr/>
      </vt:variant>
      <vt:variant>
        <vt:lpwstr>_Toc152869207</vt:lpwstr>
      </vt:variant>
      <vt:variant>
        <vt:i4>1245239</vt:i4>
      </vt:variant>
      <vt:variant>
        <vt:i4>56</vt:i4>
      </vt:variant>
      <vt:variant>
        <vt:i4>0</vt:i4>
      </vt:variant>
      <vt:variant>
        <vt:i4>5</vt:i4>
      </vt:variant>
      <vt:variant>
        <vt:lpwstr/>
      </vt:variant>
      <vt:variant>
        <vt:lpwstr>_Toc152869206</vt:lpwstr>
      </vt:variant>
      <vt:variant>
        <vt:i4>1245239</vt:i4>
      </vt:variant>
      <vt:variant>
        <vt:i4>50</vt:i4>
      </vt:variant>
      <vt:variant>
        <vt:i4>0</vt:i4>
      </vt:variant>
      <vt:variant>
        <vt:i4>5</vt:i4>
      </vt:variant>
      <vt:variant>
        <vt:lpwstr/>
      </vt:variant>
      <vt:variant>
        <vt:lpwstr>_Toc152869205</vt:lpwstr>
      </vt:variant>
      <vt:variant>
        <vt:i4>1245239</vt:i4>
      </vt:variant>
      <vt:variant>
        <vt:i4>44</vt:i4>
      </vt:variant>
      <vt:variant>
        <vt:i4>0</vt:i4>
      </vt:variant>
      <vt:variant>
        <vt:i4>5</vt:i4>
      </vt:variant>
      <vt:variant>
        <vt:lpwstr/>
      </vt:variant>
      <vt:variant>
        <vt:lpwstr>_Toc152869204</vt:lpwstr>
      </vt:variant>
      <vt:variant>
        <vt:i4>1245239</vt:i4>
      </vt:variant>
      <vt:variant>
        <vt:i4>38</vt:i4>
      </vt:variant>
      <vt:variant>
        <vt:i4>0</vt:i4>
      </vt:variant>
      <vt:variant>
        <vt:i4>5</vt:i4>
      </vt:variant>
      <vt:variant>
        <vt:lpwstr/>
      </vt:variant>
      <vt:variant>
        <vt:lpwstr>_Toc152869203</vt:lpwstr>
      </vt:variant>
      <vt:variant>
        <vt:i4>1245239</vt:i4>
      </vt:variant>
      <vt:variant>
        <vt:i4>32</vt:i4>
      </vt:variant>
      <vt:variant>
        <vt:i4>0</vt:i4>
      </vt:variant>
      <vt:variant>
        <vt:i4>5</vt:i4>
      </vt:variant>
      <vt:variant>
        <vt:lpwstr/>
      </vt:variant>
      <vt:variant>
        <vt:lpwstr>_Toc152869202</vt:lpwstr>
      </vt:variant>
      <vt:variant>
        <vt:i4>1245239</vt:i4>
      </vt:variant>
      <vt:variant>
        <vt:i4>26</vt:i4>
      </vt:variant>
      <vt:variant>
        <vt:i4>0</vt:i4>
      </vt:variant>
      <vt:variant>
        <vt:i4>5</vt:i4>
      </vt:variant>
      <vt:variant>
        <vt:lpwstr/>
      </vt:variant>
      <vt:variant>
        <vt:lpwstr>_Toc152869201</vt:lpwstr>
      </vt:variant>
      <vt:variant>
        <vt:i4>1245239</vt:i4>
      </vt:variant>
      <vt:variant>
        <vt:i4>20</vt:i4>
      </vt:variant>
      <vt:variant>
        <vt:i4>0</vt:i4>
      </vt:variant>
      <vt:variant>
        <vt:i4>5</vt:i4>
      </vt:variant>
      <vt:variant>
        <vt:lpwstr/>
      </vt:variant>
      <vt:variant>
        <vt:lpwstr>_Toc152869200</vt:lpwstr>
      </vt:variant>
      <vt:variant>
        <vt:i4>1703988</vt:i4>
      </vt:variant>
      <vt:variant>
        <vt:i4>14</vt:i4>
      </vt:variant>
      <vt:variant>
        <vt:i4>0</vt:i4>
      </vt:variant>
      <vt:variant>
        <vt:i4>5</vt:i4>
      </vt:variant>
      <vt:variant>
        <vt:lpwstr/>
      </vt:variant>
      <vt:variant>
        <vt:lpwstr>_Toc152869199</vt:lpwstr>
      </vt:variant>
      <vt:variant>
        <vt:i4>1703988</vt:i4>
      </vt:variant>
      <vt:variant>
        <vt:i4>8</vt:i4>
      </vt:variant>
      <vt:variant>
        <vt:i4>0</vt:i4>
      </vt:variant>
      <vt:variant>
        <vt:i4>5</vt:i4>
      </vt:variant>
      <vt:variant>
        <vt:lpwstr/>
      </vt:variant>
      <vt:variant>
        <vt:lpwstr>_Toc152869198</vt:lpwstr>
      </vt:variant>
      <vt:variant>
        <vt:i4>1703988</vt:i4>
      </vt:variant>
      <vt:variant>
        <vt:i4>2</vt:i4>
      </vt:variant>
      <vt:variant>
        <vt:i4>0</vt:i4>
      </vt:variant>
      <vt:variant>
        <vt:i4>5</vt:i4>
      </vt:variant>
      <vt:variant>
        <vt:lpwstr/>
      </vt:variant>
      <vt:variant>
        <vt:lpwstr>_Toc152869197</vt:lpwstr>
      </vt:variant>
      <vt:variant>
        <vt:i4>4259851</vt:i4>
      </vt:variant>
      <vt:variant>
        <vt:i4>0</vt:i4>
      </vt:variant>
      <vt:variant>
        <vt:i4>0</vt:i4>
      </vt:variant>
      <vt:variant>
        <vt:i4>5</vt:i4>
      </vt:variant>
      <vt:variant>
        <vt:lpwstr>https://www.torch.health.qld.gov.au/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ModifiedBy>ZENTILIN, Chloe</cp:lastModifiedBy>
  <cp:revision>5</cp:revision>
  <cp:lastPrinted>2024-01-23T09:54:00Z</cp:lastPrinted>
  <dcterms:created xsi:type="dcterms:W3CDTF">2024-05-07T04:49:00Z</dcterms:created>
  <dcterms:modified xsi:type="dcterms:W3CDTF">2024-05-17T01:53:00Z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Name 2_1">
    <vt:lpwstr>Australian Govt - Rosemary Hill</vt:lpwstr>
  </property>
  <property fmtid="{D5CDD505-2E9C-101B-9397-08002B2CF9AE}" pid="3" name="Mendeley Recent Style Name 5_1">
    <vt:lpwstr>Harvard reference format 1 (deprecated)</vt:lpwstr>
  </property>
  <property fmtid="{D5CDD505-2E9C-101B-9397-08002B2CF9AE}" pid="4" name="Mendeley Citation Style_1">
    <vt:lpwstr>http://csl.mendeley.com/styles/460690621/AustralianGovt</vt:lpwstr>
  </property>
  <property fmtid="{D5CDD505-2E9C-101B-9397-08002B2CF9AE}" pid="5" name="Mendeley Recent Style Name 8_1">
    <vt:lpwstr>Springer - Basic (author-date)</vt:lpwstr>
  </property>
  <property fmtid="{D5CDD505-2E9C-101B-9397-08002B2CF9AE}" pid="6" name="MediaServiceImageTags">
    <vt:lpwstr/>
  </property>
  <property fmtid="{D5CDD505-2E9C-101B-9397-08002B2CF9AE}" pid="7" name="ContentTypeId">
    <vt:lpwstr>0x010100FEE71144B0A72D48BAD5085EFC329F68</vt:lpwstr>
  </property>
  <property fmtid="{D5CDD505-2E9C-101B-9397-08002B2CF9AE}" pid="8" name="Mendeley Recent Style Id 2_1">
    <vt:lpwstr>http://csl.mendeley.com/styles/460690621/AustralianGovt</vt:lpwstr>
  </property>
  <property fmtid="{D5CDD505-2E9C-101B-9397-08002B2CF9AE}" pid="9" name="Mendeley Recent Style Id 5_1">
    <vt:lpwstr>http://www.zotero.org/styles/harvard1</vt:lpwstr>
  </property>
  <property fmtid="{D5CDD505-2E9C-101B-9397-08002B2CF9AE}" pid="10" name="Mendeley Recent Style Name 0_1">
    <vt:lpwstr>American Psychological Association 7th edition</vt:lpwstr>
  </property>
  <property fmtid="{D5CDD505-2E9C-101B-9397-08002B2CF9AE}" pid="11" name="Mendeley Recent Style Id 8_1">
    <vt:lpwstr>http://www.zotero.org/styles/springer-basic-author-date</vt:lpwstr>
  </property>
  <property fmtid="{D5CDD505-2E9C-101B-9397-08002B2CF9AE}" pid="12" name="_dlc_DocIdItemGuid">
    <vt:lpwstr>853a424b-f1bd-4827-8f98-07b83841b1b4</vt:lpwstr>
  </property>
  <property fmtid="{D5CDD505-2E9C-101B-9397-08002B2CF9AE}" pid="13" name="Mendeley Recent Style Name 3_1">
    <vt:lpwstr>Chicago Manual of Style 17th edition (author-date)</vt:lpwstr>
  </property>
  <property fmtid="{D5CDD505-2E9C-101B-9397-08002B2CF9AE}" pid="14" name="Mendeley Recent Style Id 1_1">
    <vt:lpwstr>http://www.zotero.org/styles/american-sociological-association</vt:lpwstr>
  </property>
  <property fmtid="{D5CDD505-2E9C-101B-9397-08002B2CF9AE}" pid="15" name="Mendeley Unique User Id_1">
    <vt:lpwstr>29fbc011-db76-3795-af05-7db156896f0f</vt:lpwstr>
  </property>
  <property fmtid="{D5CDD505-2E9C-101B-9397-08002B2CF9AE}" pid="16" name="Mendeley Recent Style Name 6_1">
    <vt:lpwstr>Modern Humanities Research Association 3rd edition (note with bibliography)</vt:lpwstr>
  </property>
  <property fmtid="{D5CDD505-2E9C-101B-9397-08002B2CF9AE}" pid="17" name="Mendeley Recent Style Name 9_1">
    <vt:lpwstr>Vancouver</vt:lpwstr>
  </property>
  <property fmtid="{D5CDD505-2E9C-101B-9397-08002B2CF9AE}" pid="18" name="Mendeley Recent Style Id 4_1">
    <vt:lpwstr>http://www.zotero.org/styles/harvard-cite-them-right</vt:lpwstr>
  </property>
  <property fmtid="{D5CDD505-2E9C-101B-9397-08002B2CF9AE}" pid="19" name="Mendeley Recent Style Id 7_1">
    <vt:lpwstr>http://www.zotero.org/styles/nature</vt:lpwstr>
  </property>
  <property fmtid="{D5CDD505-2E9C-101B-9397-08002B2CF9AE}" pid="20" name="Mendeley Recent Style Id 0_1">
    <vt:lpwstr>http://www.zotero.org/styles/apa</vt:lpwstr>
  </property>
  <property fmtid="{D5CDD505-2E9C-101B-9397-08002B2CF9AE}" pid="21" name="Mendeley Recent Style Id 3_1">
    <vt:lpwstr>http://www.zotero.org/styles/chicago-author-date</vt:lpwstr>
  </property>
  <property fmtid="{D5CDD505-2E9C-101B-9397-08002B2CF9AE}" pid="22" name="Mendeley Recent Style Id 6_1">
    <vt:lpwstr>http://www.zotero.org/styles/modern-humanities-research-association</vt:lpwstr>
  </property>
  <property fmtid="{D5CDD505-2E9C-101B-9397-08002B2CF9AE}" pid="23" name="Mendeley Recent Style Name 1_1">
    <vt:lpwstr>American Sociological Association 6th edition</vt:lpwstr>
  </property>
  <property fmtid="{D5CDD505-2E9C-101B-9397-08002B2CF9AE}" pid="24" name="Mendeley Recent Style Id 9_1">
    <vt:lpwstr>http://www.zotero.org/styles/vancouver</vt:lpwstr>
  </property>
  <property fmtid="{D5CDD505-2E9C-101B-9397-08002B2CF9AE}" pid="25" name="Mendeley Recent Style Name 4_1">
    <vt:lpwstr>Cite Them Right 10th edition - Harvard</vt:lpwstr>
  </property>
  <property fmtid="{D5CDD505-2E9C-101B-9397-08002B2CF9AE}" pid="26" name="Mendeley Document_1">
    <vt:lpwstr>True</vt:lpwstr>
  </property>
  <property fmtid="{D5CDD505-2E9C-101B-9397-08002B2CF9AE}" pid="27" name="Mendeley Recent Style Name 7_1">
    <vt:lpwstr>Nature</vt:lpwstr>
  </property>
</Properties>
</file>