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062E48" w:rsidRDefault="00B254A9" w:rsidP="00062E48">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062E48">
        <w:t>National Communicable Diseases Surveillance Report</w:t>
      </w:r>
    </w:p>
    <w:p w14:paraId="6F25C8A4" w14:textId="5E15FDB3" w:rsidR="00807835" w:rsidRPr="00062E48" w:rsidRDefault="00807835" w:rsidP="00062E48">
      <w:pPr>
        <w:pStyle w:val="Title"/>
      </w:pPr>
      <w:r w:rsidRPr="00062E48">
        <w:t xml:space="preserve">Fortnight </w:t>
      </w:r>
      <w:r w:rsidR="006A65C0" w:rsidRPr="00062E48">
        <w:t>0</w:t>
      </w:r>
      <w:r w:rsidR="00B412A9" w:rsidRPr="00062E48">
        <w:t>8</w:t>
      </w:r>
      <w:r w:rsidR="00F816D5" w:rsidRPr="00062E48">
        <w:t>,</w:t>
      </w:r>
      <w:r w:rsidR="003D48B5" w:rsidRPr="00062E48">
        <w:t xml:space="preserve"> </w:t>
      </w:r>
      <w:r w:rsidR="00924FC7" w:rsidRPr="00062E48">
        <w:t>202</w:t>
      </w:r>
      <w:r w:rsidR="006A65C0" w:rsidRPr="00062E48">
        <w:t>4</w:t>
      </w:r>
      <w:r w:rsidR="00031B33" w:rsidRPr="00062E48">
        <w:t xml:space="preserve"> </w:t>
      </w:r>
      <w:r w:rsidRPr="00062E48">
        <w:t>Summary Notes</w:t>
      </w:r>
      <w:r w:rsidR="00EB26EC" w:rsidRPr="00062E48">
        <w:t xml:space="preserve"> for Selected Diseases</w:t>
      </w:r>
    </w:p>
    <w:p w14:paraId="178F241B" w14:textId="09A7E49B" w:rsidR="00807835" w:rsidRPr="00062E48" w:rsidRDefault="00B412A9" w:rsidP="00062E48">
      <w:pPr>
        <w:pStyle w:val="Title"/>
      </w:pPr>
      <w:r w:rsidRPr="00062E48">
        <w:t>01</w:t>
      </w:r>
      <w:r w:rsidR="002F1D15" w:rsidRPr="00062E48">
        <w:t xml:space="preserve"> </w:t>
      </w:r>
      <w:r w:rsidRPr="00062E48">
        <w:t>April</w:t>
      </w:r>
      <w:r w:rsidR="00433EB5" w:rsidRPr="00062E48">
        <w:t xml:space="preserve"> </w:t>
      </w:r>
      <w:r w:rsidR="00082C5E" w:rsidRPr="00062E48">
        <w:t>202</w:t>
      </w:r>
      <w:r w:rsidR="0064269D" w:rsidRPr="00062E48">
        <w:t>4</w:t>
      </w:r>
      <w:r w:rsidR="0082527C" w:rsidRPr="00062E48">
        <w:t xml:space="preserve"> </w:t>
      </w:r>
      <w:r w:rsidR="00CA37B4" w:rsidRPr="00062E48">
        <w:t xml:space="preserve">to </w:t>
      </w:r>
      <w:r w:rsidRPr="00062E48">
        <w:t>14</w:t>
      </w:r>
      <w:r w:rsidR="00A97013" w:rsidRPr="00062E48">
        <w:t xml:space="preserve"> </w:t>
      </w:r>
      <w:r w:rsidRPr="00062E48">
        <w:t>April</w:t>
      </w:r>
      <w:r w:rsidR="00924FC7" w:rsidRPr="00062E48">
        <w:t xml:space="preserve"> 202</w:t>
      </w:r>
      <w:r w:rsidR="006A65C0" w:rsidRPr="00062E48">
        <w:t>4</w:t>
      </w:r>
    </w:p>
    <w:bookmarkEnd w:id="0"/>
    <w:bookmarkEnd w:id="1"/>
    <w:bookmarkEnd w:id="2"/>
    <w:p w14:paraId="7EC119BF" w14:textId="3B813D06" w:rsidR="00D508E6" w:rsidRPr="00CA1F09" w:rsidRDefault="00D508E6" w:rsidP="00062E48">
      <w:pPr>
        <w:pStyle w:val="Heading1"/>
      </w:pPr>
      <w:r w:rsidRPr="00CA1F09">
        <w:t>Cryptosporidiosis</w:t>
      </w:r>
    </w:p>
    <w:p w14:paraId="5105A36E" w14:textId="77777777" w:rsidR="00D508E6" w:rsidRPr="00062E48" w:rsidRDefault="00D508E6" w:rsidP="00062E48">
      <w:r w:rsidRPr="00062E48">
        <w:t xml:space="preserve">Cryptosporidiosis is a parasitic infection that commonly presents as gastroenteritis. In the past 12 months (15 April 2023 – 14 April 2024), there have been 11,415 cases of cryptosporidiosis reported to the National Notifiable Diseases Surveillance System (NNDSS), which is 5 times higher than the historical five-year mean (n=2,285). In the past 3 months (16 January 2024 – 14 April 2024), there have been 8,083 cases of cryptosporidiosis reported to the NNDSS, which is 10.2 times higher than the historical five-year mean for this period (n=791). The increase in notifications in the past 3 months is largely driven by increased notifications in NSW, </w:t>
      </w:r>
      <w:proofErr w:type="gramStart"/>
      <w:r w:rsidRPr="00062E48">
        <w:t>QLD</w:t>
      </w:r>
      <w:proofErr w:type="gramEnd"/>
      <w:r w:rsidRPr="00062E48">
        <w:t xml:space="preserve"> and VIC. In this reporting period (1 April 2024 – 14 April 2024) 1,204 cases of cryptosporidiosis have been notified (549 in QLD, 306 in NSW, 204 in VIC, 55 in WA, 51 in SA, 22 in ACT, 11 in TAS, and 6 in NT). Cryptosporidiosis is commonly acquired by swimming </w:t>
      </w:r>
      <w:proofErr w:type="gramStart"/>
      <w:r w:rsidRPr="00062E48">
        <w:t>in</w:t>
      </w:r>
      <w:proofErr w:type="gramEnd"/>
      <w:r w:rsidRPr="00062E48">
        <w:t xml:space="preserve"> and swallowing water contaminated with cryptosporidium parasites including swimming pools, water parks, estuaries and inland waterways. The reason for the increase compared to historical periods is unclear but may be related to patterns in temperature and rainfall.</w:t>
      </w:r>
    </w:p>
    <w:p w14:paraId="6FD93C51" w14:textId="77777777" w:rsidR="00ED21CE" w:rsidRPr="00ED21CE" w:rsidRDefault="00ED21CE" w:rsidP="00062E48">
      <w:pPr>
        <w:pStyle w:val="Heading1"/>
      </w:pPr>
      <w:r w:rsidRPr="00ED21CE">
        <w:t>Infectious and congenital syphilis</w:t>
      </w:r>
    </w:p>
    <w:p w14:paraId="2C0186BF" w14:textId="77777777" w:rsidR="00062E48" w:rsidRPr="00062E48" w:rsidRDefault="005734A2" w:rsidP="00ED21CE">
      <w:pPr>
        <w:autoSpaceDE w:val="0"/>
        <w:autoSpaceDN w:val="0"/>
      </w:pPr>
      <w:r w:rsidRPr="00062E48">
        <w:t xml:space="preserve">Infectious syphilis notifications are continuing to increase across Australia. Notifications are being monitored across four population groups: non-Indigenous males (including men who have sex with men), non-Indigenous females, Aboriginal and Torres Strait Islander males and females (including those in outbreak declared regions of SA, NT, </w:t>
      </w:r>
      <w:proofErr w:type="gramStart"/>
      <w:r w:rsidRPr="00062E48">
        <w:t>WA</w:t>
      </w:r>
      <w:proofErr w:type="gramEnd"/>
      <w:r w:rsidRPr="00062E48">
        <w:t xml:space="preserve"> and Qld). Detailed analysis of infectious and congenital syphilis trends in Australia are reported quarterly in the</w:t>
      </w:r>
      <w:r>
        <w:t xml:space="preserve"> </w:t>
      </w:r>
      <w:hyperlink r:id="rId8" w:history="1">
        <w:r w:rsidRPr="005734A2">
          <w:rPr>
            <w:rStyle w:val="Hyperlink"/>
            <w:rFonts w:asciiTheme="minorHAnsi" w:hAnsiTheme="minorHAnsi" w:cstheme="minorHAnsi"/>
            <w:i/>
            <w:iCs/>
          </w:rPr>
          <w:t>National syphilis surveillance reports</w:t>
        </w:r>
      </w:hyperlink>
      <w:r w:rsidRPr="00062E48">
        <w:t>.</w:t>
      </w:r>
    </w:p>
    <w:p w14:paraId="2232C93F" w14:textId="260BC140" w:rsidR="00ED21CE" w:rsidRPr="00062E48" w:rsidRDefault="00ED21CE" w:rsidP="00062E48">
      <w:pPr>
        <w:pStyle w:val="Heading2"/>
      </w:pPr>
      <w:r w:rsidRPr="00062E48">
        <w:t>Syphilis response</w:t>
      </w:r>
    </w:p>
    <w:p w14:paraId="115F27DE" w14:textId="77777777" w:rsidR="00ED21CE" w:rsidRPr="00062E48" w:rsidRDefault="00ED21CE" w:rsidP="00062E48">
      <w:r w:rsidRPr="00062E48">
        <w:t xml:space="preserve">On 23 March 2021, the Australian Health Protection Principal Committee (AHPPC) endorsed the </w:t>
      </w:r>
      <w:hyperlink r:id="rId9" w:history="1">
        <w:r w:rsidRPr="00ED21CE">
          <w:rPr>
            <w:rStyle w:val="Hyperlink"/>
            <w:rFonts w:asciiTheme="minorHAnsi" w:hAnsiTheme="minorHAnsi" w:cstheme="minorHAnsi"/>
            <w:i/>
            <w:iCs/>
          </w:rPr>
          <w:t>National strategic approach for responding to rising rates of syphilis in Australia 2021</w:t>
        </w:r>
      </w:hyperlink>
      <w:r w:rsidRPr="00062E48">
        <w:t xml:space="preserve"> (Strategic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4AF86A14" w14:textId="77777777" w:rsidR="00ED21CE" w:rsidRPr="00062E48" w:rsidRDefault="00ED21CE" w:rsidP="00062E48">
      <w:r w:rsidRPr="00062E48">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370A6E5D" w14:textId="77777777" w:rsidR="00ED21CE" w:rsidRPr="00062E48" w:rsidRDefault="00ED21CE" w:rsidP="00062E48">
      <w:r w:rsidRPr="00062E48">
        <w:t xml:space="preserve">For further information on national activities related to syphilis, including </w:t>
      </w:r>
      <w:r w:rsidRPr="00062E48">
        <w:rPr>
          <w:rStyle w:val="Hyperlink"/>
        </w:rPr>
        <w:t xml:space="preserve">the </w:t>
      </w:r>
      <w:hyperlink r:id="rId10" w:history="1">
        <w:r w:rsidRPr="00ED21CE">
          <w:rPr>
            <w:rStyle w:val="Hyperlink"/>
            <w:i/>
            <w:iCs/>
          </w:rPr>
          <w:t>Don’t fool around with syphilis</w:t>
        </w:r>
      </w:hyperlink>
      <w:r w:rsidRPr="00062E48">
        <w:t xml:space="preserve"> campaign, refer to the </w:t>
      </w:r>
      <w:hyperlink r:id="rId11" w:history="1">
        <w:r w:rsidRPr="00ED21CE">
          <w:rPr>
            <w:rStyle w:val="Hyperlink"/>
            <w:i/>
            <w:iCs/>
          </w:rPr>
          <w:t>Department’s website</w:t>
        </w:r>
      </w:hyperlink>
      <w:r w:rsidRPr="00062E48">
        <w:t xml:space="preserve">. </w:t>
      </w:r>
    </w:p>
    <w:p w14:paraId="15978A89" w14:textId="69C74AFC" w:rsidR="00C37A92" w:rsidRPr="00062E48" w:rsidRDefault="00C37A92" w:rsidP="00062E48">
      <w:pPr>
        <w:pStyle w:val="FootnoteText"/>
      </w:pPr>
      <w:r w:rsidRPr="00062E48">
        <w:t>Interpretative Notes</w:t>
      </w:r>
    </w:p>
    <w:bookmarkEnd w:id="3"/>
    <w:bookmarkEnd w:id="4"/>
    <w:bookmarkEnd w:id="5"/>
    <w:bookmarkEnd w:id="6"/>
    <w:p w14:paraId="71AA7033" w14:textId="77777777" w:rsidR="00017515" w:rsidRPr="00062E48" w:rsidRDefault="00017515" w:rsidP="00062E48">
      <w:pPr>
        <w:pStyle w:val="EndnoteText"/>
      </w:pPr>
      <w:r w:rsidRPr="00062E48">
        <w:t xml:space="preserve">Selected diseases are chosen each fortnight based on either exceeding two standard deviations from the 90 day and/or </w:t>
      </w:r>
      <w:proofErr w:type="gramStart"/>
      <w:r w:rsidRPr="00062E48">
        <w:t>365 day</w:t>
      </w:r>
      <w:proofErr w:type="gramEnd"/>
      <w:r w:rsidRPr="00062E48">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062E48" w:rsidRDefault="00017515" w:rsidP="00062E48">
      <w:pPr>
        <w:pStyle w:val="EndnoteText"/>
      </w:pPr>
      <w:r w:rsidRPr="00062E48">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414B6794" w:rsidR="00017515" w:rsidRPr="00062E48" w:rsidRDefault="00017515" w:rsidP="00062E48">
      <w:pPr>
        <w:pStyle w:val="EndnoteText"/>
      </w:pPr>
      <w:r w:rsidRPr="00062E48">
        <w:t>1The past quarter (90 day) surveillance period includes the date range (</w:t>
      </w:r>
      <w:r w:rsidR="00CA1F09" w:rsidRPr="00062E48">
        <w:t>16</w:t>
      </w:r>
      <w:r w:rsidR="0081611F" w:rsidRPr="00062E48">
        <w:t>/</w:t>
      </w:r>
      <w:r w:rsidR="00D1381A" w:rsidRPr="00062E48">
        <w:t>01</w:t>
      </w:r>
      <w:r w:rsidR="0081611F" w:rsidRPr="00062E48">
        <w:t>/20</w:t>
      </w:r>
      <w:r w:rsidR="007F67BA" w:rsidRPr="00062E48">
        <w:t>2</w:t>
      </w:r>
      <w:r w:rsidR="00D1381A" w:rsidRPr="00062E48">
        <w:t>4</w:t>
      </w:r>
      <w:r w:rsidR="0081611F" w:rsidRPr="00062E48">
        <w:t xml:space="preserve"> to</w:t>
      </w:r>
      <w:r w:rsidR="005F4765" w:rsidRPr="00062E48">
        <w:t xml:space="preserve"> </w:t>
      </w:r>
      <w:r w:rsidR="00CA1F09" w:rsidRPr="00062E48">
        <w:t>14</w:t>
      </w:r>
      <w:r w:rsidR="00270632" w:rsidRPr="00062E48">
        <w:t>/</w:t>
      </w:r>
      <w:r w:rsidR="006A65C0" w:rsidRPr="00062E48">
        <w:t>0</w:t>
      </w:r>
      <w:r w:rsidR="00CA1F09" w:rsidRPr="00062E48">
        <w:t>4</w:t>
      </w:r>
      <w:r w:rsidR="009C1059" w:rsidRPr="00062E48">
        <w:t>/20</w:t>
      </w:r>
      <w:r w:rsidR="006A65C0" w:rsidRPr="00062E48">
        <w:t>24</w:t>
      </w:r>
      <w:r w:rsidR="00777AAA" w:rsidRPr="00062E48">
        <w:t>).</w:t>
      </w:r>
    </w:p>
    <w:p w14:paraId="38B56901" w14:textId="67A52B14" w:rsidR="00017515" w:rsidRPr="00062E48" w:rsidRDefault="00017515" w:rsidP="00062E48">
      <w:pPr>
        <w:pStyle w:val="EndnoteText"/>
      </w:pPr>
      <w:r w:rsidRPr="00062E48">
        <w:t xml:space="preserve">2The quarterly (90 day) five year rolling mean is the average </w:t>
      </w:r>
      <w:r w:rsidR="00D26EE8" w:rsidRPr="00062E48">
        <w:t>of</w:t>
      </w:r>
      <w:r w:rsidR="00CA37B4" w:rsidRPr="00062E48">
        <w:t xml:space="preserve"> 5 intervals of 90 days up to</w:t>
      </w:r>
      <w:r w:rsidR="003603F7" w:rsidRPr="00062E48">
        <w:t xml:space="preserve"> </w:t>
      </w:r>
      <w:r w:rsidR="00CA1F09" w:rsidRPr="00062E48">
        <w:t>14</w:t>
      </w:r>
      <w:r w:rsidR="00270632" w:rsidRPr="00062E48">
        <w:t>/</w:t>
      </w:r>
      <w:r w:rsidR="006A65C0" w:rsidRPr="00062E48">
        <w:t>0</w:t>
      </w:r>
      <w:r w:rsidR="00CA1F09" w:rsidRPr="00062E48">
        <w:t>4</w:t>
      </w:r>
      <w:r w:rsidR="00735187" w:rsidRPr="00062E48">
        <w:t>/202</w:t>
      </w:r>
      <w:r w:rsidR="006A65C0" w:rsidRPr="00062E48">
        <w:t>4</w:t>
      </w:r>
      <w:r w:rsidRPr="00062E48">
        <w:t xml:space="preserve">.  The ratio is the notification activity in the past quarter (90 days) compared with the </w:t>
      </w:r>
      <w:r w:rsidR="00062E48" w:rsidRPr="00062E48">
        <w:t>five-year</w:t>
      </w:r>
      <w:r w:rsidRPr="00062E48">
        <w:t xml:space="preserve"> rolling mean for the same period.</w:t>
      </w:r>
    </w:p>
    <w:p w14:paraId="228A0A61" w14:textId="729D27A3" w:rsidR="00017515" w:rsidRPr="00062E48" w:rsidRDefault="00017515" w:rsidP="00062E48">
      <w:pPr>
        <w:pStyle w:val="EndnoteText"/>
      </w:pPr>
      <w:r w:rsidRPr="00062E48">
        <w:t xml:space="preserve">3The past year (365 day) surveillance period includes the date range </w:t>
      </w:r>
      <w:r w:rsidR="002C38A0" w:rsidRPr="00062E48">
        <w:t>(</w:t>
      </w:r>
      <w:r w:rsidR="00CA1F09" w:rsidRPr="00062E48">
        <w:t>15</w:t>
      </w:r>
      <w:r w:rsidR="00421F52" w:rsidRPr="00062E48">
        <w:t>/</w:t>
      </w:r>
      <w:r w:rsidR="006A65C0" w:rsidRPr="00062E48">
        <w:t>0</w:t>
      </w:r>
      <w:r w:rsidR="00D1381A" w:rsidRPr="00062E48">
        <w:t>4</w:t>
      </w:r>
      <w:r w:rsidR="00421F52" w:rsidRPr="00062E48">
        <w:t>/</w:t>
      </w:r>
      <w:r w:rsidR="009C1059" w:rsidRPr="00062E48">
        <w:t>202</w:t>
      </w:r>
      <w:r w:rsidR="006A65C0" w:rsidRPr="00062E48">
        <w:t>3</w:t>
      </w:r>
      <w:r w:rsidR="00493076" w:rsidRPr="00062E48">
        <w:t xml:space="preserve"> to</w:t>
      </w:r>
      <w:r w:rsidR="00EA74EE" w:rsidRPr="00062E48">
        <w:t xml:space="preserve"> </w:t>
      </w:r>
      <w:r w:rsidR="00CA1F09" w:rsidRPr="00062E48">
        <w:t>14</w:t>
      </w:r>
      <w:r w:rsidR="00270632" w:rsidRPr="00062E48">
        <w:t>/</w:t>
      </w:r>
      <w:r w:rsidR="006A65C0" w:rsidRPr="00062E48">
        <w:t>0</w:t>
      </w:r>
      <w:r w:rsidR="00CA1F09" w:rsidRPr="00062E48">
        <w:t>4</w:t>
      </w:r>
      <w:r w:rsidR="009C1059" w:rsidRPr="00062E48">
        <w:t>/202</w:t>
      </w:r>
      <w:r w:rsidR="006A65C0" w:rsidRPr="00062E48">
        <w:t>4</w:t>
      </w:r>
      <w:r w:rsidR="002C38A0" w:rsidRPr="00062E48">
        <w:t>).</w:t>
      </w:r>
    </w:p>
    <w:p w14:paraId="24BCFBDD" w14:textId="34EE8202" w:rsidR="00017515" w:rsidRPr="00062E48" w:rsidRDefault="00017515" w:rsidP="00062E48">
      <w:pPr>
        <w:pStyle w:val="EndnoteText"/>
      </w:pPr>
      <w:r w:rsidRPr="00062E48">
        <w:lastRenderedPageBreak/>
        <w:t>4The yearly (365 day) five year rolling mean is the average o</w:t>
      </w:r>
      <w:r w:rsidR="007F67BA" w:rsidRPr="00062E48">
        <w:t xml:space="preserve">f </w:t>
      </w:r>
      <w:r w:rsidR="00CA37B4" w:rsidRPr="00062E48">
        <w:t>5 intervals of 365 days up to</w:t>
      </w:r>
      <w:r w:rsidR="00A13BC6" w:rsidRPr="00062E48">
        <w:t xml:space="preserve"> </w:t>
      </w:r>
      <w:r w:rsidR="00CA1F09" w:rsidRPr="00062E48">
        <w:t>14</w:t>
      </w:r>
      <w:r w:rsidR="00854ED5" w:rsidRPr="00062E48">
        <w:t>/</w:t>
      </w:r>
      <w:r w:rsidR="006A65C0" w:rsidRPr="00062E48">
        <w:t>0</w:t>
      </w:r>
      <w:r w:rsidR="00CA1F09" w:rsidRPr="00062E48">
        <w:t>4</w:t>
      </w:r>
      <w:r w:rsidR="0071646F" w:rsidRPr="00062E48">
        <w:t>/</w:t>
      </w:r>
      <w:r w:rsidR="00735187" w:rsidRPr="00062E48">
        <w:t>202</w:t>
      </w:r>
      <w:r w:rsidR="006A65C0" w:rsidRPr="00062E48">
        <w:t>4</w:t>
      </w:r>
      <w:r w:rsidR="002C38A0" w:rsidRPr="00062E48">
        <w:t>.</w:t>
      </w:r>
      <w:r w:rsidR="00777AAA" w:rsidRPr="00062E48">
        <w:t xml:space="preserve"> </w:t>
      </w:r>
      <w:r w:rsidRPr="00062E48">
        <w:t xml:space="preserve">The ratio is the notification activity in the past year (365 days) compared with the </w:t>
      </w:r>
      <w:r w:rsidR="00062E48" w:rsidRPr="00062E48">
        <w:t>five-year</w:t>
      </w:r>
      <w:r w:rsidRPr="00062E48">
        <w:t xml:space="preserve"> rolling mean for the same period.</w:t>
      </w:r>
    </w:p>
    <w:p w14:paraId="011711D9" w14:textId="31DEFEC4" w:rsidR="00745E0F" w:rsidRPr="00062E48" w:rsidRDefault="00017515" w:rsidP="00062E48">
      <w:pPr>
        <w:pStyle w:val="EndnoteText"/>
      </w:pPr>
      <w:r w:rsidRPr="00062E48">
        <w:t xml:space="preserve">The </w:t>
      </w:r>
      <w:r w:rsidR="00062E48" w:rsidRPr="00062E48">
        <w:t>five-year</w:t>
      </w:r>
      <w:r w:rsidRPr="00062E48">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r w:rsidR="00062E48" w:rsidRPr="00062E48">
        <w:t>five-year</w:t>
      </w:r>
      <w:r w:rsidRPr="00062E48">
        <w:t xml:space="preserve"> period. Ratios are to be taken as a crude measure of current disease activity and may reflect changes in reporting rather than changes in disease activity. </w:t>
      </w:r>
    </w:p>
    <w:sectPr w:rsidR="00745E0F" w:rsidRPr="00062E48"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ABF5" w14:textId="77777777" w:rsidR="003949D4" w:rsidRDefault="003949D4">
      <w:r>
        <w:separator/>
      </w:r>
    </w:p>
  </w:endnote>
  <w:endnote w:type="continuationSeparator" w:id="0">
    <w:p w14:paraId="3F37F0DA" w14:textId="77777777" w:rsidR="003949D4" w:rsidRDefault="0039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D855" w14:textId="77777777" w:rsidR="003949D4" w:rsidRDefault="003949D4">
      <w:r>
        <w:separator/>
      </w:r>
    </w:p>
  </w:footnote>
  <w:footnote w:type="continuationSeparator" w:id="0">
    <w:p w14:paraId="164B9DA3" w14:textId="77777777" w:rsidR="003949D4" w:rsidRDefault="00394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2E48"/>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49D4"/>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A65C0"/>
    <w:rsid w:val="006B0616"/>
    <w:rsid w:val="006B2F27"/>
    <w:rsid w:val="006B33BB"/>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321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D764B"/>
    <w:rsid w:val="00AF06FE"/>
    <w:rsid w:val="00AF0884"/>
    <w:rsid w:val="00AF16AB"/>
    <w:rsid w:val="00AF38F9"/>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08E6"/>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E48"/>
    <w:pPr>
      <w:spacing w:before="120" w:after="120"/>
    </w:pPr>
    <w:rPr>
      <w:rFonts w:ascii="Calibri" w:hAnsi="Calibri"/>
      <w:sz w:val="24"/>
      <w:szCs w:val="24"/>
    </w:rPr>
  </w:style>
  <w:style w:type="paragraph" w:styleId="Heading1">
    <w:name w:val="heading 1"/>
    <w:basedOn w:val="Normal"/>
    <w:next w:val="Normal"/>
    <w:qFormat/>
    <w:rsid w:val="00062E48"/>
    <w:pPr>
      <w:keepNext/>
      <w:outlineLvl w:val="0"/>
    </w:pPr>
    <w:rPr>
      <w:rFonts w:ascii="Arial" w:hAnsi="Arial" w:cs="Arial"/>
      <w:b/>
      <w:bCs/>
      <w:color w:val="000000"/>
      <w:sz w:val="22"/>
      <w:szCs w:val="22"/>
    </w:rPr>
  </w:style>
  <w:style w:type="paragraph" w:styleId="Heading2">
    <w:name w:val="heading 2"/>
    <w:basedOn w:val="Heading1"/>
    <w:next w:val="Normal"/>
    <w:link w:val="Heading2Char"/>
    <w:unhideWhenUsed/>
    <w:qFormat/>
    <w:rsid w:val="00062E48"/>
    <w:pPr>
      <w:spacing w:after="60"/>
      <w:outlineLvl w:val="1"/>
    </w:pPr>
    <w:rPr>
      <w:rFonts w:asciiTheme="minorHAnsi" w:eastAsiaTheme="majorEastAsia" w:hAnsiTheme="minorHAnsi" w:cstheme="majorBidi"/>
      <w:b w:val="0"/>
      <w:bCs w:val="0"/>
      <w:i/>
      <w:iCs/>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styleId="FootnoteText">
    <w:name w:val="footnote text"/>
    <w:basedOn w:val="Normal"/>
    <w:link w:val="FootnoteTextChar"/>
    <w:unhideWhenUsed/>
    <w:rsid w:val="00062E48"/>
    <w:rPr>
      <w:b/>
      <w:sz w:val="20"/>
      <w:szCs w:val="20"/>
    </w:rPr>
  </w:style>
  <w:style w:type="character" w:customStyle="1" w:styleId="FootnoteTextChar">
    <w:name w:val="Footnote Text Char"/>
    <w:basedOn w:val="DefaultParagraphFont"/>
    <w:link w:val="FootnoteText"/>
    <w:rsid w:val="00062E48"/>
    <w:rPr>
      <w:rFonts w:ascii="Calibri" w:hAnsi="Calibri"/>
      <w:b/>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cs="Arial"/>
      <w:sz w:val="22"/>
      <w:szCs w:val="22"/>
    </w:rPr>
  </w:style>
  <w:style w:type="character" w:customStyle="1" w:styleId="Heading2Char">
    <w:name w:val="Heading 2 Char"/>
    <w:basedOn w:val="DefaultParagraphFont"/>
    <w:link w:val="Heading2"/>
    <w:rsid w:val="00062E48"/>
    <w:rPr>
      <w:rFonts w:asciiTheme="minorHAnsi" w:eastAsiaTheme="majorEastAsia" w:hAnsiTheme="minorHAnsi" w:cstheme="majorBidi"/>
      <w:i/>
      <w:iCs/>
      <w:color w:val="000000"/>
      <w:sz w:val="22"/>
      <w:szCs w:val="28"/>
    </w:rPr>
  </w:style>
  <w:style w:type="character" w:styleId="FootnoteReference">
    <w:name w:val="footnote reference"/>
    <w:basedOn w:val="DefaultParagraphFont"/>
    <w:unhideWhenUsed/>
    <w:rsid w:val="00062E48"/>
    <w:rPr>
      <w:rFonts w:asciiTheme="minorHAnsi" w:hAnsiTheme="minorHAnsi"/>
      <w:sz w:val="22"/>
      <w:vertAlign w:val="superscript"/>
    </w:rPr>
  </w:style>
  <w:style w:type="paragraph" w:styleId="ListParagraph">
    <w:name w:val="List Paragraph"/>
    <w:basedOn w:val="Normal"/>
    <w:uiPriority w:val="34"/>
    <w:qFormat/>
    <w:rsid w:val="001B45B1"/>
    <w:pPr>
      <w:ind w:left="720"/>
    </w:pPr>
    <w:rPr>
      <w:rFonts w:eastAsiaTheme="minorHAns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EndnoteText">
    <w:name w:val="endnote text"/>
    <w:basedOn w:val="Normal"/>
    <w:link w:val="EndnoteTextChar"/>
    <w:unhideWhenUsed/>
    <w:rsid w:val="00062E48"/>
    <w:pPr>
      <w:spacing w:before="20" w:after="20"/>
    </w:pPr>
    <w:rPr>
      <w:sz w:val="20"/>
      <w:szCs w:val="20"/>
    </w:rPr>
  </w:style>
  <w:style w:type="character" w:customStyle="1" w:styleId="EndnoteTextChar">
    <w:name w:val="Endnote Text Char"/>
    <w:basedOn w:val="DefaultParagraphFont"/>
    <w:link w:val="EndnoteText"/>
    <w:rsid w:val="00062E48"/>
    <w:rPr>
      <w:rFonts w:ascii="Calibri" w:hAnsi="Calibri"/>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Revision">
    <w:name w:val="Revision"/>
    <w:hidden/>
    <w:uiPriority w:val="99"/>
    <w:semiHidden/>
    <w:rsid w:val="00086ACE"/>
    <w:rPr>
      <w:sz w:val="24"/>
      <w:szCs w:val="24"/>
    </w:rPr>
  </w:style>
  <w:style w:type="paragraph" w:styleId="Title">
    <w:name w:val="Title"/>
    <w:next w:val="Normal"/>
    <w:link w:val="TitleChar"/>
    <w:qFormat/>
    <w:rsid w:val="00062E48"/>
    <w:pPr>
      <w:spacing w:before="120" w:after="120"/>
      <w:jc w:val="center"/>
    </w:pPr>
    <w:rPr>
      <w:rFonts w:asciiTheme="minorHAnsi" w:eastAsiaTheme="majorEastAsia" w:hAnsiTheme="minorHAnsi" w:cstheme="majorBidi"/>
      <w:b/>
      <w:spacing w:val="-10"/>
      <w:kern w:val="28"/>
      <w:sz w:val="24"/>
      <w:szCs w:val="56"/>
    </w:rPr>
  </w:style>
  <w:style w:type="character" w:customStyle="1" w:styleId="TitleChar">
    <w:name w:val="Title Char"/>
    <w:basedOn w:val="DefaultParagraphFont"/>
    <w:link w:val="Title"/>
    <w:rsid w:val="00062E48"/>
    <w:rPr>
      <w:rFonts w:asciiTheme="minorHAnsi" w:eastAsiaTheme="majorEastAsia" w:hAnsiTheme="minorHAnsi"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diseases/syphilis?utm_source=health.gov.au&amp;utm_medium=callout-auto-custom&amp;utm_campaign=digital_transformation" TargetMode="External"/><Relationship Id="rId5" Type="http://schemas.openxmlformats.org/officeDocument/2006/relationships/webSettings" Target="webSettings.xml"/><Relationship Id="rId10" Type="http://schemas.openxmlformats.org/officeDocument/2006/relationships/hyperlink" Target="https://www.health.gov.au/dont-fool-around-with-syphilis" TargetMode="External"/><Relationship Id="rId4" Type="http://schemas.openxmlformats.org/officeDocument/2006/relationships/settings" Target="settings.xml"/><Relationship Id="rId9" Type="http://schemas.openxmlformats.org/officeDocument/2006/relationships/hyperlink" Target="https://www.health.gov.au/resources/collections/national-syphilis-monitor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NNDSS Fortnightly Report to CDNA - 01 April to 14 April 2024</vt:lpstr>
    </vt:vector>
  </TitlesOfParts>
  <Company>DHA</Company>
  <LinksUpToDate>false</LinksUpToDate>
  <CharactersWithSpaces>5000</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01 April to 14 April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Australian Government Department of Health and Aged </cp:lastModifiedBy>
  <cp:revision>2</cp:revision>
  <cp:lastPrinted>2021-04-13T23:49:00Z</cp:lastPrinted>
  <dcterms:created xsi:type="dcterms:W3CDTF">2024-05-13T06:00:00Z</dcterms:created>
  <dcterms:modified xsi:type="dcterms:W3CDTF">2024-05-13T06:00:00Z</dcterms:modified>
</cp:coreProperties>
</file>