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A9B2" w14:textId="52C70832" w:rsidR="00751A23" w:rsidRDefault="003E234F" w:rsidP="00751A23">
      <w:pPr>
        <w:pStyle w:val="Title"/>
      </w:pPr>
      <w:r>
        <w:t>M</w:t>
      </w:r>
      <w:r w:rsidR="00882F97">
        <w:t>etal-backed patella</w:t>
      </w:r>
      <w:r w:rsidR="00171FFC">
        <w:t>e</w:t>
      </w:r>
    </w:p>
    <w:p w14:paraId="57B4DFA1" w14:textId="77777777" w:rsidR="00AD38CF" w:rsidRDefault="003E234F" w:rsidP="00AD38CF">
      <w:pPr>
        <w:pStyle w:val="Subtitle"/>
      </w:pPr>
      <w:r>
        <w:t>Post-listing review report</w:t>
      </w:r>
    </w:p>
    <w:p w14:paraId="6CE9FA7C" w14:textId="487C3AA1" w:rsidR="00AD38CF" w:rsidRPr="00AD38CF" w:rsidRDefault="00AD38CF" w:rsidP="00AD38CF">
      <w:pPr>
        <w:sectPr w:rsidR="00AD38CF" w:rsidRPr="00AD38CF" w:rsidSect="00106100">
          <w:headerReference w:type="first" r:id="rId11"/>
          <w:pgSz w:w="11906" w:h="16838"/>
          <w:pgMar w:top="1701" w:right="1418" w:bottom="1418" w:left="1418" w:header="851" w:footer="709" w:gutter="0"/>
          <w:cols w:space="708"/>
          <w:titlePg/>
          <w:docGrid w:linePitch="360"/>
        </w:sectPr>
      </w:pPr>
      <w:r>
        <w:t>March 2023</w:t>
      </w:r>
    </w:p>
    <w:sdt>
      <w:sdtPr>
        <w:id w:val="-1334071169"/>
        <w:docPartObj>
          <w:docPartGallery w:val="Table of Contents"/>
          <w:docPartUnique/>
        </w:docPartObj>
      </w:sdtPr>
      <w:sdtEndPr>
        <w:rPr>
          <w:rFonts w:ascii="Arial" w:eastAsia="Times New Roman" w:hAnsi="Arial" w:cs="Times New Roman"/>
          <w:color w:val="auto"/>
          <w:sz w:val="22"/>
          <w:szCs w:val="24"/>
          <w:lang w:val="en-AU"/>
        </w:rPr>
      </w:sdtEndPr>
      <w:sdtContent>
        <w:p w14:paraId="1BE5DB17" w14:textId="117BFEB3" w:rsidR="000C66AA" w:rsidRDefault="000C66AA">
          <w:pPr>
            <w:pStyle w:val="TOCHeading"/>
          </w:pPr>
          <w:r>
            <w:t>Contents</w:t>
          </w:r>
        </w:p>
        <w:p w14:paraId="2FA22478" w14:textId="18699726" w:rsidR="00502523" w:rsidRDefault="000C66AA" w:rsidP="00ED65B2">
          <w:pPr>
            <w:pStyle w:val="TOC1"/>
            <w:rPr>
              <w:rFonts w:asciiTheme="minorHAnsi" w:eastAsiaTheme="minorEastAsia" w:hAnsiTheme="minorHAnsi" w:cstheme="minorBidi"/>
              <w:noProof/>
              <w:kern w:val="2"/>
              <w:szCs w:val="22"/>
              <w:lang w:eastAsia="en-AU"/>
              <w14:ligatures w14:val="standardContextual"/>
            </w:rPr>
          </w:pPr>
          <w:r>
            <w:fldChar w:fldCharType="begin"/>
          </w:r>
          <w:r>
            <w:instrText xml:space="preserve"> TOC \o "1-3" \h \z \u </w:instrText>
          </w:r>
          <w:r>
            <w:fldChar w:fldCharType="separate"/>
          </w:r>
          <w:hyperlink w:anchor="_Toc160813111" w:history="1">
            <w:r w:rsidR="00502523" w:rsidRPr="00DA27E7">
              <w:rPr>
                <w:rStyle w:val="Hyperlink"/>
                <w:noProof/>
              </w:rPr>
              <w:t>Abbreviations</w:t>
            </w:r>
            <w:r w:rsidR="00502523">
              <w:rPr>
                <w:noProof/>
                <w:webHidden/>
              </w:rPr>
              <w:tab/>
            </w:r>
            <w:r w:rsidR="00502523">
              <w:rPr>
                <w:noProof/>
                <w:webHidden/>
              </w:rPr>
              <w:fldChar w:fldCharType="begin"/>
            </w:r>
            <w:r w:rsidR="00502523">
              <w:rPr>
                <w:noProof/>
                <w:webHidden/>
              </w:rPr>
              <w:instrText xml:space="preserve"> PAGEREF _Toc160813111 \h </w:instrText>
            </w:r>
            <w:r w:rsidR="00502523">
              <w:rPr>
                <w:noProof/>
                <w:webHidden/>
              </w:rPr>
            </w:r>
            <w:r w:rsidR="00502523">
              <w:rPr>
                <w:noProof/>
                <w:webHidden/>
              </w:rPr>
              <w:fldChar w:fldCharType="separate"/>
            </w:r>
            <w:r w:rsidR="00502523">
              <w:rPr>
                <w:noProof/>
                <w:webHidden/>
              </w:rPr>
              <w:t>2</w:t>
            </w:r>
            <w:r w:rsidR="00502523">
              <w:rPr>
                <w:noProof/>
                <w:webHidden/>
              </w:rPr>
              <w:fldChar w:fldCharType="end"/>
            </w:r>
          </w:hyperlink>
        </w:p>
        <w:p w14:paraId="7A5DDE44" w14:textId="4CCCB908"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2" w:history="1">
            <w:r w:rsidR="00502523" w:rsidRPr="00DA27E7">
              <w:rPr>
                <w:rStyle w:val="Hyperlink"/>
                <w:noProof/>
              </w:rPr>
              <w:t>Overview</w:t>
            </w:r>
            <w:r w:rsidR="00502523">
              <w:rPr>
                <w:noProof/>
                <w:webHidden/>
              </w:rPr>
              <w:tab/>
            </w:r>
            <w:r w:rsidR="00502523">
              <w:rPr>
                <w:noProof/>
                <w:webHidden/>
              </w:rPr>
              <w:fldChar w:fldCharType="begin"/>
            </w:r>
            <w:r w:rsidR="00502523">
              <w:rPr>
                <w:noProof/>
                <w:webHidden/>
              </w:rPr>
              <w:instrText xml:space="preserve"> PAGEREF _Toc160813112 \h </w:instrText>
            </w:r>
            <w:r w:rsidR="00502523">
              <w:rPr>
                <w:noProof/>
                <w:webHidden/>
              </w:rPr>
            </w:r>
            <w:r w:rsidR="00502523">
              <w:rPr>
                <w:noProof/>
                <w:webHidden/>
              </w:rPr>
              <w:fldChar w:fldCharType="separate"/>
            </w:r>
            <w:r w:rsidR="00502523">
              <w:rPr>
                <w:noProof/>
                <w:webHidden/>
              </w:rPr>
              <w:t>3</w:t>
            </w:r>
            <w:r w:rsidR="00502523">
              <w:rPr>
                <w:noProof/>
                <w:webHidden/>
              </w:rPr>
              <w:fldChar w:fldCharType="end"/>
            </w:r>
          </w:hyperlink>
        </w:p>
        <w:p w14:paraId="7E24CC43" w14:textId="6CF535CF"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3" w:history="1">
            <w:r w:rsidR="00502523" w:rsidRPr="00DA27E7">
              <w:rPr>
                <w:rStyle w:val="Hyperlink"/>
                <w:noProof/>
              </w:rPr>
              <w:t>Items in scope for this post-listing review</w:t>
            </w:r>
            <w:r w:rsidR="00502523">
              <w:rPr>
                <w:noProof/>
                <w:webHidden/>
              </w:rPr>
              <w:tab/>
            </w:r>
            <w:r w:rsidR="00502523">
              <w:rPr>
                <w:noProof/>
                <w:webHidden/>
              </w:rPr>
              <w:fldChar w:fldCharType="begin"/>
            </w:r>
            <w:r w:rsidR="00502523">
              <w:rPr>
                <w:noProof/>
                <w:webHidden/>
              </w:rPr>
              <w:instrText xml:space="preserve"> PAGEREF _Toc160813113 \h </w:instrText>
            </w:r>
            <w:r w:rsidR="00502523">
              <w:rPr>
                <w:noProof/>
                <w:webHidden/>
              </w:rPr>
            </w:r>
            <w:r w:rsidR="00502523">
              <w:rPr>
                <w:noProof/>
                <w:webHidden/>
              </w:rPr>
              <w:fldChar w:fldCharType="separate"/>
            </w:r>
            <w:r w:rsidR="00502523">
              <w:rPr>
                <w:noProof/>
                <w:webHidden/>
              </w:rPr>
              <w:t>3</w:t>
            </w:r>
            <w:r w:rsidR="00502523">
              <w:rPr>
                <w:noProof/>
                <w:webHidden/>
              </w:rPr>
              <w:fldChar w:fldCharType="end"/>
            </w:r>
          </w:hyperlink>
        </w:p>
        <w:p w14:paraId="64BD2664" w14:textId="47836649"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4" w:history="1">
            <w:r w:rsidR="00502523" w:rsidRPr="00DA27E7">
              <w:rPr>
                <w:rStyle w:val="Hyperlink"/>
                <w:noProof/>
              </w:rPr>
              <w:t>Review process</w:t>
            </w:r>
            <w:r w:rsidR="00502523">
              <w:rPr>
                <w:noProof/>
                <w:webHidden/>
              </w:rPr>
              <w:tab/>
            </w:r>
            <w:r w:rsidR="00502523">
              <w:rPr>
                <w:noProof/>
                <w:webHidden/>
              </w:rPr>
              <w:fldChar w:fldCharType="begin"/>
            </w:r>
            <w:r w:rsidR="00502523">
              <w:rPr>
                <w:noProof/>
                <w:webHidden/>
              </w:rPr>
              <w:instrText xml:space="preserve"> PAGEREF _Toc160813114 \h </w:instrText>
            </w:r>
            <w:r w:rsidR="00502523">
              <w:rPr>
                <w:noProof/>
                <w:webHidden/>
              </w:rPr>
            </w:r>
            <w:r w:rsidR="00502523">
              <w:rPr>
                <w:noProof/>
                <w:webHidden/>
              </w:rPr>
              <w:fldChar w:fldCharType="separate"/>
            </w:r>
            <w:r w:rsidR="00502523">
              <w:rPr>
                <w:noProof/>
                <w:webHidden/>
              </w:rPr>
              <w:t>3</w:t>
            </w:r>
            <w:r w:rsidR="00502523">
              <w:rPr>
                <w:noProof/>
                <w:webHidden/>
              </w:rPr>
              <w:fldChar w:fldCharType="end"/>
            </w:r>
          </w:hyperlink>
        </w:p>
        <w:p w14:paraId="4776B480" w14:textId="4C8FAA85"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5" w:history="1">
            <w:r w:rsidR="00502523" w:rsidRPr="00DA27E7">
              <w:rPr>
                <w:rStyle w:val="Hyperlink"/>
                <w:noProof/>
              </w:rPr>
              <w:t>Methodology</w:t>
            </w:r>
            <w:r w:rsidR="00502523">
              <w:rPr>
                <w:noProof/>
                <w:webHidden/>
              </w:rPr>
              <w:tab/>
            </w:r>
            <w:r w:rsidR="00502523">
              <w:rPr>
                <w:noProof/>
                <w:webHidden/>
              </w:rPr>
              <w:fldChar w:fldCharType="begin"/>
            </w:r>
            <w:r w:rsidR="00502523">
              <w:rPr>
                <w:noProof/>
                <w:webHidden/>
              </w:rPr>
              <w:instrText xml:space="preserve"> PAGEREF _Toc160813115 \h </w:instrText>
            </w:r>
            <w:r w:rsidR="00502523">
              <w:rPr>
                <w:noProof/>
                <w:webHidden/>
              </w:rPr>
            </w:r>
            <w:r w:rsidR="00502523">
              <w:rPr>
                <w:noProof/>
                <w:webHidden/>
              </w:rPr>
              <w:fldChar w:fldCharType="separate"/>
            </w:r>
            <w:r w:rsidR="00502523">
              <w:rPr>
                <w:noProof/>
                <w:webHidden/>
              </w:rPr>
              <w:t>3</w:t>
            </w:r>
            <w:r w:rsidR="00502523">
              <w:rPr>
                <w:noProof/>
                <w:webHidden/>
              </w:rPr>
              <w:fldChar w:fldCharType="end"/>
            </w:r>
          </w:hyperlink>
        </w:p>
        <w:p w14:paraId="2FF77B1A" w14:textId="22234046"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6" w:history="1">
            <w:r w:rsidR="00502523" w:rsidRPr="00DA27E7">
              <w:rPr>
                <w:rStyle w:val="Hyperlink"/>
                <w:noProof/>
              </w:rPr>
              <w:t>Key findings of the review</w:t>
            </w:r>
            <w:r w:rsidR="00502523">
              <w:rPr>
                <w:noProof/>
                <w:webHidden/>
              </w:rPr>
              <w:tab/>
            </w:r>
            <w:r w:rsidR="00502523">
              <w:rPr>
                <w:noProof/>
                <w:webHidden/>
              </w:rPr>
              <w:fldChar w:fldCharType="begin"/>
            </w:r>
            <w:r w:rsidR="00502523">
              <w:rPr>
                <w:noProof/>
                <w:webHidden/>
              </w:rPr>
              <w:instrText xml:space="preserve"> PAGEREF _Toc160813116 \h </w:instrText>
            </w:r>
            <w:r w:rsidR="00502523">
              <w:rPr>
                <w:noProof/>
                <w:webHidden/>
              </w:rPr>
            </w:r>
            <w:r w:rsidR="00502523">
              <w:rPr>
                <w:noProof/>
                <w:webHidden/>
              </w:rPr>
              <w:fldChar w:fldCharType="separate"/>
            </w:r>
            <w:r w:rsidR="00502523">
              <w:rPr>
                <w:noProof/>
                <w:webHidden/>
              </w:rPr>
              <w:t>4</w:t>
            </w:r>
            <w:r w:rsidR="00502523">
              <w:rPr>
                <w:noProof/>
                <w:webHidden/>
              </w:rPr>
              <w:fldChar w:fldCharType="end"/>
            </w:r>
          </w:hyperlink>
        </w:p>
        <w:p w14:paraId="443A5DCD" w14:textId="08240FEB"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7" w:history="1">
            <w:r w:rsidR="00502523" w:rsidRPr="00DA27E7">
              <w:rPr>
                <w:rStyle w:val="Hyperlink"/>
                <w:noProof/>
              </w:rPr>
              <w:t>Recommendations</w:t>
            </w:r>
            <w:r w:rsidR="00502523">
              <w:rPr>
                <w:noProof/>
                <w:webHidden/>
              </w:rPr>
              <w:tab/>
            </w:r>
            <w:r w:rsidR="00502523">
              <w:rPr>
                <w:noProof/>
                <w:webHidden/>
              </w:rPr>
              <w:fldChar w:fldCharType="begin"/>
            </w:r>
            <w:r w:rsidR="00502523">
              <w:rPr>
                <w:noProof/>
                <w:webHidden/>
              </w:rPr>
              <w:instrText xml:space="preserve"> PAGEREF _Toc160813117 \h </w:instrText>
            </w:r>
            <w:r w:rsidR="00502523">
              <w:rPr>
                <w:noProof/>
                <w:webHidden/>
              </w:rPr>
            </w:r>
            <w:r w:rsidR="00502523">
              <w:rPr>
                <w:noProof/>
                <w:webHidden/>
              </w:rPr>
              <w:fldChar w:fldCharType="separate"/>
            </w:r>
            <w:r w:rsidR="00502523">
              <w:rPr>
                <w:noProof/>
                <w:webHidden/>
              </w:rPr>
              <w:t>4</w:t>
            </w:r>
            <w:r w:rsidR="00502523">
              <w:rPr>
                <w:noProof/>
                <w:webHidden/>
              </w:rPr>
              <w:fldChar w:fldCharType="end"/>
            </w:r>
          </w:hyperlink>
        </w:p>
        <w:p w14:paraId="0E2D54A5" w14:textId="6A371679" w:rsidR="00502523" w:rsidRDefault="00000000" w:rsidP="00ED65B2">
          <w:pPr>
            <w:pStyle w:val="TOC1"/>
            <w:rPr>
              <w:rFonts w:asciiTheme="minorHAnsi" w:eastAsiaTheme="minorEastAsia" w:hAnsiTheme="minorHAnsi" w:cstheme="minorBidi"/>
              <w:noProof/>
              <w:kern w:val="2"/>
              <w:szCs w:val="22"/>
              <w:lang w:eastAsia="en-AU"/>
              <w14:ligatures w14:val="standardContextual"/>
            </w:rPr>
          </w:pPr>
          <w:hyperlink w:anchor="_Toc160813118" w:history="1">
            <w:r w:rsidR="00502523" w:rsidRPr="00DA27E7">
              <w:rPr>
                <w:rStyle w:val="Hyperlink"/>
                <w:noProof/>
              </w:rPr>
              <w:t>Conclusion and outcome of the review</w:t>
            </w:r>
            <w:r w:rsidR="00502523">
              <w:rPr>
                <w:noProof/>
                <w:webHidden/>
              </w:rPr>
              <w:tab/>
            </w:r>
            <w:r w:rsidR="00502523">
              <w:rPr>
                <w:noProof/>
                <w:webHidden/>
              </w:rPr>
              <w:fldChar w:fldCharType="begin"/>
            </w:r>
            <w:r w:rsidR="00502523">
              <w:rPr>
                <w:noProof/>
                <w:webHidden/>
              </w:rPr>
              <w:instrText xml:space="preserve"> PAGEREF _Toc160813118 \h </w:instrText>
            </w:r>
            <w:r w:rsidR="00502523">
              <w:rPr>
                <w:noProof/>
                <w:webHidden/>
              </w:rPr>
            </w:r>
            <w:r w:rsidR="00502523">
              <w:rPr>
                <w:noProof/>
                <w:webHidden/>
              </w:rPr>
              <w:fldChar w:fldCharType="separate"/>
            </w:r>
            <w:r w:rsidR="00502523">
              <w:rPr>
                <w:noProof/>
                <w:webHidden/>
              </w:rPr>
              <w:t>5</w:t>
            </w:r>
            <w:r w:rsidR="00502523">
              <w:rPr>
                <w:noProof/>
                <w:webHidden/>
              </w:rPr>
              <w:fldChar w:fldCharType="end"/>
            </w:r>
          </w:hyperlink>
        </w:p>
        <w:p w14:paraId="5C12C8D6" w14:textId="59534AC7" w:rsidR="000C66AA" w:rsidRPr="00D5487F" w:rsidRDefault="000C66AA" w:rsidP="00D5487F">
          <w:r>
            <w:rPr>
              <w:b/>
              <w:bCs/>
              <w:noProof/>
            </w:rPr>
            <w:fldChar w:fldCharType="end"/>
          </w:r>
        </w:p>
      </w:sdtContent>
    </w:sdt>
    <w:p w14:paraId="3484C5E7" w14:textId="77777777" w:rsidR="00136010" w:rsidRDefault="00136010" w:rsidP="00136010">
      <w:pPr>
        <w:pStyle w:val="Heading1"/>
        <w:rPr>
          <w:noProof/>
        </w:rPr>
      </w:pPr>
      <w:bookmarkStart w:id="0" w:name="_Toc160813111"/>
      <w:r>
        <w:rPr>
          <w:noProof/>
        </w:rPr>
        <w:t>Abbreviations</w:t>
      </w:r>
      <w:bookmarkEnd w:id="0"/>
    </w:p>
    <w:p w14:paraId="589259B6" w14:textId="2D6C67A2" w:rsidR="00F438E8" w:rsidRPr="00D5487F" w:rsidRDefault="00F438E8" w:rsidP="00D5487F">
      <w:r w:rsidRPr="00D5487F">
        <w:t>AOANJRR</w:t>
      </w:r>
      <w:r w:rsidRPr="00D5487F">
        <w:tab/>
        <w:t>Australian Orthopaedic Association National Joint Replacement Registry</w:t>
      </w:r>
    </w:p>
    <w:p w14:paraId="754AFF90" w14:textId="6FB9996A" w:rsidR="00F438E8" w:rsidRPr="00D5487F" w:rsidRDefault="00F438E8" w:rsidP="00D5487F">
      <w:r w:rsidRPr="00D5487F">
        <w:t>APP</w:t>
      </w:r>
      <w:r w:rsidRPr="00D5487F">
        <w:tab/>
      </w:r>
      <w:r w:rsidR="00ED65B2" w:rsidRPr="00D5487F">
        <w:tab/>
        <w:t>A</w:t>
      </w:r>
      <w:r w:rsidRPr="00D5487F">
        <w:t>ll-polyethylene patellae</w:t>
      </w:r>
    </w:p>
    <w:p w14:paraId="3FB0D609" w14:textId="3E3F6A26" w:rsidR="00070189" w:rsidRPr="00D5487F" w:rsidRDefault="00070189" w:rsidP="00D5487F">
      <w:r w:rsidRPr="00D5487F">
        <w:t>KPCAG</w:t>
      </w:r>
      <w:r w:rsidRPr="00D5487F">
        <w:tab/>
        <w:t>Knee Prostheses Clinical Advisory Group</w:t>
      </w:r>
    </w:p>
    <w:p w14:paraId="0505A375" w14:textId="21D80A59" w:rsidR="00136010" w:rsidRPr="00D5487F" w:rsidRDefault="00136010" w:rsidP="00D5487F">
      <w:r w:rsidRPr="00D5487F">
        <w:t>MBP</w:t>
      </w:r>
      <w:r w:rsidRPr="00D5487F">
        <w:tab/>
      </w:r>
      <w:r w:rsidR="00ED65B2" w:rsidRPr="00D5487F">
        <w:tab/>
        <w:t>M</w:t>
      </w:r>
      <w:r w:rsidRPr="00D5487F">
        <w:t>etal-backed patellae</w:t>
      </w:r>
    </w:p>
    <w:p w14:paraId="0601B1AD" w14:textId="758CC17C" w:rsidR="00F438E8" w:rsidRPr="00D5487F" w:rsidRDefault="00F438E8" w:rsidP="00D5487F">
      <w:r w:rsidRPr="00D5487F">
        <w:t>PLAC</w:t>
      </w:r>
      <w:r w:rsidRPr="00D5487F">
        <w:tab/>
      </w:r>
      <w:r w:rsidR="00ED65B2" w:rsidRPr="00D5487F">
        <w:tab/>
      </w:r>
      <w:r w:rsidRPr="00D5487F">
        <w:t>Prostheses List Advisory Committee</w:t>
      </w:r>
    </w:p>
    <w:p w14:paraId="5909A606" w14:textId="26261925" w:rsidR="00136010" w:rsidRPr="00D5487F" w:rsidRDefault="00136010" w:rsidP="00D5487F">
      <w:r w:rsidRPr="00D5487F">
        <w:t>TGA</w:t>
      </w:r>
      <w:r w:rsidRPr="00D5487F">
        <w:tab/>
      </w:r>
      <w:r w:rsidR="00ED65B2" w:rsidRPr="00D5487F">
        <w:tab/>
      </w:r>
      <w:r w:rsidRPr="00D5487F">
        <w:t>Therapeutic Goods Administration</w:t>
      </w:r>
    </w:p>
    <w:p w14:paraId="0CD165E4" w14:textId="28AA9E39" w:rsidR="000C66AA" w:rsidRPr="00D5487F" w:rsidRDefault="000C66AA" w:rsidP="00D5487F">
      <w:r w:rsidRPr="00D5487F">
        <w:br w:type="page"/>
      </w:r>
    </w:p>
    <w:p w14:paraId="30CD1B48" w14:textId="14D5C458" w:rsidR="00882F97" w:rsidRDefault="003E234F" w:rsidP="00882F97">
      <w:pPr>
        <w:pStyle w:val="Heading1"/>
      </w:pPr>
      <w:bookmarkStart w:id="1" w:name="_Toc160813112"/>
      <w:r>
        <w:lastRenderedPageBreak/>
        <w:t>Overview</w:t>
      </w:r>
      <w:bookmarkEnd w:id="1"/>
    </w:p>
    <w:p w14:paraId="0B0AB26F" w14:textId="0AB2B10B" w:rsidR="00460409" w:rsidRPr="00685886" w:rsidRDefault="00B34990" w:rsidP="00685886">
      <w:pPr>
        <w:pStyle w:val="Paragraphtext"/>
      </w:pPr>
      <w:r w:rsidRPr="00685886">
        <w:t>Metal</w:t>
      </w:r>
      <w:r w:rsidR="00882F97" w:rsidRPr="00685886">
        <w:t>-backed patella</w:t>
      </w:r>
      <w:r w:rsidR="008A16E1" w:rsidRPr="00685886">
        <w:t>e</w:t>
      </w:r>
      <w:r w:rsidR="00882F97" w:rsidRPr="00685886">
        <w:t xml:space="preserve"> (MBP) </w:t>
      </w:r>
      <w:r w:rsidR="0073506B" w:rsidRPr="00685886">
        <w:t xml:space="preserve">have been subject to </w:t>
      </w:r>
      <w:r w:rsidR="00882F97" w:rsidRPr="00685886">
        <w:t xml:space="preserve">longstanding concerns </w:t>
      </w:r>
      <w:r w:rsidR="002563FF" w:rsidRPr="00685886">
        <w:t xml:space="preserve">about </w:t>
      </w:r>
      <w:r w:rsidR="00882F97" w:rsidRPr="00685886">
        <w:t>the</w:t>
      </w:r>
      <w:r w:rsidRPr="00685886">
        <w:t>ir</w:t>
      </w:r>
      <w:r w:rsidR="00882F97" w:rsidRPr="00685886">
        <w:t xml:space="preserve"> high revision rates in comparison to all-polyethylene patella</w:t>
      </w:r>
      <w:r w:rsidR="008A16E1" w:rsidRPr="00685886">
        <w:t>e</w:t>
      </w:r>
      <w:r w:rsidR="00882F97" w:rsidRPr="00685886">
        <w:t xml:space="preserve"> (APP). </w:t>
      </w:r>
      <w:r w:rsidR="00D76F98" w:rsidRPr="00685886">
        <w:t>C</w:t>
      </w:r>
      <w:r w:rsidR="00882F97" w:rsidRPr="00685886">
        <w:t>omparative data from the Australian Orthopaedic Association National Joint Replacement Registry (AOANJRR)</w:t>
      </w:r>
      <w:r w:rsidR="00D76F98" w:rsidRPr="00685886">
        <w:t xml:space="preserve"> </w:t>
      </w:r>
      <w:r w:rsidR="006D594A" w:rsidRPr="00685886">
        <w:t>confirm</w:t>
      </w:r>
      <w:r w:rsidR="00ED65B2" w:rsidRPr="00685886">
        <w:t>ed</w:t>
      </w:r>
      <w:r w:rsidR="006D594A" w:rsidRPr="00685886">
        <w:t xml:space="preserve"> these concerns in the Australian context</w:t>
      </w:r>
      <w:r w:rsidR="00D76F98" w:rsidRPr="00685886">
        <w:t>.</w:t>
      </w:r>
      <w:r w:rsidR="00356A80" w:rsidRPr="00685886">
        <w:t xml:space="preserve"> Revision rates are </w:t>
      </w:r>
      <w:r w:rsidR="00F91639" w:rsidRPr="00685886">
        <w:t>a</w:t>
      </w:r>
      <w:r w:rsidR="00356A80" w:rsidRPr="00685886">
        <w:t xml:space="preserve"> reliable marker of both safety and performance for many orthopaedic implants, including patellae.</w:t>
      </w:r>
    </w:p>
    <w:p w14:paraId="6B55EE15" w14:textId="76A9BA5B" w:rsidR="003B05DE" w:rsidRPr="00685886" w:rsidRDefault="00884989" w:rsidP="00685886">
      <w:pPr>
        <w:pStyle w:val="Paragraphtext"/>
      </w:pPr>
      <w:r w:rsidRPr="00685886">
        <w:t>For this reason, t</w:t>
      </w:r>
      <w:r w:rsidR="003B05DE" w:rsidRPr="00685886">
        <w:t xml:space="preserve">he </w:t>
      </w:r>
      <w:r w:rsidRPr="00685886">
        <w:t xml:space="preserve">former </w:t>
      </w:r>
      <w:r w:rsidR="003B05DE" w:rsidRPr="00685886">
        <w:t>P</w:t>
      </w:r>
      <w:r w:rsidRPr="00685886">
        <w:t xml:space="preserve">rostheses </w:t>
      </w:r>
      <w:r w:rsidR="003B05DE" w:rsidRPr="00685886">
        <w:t>L</w:t>
      </w:r>
      <w:r w:rsidRPr="00685886">
        <w:t xml:space="preserve">ist </w:t>
      </w:r>
      <w:r w:rsidR="003B05DE" w:rsidRPr="00685886">
        <w:t>A</w:t>
      </w:r>
      <w:r w:rsidRPr="00685886">
        <w:t xml:space="preserve">dvisory </w:t>
      </w:r>
      <w:r w:rsidR="003B05DE" w:rsidRPr="00685886">
        <w:t>C</w:t>
      </w:r>
      <w:r w:rsidRPr="00685886">
        <w:t>ommittee</w:t>
      </w:r>
      <w:r w:rsidR="003B05DE" w:rsidRPr="00685886">
        <w:t xml:space="preserve"> </w:t>
      </w:r>
      <w:r w:rsidR="00F03EDB" w:rsidRPr="00685886">
        <w:t xml:space="preserve">(PLAC) </w:t>
      </w:r>
      <w:r w:rsidR="003B05DE" w:rsidRPr="00685886">
        <w:t xml:space="preserve">recommended a post-listing review of </w:t>
      </w:r>
      <w:r w:rsidR="00800B6C" w:rsidRPr="00685886">
        <w:t>MBP</w:t>
      </w:r>
      <w:r w:rsidR="003B05DE" w:rsidRPr="00685886">
        <w:t xml:space="preserve"> at its meeting on 12 May 2022.</w:t>
      </w:r>
    </w:p>
    <w:p w14:paraId="0219CA7E" w14:textId="0CEBBF13" w:rsidR="00B961DA" w:rsidRPr="00685886" w:rsidRDefault="003B05DE" w:rsidP="00685886">
      <w:pPr>
        <w:pStyle w:val="Paragraphtext"/>
      </w:pPr>
      <w:r w:rsidRPr="00685886">
        <w:t xml:space="preserve">The purpose of the review was to assess the comparative clinical effectiveness and cost-effectiveness of </w:t>
      </w:r>
      <w:r w:rsidR="00D429B1" w:rsidRPr="00685886">
        <w:t>MBP compared to APP</w:t>
      </w:r>
      <w:r w:rsidRPr="00685886">
        <w:t xml:space="preserve">, and to inform decisions </w:t>
      </w:r>
      <w:r w:rsidR="002563FF" w:rsidRPr="00685886">
        <w:t>about the PL benefits for</w:t>
      </w:r>
      <w:r w:rsidRPr="00685886">
        <w:t xml:space="preserve"> </w:t>
      </w:r>
      <w:r w:rsidR="001D61C6" w:rsidRPr="00685886">
        <w:t>MBP</w:t>
      </w:r>
      <w:r w:rsidRPr="00685886">
        <w:t xml:space="preserve"> on the P</w:t>
      </w:r>
      <w:r w:rsidR="00AD38CF" w:rsidRPr="00685886">
        <w:t xml:space="preserve">rostheses </w:t>
      </w:r>
      <w:r w:rsidRPr="00685886">
        <w:t>L</w:t>
      </w:r>
      <w:r w:rsidR="00AD38CF" w:rsidRPr="00685886">
        <w:t>ist (PL)</w:t>
      </w:r>
      <w:r w:rsidRPr="00685886">
        <w:t>.</w:t>
      </w:r>
      <w:r w:rsidR="00356A80" w:rsidRPr="00685886">
        <w:t xml:space="preserve"> MBP were noted to attract higher benefit amounts than APP, despite their apparently inferior safety and performance profile.</w:t>
      </w:r>
    </w:p>
    <w:p w14:paraId="5A9B81AE" w14:textId="1F8EEC4F" w:rsidR="003B05DE" w:rsidRPr="00685886" w:rsidRDefault="00856179" w:rsidP="00685886">
      <w:pPr>
        <w:pStyle w:val="Paragraphtext"/>
      </w:pPr>
      <w:r w:rsidRPr="00685886">
        <w:t>The Therapeutic Goods Administration (TGA) is conducting a parallel post</w:t>
      </w:r>
      <w:r w:rsidR="00DE6FA7" w:rsidRPr="00685886">
        <w:t>-</w:t>
      </w:r>
      <w:r w:rsidRPr="00685886">
        <w:t>market-review of MBP</w:t>
      </w:r>
      <w:r w:rsidR="00DE6FA7" w:rsidRPr="00685886">
        <w:t xml:space="preserve">, </w:t>
      </w:r>
      <w:r w:rsidRPr="00685886">
        <w:t>focus</w:t>
      </w:r>
      <w:r w:rsidR="00DE6FA7" w:rsidRPr="00685886">
        <w:t>ing</w:t>
      </w:r>
      <w:r w:rsidRPr="00685886">
        <w:t xml:space="preserve"> on safety and performance. Any regulatory actions </w:t>
      </w:r>
      <w:r w:rsidR="002563FF" w:rsidRPr="00685886">
        <w:t xml:space="preserve">flowing </w:t>
      </w:r>
      <w:r w:rsidRPr="00685886">
        <w:t>from the TGA’s post</w:t>
      </w:r>
      <w:r w:rsidR="00DE6FA7" w:rsidRPr="00685886">
        <w:t>-</w:t>
      </w:r>
      <w:r w:rsidRPr="00685886">
        <w:t xml:space="preserve">market review will be considered </w:t>
      </w:r>
      <w:r w:rsidR="002563FF" w:rsidRPr="00685886">
        <w:t xml:space="preserve">for the implications for the PL settings </w:t>
      </w:r>
      <w:r w:rsidRPr="00685886">
        <w:t>by the department</w:t>
      </w:r>
      <w:r w:rsidR="00B961DA" w:rsidRPr="00685886">
        <w:t xml:space="preserve"> separately to this </w:t>
      </w:r>
      <w:r w:rsidR="002563FF" w:rsidRPr="00685886">
        <w:t xml:space="preserve">post-listing </w:t>
      </w:r>
      <w:r w:rsidR="00B961DA" w:rsidRPr="00685886">
        <w:t>review.</w:t>
      </w:r>
    </w:p>
    <w:p w14:paraId="051CF570" w14:textId="043EACC5" w:rsidR="003E234F" w:rsidRPr="00685886" w:rsidRDefault="003B05DE" w:rsidP="00685886">
      <w:pPr>
        <w:pStyle w:val="Paragraphtext"/>
      </w:pPr>
      <w:r w:rsidRPr="00685886">
        <w:t xml:space="preserve">The department published information about the PL Post-Listing Review Framework and the </w:t>
      </w:r>
      <w:r w:rsidR="00ED65B2" w:rsidRPr="00685886">
        <w:t xml:space="preserve">4 </w:t>
      </w:r>
      <w:r w:rsidRPr="00685886">
        <w:t xml:space="preserve">initial review topics PLAC agreed to, including </w:t>
      </w:r>
      <w:r w:rsidR="000145C4" w:rsidRPr="00685886">
        <w:t>MBP</w:t>
      </w:r>
      <w:r w:rsidRPr="00685886">
        <w:t xml:space="preserve"> devices, on the PL Reforms website in July</w:t>
      </w:r>
      <w:r w:rsidR="002563FF" w:rsidRPr="00685886">
        <w:t> </w:t>
      </w:r>
      <w:r w:rsidRPr="00685886">
        <w:t>2022.</w:t>
      </w:r>
    </w:p>
    <w:p w14:paraId="0FB4E595" w14:textId="1C94CB08" w:rsidR="00905441" w:rsidRDefault="00905441" w:rsidP="00905441">
      <w:pPr>
        <w:pStyle w:val="Heading1"/>
      </w:pPr>
      <w:bookmarkStart w:id="2" w:name="_Toc160813113"/>
      <w:r>
        <w:t>Items in scope for th</w:t>
      </w:r>
      <w:r w:rsidR="002563FF">
        <w:t xml:space="preserve">is </w:t>
      </w:r>
      <w:r>
        <w:t>review</w:t>
      </w:r>
      <w:bookmarkEnd w:id="2"/>
    </w:p>
    <w:p w14:paraId="646B2E7F" w14:textId="239FDE14" w:rsidR="009E31BF" w:rsidRPr="00685886" w:rsidRDefault="009E31BF" w:rsidP="00685886">
      <w:pPr>
        <w:pStyle w:val="Paragraphtext"/>
      </w:pPr>
      <w:r w:rsidRPr="00685886">
        <w:t xml:space="preserve">This following </w:t>
      </w:r>
      <w:r w:rsidR="001D4EED" w:rsidRPr="00685886">
        <w:t xml:space="preserve">MBP </w:t>
      </w:r>
      <w:r w:rsidRPr="00685886">
        <w:t xml:space="preserve">devices </w:t>
      </w:r>
      <w:r w:rsidR="002563FF" w:rsidRPr="00685886">
        <w:t>listed i</w:t>
      </w:r>
      <w:r w:rsidR="001D4EED" w:rsidRPr="00685886">
        <w:t>n groups 12.08.02</w:t>
      </w:r>
      <w:r w:rsidR="002563FF" w:rsidRPr="00685886">
        <w:t xml:space="preserve"> – Cemented, Polyethylene, Metal Backed</w:t>
      </w:r>
      <w:r w:rsidR="001D4EED" w:rsidRPr="00685886">
        <w:t xml:space="preserve"> and 12.08.03 </w:t>
      </w:r>
      <w:r w:rsidR="002563FF" w:rsidRPr="00685886">
        <w:t xml:space="preserve">– Uncemented, Polyethylene, Metal Backed </w:t>
      </w:r>
      <w:r w:rsidR="001D4EED" w:rsidRPr="00685886">
        <w:t>o</w:t>
      </w:r>
      <w:r w:rsidR="002563FF" w:rsidRPr="00685886">
        <w:t>n</w:t>
      </w:r>
      <w:r w:rsidR="001D4EED" w:rsidRPr="00685886">
        <w:t xml:space="preserve"> the PL as </w:t>
      </w:r>
      <w:proofErr w:type="gramStart"/>
      <w:r w:rsidR="001D4EED" w:rsidRPr="00685886">
        <w:t>at</w:t>
      </w:r>
      <w:proofErr w:type="gramEnd"/>
      <w:r w:rsidR="001D4EED" w:rsidRPr="00685886">
        <w:t xml:space="preserve"> July 2022 were in scope for this review:</w:t>
      </w:r>
    </w:p>
    <w:p w14:paraId="7EE3AF80" w14:textId="7035F49C" w:rsidR="009E31BF" w:rsidRDefault="009E31BF" w:rsidP="001D4EED">
      <w:pPr>
        <w:pStyle w:val="ListBullet"/>
      </w:pPr>
      <w:r>
        <w:t>LCS Complete Knee System patella component (Cemented)</w:t>
      </w:r>
    </w:p>
    <w:p w14:paraId="7FD0BAE1" w14:textId="60F5EF5E" w:rsidR="009E31BF" w:rsidRDefault="009E31BF" w:rsidP="001D4EED">
      <w:pPr>
        <w:pStyle w:val="ListBullet"/>
      </w:pPr>
      <w:r>
        <w:t>ACS Knee System – Cemented mobile bearing patella (Cemented)</w:t>
      </w:r>
    </w:p>
    <w:p w14:paraId="059E53D6" w14:textId="55ECDC2A" w:rsidR="009E31BF" w:rsidRDefault="009E31BF" w:rsidP="001D4EED">
      <w:pPr>
        <w:pStyle w:val="ListBullet"/>
      </w:pPr>
      <w:r>
        <w:t>RBK Total Knee System Patella component (Uncemented)</w:t>
      </w:r>
    </w:p>
    <w:p w14:paraId="2602E33A" w14:textId="7AC70A20" w:rsidR="009E31BF" w:rsidRDefault="009E31BF" w:rsidP="001D4EED">
      <w:pPr>
        <w:pStyle w:val="ListBullet"/>
      </w:pPr>
      <w:r>
        <w:t>LCS Complete Knee System patella component (Uncemented)</w:t>
      </w:r>
    </w:p>
    <w:p w14:paraId="57D40189" w14:textId="40DC69C8" w:rsidR="009E31BF" w:rsidRDefault="009E31BF" w:rsidP="001D4EED">
      <w:pPr>
        <w:pStyle w:val="ListBullet"/>
      </w:pPr>
      <w:r>
        <w:t>ACS Knee System - Cementless mobile bearing patella (Uncemented)</w:t>
      </w:r>
    </w:p>
    <w:p w14:paraId="7B4BB9F6" w14:textId="62D2F6BF" w:rsidR="009E31BF" w:rsidRDefault="009E31BF" w:rsidP="001D4EED">
      <w:pPr>
        <w:pStyle w:val="ListBullet"/>
      </w:pPr>
      <w:r>
        <w:t>TC (Tri Compartment) PLUS Knee System and VKS Patella Component (Uncemented)</w:t>
      </w:r>
    </w:p>
    <w:p w14:paraId="232A005D" w14:textId="5250D61A" w:rsidR="009E31BF" w:rsidRDefault="009E31BF" w:rsidP="001D4EED">
      <w:pPr>
        <w:pStyle w:val="ListBullet"/>
      </w:pPr>
      <w:r>
        <w:t>Scorpio Knee System Patella Component (Uncemented)</w:t>
      </w:r>
    </w:p>
    <w:p w14:paraId="1D5CBC24" w14:textId="6659270D" w:rsidR="009E31BF" w:rsidRDefault="009E31BF" w:rsidP="001D4EED">
      <w:pPr>
        <w:pStyle w:val="ListBullet"/>
      </w:pPr>
      <w:r>
        <w:t>NexGen Patella Component (Uncemented)</w:t>
      </w:r>
    </w:p>
    <w:p w14:paraId="12621183" w14:textId="053C0CB3" w:rsidR="00905441" w:rsidRPr="00905441" w:rsidRDefault="009E31BF" w:rsidP="001D4EED">
      <w:pPr>
        <w:pStyle w:val="ListBullet"/>
      </w:pPr>
      <w:r>
        <w:t>NexGen Trabecular Metal Augmented Patella (Uncemented)</w:t>
      </w:r>
    </w:p>
    <w:p w14:paraId="54AE18FE" w14:textId="4C7C8EAF" w:rsidR="00171FFC" w:rsidRDefault="003E234F" w:rsidP="003E234F">
      <w:pPr>
        <w:pStyle w:val="Heading1"/>
      </w:pPr>
      <w:bookmarkStart w:id="3" w:name="_Toc160813114"/>
      <w:r>
        <w:t>Review process</w:t>
      </w:r>
      <w:bookmarkEnd w:id="3"/>
    </w:p>
    <w:p w14:paraId="5B437936" w14:textId="49CAB9DF" w:rsidR="003E234F" w:rsidRPr="00685886" w:rsidRDefault="003E234F" w:rsidP="00685886">
      <w:pPr>
        <w:pStyle w:val="Paragraphtext"/>
      </w:pPr>
      <w:r w:rsidRPr="00685886">
        <w:t>The department conducted this review as an internal review, focusing on the comparative clinical effectiveness and cost effectiveness of MBP</w:t>
      </w:r>
      <w:r w:rsidR="00356A80" w:rsidRPr="00685886">
        <w:t xml:space="preserve"> (noting TGA to be the lead agency regarding safety and performance)</w:t>
      </w:r>
      <w:r w:rsidRPr="00685886">
        <w:t>.</w:t>
      </w:r>
    </w:p>
    <w:p w14:paraId="3F1084B6" w14:textId="543A5512" w:rsidR="004D22B0" w:rsidRPr="00685886" w:rsidRDefault="00DB3750" w:rsidP="00685886">
      <w:pPr>
        <w:pStyle w:val="Paragraphtext"/>
      </w:pPr>
      <w:r w:rsidRPr="00685886">
        <w:t>T</w:t>
      </w:r>
      <w:r w:rsidR="00882F97" w:rsidRPr="00685886">
        <w:t xml:space="preserve">he </w:t>
      </w:r>
      <w:r w:rsidR="00C746AF" w:rsidRPr="00685886">
        <w:t>d</w:t>
      </w:r>
      <w:r w:rsidR="00882F97" w:rsidRPr="00685886">
        <w:t xml:space="preserve">epartment invited </w:t>
      </w:r>
      <w:r w:rsidR="008A16E1" w:rsidRPr="00685886">
        <w:t xml:space="preserve">MBP </w:t>
      </w:r>
      <w:r w:rsidR="00882F97" w:rsidRPr="00685886">
        <w:t xml:space="preserve">sponsors to provide </w:t>
      </w:r>
      <w:r w:rsidR="000C0CDC" w:rsidRPr="00685886">
        <w:t>an explanation</w:t>
      </w:r>
      <w:r w:rsidR="00ED65B2" w:rsidRPr="00685886">
        <w:t xml:space="preserve"> to </w:t>
      </w:r>
      <w:r w:rsidR="001A6A12" w:rsidRPr="00685886">
        <w:t xml:space="preserve">support </w:t>
      </w:r>
      <w:r w:rsidR="008A16E1" w:rsidRPr="00685886">
        <w:t>higher benefits for MBP compared to APP</w:t>
      </w:r>
      <w:r w:rsidR="00882F97" w:rsidRPr="00685886">
        <w:t xml:space="preserve">, and to submit evidence that might </w:t>
      </w:r>
      <w:r w:rsidR="00157DF0" w:rsidRPr="00685886">
        <w:t xml:space="preserve">suggest different conclusions around the comparative clinical performance of MBP than </w:t>
      </w:r>
      <w:r w:rsidR="00882F97" w:rsidRPr="00685886">
        <w:t>the AOANJRR data.</w:t>
      </w:r>
    </w:p>
    <w:p w14:paraId="5F7AAC74" w14:textId="5CAF4D0E" w:rsidR="00E44C0A" w:rsidRPr="00685886" w:rsidRDefault="004D22B0" w:rsidP="00685886">
      <w:pPr>
        <w:pStyle w:val="Paragraphtext"/>
      </w:pPr>
      <w:r w:rsidRPr="00685886">
        <w:t xml:space="preserve">The department presented </w:t>
      </w:r>
      <w:r w:rsidR="00E44C0A" w:rsidRPr="00685886">
        <w:t xml:space="preserve">AOANJRR </w:t>
      </w:r>
      <w:r w:rsidR="002477A0" w:rsidRPr="00685886">
        <w:t xml:space="preserve">comparative </w:t>
      </w:r>
      <w:r w:rsidR="00E44C0A" w:rsidRPr="00685886">
        <w:t>data, sponsor</w:t>
      </w:r>
      <w:r w:rsidR="00157DF0" w:rsidRPr="00685886">
        <w:t xml:space="preserve"> submissions</w:t>
      </w:r>
      <w:r w:rsidR="001D7B8C" w:rsidRPr="00685886">
        <w:t>,</w:t>
      </w:r>
      <w:r w:rsidR="00E44C0A" w:rsidRPr="00685886">
        <w:t xml:space="preserve"> and </w:t>
      </w:r>
      <w:r w:rsidR="00157DF0" w:rsidRPr="00685886">
        <w:t xml:space="preserve">an outline of the department’s </w:t>
      </w:r>
      <w:r w:rsidR="00E44C0A" w:rsidRPr="00685886">
        <w:t>policy position</w:t>
      </w:r>
      <w:r w:rsidRPr="00685886">
        <w:t xml:space="preserve"> </w:t>
      </w:r>
      <w:r w:rsidR="00E44C0A" w:rsidRPr="00685886">
        <w:t xml:space="preserve">to the </w:t>
      </w:r>
      <w:r w:rsidR="00070189" w:rsidRPr="00685886">
        <w:t xml:space="preserve">former </w:t>
      </w:r>
      <w:r w:rsidR="00E44C0A" w:rsidRPr="00685886">
        <w:t xml:space="preserve">Knee Prostheses Clinical Advisory Group (KP-CAG) for </w:t>
      </w:r>
      <w:r w:rsidR="00F46B65" w:rsidRPr="00685886">
        <w:t>advice</w:t>
      </w:r>
      <w:r w:rsidR="00E44C0A" w:rsidRPr="00685886">
        <w:t>.</w:t>
      </w:r>
      <w:r w:rsidR="00F46B65" w:rsidRPr="00685886">
        <w:t xml:space="preserve"> KP-CAG advice was considered by the PLAC</w:t>
      </w:r>
      <w:r w:rsidR="001D7B8C" w:rsidRPr="00685886">
        <w:t>.</w:t>
      </w:r>
    </w:p>
    <w:p w14:paraId="7A66E52A" w14:textId="503D3BE1" w:rsidR="00171FFC" w:rsidRDefault="003E234F" w:rsidP="003E234F">
      <w:pPr>
        <w:pStyle w:val="Heading1"/>
      </w:pPr>
      <w:bookmarkStart w:id="4" w:name="_Toc160813115"/>
      <w:r>
        <w:lastRenderedPageBreak/>
        <w:t>Methodology</w:t>
      </w:r>
      <w:bookmarkEnd w:id="4"/>
    </w:p>
    <w:p w14:paraId="35BE1261" w14:textId="3856863C" w:rsidR="00914F0F" w:rsidRPr="00685886" w:rsidRDefault="00914F0F" w:rsidP="00685886">
      <w:pPr>
        <w:pStyle w:val="Paragraphtext"/>
      </w:pPr>
      <w:r w:rsidRPr="00685886">
        <w:t>In August 2022, t</w:t>
      </w:r>
      <w:r w:rsidR="00882F97" w:rsidRPr="00685886">
        <w:t xml:space="preserve">he </w:t>
      </w:r>
      <w:r w:rsidR="00653B07" w:rsidRPr="00685886">
        <w:t>d</w:t>
      </w:r>
      <w:r w:rsidR="00882F97" w:rsidRPr="00685886">
        <w:t xml:space="preserve">epartment </w:t>
      </w:r>
      <w:r w:rsidR="00243432" w:rsidRPr="00685886">
        <w:t>engaged MBP sponsors to inform them about the review, and request</w:t>
      </w:r>
      <w:r w:rsidR="00ED65B2" w:rsidRPr="00685886">
        <w:t>ed</w:t>
      </w:r>
      <w:r w:rsidR="008A0C87" w:rsidRPr="00685886">
        <w:t>:</w:t>
      </w:r>
    </w:p>
    <w:p w14:paraId="653E9855" w14:textId="31758DDF" w:rsidR="008A0C87" w:rsidRDefault="008A0C87" w:rsidP="008A0C87">
      <w:pPr>
        <w:pStyle w:val="ListBullet"/>
      </w:pPr>
      <w:r>
        <w:t>Justification that demonstrates why your metal-backed patella should have higher benefit than all-polyethylene patella</w:t>
      </w:r>
      <w:r w:rsidR="003E5181">
        <w:t>e</w:t>
      </w:r>
      <w:r>
        <w:t xml:space="preserve"> (this may include a discussion of comparative clinical effectiveness and/or cost effectiveness); and</w:t>
      </w:r>
    </w:p>
    <w:p w14:paraId="53AC83C2" w14:textId="4C2BF73D" w:rsidR="008A0C87" w:rsidRDefault="00ED65B2" w:rsidP="009C7A41">
      <w:pPr>
        <w:pStyle w:val="ListBullet"/>
      </w:pPr>
      <w:r>
        <w:t>A</w:t>
      </w:r>
      <w:r w:rsidR="008A0C87">
        <w:t xml:space="preserve">ny available evidence that might contradict the AOANJRR data, which suggests inferior performance of </w:t>
      </w:r>
      <w:r w:rsidR="009C7A41">
        <w:t>MBP</w:t>
      </w:r>
      <w:r w:rsidR="008A0C87">
        <w:t xml:space="preserve"> in comparison to </w:t>
      </w:r>
      <w:r w:rsidR="009C7A41">
        <w:t>APP</w:t>
      </w:r>
      <w:r w:rsidR="008A0C87">
        <w:t>.</w:t>
      </w:r>
      <w:r w:rsidR="009C7A41">
        <w:t xml:space="preserve"> </w:t>
      </w:r>
      <w:r w:rsidR="008A0C87">
        <w:t>Specifically, evidence about superior patient outcomes, or patient subgroups for whom use was justified despite these apparent inferior outcomes.</w:t>
      </w:r>
    </w:p>
    <w:p w14:paraId="3C4E3EE8" w14:textId="43DA3872" w:rsidR="00171FFC" w:rsidRPr="00685886" w:rsidRDefault="00603453" w:rsidP="00685886">
      <w:pPr>
        <w:pStyle w:val="Paragraphtext"/>
      </w:pPr>
      <w:r w:rsidRPr="00685886">
        <w:t xml:space="preserve">A total of </w:t>
      </w:r>
      <w:r w:rsidR="000305C2" w:rsidRPr="00685886">
        <w:t>4</w:t>
      </w:r>
      <w:r w:rsidRPr="00685886">
        <w:t xml:space="preserve"> submissions where received. </w:t>
      </w:r>
      <w:r w:rsidR="00914F0F" w:rsidRPr="00685886">
        <w:t xml:space="preserve">Submissions were </w:t>
      </w:r>
      <w:r w:rsidR="00CB4E60" w:rsidRPr="00685886">
        <w:t>reviewed internally</w:t>
      </w:r>
      <w:r w:rsidR="005144E0" w:rsidRPr="00685886">
        <w:t xml:space="preserve">, noting explanations for the clinical circumstances in which MBP were </w:t>
      </w:r>
      <w:r w:rsidR="002C23A0" w:rsidRPr="00685886">
        <w:t xml:space="preserve">considered by sponsors to be </w:t>
      </w:r>
      <w:r w:rsidR="005144E0" w:rsidRPr="00685886">
        <w:t xml:space="preserve">preferred </w:t>
      </w:r>
      <w:r w:rsidR="002C23A0" w:rsidRPr="00685886">
        <w:t>over APP</w:t>
      </w:r>
      <w:r w:rsidR="005144E0" w:rsidRPr="00685886">
        <w:t>.</w:t>
      </w:r>
      <w:r w:rsidR="00356A80" w:rsidRPr="00685886">
        <w:t xml:space="preserve"> Other sponsors indicated an intention to submit deletion applications for their PL-listed MBP devices.</w:t>
      </w:r>
    </w:p>
    <w:p w14:paraId="3969B440" w14:textId="25B44DD9" w:rsidR="00171FFC" w:rsidRPr="00685886" w:rsidRDefault="00882F97" w:rsidP="00685886">
      <w:pPr>
        <w:pStyle w:val="Paragraphtext"/>
      </w:pPr>
      <w:r w:rsidRPr="00685886">
        <w:t xml:space="preserve">The </w:t>
      </w:r>
      <w:r w:rsidR="002B77A1" w:rsidRPr="00685886">
        <w:t>d</w:t>
      </w:r>
      <w:r w:rsidRPr="00685886">
        <w:t>epartment then sought advice from the KPCAG</w:t>
      </w:r>
      <w:r w:rsidR="00914F0F" w:rsidRPr="00685886">
        <w:t xml:space="preserve"> on the </w:t>
      </w:r>
      <w:r w:rsidR="00171FFC" w:rsidRPr="00685886">
        <w:t>current PL benefit amounts for MBP</w:t>
      </w:r>
      <w:r w:rsidR="00EA637E" w:rsidRPr="00685886">
        <w:t xml:space="preserve">, noting </w:t>
      </w:r>
      <w:r w:rsidR="002C23A0" w:rsidRPr="00685886">
        <w:t xml:space="preserve">higher </w:t>
      </w:r>
      <w:r w:rsidR="00EA637E" w:rsidRPr="00685886">
        <w:t>benefits</w:t>
      </w:r>
      <w:r w:rsidR="00171FFC" w:rsidRPr="00685886">
        <w:t xml:space="preserve"> would b</w:t>
      </w:r>
      <w:r w:rsidR="00EA637E" w:rsidRPr="00685886">
        <w:t xml:space="preserve">e retained </w:t>
      </w:r>
      <w:r w:rsidR="00171FFC" w:rsidRPr="00685886">
        <w:t>if:</w:t>
      </w:r>
    </w:p>
    <w:p w14:paraId="2734D398" w14:textId="48995695" w:rsidR="00171FFC" w:rsidRPr="00106100" w:rsidRDefault="00171FFC" w:rsidP="00914F0F">
      <w:pPr>
        <w:pStyle w:val="ListBullet"/>
      </w:pPr>
      <w:r w:rsidRPr="00106100">
        <w:t xml:space="preserve">there was evidence of cost-effective superior clinical outcomes </w:t>
      </w:r>
      <w:r w:rsidR="00106100" w:rsidRPr="00106100">
        <w:t xml:space="preserve">for </w:t>
      </w:r>
      <w:r w:rsidRPr="00106100">
        <w:t>MBP compared to APP</w:t>
      </w:r>
      <w:r w:rsidR="00106100" w:rsidRPr="00106100">
        <w:t>;</w:t>
      </w:r>
      <w:r w:rsidRPr="00106100">
        <w:t xml:space="preserve"> or</w:t>
      </w:r>
    </w:p>
    <w:p w14:paraId="7F117F11" w14:textId="786FE1FD" w:rsidR="00882F97" w:rsidRDefault="00171FFC" w:rsidP="00882F97">
      <w:pPr>
        <w:pStyle w:val="ListBullet"/>
      </w:pPr>
      <w:r w:rsidRPr="00106100">
        <w:t xml:space="preserve">clinical expert advice indicated that there were clinical subgroups/circumstances where MBP were </w:t>
      </w:r>
      <w:r w:rsidR="00106100">
        <w:t xml:space="preserve">the </w:t>
      </w:r>
      <w:r w:rsidRPr="00106100">
        <w:t>preferred</w:t>
      </w:r>
      <w:r w:rsidR="00106100">
        <w:t xml:space="preserve"> option</w:t>
      </w:r>
      <w:r w:rsidRPr="00106100">
        <w:t>.</w:t>
      </w:r>
    </w:p>
    <w:p w14:paraId="29EE0ADC" w14:textId="1B0D7A7B" w:rsidR="00222EB6" w:rsidRPr="00685886" w:rsidRDefault="00222EB6" w:rsidP="00685886">
      <w:pPr>
        <w:pStyle w:val="Paragraphtext"/>
      </w:pPr>
      <w:r w:rsidRPr="00685886">
        <w:t>On 27 October 2022, the KP</w:t>
      </w:r>
      <w:r w:rsidR="004D6388" w:rsidRPr="00685886">
        <w:t>-</w:t>
      </w:r>
      <w:r w:rsidRPr="00685886">
        <w:t xml:space="preserve">CAG considered the submissions of all affected sponsors along with policy advice from the </w:t>
      </w:r>
      <w:r w:rsidR="006B6E5F" w:rsidRPr="00685886">
        <w:t>d</w:t>
      </w:r>
      <w:r w:rsidRPr="00685886">
        <w:t>epartment.</w:t>
      </w:r>
      <w:r w:rsidR="006B6E5F" w:rsidRPr="00685886">
        <w:t xml:space="preserve"> </w:t>
      </w:r>
      <w:r w:rsidR="00ED03A0" w:rsidRPr="00685886">
        <w:t>On 15 December 2022, t</w:t>
      </w:r>
      <w:r w:rsidR="006B6E5F" w:rsidRPr="00685886">
        <w:t xml:space="preserve">he </w:t>
      </w:r>
      <w:r w:rsidR="00ED03A0" w:rsidRPr="00685886">
        <w:t>PLAC considered the review findings including the KP</w:t>
      </w:r>
      <w:r w:rsidR="00911D19" w:rsidRPr="00685886">
        <w:t>-</w:t>
      </w:r>
      <w:r w:rsidR="00ED03A0" w:rsidRPr="00685886">
        <w:t>CAG advice</w:t>
      </w:r>
      <w:r w:rsidR="006B6E5F" w:rsidRPr="00685886">
        <w:t>.</w:t>
      </w:r>
    </w:p>
    <w:p w14:paraId="37093A01" w14:textId="532BF9B6" w:rsidR="00911D19" w:rsidRDefault="00E111B8" w:rsidP="00911D19">
      <w:pPr>
        <w:pStyle w:val="Heading1"/>
      </w:pPr>
      <w:bookmarkStart w:id="5" w:name="_Toc160813116"/>
      <w:r>
        <w:t>F</w:t>
      </w:r>
      <w:r w:rsidR="00911D19">
        <w:t>indings</w:t>
      </w:r>
      <w:r w:rsidR="00684E2B">
        <w:t xml:space="preserve"> </w:t>
      </w:r>
      <w:r>
        <w:t>and Analysis</w:t>
      </w:r>
      <w:bookmarkEnd w:id="5"/>
    </w:p>
    <w:p w14:paraId="5D31A2CA" w14:textId="7439DB2F" w:rsidR="00171FFC" w:rsidRDefault="00171FFC" w:rsidP="00171FFC">
      <w:r>
        <w:t xml:space="preserve">The explanations provided by sponsors </w:t>
      </w:r>
      <w:r w:rsidR="00ED65B2">
        <w:t>of when</w:t>
      </w:r>
      <w:r>
        <w:t xml:space="preserve"> MBP use was indicated included:</w:t>
      </w:r>
    </w:p>
    <w:p w14:paraId="543F049C" w14:textId="77777777" w:rsidR="00171FFC" w:rsidRDefault="00171FFC" w:rsidP="00911D19">
      <w:pPr>
        <w:pStyle w:val="ListBullet"/>
      </w:pPr>
      <w:r>
        <w:t>faster surgery time</w:t>
      </w:r>
    </w:p>
    <w:p w14:paraId="3E3D9EF5" w14:textId="77777777" w:rsidR="00911D19" w:rsidRDefault="00171FFC" w:rsidP="00911D19">
      <w:pPr>
        <w:pStyle w:val="ListBullet"/>
      </w:pPr>
      <w:r>
        <w:t>avoidance of cement (for reasons including cost, toxicity, allergy, abrasive properties of fragments)</w:t>
      </w:r>
    </w:p>
    <w:p w14:paraId="019B2F03" w14:textId="5360A8EE" w:rsidR="00171FFC" w:rsidRDefault="00171FFC" w:rsidP="00911D19">
      <w:pPr>
        <w:pStyle w:val="ListBullet"/>
      </w:pPr>
      <w:r>
        <w:t>preferred option in younger people</w:t>
      </w:r>
    </w:p>
    <w:p w14:paraId="0B81F90C" w14:textId="77777777" w:rsidR="00171FFC" w:rsidRDefault="00171FFC" w:rsidP="00911D19">
      <w:pPr>
        <w:pStyle w:val="ListBullet"/>
      </w:pPr>
      <w:r>
        <w:t>preferred option in heavier people (due to durability of cementless bone/implant interface)</w:t>
      </w:r>
    </w:p>
    <w:p w14:paraId="0788B94F" w14:textId="6A9A860B" w:rsidR="00171FFC" w:rsidRDefault="00171FFC" w:rsidP="00911D19">
      <w:pPr>
        <w:pStyle w:val="ListBullet"/>
      </w:pPr>
      <w:r>
        <w:t>lower revision rates when used in hybrid constructs and in revision procedures.</w:t>
      </w:r>
    </w:p>
    <w:p w14:paraId="429563E8" w14:textId="162DBC23" w:rsidR="00E111B8" w:rsidRPr="00D5487F" w:rsidRDefault="00E111B8" w:rsidP="00D5487F">
      <w:r w:rsidRPr="00D5487F">
        <w:t>On analysis of the sponsor submissions, the Department found that there was insufficient clinical evidence provided in sponsor submissions to verify the above claims. Hence it was decided that expert advice through the KPCAG would be required.</w:t>
      </w:r>
    </w:p>
    <w:p w14:paraId="5426A62A" w14:textId="45154A75" w:rsidR="002B77A1" w:rsidRPr="00685886" w:rsidRDefault="00106100" w:rsidP="00685886">
      <w:pPr>
        <w:pStyle w:val="Paragraphtext"/>
      </w:pPr>
      <w:r w:rsidRPr="00685886">
        <w:t>The KP</w:t>
      </w:r>
      <w:r w:rsidR="00EB37FF" w:rsidRPr="00685886">
        <w:t>-</w:t>
      </w:r>
      <w:r w:rsidRPr="00685886">
        <w:t xml:space="preserve">CAG </w:t>
      </w:r>
      <w:r w:rsidR="00ED65B2" w:rsidRPr="00685886">
        <w:t xml:space="preserve">determined </w:t>
      </w:r>
      <w:r w:rsidRPr="00685886">
        <w:t xml:space="preserve">that these explanations did not represent adequate justification for the use of MBP and </w:t>
      </w:r>
      <w:r w:rsidR="00882F97" w:rsidRPr="00685886">
        <w:t>concluded that there was insufficient evidence to support superior clinical outcomes for MBP</w:t>
      </w:r>
      <w:r w:rsidR="00356A80" w:rsidRPr="00685886">
        <w:t>, including for any clinical subgroups</w:t>
      </w:r>
      <w:r w:rsidR="00882F97" w:rsidRPr="00685886">
        <w:t>.</w:t>
      </w:r>
    </w:p>
    <w:p w14:paraId="05AB9618" w14:textId="342C1E89" w:rsidR="003464BE" w:rsidRPr="00685886" w:rsidRDefault="002B77A1" w:rsidP="00685886">
      <w:pPr>
        <w:pStyle w:val="Paragraphtext"/>
      </w:pPr>
      <w:r w:rsidRPr="00685886">
        <w:t>Some of the data provided was consistent with claims of non-inferiority for MBP</w:t>
      </w:r>
      <w:r w:rsidR="003464BE" w:rsidRPr="00685886">
        <w:t xml:space="preserve">, </w:t>
      </w:r>
      <w:r w:rsidRPr="00685886">
        <w:t>though with significant limitations due to sample size and methodology.</w:t>
      </w:r>
    </w:p>
    <w:p w14:paraId="06FDE43B" w14:textId="7FC43EFE" w:rsidR="003C64EA" w:rsidRPr="00685886" w:rsidRDefault="00882F97" w:rsidP="00685886">
      <w:pPr>
        <w:pStyle w:val="Paragraphtext"/>
      </w:pPr>
      <w:r w:rsidRPr="00685886">
        <w:t>The KP</w:t>
      </w:r>
      <w:r w:rsidR="00ED65B2" w:rsidRPr="00685886">
        <w:t>-</w:t>
      </w:r>
      <w:r w:rsidRPr="00685886">
        <w:t>CAG advised that the information provided did not change their previous advice that all existing PL-listed MBP have inferior clinical outcomes to APP in (almost) any clinical setting. The only exception was that of bone-cement allergy, which was considered so rare that it did not warrant a specific PL action.</w:t>
      </w:r>
    </w:p>
    <w:p w14:paraId="52733BA9" w14:textId="01F8CA8C" w:rsidR="00882F97" w:rsidRDefault="00882F97" w:rsidP="00685886">
      <w:pPr>
        <w:pStyle w:val="Paragraphtext"/>
      </w:pPr>
      <w:r w:rsidRPr="00685886">
        <w:t>On 15 December 2022, the PLAC considered the review findings</w:t>
      </w:r>
      <w:r w:rsidR="003C64EA" w:rsidRPr="00685886">
        <w:t>,</w:t>
      </w:r>
      <w:r w:rsidRPr="00685886">
        <w:t xml:space="preserve"> including the KP</w:t>
      </w:r>
      <w:r w:rsidR="00172778" w:rsidRPr="00685886">
        <w:t>-</w:t>
      </w:r>
      <w:r w:rsidRPr="00685886">
        <w:t xml:space="preserve">CAG advice and </w:t>
      </w:r>
      <w:r w:rsidR="00846800" w:rsidRPr="00685886">
        <w:t xml:space="preserve">recommended </w:t>
      </w:r>
      <w:r w:rsidRPr="00685886">
        <w:t>that, based on available evidence, there should be no benefit differen</w:t>
      </w:r>
      <w:r w:rsidR="00172778" w:rsidRPr="00685886">
        <w:t>ce</w:t>
      </w:r>
      <w:r w:rsidR="00172778">
        <w:t xml:space="preserve"> </w:t>
      </w:r>
      <w:r>
        <w:t>between MBP and APP</w:t>
      </w:r>
      <w:r w:rsidR="00171FFC">
        <w:t>.</w:t>
      </w:r>
      <w:r>
        <w:t xml:space="preserve"> That is, the PL benefit for </w:t>
      </w:r>
      <w:r w:rsidR="00172778">
        <w:t>MPP</w:t>
      </w:r>
      <w:r>
        <w:t xml:space="preserve"> should be reduced to the PL benefit assigned to </w:t>
      </w:r>
      <w:r w:rsidR="00172778">
        <w:t>APP</w:t>
      </w:r>
      <w:r>
        <w:t>.</w:t>
      </w:r>
    </w:p>
    <w:p w14:paraId="1EDFBFE9" w14:textId="261103ED" w:rsidR="00BF044C" w:rsidRDefault="00BF044C" w:rsidP="00BF044C">
      <w:pPr>
        <w:pStyle w:val="Heading1"/>
      </w:pPr>
      <w:r>
        <w:lastRenderedPageBreak/>
        <w:t xml:space="preserve">Conclusion </w:t>
      </w:r>
    </w:p>
    <w:p w14:paraId="65ED7683" w14:textId="77777777" w:rsidR="003464BE" w:rsidRPr="00685886" w:rsidRDefault="003464BE" w:rsidP="00685886">
      <w:pPr>
        <w:pStyle w:val="Paragraphtext"/>
      </w:pPr>
      <w:r w:rsidRPr="00685886">
        <w:t>Based on the department’s policy frameworks, a higher benefit amount for MBP would only be justified if there was evidence of cost-effective superior clinical outcomes of MBP compared to APP, or if clinical expert advice indicated that there were clinical subgroups/circumstances where MBP were preferred. Neither of these were found to apply to current MBP listed on the PL.</w:t>
      </w:r>
    </w:p>
    <w:p w14:paraId="78C2BAB0" w14:textId="464ED23A" w:rsidR="00882F97" w:rsidRPr="00A772BF" w:rsidRDefault="0071512A" w:rsidP="00882F97">
      <w:pPr>
        <w:pStyle w:val="Heading1"/>
      </w:pPr>
      <w:bookmarkStart w:id="6" w:name="_Toc160813117"/>
      <w:r>
        <w:t>R</w:t>
      </w:r>
      <w:r w:rsidR="008424E9" w:rsidRPr="00A772BF">
        <w:t>ecommendations</w:t>
      </w:r>
      <w:bookmarkEnd w:id="6"/>
    </w:p>
    <w:p w14:paraId="72DE8505" w14:textId="2567E54F" w:rsidR="00882F97" w:rsidRPr="00AA689D" w:rsidRDefault="006C4B3B" w:rsidP="00AA689D">
      <w:pPr>
        <w:pStyle w:val="ListBullet"/>
      </w:pPr>
      <w:r>
        <w:t xml:space="preserve">The </w:t>
      </w:r>
      <w:r w:rsidR="00106100" w:rsidRPr="00AA689D">
        <w:t xml:space="preserve">PLAC </w:t>
      </w:r>
      <w:r>
        <w:t xml:space="preserve">and the </w:t>
      </w:r>
      <w:r w:rsidR="00882F97" w:rsidRPr="00AA689D">
        <w:t>KP</w:t>
      </w:r>
      <w:r w:rsidR="00CB1D83" w:rsidRPr="00AA689D">
        <w:t>-</w:t>
      </w:r>
      <w:r w:rsidR="00882F97" w:rsidRPr="00AA689D">
        <w:t>CAG support a benefit reduction for MBP</w:t>
      </w:r>
      <w:r w:rsidR="00106100" w:rsidRPr="00AA689D">
        <w:t>.</w:t>
      </w:r>
    </w:p>
    <w:p w14:paraId="2D206264" w14:textId="0EDD836C" w:rsidR="00882F97" w:rsidRPr="00AA689D" w:rsidRDefault="005D469B" w:rsidP="00AA689D">
      <w:pPr>
        <w:pStyle w:val="ListBullet"/>
      </w:pPr>
      <w:r>
        <w:t>A</w:t>
      </w:r>
      <w:r w:rsidR="00882F97" w:rsidRPr="00AA689D">
        <w:t>wait the findings of the TGA’s post</w:t>
      </w:r>
      <w:r>
        <w:t>-</w:t>
      </w:r>
      <w:r w:rsidR="00882F97" w:rsidRPr="00AA689D">
        <w:t>market review which may provide further insights and conclusions.</w:t>
      </w:r>
    </w:p>
    <w:p w14:paraId="4E6B5BB6" w14:textId="5CD64B03" w:rsidR="00882F97" w:rsidRDefault="00BF044C" w:rsidP="003E234F">
      <w:pPr>
        <w:pStyle w:val="Heading1"/>
      </w:pPr>
      <w:bookmarkStart w:id="7" w:name="_Toc160813118"/>
      <w:r>
        <w:t>O</w:t>
      </w:r>
      <w:r w:rsidR="00A772BF">
        <w:t>utcome of the review</w:t>
      </w:r>
      <w:bookmarkEnd w:id="7"/>
    </w:p>
    <w:p w14:paraId="0F5BC1D5" w14:textId="23BCDCA4" w:rsidR="00A52CAA" w:rsidRDefault="00A52CAA" w:rsidP="00685886">
      <w:pPr>
        <w:pStyle w:val="Paragraphtext"/>
      </w:pPr>
      <w:r>
        <w:t xml:space="preserve">Following </w:t>
      </w:r>
      <w:r w:rsidR="00BA0EB6">
        <w:t xml:space="preserve">the </w:t>
      </w:r>
      <w:r>
        <w:t>PLAC’s consideration, the Delegate confirmed support for the review’s key recommendation to reduce benefits for MBP on the P</w:t>
      </w:r>
      <w:r w:rsidR="00E02094">
        <w:t>L,</w:t>
      </w:r>
      <w:r w:rsidR="00E02094" w:rsidRPr="00E02094">
        <w:t xml:space="preserve"> </w:t>
      </w:r>
      <w:r w:rsidR="00E02094">
        <w:t>to be consistent with benefits for APP.</w:t>
      </w:r>
    </w:p>
    <w:p w14:paraId="29B8CF0B" w14:textId="5E51A040" w:rsidR="00A52CAA" w:rsidRPr="00A52CAA" w:rsidRDefault="00A52CAA" w:rsidP="00685886">
      <w:pPr>
        <w:pStyle w:val="Paragraphtext"/>
      </w:pPr>
      <w:r>
        <w:t xml:space="preserve">No further action was required to finalise the outcome of this review, which formally concluded in </w:t>
      </w:r>
      <w:r w:rsidR="00715E25">
        <w:t>March 2023.</w:t>
      </w:r>
    </w:p>
    <w:p w14:paraId="3324ABB0" w14:textId="0F48ACD1" w:rsidR="006F0EE8" w:rsidRPr="00D5487F" w:rsidRDefault="006F0EE8" w:rsidP="006F0EE8">
      <w:pPr>
        <w:pStyle w:val="PolicyStatement"/>
        <w:rPr>
          <w:rStyle w:val="IntenseEmphasis"/>
        </w:rPr>
      </w:pPr>
      <w:r w:rsidRPr="00D5487F">
        <w:rPr>
          <w:rStyle w:val="IntenseEmphasis"/>
        </w:rPr>
        <w:t xml:space="preserve">Outcome of the post-listing </w:t>
      </w:r>
      <w:r w:rsidRPr="00AA689D">
        <w:rPr>
          <w:rStyle w:val="IntenseEmphasis"/>
        </w:rPr>
        <w:t>review</w:t>
      </w:r>
    </w:p>
    <w:p w14:paraId="642B26A6" w14:textId="32F72404" w:rsidR="00CC2930" w:rsidRPr="001F2F78" w:rsidRDefault="003E234F" w:rsidP="006F0EE8">
      <w:pPr>
        <w:pStyle w:val="PolicyStatement"/>
      </w:pPr>
      <w:r>
        <w:t>To</w:t>
      </w:r>
      <w:r w:rsidR="00882F97">
        <w:t xml:space="preserve"> reduce the </w:t>
      </w:r>
      <w:r w:rsidR="00977336">
        <w:t xml:space="preserve">existing </w:t>
      </w:r>
      <w:r w:rsidR="00882F97">
        <w:t xml:space="preserve">benefits </w:t>
      </w:r>
      <w:r w:rsidR="00977336">
        <w:t xml:space="preserve">for all </w:t>
      </w:r>
      <w:r w:rsidR="00882F97">
        <w:t>metal</w:t>
      </w:r>
      <w:r w:rsidR="00FE47F4">
        <w:t>-</w:t>
      </w:r>
      <w:r w:rsidR="00882F97">
        <w:t>backed patella</w:t>
      </w:r>
      <w:r w:rsidR="003C64EA">
        <w:t>e</w:t>
      </w:r>
      <w:r w:rsidR="00977336">
        <w:t xml:space="preserve"> listed on the P</w:t>
      </w:r>
      <w:r w:rsidR="00502523">
        <w:t xml:space="preserve">rostheses List. </w:t>
      </w:r>
      <w:r w:rsidR="00CC2930">
        <w:t>Th</w:t>
      </w:r>
      <w:r w:rsidR="006F0EE8">
        <w:t>e new benefits were reflected in the March 2023 Prostheses List.</w:t>
      </w:r>
    </w:p>
    <w:sectPr w:rsidR="00CC2930" w:rsidRPr="001F2F78" w:rsidSect="00106100">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117" w14:textId="77777777" w:rsidR="00831973" w:rsidRDefault="00831973" w:rsidP="006B56BB">
      <w:r>
        <w:separator/>
      </w:r>
    </w:p>
    <w:p w14:paraId="3237A8A2" w14:textId="77777777" w:rsidR="00831973" w:rsidRDefault="00831973"/>
  </w:endnote>
  <w:endnote w:type="continuationSeparator" w:id="0">
    <w:p w14:paraId="528CF49C" w14:textId="77777777" w:rsidR="00831973" w:rsidRDefault="00831973" w:rsidP="006B56BB">
      <w:r>
        <w:continuationSeparator/>
      </w:r>
    </w:p>
    <w:p w14:paraId="0490D35A" w14:textId="77777777" w:rsidR="00831973" w:rsidRDefault="00831973"/>
  </w:endnote>
  <w:endnote w:type="continuationNotice" w:id="1">
    <w:p w14:paraId="439B5705" w14:textId="77777777" w:rsidR="00831973" w:rsidRDefault="0083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FC9B" w14:textId="0BA11B4B" w:rsidR="00106100" w:rsidRPr="00106100" w:rsidRDefault="004E59FE" w:rsidP="00106100">
    <w:pPr>
      <w:pStyle w:val="Footer"/>
    </w:pPr>
    <w:r>
      <w:t>M</w:t>
    </w:r>
    <w:r w:rsidR="00106100" w:rsidRPr="00106100">
      <w:t>etal-backed patellae</w:t>
    </w:r>
    <w:r w:rsidR="00A772BF">
      <w:t>: p</w:t>
    </w:r>
    <w:r>
      <w:t>ost-listing review</w:t>
    </w:r>
    <w:r w:rsidR="00A772BF">
      <w:t xml:space="preserve">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840B" w14:textId="77777777" w:rsidR="00831973" w:rsidRDefault="00831973" w:rsidP="006B56BB">
      <w:r>
        <w:separator/>
      </w:r>
    </w:p>
    <w:p w14:paraId="61A47F73" w14:textId="77777777" w:rsidR="00831973" w:rsidRDefault="00831973"/>
  </w:footnote>
  <w:footnote w:type="continuationSeparator" w:id="0">
    <w:p w14:paraId="48CA5AB1" w14:textId="77777777" w:rsidR="00831973" w:rsidRDefault="00831973" w:rsidP="006B56BB">
      <w:r>
        <w:continuationSeparator/>
      </w:r>
    </w:p>
    <w:p w14:paraId="16061225" w14:textId="77777777" w:rsidR="00831973" w:rsidRDefault="00831973"/>
  </w:footnote>
  <w:footnote w:type="continuationNotice" w:id="1">
    <w:p w14:paraId="58D95F23" w14:textId="77777777" w:rsidR="00831973" w:rsidRDefault="00831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9A6B" w14:textId="7CA394F7" w:rsidR="00751A23" w:rsidRDefault="00106100">
    <w:pPr>
      <w:pStyle w:val="Header"/>
    </w:pPr>
    <w:r>
      <w:rPr>
        <w:noProof/>
        <w:lang w:eastAsia="en-AU"/>
      </w:rPr>
      <w:drawing>
        <wp:anchor distT="0" distB="0" distL="114300" distR="114300" simplePos="0" relativeHeight="251659264" behindDoc="0" locked="0" layoutInCell="1" allowOverlap="1" wp14:anchorId="27164D88" wp14:editId="57226317">
          <wp:simplePos x="0" y="0"/>
          <wp:positionH relativeFrom="margin">
            <wp:posOffset>-587829</wp:posOffset>
          </wp:positionH>
          <wp:positionV relativeFrom="margin">
            <wp:posOffset>-706582</wp:posOffset>
          </wp:positionV>
          <wp:extent cx="2980690" cy="546735"/>
          <wp:effectExtent l="0" t="0" r="0" b="5715"/>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80690" cy="546735"/>
                  </a:xfrm>
                  <a:prstGeom prst="rect">
                    <a:avLst/>
                  </a:prstGeom>
                </pic:spPr>
              </pic:pic>
            </a:graphicData>
          </a:graphic>
        </wp:anchor>
      </w:drawing>
    </w:r>
    <w:r>
      <w:rPr>
        <w:noProof/>
        <w:lang w:eastAsia="en-AU"/>
      </w:rPr>
      <w:drawing>
        <wp:anchor distT="0" distB="0" distL="114300" distR="114300" simplePos="0" relativeHeight="251658240" behindDoc="1" locked="0" layoutInCell="1" allowOverlap="1" wp14:anchorId="718CB15F" wp14:editId="6A37CDEA">
          <wp:simplePos x="0" y="0"/>
          <wp:positionH relativeFrom="page">
            <wp:posOffset>105608</wp:posOffset>
          </wp:positionH>
          <wp:positionV relativeFrom="page">
            <wp:posOffset>0</wp:posOffset>
          </wp:positionV>
          <wp:extent cx="7560000" cy="10692675"/>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5687"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A5EF8"/>
    <w:multiLevelType w:val="hybridMultilevel"/>
    <w:tmpl w:val="50787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A418D"/>
    <w:multiLevelType w:val="multilevel"/>
    <w:tmpl w:val="ED72BEE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3F6DC3"/>
    <w:multiLevelType w:val="multilevel"/>
    <w:tmpl w:val="5A60A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9369223">
    <w:abstractNumId w:val="7"/>
  </w:num>
  <w:num w:numId="2" w16cid:durableId="2036079085">
    <w:abstractNumId w:val="17"/>
  </w:num>
  <w:num w:numId="3" w16cid:durableId="1595673374">
    <w:abstractNumId w:val="19"/>
  </w:num>
  <w:num w:numId="4" w16cid:durableId="990451499">
    <w:abstractNumId w:val="8"/>
  </w:num>
  <w:num w:numId="5" w16cid:durableId="835999351">
    <w:abstractNumId w:val="8"/>
    <w:lvlOverride w:ilvl="0">
      <w:startOverride w:val="1"/>
    </w:lvlOverride>
  </w:num>
  <w:num w:numId="6" w16cid:durableId="550311580">
    <w:abstractNumId w:val="9"/>
  </w:num>
  <w:num w:numId="7" w16cid:durableId="333843098">
    <w:abstractNumId w:val="16"/>
  </w:num>
  <w:num w:numId="8" w16cid:durableId="1541893323">
    <w:abstractNumId w:val="18"/>
  </w:num>
  <w:num w:numId="9" w16cid:durableId="1382901249">
    <w:abstractNumId w:val="5"/>
  </w:num>
  <w:num w:numId="10" w16cid:durableId="1869677250">
    <w:abstractNumId w:val="4"/>
  </w:num>
  <w:num w:numId="11" w16cid:durableId="1960843501">
    <w:abstractNumId w:val="3"/>
  </w:num>
  <w:num w:numId="12" w16cid:durableId="809830965">
    <w:abstractNumId w:val="2"/>
  </w:num>
  <w:num w:numId="13" w16cid:durableId="806357393">
    <w:abstractNumId w:val="6"/>
  </w:num>
  <w:num w:numId="14" w16cid:durableId="1674795242">
    <w:abstractNumId w:val="1"/>
  </w:num>
  <w:num w:numId="15" w16cid:durableId="1784691595">
    <w:abstractNumId w:val="0"/>
  </w:num>
  <w:num w:numId="16" w16cid:durableId="1884633642">
    <w:abstractNumId w:val="20"/>
  </w:num>
  <w:num w:numId="17" w16cid:durableId="453787584">
    <w:abstractNumId w:val="10"/>
  </w:num>
  <w:num w:numId="18" w16cid:durableId="1982926965">
    <w:abstractNumId w:val="11"/>
  </w:num>
  <w:num w:numId="19" w16cid:durableId="127402578">
    <w:abstractNumId w:val="14"/>
  </w:num>
  <w:num w:numId="20" w16cid:durableId="1651404269">
    <w:abstractNumId w:val="12"/>
  </w:num>
  <w:num w:numId="21" w16cid:durableId="828209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9880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97"/>
    <w:rsid w:val="00003743"/>
    <w:rsid w:val="000047B4"/>
    <w:rsid w:val="00005712"/>
    <w:rsid w:val="00007FD8"/>
    <w:rsid w:val="000117F8"/>
    <w:rsid w:val="000145C4"/>
    <w:rsid w:val="00026139"/>
    <w:rsid w:val="00027071"/>
    <w:rsid w:val="00027601"/>
    <w:rsid w:val="000305C2"/>
    <w:rsid w:val="00033321"/>
    <w:rsid w:val="000338E5"/>
    <w:rsid w:val="00033ECC"/>
    <w:rsid w:val="0003422F"/>
    <w:rsid w:val="0004634D"/>
    <w:rsid w:val="00046FF0"/>
    <w:rsid w:val="00050176"/>
    <w:rsid w:val="00062B65"/>
    <w:rsid w:val="00067456"/>
    <w:rsid w:val="00070189"/>
    <w:rsid w:val="00071506"/>
    <w:rsid w:val="0007154F"/>
    <w:rsid w:val="00081AB1"/>
    <w:rsid w:val="00090316"/>
    <w:rsid w:val="00093981"/>
    <w:rsid w:val="00093CD9"/>
    <w:rsid w:val="000B067A"/>
    <w:rsid w:val="000B1540"/>
    <w:rsid w:val="000B33FD"/>
    <w:rsid w:val="000B4ABA"/>
    <w:rsid w:val="000C0CDC"/>
    <w:rsid w:val="000C4B16"/>
    <w:rsid w:val="000C50C3"/>
    <w:rsid w:val="000C66AA"/>
    <w:rsid w:val="000D21F6"/>
    <w:rsid w:val="000D42C3"/>
    <w:rsid w:val="000D4500"/>
    <w:rsid w:val="000D7AEA"/>
    <w:rsid w:val="000E01A9"/>
    <w:rsid w:val="000E2C66"/>
    <w:rsid w:val="000E6E7D"/>
    <w:rsid w:val="000F123C"/>
    <w:rsid w:val="000F2FED"/>
    <w:rsid w:val="00106100"/>
    <w:rsid w:val="0010616D"/>
    <w:rsid w:val="00107C5E"/>
    <w:rsid w:val="00110478"/>
    <w:rsid w:val="0011711B"/>
    <w:rsid w:val="00117F8A"/>
    <w:rsid w:val="00121B9B"/>
    <w:rsid w:val="001223B1"/>
    <w:rsid w:val="00122ADC"/>
    <w:rsid w:val="00126D6E"/>
    <w:rsid w:val="00130F59"/>
    <w:rsid w:val="00133EC0"/>
    <w:rsid w:val="00136010"/>
    <w:rsid w:val="00141CE5"/>
    <w:rsid w:val="00144908"/>
    <w:rsid w:val="001571C7"/>
    <w:rsid w:val="00157DF0"/>
    <w:rsid w:val="00161094"/>
    <w:rsid w:val="00171FFC"/>
    <w:rsid w:val="00172778"/>
    <w:rsid w:val="00172A55"/>
    <w:rsid w:val="001758CD"/>
    <w:rsid w:val="0017665C"/>
    <w:rsid w:val="00177AD2"/>
    <w:rsid w:val="001815A8"/>
    <w:rsid w:val="001840FA"/>
    <w:rsid w:val="00190079"/>
    <w:rsid w:val="0019622E"/>
    <w:rsid w:val="001966A7"/>
    <w:rsid w:val="001A4627"/>
    <w:rsid w:val="001A4979"/>
    <w:rsid w:val="001A6A12"/>
    <w:rsid w:val="001B15D3"/>
    <w:rsid w:val="001B3443"/>
    <w:rsid w:val="001B4ECB"/>
    <w:rsid w:val="001C0326"/>
    <w:rsid w:val="001C192F"/>
    <w:rsid w:val="001C3C42"/>
    <w:rsid w:val="001D4EED"/>
    <w:rsid w:val="001D61C6"/>
    <w:rsid w:val="001D7869"/>
    <w:rsid w:val="001D7B8C"/>
    <w:rsid w:val="001F2F78"/>
    <w:rsid w:val="002026CD"/>
    <w:rsid w:val="002033FC"/>
    <w:rsid w:val="002044BB"/>
    <w:rsid w:val="00205EE4"/>
    <w:rsid w:val="00210B09"/>
    <w:rsid w:val="00210C9E"/>
    <w:rsid w:val="00211840"/>
    <w:rsid w:val="00220E5F"/>
    <w:rsid w:val="002212B5"/>
    <w:rsid w:val="00222EB6"/>
    <w:rsid w:val="00226668"/>
    <w:rsid w:val="00233809"/>
    <w:rsid w:val="00240046"/>
    <w:rsid w:val="00243432"/>
    <w:rsid w:val="002477A0"/>
    <w:rsid w:val="0024797F"/>
    <w:rsid w:val="0025119E"/>
    <w:rsid w:val="00251269"/>
    <w:rsid w:val="002535C0"/>
    <w:rsid w:val="002563FF"/>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05B"/>
    <w:rsid w:val="002B20E6"/>
    <w:rsid w:val="002B42A3"/>
    <w:rsid w:val="002B77A1"/>
    <w:rsid w:val="002B7EA0"/>
    <w:rsid w:val="002C0CDD"/>
    <w:rsid w:val="002C23A0"/>
    <w:rsid w:val="002E1A1D"/>
    <w:rsid w:val="002E2558"/>
    <w:rsid w:val="002E4081"/>
    <w:rsid w:val="002E5B78"/>
    <w:rsid w:val="002F3AE3"/>
    <w:rsid w:val="0030464B"/>
    <w:rsid w:val="0030786C"/>
    <w:rsid w:val="003233DE"/>
    <w:rsid w:val="0032466B"/>
    <w:rsid w:val="003251E5"/>
    <w:rsid w:val="00327B44"/>
    <w:rsid w:val="00332386"/>
    <w:rsid w:val="003330EB"/>
    <w:rsid w:val="00336605"/>
    <w:rsid w:val="003415FD"/>
    <w:rsid w:val="003429F0"/>
    <w:rsid w:val="003464BE"/>
    <w:rsid w:val="0035097A"/>
    <w:rsid w:val="003540A4"/>
    <w:rsid w:val="00356A80"/>
    <w:rsid w:val="00360E4E"/>
    <w:rsid w:val="00370AAA"/>
    <w:rsid w:val="00370B3D"/>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5DE"/>
    <w:rsid w:val="003B0DAB"/>
    <w:rsid w:val="003B213A"/>
    <w:rsid w:val="003B43AD"/>
    <w:rsid w:val="003C0FEC"/>
    <w:rsid w:val="003C15B8"/>
    <w:rsid w:val="003C2AC8"/>
    <w:rsid w:val="003C64EA"/>
    <w:rsid w:val="003D17F9"/>
    <w:rsid w:val="003D2D88"/>
    <w:rsid w:val="003D41EA"/>
    <w:rsid w:val="003D4850"/>
    <w:rsid w:val="003D535A"/>
    <w:rsid w:val="003E234F"/>
    <w:rsid w:val="003E5181"/>
    <w:rsid w:val="003E5265"/>
    <w:rsid w:val="003F0955"/>
    <w:rsid w:val="003F6FE1"/>
    <w:rsid w:val="00400F00"/>
    <w:rsid w:val="00404CBD"/>
    <w:rsid w:val="00404F8B"/>
    <w:rsid w:val="00405256"/>
    <w:rsid w:val="00410031"/>
    <w:rsid w:val="004115A2"/>
    <w:rsid w:val="00415C81"/>
    <w:rsid w:val="00416731"/>
    <w:rsid w:val="00430622"/>
    <w:rsid w:val="00432378"/>
    <w:rsid w:val="00440D65"/>
    <w:rsid w:val="004435E6"/>
    <w:rsid w:val="00447E31"/>
    <w:rsid w:val="00453923"/>
    <w:rsid w:val="00454B9B"/>
    <w:rsid w:val="00457858"/>
    <w:rsid w:val="00460409"/>
    <w:rsid w:val="00460B0B"/>
    <w:rsid w:val="00461023"/>
    <w:rsid w:val="00462FAC"/>
    <w:rsid w:val="00464631"/>
    <w:rsid w:val="00464B79"/>
    <w:rsid w:val="00467BBF"/>
    <w:rsid w:val="004867E2"/>
    <w:rsid w:val="004929A9"/>
    <w:rsid w:val="004C2FEC"/>
    <w:rsid w:val="004C6BCF"/>
    <w:rsid w:val="004D22B0"/>
    <w:rsid w:val="004D58BF"/>
    <w:rsid w:val="004D6388"/>
    <w:rsid w:val="004E4335"/>
    <w:rsid w:val="004E59FE"/>
    <w:rsid w:val="004E5ACF"/>
    <w:rsid w:val="004F13EE"/>
    <w:rsid w:val="004F2022"/>
    <w:rsid w:val="004F7C05"/>
    <w:rsid w:val="00501352"/>
    <w:rsid w:val="00501C94"/>
    <w:rsid w:val="00502523"/>
    <w:rsid w:val="00506432"/>
    <w:rsid w:val="0051242B"/>
    <w:rsid w:val="005144E0"/>
    <w:rsid w:val="0052051D"/>
    <w:rsid w:val="00545EE6"/>
    <w:rsid w:val="005473B1"/>
    <w:rsid w:val="005550E7"/>
    <w:rsid w:val="005564FB"/>
    <w:rsid w:val="005572C7"/>
    <w:rsid w:val="005650ED"/>
    <w:rsid w:val="00570340"/>
    <w:rsid w:val="00575754"/>
    <w:rsid w:val="0058168B"/>
    <w:rsid w:val="00591E20"/>
    <w:rsid w:val="005928E2"/>
    <w:rsid w:val="00595408"/>
    <w:rsid w:val="00595E84"/>
    <w:rsid w:val="005A0C59"/>
    <w:rsid w:val="005A48EB"/>
    <w:rsid w:val="005A6CFB"/>
    <w:rsid w:val="005C5AEB"/>
    <w:rsid w:val="005D469B"/>
    <w:rsid w:val="005E0A3F"/>
    <w:rsid w:val="005E6883"/>
    <w:rsid w:val="005E772F"/>
    <w:rsid w:val="005F4ECA"/>
    <w:rsid w:val="005F53D4"/>
    <w:rsid w:val="00603453"/>
    <w:rsid w:val="006041BE"/>
    <w:rsid w:val="006043C7"/>
    <w:rsid w:val="00624B52"/>
    <w:rsid w:val="00631DF4"/>
    <w:rsid w:val="00634175"/>
    <w:rsid w:val="006408AC"/>
    <w:rsid w:val="006451BE"/>
    <w:rsid w:val="006511B6"/>
    <w:rsid w:val="00652742"/>
    <w:rsid w:val="00653B07"/>
    <w:rsid w:val="00657FF8"/>
    <w:rsid w:val="00670D99"/>
    <w:rsid w:val="00670E2B"/>
    <w:rsid w:val="006734BB"/>
    <w:rsid w:val="00681A34"/>
    <w:rsid w:val="006821EB"/>
    <w:rsid w:val="00684E2B"/>
    <w:rsid w:val="00685886"/>
    <w:rsid w:val="006B2286"/>
    <w:rsid w:val="006B420E"/>
    <w:rsid w:val="006B56BB"/>
    <w:rsid w:val="006B6E5F"/>
    <w:rsid w:val="006C4B3B"/>
    <w:rsid w:val="006C77A8"/>
    <w:rsid w:val="006D4098"/>
    <w:rsid w:val="006D594A"/>
    <w:rsid w:val="006D7681"/>
    <w:rsid w:val="006D7B2E"/>
    <w:rsid w:val="006E02EA"/>
    <w:rsid w:val="006E0968"/>
    <w:rsid w:val="006E2AF6"/>
    <w:rsid w:val="006F0EE8"/>
    <w:rsid w:val="006F0FF2"/>
    <w:rsid w:val="00701275"/>
    <w:rsid w:val="00707F56"/>
    <w:rsid w:val="00713558"/>
    <w:rsid w:val="0071512A"/>
    <w:rsid w:val="00715E25"/>
    <w:rsid w:val="00720D08"/>
    <w:rsid w:val="007263B9"/>
    <w:rsid w:val="007334F8"/>
    <w:rsid w:val="007339CD"/>
    <w:rsid w:val="00734FD4"/>
    <w:rsid w:val="0073506B"/>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E486F"/>
    <w:rsid w:val="007F2220"/>
    <w:rsid w:val="007F4B3E"/>
    <w:rsid w:val="007F588A"/>
    <w:rsid w:val="007F5EEC"/>
    <w:rsid w:val="00800B6C"/>
    <w:rsid w:val="008127AF"/>
    <w:rsid w:val="00812B46"/>
    <w:rsid w:val="00815700"/>
    <w:rsid w:val="00817B70"/>
    <w:rsid w:val="008264EB"/>
    <w:rsid w:val="00826B8F"/>
    <w:rsid w:val="00831973"/>
    <w:rsid w:val="00831E8A"/>
    <w:rsid w:val="00835C76"/>
    <w:rsid w:val="008424E9"/>
    <w:rsid w:val="00843049"/>
    <w:rsid w:val="00846800"/>
    <w:rsid w:val="0085209B"/>
    <w:rsid w:val="00856179"/>
    <w:rsid w:val="00856B66"/>
    <w:rsid w:val="00861A5F"/>
    <w:rsid w:val="008644AD"/>
    <w:rsid w:val="00865735"/>
    <w:rsid w:val="00865DDB"/>
    <w:rsid w:val="00866AC8"/>
    <w:rsid w:val="00867538"/>
    <w:rsid w:val="00873D90"/>
    <w:rsid w:val="00873FC8"/>
    <w:rsid w:val="00882F97"/>
    <w:rsid w:val="00884989"/>
    <w:rsid w:val="00884C63"/>
    <w:rsid w:val="00885908"/>
    <w:rsid w:val="008864B7"/>
    <w:rsid w:val="0089677E"/>
    <w:rsid w:val="00896E8C"/>
    <w:rsid w:val="008A0C87"/>
    <w:rsid w:val="008A16E1"/>
    <w:rsid w:val="008A7438"/>
    <w:rsid w:val="008B1334"/>
    <w:rsid w:val="008C0278"/>
    <w:rsid w:val="008C24E9"/>
    <w:rsid w:val="008D0533"/>
    <w:rsid w:val="008D42CB"/>
    <w:rsid w:val="008D48C9"/>
    <w:rsid w:val="008D5B79"/>
    <w:rsid w:val="008D6381"/>
    <w:rsid w:val="008E0C77"/>
    <w:rsid w:val="008E625F"/>
    <w:rsid w:val="008F264D"/>
    <w:rsid w:val="00905441"/>
    <w:rsid w:val="009074E1"/>
    <w:rsid w:val="009112F7"/>
    <w:rsid w:val="00911D19"/>
    <w:rsid w:val="009122AF"/>
    <w:rsid w:val="009127BC"/>
    <w:rsid w:val="00912D54"/>
    <w:rsid w:val="0091389F"/>
    <w:rsid w:val="00914F0F"/>
    <w:rsid w:val="009208F7"/>
    <w:rsid w:val="00922517"/>
    <w:rsid w:val="00922722"/>
    <w:rsid w:val="009261E6"/>
    <w:rsid w:val="009268E1"/>
    <w:rsid w:val="00945E7F"/>
    <w:rsid w:val="009557C1"/>
    <w:rsid w:val="00960D6E"/>
    <w:rsid w:val="00972BC1"/>
    <w:rsid w:val="00974B59"/>
    <w:rsid w:val="00977336"/>
    <w:rsid w:val="0098340B"/>
    <w:rsid w:val="00986830"/>
    <w:rsid w:val="009924C3"/>
    <w:rsid w:val="00993102"/>
    <w:rsid w:val="009A2E6D"/>
    <w:rsid w:val="009C4A39"/>
    <w:rsid w:val="009C6F10"/>
    <w:rsid w:val="009C7A41"/>
    <w:rsid w:val="009D148F"/>
    <w:rsid w:val="009D2626"/>
    <w:rsid w:val="009D393B"/>
    <w:rsid w:val="009D3D70"/>
    <w:rsid w:val="009E31BF"/>
    <w:rsid w:val="009E6F7E"/>
    <w:rsid w:val="009E7A57"/>
    <w:rsid w:val="009F4F6A"/>
    <w:rsid w:val="009F65D0"/>
    <w:rsid w:val="00A04084"/>
    <w:rsid w:val="00A16E36"/>
    <w:rsid w:val="00A24961"/>
    <w:rsid w:val="00A24B10"/>
    <w:rsid w:val="00A30E9B"/>
    <w:rsid w:val="00A403A3"/>
    <w:rsid w:val="00A4512D"/>
    <w:rsid w:val="00A50244"/>
    <w:rsid w:val="00A52CAA"/>
    <w:rsid w:val="00A56F17"/>
    <w:rsid w:val="00A627D7"/>
    <w:rsid w:val="00A656C7"/>
    <w:rsid w:val="00A705AF"/>
    <w:rsid w:val="00A72454"/>
    <w:rsid w:val="00A772BF"/>
    <w:rsid w:val="00A77696"/>
    <w:rsid w:val="00A80557"/>
    <w:rsid w:val="00A81D33"/>
    <w:rsid w:val="00A84323"/>
    <w:rsid w:val="00A930AE"/>
    <w:rsid w:val="00AA1A95"/>
    <w:rsid w:val="00AA260F"/>
    <w:rsid w:val="00AA36D9"/>
    <w:rsid w:val="00AA689D"/>
    <w:rsid w:val="00AB1EE7"/>
    <w:rsid w:val="00AB4B37"/>
    <w:rsid w:val="00AB5762"/>
    <w:rsid w:val="00AB5DDD"/>
    <w:rsid w:val="00AC0E5A"/>
    <w:rsid w:val="00AC2679"/>
    <w:rsid w:val="00AC4BE4"/>
    <w:rsid w:val="00AC6BF9"/>
    <w:rsid w:val="00AD05E6"/>
    <w:rsid w:val="00AD0D3F"/>
    <w:rsid w:val="00AD38CF"/>
    <w:rsid w:val="00AE1D7D"/>
    <w:rsid w:val="00AE21B7"/>
    <w:rsid w:val="00AE2A8B"/>
    <w:rsid w:val="00AE3F64"/>
    <w:rsid w:val="00AE474A"/>
    <w:rsid w:val="00AF7386"/>
    <w:rsid w:val="00AF7934"/>
    <w:rsid w:val="00B00B81"/>
    <w:rsid w:val="00B04580"/>
    <w:rsid w:val="00B04B09"/>
    <w:rsid w:val="00B1370F"/>
    <w:rsid w:val="00B15E58"/>
    <w:rsid w:val="00B16A51"/>
    <w:rsid w:val="00B25440"/>
    <w:rsid w:val="00B32222"/>
    <w:rsid w:val="00B34990"/>
    <w:rsid w:val="00B3618D"/>
    <w:rsid w:val="00B36233"/>
    <w:rsid w:val="00B42851"/>
    <w:rsid w:val="00B45AC7"/>
    <w:rsid w:val="00B5372F"/>
    <w:rsid w:val="00B61129"/>
    <w:rsid w:val="00B67E7F"/>
    <w:rsid w:val="00B75A04"/>
    <w:rsid w:val="00B839B2"/>
    <w:rsid w:val="00B94252"/>
    <w:rsid w:val="00B961DA"/>
    <w:rsid w:val="00B9715A"/>
    <w:rsid w:val="00BA0EB6"/>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044C"/>
    <w:rsid w:val="00C00930"/>
    <w:rsid w:val="00C03737"/>
    <w:rsid w:val="00C060AD"/>
    <w:rsid w:val="00C0670D"/>
    <w:rsid w:val="00C113BF"/>
    <w:rsid w:val="00C2176E"/>
    <w:rsid w:val="00C23430"/>
    <w:rsid w:val="00C27D67"/>
    <w:rsid w:val="00C4631F"/>
    <w:rsid w:val="00C50E16"/>
    <w:rsid w:val="00C55258"/>
    <w:rsid w:val="00C746AF"/>
    <w:rsid w:val="00C74BAE"/>
    <w:rsid w:val="00C82EEB"/>
    <w:rsid w:val="00C971DC"/>
    <w:rsid w:val="00CA16B7"/>
    <w:rsid w:val="00CA4BE3"/>
    <w:rsid w:val="00CA62AE"/>
    <w:rsid w:val="00CB1A86"/>
    <w:rsid w:val="00CB1D83"/>
    <w:rsid w:val="00CB4E60"/>
    <w:rsid w:val="00CB5B1A"/>
    <w:rsid w:val="00CC220B"/>
    <w:rsid w:val="00CC2930"/>
    <w:rsid w:val="00CC5C43"/>
    <w:rsid w:val="00CD02AE"/>
    <w:rsid w:val="00CD2A4F"/>
    <w:rsid w:val="00CE03CA"/>
    <w:rsid w:val="00CE22F1"/>
    <w:rsid w:val="00CE50F2"/>
    <w:rsid w:val="00CE6502"/>
    <w:rsid w:val="00CF7D3C"/>
    <w:rsid w:val="00D147EB"/>
    <w:rsid w:val="00D34667"/>
    <w:rsid w:val="00D401E1"/>
    <w:rsid w:val="00D408B4"/>
    <w:rsid w:val="00D429B1"/>
    <w:rsid w:val="00D45D94"/>
    <w:rsid w:val="00D524C8"/>
    <w:rsid w:val="00D5487F"/>
    <w:rsid w:val="00D60E25"/>
    <w:rsid w:val="00D70E24"/>
    <w:rsid w:val="00D72B61"/>
    <w:rsid w:val="00D76F98"/>
    <w:rsid w:val="00D80ADA"/>
    <w:rsid w:val="00DA3D1D"/>
    <w:rsid w:val="00DB0138"/>
    <w:rsid w:val="00DB3750"/>
    <w:rsid w:val="00DB6286"/>
    <w:rsid w:val="00DB645F"/>
    <w:rsid w:val="00DB76E9"/>
    <w:rsid w:val="00DC0A67"/>
    <w:rsid w:val="00DC1D5E"/>
    <w:rsid w:val="00DC2313"/>
    <w:rsid w:val="00DC5220"/>
    <w:rsid w:val="00DC7910"/>
    <w:rsid w:val="00DD2061"/>
    <w:rsid w:val="00DD7DAB"/>
    <w:rsid w:val="00DE3355"/>
    <w:rsid w:val="00DE6FA7"/>
    <w:rsid w:val="00DF486F"/>
    <w:rsid w:val="00DF5B5B"/>
    <w:rsid w:val="00DF7619"/>
    <w:rsid w:val="00E02094"/>
    <w:rsid w:val="00E042D8"/>
    <w:rsid w:val="00E07EE7"/>
    <w:rsid w:val="00E1103B"/>
    <w:rsid w:val="00E111B8"/>
    <w:rsid w:val="00E17B44"/>
    <w:rsid w:val="00E27FEA"/>
    <w:rsid w:val="00E4086F"/>
    <w:rsid w:val="00E43B3C"/>
    <w:rsid w:val="00E44C0A"/>
    <w:rsid w:val="00E50188"/>
    <w:rsid w:val="00E515CB"/>
    <w:rsid w:val="00E52260"/>
    <w:rsid w:val="00E57895"/>
    <w:rsid w:val="00E639B6"/>
    <w:rsid w:val="00E6434B"/>
    <w:rsid w:val="00E6463D"/>
    <w:rsid w:val="00E72E9B"/>
    <w:rsid w:val="00E849DA"/>
    <w:rsid w:val="00E9462E"/>
    <w:rsid w:val="00EA470E"/>
    <w:rsid w:val="00EA47A7"/>
    <w:rsid w:val="00EA57EB"/>
    <w:rsid w:val="00EA637E"/>
    <w:rsid w:val="00EB3226"/>
    <w:rsid w:val="00EB37FF"/>
    <w:rsid w:val="00EC213A"/>
    <w:rsid w:val="00EC6603"/>
    <w:rsid w:val="00EC7744"/>
    <w:rsid w:val="00ED03A0"/>
    <w:rsid w:val="00ED0DAD"/>
    <w:rsid w:val="00ED0F46"/>
    <w:rsid w:val="00ED2373"/>
    <w:rsid w:val="00ED25A1"/>
    <w:rsid w:val="00ED65B2"/>
    <w:rsid w:val="00EE3E8A"/>
    <w:rsid w:val="00EF6ECA"/>
    <w:rsid w:val="00F024E1"/>
    <w:rsid w:val="00F03EDB"/>
    <w:rsid w:val="00F06C10"/>
    <w:rsid w:val="00F1096F"/>
    <w:rsid w:val="00F12589"/>
    <w:rsid w:val="00F12595"/>
    <w:rsid w:val="00F134D9"/>
    <w:rsid w:val="00F1403D"/>
    <w:rsid w:val="00F1463F"/>
    <w:rsid w:val="00F21302"/>
    <w:rsid w:val="00F321DE"/>
    <w:rsid w:val="00F33267"/>
    <w:rsid w:val="00F33777"/>
    <w:rsid w:val="00F40648"/>
    <w:rsid w:val="00F438E8"/>
    <w:rsid w:val="00F46B65"/>
    <w:rsid w:val="00F47DA2"/>
    <w:rsid w:val="00F519FC"/>
    <w:rsid w:val="00F6239D"/>
    <w:rsid w:val="00F715D2"/>
    <w:rsid w:val="00F7274F"/>
    <w:rsid w:val="00F76FA8"/>
    <w:rsid w:val="00F91639"/>
    <w:rsid w:val="00F93F08"/>
    <w:rsid w:val="00F94CED"/>
    <w:rsid w:val="00FA2CEE"/>
    <w:rsid w:val="00FA318C"/>
    <w:rsid w:val="00FB6F92"/>
    <w:rsid w:val="00FC026E"/>
    <w:rsid w:val="00FC5124"/>
    <w:rsid w:val="00FD4731"/>
    <w:rsid w:val="00FE47F4"/>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49421"/>
  <w15:docId w15:val="{C9E820D1-778F-438B-82E3-F9B6FE5F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TOCHeading">
    <w:name w:val="TOC Heading"/>
    <w:basedOn w:val="Heading1"/>
    <w:next w:val="Normal"/>
    <w:uiPriority w:val="39"/>
    <w:unhideWhenUsed/>
    <w:qFormat/>
    <w:rsid w:val="000C66AA"/>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ED65B2"/>
    <w:pPr>
      <w:tabs>
        <w:tab w:val="right" w:leader="dot" w:pos="9060"/>
      </w:tabs>
      <w:spacing w:after="100"/>
    </w:pPr>
  </w:style>
  <w:style w:type="paragraph" w:customStyle="1" w:styleId="xmsonormal">
    <w:name w:val="x_msonormal"/>
    <w:basedOn w:val="Normal"/>
    <w:rsid w:val="0004634D"/>
    <w:rPr>
      <w:rFonts w:ascii="Calibri" w:eastAsiaTheme="minorHAnsi" w:hAnsi="Calibri" w:cs="Calibri"/>
      <w:szCs w:val="22"/>
      <w:lang w:val="en-US"/>
    </w:rPr>
  </w:style>
  <w:style w:type="paragraph" w:customStyle="1" w:styleId="xmsolistparagraph">
    <w:name w:val="x_msolistparagraph"/>
    <w:basedOn w:val="Normal"/>
    <w:rsid w:val="0004634D"/>
    <w:pPr>
      <w:ind w:left="720"/>
    </w:pPr>
    <w:rPr>
      <w:rFonts w:eastAsiaTheme="minorHAnsi" w:cs="Arial"/>
      <w:sz w:val="21"/>
      <w:szCs w:val="21"/>
      <w:lang w:val="en-US"/>
    </w:rPr>
  </w:style>
  <w:style w:type="paragraph" w:styleId="Revision">
    <w:name w:val="Revision"/>
    <w:hidden/>
    <w:uiPriority w:val="99"/>
    <w:semiHidden/>
    <w:rsid w:val="002563FF"/>
    <w:rPr>
      <w:rFonts w:ascii="Arial" w:hAnsi="Arial"/>
      <w:sz w:val="22"/>
      <w:szCs w:val="24"/>
      <w:lang w:eastAsia="en-US"/>
    </w:rPr>
  </w:style>
  <w:style w:type="character" w:styleId="CommentReference">
    <w:name w:val="annotation reference"/>
    <w:basedOn w:val="DefaultParagraphFont"/>
    <w:semiHidden/>
    <w:unhideWhenUsed/>
    <w:rsid w:val="001B4ECB"/>
    <w:rPr>
      <w:sz w:val="16"/>
      <w:szCs w:val="16"/>
    </w:rPr>
  </w:style>
  <w:style w:type="paragraph" w:styleId="CommentText">
    <w:name w:val="annotation text"/>
    <w:basedOn w:val="Normal"/>
    <w:link w:val="CommentTextChar"/>
    <w:unhideWhenUsed/>
    <w:rsid w:val="001B4ECB"/>
    <w:rPr>
      <w:sz w:val="20"/>
      <w:szCs w:val="20"/>
    </w:rPr>
  </w:style>
  <w:style w:type="character" w:customStyle="1" w:styleId="CommentTextChar">
    <w:name w:val="Comment Text Char"/>
    <w:basedOn w:val="DefaultParagraphFont"/>
    <w:link w:val="CommentText"/>
    <w:rsid w:val="001B4ECB"/>
    <w:rPr>
      <w:rFonts w:ascii="Arial" w:hAnsi="Arial"/>
      <w:lang w:eastAsia="en-US"/>
    </w:rPr>
  </w:style>
  <w:style w:type="paragraph" w:styleId="CommentSubject">
    <w:name w:val="annotation subject"/>
    <w:basedOn w:val="CommentText"/>
    <w:next w:val="CommentText"/>
    <w:link w:val="CommentSubjectChar"/>
    <w:semiHidden/>
    <w:unhideWhenUsed/>
    <w:rsid w:val="001B4ECB"/>
    <w:rPr>
      <w:b/>
      <w:bCs/>
    </w:rPr>
  </w:style>
  <w:style w:type="character" w:customStyle="1" w:styleId="CommentSubjectChar">
    <w:name w:val="Comment Subject Char"/>
    <w:basedOn w:val="CommentTextChar"/>
    <w:link w:val="CommentSubject"/>
    <w:semiHidden/>
    <w:rsid w:val="001B4ECB"/>
    <w:rPr>
      <w:rFonts w:ascii="Arial" w:hAnsi="Arial"/>
      <w:b/>
      <w:bCs/>
      <w:lang w:eastAsia="en-US"/>
    </w:rPr>
  </w:style>
  <w:style w:type="character" w:customStyle="1" w:styleId="cf01">
    <w:name w:val="cf01"/>
    <w:basedOn w:val="DefaultParagraphFont"/>
    <w:rsid w:val="00E111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2</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Metal-backed patellae – Departmental Post-listing review report</dc:title>
  <dc:subject>Medical devices</dc:subject>
  <dc:creator>Australian Government Department of Health and Aged Care</dc:creator>
  <cp:keywords>Medical devices</cp:keywords>
  <cp:lastModifiedBy>Australian Government Department of Health and Aged </cp:lastModifiedBy>
  <cp:revision>2</cp:revision>
  <dcterms:created xsi:type="dcterms:W3CDTF">2024-05-21T22:42:00Z</dcterms:created>
  <dcterms:modified xsi:type="dcterms:W3CDTF">2024-05-21T22:42:00Z</dcterms:modified>
</cp:coreProperties>
</file>