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7217" w14:textId="77777777" w:rsidR="00BA2732" w:rsidRDefault="00F774F6" w:rsidP="0068134A">
      <w:pPr>
        <w:pStyle w:val="Heading1"/>
      </w:pPr>
      <w:r>
        <w:t>Mental Health Reform Advisory Committee</w:t>
      </w:r>
    </w:p>
    <w:p w14:paraId="31098BB6" w14:textId="77777777" w:rsidR="008376E2" w:rsidRPr="008376E2" w:rsidRDefault="008376E2" w:rsidP="00DE6AD6">
      <w:pPr>
        <w:sectPr w:rsidR="008376E2" w:rsidRPr="008376E2" w:rsidSect="0068134A"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418" w:header="851" w:footer="510" w:gutter="0"/>
          <w:cols w:space="708"/>
          <w:titlePg/>
          <w:docGrid w:linePitch="360"/>
        </w:sectPr>
      </w:pPr>
    </w:p>
    <w:p w14:paraId="5641972A" w14:textId="546F47A1" w:rsidR="00F774F6" w:rsidRDefault="00F774F6" w:rsidP="00F774F6">
      <w:pPr>
        <w:pStyle w:val="Heading2"/>
      </w:pPr>
      <w:r>
        <w:t xml:space="preserve">Meeting </w:t>
      </w:r>
      <w:r w:rsidR="00A47986">
        <w:t>5</w:t>
      </w:r>
      <w:r>
        <w:t xml:space="preserve"> </w:t>
      </w:r>
      <w:r w:rsidR="00042722">
        <w:t>S</w:t>
      </w:r>
      <w:r>
        <w:t xml:space="preserve">ummary – </w:t>
      </w:r>
      <w:r w:rsidR="00A47986">
        <w:t>8</w:t>
      </w:r>
      <w:r w:rsidR="00B4628E">
        <w:t xml:space="preserve"> </w:t>
      </w:r>
      <w:r w:rsidR="00A47986">
        <w:t>March</w:t>
      </w:r>
      <w:r>
        <w:t xml:space="preserve"> 202</w:t>
      </w:r>
      <w:r w:rsidR="00A47986">
        <w:t>4</w:t>
      </w:r>
    </w:p>
    <w:p w14:paraId="2D511321" w14:textId="2FEE5746" w:rsidR="004D554B" w:rsidRPr="004C7942" w:rsidRDefault="004D554B" w:rsidP="004C7942">
      <w:r w:rsidRPr="004C7942">
        <w:t xml:space="preserve">The advisory committee </w:t>
      </w:r>
      <w:r w:rsidR="00A912B2">
        <w:t>met for the fifth time on</w:t>
      </w:r>
      <w:r w:rsidRPr="004C7942">
        <w:t xml:space="preserve"> </w:t>
      </w:r>
      <w:r w:rsidR="00A47986">
        <w:t>8</w:t>
      </w:r>
      <w:r w:rsidR="008D3B3C" w:rsidRPr="004C7942">
        <w:t xml:space="preserve"> </w:t>
      </w:r>
      <w:r w:rsidR="00A47986">
        <w:t>March</w:t>
      </w:r>
      <w:r w:rsidRPr="004C7942">
        <w:t xml:space="preserve"> </w:t>
      </w:r>
      <w:r w:rsidR="00A47986">
        <w:t>2024</w:t>
      </w:r>
      <w:r w:rsidRPr="004C7942">
        <w:t>.</w:t>
      </w:r>
    </w:p>
    <w:p w14:paraId="0B541549" w14:textId="6596F26B" w:rsidR="00665B90" w:rsidRPr="00665B90" w:rsidRDefault="00665B90" w:rsidP="00665B90">
      <w:pPr>
        <w:rPr>
          <w:rStyle w:val="normaltextrun"/>
        </w:rPr>
      </w:pPr>
      <w:r>
        <w:t xml:space="preserve">Members </w:t>
      </w:r>
      <w:r w:rsidR="00EE2C53">
        <w:t>acknowledged</w:t>
      </w:r>
      <w:r>
        <w:t xml:space="preserve"> Australia’s mental health system is facing the same deep, structural challenges as the broader health system. Addressing these challenges require</w:t>
      </w:r>
      <w:r w:rsidR="7E3095C3">
        <w:t>s</w:t>
      </w:r>
      <w:r>
        <w:t xml:space="preserve"> a staged approach, closely considered in the context of work underway including the renegotiation of the National Health Reform Agreement</w:t>
      </w:r>
      <w:r w:rsidR="00994AA8">
        <w:t>,</w:t>
      </w:r>
      <w:r w:rsidR="06963C9C">
        <w:t xml:space="preserve"> the Government’s response to the National Disability Insurance Scheme (NDIS) Review</w:t>
      </w:r>
      <w:r w:rsidR="00994AA8">
        <w:t xml:space="preserve"> and the Government’s Strengthening Medicare reforms</w:t>
      </w:r>
      <w:r>
        <w:t xml:space="preserve">. </w:t>
      </w:r>
    </w:p>
    <w:p w14:paraId="2C964AFA" w14:textId="650AF19C" w:rsidR="00AD0065" w:rsidRDefault="004003AA" w:rsidP="00E2538A">
      <w:r>
        <w:t xml:space="preserve">Members discussed </w:t>
      </w:r>
      <w:r w:rsidR="00C65058">
        <w:t>the rapid development of commercial AI solutions over the last 18 months</w:t>
      </w:r>
      <w:r w:rsidR="0082507C">
        <w:t xml:space="preserve"> and the international experience of AI in health services.</w:t>
      </w:r>
      <w:r w:rsidR="00E2538A">
        <w:t xml:space="preserve"> </w:t>
      </w:r>
      <w:r w:rsidR="00B20266">
        <w:t xml:space="preserve">Members noted </w:t>
      </w:r>
      <w:r w:rsidR="00AD0065">
        <w:t>the need to consider ethical, legal, safety and regulatory risks</w:t>
      </w:r>
      <w:r w:rsidR="0082507C">
        <w:t xml:space="preserve"> in an Australian context</w:t>
      </w:r>
      <w:r w:rsidR="4EB5CB9D">
        <w:t xml:space="preserve">. </w:t>
      </w:r>
      <w:r w:rsidR="0E467B3D">
        <w:t>Challenges to consider include</w:t>
      </w:r>
      <w:r w:rsidR="00626F82">
        <w:t xml:space="preserve"> varying levels of AI and digital literacy, access to technology, and digital health acceptance and trust</w:t>
      </w:r>
      <w:r w:rsidR="00C71B73">
        <w:t xml:space="preserve"> amongst health professionals and the community</w:t>
      </w:r>
      <w:r w:rsidR="00626F82">
        <w:t xml:space="preserve">. </w:t>
      </w:r>
      <w:r w:rsidR="00AD0065">
        <w:t>Th</w:t>
      </w:r>
      <w:r w:rsidR="523BC386">
        <w:t>ese</w:t>
      </w:r>
      <w:r w:rsidR="00AD0065">
        <w:t xml:space="preserve"> </w:t>
      </w:r>
      <w:r w:rsidR="1BD582C3">
        <w:t xml:space="preserve">are </w:t>
      </w:r>
      <w:r w:rsidR="00AD0065">
        <w:t xml:space="preserve">particularly pertinent in the mental health system, </w:t>
      </w:r>
      <w:r w:rsidR="00B9399E">
        <w:t xml:space="preserve">due to the sensitivity of health data and risks to patient safety.  </w:t>
      </w:r>
    </w:p>
    <w:p w14:paraId="4C565CAE" w14:textId="1CA316A9" w:rsidR="004004B1" w:rsidRDefault="00B9399E" w:rsidP="006A4ED8">
      <w:r>
        <w:t xml:space="preserve">Members </w:t>
      </w:r>
      <w:r w:rsidR="00860D0D">
        <w:t>considered</w:t>
      </w:r>
      <w:r w:rsidR="004004B1">
        <w:t xml:space="preserve"> future priorities for mental health reform</w:t>
      </w:r>
      <w:r w:rsidR="00B836DF">
        <w:t xml:space="preserve"> in the immediate and longer-term</w:t>
      </w:r>
      <w:r w:rsidR="004004B1">
        <w:t xml:space="preserve"> in relation to </w:t>
      </w:r>
      <w:r w:rsidR="00B836DF">
        <w:t>the</w:t>
      </w:r>
      <w:r w:rsidR="004004B1">
        <w:rPr>
          <w:rStyle w:val="normaltextrun"/>
          <w:rFonts w:eastAsiaTheme="majorEastAsia" w:cs="Arial"/>
          <w:szCs w:val="22"/>
        </w:rPr>
        <w:t xml:space="preserve"> advisory committee’s key areas of focus</w:t>
      </w:r>
      <w:r w:rsidR="00860D0D">
        <w:rPr>
          <w:rStyle w:val="normaltextrun"/>
          <w:rFonts w:eastAsiaTheme="majorEastAsia" w:cs="Arial"/>
          <w:szCs w:val="22"/>
        </w:rPr>
        <w:t xml:space="preserve"> over the past six months</w:t>
      </w:r>
      <w:r w:rsidR="004004B1">
        <w:rPr>
          <w:rStyle w:val="normaltextrun"/>
          <w:rFonts w:eastAsiaTheme="majorEastAsia" w:cs="Arial"/>
          <w:szCs w:val="22"/>
        </w:rPr>
        <w:t>:</w:t>
      </w:r>
      <w:r w:rsidR="004004B1">
        <w:rPr>
          <w:rStyle w:val="eop"/>
          <w:rFonts w:cs="Arial"/>
          <w:szCs w:val="22"/>
        </w:rPr>
        <w:t> </w:t>
      </w:r>
    </w:p>
    <w:p w14:paraId="14150F43" w14:textId="77777777" w:rsidR="006A4ED8" w:rsidRDefault="00AD477B" w:rsidP="006A4ED8">
      <w:pPr>
        <w:pStyle w:val="ListParagraph"/>
        <w:numPr>
          <w:ilvl w:val="0"/>
          <w:numId w:val="43"/>
        </w:numPr>
        <w:rPr>
          <w:rStyle w:val="eop"/>
          <w:rFonts w:cs="Arial"/>
          <w:szCs w:val="22"/>
        </w:rPr>
      </w:pPr>
      <w:r w:rsidRPr="006A4ED8">
        <w:rPr>
          <w:rStyle w:val="normaltextrun"/>
          <w:rFonts w:eastAsiaTheme="majorEastAsia" w:cs="Arial"/>
          <w:szCs w:val="22"/>
        </w:rPr>
        <w:t>distributional equity of mental health care</w:t>
      </w:r>
    </w:p>
    <w:p w14:paraId="1EFF49A0" w14:textId="77777777" w:rsidR="006A4ED8" w:rsidRDefault="00AD477B" w:rsidP="006A4ED8">
      <w:pPr>
        <w:pStyle w:val="ListParagraph"/>
        <w:numPr>
          <w:ilvl w:val="0"/>
          <w:numId w:val="43"/>
        </w:numPr>
        <w:rPr>
          <w:rStyle w:val="eop"/>
          <w:rFonts w:cs="Arial"/>
          <w:szCs w:val="22"/>
        </w:rPr>
      </w:pPr>
      <w:r w:rsidRPr="006A4ED8">
        <w:rPr>
          <w:rStyle w:val="normaltextrun"/>
          <w:rFonts w:eastAsiaTheme="majorEastAsia" w:cs="Arial"/>
          <w:szCs w:val="22"/>
        </w:rPr>
        <w:t>low intensity services and models of care</w:t>
      </w:r>
      <w:r w:rsidRPr="006A4ED8">
        <w:rPr>
          <w:rStyle w:val="eop"/>
          <w:rFonts w:cs="Arial"/>
          <w:szCs w:val="22"/>
        </w:rPr>
        <w:t> </w:t>
      </w:r>
    </w:p>
    <w:p w14:paraId="366B3130" w14:textId="77777777" w:rsidR="006A4ED8" w:rsidRDefault="00AD477B" w:rsidP="006A4ED8">
      <w:pPr>
        <w:pStyle w:val="ListParagraph"/>
        <w:numPr>
          <w:ilvl w:val="0"/>
          <w:numId w:val="43"/>
        </w:numPr>
        <w:rPr>
          <w:rStyle w:val="eop"/>
          <w:rFonts w:cs="Arial"/>
          <w:szCs w:val="22"/>
        </w:rPr>
      </w:pPr>
      <w:r w:rsidRPr="006A4ED8">
        <w:rPr>
          <w:rStyle w:val="normaltextrun"/>
          <w:rFonts w:eastAsiaTheme="majorEastAsia" w:cs="Arial"/>
          <w:szCs w:val="22"/>
        </w:rPr>
        <w:t>solutions for people with complex needs, and</w:t>
      </w:r>
      <w:r w:rsidRPr="006A4ED8">
        <w:rPr>
          <w:rStyle w:val="eop"/>
          <w:rFonts w:cs="Arial"/>
          <w:szCs w:val="22"/>
        </w:rPr>
        <w:t> </w:t>
      </w:r>
    </w:p>
    <w:p w14:paraId="5933FDCB" w14:textId="585AD37E" w:rsidR="000E28DD" w:rsidRPr="00972D50" w:rsidRDefault="00AD477B" w:rsidP="004C7942">
      <w:pPr>
        <w:pStyle w:val="ListParagraph"/>
        <w:numPr>
          <w:ilvl w:val="0"/>
          <w:numId w:val="43"/>
        </w:numPr>
        <w:rPr>
          <w:rStyle w:val="normaltextrun"/>
          <w:rFonts w:cs="Arial"/>
          <w:szCs w:val="22"/>
        </w:rPr>
      </w:pPr>
      <w:r w:rsidRPr="006A4ED8">
        <w:rPr>
          <w:rStyle w:val="normaltextrun"/>
          <w:rFonts w:eastAsiaTheme="majorEastAsia" w:cs="Arial"/>
          <w:szCs w:val="22"/>
        </w:rPr>
        <w:t>triage, assessment and referral.</w:t>
      </w:r>
      <w:r w:rsidRPr="006A4ED8">
        <w:rPr>
          <w:rStyle w:val="eop"/>
          <w:rFonts w:cs="Arial"/>
          <w:szCs w:val="22"/>
        </w:rPr>
        <w:t> </w:t>
      </w:r>
    </w:p>
    <w:p w14:paraId="01E290B5" w14:textId="336B3A2A" w:rsidR="00972D50" w:rsidRDefault="001E330C" w:rsidP="00972D50">
      <w:pPr>
        <w:rPr>
          <w:rStyle w:val="normaltextrun"/>
          <w:rFonts w:eastAsiaTheme="majorEastAsia" w:cs="Arial"/>
          <w:szCs w:val="22"/>
        </w:rPr>
      </w:pPr>
      <w:r>
        <w:rPr>
          <w:rStyle w:val="normaltextrun"/>
          <w:rFonts w:cs="Arial"/>
          <w:szCs w:val="22"/>
        </w:rPr>
        <w:t>M</w:t>
      </w:r>
      <w:r w:rsidR="00972D50" w:rsidRPr="00972D50">
        <w:rPr>
          <w:rStyle w:val="normaltextrun"/>
          <w:rFonts w:eastAsiaTheme="majorEastAsia" w:cs="Arial"/>
          <w:szCs w:val="22"/>
        </w:rPr>
        <w:t>embers emphasised the need for models of care outside of Medicare-subsidised clinical treatment</w:t>
      </w:r>
      <w:r w:rsidR="009A61A3">
        <w:rPr>
          <w:rStyle w:val="normaltextrun"/>
          <w:rFonts w:eastAsiaTheme="majorEastAsia" w:cs="Arial"/>
          <w:szCs w:val="22"/>
        </w:rPr>
        <w:t>, including greater use of low intensity digital services,</w:t>
      </w:r>
      <w:r w:rsidR="00972D50" w:rsidRPr="00972D50">
        <w:rPr>
          <w:rStyle w:val="normaltextrun"/>
          <w:rFonts w:eastAsiaTheme="majorEastAsia" w:cs="Arial"/>
          <w:szCs w:val="22"/>
        </w:rPr>
        <w:t xml:space="preserve"> and better targeting of clinical treatment.</w:t>
      </w:r>
      <w:r w:rsidR="00875C8F" w:rsidRPr="00875C8F">
        <w:rPr>
          <w:rStyle w:val="normaltextrun"/>
          <w:rFonts w:eastAsiaTheme="majorEastAsia"/>
        </w:rPr>
        <w:t xml:space="preserve"> </w:t>
      </w:r>
    </w:p>
    <w:p w14:paraId="64E737A6" w14:textId="646BF01F" w:rsidR="001E330C" w:rsidRDefault="00665B90" w:rsidP="004C7942">
      <w:pPr>
        <w:rPr>
          <w:rStyle w:val="normaltextrun"/>
          <w:rFonts w:eastAsiaTheme="majorEastAsia" w:cs="Arial"/>
          <w:szCs w:val="22"/>
        </w:rPr>
      </w:pPr>
      <w:r w:rsidRPr="00972D50">
        <w:rPr>
          <w:rStyle w:val="normaltextrun"/>
          <w:rFonts w:eastAsiaTheme="majorEastAsia" w:cs="Arial"/>
          <w:szCs w:val="22"/>
        </w:rPr>
        <w:t>Members acknowledged progress on mental health reform requires a</w:t>
      </w:r>
      <w:r>
        <w:rPr>
          <w:rStyle w:val="normaltextrun"/>
          <w:rFonts w:eastAsiaTheme="majorEastAsia" w:cs="Arial"/>
          <w:szCs w:val="22"/>
        </w:rPr>
        <w:t xml:space="preserve">n </w:t>
      </w:r>
      <w:r w:rsidRPr="00972D50">
        <w:rPr>
          <w:rStyle w:val="normaltextrun"/>
          <w:rFonts w:eastAsiaTheme="majorEastAsia" w:cs="Arial"/>
          <w:szCs w:val="22"/>
        </w:rPr>
        <w:t>expansion of the mental health workforce</w:t>
      </w:r>
      <w:r>
        <w:rPr>
          <w:rStyle w:val="normaltextrun"/>
          <w:rFonts w:eastAsiaTheme="majorEastAsia" w:cs="Arial"/>
          <w:szCs w:val="22"/>
        </w:rPr>
        <w:t xml:space="preserve">, </w:t>
      </w:r>
      <w:r w:rsidR="007503FF">
        <w:rPr>
          <w:rStyle w:val="normaltextrun"/>
          <w:rFonts w:eastAsiaTheme="majorEastAsia" w:cs="Arial"/>
          <w:szCs w:val="22"/>
        </w:rPr>
        <w:t>ensuring</w:t>
      </w:r>
      <w:r>
        <w:rPr>
          <w:rStyle w:val="normaltextrun"/>
          <w:rFonts w:eastAsiaTheme="majorEastAsia" w:cs="Arial"/>
          <w:szCs w:val="22"/>
        </w:rPr>
        <w:t xml:space="preserve"> </w:t>
      </w:r>
      <w:r w:rsidRPr="00972D50">
        <w:rPr>
          <w:rStyle w:val="normaltextrun"/>
          <w:rFonts w:eastAsiaTheme="majorEastAsia" w:cs="Arial"/>
          <w:szCs w:val="22"/>
        </w:rPr>
        <w:t xml:space="preserve">all health professionals </w:t>
      </w:r>
      <w:proofErr w:type="gramStart"/>
      <w:r w:rsidRPr="00972D50">
        <w:rPr>
          <w:rStyle w:val="normaltextrun"/>
          <w:rFonts w:eastAsiaTheme="majorEastAsia" w:cs="Arial"/>
          <w:szCs w:val="22"/>
        </w:rPr>
        <w:t>are able to</w:t>
      </w:r>
      <w:proofErr w:type="gramEnd"/>
      <w:r w:rsidRPr="00972D50">
        <w:rPr>
          <w:rStyle w:val="normaltextrun"/>
          <w:rFonts w:eastAsiaTheme="majorEastAsia" w:cs="Arial"/>
          <w:szCs w:val="22"/>
        </w:rPr>
        <w:t xml:space="preserve"> work to their full scope of practice, and </w:t>
      </w:r>
      <w:r w:rsidR="007503FF">
        <w:rPr>
          <w:rStyle w:val="normaltextrun"/>
          <w:rFonts w:eastAsiaTheme="majorEastAsia" w:cs="Arial"/>
          <w:szCs w:val="22"/>
        </w:rPr>
        <w:t>greater support for the</w:t>
      </w:r>
      <w:r w:rsidRPr="00972D50">
        <w:rPr>
          <w:rStyle w:val="normaltextrun"/>
          <w:rFonts w:eastAsiaTheme="majorEastAsia" w:cs="Arial"/>
          <w:szCs w:val="22"/>
        </w:rPr>
        <w:t xml:space="preserve"> broader mental health workforce</w:t>
      </w:r>
      <w:r>
        <w:rPr>
          <w:rStyle w:val="normaltextrun"/>
          <w:rFonts w:eastAsiaTheme="majorEastAsia" w:cs="Arial"/>
          <w:szCs w:val="22"/>
        </w:rPr>
        <w:t>.</w:t>
      </w:r>
    </w:p>
    <w:p w14:paraId="0D050B40" w14:textId="4E648D52" w:rsidR="00FC1249" w:rsidRPr="00972D50" w:rsidRDefault="00FC1249" w:rsidP="004C7942">
      <w:pPr>
        <w:rPr>
          <w:rStyle w:val="normaltextrun"/>
          <w:rFonts w:eastAsiaTheme="majorEastAsia" w:cs="Arial"/>
          <w:szCs w:val="22"/>
        </w:rPr>
      </w:pPr>
      <w:r>
        <w:rPr>
          <w:rStyle w:val="normaltextrun"/>
          <w:rFonts w:eastAsiaTheme="majorEastAsia" w:cs="Arial"/>
          <w:szCs w:val="22"/>
        </w:rPr>
        <w:t xml:space="preserve">The Chair </w:t>
      </w:r>
      <w:r w:rsidR="007503FF">
        <w:rPr>
          <w:rStyle w:val="normaltextrun"/>
          <w:rFonts w:eastAsiaTheme="majorEastAsia" w:cs="Arial"/>
          <w:szCs w:val="22"/>
        </w:rPr>
        <w:t>thanked</w:t>
      </w:r>
      <w:r w:rsidR="007503FF" w:rsidRPr="007503FF">
        <w:rPr>
          <w:rStyle w:val="normaltextrun"/>
          <w:rFonts w:eastAsiaTheme="majorEastAsia" w:cs="Arial"/>
          <w:szCs w:val="22"/>
        </w:rPr>
        <w:t xml:space="preserve"> members for sharing their time and expertise throughout each of the meetings, and for their commitment to improving the mental health system.</w:t>
      </w:r>
    </w:p>
    <w:sectPr w:rsidR="00FC1249" w:rsidRPr="00972D50" w:rsidSect="009724AB">
      <w:footerReference w:type="default" r:id="rId14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2EC77" w14:textId="77777777" w:rsidR="00575383" w:rsidRDefault="00575383" w:rsidP="006B56BB">
      <w:r>
        <w:separator/>
      </w:r>
    </w:p>
    <w:p w14:paraId="58666406" w14:textId="77777777" w:rsidR="00575383" w:rsidRDefault="00575383"/>
  </w:endnote>
  <w:endnote w:type="continuationSeparator" w:id="0">
    <w:p w14:paraId="19DE0649" w14:textId="77777777" w:rsidR="00575383" w:rsidRDefault="00575383" w:rsidP="006B56BB">
      <w:r>
        <w:continuationSeparator/>
      </w:r>
    </w:p>
    <w:p w14:paraId="75A3EFF7" w14:textId="77777777" w:rsidR="00575383" w:rsidRDefault="00575383"/>
  </w:endnote>
  <w:endnote w:type="continuationNotice" w:id="1">
    <w:p w14:paraId="1BC42582" w14:textId="77777777" w:rsidR="00575383" w:rsidRDefault="005753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B73A" w14:textId="77777777" w:rsidR="008D48C9" w:rsidRPr="0068134A" w:rsidRDefault="0068134A" w:rsidP="0068134A">
    <w:pPr>
      <w:pStyle w:val="Footer"/>
      <w:tabs>
        <w:tab w:val="clear" w:pos="4513"/>
      </w:tabs>
    </w:pPr>
    <w:r>
      <w:t xml:space="preserve">Department of Health – </w:t>
    </w:r>
    <w:r w:rsidRPr="0068134A">
      <w:t>Short-term home support for older Australians on leave from residential aged care</w:t>
    </w:r>
    <w:sdt>
      <w:sdtPr>
        <w:id w:val="544643613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 w:rsidR="00AC24B7">
          <w:rPr>
            <w:noProof/>
          </w:rPr>
          <w:t>7</w:t>
        </w:r>
        <w:r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4F44" w14:textId="777DF701" w:rsidR="0068134A" w:rsidRPr="00DE3355" w:rsidRDefault="0039287A" w:rsidP="00AC24B7">
    <w:pPr>
      <w:pStyle w:val="Footer"/>
      <w:tabs>
        <w:tab w:val="clear" w:pos="4513"/>
      </w:tabs>
    </w:pPr>
    <w:r>
      <w:t>Mental Health Reform Advisory Committee</w:t>
    </w:r>
    <w:r w:rsidR="0098122D">
      <w:t xml:space="preserve"> – Meeting</w:t>
    </w:r>
    <w:r>
      <w:t xml:space="preserve"> </w:t>
    </w:r>
    <w:r w:rsidR="00EE18E6">
      <w:t>4</w:t>
    </w:r>
    <w:r w:rsidR="0098122D">
      <w:t xml:space="preserve"> </w:t>
    </w:r>
    <w:r w:rsidR="00AA7DC8">
      <w:t>S</w:t>
    </w:r>
    <w:r>
      <w:t xml:space="preserve">ummary </w:t>
    </w:r>
    <w:r w:rsidR="0098122D">
      <w:t xml:space="preserve">– </w:t>
    </w:r>
    <w:r w:rsidR="00EE18E6">
      <w:t>23</w:t>
    </w:r>
    <w:r>
      <w:t xml:space="preserve"> </w:t>
    </w:r>
    <w:r w:rsidR="00EE18E6">
      <w:t>November</w:t>
    </w:r>
    <w:r>
      <w:t xml:space="preserve"> 2023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FE8C" w14:textId="77777777" w:rsidR="00440411" w:rsidRPr="0068134A" w:rsidRDefault="00440411" w:rsidP="0068134A">
    <w:pPr>
      <w:pStyle w:val="Footer"/>
      <w:tabs>
        <w:tab w:val="clear" w:pos="4513"/>
      </w:tabs>
    </w:pPr>
    <w:r>
      <w:t xml:space="preserve">Department of Health – </w:t>
    </w:r>
    <w:r w:rsidRPr="00440411">
      <w:t>National Mental Health Workforce Strategy Taskforce – terms of reference</w:t>
    </w:r>
    <w:sdt>
      <w:sdtPr>
        <w:id w:val="-19322721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>
          <w:rPr>
            <w:noProof/>
          </w:rPr>
          <w:t>7</w:t>
        </w:r>
        <w:r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6E0F" w14:textId="77777777" w:rsidR="00575383" w:rsidRDefault="00575383" w:rsidP="006B56BB">
      <w:r>
        <w:separator/>
      </w:r>
    </w:p>
    <w:p w14:paraId="2B0DED33" w14:textId="77777777" w:rsidR="00575383" w:rsidRDefault="00575383"/>
  </w:footnote>
  <w:footnote w:type="continuationSeparator" w:id="0">
    <w:p w14:paraId="6037FBB9" w14:textId="77777777" w:rsidR="00575383" w:rsidRDefault="00575383" w:rsidP="006B56BB">
      <w:r>
        <w:continuationSeparator/>
      </w:r>
    </w:p>
    <w:p w14:paraId="5EC0CBC9" w14:textId="77777777" w:rsidR="00575383" w:rsidRDefault="00575383"/>
  </w:footnote>
  <w:footnote w:type="continuationNotice" w:id="1">
    <w:p w14:paraId="0D258A16" w14:textId="77777777" w:rsidR="00575383" w:rsidRDefault="005753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6D22" w14:textId="77777777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5B7040A2" wp14:editId="7C6C6FAC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61F96"/>
    <w:multiLevelType w:val="multilevel"/>
    <w:tmpl w:val="0242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DA5C4E"/>
    <w:multiLevelType w:val="multilevel"/>
    <w:tmpl w:val="E53256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041D4E"/>
    <w:multiLevelType w:val="multilevel"/>
    <w:tmpl w:val="E42C2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501629B9"/>
    <w:multiLevelType w:val="hybridMultilevel"/>
    <w:tmpl w:val="343AE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FA795F"/>
    <w:multiLevelType w:val="hybridMultilevel"/>
    <w:tmpl w:val="B03ED81A"/>
    <w:lvl w:ilvl="0" w:tplc="0C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62FF1"/>
    <w:multiLevelType w:val="hybridMultilevel"/>
    <w:tmpl w:val="DC124CF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05833371">
    <w:abstractNumId w:val="7"/>
  </w:num>
  <w:num w:numId="2" w16cid:durableId="136727635">
    <w:abstractNumId w:val="27"/>
  </w:num>
  <w:num w:numId="3" w16cid:durableId="235825222">
    <w:abstractNumId w:val="35"/>
  </w:num>
  <w:num w:numId="4" w16cid:durableId="2023509205">
    <w:abstractNumId w:val="8"/>
  </w:num>
  <w:num w:numId="5" w16cid:durableId="1791822256">
    <w:abstractNumId w:val="8"/>
    <w:lvlOverride w:ilvl="0">
      <w:startOverride w:val="1"/>
    </w:lvlOverride>
  </w:num>
  <w:num w:numId="6" w16cid:durableId="416487120">
    <w:abstractNumId w:val="11"/>
  </w:num>
  <w:num w:numId="7" w16cid:durableId="434444360">
    <w:abstractNumId w:val="22"/>
  </w:num>
  <w:num w:numId="8" w16cid:durableId="362751147">
    <w:abstractNumId w:val="34"/>
  </w:num>
  <w:num w:numId="9" w16cid:durableId="1371421114">
    <w:abstractNumId w:val="5"/>
  </w:num>
  <w:num w:numId="10" w16cid:durableId="1218543225">
    <w:abstractNumId w:val="4"/>
  </w:num>
  <w:num w:numId="11" w16cid:durableId="742146748">
    <w:abstractNumId w:val="3"/>
  </w:num>
  <w:num w:numId="12" w16cid:durableId="615258616">
    <w:abstractNumId w:val="2"/>
  </w:num>
  <w:num w:numId="13" w16cid:durableId="1205408693">
    <w:abstractNumId w:val="6"/>
  </w:num>
  <w:num w:numId="14" w16cid:durableId="1116561205">
    <w:abstractNumId w:val="1"/>
  </w:num>
  <w:num w:numId="15" w16cid:durableId="1441223289">
    <w:abstractNumId w:val="0"/>
  </w:num>
  <w:num w:numId="16" w16cid:durableId="1507791199">
    <w:abstractNumId w:val="38"/>
  </w:num>
  <w:num w:numId="17" w16cid:durableId="826748578">
    <w:abstractNumId w:val="13"/>
  </w:num>
  <w:num w:numId="18" w16cid:durableId="268587860">
    <w:abstractNumId w:val="14"/>
  </w:num>
  <w:num w:numId="19" w16cid:durableId="583149993">
    <w:abstractNumId w:val="17"/>
  </w:num>
  <w:num w:numId="20" w16cid:durableId="406614505">
    <w:abstractNumId w:val="18"/>
  </w:num>
  <w:num w:numId="21" w16cid:durableId="1584023879">
    <w:abstractNumId w:val="36"/>
  </w:num>
  <w:num w:numId="22" w16cid:durableId="1270233570">
    <w:abstractNumId w:val="10"/>
  </w:num>
  <w:num w:numId="23" w16cid:durableId="611401788">
    <w:abstractNumId w:val="13"/>
  </w:num>
  <w:num w:numId="24" w16cid:durableId="1022513200">
    <w:abstractNumId w:val="17"/>
  </w:num>
  <w:num w:numId="25" w16cid:durableId="2003729646">
    <w:abstractNumId w:val="35"/>
  </w:num>
  <w:num w:numId="26" w16cid:durableId="1946763033">
    <w:abstractNumId w:val="8"/>
  </w:num>
  <w:num w:numId="27" w16cid:durableId="312611862">
    <w:abstractNumId w:val="19"/>
  </w:num>
  <w:num w:numId="28" w16cid:durableId="511605125">
    <w:abstractNumId w:val="32"/>
  </w:num>
  <w:num w:numId="29" w16cid:durableId="1330907870">
    <w:abstractNumId w:val="23"/>
  </w:num>
  <w:num w:numId="30" w16cid:durableId="238638011">
    <w:abstractNumId w:val="26"/>
  </w:num>
  <w:num w:numId="31" w16cid:durableId="26371822">
    <w:abstractNumId w:val="12"/>
  </w:num>
  <w:num w:numId="32" w16cid:durableId="562981981">
    <w:abstractNumId w:val="9"/>
  </w:num>
  <w:num w:numId="33" w16cid:durableId="3292123">
    <w:abstractNumId w:val="15"/>
  </w:num>
  <w:num w:numId="34" w16cid:durableId="1468426813">
    <w:abstractNumId w:val="21"/>
  </w:num>
  <w:num w:numId="35" w16cid:durableId="1428770723">
    <w:abstractNumId w:val="33"/>
  </w:num>
  <w:num w:numId="36" w16cid:durableId="316422354">
    <w:abstractNumId w:val="29"/>
  </w:num>
  <w:num w:numId="37" w16cid:durableId="33426151">
    <w:abstractNumId w:val="30"/>
  </w:num>
  <w:num w:numId="38" w16cid:durableId="1115557363">
    <w:abstractNumId w:val="28"/>
  </w:num>
  <w:num w:numId="39" w16cid:durableId="789132553">
    <w:abstractNumId w:val="31"/>
  </w:num>
  <w:num w:numId="40" w16cid:durableId="2000961313">
    <w:abstractNumId w:val="16"/>
  </w:num>
  <w:num w:numId="41" w16cid:durableId="680620317">
    <w:abstractNumId w:val="24"/>
  </w:num>
  <w:num w:numId="42" w16cid:durableId="981424994">
    <w:abstractNumId w:val="37"/>
  </w:num>
  <w:num w:numId="43" w16cid:durableId="857887040">
    <w:abstractNumId w:val="25"/>
  </w:num>
  <w:num w:numId="44" w16cid:durableId="17413644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5E"/>
    <w:rsid w:val="00000B3A"/>
    <w:rsid w:val="00003743"/>
    <w:rsid w:val="000047B4"/>
    <w:rsid w:val="00005712"/>
    <w:rsid w:val="00007FD8"/>
    <w:rsid w:val="000117F8"/>
    <w:rsid w:val="00012A0A"/>
    <w:rsid w:val="0001460F"/>
    <w:rsid w:val="0001747D"/>
    <w:rsid w:val="00022629"/>
    <w:rsid w:val="00026139"/>
    <w:rsid w:val="00027601"/>
    <w:rsid w:val="000325F3"/>
    <w:rsid w:val="00033321"/>
    <w:rsid w:val="000338E5"/>
    <w:rsid w:val="00033ECC"/>
    <w:rsid w:val="0003422F"/>
    <w:rsid w:val="00042722"/>
    <w:rsid w:val="0004396A"/>
    <w:rsid w:val="000456E2"/>
    <w:rsid w:val="00046FF0"/>
    <w:rsid w:val="00047837"/>
    <w:rsid w:val="00050176"/>
    <w:rsid w:val="000604B8"/>
    <w:rsid w:val="00067456"/>
    <w:rsid w:val="00071506"/>
    <w:rsid w:val="0007154F"/>
    <w:rsid w:val="00081AB1"/>
    <w:rsid w:val="00086949"/>
    <w:rsid w:val="00090316"/>
    <w:rsid w:val="00090436"/>
    <w:rsid w:val="00093981"/>
    <w:rsid w:val="000A69C8"/>
    <w:rsid w:val="000B067A"/>
    <w:rsid w:val="000B1540"/>
    <w:rsid w:val="000B1E53"/>
    <w:rsid w:val="000B33FD"/>
    <w:rsid w:val="000B4ABA"/>
    <w:rsid w:val="000B5E5C"/>
    <w:rsid w:val="000C243A"/>
    <w:rsid w:val="000C4B16"/>
    <w:rsid w:val="000C50C3"/>
    <w:rsid w:val="000C5E14"/>
    <w:rsid w:val="000D21F6"/>
    <w:rsid w:val="000D4500"/>
    <w:rsid w:val="000D7AEA"/>
    <w:rsid w:val="000E28DD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237F6"/>
    <w:rsid w:val="00130F59"/>
    <w:rsid w:val="00133EC0"/>
    <w:rsid w:val="00141CE5"/>
    <w:rsid w:val="00144908"/>
    <w:rsid w:val="001463BB"/>
    <w:rsid w:val="001571C7"/>
    <w:rsid w:val="00161094"/>
    <w:rsid w:val="0017665C"/>
    <w:rsid w:val="00176AFA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1CE"/>
    <w:rsid w:val="001D7869"/>
    <w:rsid w:val="001E330C"/>
    <w:rsid w:val="001E60F5"/>
    <w:rsid w:val="001F5AEC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61FB"/>
    <w:rsid w:val="002579FE"/>
    <w:rsid w:val="0026311C"/>
    <w:rsid w:val="0026668C"/>
    <w:rsid w:val="00266AC1"/>
    <w:rsid w:val="002670F3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A273D"/>
    <w:rsid w:val="002A6F6C"/>
    <w:rsid w:val="002B20E6"/>
    <w:rsid w:val="002B42A3"/>
    <w:rsid w:val="002C0CDD"/>
    <w:rsid w:val="002C38C4"/>
    <w:rsid w:val="002E1A1D"/>
    <w:rsid w:val="002E4081"/>
    <w:rsid w:val="002E442A"/>
    <w:rsid w:val="002E5B78"/>
    <w:rsid w:val="002E6C56"/>
    <w:rsid w:val="002F3AE3"/>
    <w:rsid w:val="0030464B"/>
    <w:rsid w:val="00305D17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67D2A"/>
    <w:rsid w:val="00370AAA"/>
    <w:rsid w:val="00373CEA"/>
    <w:rsid w:val="00375F77"/>
    <w:rsid w:val="00381BBE"/>
    <w:rsid w:val="00382903"/>
    <w:rsid w:val="003846FF"/>
    <w:rsid w:val="003857D4"/>
    <w:rsid w:val="00385AD4"/>
    <w:rsid w:val="00387924"/>
    <w:rsid w:val="0039036B"/>
    <w:rsid w:val="0039287A"/>
    <w:rsid w:val="0039384D"/>
    <w:rsid w:val="00395C23"/>
    <w:rsid w:val="003A2E4F"/>
    <w:rsid w:val="003A4438"/>
    <w:rsid w:val="003A5013"/>
    <w:rsid w:val="003A5078"/>
    <w:rsid w:val="003A58F2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3AA"/>
    <w:rsid w:val="004004B1"/>
    <w:rsid w:val="00400F00"/>
    <w:rsid w:val="00404F8B"/>
    <w:rsid w:val="00405256"/>
    <w:rsid w:val="00410031"/>
    <w:rsid w:val="004130FA"/>
    <w:rsid w:val="00415C81"/>
    <w:rsid w:val="00432378"/>
    <w:rsid w:val="00432EB8"/>
    <w:rsid w:val="00440411"/>
    <w:rsid w:val="00440D65"/>
    <w:rsid w:val="004435E6"/>
    <w:rsid w:val="004452C1"/>
    <w:rsid w:val="00447E31"/>
    <w:rsid w:val="00453923"/>
    <w:rsid w:val="00453B40"/>
    <w:rsid w:val="00454B9B"/>
    <w:rsid w:val="004554AF"/>
    <w:rsid w:val="00457858"/>
    <w:rsid w:val="00460B0B"/>
    <w:rsid w:val="00461023"/>
    <w:rsid w:val="00462FAC"/>
    <w:rsid w:val="00464631"/>
    <w:rsid w:val="00464B79"/>
    <w:rsid w:val="00467BBF"/>
    <w:rsid w:val="00483B94"/>
    <w:rsid w:val="0048593C"/>
    <w:rsid w:val="004867E2"/>
    <w:rsid w:val="004921C9"/>
    <w:rsid w:val="004929A9"/>
    <w:rsid w:val="0049533C"/>
    <w:rsid w:val="004A78D9"/>
    <w:rsid w:val="004B5A85"/>
    <w:rsid w:val="004C6BCF"/>
    <w:rsid w:val="004C7701"/>
    <w:rsid w:val="004C7942"/>
    <w:rsid w:val="004D35E1"/>
    <w:rsid w:val="004D554B"/>
    <w:rsid w:val="004D58BF"/>
    <w:rsid w:val="004E4335"/>
    <w:rsid w:val="004E621B"/>
    <w:rsid w:val="004F13EE"/>
    <w:rsid w:val="004F2022"/>
    <w:rsid w:val="004F7C05"/>
    <w:rsid w:val="005003C5"/>
    <w:rsid w:val="00501C94"/>
    <w:rsid w:val="00506432"/>
    <w:rsid w:val="0052051D"/>
    <w:rsid w:val="00545EE6"/>
    <w:rsid w:val="0054768D"/>
    <w:rsid w:val="00554BD6"/>
    <w:rsid w:val="005550E7"/>
    <w:rsid w:val="005564FB"/>
    <w:rsid w:val="005572C7"/>
    <w:rsid w:val="005622C2"/>
    <w:rsid w:val="005650ED"/>
    <w:rsid w:val="00567F96"/>
    <w:rsid w:val="00575383"/>
    <w:rsid w:val="00575754"/>
    <w:rsid w:val="00581FBA"/>
    <w:rsid w:val="00591E20"/>
    <w:rsid w:val="00593428"/>
    <w:rsid w:val="00595408"/>
    <w:rsid w:val="00595E84"/>
    <w:rsid w:val="005A0C59"/>
    <w:rsid w:val="005A48EB"/>
    <w:rsid w:val="005A6CFB"/>
    <w:rsid w:val="005B3E23"/>
    <w:rsid w:val="005C5AEB"/>
    <w:rsid w:val="005E0A3F"/>
    <w:rsid w:val="005E1D29"/>
    <w:rsid w:val="005E6883"/>
    <w:rsid w:val="005E772F"/>
    <w:rsid w:val="005E7FFC"/>
    <w:rsid w:val="005F3CB1"/>
    <w:rsid w:val="005F4ECA"/>
    <w:rsid w:val="005F5D5E"/>
    <w:rsid w:val="006041BE"/>
    <w:rsid w:val="006043C7"/>
    <w:rsid w:val="00624B52"/>
    <w:rsid w:val="00626F82"/>
    <w:rsid w:val="00630794"/>
    <w:rsid w:val="00631DF4"/>
    <w:rsid w:val="00632EC1"/>
    <w:rsid w:val="00634175"/>
    <w:rsid w:val="006408AC"/>
    <w:rsid w:val="006511B6"/>
    <w:rsid w:val="00657FF8"/>
    <w:rsid w:val="00665B90"/>
    <w:rsid w:val="00670D99"/>
    <w:rsid w:val="00670E2B"/>
    <w:rsid w:val="00670E3F"/>
    <w:rsid w:val="006734BB"/>
    <w:rsid w:val="0067697A"/>
    <w:rsid w:val="0068134A"/>
    <w:rsid w:val="006821EB"/>
    <w:rsid w:val="006843AE"/>
    <w:rsid w:val="00691526"/>
    <w:rsid w:val="0069178A"/>
    <w:rsid w:val="006A4ED8"/>
    <w:rsid w:val="006B2286"/>
    <w:rsid w:val="006B56BB"/>
    <w:rsid w:val="006B5DEA"/>
    <w:rsid w:val="006B652F"/>
    <w:rsid w:val="006C77A8"/>
    <w:rsid w:val="006D4098"/>
    <w:rsid w:val="006D756C"/>
    <w:rsid w:val="006D7681"/>
    <w:rsid w:val="006D7B2E"/>
    <w:rsid w:val="006E02EA"/>
    <w:rsid w:val="006E0968"/>
    <w:rsid w:val="006E2AF6"/>
    <w:rsid w:val="00701275"/>
    <w:rsid w:val="00707F56"/>
    <w:rsid w:val="00713558"/>
    <w:rsid w:val="00713FEA"/>
    <w:rsid w:val="00720D08"/>
    <w:rsid w:val="007229A2"/>
    <w:rsid w:val="007263B9"/>
    <w:rsid w:val="00730E51"/>
    <w:rsid w:val="0073135F"/>
    <w:rsid w:val="0073223A"/>
    <w:rsid w:val="00732D57"/>
    <w:rsid w:val="007334F8"/>
    <w:rsid w:val="007339CD"/>
    <w:rsid w:val="007359D8"/>
    <w:rsid w:val="007362D4"/>
    <w:rsid w:val="007375FA"/>
    <w:rsid w:val="007407FB"/>
    <w:rsid w:val="007464A8"/>
    <w:rsid w:val="007503FF"/>
    <w:rsid w:val="00751BD9"/>
    <w:rsid w:val="0076672A"/>
    <w:rsid w:val="00775E45"/>
    <w:rsid w:val="00776E74"/>
    <w:rsid w:val="00785169"/>
    <w:rsid w:val="00787F4B"/>
    <w:rsid w:val="007954AB"/>
    <w:rsid w:val="007A14C5"/>
    <w:rsid w:val="007A4A10"/>
    <w:rsid w:val="007B1760"/>
    <w:rsid w:val="007B35CB"/>
    <w:rsid w:val="007B71A0"/>
    <w:rsid w:val="007C1FDC"/>
    <w:rsid w:val="007C6D9C"/>
    <w:rsid w:val="007C7DDB"/>
    <w:rsid w:val="007D2CC7"/>
    <w:rsid w:val="007D673D"/>
    <w:rsid w:val="007E4D09"/>
    <w:rsid w:val="007F2220"/>
    <w:rsid w:val="007F4B3E"/>
    <w:rsid w:val="00804B42"/>
    <w:rsid w:val="00811B4E"/>
    <w:rsid w:val="008127AF"/>
    <w:rsid w:val="00812B46"/>
    <w:rsid w:val="00815700"/>
    <w:rsid w:val="00822DF0"/>
    <w:rsid w:val="008233DA"/>
    <w:rsid w:val="0082507C"/>
    <w:rsid w:val="008264EB"/>
    <w:rsid w:val="00826B8F"/>
    <w:rsid w:val="00831E8A"/>
    <w:rsid w:val="00834306"/>
    <w:rsid w:val="00835C76"/>
    <w:rsid w:val="008376E2"/>
    <w:rsid w:val="00843049"/>
    <w:rsid w:val="0085209B"/>
    <w:rsid w:val="00856B66"/>
    <w:rsid w:val="008601AC"/>
    <w:rsid w:val="00860D0D"/>
    <w:rsid w:val="00861A5F"/>
    <w:rsid w:val="00863AE3"/>
    <w:rsid w:val="008644AD"/>
    <w:rsid w:val="00865735"/>
    <w:rsid w:val="00865DDB"/>
    <w:rsid w:val="00867538"/>
    <w:rsid w:val="00873D90"/>
    <w:rsid w:val="00873FC8"/>
    <w:rsid w:val="00875C8F"/>
    <w:rsid w:val="00884C63"/>
    <w:rsid w:val="00885908"/>
    <w:rsid w:val="008864B7"/>
    <w:rsid w:val="00895CBD"/>
    <w:rsid w:val="0089677E"/>
    <w:rsid w:val="008A7438"/>
    <w:rsid w:val="008B1334"/>
    <w:rsid w:val="008B2028"/>
    <w:rsid w:val="008B25C7"/>
    <w:rsid w:val="008C0278"/>
    <w:rsid w:val="008C24E9"/>
    <w:rsid w:val="008D0533"/>
    <w:rsid w:val="008D3B3C"/>
    <w:rsid w:val="008D42CB"/>
    <w:rsid w:val="008D48C9"/>
    <w:rsid w:val="008D6381"/>
    <w:rsid w:val="008E0C77"/>
    <w:rsid w:val="008E15B0"/>
    <w:rsid w:val="008E625F"/>
    <w:rsid w:val="008F264D"/>
    <w:rsid w:val="008F7254"/>
    <w:rsid w:val="00903BAD"/>
    <w:rsid w:val="009040E9"/>
    <w:rsid w:val="00905AAC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3782"/>
    <w:rsid w:val="00945E7F"/>
    <w:rsid w:val="009557C1"/>
    <w:rsid w:val="00960018"/>
    <w:rsid w:val="00960D6E"/>
    <w:rsid w:val="00961FE6"/>
    <w:rsid w:val="0096654A"/>
    <w:rsid w:val="009712BC"/>
    <w:rsid w:val="009724AB"/>
    <w:rsid w:val="00972D50"/>
    <w:rsid w:val="00974B59"/>
    <w:rsid w:val="0098122D"/>
    <w:rsid w:val="0098340B"/>
    <w:rsid w:val="00986830"/>
    <w:rsid w:val="009924C3"/>
    <w:rsid w:val="00993102"/>
    <w:rsid w:val="00994AA8"/>
    <w:rsid w:val="009A61A3"/>
    <w:rsid w:val="009B1570"/>
    <w:rsid w:val="009C6F10"/>
    <w:rsid w:val="009D148F"/>
    <w:rsid w:val="009D3D70"/>
    <w:rsid w:val="009E640C"/>
    <w:rsid w:val="009E6F7E"/>
    <w:rsid w:val="009E7366"/>
    <w:rsid w:val="009E7A57"/>
    <w:rsid w:val="009F02F2"/>
    <w:rsid w:val="009F2A71"/>
    <w:rsid w:val="009F4803"/>
    <w:rsid w:val="009F4F6A"/>
    <w:rsid w:val="009F4F7B"/>
    <w:rsid w:val="00A02793"/>
    <w:rsid w:val="00A13EB5"/>
    <w:rsid w:val="00A16E36"/>
    <w:rsid w:val="00A24961"/>
    <w:rsid w:val="00A24B10"/>
    <w:rsid w:val="00A277EF"/>
    <w:rsid w:val="00A30E9B"/>
    <w:rsid w:val="00A4512D"/>
    <w:rsid w:val="00A47937"/>
    <w:rsid w:val="00A47986"/>
    <w:rsid w:val="00A50244"/>
    <w:rsid w:val="00A521C7"/>
    <w:rsid w:val="00A5488A"/>
    <w:rsid w:val="00A60D22"/>
    <w:rsid w:val="00A627D7"/>
    <w:rsid w:val="00A64608"/>
    <w:rsid w:val="00A656C7"/>
    <w:rsid w:val="00A705AF"/>
    <w:rsid w:val="00A72454"/>
    <w:rsid w:val="00A77696"/>
    <w:rsid w:val="00A80557"/>
    <w:rsid w:val="00A81D33"/>
    <w:rsid w:val="00A8341C"/>
    <w:rsid w:val="00A87C82"/>
    <w:rsid w:val="00A912B2"/>
    <w:rsid w:val="00A930AE"/>
    <w:rsid w:val="00AA0819"/>
    <w:rsid w:val="00AA1A95"/>
    <w:rsid w:val="00AA260F"/>
    <w:rsid w:val="00AA7DC8"/>
    <w:rsid w:val="00AB1EE7"/>
    <w:rsid w:val="00AB4453"/>
    <w:rsid w:val="00AB4B37"/>
    <w:rsid w:val="00AB5762"/>
    <w:rsid w:val="00AC24B7"/>
    <w:rsid w:val="00AC2679"/>
    <w:rsid w:val="00AC4BE4"/>
    <w:rsid w:val="00AD0065"/>
    <w:rsid w:val="00AD05E6"/>
    <w:rsid w:val="00AD0D3F"/>
    <w:rsid w:val="00AD12AD"/>
    <w:rsid w:val="00AD477B"/>
    <w:rsid w:val="00AE1D7D"/>
    <w:rsid w:val="00AE2A8B"/>
    <w:rsid w:val="00AE3F64"/>
    <w:rsid w:val="00AE6D6D"/>
    <w:rsid w:val="00AF02EC"/>
    <w:rsid w:val="00AF489F"/>
    <w:rsid w:val="00AF7386"/>
    <w:rsid w:val="00AF7934"/>
    <w:rsid w:val="00B00B81"/>
    <w:rsid w:val="00B04580"/>
    <w:rsid w:val="00B04B09"/>
    <w:rsid w:val="00B12684"/>
    <w:rsid w:val="00B16A51"/>
    <w:rsid w:val="00B20266"/>
    <w:rsid w:val="00B30137"/>
    <w:rsid w:val="00B319F5"/>
    <w:rsid w:val="00B32222"/>
    <w:rsid w:val="00B3618D"/>
    <w:rsid w:val="00B36233"/>
    <w:rsid w:val="00B42851"/>
    <w:rsid w:val="00B45AC7"/>
    <w:rsid w:val="00B4628E"/>
    <w:rsid w:val="00B50D9E"/>
    <w:rsid w:val="00B5181A"/>
    <w:rsid w:val="00B5372F"/>
    <w:rsid w:val="00B54577"/>
    <w:rsid w:val="00B61129"/>
    <w:rsid w:val="00B67E7F"/>
    <w:rsid w:val="00B76DA7"/>
    <w:rsid w:val="00B836DF"/>
    <w:rsid w:val="00B839B2"/>
    <w:rsid w:val="00B9399E"/>
    <w:rsid w:val="00B94252"/>
    <w:rsid w:val="00B9715A"/>
    <w:rsid w:val="00BA14BE"/>
    <w:rsid w:val="00BA1CBD"/>
    <w:rsid w:val="00BA2732"/>
    <w:rsid w:val="00BA293D"/>
    <w:rsid w:val="00BA4216"/>
    <w:rsid w:val="00BA49BC"/>
    <w:rsid w:val="00BA50F0"/>
    <w:rsid w:val="00BA56B7"/>
    <w:rsid w:val="00BA6161"/>
    <w:rsid w:val="00BA7A1E"/>
    <w:rsid w:val="00BB0182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0A9D"/>
    <w:rsid w:val="00C113BF"/>
    <w:rsid w:val="00C151D8"/>
    <w:rsid w:val="00C17A26"/>
    <w:rsid w:val="00C214AE"/>
    <w:rsid w:val="00C2176E"/>
    <w:rsid w:val="00C23430"/>
    <w:rsid w:val="00C27D67"/>
    <w:rsid w:val="00C33316"/>
    <w:rsid w:val="00C4631F"/>
    <w:rsid w:val="00C47CDE"/>
    <w:rsid w:val="00C50E16"/>
    <w:rsid w:val="00C55258"/>
    <w:rsid w:val="00C620F1"/>
    <w:rsid w:val="00C64118"/>
    <w:rsid w:val="00C65058"/>
    <w:rsid w:val="00C71B73"/>
    <w:rsid w:val="00C82EEB"/>
    <w:rsid w:val="00C844F5"/>
    <w:rsid w:val="00C971DC"/>
    <w:rsid w:val="00CA16B7"/>
    <w:rsid w:val="00CA3BD0"/>
    <w:rsid w:val="00CA556A"/>
    <w:rsid w:val="00CA62AE"/>
    <w:rsid w:val="00CB4583"/>
    <w:rsid w:val="00CB5B1A"/>
    <w:rsid w:val="00CC220B"/>
    <w:rsid w:val="00CC5C43"/>
    <w:rsid w:val="00CD02AE"/>
    <w:rsid w:val="00CD2A4F"/>
    <w:rsid w:val="00CD55B5"/>
    <w:rsid w:val="00CE03CA"/>
    <w:rsid w:val="00CE22F1"/>
    <w:rsid w:val="00CE50F2"/>
    <w:rsid w:val="00CE6502"/>
    <w:rsid w:val="00CF2331"/>
    <w:rsid w:val="00CF5647"/>
    <w:rsid w:val="00CF7D3C"/>
    <w:rsid w:val="00D01F09"/>
    <w:rsid w:val="00D147EB"/>
    <w:rsid w:val="00D24189"/>
    <w:rsid w:val="00D33AFC"/>
    <w:rsid w:val="00D34667"/>
    <w:rsid w:val="00D401E1"/>
    <w:rsid w:val="00D408B4"/>
    <w:rsid w:val="00D45681"/>
    <w:rsid w:val="00D45950"/>
    <w:rsid w:val="00D524C8"/>
    <w:rsid w:val="00D54187"/>
    <w:rsid w:val="00D60325"/>
    <w:rsid w:val="00D70E24"/>
    <w:rsid w:val="00D72B61"/>
    <w:rsid w:val="00D86BC6"/>
    <w:rsid w:val="00D92F6C"/>
    <w:rsid w:val="00DA3D1D"/>
    <w:rsid w:val="00DB6286"/>
    <w:rsid w:val="00DB645F"/>
    <w:rsid w:val="00DB74A2"/>
    <w:rsid w:val="00DB76E9"/>
    <w:rsid w:val="00DC0A67"/>
    <w:rsid w:val="00DC1D5E"/>
    <w:rsid w:val="00DC5220"/>
    <w:rsid w:val="00DD2061"/>
    <w:rsid w:val="00DD7DAB"/>
    <w:rsid w:val="00DE3355"/>
    <w:rsid w:val="00DE6AD6"/>
    <w:rsid w:val="00DF01FB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38A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5714"/>
    <w:rsid w:val="00E87DF2"/>
    <w:rsid w:val="00E9462E"/>
    <w:rsid w:val="00E9721E"/>
    <w:rsid w:val="00EA470E"/>
    <w:rsid w:val="00EA47A7"/>
    <w:rsid w:val="00EA57EB"/>
    <w:rsid w:val="00EB3226"/>
    <w:rsid w:val="00EB5618"/>
    <w:rsid w:val="00EC213A"/>
    <w:rsid w:val="00EC7744"/>
    <w:rsid w:val="00ED0DAD"/>
    <w:rsid w:val="00ED0F46"/>
    <w:rsid w:val="00ED2373"/>
    <w:rsid w:val="00EE18E6"/>
    <w:rsid w:val="00EE2C53"/>
    <w:rsid w:val="00EE3E8A"/>
    <w:rsid w:val="00EF2429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33A8B"/>
    <w:rsid w:val="00F40648"/>
    <w:rsid w:val="00F47DA2"/>
    <w:rsid w:val="00F519FC"/>
    <w:rsid w:val="00F51B17"/>
    <w:rsid w:val="00F6239D"/>
    <w:rsid w:val="00F702E2"/>
    <w:rsid w:val="00F715D2"/>
    <w:rsid w:val="00F7274F"/>
    <w:rsid w:val="00F74E84"/>
    <w:rsid w:val="00F76FA8"/>
    <w:rsid w:val="00F774F6"/>
    <w:rsid w:val="00F93F08"/>
    <w:rsid w:val="00F94CED"/>
    <w:rsid w:val="00F970A1"/>
    <w:rsid w:val="00FA02BB"/>
    <w:rsid w:val="00FA2CEE"/>
    <w:rsid w:val="00FA318C"/>
    <w:rsid w:val="00FB3E6C"/>
    <w:rsid w:val="00FB6F92"/>
    <w:rsid w:val="00FB7859"/>
    <w:rsid w:val="00FC026E"/>
    <w:rsid w:val="00FC1249"/>
    <w:rsid w:val="00FC5124"/>
    <w:rsid w:val="00FD4731"/>
    <w:rsid w:val="00FD6768"/>
    <w:rsid w:val="00FD6FC2"/>
    <w:rsid w:val="00FD7648"/>
    <w:rsid w:val="00FF0AB0"/>
    <w:rsid w:val="00FF28AC"/>
    <w:rsid w:val="00FF7F62"/>
    <w:rsid w:val="05454754"/>
    <w:rsid w:val="06963C9C"/>
    <w:rsid w:val="0E467B3D"/>
    <w:rsid w:val="1BD582C3"/>
    <w:rsid w:val="1D1C0515"/>
    <w:rsid w:val="2E33A930"/>
    <w:rsid w:val="2E69B3D1"/>
    <w:rsid w:val="49015477"/>
    <w:rsid w:val="4EB5CB9D"/>
    <w:rsid w:val="517A9C27"/>
    <w:rsid w:val="523BC386"/>
    <w:rsid w:val="657D55BA"/>
    <w:rsid w:val="6E6D17EA"/>
    <w:rsid w:val="73408A89"/>
    <w:rsid w:val="7E309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60DF21"/>
  <w15:docId w15:val="{8AB62851-C901-4DDC-9754-8E6FBAFE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F2331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98122D"/>
    <w:pPr>
      <w:numPr>
        <w:numId w:val="38"/>
      </w:numPr>
      <w:ind w:left="714" w:hanging="357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F774F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paragraph" w:styleId="Revision">
    <w:name w:val="Revision"/>
    <w:hidden/>
    <w:uiPriority w:val="99"/>
    <w:semiHidden/>
    <w:rsid w:val="00C151D8"/>
    <w:rPr>
      <w:rFonts w:ascii="Arial" w:hAnsi="Arial"/>
      <w:sz w:val="22"/>
      <w:szCs w:val="24"/>
      <w:lang w:eastAsia="en-US"/>
    </w:rPr>
  </w:style>
  <w:style w:type="character" w:customStyle="1" w:styleId="normaltextrun">
    <w:name w:val="normaltextrun"/>
    <w:basedOn w:val="DefaultParagraphFont"/>
    <w:rsid w:val="00AD12AD"/>
  </w:style>
  <w:style w:type="character" w:customStyle="1" w:styleId="eop">
    <w:name w:val="eop"/>
    <w:basedOn w:val="DefaultParagraphFont"/>
    <w:rsid w:val="00AD12AD"/>
  </w:style>
  <w:style w:type="paragraph" w:customStyle="1" w:styleId="paragraph">
    <w:name w:val="paragraph"/>
    <w:basedOn w:val="Normal"/>
    <w:rsid w:val="00AD477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NGPA\OneDrive%20-%20Department%20of%20Health\Documents\Mental%20Health%20Access%20Branch\MHRAC\MHRAC%20Website\Website%20Summaries\Mental%20Health%20Reform%20Adviosry%20Committee%20Meeting%203%20Summary%20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817655650DA4D85CEF7BB384F2DD0" ma:contentTypeVersion="12" ma:contentTypeDescription="Create a new document." ma:contentTypeScope="" ma:versionID="396a72a936fda0681ce9f885b3f54dee">
  <xsd:schema xmlns:xsd="http://www.w3.org/2001/XMLSchema" xmlns:xs="http://www.w3.org/2001/XMLSchema" xmlns:p="http://schemas.microsoft.com/office/2006/metadata/properties" xmlns:ns2="7666110c-970a-4ea6-9497-8da7cce07ce5" xmlns:ns3="611d7b40-5698-4a36-a6a2-a18c1255d750" targetNamespace="http://schemas.microsoft.com/office/2006/metadata/properties" ma:root="true" ma:fieldsID="259f6d5dc87fe2ad5cf528d691c37bba" ns2:_="" ns3:_="">
    <xsd:import namespace="7666110c-970a-4ea6-9497-8da7cce07ce5"/>
    <xsd:import namespace="611d7b40-5698-4a36-a6a2-a18c1255d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6110c-970a-4ea6-9497-8da7cce07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d7b40-5698-4a36-a6a2-a18c1255d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25edf08-135c-4ffb-a959-56484d9cd328}" ma:internalName="TaxCatchAll" ma:showField="CatchAllData" ma:web="611d7b40-5698-4a36-a6a2-a18c1255d7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1d7b40-5698-4a36-a6a2-a18c1255d750" xsi:nil="true"/>
    <lcf76f155ced4ddcb4097134ff3c332f xmlns="7666110c-970a-4ea6-9497-8da7cce07c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25130A-F6E7-419F-8A70-707A68D2D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6110c-970a-4ea6-9497-8da7cce07ce5"/>
    <ds:schemaRef ds:uri="611d7b40-5698-4a36-a6a2-a18c1255d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611d7b40-5698-4a36-a6a2-a18c1255d75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666110c-970a-4ea6-9497-8da7cce07ce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Mental Health Reform Adviosry Committee Meeting 3 Summary .dotx</Template>
  <TotalTime>1</TotalTime>
  <Pages>1</Pages>
  <Words>311</Words>
  <Characters>1802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Reform Advisory Committee meeting summary – 8 March 2024</vt:lpstr>
    </vt:vector>
  </TitlesOfParts>
  <Manager/>
  <Company/>
  <LinksUpToDate>false</LinksUpToDate>
  <CharactersWithSpaces>2098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Reform Advisory Committee meeting summary – 8 March 2024</dc:title>
  <dc:subject>Mental health</dc:subject>
  <dc:creator>Australian Government Department of Health and Aged Care</dc:creator>
  <cp:keywords>Mental health and suicide prevention; Mental Health Reform Advisory Committee</cp:keywords>
  <dc:description/>
  <cp:revision>2</cp:revision>
  <dcterms:created xsi:type="dcterms:W3CDTF">2024-05-07T03:38:00Z</dcterms:created>
  <dcterms:modified xsi:type="dcterms:W3CDTF">2024-05-07T03:38:00Z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0x010100D93817655650DA4D85CEF7BB384F2DD0</vt:lpwstr>
  </property>
  <property fmtid="{D5CDD505-2E9C-101B-9397-08002B2CF9AE}" pid="3" name="MediaServiceImageTags">
    <vt:lpwstr/>
  </property>
</Properties>
</file>