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7D00" w14:textId="76CB6E9F" w:rsidR="00BA2732" w:rsidRDefault="0089664B" w:rsidP="0068134A">
      <w:pPr>
        <w:pStyle w:val="Heading1"/>
      </w:pPr>
      <w:r w:rsidRPr="0089664B">
        <w:t>Co-design of an Enhanced Consumer Engagement Proces</w:t>
      </w:r>
      <w:r w:rsidR="00377DF8">
        <w:t>s Working Group</w:t>
      </w:r>
    </w:p>
    <w:p w14:paraId="399B0AF7" w14:textId="40633677" w:rsidR="0054768D" w:rsidRPr="00231E97" w:rsidRDefault="005679C2" w:rsidP="00231E97">
      <w:pPr>
        <w:pStyle w:val="Heading2"/>
      </w:pPr>
      <w:r w:rsidRPr="00231E97">
        <w:t>Communique – Co-design Workshop #</w:t>
      </w:r>
      <w:r w:rsidR="00077B14">
        <w:t>4</w:t>
      </w:r>
      <w:r w:rsidRPr="00231E97">
        <w:t xml:space="preserve"> – </w:t>
      </w:r>
      <w:bookmarkStart w:id="0" w:name="_Hlk157093510"/>
      <w:r w:rsidR="00077B14">
        <w:t>9 April</w:t>
      </w:r>
      <w:r w:rsidRPr="00231E97">
        <w:t xml:space="preserve"> 202</w:t>
      </w:r>
      <w:bookmarkEnd w:id="0"/>
      <w:r w:rsidR="00290C9C">
        <w:t>4</w:t>
      </w:r>
    </w:p>
    <w:p w14:paraId="4DDAF97D" w14:textId="55760E26" w:rsidR="004C2B38" w:rsidRPr="00E51BED" w:rsidRDefault="004C2B38" w:rsidP="004C2B38">
      <w:r>
        <w:t xml:space="preserve">The Co-design Working Group (CWG) of the Enhanced Consumer Engagement Process </w:t>
      </w:r>
      <w:r w:rsidR="007033EE">
        <w:t xml:space="preserve">participated in </w:t>
      </w:r>
      <w:r>
        <w:t>a</w:t>
      </w:r>
      <w:r w:rsidR="00290C9C">
        <w:t xml:space="preserve">n online </w:t>
      </w:r>
      <w:r w:rsidR="00204894">
        <w:t>w</w:t>
      </w:r>
      <w:r>
        <w:t xml:space="preserve">orkshop on </w:t>
      </w:r>
      <w:r w:rsidR="00077B14">
        <w:t>9 April</w:t>
      </w:r>
      <w:r w:rsidR="00290C9C">
        <w:t xml:space="preserve"> 2024</w:t>
      </w:r>
      <w:r>
        <w:t xml:space="preserve">. </w:t>
      </w:r>
      <w:r w:rsidR="00DF27D5">
        <w:t>The workshop was run by i</w:t>
      </w:r>
      <w:r>
        <w:t xml:space="preserve">ndependent facilitators from the Methods and Implementation Support for Clinical and Health (MISCH) Research Hub, Nossal Institute for Global Health, The University of Melbourne, </w:t>
      </w:r>
      <w:r w:rsidR="00DF27D5">
        <w:t>who have been engaged</w:t>
      </w:r>
      <w:r>
        <w:t xml:space="preserve"> to develop and implement the project. </w:t>
      </w:r>
    </w:p>
    <w:p w14:paraId="64A2126A" w14:textId="77777777" w:rsidR="004C2B38" w:rsidRPr="00401B01" w:rsidRDefault="004C2B38" w:rsidP="004C2B38">
      <w:pPr>
        <w:rPr>
          <w:sz w:val="4"/>
          <w:szCs w:val="4"/>
        </w:rPr>
      </w:pPr>
    </w:p>
    <w:p w14:paraId="38A95CD3" w14:textId="77777777" w:rsidR="004C2B38" w:rsidRDefault="004C2B38" w:rsidP="004C2B38">
      <w:pPr>
        <w:pStyle w:val="Heading2"/>
        <w:spacing w:after="240"/>
      </w:pPr>
      <w:r w:rsidRPr="00FF5384">
        <w:t xml:space="preserve">What did the </w:t>
      </w:r>
      <w:r>
        <w:t>Working Group</w:t>
      </w:r>
      <w:r w:rsidRPr="00FF5384">
        <w:t xml:space="preserve"> </w:t>
      </w:r>
      <w:r w:rsidRPr="0024324A">
        <w:t>discuss</w:t>
      </w:r>
      <w:r w:rsidRPr="00FF5384">
        <w:t>?</w:t>
      </w:r>
    </w:p>
    <w:p w14:paraId="29A1EF3C" w14:textId="7B8D3E73" w:rsidR="00290C9C" w:rsidRDefault="00290C9C" w:rsidP="00290C9C">
      <w:pPr>
        <w:pStyle w:val="Heading3"/>
      </w:pPr>
      <w:r>
        <w:t>Chair’s update</w:t>
      </w:r>
    </w:p>
    <w:p w14:paraId="5903CB6B" w14:textId="50FFC409" w:rsidR="007472A5" w:rsidRPr="006456C5" w:rsidRDefault="00691A58" w:rsidP="00290C9C">
      <w:bookmarkStart w:id="1" w:name="_Hlk158215261"/>
      <w:r w:rsidRPr="00691A58">
        <w:t xml:space="preserve">The Chair </w:t>
      </w:r>
      <w:r w:rsidR="007472A5">
        <w:t xml:space="preserve">noted that the response to the consultation of the proposed recommendations </w:t>
      </w:r>
      <w:r w:rsidR="001A6D25">
        <w:t xml:space="preserve">for </w:t>
      </w:r>
      <w:r w:rsidR="007472A5">
        <w:t xml:space="preserve">the Enhanced Consumer Engagement </w:t>
      </w:r>
      <w:r w:rsidR="007472A5" w:rsidRPr="006456C5">
        <w:t>Process had been pleasing</w:t>
      </w:r>
      <w:r w:rsidR="00401B01">
        <w:t>, indicating</w:t>
      </w:r>
      <w:r w:rsidR="007472A5" w:rsidRPr="006456C5">
        <w:t xml:space="preserve"> </w:t>
      </w:r>
      <w:r w:rsidR="00A95918">
        <w:t xml:space="preserve">that there </w:t>
      </w:r>
      <w:r w:rsidR="00401B01">
        <w:t>is</w:t>
      </w:r>
      <w:r w:rsidR="00A95918">
        <w:t xml:space="preserve"> </w:t>
      </w:r>
      <w:r w:rsidR="007472A5" w:rsidRPr="006456C5">
        <w:t xml:space="preserve">a high level of interest in the work. The Chair advised she had been invited to attend </w:t>
      </w:r>
      <w:r w:rsidR="006456C5" w:rsidRPr="006456C5">
        <w:t xml:space="preserve">the HTA Policy and Methods Review </w:t>
      </w:r>
      <w:r w:rsidR="007472A5" w:rsidRPr="006456C5">
        <w:t>Reference Committee meeting on 11 April 2024</w:t>
      </w:r>
      <w:r w:rsidR="006456C5">
        <w:t>,</w:t>
      </w:r>
      <w:r w:rsidR="007472A5" w:rsidRPr="006456C5">
        <w:t xml:space="preserve"> to share feedback on the consultation and consider where the projects </w:t>
      </w:r>
      <w:r w:rsidR="00992718">
        <w:t xml:space="preserve">may </w:t>
      </w:r>
      <w:r w:rsidR="001A6D25" w:rsidRPr="006456C5">
        <w:t>continue to align as they move into finalising recommendations</w:t>
      </w:r>
      <w:r w:rsidR="007472A5" w:rsidRPr="006456C5">
        <w:t>.</w:t>
      </w:r>
    </w:p>
    <w:p w14:paraId="6D7B9385" w14:textId="77777777" w:rsidR="00902BC7" w:rsidRPr="00401B01" w:rsidRDefault="00902BC7" w:rsidP="00290C9C">
      <w:pPr>
        <w:rPr>
          <w:sz w:val="4"/>
          <w:szCs w:val="4"/>
        </w:rPr>
      </w:pPr>
    </w:p>
    <w:bookmarkEnd w:id="1"/>
    <w:p w14:paraId="545AEF35" w14:textId="61C29627" w:rsidR="004C2B38" w:rsidRPr="00842377" w:rsidRDefault="007472A5" w:rsidP="004C2B38">
      <w:pPr>
        <w:pStyle w:val="Heading3"/>
      </w:pPr>
      <w:r>
        <w:t>Over</w:t>
      </w:r>
      <w:r w:rsidR="00290C9C">
        <w:t xml:space="preserve">view of </w:t>
      </w:r>
      <w:r w:rsidR="00902BC7">
        <w:t>the co-design consultation</w:t>
      </w:r>
      <w:r>
        <w:t xml:space="preserve"> responses</w:t>
      </w:r>
    </w:p>
    <w:p w14:paraId="6D71FA76" w14:textId="54F3D6BB" w:rsidR="00A95918" w:rsidRDefault="00A95918" w:rsidP="00A95918">
      <w:r>
        <w:t xml:space="preserve">The facilitator shared data on the stakeholder groups that completed the </w:t>
      </w:r>
      <w:r w:rsidR="00401B01">
        <w:t xml:space="preserve">online </w:t>
      </w:r>
      <w:r>
        <w:t xml:space="preserve">consultation survey. These included: 34 members of a health consumer or patient organisation; 15 individual patients or carers; 10 from the pharmaceutical sector; </w:t>
      </w:r>
      <w:r w:rsidR="00401B01">
        <w:t>2</w:t>
      </w:r>
      <w:r>
        <w:t xml:space="preserve"> clinical or health professionals; </w:t>
      </w:r>
      <w:r w:rsidR="00401B01">
        <w:t>2</w:t>
      </w:r>
      <w:r>
        <w:t xml:space="preserve"> academics/researchers; and one each from the government sector, </w:t>
      </w:r>
      <w:proofErr w:type="gramStart"/>
      <w:r>
        <w:t>consultancy</w:t>
      </w:r>
      <w:proofErr w:type="gramEnd"/>
      <w:r>
        <w:t xml:space="preserve"> and ‘other’ classification. Additionally, 12 written submissions were received. The CWG acknowledged that consultation respondents represented a wide range of stakeholder groups. </w:t>
      </w:r>
    </w:p>
    <w:p w14:paraId="6842F1CC" w14:textId="12664D35" w:rsidR="00A95918" w:rsidRDefault="00902BC7" w:rsidP="004C2B38">
      <w:r>
        <w:t xml:space="preserve">The facilitator </w:t>
      </w:r>
      <w:r w:rsidR="007472A5">
        <w:t>d</w:t>
      </w:r>
      <w:r w:rsidR="00401B01">
        <w:t>escribed</w:t>
      </w:r>
      <w:r w:rsidR="007472A5">
        <w:t xml:space="preserve"> the methodology applied to the analysis of the </w:t>
      </w:r>
      <w:r w:rsidR="006456C5">
        <w:t>consultation</w:t>
      </w:r>
      <w:r w:rsidR="007472A5">
        <w:t xml:space="preserve"> responses</w:t>
      </w:r>
      <w:r w:rsidR="00401B01">
        <w:t>. The CWG</w:t>
      </w:r>
      <w:r w:rsidR="007472A5">
        <w:t xml:space="preserve"> </w:t>
      </w:r>
      <w:r w:rsidR="00A95918">
        <w:t xml:space="preserve">reviewed respondents’ rankings of the </w:t>
      </w:r>
      <w:r w:rsidR="007472A5">
        <w:t>proposed recommendations</w:t>
      </w:r>
      <w:r w:rsidR="00401B01">
        <w:t xml:space="preserve"> from the corresponding survey questions and noted </w:t>
      </w:r>
      <w:r w:rsidR="00A95918">
        <w:t xml:space="preserve">the top </w:t>
      </w:r>
      <w:r w:rsidR="00401B01">
        <w:t>3</w:t>
      </w:r>
      <w:r w:rsidR="00A95918">
        <w:t xml:space="preserve"> recommendations</w:t>
      </w:r>
      <w:r w:rsidR="00401B01">
        <w:t xml:space="preserve"> which emerged from these.</w:t>
      </w:r>
      <w:r w:rsidR="00A95918">
        <w:t xml:space="preserve"> </w:t>
      </w:r>
    </w:p>
    <w:p w14:paraId="30A41887" w14:textId="6F626CF3" w:rsidR="00A95918" w:rsidRDefault="00A95918" w:rsidP="00401B01">
      <w:pPr>
        <w:pStyle w:val="ListParagraph"/>
        <w:numPr>
          <w:ilvl w:val="0"/>
          <w:numId w:val="42"/>
        </w:numPr>
      </w:pPr>
      <w:r>
        <w:t>System-wide recommendations:</w:t>
      </w:r>
    </w:p>
    <w:p w14:paraId="0469E781" w14:textId="687C5863" w:rsidR="00A95918" w:rsidRDefault="00A95918" w:rsidP="00401B01">
      <w:pPr>
        <w:pStyle w:val="ListParagraph"/>
        <w:numPr>
          <w:ilvl w:val="1"/>
          <w:numId w:val="42"/>
        </w:numPr>
      </w:pPr>
      <w:r>
        <w:t>consumer engagement framework</w:t>
      </w:r>
    </w:p>
    <w:p w14:paraId="23D3A6C3" w14:textId="11CFB8DA" w:rsidR="00A95918" w:rsidRDefault="00A95918" w:rsidP="00401B01">
      <w:pPr>
        <w:pStyle w:val="ListParagraph"/>
        <w:numPr>
          <w:ilvl w:val="1"/>
          <w:numId w:val="42"/>
        </w:numPr>
      </w:pPr>
      <w:r>
        <w:t>plain language communications</w:t>
      </w:r>
    </w:p>
    <w:p w14:paraId="60A45C55" w14:textId="20E93654" w:rsidR="00A95918" w:rsidRDefault="00A95918" w:rsidP="00401B01">
      <w:pPr>
        <w:pStyle w:val="ListParagraph"/>
        <w:numPr>
          <w:ilvl w:val="1"/>
          <w:numId w:val="42"/>
        </w:numPr>
      </w:pPr>
      <w:r>
        <w:t>single digital consumer portal</w:t>
      </w:r>
      <w:r w:rsidR="00401B01">
        <w:t>.</w:t>
      </w:r>
    </w:p>
    <w:p w14:paraId="55DC52FF" w14:textId="77777777" w:rsidR="00A95918" w:rsidRDefault="00A95918" w:rsidP="00A95918"/>
    <w:p w14:paraId="65CCB6C7" w14:textId="77777777" w:rsidR="00401B01" w:rsidRDefault="00A95918" w:rsidP="00401B01">
      <w:pPr>
        <w:pStyle w:val="ListParagraph"/>
        <w:numPr>
          <w:ilvl w:val="0"/>
          <w:numId w:val="42"/>
        </w:numPr>
      </w:pPr>
      <w:r>
        <w:lastRenderedPageBreak/>
        <w:t>Health technology pathway processes (pre-HTA, HTA, post-HTA):</w:t>
      </w:r>
    </w:p>
    <w:p w14:paraId="51E16AA7" w14:textId="77777777" w:rsidR="00401B01" w:rsidRDefault="00A95918" w:rsidP="00401B01">
      <w:pPr>
        <w:pStyle w:val="ListParagraph"/>
        <w:numPr>
          <w:ilvl w:val="1"/>
          <w:numId w:val="42"/>
        </w:numPr>
      </w:pPr>
      <w:r>
        <w:t>consumer evidence in PBAC submissions</w:t>
      </w:r>
    </w:p>
    <w:p w14:paraId="4C98DE8C" w14:textId="77777777" w:rsidR="00401B01" w:rsidRDefault="00A95918" w:rsidP="00401B01">
      <w:pPr>
        <w:pStyle w:val="ListParagraph"/>
        <w:numPr>
          <w:ilvl w:val="1"/>
          <w:numId w:val="42"/>
        </w:numPr>
      </w:pPr>
      <w:r>
        <w:t>consumer evidence in TGA applications</w:t>
      </w:r>
    </w:p>
    <w:p w14:paraId="00950EE7" w14:textId="3825E5AF" w:rsidR="00A95918" w:rsidRDefault="00A95918" w:rsidP="00401B01">
      <w:pPr>
        <w:pStyle w:val="ListParagraph"/>
        <w:numPr>
          <w:ilvl w:val="1"/>
          <w:numId w:val="42"/>
        </w:numPr>
      </w:pPr>
      <w:r>
        <w:t>consumer evidence in Australian clinical research</w:t>
      </w:r>
      <w:r w:rsidR="00401B01">
        <w:t>.</w:t>
      </w:r>
    </w:p>
    <w:p w14:paraId="02046F4B" w14:textId="48564255" w:rsidR="00A95918" w:rsidRDefault="00A95918" w:rsidP="00A95918">
      <w:r>
        <w:t>The consultation also invited respondents to rank implementation considerations in order of importance</w:t>
      </w:r>
      <w:r w:rsidR="00401B01">
        <w:t>. The CWG reviewed these and noted the top 3 consideration rankings.</w:t>
      </w:r>
    </w:p>
    <w:p w14:paraId="64FD726D" w14:textId="454D9F27" w:rsidR="00A95918" w:rsidRDefault="00A95918" w:rsidP="00A95918">
      <w:pPr>
        <w:pStyle w:val="ListParagraph"/>
        <w:numPr>
          <w:ilvl w:val="0"/>
          <w:numId w:val="44"/>
        </w:numPr>
      </w:pPr>
      <w:r>
        <w:t xml:space="preserve">strengthen the use of consumer evidence and </w:t>
      </w:r>
      <w:proofErr w:type="gramStart"/>
      <w:r>
        <w:t>experience</w:t>
      </w:r>
      <w:proofErr w:type="gramEnd"/>
    </w:p>
    <w:p w14:paraId="06ABE5BA" w14:textId="1025A493" w:rsidR="00A95918" w:rsidRDefault="00A95918" w:rsidP="00A95918">
      <w:pPr>
        <w:pStyle w:val="ListParagraph"/>
        <w:numPr>
          <w:ilvl w:val="0"/>
          <w:numId w:val="44"/>
        </w:numPr>
      </w:pPr>
      <w:r>
        <w:t xml:space="preserve">commit to timely consumer-focused </w:t>
      </w:r>
      <w:proofErr w:type="gramStart"/>
      <w:r>
        <w:t>reform</w:t>
      </w:r>
      <w:proofErr w:type="gramEnd"/>
    </w:p>
    <w:p w14:paraId="02E8BB6B" w14:textId="50987B11" w:rsidR="00A95918" w:rsidRDefault="00A95918" w:rsidP="00A95918">
      <w:pPr>
        <w:pStyle w:val="ListParagraph"/>
        <w:numPr>
          <w:ilvl w:val="0"/>
          <w:numId w:val="44"/>
        </w:numPr>
      </w:pPr>
      <w:r>
        <w:t>invest in systemic change.</w:t>
      </w:r>
    </w:p>
    <w:p w14:paraId="637681B4" w14:textId="77777777" w:rsidR="00A95918" w:rsidRPr="00401B01" w:rsidRDefault="00A95918" w:rsidP="007472A5">
      <w:pPr>
        <w:pStyle w:val="Heading3"/>
        <w:rPr>
          <w:sz w:val="4"/>
          <w:szCs w:val="4"/>
        </w:rPr>
      </w:pPr>
    </w:p>
    <w:p w14:paraId="2ED8E641" w14:textId="5610F43C" w:rsidR="007472A5" w:rsidRDefault="007472A5" w:rsidP="007472A5">
      <w:pPr>
        <w:pStyle w:val="Heading3"/>
      </w:pPr>
      <w:r>
        <w:t xml:space="preserve">Review of responses to proposed </w:t>
      </w:r>
      <w:proofErr w:type="gramStart"/>
      <w:r>
        <w:t>recommendations</w:t>
      </w:r>
      <w:proofErr w:type="gramEnd"/>
      <w:r>
        <w:t xml:space="preserve"> </w:t>
      </w:r>
    </w:p>
    <w:p w14:paraId="692BB461" w14:textId="057956E5" w:rsidR="006456C5" w:rsidRDefault="00992718" w:rsidP="001A6D25">
      <w:r>
        <w:t xml:space="preserve">The facilitator </w:t>
      </w:r>
      <w:r w:rsidR="00401B01">
        <w:t>guided</w:t>
      </w:r>
      <w:r w:rsidR="001A6D25">
        <w:t xml:space="preserve"> t</w:t>
      </w:r>
      <w:r w:rsidR="00CC2A81">
        <w:t>he CWG</w:t>
      </w:r>
      <w:r>
        <w:t xml:space="preserve"> in more detailed discussion of </w:t>
      </w:r>
      <w:r w:rsidR="001A6D25">
        <w:t xml:space="preserve">various </w:t>
      </w:r>
      <w:r w:rsidR="006456C5">
        <w:t xml:space="preserve">proposed </w:t>
      </w:r>
      <w:r w:rsidR="001A6D25">
        <w:t>recommendations,</w:t>
      </w:r>
      <w:r>
        <w:t xml:space="preserve"> with consideration</w:t>
      </w:r>
      <w:r w:rsidR="001A6D25">
        <w:t xml:space="preserve"> to responses received in the consultation. This included feedback on several recommendations which suggested that more clarity was needed on the intended outcome</w:t>
      </w:r>
      <w:r w:rsidR="006456C5">
        <w:t>, the wording of the recommendation and/</w:t>
      </w:r>
      <w:r w:rsidR="001A6D25">
        <w:t>or how these may be implemented without causing delayed access to health technolog</w:t>
      </w:r>
      <w:r w:rsidR="00A95918">
        <w:t>ies</w:t>
      </w:r>
      <w:r w:rsidR="001A6D25">
        <w:t xml:space="preserve">. </w:t>
      </w:r>
    </w:p>
    <w:p w14:paraId="7460B792" w14:textId="77777777" w:rsidR="006456C5" w:rsidRPr="00401B01" w:rsidRDefault="006456C5" w:rsidP="001A6D25">
      <w:pPr>
        <w:rPr>
          <w:sz w:val="4"/>
          <w:szCs w:val="4"/>
        </w:rPr>
      </w:pPr>
    </w:p>
    <w:p w14:paraId="09D93EDF" w14:textId="0DBCE3C9" w:rsidR="00902BC7" w:rsidRDefault="006456C5" w:rsidP="00902BC7">
      <w:pPr>
        <w:pStyle w:val="Heading3"/>
      </w:pPr>
      <w:r>
        <w:t>T</w:t>
      </w:r>
      <w:r w:rsidR="00216CF9">
        <w:t>rends</w:t>
      </w:r>
      <w:r>
        <w:t xml:space="preserve"> emerging from the</w:t>
      </w:r>
      <w:r w:rsidR="00902BC7">
        <w:t xml:space="preserve"> </w:t>
      </w:r>
      <w:proofErr w:type="gramStart"/>
      <w:r w:rsidR="00902BC7">
        <w:t>c</w:t>
      </w:r>
      <w:r w:rsidR="004C2B38">
        <w:t>o</w:t>
      </w:r>
      <w:r w:rsidR="007933ED">
        <w:t>nsultation</w:t>
      </w:r>
      <w:proofErr w:type="gramEnd"/>
      <w:r w:rsidR="004C2B38">
        <w:t xml:space="preserve"> </w:t>
      </w:r>
    </w:p>
    <w:p w14:paraId="0494F151" w14:textId="1EE3758A" w:rsidR="006456C5" w:rsidRDefault="006456C5" w:rsidP="00902BC7">
      <w:r>
        <w:t xml:space="preserve">The facilitator briefly shared some overarching </w:t>
      </w:r>
      <w:r w:rsidR="00216CF9">
        <w:t>trends</w:t>
      </w:r>
      <w:r>
        <w:t xml:space="preserve"> </w:t>
      </w:r>
      <w:r w:rsidR="00992718">
        <w:t>that had emerged</w:t>
      </w:r>
      <w:r>
        <w:t xml:space="preserve"> thus far from the consultation analysis. </w:t>
      </w:r>
      <w:r w:rsidR="00992718">
        <w:t>It was noted that</w:t>
      </w:r>
      <w:r>
        <w:t xml:space="preserve"> these are still being developed as part of the </w:t>
      </w:r>
      <w:r w:rsidR="00992718">
        <w:t xml:space="preserve">qualitative </w:t>
      </w:r>
      <w:r>
        <w:t>analysis</w:t>
      </w:r>
      <w:r w:rsidR="00992718">
        <w:t xml:space="preserve"> but</w:t>
      </w:r>
      <w:r>
        <w:t xml:space="preserve"> will assist in informing the CWG in finalising the recommendations. </w:t>
      </w:r>
    </w:p>
    <w:p w14:paraId="6A377B62" w14:textId="19D03073" w:rsidR="006456C5" w:rsidRDefault="006456C5" w:rsidP="00902BC7">
      <w:r>
        <w:t xml:space="preserve">The CWG </w:t>
      </w:r>
      <w:r w:rsidR="00216CF9">
        <w:t>considered</w:t>
      </w:r>
      <w:r>
        <w:t xml:space="preserve"> some of the</w:t>
      </w:r>
      <w:r w:rsidR="00401B01">
        <w:t xml:space="preserve"> emerging</w:t>
      </w:r>
      <w:r>
        <w:t xml:space="preserve"> trends, including: </w:t>
      </w:r>
    </w:p>
    <w:p w14:paraId="08B931EF" w14:textId="01F6647F" w:rsidR="006456C5" w:rsidRDefault="006456C5" w:rsidP="006456C5">
      <w:pPr>
        <w:pStyle w:val="ListParagraph"/>
        <w:numPr>
          <w:ilvl w:val="0"/>
          <w:numId w:val="41"/>
        </w:numPr>
      </w:pPr>
      <w:r>
        <w:t>Prioritise implementations that may produce enhancements</w:t>
      </w:r>
      <w:r w:rsidR="00216CF9">
        <w:t xml:space="preserve"> in the short-term,</w:t>
      </w:r>
      <w:r>
        <w:t xml:space="preserve"> to ensure improvements can be initiated </w:t>
      </w:r>
      <w:r w:rsidR="00216CF9">
        <w:t xml:space="preserve">in the interim while </w:t>
      </w:r>
      <w:r w:rsidR="00440647">
        <w:t xml:space="preserve">important but </w:t>
      </w:r>
      <w:r w:rsidR="00216CF9">
        <w:t>more detailed enhancements are under development</w:t>
      </w:r>
      <w:r>
        <w:t xml:space="preserve">. </w:t>
      </w:r>
    </w:p>
    <w:p w14:paraId="55F0D9F5" w14:textId="65CF600B" w:rsidR="006456C5" w:rsidRDefault="006456C5" w:rsidP="006456C5">
      <w:pPr>
        <w:pStyle w:val="ListParagraph"/>
        <w:numPr>
          <w:ilvl w:val="0"/>
          <w:numId w:val="41"/>
        </w:numPr>
      </w:pPr>
      <w:r>
        <w:t>Ensure equity of access for diverse and priority populations across all enhancements.</w:t>
      </w:r>
    </w:p>
    <w:p w14:paraId="6A4ACD1B" w14:textId="5A0C045C" w:rsidR="006456C5" w:rsidRDefault="006456C5" w:rsidP="006456C5">
      <w:pPr>
        <w:pStyle w:val="ListParagraph"/>
        <w:numPr>
          <w:ilvl w:val="0"/>
          <w:numId w:val="41"/>
        </w:numPr>
      </w:pPr>
      <w:r>
        <w:t>Enhance</w:t>
      </w:r>
      <w:r w:rsidR="00401B01">
        <w:t>ments</w:t>
      </w:r>
      <w:r>
        <w:t xml:space="preserve"> must be supported by methods that are a formal component of the required evidence as part of HTA committee deliberations and decision-making.</w:t>
      </w:r>
    </w:p>
    <w:p w14:paraId="30451328" w14:textId="79B9ADA5" w:rsidR="006456C5" w:rsidRDefault="006456C5" w:rsidP="006456C5">
      <w:pPr>
        <w:pStyle w:val="ListParagraph"/>
        <w:numPr>
          <w:ilvl w:val="0"/>
          <w:numId w:val="41"/>
        </w:numPr>
      </w:pPr>
      <w:r>
        <w:t xml:space="preserve">Enhancements should </w:t>
      </w:r>
      <w:r w:rsidR="00216CF9">
        <w:t xml:space="preserve">enable </w:t>
      </w:r>
      <w:r>
        <w:t>continue</w:t>
      </w:r>
      <w:r w:rsidR="00216CF9">
        <w:t>d</w:t>
      </w:r>
      <w:r>
        <w:t xml:space="preserve"> support </w:t>
      </w:r>
      <w:r w:rsidR="00216CF9">
        <w:t xml:space="preserve">of </w:t>
      </w:r>
      <w:r>
        <w:t>a viable and thriving clinical research sector in Australia.</w:t>
      </w:r>
    </w:p>
    <w:p w14:paraId="349E153D" w14:textId="2B244609" w:rsidR="006456C5" w:rsidRDefault="006456C5" w:rsidP="006456C5">
      <w:pPr>
        <w:pStyle w:val="ListParagraph"/>
        <w:numPr>
          <w:ilvl w:val="0"/>
          <w:numId w:val="41"/>
        </w:numPr>
      </w:pPr>
      <w:r>
        <w:t>Consider explicit inclusion of clinicians</w:t>
      </w:r>
      <w:r w:rsidR="00216CF9">
        <w:t>/health professionals</w:t>
      </w:r>
      <w:r>
        <w:t xml:space="preserve"> as stakeholders in the recommendations.</w:t>
      </w:r>
    </w:p>
    <w:p w14:paraId="6E599573" w14:textId="6AA6FB3E" w:rsidR="00992718" w:rsidRDefault="00992718" w:rsidP="006456C5">
      <w:pPr>
        <w:pStyle w:val="ListParagraph"/>
        <w:numPr>
          <w:ilvl w:val="0"/>
          <w:numId w:val="41"/>
        </w:numPr>
      </w:pPr>
      <w:r>
        <w:t xml:space="preserve">Appropriate measures will be required to protect sensitive commercial-in-confidence information and </w:t>
      </w:r>
      <w:r w:rsidR="00401B01">
        <w:t xml:space="preserve">that </w:t>
      </w:r>
      <w:r>
        <w:t xml:space="preserve">all workable changes adhere to </w:t>
      </w:r>
      <w:r w:rsidR="00401B01">
        <w:t xml:space="preserve">applicable </w:t>
      </w:r>
      <w:r>
        <w:t>data protection</w:t>
      </w:r>
      <w:r w:rsidR="00401B01">
        <w:t xml:space="preserve"> and</w:t>
      </w:r>
      <w:r>
        <w:t xml:space="preserve"> confidentiality laws.</w:t>
      </w:r>
    </w:p>
    <w:p w14:paraId="7D8FD48D" w14:textId="28E4D8B0" w:rsidR="006456C5" w:rsidRDefault="00216CF9" w:rsidP="006456C5">
      <w:pPr>
        <w:pStyle w:val="ListParagraph"/>
        <w:numPr>
          <w:ilvl w:val="0"/>
          <w:numId w:val="41"/>
        </w:numPr>
      </w:pPr>
      <w:r>
        <w:t>R</w:t>
      </w:r>
      <w:r w:rsidR="006456C5">
        <w:t>esourcing implications, responsibilities and accountabilities across stakeholder groups</w:t>
      </w:r>
      <w:r>
        <w:t xml:space="preserve"> should be considered for all recommendations.</w:t>
      </w:r>
    </w:p>
    <w:p w14:paraId="6F12AEBE" w14:textId="77777777" w:rsidR="006456C5" w:rsidRPr="00401B01" w:rsidRDefault="006456C5" w:rsidP="006456C5">
      <w:pPr>
        <w:rPr>
          <w:sz w:val="4"/>
          <w:szCs w:val="4"/>
        </w:rPr>
      </w:pPr>
    </w:p>
    <w:p w14:paraId="2EDB5BB0" w14:textId="202E19A7" w:rsidR="004C2B38" w:rsidRPr="00892617" w:rsidRDefault="004C2B38" w:rsidP="004C2B38">
      <w:pPr>
        <w:pStyle w:val="Heading3"/>
      </w:pPr>
      <w:r w:rsidRPr="00414EC9">
        <w:t xml:space="preserve">Meeting close </w:t>
      </w:r>
    </w:p>
    <w:p w14:paraId="4D6516FA" w14:textId="5245FD1D" w:rsidR="00E73EB1" w:rsidRDefault="00AF7901" w:rsidP="0098122D">
      <w:r>
        <w:t xml:space="preserve">The CWG noted that the consultation responses were helpful in informing the </w:t>
      </w:r>
      <w:r w:rsidR="00194C46" w:rsidRPr="003D33ED">
        <w:t>refinement and</w:t>
      </w:r>
      <w:r w:rsidR="00194C46">
        <w:t xml:space="preserve"> </w:t>
      </w:r>
      <w:r>
        <w:t xml:space="preserve">finalisation of the proposed recommendations. </w:t>
      </w:r>
      <w:r w:rsidR="006456C5">
        <w:t>It was agreed that the facilitator w</w:t>
      </w:r>
      <w:r w:rsidR="00216CF9">
        <w:t>ill</w:t>
      </w:r>
      <w:r w:rsidR="006456C5">
        <w:t xml:space="preserve"> </w:t>
      </w:r>
      <w:r w:rsidR="00A00656">
        <w:t>develop</w:t>
      </w:r>
      <w:r w:rsidR="006456C5">
        <w:t xml:space="preserve"> a </w:t>
      </w:r>
      <w:r w:rsidR="00A00656">
        <w:t xml:space="preserve">draft </w:t>
      </w:r>
      <w:r w:rsidR="006456C5">
        <w:t xml:space="preserve">final report which incorporates the CWG’s consideration of the consultation responses. This will be provided </w:t>
      </w:r>
      <w:r>
        <w:t>for</w:t>
      </w:r>
      <w:r w:rsidR="006456C5">
        <w:t xml:space="preserve"> members</w:t>
      </w:r>
      <w:r>
        <w:t>’</w:t>
      </w:r>
      <w:r w:rsidR="006456C5">
        <w:t xml:space="preserve"> </w:t>
      </w:r>
      <w:r w:rsidR="00216CF9">
        <w:t>input</w:t>
      </w:r>
      <w:r w:rsidR="006456C5">
        <w:t xml:space="preserve"> prior to the next CWG meeting on 7 May 2024.</w:t>
      </w:r>
    </w:p>
    <w:sectPr w:rsidR="00E73EB1" w:rsidSect="00D4487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4641" w14:textId="77777777" w:rsidR="00D44877" w:rsidRDefault="00D44877" w:rsidP="006B56BB">
      <w:r>
        <w:separator/>
      </w:r>
    </w:p>
    <w:p w14:paraId="4C5FF172" w14:textId="77777777" w:rsidR="00D44877" w:rsidRDefault="00D44877"/>
  </w:endnote>
  <w:endnote w:type="continuationSeparator" w:id="0">
    <w:p w14:paraId="035B0826" w14:textId="77777777" w:rsidR="00D44877" w:rsidRDefault="00D44877" w:rsidP="006B56BB">
      <w:r>
        <w:continuationSeparator/>
      </w:r>
    </w:p>
    <w:p w14:paraId="565450BA" w14:textId="77777777" w:rsidR="00D44877" w:rsidRDefault="00D44877"/>
  </w:endnote>
  <w:endnote w:type="continuationNotice" w:id="1">
    <w:p w14:paraId="3C726960" w14:textId="77777777" w:rsidR="00D44877" w:rsidRDefault="00D44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E2E1" w14:textId="1296DC9B" w:rsidR="008D48C9" w:rsidRPr="0068134A" w:rsidRDefault="002C5D82" w:rsidP="00FB11F4">
    <w:pPr>
      <w:pStyle w:val="Footer"/>
    </w:pPr>
    <w:r w:rsidRPr="00FB11F4">
      <w:t>Co-design of an Enhanced Consumer Engagement Process – Communique</w:t>
    </w:r>
    <w:r w:rsidR="009C3CCA">
      <w:t xml:space="preserve"> </w:t>
    </w:r>
    <w:r w:rsidRPr="00FB11F4">
      <w:t xml:space="preserve">– </w:t>
    </w:r>
    <w:r w:rsidR="006456C5">
      <w:t>9 April</w:t>
    </w:r>
    <w:r w:rsidR="00745DDC">
      <w:t xml:space="preserve"> 2024</w:t>
    </w:r>
    <w:sdt>
      <w:sdtPr>
        <w:id w:val="544643613"/>
        <w:docPartObj>
          <w:docPartGallery w:val="Page Numbers (Bottom of Page)"/>
          <w:docPartUnique/>
        </w:docPartObj>
      </w:sdtPr>
      <w:sdtContent>
        <w:r w:rsidR="0068134A">
          <w:tab/>
        </w:r>
        <w:r w:rsidR="0068134A" w:rsidRPr="003D033A">
          <w:fldChar w:fldCharType="begin"/>
        </w:r>
        <w:r w:rsidR="0068134A" w:rsidRPr="003D033A">
          <w:instrText xml:space="preserve"> PAGE   \* MERGEFORMAT </w:instrText>
        </w:r>
        <w:r w:rsidR="0068134A" w:rsidRPr="003D033A">
          <w:fldChar w:fldCharType="separate"/>
        </w:r>
        <w:r w:rsidR="00AC24B7">
          <w:rPr>
            <w:noProof/>
          </w:rPr>
          <w:t>7</w:t>
        </w:r>
        <w:r w:rsidR="0068134A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83F6" w14:textId="1D54B7F3" w:rsidR="0068134A" w:rsidRPr="00FB11F4" w:rsidRDefault="006456C5" w:rsidP="00FB11F4">
    <w:pPr>
      <w:pStyle w:val="Footer"/>
    </w:pPr>
    <w:r w:rsidRPr="00FB11F4">
      <w:t>Co-design of an Enhanced Consumer Engagement Process – Communique</w:t>
    </w:r>
    <w:r w:rsidR="009C3CCA">
      <w:t xml:space="preserve"> </w:t>
    </w:r>
    <w:r w:rsidRPr="00FB11F4">
      <w:t xml:space="preserve">– </w:t>
    </w:r>
    <w:r>
      <w:t>9 April 2024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 w:rsidRPr="00FB11F4">
          <w:tab/>
        </w:r>
        <w:r w:rsidR="003D033A" w:rsidRPr="00FB11F4">
          <w:fldChar w:fldCharType="begin"/>
        </w:r>
        <w:r w:rsidR="003D033A" w:rsidRPr="00FB11F4">
          <w:instrText xml:space="preserve"> PAGE   \* MERGEFORMAT </w:instrText>
        </w:r>
        <w:r w:rsidR="003D033A" w:rsidRPr="00FB11F4">
          <w:fldChar w:fldCharType="separate"/>
        </w:r>
        <w:r w:rsidR="000C243A" w:rsidRPr="00FB11F4">
          <w:t>1</w:t>
        </w:r>
        <w:r w:rsidR="003D033A" w:rsidRPr="00FB11F4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D9C6" w14:textId="77777777" w:rsidR="00D44877" w:rsidRDefault="00D44877" w:rsidP="006B56BB">
      <w:r>
        <w:separator/>
      </w:r>
    </w:p>
    <w:p w14:paraId="39D74890" w14:textId="77777777" w:rsidR="00D44877" w:rsidRDefault="00D44877"/>
  </w:footnote>
  <w:footnote w:type="continuationSeparator" w:id="0">
    <w:p w14:paraId="2312BF1F" w14:textId="77777777" w:rsidR="00D44877" w:rsidRDefault="00D44877" w:rsidP="006B56BB">
      <w:r>
        <w:continuationSeparator/>
      </w:r>
    </w:p>
    <w:p w14:paraId="213AC82E" w14:textId="77777777" w:rsidR="00D44877" w:rsidRDefault="00D44877"/>
  </w:footnote>
  <w:footnote w:type="continuationNotice" w:id="1">
    <w:p w14:paraId="0E38271F" w14:textId="77777777" w:rsidR="00D44877" w:rsidRDefault="00D44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C684" w14:textId="2581A5A7" w:rsidR="0046318F" w:rsidRDefault="00463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105D" w14:textId="79BCC969" w:rsidR="0046318F" w:rsidRDefault="004631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7CA5" w14:textId="791E9687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7D6531A2" wp14:editId="2E2E1B79">
          <wp:extent cx="5765470" cy="958215"/>
          <wp:effectExtent l="0" t="0" r="635" b="0"/>
          <wp:docPr id="2" name="Picture 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75852"/>
    <w:multiLevelType w:val="hybridMultilevel"/>
    <w:tmpl w:val="96166838"/>
    <w:lvl w:ilvl="0" w:tplc="B418A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C459B2"/>
    <w:multiLevelType w:val="hybridMultilevel"/>
    <w:tmpl w:val="94A4D09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7C1437"/>
    <w:multiLevelType w:val="hybridMultilevel"/>
    <w:tmpl w:val="6448B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F2D40"/>
    <w:multiLevelType w:val="hybridMultilevel"/>
    <w:tmpl w:val="03227F1E"/>
    <w:lvl w:ilvl="0" w:tplc="C6B47C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86CE0"/>
    <w:multiLevelType w:val="hybridMultilevel"/>
    <w:tmpl w:val="55344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016BF3"/>
    <w:multiLevelType w:val="hybridMultilevel"/>
    <w:tmpl w:val="5F56E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5833371">
    <w:abstractNumId w:val="7"/>
  </w:num>
  <w:num w:numId="2" w16cid:durableId="136727635">
    <w:abstractNumId w:val="27"/>
  </w:num>
  <w:num w:numId="3" w16cid:durableId="235825222">
    <w:abstractNumId w:val="36"/>
  </w:num>
  <w:num w:numId="4" w16cid:durableId="2023509205">
    <w:abstractNumId w:val="8"/>
  </w:num>
  <w:num w:numId="5" w16cid:durableId="1791822256">
    <w:abstractNumId w:val="8"/>
    <w:lvlOverride w:ilvl="0">
      <w:startOverride w:val="1"/>
    </w:lvlOverride>
  </w:num>
  <w:num w:numId="6" w16cid:durableId="416487120">
    <w:abstractNumId w:val="11"/>
  </w:num>
  <w:num w:numId="7" w16cid:durableId="434444360">
    <w:abstractNumId w:val="22"/>
  </w:num>
  <w:num w:numId="8" w16cid:durableId="362751147">
    <w:abstractNumId w:val="34"/>
  </w:num>
  <w:num w:numId="9" w16cid:durableId="1371421114">
    <w:abstractNumId w:val="5"/>
  </w:num>
  <w:num w:numId="10" w16cid:durableId="1218543225">
    <w:abstractNumId w:val="4"/>
  </w:num>
  <w:num w:numId="11" w16cid:durableId="742146748">
    <w:abstractNumId w:val="3"/>
  </w:num>
  <w:num w:numId="12" w16cid:durableId="615258616">
    <w:abstractNumId w:val="2"/>
  </w:num>
  <w:num w:numId="13" w16cid:durableId="1205408693">
    <w:abstractNumId w:val="6"/>
  </w:num>
  <w:num w:numId="14" w16cid:durableId="1116561205">
    <w:abstractNumId w:val="1"/>
  </w:num>
  <w:num w:numId="15" w16cid:durableId="1441223289">
    <w:abstractNumId w:val="0"/>
  </w:num>
  <w:num w:numId="16" w16cid:durableId="1507791199">
    <w:abstractNumId w:val="38"/>
  </w:num>
  <w:num w:numId="17" w16cid:durableId="826748578">
    <w:abstractNumId w:val="13"/>
  </w:num>
  <w:num w:numId="18" w16cid:durableId="268587860">
    <w:abstractNumId w:val="14"/>
  </w:num>
  <w:num w:numId="19" w16cid:durableId="583149993">
    <w:abstractNumId w:val="17"/>
  </w:num>
  <w:num w:numId="20" w16cid:durableId="406614505">
    <w:abstractNumId w:val="18"/>
  </w:num>
  <w:num w:numId="21" w16cid:durableId="1584023879">
    <w:abstractNumId w:val="37"/>
  </w:num>
  <w:num w:numId="22" w16cid:durableId="1270233570">
    <w:abstractNumId w:val="10"/>
  </w:num>
  <w:num w:numId="23" w16cid:durableId="611401788">
    <w:abstractNumId w:val="13"/>
  </w:num>
  <w:num w:numId="24" w16cid:durableId="1022513200">
    <w:abstractNumId w:val="17"/>
  </w:num>
  <w:num w:numId="25" w16cid:durableId="2003729646">
    <w:abstractNumId w:val="36"/>
  </w:num>
  <w:num w:numId="26" w16cid:durableId="1946763033">
    <w:abstractNumId w:val="8"/>
  </w:num>
  <w:num w:numId="27" w16cid:durableId="312611862">
    <w:abstractNumId w:val="19"/>
  </w:num>
  <w:num w:numId="28" w16cid:durableId="511605125">
    <w:abstractNumId w:val="32"/>
  </w:num>
  <w:num w:numId="29" w16cid:durableId="1330907870">
    <w:abstractNumId w:val="23"/>
  </w:num>
  <w:num w:numId="30" w16cid:durableId="238638011">
    <w:abstractNumId w:val="26"/>
  </w:num>
  <w:num w:numId="31" w16cid:durableId="26371822">
    <w:abstractNumId w:val="12"/>
  </w:num>
  <w:num w:numId="32" w16cid:durableId="562981981">
    <w:abstractNumId w:val="9"/>
  </w:num>
  <w:num w:numId="33" w16cid:durableId="3292123">
    <w:abstractNumId w:val="16"/>
  </w:num>
  <w:num w:numId="34" w16cid:durableId="1468426813">
    <w:abstractNumId w:val="21"/>
  </w:num>
  <w:num w:numId="35" w16cid:durableId="1428770723">
    <w:abstractNumId w:val="33"/>
  </w:num>
  <w:num w:numId="36" w16cid:durableId="316422354">
    <w:abstractNumId w:val="29"/>
  </w:num>
  <w:num w:numId="37" w16cid:durableId="33426151">
    <w:abstractNumId w:val="30"/>
  </w:num>
  <w:num w:numId="38" w16cid:durableId="1115557363">
    <w:abstractNumId w:val="28"/>
  </w:num>
  <w:num w:numId="39" w16cid:durableId="215316089">
    <w:abstractNumId w:val="24"/>
  </w:num>
  <w:num w:numId="40" w16cid:durableId="623343149">
    <w:abstractNumId w:val="25"/>
  </w:num>
  <w:num w:numId="41" w16cid:durableId="470946087">
    <w:abstractNumId w:val="15"/>
  </w:num>
  <w:num w:numId="42" w16cid:durableId="153689999">
    <w:abstractNumId w:val="35"/>
  </w:num>
  <w:num w:numId="43" w16cid:durableId="1481580426">
    <w:abstractNumId w:val="20"/>
  </w:num>
  <w:num w:numId="44" w16cid:durableId="115109232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BA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25F3"/>
    <w:rsid w:val="00033321"/>
    <w:rsid w:val="000338E5"/>
    <w:rsid w:val="00033ECC"/>
    <w:rsid w:val="0003422F"/>
    <w:rsid w:val="00046FF0"/>
    <w:rsid w:val="00050176"/>
    <w:rsid w:val="000602E8"/>
    <w:rsid w:val="00067456"/>
    <w:rsid w:val="00071506"/>
    <w:rsid w:val="0007154F"/>
    <w:rsid w:val="00077B14"/>
    <w:rsid w:val="00081AB1"/>
    <w:rsid w:val="00082303"/>
    <w:rsid w:val="00090316"/>
    <w:rsid w:val="00093981"/>
    <w:rsid w:val="000A073B"/>
    <w:rsid w:val="000A52A9"/>
    <w:rsid w:val="000B067A"/>
    <w:rsid w:val="000B1540"/>
    <w:rsid w:val="000B1E53"/>
    <w:rsid w:val="000B33FD"/>
    <w:rsid w:val="000B4ABA"/>
    <w:rsid w:val="000C243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2A1F"/>
    <w:rsid w:val="0017665C"/>
    <w:rsid w:val="00177AD2"/>
    <w:rsid w:val="001815A8"/>
    <w:rsid w:val="001840FA"/>
    <w:rsid w:val="00190079"/>
    <w:rsid w:val="00194C46"/>
    <w:rsid w:val="0019622E"/>
    <w:rsid w:val="001966A7"/>
    <w:rsid w:val="001A4627"/>
    <w:rsid w:val="001A4979"/>
    <w:rsid w:val="001A6D25"/>
    <w:rsid w:val="001B15D3"/>
    <w:rsid w:val="001B3443"/>
    <w:rsid w:val="001C0326"/>
    <w:rsid w:val="001C192F"/>
    <w:rsid w:val="001C3C42"/>
    <w:rsid w:val="001D02ED"/>
    <w:rsid w:val="001D7869"/>
    <w:rsid w:val="002026CD"/>
    <w:rsid w:val="002033FC"/>
    <w:rsid w:val="002044BB"/>
    <w:rsid w:val="00204894"/>
    <w:rsid w:val="00210B09"/>
    <w:rsid w:val="00210C9E"/>
    <w:rsid w:val="00211840"/>
    <w:rsid w:val="00216CF9"/>
    <w:rsid w:val="00220E5F"/>
    <w:rsid w:val="002212B5"/>
    <w:rsid w:val="00223B0F"/>
    <w:rsid w:val="00226668"/>
    <w:rsid w:val="00231E97"/>
    <w:rsid w:val="00233809"/>
    <w:rsid w:val="00234364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0C9C"/>
    <w:rsid w:val="002924B3"/>
    <w:rsid w:val="00295AF2"/>
    <w:rsid w:val="00295C91"/>
    <w:rsid w:val="00297151"/>
    <w:rsid w:val="002B20E6"/>
    <w:rsid w:val="002B42A3"/>
    <w:rsid w:val="002C0696"/>
    <w:rsid w:val="002C0CDD"/>
    <w:rsid w:val="002C38C4"/>
    <w:rsid w:val="002C5D82"/>
    <w:rsid w:val="002E1A1D"/>
    <w:rsid w:val="002E4081"/>
    <w:rsid w:val="002E5B78"/>
    <w:rsid w:val="002E6DF8"/>
    <w:rsid w:val="002F3AE3"/>
    <w:rsid w:val="0030464B"/>
    <w:rsid w:val="00305D17"/>
    <w:rsid w:val="0030786C"/>
    <w:rsid w:val="003233DE"/>
    <w:rsid w:val="0032466B"/>
    <w:rsid w:val="003330EB"/>
    <w:rsid w:val="003415FD"/>
    <w:rsid w:val="003429F0"/>
    <w:rsid w:val="00345A82"/>
    <w:rsid w:val="0035097A"/>
    <w:rsid w:val="00351ADB"/>
    <w:rsid w:val="003540A4"/>
    <w:rsid w:val="00354EA4"/>
    <w:rsid w:val="00357BCC"/>
    <w:rsid w:val="00360445"/>
    <w:rsid w:val="00360E4E"/>
    <w:rsid w:val="00370AAA"/>
    <w:rsid w:val="00373CEA"/>
    <w:rsid w:val="00375F77"/>
    <w:rsid w:val="00377DF8"/>
    <w:rsid w:val="00381BBE"/>
    <w:rsid w:val="00382903"/>
    <w:rsid w:val="003846FF"/>
    <w:rsid w:val="003857D4"/>
    <w:rsid w:val="00385AD4"/>
    <w:rsid w:val="00387924"/>
    <w:rsid w:val="00392253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C3A5A"/>
    <w:rsid w:val="003D033A"/>
    <w:rsid w:val="003D17F9"/>
    <w:rsid w:val="003D2D88"/>
    <w:rsid w:val="003D33ED"/>
    <w:rsid w:val="003D41EA"/>
    <w:rsid w:val="003D4850"/>
    <w:rsid w:val="003D535A"/>
    <w:rsid w:val="003E3E0E"/>
    <w:rsid w:val="003E5265"/>
    <w:rsid w:val="003F0955"/>
    <w:rsid w:val="003F5F4D"/>
    <w:rsid w:val="003F646F"/>
    <w:rsid w:val="00400F00"/>
    <w:rsid w:val="00401B01"/>
    <w:rsid w:val="00404F8B"/>
    <w:rsid w:val="00405256"/>
    <w:rsid w:val="00410031"/>
    <w:rsid w:val="00415C81"/>
    <w:rsid w:val="00432378"/>
    <w:rsid w:val="00440411"/>
    <w:rsid w:val="00440647"/>
    <w:rsid w:val="00440D65"/>
    <w:rsid w:val="004426A2"/>
    <w:rsid w:val="004435E6"/>
    <w:rsid w:val="00447E31"/>
    <w:rsid w:val="00453923"/>
    <w:rsid w:val="00454B9B"/>
    <w:rsid w:val="00457858"/>
    <w:rsid w:val="00460B0B"/>
    <w:rsid w:val="00461023"/>
    <w:rsid w:val="00462FAC"/>
    <w:rsid w:val="0046318F"/>
    <w:rsid w:val="00464631"/>
    <w:rsid w:val="00464B79"/>
    <w:rsid w:val="00467BBF"/>
    <w:rsid w:val="0048593C"/>
    <w:rsid w:val="004867E2"/>
    <w:rsid w:val="004929A9"/>
    <w:rsid w:val="004A78D9"/>
    <w:rsid w:val="004B5A85"/>
    <w:rsid w:val="004C2B38"/>
    <w:rsid w:val="004C6BCF"/>
    <w:rsid w:val="004D30D5"/>
    <w:rsid w:val="004D58BF"/>
    <w:rsid w:val="004E4335"/>
    <w:rsid w:val="004E4893"/>
    <w:rsid w:val="004E621B"/>
    <w:rsid w:val="004E7CAF"/>
    <w:rsid w:val="004F13EE"/>
    <w:rsid w:val="004F2022"/>
    <w:rsid w:val="004F7C05"/>
    <w:rsid w:val="00501C94"/>
    <w:rsid w:val="00506432"/>
    <w:rsid w:val="00513CA5"/>
    <w:rsid w:val="0052051D"/>
    <w:rsid w:val="0052196D"/>
    <w:rsid w:val="00545EE6"/>
    <w:rsid w:val="0054768D"/>
    <w:rsid w:val="005550E7"/>
    <w:rsid w:val="005564FB"/>
    <w:rsid w:val="005572C7"/>
    <w:rsid w:val="005622C2"/>
    <w:rsid w:val="005650ED"/>
    <w:rsid w:val="005679C2"/>
    <w:rsid w:val="00575754"/>
    <w:rsid w:val="00581FBA"/>
    <w:rsid w:val="00582B39"/>
    <w:rsid w:val="00591E20"/>
    <w:rsid w:val="00595408"/>
    <w:rsid w:val="00595E84"/>
    <w:rsid w:val="005A0C59"/>
    <w:rsid w:val="005A10CC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456C5"/>
    <w:rsid w:val="006511B6"/>
    <w:rsid w:val="00657FF8"/>
    <w:rsid w:val="00670D99"/>
    <w:rsid w:val="00670E2B"/>
    <w:rsid w:val="006734BB"/>
    <w:rsid w:val="0067697A"/>
    <w:rsid w:val="0068134A"/>
    <w:rsid w:val="006821EB"/>
    <w:rsid w:val="00691A58"/>
    <w:rsid w:val="006A7C28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33EE"/>
    <w:rsid w:val="00707F56"/>
    <w:rsid w:val="00713558"/>
    <w:rsid w:val="00720D08"/>
    <w:rsid w:val="007263B9"/>
    <w:rsid w:val="00730E51"/>
    <w:rsid w:val="007334F8"/>
    <w:rsid w:val="007339CD"/>
    <w:rsid w:val="007359D8"/>
    <w:rsid w:val="007362D4"/>
    <w:rsid w:val="007375FA"/>
    <w:rsid w:val="00745DDC"/>
    <w:rsid w:val="007472A5"/>
    <w:rsid w:val="0076672A"/>
    <w:rsid w:val="00775E45"/>
    <w:rsid w:val="00776E74"/>
    <w:rsid w:val="00785169"/>
    <w:rsid w:val="00787F4B"/>
    <w:rsid w:val="007933ED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700"/>
    <w:rsid w:val="00822D11"/>
    <w:rsid w:val="008264EB"/>
    <w:rsid w:val="00826B8F"/>
    <w:rsid w:val="00831E8A"/>
    <w:rsid w:val="00835C76"/>
    <w:rsid w:val="008376E2"/>
    <w:rsid w:val="00843049"/>
    <w:rsid w:val="008504B8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87F34"/>
    <w:rsid w:val="0089664B"/>
    <w:rsid w:val="0089677E"/>
    <w:rsid w:val="008A7438"/>
    <w:rsid w:val="008B1334"/>
    <w:rsid w:val="008B25C7"/>
    <w:rsid w:val="008C0278"/>
    <w:rsid w:val="008C24E9"/>
    <w:rsid w:val="008D0533"/>
    <w:rsid w:val="008D16B3"/>
    <w:rsid w:val="008D42CB"/>
    <w:rsid w:val="008D48C9"/>
    <w:rsid w:val="008D6381"/>
    <w:rsid w:val="008E0C77"/>
    <w:rsid w:val="008E15B0"/>
    <w:rsid w:val="008E583B"/>
    <w:rsid w:val="008E625F"/>
    <w:rsid w:val="008F264D"/>
    <w:rsid w:val="00902BC7"/>
    <w:rsid w:val="009040E9"/>
    <w:rsid w:val="009074E1"/>
    <w:rsid w:val="009112F7"/>
    <w:rsid w:val="009122AF"/>
    <w:rsid w:val="00912D54"/>
    <w:rsid w:val="0091389F"/>
    <w:rsid w:val="009176E5"/>
    <w:rsid w:val="009208F7"/>
    <w:rsid w:val="00921649"/>
    <w:rsid w:val="00922517"/>
    <w:rsid w:val="00922722"/>
    <w:rsid w:val="009261E6"/>
    <w:rsid w:val="009268E1"/>
    <w:rsid w:val="00930D87"/>
    <w:rsid w:val="009344DE"/>
    <w:rsid w:val="00945E7F"/>
    <w:rsid w:val="009557C1"/>
    <w:rsid w:val="00960D6E"/>
    <w:rsid w:val="009724AB"/>
    <w:rsid w:val="00974B59"/>
    <w:rsid w:val="00975DC2"/>
    <w:rsid w:val="0098122D"/>
    <w:rsid w:val="0098340B"/>
    <w:rsid w:val="00986830"/>
    <w:rsid w:val="009924C3"/>
    <w:rsid w:val="00992718"/>
    <w:rsid w:val="00993102"/>
    <w:rsid w:val="009B1570"/>
    <w:rsid w:val="009C3CCA"/>
    <w:rsid w:val="009C6F10"/>
    <w:rsid w:val="009D148F"/>
    <w:rsid w:val="009D3D70"/>
    <w:rsid w:val="009E6F7E"/>
    <w:rsid w:val="009E7A57"/>
    <w:rsid w:val="009F4803"/>
    <w:rsid w:val="009F4F6A"/>
    <w:rsid w:val="00A00656"/>
    <w:rsid w:val="00A0709D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2ECE"/>
    <w:rsid w:val="00A8341C"/>
    <w:rsid w:val="00A930AE"/>
    <w:rsid w:val="00A95918"/>
    <w:rsid w:val="00AA1A95"/>
    <w:rsid w:val="00AA260F"/>
    <w:rsid w:val="00AB1EE7"/>
    <w:rsid w:val="00AB4B37"/>
    <w:rsid w:val="00AB5762"/>
    <w:rsid w:val="00AC24B7"/>
    <w:rsid w:val="00AC2679"/>
    <w:rsid w:val="00AC4BE4"/>
    <w:rsid w:val="00AC559A"/>
    <w:rsid w:val="00AC7F9D"/>
    <w:rsid w:val="00AD05E6"/>
    <w:rsid w:val="00AD0D3F"/>
    <w:rsid w:val="00AE0E52"/>
    <w:rsid w:val="00AE1D7D"/>
    <w:rsid w:val="00AE2A8B"/>
    <w:rsid w:val="00AE3F64"/>
    <w:rsid w:val="00AF02EC"/>
    <w:rsid w:val="00AF7386"/>
    <w:rsid w:val="00AF7901"/>
    <w:rsid w:val="00AF7934"/>
    <w:rsid w:val="00B00B81"/>
    <w:rsid w:val="00B04580"/>
    <w:rsid w:val="00B04B09"/>
    <w:rsid w:val="00B16A51"/>
    <w:rsid w:val="00B173E4"/>
    <w:rsid w:val="00B32222"/>
    <w:rsid w:val="00B3618D"/>
    <w:rsid w:val="00B36233"/>
    <w:rsid w:val="00B42851"/>
    <w:rsid w:val="00B45AC7"/>
    <w:rsid w:val="00B5372F"/>
    <w:rsid w:val="00B54577"/>
    <w:rsid w:val="00B57F16"/>
    <w:rsid w:val="00B61129"/>
    <w:rsid w:val="00B67E7F"/>
    <w:rsid w:val="00B839B2"/>
    <w:rsid w:val="00B94252"/>
    <w:rsid w:val="00B9715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33316"/>
    <w:rsid w:val="00C35D3B"/>
    <w:rsid w:val="00C4631F"/>
    <w:rsid w:val="00C47CDE"/>
    <w:rsid w:val="00C50E16"/>
    <w:rsid w:val="00C55258"/>
    <w:rsid w:val="00C6371D"/>
    <w:rsid w:val="00C82EEB"/>
    <w:rsid w:val="00C971DC"/>
    <w:rsid w:val="00CA16B7"/>
    <w:rsid w:val="00CA556A"/>
    <w:rsid w:val="00CA62AE"/>
    <w:rsid w:val="00CB5B1A"/>
    <w:rsid w:val="00CC220B"/>
    <w:rsid w:val="00CC29BA"/>
    <w:rsid w:val="00CC2A81"/>
    <w:rsid w:val="00CC5C43"/>
    <w:rsid w:val="00CD02AE"/>
    <w:rsid w:val="00CD2A4F"/>
    <w:rsid w:val="00CE03CA"/>
    <w:rsid w:val="00CE22F1"/>
    <w:rsid w:val="00CE50F2"/>
    <w:rsid w:val="00CE6502"/>
    <w:rsid w:val="00CF10E0"/>
    <w:rsid w:val="00CF2331"/>
    <w:rsid w:val="00CF7D3C"/>
    <w:rsid w:val="00D01F09"/>
    <w:rsid w:val="00D07C4B"/>
    <w:rsid w:val="00D147EB"/>
    <w:rsid w:val="00D275FB"/>
    <w:rsid w:val="00D34667"/>
    <w:rsid w:val="00D401E1"/>
    <w:rsid w:val="00D408B4"/>
    <w:rsid w:val="00D44877"/>
    <w:rsid w:val="00D524C8"/>
    <w:rsid w:val="00D54187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6AD6"/>
    <w:rsid w:val="00DF0C60"/>
    <w:rsid w:val="00DF27D5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7FEA"/>
    <w:rsid w:val="00E37240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7395A"/>
    <w:rsid w:val="00E73EB1"/>
    <w:rsid w:val="00E80C94"/>
    <w:rsid w:val="00E850C3"/>
    <w:rsid w:val="00E86762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2429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64EE5"/>
    <w:rsid w:val="00F715D2"/>
    <w:rsid w:val="00F7274F"/>
    <w:rsid w:val="00F74E84"/>
    <w:rsid w:val="00F76FA8"/>
    <w:rsid w:val="00F928DB"/>
    <w:rsid w:val="00F93F08"/>
    <w:rsid w:val="00F94CED"/>
    <w:rsid w:val="00F96385"/>
    <w:rsid w:val="00FA02BB"/>
    <w:rsid w:val="00FA2CEE"/>
    <w:rsid w:val="00FA318C"/>
    <w:rsid w:val="00FB11F4"/>
    <w:rsid w:val="00FB474B"/>
    <w:rsid w:val="00FB6F92"/>
    <w:rsid w:val="00FB7859"/>
    <w:rsid w:val="00FC026E"/>
    <w:rsid w:val="00FC5124"/>
    <w:rsid w:val="00FD4731"/>
    <w:rsid w:val="00FD6768"/>
    <w:rsid w:val="00FD6FC2"/>
    <w:rsid w:val="00FE15B9"/>
    <w:rsid w:val="00FE62A1"/>
    <w:rsid w:val="00FF0AB0"/>
    <w:rsid w:val="00FF28AC"/>
    <w:rsid w:val="00FF3BAA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8354C8"/>
  <w15:docId w15:val="{94B77AD9-5E61-49ED-BD7D-F2FE60FF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679C2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FB11F4"/>
    <w:pPr>
      <w:tabs>
        <w:tab w:val="center" w:pos="4513"/>
        <w:tab w:val="right" w:pos="9026"/>
      </w:tabs>
    </w:pPr>
    <w:rPr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11F4"/>
    <w:rPr>
      <w:rFonts w:ascii="Arial" w:hAnsi="Arial"/>
      <w:sz w:val="18"/>
      <w:szCs w:val="22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F27D5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7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kelu\Downloads\Department-of-Health-and-Aged-Care-Committee-or-group-meetings-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89</Value>
      <Value>3</Value>
      <Value>23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1555f834-eac3-4b05-99b9-03eafaec147f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https://healthgov.sharepoint.com/sites/support-comms/_layouts/15/DocIdRedir.aspx?ID=INTCOMMS-1466148216-34</Url>
      <Description>INTCOMMS-1466148216-34</Description>
    </_dlc_DocIdUrl>
    <Last_x0020_reviewed xmlns="d29d5f7a-be03-4e9c-abe5-c85ece0a2186">2023-05-10T14:00:00+00:00</Last_x0020_reviewed>
    <_dlc_DocId xmlns="d29d5f7a-be03-4e9c-abe5-c85ece0a2186">INTCOMMS-1466148216-34</_dlc_DocId>
    <Sort_x0020_order xmlns="d29d5f7a-be03-4e9c-abe5-c85ece0a2186" xsi:nil="true"/>
    <Reference_x0020_no xmlns="d29d5f7a-be03-4e9c-abe5-c85ece0a2186" xsi:nil="true"/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5e65d37f-4b10-44ee-87ae-c9dbb2b07f38</TermId>
        </TermInfo>
      </Terms>
    </pfd27f99efda4409b63228bea026394d>
    <Intranet xmlns="d29d5f7a-be03-4e9c-abe5-c85ece0a2186">true</Intranet>
    <Comments xmlns="http://schemas.microsoft.com/sharepoint/v3" xsi:nil="true"/>
    <lcf76f155ced4ddcb4097134ff3c332f xmlns="7b0f5f5d-7db3-4d3b-b63b-ce18a6ecc538">
      <Terms xmlns="http://schemas.microsoft.com/office/infopath/2007/PartnerControls"/>
    </lcf76f155ced4ddcb4097134ff3c332f>
    <jf042baad2b143719d8a0cfd36411dfb xmlns="7b0f5f5d-7db3-4d3b-b63b-ce18a6ecc5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web@health.gov.au</TermName>
          <TermId xmlns="http://schemas.microsoft.com/office/infopath/2007/PartnerControls">9c0e99c0-9c06-48e0-bcb6-4a6a27dffa4f</TermId>
        </TermInfo>
      </Terms>
    </jf042baad2b143719d8a0cfd36411dfb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30" ma:contentTypeDescription="Create a new document." ma:contentTypeScope="" ma:versionID="3ae37fb82d545523f892a43cc51a167f">
  <xsd:schema xmlns:xsd="http://www.w3.org/2001/XMLSchema" xmlns:xs="http://www.w3.org/2001/XMLSchema" xmlns:p="http://schemas.microsoft.com/office/2006/metadata/properties" xmlns:ns1="d29d5f7a-be03-4e9c-abe5-c85ece0a2186" xmlns:ns2="http://schemas.microsoft.com/sharepoint/v3" xmlns:ns3="7b0f5f5d-7db3-4d3b-b63b-ce18a6ecc538" targetNamespace="http://schemas.microsoft.com/office/2006/metadata/properties" ma:root="true" ma:fieldsID="1d556ca4452641b14e09b229629f12c4" ns1:_="" ns2:_="" ns3:_="">
    <xsd:import namespace="d29d5f7a-be03-4e9c-abe5-c85ece0a2186"/>
    <xsd:import namespace="http://schemas.microsoft.com/sharepoint/v3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1:_dlc_DocId" minOccurs="0"/>
                <xsd:element ref="ns1:_dlc_DocIdUrl" minOccurs="0"/>
                <xsd:element ref="ns1:_dlc_DocIdPersistId" minOccurs="0"/>
                <xsd:element ref="ns1:Last_x0020_reviewed"/>
                <xsd:element ref="ns1:Sort_x0020_order" minOccurs="0"/>
                <xsd:element ref="ns1:Reference_x0020_no" minOccurs="0"/>
                <xsd:element ref="ns1:pfd27f99efda4409b63228bea026394d" minOccurs="0"/>
                <xsd:element ref="ns1:TaxCatchAll" minOccurs="0"/>
                <xsd:element ref="ns1:TaxCatchAllLabel" minOccurs="0"/>
                <xsd:element ref="ns1:Intranet" minOccurs="0"/>
                <xsd:element ref="ns1:p76df81b8fed4a2fa2af18761f9ff9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2:Comme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jf042baad2b143719d8a0cfd36411dfb" minOccurs="0"/>
                <xsd:element ref="ns3:MediaServiceObjectDetectorVersion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0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Last_x0020_reviewed" ma:index="6" ma:displayName="Last reviewed" ma:default="[today]" ma:format="DateOnly" ma:internalName="Last_x0020_reviewed" ma:readOnly="false">
      <xsd:simpleType>
        <xsd:restriction base="dms:DateTime"/>
      </xsd:simpleType>
    </xsd:element>
    <xsd:element name="Sort_x0020_order" ma:index="9" nillable="true" ma:displayName="Sort order" ma:internalName="Sort_x0020_order">
      <xsd:simpleType>
        <xsd:restriction base="dms:Text">
          <xsd:maxLength value="255"/>
        </xsd:restriction>
      </xsd:simpleType>
    </xsd:element>
    <xsd:element name="Reference_x0020_no" ma:index="10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pfd27f99efda4409b63228bea026394d" ma:index="12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ababb3c8-605c-4190-9a94-e7220db2976d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6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7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8" nillable="true" ma:displayName="Comments" ma:hidden="true" ma:internalName="Comment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jf042baad2b143719d8a0cfd36411dfb" ma:index="33" ma:taxonomy="true" ma:internalName="jf042baad2b143719d8a0cfd36411dfb" ma:taxonomyFieldName="Contact" ma:displayName="Contact (key)" ma:fieldId="{3f042baa-d2b1-4371-9d8a-0cfd36411dfb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7726-07C1-4E87-895D-67A93DF92E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customXml/itemProps5.xml><?xml version="1.0" encoding="utf-8"?>
<ds:datastoreItem xmlns:ds="http://schemas.openxmlformats.org/officeDocument/2006/customXml" ds:itemID="{C3BA9F1F-A747-45B5-A6BC-DA7AA6F16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http://schemas.microsoft.com/sharepoint/v3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Department-of-Health-and-Aged-Care-Committee-or-group-meetings-template.dotx</Template>
  <TotalTime>3</TotalTime>
  <Pages>2</Pages>
  <Words>659</Words>
  <Characters>4041</Characters>
  <Application>Microsoft Office Word</Application>
  <DocSecurity>0</DocSecurity>
  <Lines>78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Co-design of an Enhanced Consumer Engagement Process – Co-design Working Group communique – 9 April 2024</vt:lpstr>
    </vt:vector>
  </TitlesOfParts>
  <Manager/>
  <Company/>
  <LinksUpToDate>false</LinksUpToDate>
  <CharactersWithSpaces>4689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Co-design of an Enhanced Consumer Engagement Process – Co-design Working Group communique – 9 April 2024</dc:title>
  <dc:subject>Health technologies and digital health</dc:subject>
  <dc:creator>Australian Government Department of Health and Aged Care</dc:creator>
  <cp:keywords>Health technologies and digital health; Medicines; Health Technology Assessment Consumer Consultative Committee</cp:keywords>
  <dc:description/>
  <cp:revision>3</cp:revision>
  <dcterms:created xsi:type="dcterms:W3CDTF">2024-05-09T01:52:00Z</dcterms:created>
  <dcterms:modified xsi:type="dcterms:W3CDTF">2024-05-09T04:20:00Z</dcterms:modified>
  <cp:category/>
</cp:coreProperties>
</file>