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BF9FD" w14:textId="71D07DE8" w:rsidR="00751A23" w:rsidRPr="00EE77E5" w:rsidRDefault="00075CDF" w:rsidP="00075CDF">
      <w:pPr>
        <w:pStyle w:val="StyleTitle26pt"/>
        <w:spacing w:before="3480"/>
      </w:pPr>
      <w:r w:rsidRPr="00EE77E5">
        <w:rPr>
          <w:noProof/>
          <w:szCs w:val="56"/>
          <w:lang w:eastAsia="en-AU"/>
        </w:rPr>
        <mc:AlternateContent>
          <mc:Choice Requires="wps">
            <w:drawing>
              <wp:anchor distT="0" distB="0" distL="114300" distR="114300" simplePos="0" relativeHeight="251698688" behindDoc="0" locked="0" layoutInCell="1" allowOverlap="1" wp14:anchorId="1922E722" wp14:editId="1A1CCA3D">
                <wp:simplePos x="0" y="0"/>
                <wp:positionH relativeFrom="column">
                  <wp:posOffset>4761865</wp:posOffset>
                </wp:positionH>
                <wp:positionV relativeFrom="paragraph">
                  <wp:posOffset>3910965</wp:posOffset>
                </wp:positionV>
                <wp:extent cx="1828800" cy="895350"/>
                <wp:effectExtent l="0" t="0" r="0" b="0"/>
                <wp:wrapNone/>
                <wp:docPr id="979107266" name="Text Box 1"/>
                <wp:cNvGraphicFramePr/>
                <a:graphic xmlns:a="http://schemas.openxmlformats.org/drawingml/2006/main">
                  <a:graphicData uri="http://schemas.microsoft.com/office/word/2010/wordprocessingShape">
                    <wps:wsp>
                      <wps:cNvSpPr txBox="1"/>
                      <wps:spPr>
                        <a:xfrm>
                          <a:off x="0" y="0"/>
                          <a:ext cx="1828800" cy="895350"/>
                        </a:xfrm>
                        <a:prstGeom prst="rect">
                          <a:avLst/>
                        </a:prstGeom>
                        <a:noFill/>
                        <a:ln w="6350">
                          <a:noFill/>
                        </a:ln>
                      </wps:spPr>
                      <wps:txbx>
                        <w:txbxContent>
                          <w:p w14:paraId="048EEFD0" w14:textId="2BE6CB5E" w:rsidR="00B73D39" w:rsidRDefault="00B73D39" w:rsidP="00A226F6">
                            <w:pPr>
                              <w:jc w:val="center"/>
                            </w:pPr>
                            <w:r w:rsidRPr="00017129">
                              <w:rPr>
                                <w:b/>
                                <w:bCs/>
                                <w:color w:val="3F4A75"/>
                                <w:sz w:val="36"/>
                                <w:szCs w:val="36"/>
                              </w:rPr>
                              <w:t>$111</w:t>
                            </w:r>
                            <w:r w:rsidR="0047394C" w:rsidRPr="00017129">
                              <w:rPr>
                                <w:b/>
                                <w:bCs/>
                                <w:color w:val="3F4A75"/>
                                <w:sz w:val="36"/>
                                <w:szCs w:val="36"/>
                              </w:rPr>
                              <w:t xml:space="preserve"> million</w:t>
                            </w:r>
                            <w:r>
                              <w:br/>
                              <w:t>strengthened quality and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2E722" id="_x0000_t202" coordsize="21600,21600" o:spt="202" path="m,l,21600r21600,l21600,xe">
                <v:stroke joinstyle="miter"/>
                <v:path gradientshapeok="t" o:connecttype="rect"/>
              </v:shapetype>
              <v:shape id="Text Box 1" o:spid="_x0000_s1026" type="#_x0000_t202" style="position:absolute;margin-left:374.95pt;margin-top:307.95pt;width:2in;height:7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" filled="f" stroked="f" strokeweight=".5pt">
                <v:textbox>
                  <w:txbxContent>
                    <w:p w14:paraId="048EEFD0" w14:textId="2BE6CB5E" w:rsidR="00B73D39" w:rsidRDefault="00B73D39" w:rsidP="00A226F6">
                      <w:pPr>
                        <w:jc w:val="center"/>
                      </w:pPr>
                      <w:r w:rsidRPr="00017129">
                        <w:rPr>
                          <w:b/>
                          <w:bCs/>
                          <w:color w:val="3F4A75"/>
                          <w:sz w:val="36"/>
                          <w:szCs w:val="36"/>
                        </w:rPr>
                        <w:t>$111</w:t>
                      </w:r>
                      <w:r w:rsidR="0047394C" w:rsidRPr="00017129">
                        <w:rPr>
                          <w:b/>
                          <w:bCs/>
                          <w:color w:val="3F4A75"/>
                          <w:sz w:val="36"/>
                          <w:szCs w:val="36"/>
                        </w:rPr>
                        <w:t xml:space="preserve"> million</w:t>
                      </w:r>
                      <w:r>
                        <w:br/>
                        <w:t>strengthened quality and safety</w:t>
                      </w:r>
                    </w:p>
                  </w:txbxContent>
                </v:textbox>
              </v:shape>
            </w:pict>
          </mc:Fallback>
        </mc:AlternateContent>
      </w:r>
      <w:r w:rsidRPr="00EE77E5">
        <w:rPr>
          <w:noProof/>
          <w:szCs w:val="56"/>
          <w:lang w:eastAsia="en-AU"/>
        </w:rPr>
        <mc:AlternateContent>
          <mc:Choice Requires="wps">
            <w:drawing>
              <wp:anchor distT="0" distB="0" distL="114300" distR="114300" simplePos="0" relativeHeight="251627008" behindDoc="0" locked="0" layoutInCell="1" allowOverlap="1" wp14:anchorId="6E58D8F4" wp14:editId="2FF40E5C">
                <wp:simplePos x="0" y="0"/>
                <wp:positionH relativeFrom="column">
                  <wp:posOffset>3142615</wp:posOffset>
                </wp:positionH>
                <wp:positionV relativeFrom="paragraph">
                  <wp:posOffset>3930015</wp:posOffset>
                </wp:positionV>
                <wp:extent cx="1610360" cy="876300"/>
                <wp:effectExtent l="0" t="0" r="0" b="0"/>
                <wp:wrapNone/>
                <wp:docPr id="380068326" name="Text Box 1"/>
                <wp:cNvGraphicFramePr/>
                <a:graphic xmlns:a="http://schemas.openxmlformats.org/drawingml/2006/main">
                  <a:graphicData uri="http://schemas.microsoft.com/office/word/2010/wordprocessingShape">
                    <wps:wsp>
                      <wps:cNvSpPr txBox="1"/>
                      <wps:spPr>
                        <a:xfrm>
                          <a:off x="0" y="0"/>
                          <a:ext cx="1610360" cy="876300"/>
                        </a:xfrm>
                        <a:prstGeom prst="rect">
                          <a:avLst/>
                        </a:prstGeom>
                        <a:noFill/>
                        <a:ln w="6350">
                          <a:noFill/>
                        </a:ln>
                      </wps:spPr>
                      <wps:txbx>
                        <w:txbxContent>
                          <w:p w14:paraId="6677B5D0" w14:textId="700E3450" w:rsidR="00B73D39" w:rsidRDefault="00B73D39" w:rsidP="00A226F6">
                            <w:pPr>
                              <w:jc w:val="center"/>
                            </w:pPr>
                            <w:r w:rsidRPr="00017129">
                              <w:rPr>
                                <w:b/>
                                <w:bCs/>
                                <w:color w:val="3F4A75"/>
                                <w:sz w:val="36"/>
                                <w:szCs w:val="36"/>
                              </w:rPr>
                              <w:t>$32.1 million</w:t>
                            </w:r>
                            <w:r w:rsidRPr="00017129">
                              <w:br/>
                              <w:t>for dementia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D8F4" id="_x0000_s1027" type="#_x0000_t202" style="position:absolute;margin-left:247.45pt;margin-top:309.45pt;width:126.8pt;height:6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" filled="f" stroked="f" strokeweight=".5pt">
                <v:textbox>
                  <w:txbxContent>
                    <w:p w14:paraId="6677B5D0" w14:textId="700E3450" w:rsidR="00B73D39" w:rsidRDefault="00B73D39" w:rsidP="00A226F6">
                      <w:pPr>
                        <w:jc w:val="center"/>
                      </w:pPr>
                      <w:r w:rsidRPr="00017129">
                        <w:rPr>
                          <w:b/>
                          <w:bCs/>
                          <w:color w:val="3F4A75"/>
                          <w:sz w:val="36"/>
                          <w:szCs w:val="36"/>
                        </w:rPr>
                        <w:t>$32.1 million</w:t>
                      </w:r>
                      <w:r w:rsidRPr="00017129">
                        <w:br/>
                        <w:t>for dementia care</w:t>
                      </w:r>
                    </w:p>
                  </w:txbxContent>
                </v:textbox>
              </v:shape>
            </w:pict>
          </mc:Fallback>
        </mc:AlternateContent>
      </w:r>
      <w:r w:rsidRPr="00EE77E5">
        <w:rPr>
          <w:noProof/>
          <w:szCs w:val="56"/>
          <w:lang w:eastAsia="en-AU"/>
        </w:rPr>
        <mc:AlternateContent>
          <mc:Choice Requires="wps">
            <w:drawing>
              <wp:anchor distT="0" distB="0" distL="114300" distR="114300" simplePos="0" relativeHeight="251770368" behindDoc="0" locked="0" layoutInCell="1" allowOverlap="1" wp14:anchorId="5C47FF11" wp14:editId="2182C01F">
                <wp:simplePos x="0" y="0"/>
                <wp:positionH relativeFrom="margin">
                  <wp:posOffset>0</wp:posOffset>
                </wp:positionH>
                <wp:positionV relativeFrom="paragraph">
                  <wp:posOffset>4000500</wp:posOffset>
                </wp:positionV>
                <wp:extent cx="1492250" cy="675640"/>
                <wp:effectExtent l="0" t="0" r="0" b="0"/>
                <wp:wrapNone/>
                <wp:docPr id="2060094930" name="Text Box 1"/>
                <wp:cNvGraphicFramePr/>
                <a:graphic xmlns:a="http://schemas.openxmlformats.org/drawingml/2006/main">
                  <a:graphicData uri="http://schemas.microsoft.com/office/word/2010/wordprocessingShape">
                    <wps:wsp>
                      <wps:cNvSpPr txBox="1"/>
                      <wps:spPr>
                        <a:xfrm>
                          <a:off x="0" y="0"/>
                          <a:ext cx="1492250" cy="675640"/>
                        </a:xfrm>
                        <a:prstGeom prst="rect">
                          <a:avLst/>
                        </a:prstGeom>
                        <a:noFill/>
                        <a:ln w="6350">
                          <a:noFill/>
                        </a:ln>
                      </wps:spPr>
                      <wps:txbx>
                        <w:txbxContent>
                          <w:p w14:paraId="7B2175DE" w14:textId="414B14D9" w:rsidR="00B73D39" w:rsidRDefault="00B73D39" w:rsidP="00A226F6">
                            <w:pPr>
                              <w:jc w:val="center"/>
                            </w:pPr>
                            <w:r w:rsidRPr="00017129">
                              <w:rPr>
                                <w:b/>
                                <w:bCs/>
                                <w:color w:val="3F4A75"/>
                                <w:sz w:val="36"/>
                                <w:szCs w:val="36"/>
                              </w:rPr>
                              <w:t>$2.</w:t>
                            </w:r>
                            <w:r w:rsidR="003F0FC0">
                              <w:rPr>
                                <w:b/>
                                <w:bCs/>
                                <w:color w:val="3F4A75"/>
                                <w:sz w:val="36"/>
                                <w:szCs w:val="36"/>
                              </w:rPr>
                              <w:t>2</w:t>
                            </w:r>
                            <w:r w:rsidR="002B1B6A" w:rsidRPr="00017129">
                              <w:rPr>
                                <w:b/>
                                <w:bCs/>
                                <w:color w:val="3F4A75"/>
                                <w:sz w:val="36"/>
                                <w:szCs w:val="36"/>
                              </w:rPr>
                              <w:t xml:space="preserve"> </w:t>
                            </w:r>
                            <w:r w:rsidRPr="00017129">
                              <w:rPr>
                                <w:b/>
                                <w:bCs/>
                                <w:color w:val="3F4A75"/>
                                <w:sz w:val="36"/>
                                <w:szCs w:val="36"/>
                              </w:rPr>
                              <w:t>billion</w:t>
                            </w:r>
                            <w:r w:rsidRPr="00017129">
                              <w:br/>
                              <w:t>total package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7FF11" id="_x0000_s1028" type="#_x0000_t202" style="position:absolute;margin-left:0;margin-top:315pt;width:117.5pt;height:53.2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" filled="f" stroked="f" strokeweight=".5pt">
                <v:textbox>
                  <w:txbxContent>
                    <w:p w14:paraId="7B2175DE" w14:textId="414B14D9" w:rsidR="00B73D39" w:rsidRDefault="00B73D39" w:rsidP="00A226F6">
                      <w:pPr>
                        <w:jc w:val="center"/>
                      </w:pPr>
                      <w:r w:rsidRPr="00017129">
                        <w:rPr>
                          <w:b/>
                          <w:bCs/>
                          <w:color w:val="3F4A75"/>
                          <w:sz w:val="36"/>
                          <w:szCs w:val="36"/>
                        </w:rPr>
                        <w:t>$2.</w:t>
                      </w:r>
                      <w:r w:rsidR="003F0FC0">
                        <w:rPr>
                          <w:b/>
                          <w:bCs/>
                          <w:color w:val="3F4A75"/>
                          <w:sz w:val="36"/>
                          <w:szCs w:val="36"/>
                        </w:rPr>
                        <w:t>2</w:t>
                      </w:r>
                      <w:r w:rsidR="002B1B6A" w:rsidRPr="00017129">
                        <w:rPr>
                          <w:b/>
                          <w:bCs/>
                          <w:color w:val="3F4A75"/>
                          <w:sz w:val="36"/>
                          <w:szCs w:val="36"/>
                        </w:rPr>
                        <w:t xml:space="preserve"> </w:t>
                      </w:r>
                      <w:r w:rsidRPr="00017129">
                        <w:rPr>
                          <w:b/>
                          <w:bCs/>
                          <w:color w:val="3F4A75"/>
                          <w:sz w:val="36"/>
                          <w:szCs w:val="36"/>
                        </w:rPr>
                        <w:t>billion</w:t>
                      </w:r>
                      <w:r w:rsidRPr="00017129">
                        <w:br/>
                        <w:t>total package value</w:t>
                      </w:r>
                    </w:p>
                  </w:txbxContent>
                </v:textbox>
                <w10:wrap anchorx="margin"/>
              </v:shape>
            </w:pict>
          </mc:Fallback>
        </mc:AlternateContent>
      </w:r>
      <w:r w:rsidRPr="00EE77E5">
        <w:rPr>
          <w:noProof/>
          <w:szCs w:val="56"/>
          <w:lang w:eastAsia="en-AU"/>
        </w:rPr>
        <mc:AlternateContent>
          <mc:Choice Requires="wps">
            <w:drawing>
              <wp:anchor distT="0" distB="0" distL="114300" distR="114300" simplePos="0" relativeHeight="251616768" behindDoc="0" locked="0" layoutInCell="1" allowOverlap="1" wp14:anchorId="381BF6FF" wp14:editId="5626CBB1">
                <wp:simplePos x="0" y="0"/>
                <wp:positionH relativeFrom="column">
                  <wp:posOffset>1418590</wp:posOffset>
                </wp:positionH>
                <wp:positionV relativeFrom="paragraph">
                  <wp:posOffset>4003040</wp:posOffset>
                </wp:positionV>
                <wp:extent cx="1852295" cy="675005"/>
                <wp:effectExtent l="0" t="0" r="0" b="0"/>
                <wp:wrapNone/>
                <wp:docPr id="1432514491" name="Text Box 1"/>
                <wp:cNvGraphicFramePr/>
                <a:graphic xmlns:a="http://schemas.openxmlformats.org/drawingml/2006/main">
                  <a:graphicData uri="http://schemas.microsoft.com/office/word/2010/wordprocessingShape">
                    <wps:wsp>
                      <wps:cNvSpPr txBox="1"/>
                      <wps:spPr>
                        <a:xfrm>
                          <a:off x="0" y="0"/>
                          <a:ext cx="1852295" cy="675005"/>
                        </a:xfrm>
                        <a:prstGeom prst="rect">
                          <a:avLst/>
                        </a:prstGeom>
                        <a:noFill/>
                        <a:ln w="6350">
                          <a:noFill/>
                        </a:ln>
                      </wps:spPr>
                      <wps:txbx>
                        <w:txbxContent>
                          <w:p w14:paraId="68472C19" w14:textId="6979BCE8" w:rsidR="00B73D39" w:rsidRDefault="00B73D39" w:rsidP="00A226F6">
                            <w:pPr>
                              <w:jc w:val="center"/>
                            </w:pPr>
                            <w:r w:rsidRPr="00017129">
                              <w:rPr>
                                <w:b/>
                                <w:bCs/>
                                <w:color w:val="3F4A75"/>
                                <w:sz w:val="36"/>
                                <w:szCs w:val="36"/>
                              </w:rPr>
                              <w:t>$531.4</w:t>
                            </w:r>
                            <w:r w:rsidR="0047394C" w:rsidRPr="00017129">
                              <w:rPr>
                                <w:b/>
                                <w:bCs/>
                                <w:color w:val="3F4A75"/>
                                <w:sz w:val="36"/>
                                <w:szCs w:val="36"/>
                              </w:rPr>
                              <w:t xml:space="preserve"> million</w:t>
                            </w:r>
                            <w:r w:rsidRPr="00017129">
                              <w:br/>
                              <w:t>extra in-home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F6FF" id="_x0000_s1029" type="#_x0000_t202" style="position:absolute;margin-left:111.7pt;margin-top:315.2pt;width:145.85pt;height:53.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" filled="f" stroked="f" strokeweight=".5pt">
                <v:textbox>
                  <w:txbxContent>
                    <w:p w14:paraId="68472C19" w14:textId="6979BCE8" w:rsidR="00B73D39" w:rsidRDefault="00B73D39" w:rsidP="00A226F6">
                      <w:pPr>
                        <w:jc w:val="center"/>
                      </w:pPr>
                      <w:r w:rsidRPr="00017129">
                        <w:rPr>
                          <w:b/>
                          <w:bCs/>
                          <w:color w:val="3F4A75"/>
                          <w:sz w:val="36"/>
                          <w:szCs w:val="36"/>
                        </w:rPr>
                        <w:t>$531.4</w:t>
                      </w:r>
                      <w:r w:rsidR="0047394C" w:rsidRPr="00017129">
                        <w:rPr>
                          <w:b/>
                          <w:bCs/>
                          <w:color w:val="3F4A75"/>
                          <w:sz w:val="36"/>
                          <w:szCs w:val="36"/>
                        </w:rPr>
                        <w:t xml:space="preserve"> million</w:t>
                      </w:r>
                      <w:r w:rsidRPr="00017129">
                        <w:br/>
                        <w:t>extra in-home care</w:t>
                      </w:r>
                    </w:p>
                  </w:txbxContent>
                </v:textbox>
              </v:shape>
            </w:pict>
          </mc:Fallback>
        </mc:AlternateContent>
      </w:r>
      <w:r>
        <w:br/>
      </w:r>
      <w:r>
        <w:br/>
      </w:r>
      <w:r w:rsidR="00AA514B" w:rsidRPr="00EE77E5">
        <w:t xml:space="preserve"> </w:t>
      </w:r>
      <w:r>
        <w:t xml:space="preserve">Quality </w:t>
      </w:r>
      <w:r w:rsidR="00AA514B" w:rsidRPr="00EE77E5">
        <w:t>aged care</w:t>
      </w:r>
    </w:p>
    <w:p w14:paraId="62CB08EA" w14:textId="48D7BD52" w:rsidR="002A65DF" w:rsidRPr="00075CDF" w:rsidRDefault="009828C3" w:rsidP="009828C3">
      <w:pPr>
        <w:pStyle w:val="Heading1"/>
      </w:pPr>
      <w:r>
        <w:br/>
      </w:r>
      <w:r w:rsidR="008945D7" w:rsidRPr="00075CDF">
        <w:t>Summary</w:t>
      </w:r>
    </w:p>
    <w:p w14:paraId="0158033C" w14:textId="24524C39" w:rsidR="00FE4CE6" w:rsidRPr="00EE77E5" w:rsidRDefault="00E53B90">
      <w:pPr>
        <w:rPr>
          <w:color w:val="003C5F" w:themeColor="accent3" w:themeShade="80"/>
          <w:sz w:val="28"/>
          <w:szCs w:val="28"/>
        </w:rPr>
      </w:pPr>
      <w:r w:rsidRPr="00EE77E5">
        <w:rPr>
          <w:color w:val="003C5F" w:themeColor="accent3" w:themeShade="80"/>
          <w:sz w:val="28"/>
          <w:szCs w:val="28"/>
        </w:rPr>
        <w:t xml:space="preserve">The </w:t>
      </w:r>
      <w:r w:rsidR="00BF7A9E" w:rsidRPr="00EE77E5">
        <w:rPr>
          <w:color w:val="003C5F" w:themeColor="accent3" w:themeShade="80"/>
          <w:sz w:val="28"/>
          <w:szCs w:val="28"/>
        </w:rPr>
        <w:t>2024–25 Budget includes</w:t>
      </w:r>
      <w:r w:rsidR="00FE4CE6" w:rsidRPr="00EE77E5">
        <w:rPr>
          <w:color w:val="003C5F" w:themeColor="accent3" w:themeShade="80"/>
          <w:sz w:val="28"/>
          <w:szCs w:val="28"/>
        </w:rPr>
        <w:t xml:space="preserve"> $</w:t>
      </w:r>
      <w:r w:rsidR="008D25E4" w:rsidRPr="00EE77E5">
        <w:rPr>
          <w:color w:val="003C5F" w:themeColor="accent3" w:themeShade="80"/>
          <w:sz w:val="28"/>
          <w:szCs w:val="28"/>
        </w:rPr>
        <w:t>2.</w:t>
      </w:r>
      <w:r w:rsidR="003F0FC0">
        <w:rPr>
          <w:color w:val="003C5F" w:themeColor="accent3" w:themeShade="80"/>
          <w:sz w:val="28"/>
          <w:szCs w:val="28"/>
        </w:rPr>
        <w:t>2</w:t>
      </w:r>
      <w:r w:rsidR="00BF7A9E" w:rsidRPr="00EE77E5">
        <w:rPr>
          <w:color w:val="003C5F" w:themeColor="accent3" w:themeShade="80"/>
          <w:sz w:val="28"/>
          <w:szCs w:val="28"/>
        </w:rPr>
        <w:t xml:space="preserve"> </w:t>
      </w:r>
      <w:r w:rsidR="00E27EB3" w:rsidRPr="00EE77E5">
        <w:rPr>
          <w:color w:val="003C5F" w:themeColor="accent3" w:themeShade="80"/>
          <w:sz w:val="28"/>
          <w:szCs w:val="28"/>
        </w:rPr>
        <w:t>b</w:t>
      </w:r>
      <w:r w:rsidR="00BF7A9E" w:rsidRPr="00EE77E5">
        <w:rPr>
          <w:color w:val="003C5F" w:themeColor="accent3" w:themeShade="80"/>
          <w:sz w:val="28"/>
          <w:szCs w:val="28"/>
        </w:rPr>
        <w:t>illion</w:t>
      </w:r>
      <w:r w:rsidR="00FE4CE6" w:rsidRPr="00EE77E5">
        <w:rPr>
          <w:color w:val="003C5F" w:themeColor="accent3" w:themeShade="80"/>
          <w:sz w:val="28"/>
          <w:szCs w:val="28"/>
        </w:rPr>
        <w:t xml:space="preserve"> to </w:t>
      </w:r>
      <w:r w:rsidR="00026E5F">
        <w:rPr>
          <w:color w:val="003C5F" w:themeColor="accent3" w:themeShade="80"/>
          <w:sz w:val="28"/>
          <w:szCs w:val="28"/>
        </w:rPr>
        <w:t>strengthen the quality of aged care services</w:t>
      </w:r>
      <w:r w:rsidR="00FE4CE6" w:rsidRPr="00EE77E5">
        <w:rPr>
          <w:color w:val="003C5F" w:themeColor="accent3" w:themeShade="80"/>
          <w:sz w:val="28"/>
          <w:szCs w:val="28"/>
        </w:rPr>
        <w:t xml:space="preserve"> and connections that underpin quality aged care</w:t>
      </w:r>
      <w:r w:rsidR="00BF7A9E" w:rsidRPr="00EE77E5">
        <w:rPr>
          <w:color w:val="003C5F" w:themeColor="accent3" w:themeShade="80"/>
          <w:sz w:val="28"/>
          <w:szCs w:val="28"/>
        </w:rPr>
        <w:t>. It will</w:t>
      </w:r>
      <w:r w:rsidR="00FE4CE6" w:rsidRPr="00EE77E5">
        <w:rPr>
          <w:color w:val="003C5F" w:themeColor="accent3" w:themeShade="80"/>
          <w:sz w:val="28"/>
          <w:szCs w:val="28"/>
        </w:rPr>
        <w:t xml:space="preserve"> </w:t>
      </w:r>
      <w:proofErr w:type="gramStart"/>
      <w:r w:rsidR="00FE4CE6" w:rsidRPr="00EE77E5">
        <w:rPr>
          <w:color w:val="003C5F" w:themeColor="accent3" w:themeShade="80"/>
          <w:sz w:val="28"/>
          <w:szCs w:val="28"/>
        </w:rPr>
        <w:t>improve</w:t>
      </w:r>
      <w:proofErr w:type="gramEnd"/>
      <w:r w:rsidR="00FE4CE6" w:rsidRPr="00EE77E5">
        <w:rPr>
          <w:color w:val="003C5F" w:themeColor="accent3" w:themeShade="80"/>
          <w:sz w:val="28"/>
          <w:szCs w:val="28"/>
        </w:rPr>
        <w:t xml:space="preserve"> wait times for older Australians</w:t>
      </w:r>
      <w:r w:rsidR="00E14113" w:rsidRPr="00EE77E5">
        <w:rPr>
          <w:color w:val="003C5F" w:themeColor="accent3" w:themeShade="80"/>
          <w:sz w:val="28"/>
          <w:szCs w:val="28"/>
        </w:rPr>
        <w:t xml:space="preserve"> seeking in-home care</w:t>
      </w:r>
      <w:r w:rsidR="00FE4CE6" w:rsidRPr="00EE77E5">
        <w:rPr>
          <w:color w:val="003C5F" w:themeColor="accent3" w:themeShade="80"/>
          <w:sz w:val="28"/>
          <w:szCs w:val="28"/>
        </w:rPr>
        <w:t xml:space="preserve">, </w:t>
      </w:r>
      <w:r w:rsidR="00BF7A9E" w:rsidRPr="00EE77E5">
        <w:rPr>
          <w:color w:val="003C5F" w:themeColor="accent3" w:themeShade="80"/>
          <w:sz w:val="28"/>
          <w:szCs w:val="28"/>
        </w:rPr>
        <w:t>bolster the</w:t>
      </w:r>
      <w:r w:rsidR="00FE4CE6" w:rsidRPr="00EE77E5">
        <w:rPr>
          <w:color w:val="003C5F" w:themeColor="accent3" w:themeShade="80"/>
          <w:sz w:val="28"/>
          <w:szCs w:val="28"/>
        </w:rPr>
        <w:t xml:space="preserve"> </w:t>
      </w:r>
      <w:r w:rsidR="00744166" w:rsidRPr="00EE77E5">
        <w:rPr>
          <w:color w:val="003C5F" w:themeColor="accent3" w:themeShade="80"/>
          <w:sz w:val="28"/>
          <w:szCs w:val="28"/>
        </w:rPr>
        <w:t>aged care workforce</w:t>
      </w:r>
      <w:r w:rsidR="00FE4CE6" w:rsidRPr="00EE77E5">
        <w:rPr>
          <w:color w:val="003C5F" w:themeColor="accent3" w:themeShade="80"/>
          <w:sz w:val="28"/>
          <w:szCs w:val="28"/>
        </w:rPr>
        <w:t>,</w:t>
      </w:r>
      <w:r w:rsidR="006E2F65" w:rsidRPr="00EE77E5">
        <w:rPr>
          <w:color w:val="003C5F" w:themeColor="accent3" w:themeShade="80"/>
          <w:sz w:val="28"/>
          <w:szCs w:val="28"/>
        </w:rPr>
        <w:t xml:space="preserve"> </w:t>
      </w:r>
      <w:r w:rsidR="00FE4CE6" w:rsidRPr="00EE77E5">
        <w:rPr>
          <w:color w:val="003C5F" w:themeColor="accent3" w:themeShade="80"/>
          <w:sz w:val="28"/>
          <w:szCs w:val="28"/>
        </w:rPr>
        <w:t>deliver a</w:t>
      </w:r>
      <w:r w:rsidR="00AB20D3" w:rsidRPr="00EE77E5">
        <w:rPr>
          <w:color w:val="003C5F" w:themeColor="accent3" w:themeShade="80"/>
          <w:sz w:val="28"/>
          <w:szCs w:val="28"/>
        </w:rPr>
        <w:t>n</w:t>
      </w:r>
      <w:r w:rsidR="00FE4CE6" w:rsidRPr="00EE77E5">
        <w:rPr>
          <w:color w:val="003C5F" w:themeColor="accent3" w:themeShade="80"/>
          <w:sz w:val="28"/>
          <w:szCs w:val="28"/>
        </w:rPr>
        <w:t xml:space="preserve"> </w:t>
      </w:r>
      <w:r w:rsidR="00AB20D3" w:rsidRPr="00EE77E5">
        <w:rPr>
          <w:color w:val="003C5F" w:themeColor="accent3" w:themeShade="80"/>
          <w:sz w:val="28"/>
          <w:szCs w:val="28"/>
        </w:rPr>
        <w:t>enhanced</w:t>
      </w:r>
      <w:r w:rsidR="00106560" w:rsidRPr="00EE77E5">
        <w:rPr>
          <w:color w:val="003C5F" w:themeColor="accent3" w:themeShade="80"/>
          <w:sz w:val="28"/>
          <w:szCs w:val="28"/>
        </w:rPr>
        <w:t xml:space="preserve"> quality and safety</w:t>
      </w:r>
      <w:r w:rsidR="00FE4CE6" w:rsidRPr="00EE77E5">
        <w:rPr>
          <w:color w:val="003C5F" w:themeColor="accent3" w:themeShade="80"/>
          <w:sz w:val="28"/>
          <w:szCs w:val="28"/>
        </w:rPr>
        <w:t xml:space="preserve"> regulator</w:t>
      </w:r>
      <w:r w:rsidR="006E2F65" w:rsidRPr="00EE77E5">
        <w:rPr>
          <w:color w:val="003C5F" w:themeColor="accent3" w:themeShade="80"/>
          <w:sz w:val="28"/>
          <w:szCs w:val="28"/>
        </w:rPr>
        <w:t>,</w:t>
      </w:r>
      <w:r w:rsidR="00FE4CE6" w:rsidRPr="00EE77E5">
        <w:rPr>
          <w:color w:val="003C5F" w:themeColor="accent3" w:themeShade="80"/>
          <w:sz w:val="28"/>
          <w:szCs w:val="28"/>
        </w:rPr>
        <w:t xml:space="preserve"> and </w:t>
      </w:r>
      <w:r w:rsidR="00BF7A9E" w:rsidRPr="00EE77E5">
        <w:rPr>
          <w:color w:val="003C5F" w:themeColor="accent3" w:themeShade="80"/>
          <w:sz w:val="28"/>
          <w:szCs w:val="28"/>
        </w:rPr>
        <w:t xml:space="preserve">better </w:t>
      </w:r>
      <w:r w:rsidR="00FE4CE6" w:rsidRPr="00EE77E5">
        <w:rPr>
          <w:color w:val="003C5F" w:themeColor="accent3" w:themeShade="80"/>
          <w:sz w:val="28"/>
          <w:szCs w:val="28"/>
        </w:rPr>
        <w:t>technologies for the aged care sector.</w:t>
      </w:r>
    </w:p>
    <w:p w14:paraId="1D99ED84" w14:textId="52D21FA8" w:rsidR="00521139" w:rsidRPr="00EE77E5" w:rsidRDefault="00521139" w:rsidP="216B5AD2">
      <w:r w:rsidRPr="00EE77E5">
        <w:t xml:space="preserve">Significant improvements in aged care have been made in line with the Royal Commission into Aged Care Quality and Safety recommendations. Aged care residents now have 24/7 nursing and more care time, aged care workers are taking home better pay and aged care providers are </w:t>
      </w:r>
      <w:r w:rsidR="0066751E" w:rsidRPr="00EE77E5">
        <w:t xml:space="preserve">more </w:t>
      </w:r>
      <w:r w:rsidRPr="00EE77E5">
        <w:t>transparent and accountable.</w:t>
      </w:r>
    </w:p>
    <w:p w14:paraId="7C5CDA8F" w14:textId="68FBC3F8" w:rsidR="00E53B90" w:rsidRPr="00EE77E5" w:rsidRDefault="00FE4CE6" w:rsidP="002E4F57">
      <w:r w:rsidRPr="00EE77E5">
        <w:t xml:space="preserve">The </w:t>
      </w:r>
      <w:r w:rsidR="00E53B90" w:rsidRPr="00EE77E5">
        <w:t xml:space="preserve">Budget </w:t>
      </w:r>
      <w:r w:rsidR="00B3622A" w:rsidRPr="00EE77E5">
        <w:t>will promote stronger links between aged care and health systems to ensure older Australians get the medical support they need</w:t>
      </w:r>
      <w:r w:rsidR="00E14FFD" w:rsidRPr="00EE77E5">
        <w:t xml:space="preserve"> in a safe, comfortable environment</w:t>
      </w:r>
      <w:r w:rsidR="00B3622A" w:rsidRPr="00EE77E5">
        <w:t>.</w:t>
      </w:r>
    </w:p>
    <w:p w14:paraId="265511F3" w14:textId="2138AB44" w:rsidR="00DA17FA" w:rsidRDefault="00C70AA4" w:rsidP="00DA17FA">
      <w:r w:rsidRPr="00EE77E5">
        <w:t xml:space="preserve">An extra </w:t>
      </w:r>
      <w:r w:rsidR="00DA17FA" w:rsidRPr="00EE77E5">
        <w:t xml:space="preserve">24,100 Home Care Packages in 2024–25 will </w:t>
      </w:r>
      <w:r w:rsidR="0068353C" w:rsidRPr="00EE77E5">
        <w:t xml:space="preserve">reduce </w:t>
      </w:r>
      <w:r w:rsidR="00DA17FA" w:rsidRPr="00EE77E5">
        <w:t>wait times</w:t>
      </w:r>
      <w:r w:rsidR="007828B4" w:rsidRPr="00EE77E5">
        <w:t xml:space="preserve"> to an average</w:t>
      </w:r>
      <w:r w:rsidR="00C33833" w:rsidRPr="00EE77E5">
        <w:t xml:space="preserve"> of</w:t>
      </w:r>
      <w:r w:rsidR="007828B4" w:rsidRPr="00EE77E5">
        <w:t xml:space="preserve"> </w:t>
      </w:r>
      <w:r w:rsidR="008C00DC" w:rsidRPr="00EE77E5">
        <w:t xml:space="preserve">6 </w:t>
      </w:r>
      <w:r w:rsidR="007828B4" w:rsidRPr="00EE77E5">
        <w:t>months</w:t>
      </w:r>
      <w:r w:rsidR="00DA17FA" w:rsidRPr="00EE77E5">
        <w:t xml:space="preserve"> and support more Australians to access in-home </w:t>
      </w:r>
      <w:r w:rsidR="0068353C" w:rsidRPr="00EE77E5">
        <w:t xml:space="preserve">aged </w:t>
      </w:r>
      <w:r w:rsidR="00DA17FA" w:rsidRPr="00EE77E5">
        <w:t>care</w:t>
      </w:r>
      <w:r w:rsidR="0068353C" w:rsidRPr="00EE77E5">
        <w:t xml:space="preserve"> than ever before.</w:t>
      </w:r>
    </w:p>
    <w:p w14:paraId="160F03DB" w14:textId="327408C0" w:rsidR="009828C3" w:rsidRDefault="009828C3" w:rsidP="00DA17FA"/>
    <w:p w14:paraId="6059226E" w14:textId="77777777" w:rsidR="009828C3" w:rsidRDefault="009828C3" w:rsidP="00DA17FA">
      <w:pPr>
        <w:sectPr w:rsidR="009828C3" w:rsidSect="004A51E0">
          <w:headerReference w:type="first" r:id="rId11"/>
          <w:type w:val="continuous"/>
          <w:pgSz w:w="11906" w:h="16838"/>
          <w:pgMar w:top="1701" w:right="1418" w:bottom="1418" w:left="1021" w:header="851" w:footer="709" w:gutter="0"/>
          <w:cols w:space="708"/>
          <w:titlePg/>
          <w:docGrid w:linePitch="360"/>
        </w:sectPr>
      </w:pPr>
    </w:p>
    <w:p w14:paraId="68F01EDD" w14:textId="5CC5D2FC" w:rsidR="004A51E0" w:rsidRPr="00EE77E5" w:rsidRDefault="004A51E0" w:rsidP="009828C3">
      <w:pPr>
        <w:sectPr w:rsidR="004A51E0" w:rsidRPr="00EE77E5" w:rsidSect="004A51E0">
          <w:type w:val="continuous"/>
          <w:pgSz w:w="11906" w:h="16838"/>
          <w:pgMar w:top="1701" w:right="1418" w:bottom="1418" w:left="1021" w:header="851" w:footer="709" w:gutter="0"/>
          <w:cols w:space="708"/>
          <w:titlePg/>
          <w:docGrid w:linePitch="360"/>
        </w:sectPr>
      </w:pPr>
    </w:p>
    <w:p w14:paraId="7ED4BCF7" w14:textId="77D60DEB" w:rsidR="00521139" w:rsidRPr="00EE77E5" w:rsidRDefault="00521139" w:rsidP="00E53B90">
      <w:r w:rsidRPr="00EE77E5">
        <w:t>The Aged Care Quality and Safety Commission’s strengthened capability will ensure protections for older people in response to the Independent Capability Review recommendations.</w:t>
      </w:r>
    </w:p>
    <w:p w14:paraId="50DABD81" w14:textId="77777777" w:rsidR="008C00DC" w:rsidRPr="00EE77E5" w:rsidRDefault="00842803" w:rsidP="216B5AD2">
      <w:r w:rsidRPr="00EE77E5">
        <w:t>The new rights-based Act will put older people at the centre of aged care to ensure people accessing Government-funded aged care services get the respect and quality of care they deserve.</w:t>
      </w:r>
      <w:r w:rsidR="0090516E" w:rsidRPr="00EE77E5">
        <w:t xml:space="preserve"> In preparation for the new Act, technology systems and digital infrastructure will be upgraded across the aged care sector.</w:t>
      </w:r>
      <w:r w:rsidR="00793C42" w:rsidRPr="00EE77E5">
        <w:t xml:space="preserve"> </w:t>
      </w:r>
    </w:p>
    <w:p w14:paraId="7573CF87" w14:textId="67C6CE06" w:rsidR="00077706" w:rsidRPr="00EE77E5" w:rsidRDefault="0030257C" w:rsidP="216B5AD2">
      <w:r w:rsidRPr="00EE77E5">
        <w:t xml:space="preserve">This Budget will invest in </w:t>
      </w:r>
      <w:r w:rsidR="00077706" w:rsidRPr="00EE77E5">
        <w:t>attracting and retaining</w:t>
      </w:r>
      <w:r w:rsidRPr="00EE77E5">
        <w:t xml:space="preserve"> aged care workers.</w:t>
      </w:r>
      <w:r w:rsidR="00077706" w:rsidRPr="00EE77E5">
        <w:t xml:space="preserve"> This includes funding to </w:t>
      </w:r>
      <w:r w:rsidR="006D4F57" w:rsidRPr="00EE77E5">
        <w:t xml:space="preserve">support </w:t>
      </w:r>
      <w:r w:rsidR="00AE640A" w:rsidRPr="00EE77E5">
        <w:t xml:space="preserve">an increase in the number </w:t>
      </w:r>
      <w:r w:rsidR="006D4F57" w:rsidRPr="00EE77E5">
        <w:t>of</w:t>
      </w:r>
      <w:r w:rsidR="00077706" w:rsidRPr="00EE77E5">
        <w:t xml:space="preserve"> home care work</w:t>
      </w:r>
      <w:r w:rsidR="006D4F57" w:rsidRPr="00EE77E5">
        <w:t>ers</w:t>
      </w:r>
      <w:r w:rsidR="00077706" w:rsidRPr="00EE77E5">
        <w:t xml:space="preserve"> in regional, rural and remote areas where workforce shortages are the most acute</w:t>
      </w:r>
      <w:r w:rsidR="006D4F57" w:rsidRPr="00EE77E5">
        <w:t>,</w:t>
      </w:r>
      <w:r w:rsidR="00077706" w:rsidRPr="00EE77E5">
        <w:t xml:space="preserve"> and</w:t>
      </w:r>
      <w:r w:rsidR="006D4F57" w:rsidRPr="00EE77E5">
        <w:t xml:space="preserve"> the extension of</w:t>
      </w:r>
      <w:r w:rsidR="00077706" w:rsidRPr="00EE77E5">
        <w:t xml:space="preserve"> programs to support better career pathways for nurses in aged care. </w:t>
      </w:r>
    </w:p>
    <w:p w14:paraId="4CE10378" w14:textId="167C6205" w:rsidR="00603ABE" w:rsidRPr="00EE77E5" w:rsidRDefault="00D7212C" w:rsidP="00E27EB3">
      <w:r w:rsidRPr="00EE77E5">
        <w:t>As part of the Strengthening Medicare package</w:t>
      </w:r>
      <w:r w:rsidR="004D5EAF" w:rsidRPr="00EE77E5">
        <w:t>, states</w:t>
      </w:r>
      <w:r w:rsidRPr="00EE77E5">
        <w:t xml:space="preserve"> and territories</w:t>
      </w:r>
      <w:r w:rsidR="004D5EAF" w:rsidRPr="00EE77E5">
        <w:t xml:space="preserve"> will be supported</w:t>
      </w:r>
      <w:r w:rsidR="00603ABE" w:rsidRPr="00EE77E5">
        <w:t xml:space="preserve"> to upskill residential aged care workers, </w:t>
      </w:r>
      <w:r w:rsidR="00E14113" w:rsidRPr="00EE77E5">
        <w:t xml:space="preserve">and </w:t>
      </w:r>
      <w:r w:rsidR="00603ABE" w:rsidRPr="00EE77E5">
        <w:t>deliver outreach services, virtual care and complex care outside of hospital settings.</w:t>
      </w:r>
      <w:r w:rsidR="00653E7C" w:rsidRPr="00EE77E5">
        <w:t xml:space="preserve"> The Transition Care Programme will be extended and reviewed to continue short-term care for older people recovering from a hospital stay.</w:t>
      </w:r>
    </w:p>
    <w:p w14:paraId="7759F308" w14:textId="76CA94D9" w:rsidR="001365A9" w:rsidRPr="00EE77E5" w:rsidRDefault="002253AA" w:rsidP="216B5AD2">
      <w:r w:rsidRPr="00EE77E5">
        <w:t xml:space="preserve">Better dementia care will be delivered through investment in services and support for people </w:t>
      </w:r>
      <w:r w:rsidR="006D4F57" w:rsidRPr="00EE77E5">
        <w:t>with complex care needs</w:t>
      </w:r>
      <w:r w:rsidRPr="00EE77E5">
        <w:t>, as well as readying the health system for new diagnosis and treatment advances.</w:t>
      </w:r>
    </w:p>
    <w:p w14:paraId="4A8F981D" w14:textId="15788926" w:rsidR="00FC3C86" w:rsidRPr="00EE77E5" w:rsidRDefault="003B1710" w:rsidP="00BE3121">
      <w:r w:rsidRPr="00EE77E5">
        <w:t>The new Aged Care Act will put older people at the centre of aged care. It will also support the Government’s response to the Aged Care Taskforce. These reforms are crucial to</w:t>
      </w:r>
      <w:r w:rsidR="00806BA4" w:rsidRPr="00EE77E5">
        <w:t xml:space="preserve"> creat</w:t>
      </w:r>
      <w:r w:rsidRPr="00EE77E5">
        <w:t xml:space="preserve">e a sustainable sector that delivers high quality care. The Government is continuing to consult with older Australians and stakeholders to ensure there is broad support for reforms to improve the standard of aged care. </w:t>
      </w:r>
    </w:p>
    <w:p w14:paraId="3276D866" w14:textId="77777777" w:rsidR="00E53B90" w:rsidRPr="00EE77E5" w:rsidRDefault="00E53B90" w:rsidP="00E53B90">
      <w:pPr>
        <w:pStyle w:val="Heading2"/>
      </w:pPr>
      <w:r w:rsidRPr="00EE77E5">
        <w:t>Who benefits</w:t>
      </w:r>
    </w:p>
    <w:p w14:paraId="03B70C1B" w14:textId="24A6ECDA" w:rsidR="00DD6F08" w:rsidRPr="00EE77E5" w:rsidRDefault="00DD6F08" w:rsidP="008945D7">
      <w:pPr>
        <w:pStyle w:val="IntroPara"/>
      </w:pPr>
      <w:r w:rsidRPr="00EE77E5">
        <w:t>Older Australians will benefit from a quality aged care system, with faster access to in-home care, a strong workforce and better links between aged care and health systems.</w:t>
      </w:r>
    </w:p>
    <w:p w14:paraId="2AC389BD" w14:textId="3E29AB39" w:rsidR="00E53B90" w:rsidRPr="00EE77E5" w:rsidRDefault="0068353C" w:rsidP="000006BA">
      <w:r w:rsidRPr="00EE77E5">
        <w:t xml:space="preserve">Extra </w:t>
      </w:r>
      <w:r w:rsidR="00DA17FA" w:rsidRPr="00EE77E5">
        <w:t>Home Care Packages will</w:t>
      </w:r>
      <w:r w:rsidR="00E53B90" w:rsidRPr="00EE77E5">
        <w:t xml:space="preserve"> address Australia’s </w:t>
      </w:r>
      <w:r w:rsidR="00842803" w:rsidRPr="00EE77E5">
        <w:t>increasing</w:t>
      </w:r>
      <w:r w:rsidR="00E53B90" w:rsidRPr="00EE77E5">
        <w:t xml:space="preserve"> demand for in-home aged care</w:t>
      </w:r>
      <w:r w:rsidR="004D5EAF" w:rsidRPr="00EE77E5">
        <w:t xml:space="preserve">. </w:t>
      </w:r>
      <w:r w:rsidR="00806BA4" w:rsidRPr="00EE77E5">
        <w:t>A</w:t>
      </w:r>
      <w:r w:rsidR="1F94149F" w:rsidRPr="00EE77E5">
        <w:t>n extra</w:t>
      </w:r>
      <w:r w:rsidR="216B5AD2" w:rsidRPr="00EE77E5">
        <w:t xml:space="preserve"> 24,100 </w:t>
      </w:r>
      <w:r w:rsidR="004D5EAF" w:rsidRPr="00EE77E5">
        <w:t>packages will</w:t>
      </w:r>
      <w:r w:rsidR="00E53B90" w:rsidRPr="00EE77E5">
        <w:t xml:space="preserve"> help older people to remain independent in their home and community for longer</w:t>
      </w:r>
      <w:r w:rsidR="00806BA4" w:rsidRPr="00EE77E5">
        <w:t xml:space="preserve"> ($531.4 million)</w:t>
      </w:r>
      <w:r w:rsidR="00E53B90" w:rsidRPr="00EE77E5">
        <w:t>.</w:t>
      </w:r>
      <w:r w:rsidR="00E815C5" w:rsidRPr="00EE77E5">
        <w:t xml:space="preserve"> These new packages will complement the roll-out of the Single Assessment System from 1 July 2024, which will provide older people with a single entry point and needs assessment for aged care. </w:t>
      </w:r>
    </w:p>
    <w:p w14:paraId="3A402D01" w14:textId="7C83DC00" w:rsidR="007844D7" w:rsidRPr="00EE77E5" w:rsidRDefault="00806BA4" w:rsidP="000006BA">
      <w:r w:rsidRPr="00EE77E5">
        <w:t>The Budget will</w:t>
      </w:r>
      <w:r w:rsidR="004D5EAF" w:rsidRPr="00EE77E5">
        <w:t xml:space="preserve"> deliver </w:t>
      </w:r>
      <w:r w:rsidR="003B76F7" w:rsidRPr="00EE77E5">
        <w:t xml:space="preserve">a </w:t>
      </w:r>
      <w:r w:rsidR="004D5EAF" w:rsidRPr="00EE77E5">
        <w:t>s</w:t>
      </w:r>
      <w:r w:rsidR="007844D7" w:rsidRPr="00EE77E5">
        <w:t>trong</w:t>
      </w:r>
      <w:r w:rsidR="003B76F7" w:rsidRPr="00EE77E5">
        <w:t>er</w:t>
      </w:r>
      <w:r w:rsidR="007844D7" w:rsidRPr="00EE77E5">
        <w:t xml:space="preserve"> regulat</w:t>
      </w:r>
      <w:r w:rsidR="003B76F7" w:rsidRPr="00EE77E5">
        <w:t>ory</w:t>
      </w:r>
      <w:r w:rsidR="007844D7" w:rsidRPr="00EE77E5">
        <w:t xml:space="preserve"> framework and a </w:t>
      </w:r>
      <w:r w:rsidR="00B66253" w:rsidRPr="00EE77E5">
        <w:t>well-resourced</w:t>
      </w:r>
      <w:r w:rsidR="007844D7" w:rsidRPr="00EE77E5">
        <w:t xml:space="preserve">, capable regulator </w:t>
      </w:r>
      <w:r w:rsidR="00E14113" w:rsidRPr="00EE77E5">
        <w:t xml:space="preserve">to </w:t>
      </w:r>
      <w:r w:rsidR="007844D7" w:rsidRPr="00EE77E5">
        <w:t>protect older Australians</w:t>
      </w:r>
      <w:r w:rsidR="00842803" w:rsidRPr="00EE77E5">
        <w:t xml:space="preserve"> accessing aged care services</w:t>
      </w:r>
      <w:r w:rsidR="007844D7" w:rsidRPr="00EE77E5">
        <w:t xml:space="preserve">, and ensure a high standard of </w:t>
      </w:r>
      <w:r w:rsidR="00744166" w:rsidRPr="00EE77E5">
        <w:t xml:space="preserve">safe, </w:t>
      </w:r>
      <w:r w:rsidR="007844D7" w:rsidRPr="00EE77E5">
        <w:t>quality care</w:t>
      </w:r>
      <w:r w:rsidRPr="00EE77E5">
        <w:t xml:space="preserve"> ($11</w:t>
      </w:r>
      <w:r w:rsidR="00B9600C" w:rsidRPr="00EE77E5">
        <w:t>1</w:t>
      </w:r>
      <w:r w:rsidRPr="00EE77E5">
        <w:t xml:space="preserve"> million)</w:t>
      </w:r>
      <w:r w:rsidR="007844D7" w:rsidRPr="00EE77E5">
        <w:t>.</w:t>
      </w:r>
    </w:p>
    <w:p w14:paraId="7030D9AA" w14:textId="3E44472C" w:rsidR="00FB4944" w:rsidRPr="00EE77E5" w:rsidRDefault="00744166" w:rsidP="000006BA">
      <w:r w:rsidRPr="00EE77E5">
        <w:t xml:space="preserve">The Government is committed to </w:t>
      </w:r>
      <w:r w:rsidR="00F544E7" w:rsidRPr="00EE77E5">
        <w:t>growing</w:t>
      </w:r>
      <w:r w:rsidRPr="00EE77E5">
        <w:t xml:space="preserve"> the workforce to meet the demands of Australia’s ageing population.</w:t>
      </w:r>
      <w:r w:rsidR="004D5EAF" w:rsidRPr="00EE77E5">
        <w:t xml:space="preserve"> </w:t>
      </w:r>
    </w:p>
    <w:p w14:paraId="5D27DF06" w14:textId="1BECA96F" w:rsidR="00744166" w:rsidRPr="00EE77E5" w:rsidRDefault="00806BA4" w:rsidP="216B5AD2">
      <w:r w:rsidRPr="00EE77E5">
        <w:lastRenderedPageBreak/>
        <w:t>I</w:t>
      </w:r>
      <w:r w:rsidR="00744166" w:rsidRPr="00EE77E5">
        <w:t xml:space="preserve">mproved staffing solutions </w:t>
      </w:r>
      <w:r w:rsidRPr="00EE77E5">
        <w:t>will</w:t>
      </w:r>
      <w:r w:rsidR="00744166" w:rsidRPr="00EE77E5">
        <w:t xml:space="preserve"> create better conditions for the aged care workforce</w:t>
      </w:r>
      <w:r w:rsidRPr="00EE77E5">
        <w:t xml:space="preserve"> ($88.4 million)</w:t>
      </w:r>
      <w:r w:rsidR="00744166" w:rsidRPr="00EE77E5">
        <w:t xml:space="preserve">, including </w:t>
      </w:r>
      <w:r w:rsidR="00FB4944" w:rsidRPr="00EE77E5">
        <w:t>funding to:</w:t>
      </w:r>
    </w:p>
    <w:p w14:paraId="7394D962" w14:textId="0FD7A81D" w:rsidR="00FB4944" w:rsidRPr="00EE77E5" w:rsidRDefault="00FB4944" w:rsidP="00FF121C">
      <w:pPr>
        <w:pStyle w:val="ListParagraph"/>
        <w:numPr>
          <w:ilvl w:val="0"/>
          <w:numId w:val="33"/>
        </w:numPr>
      </w:pPr>
      <w:r w:rsidRPr="00EE77E5">
        <w:t>grow the home care workforce in regional, rural and remote areas, where workforce shortages are the most acute</w:t>
      </w:r>
    </w:p>
    <w:p w14:paraId="7A5675E0" w14:textId="27E9A5A5" w:rsidR="00FB4944" w:rsidRPr="00EE77E5" w:rsidRDefault="00FB4944" w:rsidP="00FF121C">
      <w:pPr>
        <w:pStyle w:val="ListParagraph"/>
        <w:numPr>
          <w:ilvl w:val="0"/>
          <w:numId w:val="33"/>
        </w:numPr>
      </w:pPr>
      <w:proofErr w:type="gramStart"/>
      <w:r w:rsidRPr="00EE77E5">
        <w:t>support</w:t>
      </w:r>
      <w:proofErr w:type="gramEnd"/>
      <w:r w:rsidRPr="00EE77E5">
        <w:t xml:space="preserve"> better care</w:t>
      </w:r>
      <w:r w:rsidR="00FE13C6" w:rsidRPr="00EE77E5">
        <w:t>e</w:t>
      </w:r>
      <w:r w:rsidRPr="00EE77E5">
        <w:t>r pathways for nurses in aged care.</w:t>
      </w:r>
    </w:p>
    <w:p w14:paraId="0475D8F0" w14:textId="32AA1394" w:rsidR="00E53B90" w:rsidRPr="00EE77E5" w:rsidRDefault="00E53B90" w:rsidP="000006BA">
      <w:r w:rsidRPr="00EE77E5">
        <w:t>The new Act will mean older people, their families and carers will know their rights</w:t>
      </w:r>
      <w:r w:rsidR="00691BE8" w:rsidRPr="00EE77E5">
        <w:t xml:space="preserve">, know </w:t>
      </w:r>
      <w:r w:rsidRPr="00EE77E5">
        <w:t>what to expect from aged care providers</w:t>
      </w:r>
      <w:r w:rsidR="00691BE8" w:rsidRPr="00EE77E5">
        <w:t>,</w:t>
      </w:r>
      <w:r w:rsidRPr="00EE77E5">
        <w:t xml:space="preserve"> and </w:t>
      </w:r>
      <w:r w:rsidR="00691BE8" w:rsidRPr="00EE77E5">
        <w:t xml:space="preserve">know they </w:t>
      </w:r>
      <w:r w:rsidRPr="00EE77E5">
        <w:t>will be protected if they complain.</w:t>
      </w:r>
    </w:p>
    <w:p w14:paraId="5969BA19" w14:textId="3814F2D8" w:rsidR="004D5EAF" w:rsidRPr="00EE77E5" w:rsidRDefault="00E53B90" w:rsidP="000006BA">
      <w:r w:rsidRPr="00EE77E5">
        <w:t>Under the new Act, aged care providers will operate in a better</w:t>
      </w:r>
      <w:r w:rsidR="00691BE8" w:rsidRPr="00EE77E5">
        <w:t xml:space="preserve"> </w:t>
      </w:r>
      <w:r w:rsidRPr="00EE77E5">
        <w:t xml:space="preserve">regulated, transparent and accountable system. Aged care workers will work in an environment </w:t>
      </w:r>
      <w:r w:rsidR="00691BE8" w:rsidRPr="00EE77E5">
        <w:t xml:space="preserve">that recognises their important role and </w:t>
      </w:r>
      <w:r w:rsidRPr="00EE77E5">
        <w:t>prioritises safe, high</w:t>
      </w:r>
      <w:r w:rsidR="00691BE8" w:rsidRPr="00EE77E5">
        <w:t xml:space="preserve"> </w:t>
      </w:r>
      <w:r w:rsidRPr="00EE77E5">
        <w:t>quality care.</w:t>
      </w:r>
    </w:p>
    <w:p w14:paraId="588F0BF2" w14:textId="4686594F" w:rsidR="00FF121C" w:rsidRPr="00EE77E5" w:rsidRDefault="5A90C05D" w:rsidP="000006BA">
      <w:r w:rsidRPr="00EE77E5">
        <w:t xml:space="preserve">Underpinning the </w:t>
      </w:r>
      <w:r w:rsidR="00E14FFD" w:rsidRPr="00EE77E5">
        <w:t xml:space="preserve">aged care </w:t>
      </w:r>
      <w:r w:rsidRPr="00EE77E5">
        <w:t>reforms</w:t>
      </w:r>
      <w:r w:rsidR="374F1BDF" w:rsidRPr="00EE77E5">
        <w:t>, including those</w:t>
      </w:r>
      <w:r w:rsidRPr="00EE77E5">
        <w:t xml:space="preserve"> </w:t>
      </w:r>
      <w:r w:rsidR="00643282" w:rsidRPr="00EE77E5">
        <w:t>dependent on</w:t>
      </w:r>
      <w:r w:rsidR="374F1BDF" w:rsidRPr="00EE77E5">
        <w:t xml:space="preserve"> the new Act,</w:t>
      </w:r>
      <w:r w:rsidR="004D5EAF" w:rsidRPr="00EE77E5">
        <w:t xml:space="preserve"> </w:t>
      </w:r>
      <w:r w:rsidR="374F1BDF" w:rsidRPr="00EE77E5">
        <w:t xml:space="preserve">significant </w:t>
      </w:r>
      <w:r w:rsidR="00744166" w:rsidRPr="00EE77E5">
        <w:t>technology and platform</w:t>
      </w:r>
      <w:r w:rsidR="374F1BDF" w:rsidRPr="00EE77E5">
        <w:t xml:space="preserve"> </w:t>
      </w:r>
      <w:r w:rsidR="0090516E" w:rsidRPr="00EE77E5">
        <w:t>maintenance and</w:t>
      </w:r>
      <w:r w:rsidR="00E14FFD" w:rsidRPr="00EE77E5">
        <w:t xml:space="preserve"> enhance</w:t>
      </w:r>
      <w:r w:rsidR="0090516E" w:rsidRPr="00EE77E5">
        <w:t xml:space="preserve">ments </w:t>
      </w:r>
      <w:r w:rsidR="00806BA4" w:rsidRPr="00EE77E5">
        <w:t xml:space="preserve">will be funded to </w:t>
      </w:r>
      <w:r w:rsidR="0090516E" w:rsidRPr="00EE77E5">
        <w:t>ensure</w:t>
      </w:r>
      <w:r w:rsidR="1E3659FF" w:rsidRPr="00EE77E5">
        <w:t xml:space="preserve"> critical aged care digital systems </w:t>
      </w:r>
      <w:r w:rsidR="0090516E" w:rsidRPr="00EE77E5">
        <w:t xml:space="preserve">will </w:t>
      </w:r>
      <w:r w:rsidR="1E3659FF" w:rsidRPr="00EE77E5">
        <w:t>remain contempora</w:t>
      </w:r>
      <w:r w:rsidR="14BD3E89" w:rsidRPr="00EE77E5">
        <w:t>ry</w:t>
      </w:r>
      <w:r w:rsidR="00B622A8" w:rsidRPr="00EE77E5">
        <w:t xml:space="preserve"> and comply with legislation</w:t>
      </w:r>
      <w:r w:rsidR="00806BA4" w:rsidRPr="00EE77E5">
        <w:t xml:space="preserve"> ($1.4 billion)</w:t>
      </w:r>
      <w:r w:rsidR="14BD3E89" w:rsidRPr="00EE77E5">
        <w:t xml:space="preserve">. </w:t>
      </w:r>
    </w:p>
    <w:p w14:paraId="01ED7993" w14:textId="67704189" w:rsidR="5A90C05D" w:rsidRPr="00EE77E5" w:rsidRDefault="00744166" w:rsidP="000006BA">
      <w:r w:rsidRPr="00EE77E5">
        <w:t xml:space="preserve">Improved </w:t>
      </w:r>
      <w:r w:rsidR="00E14FFD" w:rsidRPr="00EE77E5">
        <w:t>systems will</w:t>
      </w:r>
      <w:r w:rsidR="37F88A13" w:rsidRPr="00EE77E5">
        <w:t xml:space="preserve"> help </w:t>
      </w:r>
      <w:r w:rsidR="008E4E86" w:rsidRPr="00EE77E5">
        <w:t>older people, their families and carers</w:t>
      </w:r>
      <w:r w:rsidR="00691BE8" w:rsidRPr="00EE77E5">
        <w:t>,</w:t>
      </w:r>
      <w:r w:rsidR="37F88A13" w:rsidRPr="00EE77E5">
        <w:t xml:space="preserve"> </w:t>
      </w:r>
      <w:r w:rsidR="23A16707" w:rsidRPr="00EE77E5">
        <w:t>access aged care services and reduce administrative burden for aged care providers by better integrating aged care</w:t>
      </w:r>
      <w:r w:rsidR="00E14FFD" w:rsidRPr="00EE77E5">
        <w:t xml:space="preserve"> and health</w:t>
      </w:r>
      <w:r w:rsidR="23A16707" w:rsidRPr="00EE77E5">
        <w:t xml:space="preserve"> systems.</w:t>
      </w:r>
    </w:p>
    <w:p w14:paraId="7EFB2B08" w14:textId="24EE9753" w:rsidR="00083124" w:rsidRPr="00EE77E5" w:rsidRDefault="001C7534" w:rsidP="000006BA">
      <w:r w:rsidRPr="00EE77E5">
        <w:rPr>
          <w:rFonts w:eastAsia="Calibri" w:cs="Arial"/>
        </w:rPr>
        <w:t xml:space="preserve">Older </w:t>
      </w:r>
      <w:r w:rsidR="00063B15" w:rsidRPr="00EE77E5">
        <w:rPr>
          <w:rFonts w:eastAsia="Calibri" w:cs="Arial"/>
        </w:rPr>
        <w:t xml:space="preserve">people </w:t>
      </w:r>
      <w:r w:rsidRPr="00EE77E5">
        <w:rPr>
          <w:rFonts w:eastAsia="Calibri" w:cs="Arial"/>
        </w:rPr>
        <w:t xml:space="preserve">will </w:t>
      </w:r>
      <w:r w:rsidRPr="00EE77E5">
        <w:rPr>
          <w:rFonts w:cs="Arial"/>
        </w:rPr>
        <w:t>get the health care and support they</w:t>
      </w:r>
      <w:r w:rsidR="007D52C9" w:rsidRPr="00EE77E5">
        <w:rPr>
          <w:rFonts w:cs="Arial"/>
        </w:rPr>
        <w:t xml:space="preserve"> need</w:t>
      </w:r>
      <w:r w:rsidRPr="00EE77E5">
        <w:rPr>
          <w:rFonts w:cs="Arial"/>
        </w:rPr>
        <w:t xml:space="preserve"> </w:t>
      </w:r>
      <w:r w:rsidR="00985D65" w:rsidRPr="00EE77E5">
        <w:rPr>
          <w:rFonts w:cs="Arial"/>
        </w:rPr>
        <w:t xml:space="preserve">to remain independent in their home </w:t>
      </w:r>
      <w:r w:rsidR="00FF121C" w:rsidRPr="00EE77E5">
        <w:rPr>
          <w:rFonts w:cs="Arial"/>
        </w:rPr>
        <w:t xml:space="preserve">or an aged care facility </w:t>
      </w:r>
      <w:r w:rsidR="00985D65" w:rsidRPr="00EE77E5">
        <w:rPr>
          <w:rFonts w:cs="Arial"/>
        </w:rPr>
        <w:t xml:space="preserve">and community </w:t>
      </w:r>
      <w:r w:rsidRPr="00EE77E5">
        <w:rPr>
          <w:rFonts w:cs="Arial"/>
        </w:rPr>
        <w:t xml:space="preserve">when </w:t>
      </w:r>
      <w:r w:rsidR="00806BA4" w:rsidRPr="00EE77E5">
        <w:rPr>
          <w:rFonts w:eastAsia="Calibri" w:cs="Arial"/>
        </w:rPr>
        <w:t>they</w:t>
      </w:r>
      <w:r w:rsidRPr="00EE77E5">
        <w:rPr>
          <w:rFonts w:eastAsia="Calibri" w:cs="Arial"/>
        </w:rPr>
        <w:t xml:space="preserve"> no</w:t>
      </w:r>
      <w:r w:rsidR="00691BE8" w:rsidRPr="00EE77E5">
        <w:rPr>
          <w:rFonts w:eastAsia="Calibri" w:cs="Arial"/>
        </w:rPr>
        <w:t xml:space="preserve"> longer</w:t>
      </w:r>
      <w:r w:rsidRPr="00EE77E5">
        <w:rPr>
          <w:rFonts w:eastAsia="Calibri" w:cs="Arial"/>
        </w:rPr>
        <w:t xml:space="preserve"> </w:t>
      </w:r>
      <w:r w:rsidR="00806BA4" w:rsidRPr="00EE77E5">
        <w:rPr>
          <w:rFonts w:eastAsia="Calibri" w:cs="Arial"/>
        </w:rPr>
        <w:t>need</w:t>
      </w:r>
      <w:r w:rsidRPr="00EE77E5">
        <w:rPr>
          <w:rFonts w:eastAsia="Calibri" w:cs="Arial"/>
        </w:rPr>
        <w:t xml:space="preserve"> to stay in hospital</w:t>
      </w:r>
      <w:r w:rsidRPr="00EE77E5">
        <w:rPr>
          <w:lang w:eastAsia="en-AU"/>
        </w:rPr>
        <w:t>.</w:t>
      </w:r>
      <w:r w:rsidRPr="00EE77E5">
        <w:t xml:space="preserve"> </w:t>
      </w:r>
      <w:r w:rsidR="00AA514B" w:rsidRPr="00EE77E5">
        <w:t xml:space="preserve">They will </w:t>
      </w:r>
      <w:r w:rsidRPr="00EE77E5">
        <w:t>experience better connected services between aged care and health systems, reducing hospital stays and medical costs.</w:t>
      </w:r>
    </w:p>
    <w:p w14:paraId="2E5F972F" w14:textId="374FDCC1" w:rsidR="009F53B8" w:rsidRPr="00EE77E5" w:rsidRDefault="00FC717F">
      <w:pPr>
        <w:rPr>
          <w:rFonts w:eastAsia="Calibri" w:cs="Arial"/>
        </w:rPr>
      </w:pPr>
      <w:r w:rsidRPr="00EE77E5">
        <w:rPr>
          <w:rFonts w:eastAsia="Calibri" w:cs="Arial"/>
        </w:rPr>
        <w:t>As part of the $</w:t>
      </w:r>
      <w:r w:rsidR="00B108D1" w:rsidRPr="00EE77E5">
        <w:rPr>
          <w:rFonts w:eastAsia="Calibri" w:cs="Arial"/>
        </w:rPr>
        <w:t>1.2 billion</w:t>
      </w:r>
      <w:r w:rsidRPr="00EE77E5">
        <w:rPr>
          <w:rFonts w:eastAsia="Calibri" w:cs="Arial"/>
        </w:rPr>
        <w:t xml:space="preserve"> Strengthening Medicare package</w:t>
      </w:r>
      <w:r w:rsidR="00063B15" w:rsidRPr="00EE77E5">
        <w:rPr>
          <w:rFonts w:eastAsia="Calibri" w:cs="Arial"/>
        </w:rPr>
        <w:t>,</w:t>
      </w:r>
      <w:r w:rsidRPr="00EE77E5">
        <w:rPr>
          <w:rFonts w:eastAsia="Calibri" w:cs="Arial"/>
        </w:rPr>
        <w:t xml:space="preserve"> states </w:t>
      </w:r>
      <w:r w:rsidR="001C7534" w:rsidRPr="00EE77E5">
        <w:rPr>
          <w:rFonts w:eastAsia="Calibri" w:cs="Arial"/>
        </w:rPr>
        <w:t>and territories will be funded</w:t>
      </w:r>
      <w:r w:rsidR="004D5EAF" w:rsidRPr="00EE77E5">
        <w:rPr>
          <w:rFonts w:eastAsia="Calibri" w:cs="Arial"/>
        </w:rPr>
        <w:t xml:space="preserve"> </w:t>
      </w:r>
      <w:r w:rsidR="00806BA4" w:rsidRPr="00EE77E5">
        <w:rPr>
          <w:rFonts w:eastAsia="Calibri" w:cs="Arial"/>
        </w:rPr>
        <w:t>(</w:t>
      </w:r>
      <w:r w:rsidR="004D5EAF" w:rsidRPr="00EE77E5">
        <w:rPr>
          <w:rFonts w:eastAsia="Calibri" w:cs="Arial"/>
        </w:rPr>
        <w:t>$</w:t>
      </w:r>
      <w:r w:rsidR="002F6A80" w:rsidRPr="00EE77E5">
        <w:rPr>
          <w:rFonts w:eastAsia="Calibri" w:cs="Arial"/>
        </w:rPr>
        <w:t>882.2</w:t>
      </w:r>
      <w:r w:rsidR="00B108D1" w:rsidRPr="00EE77E5">
        <w:rPr>
          <w:rFonts w:eastAsia="Calibri" w:cs="Arial"/>
        </w:rPr>
        <w:t xml:space="preserve"> </w:t>
      </w:r>
      <w:r w:rsidR="002F6A80" w:rsidRPr="00EE77E5">
        <w:rPr>
          <w:rFonts w:eastAsia="Calibri" w:cs="Arial"/>
        </w:rPr>
        <w:t>m</w:t>
      </w:r>
      <w:r w:rsidR="00B108D1" w:rsidRPr="00EE77E5">
        <w:rPr>
          <w:rFonts w:eastAsia="Calibri" w:cs="Arial"/>
        </w:rPr>
        <w:t>illion</w:t>
      </w:r>
      <w:r w:rsidR="00806BA4" w:rsidRPr="00EE77E5">
        <w:rPr>
          <w:rFonts w:eastAsia="Calibri" w:cs="Arial"/>
        </w:rPr>
        <w:t>)</w:t>
      </w:r>
      <w:r w:rsidR="001C7534" w:rsidRPr="00EE77E5">
        <w:rPr>
          <w:rFonts w:eastAsia="Calibri" w:cs="Arial"/>
        </w:rPr>
        <w:t xml:space="preserve"> to deliver</w:t>
      </w:r>
      <w:r w:rsidR="009F53B8" w:rsidRPr="00EE77E5">
        <w:rPr>
          <w:rFonts w:eastAsia="Calibri" w:cs="Arial"/>
        </w:rPr>
        <w:t>:</w:t>
      </w:r>
    </w:p>
    <w:p w14:paraId="07A99840" w14:textId="7D8D098B" w:rsidR="009F53B8" w:rsidRPr="00EE77E5" w:rsidRDefault="009F53B8" w:rsidP="00FF121C">
      <w:pPr>
        <w:pStyle w:val="ListParagraph"/>
        <w:numPr>
          <w:ilvl w:val="0"/>
          <w:numId w:val="35"/>
        </w:numPr>
        <w:rPr>
          <w:rFonts w:eastAsia="Calibri" w:cs="Arial"/>
        </w:rPr>
      </w:pPr>
      <w:r w:rsidRPr="00EE77E5">
        <w:rPr>
          <w:rFonts w:eastAsia="Calibri" w:cs="Arial"/>
        </w:rPr>
        <w:t>programs that help older patients avoid unnecessary hospital admissions and to be discharged</w:t>
      </w:r>
      <w:r w:rsidR="00FF121C" w:rsidRPr="00EE77E5">
        <w:rPr>
          <w:rFonts w:eastAsia="Calibri" w:cs="Arial"/>
        </w:rPr>
        <w:t xml:space="preserve"> into </w:t>
      </w:r>
      <w:r w:rsidR="00FF121C" w:rsidRPr="00EE77E5">
        <w:t xml:space="preserve">a more appropriate care situation </w:t>
      </w:r>
      <w:r w:rsidRPr="00EE77E5">
        <w:rPr>
          <w:rFonts w:eastAsia="Calibri" w:cs="Arial"/>
        </w:rPr>
        <w:t xml:space="preserve">sooner </w:t>
      </w:r>
      <w:r w:rsidR="00FF121C" w:rsidRPr="00EE77E5">
        <w:rPr>
          <w:rFonts w:eastAsia="Calibri" w:cs="Arial"/>
        </w:rPr>
        <w:t>if they are</w:t>
      </w:r>
      <w:r w:rsidR="008F210C" w:rsidRPr="00EE77E5">
        <w:rPr>
          <w:rFonts w:eastAsia="Calibri" w:cs="Arial"/>
        </w:rPr>
        <w:t xml:space="preserve"> </w:t>
      </w:r>
      <w:r w:rsidRPr="00EE77E5">
        <w:rPr>
          <w:rFonts w:eastAsia="Calibri" w:cs="Arial"/>
        </w:rPr>
        <w:t>admitted</w:t>
      </w:r>
    </w:p>
    <w:p w14:paraId="0EC6F25B" w14:textId="051D590B" w:rsidR="009F53B8" w:rsidRPr="00EE77E5" w:rsidRDefault="001C7534" w:rsidP="00FF121C">
      <w:pPr>
        <w:pStyle w:val="ListParagraph"/>
        <w:numPr>
          <w:ilvl w:val="0"/>
          <w:numId w:val="35"/>
        </w:numPr>
        <w:rPr>
          <w:rFonts w:eastAsia="Calibri" w:cs="Arial"/>
        </w:rPr>
      </w:pPr>
      <w:r w:rsidRPr="00EE77E5">
        <w:rPr>
          <w:rFonts w:eastAsia="Calibri" w:cs="Arial"/>
        </w:rPr>
        <w:t>hospital outreach services in the community</w:t>
      </w:r>
      <w:r w:rsidR="009F53B8" w:rsidRPr="00EE77E5">
        <w:rPr>
          <w:rFonts w:eastAsia="Calibri" w:cs="Arial"/>
        </w:rPr>
        <w:t xml:space="preserve"> and</w:t>
      </w:r>
      <w:r w:rsidRPr="00EE77E5">
        <w:rPr>
          <w:rFonts w:eastAsia="Calibri" w:cs="Arial"/>
        </w:rPr>
        <w:t xml:space="preserve"> virtual care services</w:t>
      </w:r>
    </w:p>
    <w:p w14:paraId="598E80DD" w14:textId="2652F41D" w:rsidR="009F53B8" w:rsidRPr="00EE77E5" w:rsidRDefault="00063B15" w:rsidP="00FF121C">
      <w:pPr>
        <w:pStyle w:val="ListParagraph"/>
        <w:numPr>
          <w:ilvl w:val="0"/>
          <w:numId w:val="35"/>
        </w:numPr>
        <w:rPr>
          <w:rFonts w:eastAsia="Calibri" w:cs="Arial"/>
        </w:rPr>
      </w:pPr>
      <w:proofErr w:type="gramStart"/>
      <w:r w:rsidRPr="00EE77E5">
        <w:rPr>
          <w:rFonts w:eastAsia="Calibri" w:cs="Arial"/>
        </w:rPr>
        <w:t>training</w:t>
      </w:r>
      <w:proofErr w:type="gramEnd"/>
      <w:r w:rsidRPr="00EE77E5">
        <w:rPr>
          <w:rFonts w:eastAsia="Calibri" w:cs="Arial"/>
        </w:rPr>
        <w:t xml:space="preserve"> to </w:t>
      </w:r>
      <w:r w:rsidR="001C7534" w:rsidRPr="00EE77E5">
        <w:rPr>
          <w:rFonts w:eastAsia="Calibri" w:cs="Arial"/>
        </w:rPr>
        <w:t xml:space="preserve">upskill residential aged care </w:t>
      </w:r>
      <w:r w:rsidR="00E755BF" w:rsidRPr="00EE77E5">
        <w:rPr>
          <w:rFonts w:eastAsia="Calibri" w:cs="Arial"/>
        </w:rPr>
        <w:t xml:space="preserve">workers </w:t>
      </w:r>
      <w:r w:rsidR="009F53B8" w:rsidRPr="00EE77E5">
        <w:rPr>
          <w:rFonts w:eastAsia="Calibri" w:cs="Arial"/>
        </w:rPr>
        <w:t>to care for older people with</w:t>
      </w:r>
      <w:r w:rsidR="00691BE8" w:rsidRPr="00EE77E5">
        <w:rPr>
          <w:rFonts w:eastAsia="Calibri" w:cs="Arial"/>
        </w:rPr>
        <w:t xml:space="preserve"> cognitive decline and</w:t>
      </w:r>
      <w:r w:rsidR="009F53B8" w:rsidRPr="00EE77E5">
        <w:rPr>
          <w:rFonts w:eastAsia="Calibri" w:cs="Arial"/>
        </w:rPr>
        <w:t xml:space="preserve"> </w:t>
      </w:r>
      <w:r w:rsidR="001C7534" w:rsidRPr="00EE77E5">
        <w:rPr>
          <w:rFonts w:eastAsia="Calibri" w:cs="Arial"/>
        </w:rPr>
        <w:t>complex care</w:t>
      </w:r>
      <w:r w:rsidR="004D5EAF" w:rsidRPr="00EE77E5">
        <w:rPr>
          <w:rFonts w:eastAsia="Calibri" w:cs="Arial"/>
        </w:rPr>
        <w:t>.</w:t>
      </w:r>
      <w:r w:rsidR="00FC717F" w:rsidRPr="00EE77E5">
        <w:rPr>
          <w:rFonts w:eastAsia="Calibri" w:cs="Arial"/>
        </w:rPr>
        <w:t xml:space="preserve"> </w:t>
      </w:r>
    </w:p>
    <w:p w14:paraId="23CCEDC1" w14:textId="1EDE5199" w:rsidR="009F53B8" w:rsidRPr="00EE77E5" w:rsidRDefault="009F53B8" w:rsidP="008F210C">
      <w:pPr>
        <w:rPr>
          <w:rFonts w:eastAsia="Calibri" w:cs="Arial"/>
        </w:rPr>
      </w:pPr>
      <w:r w:rsidRPr="00EE77E5">
        <w:rPr>
          <w:rFonts w:eastAsia="Calibri" w:cs="Arial"/>
        </w:rPr>
        <w:t>To further support older people to move out of hospital settings,</w:t>
      </w:r>
      <w:r w:rsidR="008F210C" w:rsidRPr="00EE77E5">
        <w:rPr>
          <w:rFonts w:eastAsia="Calibri" w:cs="Arial"/>
        </w:rPr>
        <w:t xml:space="preserve"> </w:t>
      </w:r>
      <w:r w:rsidR="00C13211" w:rsidRPr="00EE77E5">
        <w:rPr>
          <w:rFonts w:eastAsia="Calibri" w:cs="Arial"/>
        </w:rPr>
        <w:t>the Transition Care Programme</w:t>
      </w:r>
      <w:r w:rsidR="008F210C" w:rsidRPr="00EE77E5">
        <w:rPr>
          <w:rFonts w:eastAsia="Calibri" w:cs="Arial"/>
        </w:rPr>
        <w:t xml:space="preserve"> will be extended</w:t>
      </w:r>
      <w:r w:rsidR="00C13211" w:rsidRPr="00EE77E5">
        <w:rPr>
          <w:rFonts w:eastAsia="Calibri" w:cs="Arial"/>
        </w:rPr>
        <w:t xml:space="preserve"> to help people recover from a hospital stay with short-term care</w:t>
      </w:r>
      <w:r w:rsidR="008F210C" w:rsidRPr="00EE77E5">
        <w:rPr>
          <w:rFonts w:eastAsia="Calibri" w:cs="Arial"/>
        </w:rPr>
        <w:t xml:space="preserve">. The </w:t>
      </w:r>
      <w:r w:rsidR="00691BE8" w:rsidRPr="00EE77E5">
        <w:rPr>
          <w:rFonts w:eastAsia="Calibri" w:cs="Arial"/>
        </w:rPr>
        <w:t>s</w:t>
      </w:r>
      <w:r w:rsidRPr="00EE77E5">
        <w:rPr>
          <w:rFonts w:eastAsia="Calibri" w:cs="Arial"/>
        </w:rPr>
        <w:t xml:space="preserve">uccessful </w:t>
      </w:r>
      <w:r w:rsidR="00C13211" w:rsidRPr="00EE77E5">
        <w:rPr>
          <w:rFonts w:eastAsia="Calibri" w:cs="Arial"/>
        </w:rPr>
        <w:t xml:space="preserve">dementia program, </w:t>
      </w:r>
      <w:r w:rsidRPr="00EE77E5">
        <w:rPr>
          <w:rFonts w:eastAsia="Calibri" w:cs="Arial"/>
        </w:rPr>
        <w:t>Acute to Residential Care Transition Service</w:t>
      </w:r>
      <w:r w:rsidR="00C13211" w:rsidRPr="00EE77E5">
        <w:rPr>
          <w:rFonts w:eastAsia="Calibri" w:cs="Arial"/>
        </w:rPr>
        <w:t>,</w:t>
      </w:r>
      <w:r w:rsidRPr="00EE77E5">
        <w:rPr>
          <w:rFonts w:eastAsia="Calibri" w:cs="Arial"/>
        </w:rPr>
        <w:t xml:space="preserve"> </w:t>
      </w:r>
      <w:r w:rsidR="00C13211" w:rsidRPr="00EE77E5">
        <w:rPr>
          <w:rFonts w:eastAsia="Calibri" w:cs="Arial"/>
        </w:rPr>
        <w:t>will expand to e</w:t>
      </w:r>
      <w:r w:rsidR="00691BE8" w:rsidRPr="00EE77E5">
        <w:rPr>
          <w:rFonts w:eastAsia="Calibri" w:cs="Arial"/>
        </w:rPr>
        <w:t>very</w:t>
      </w:r>
      <w:r w:rsidRPr="00EE77E5">
        <w:rPr>
          <w:rFonts w:eastAsia="Calibri" w:cs="Arial"/>
        </w:rPr>
        <w:t xml:space="preserve"> state and territory</w:t>
      </w:r>
      <w:r w:rsidR="00C13211" w:rsidRPr="00EE77E5">
        <w:rPr>
          <w:rFonts w:eastAsia="Calibri" w:cs="Arial"/>
        </w:rPr>
        <w:t>.</w:t>
      </w:r>
    </w:p>
    <w:p w14:paraId="49961F4C" w14:textId="77777777" w:rsidR="00C13211" w:rsidRPr="00EE77E5" w:rsidRDefault="00C13211" w:rsidP="008F210C">
      <w:r w:rsidRPr="00EE77E5">
        <w:t>Dementia continues to be the leading cause of disease burden in Australia for those aged over 65.</w:t>
      </w:r>
    </w:p>
    <w:p w14:paraId="1F3B828C" w14:textId="7EA66EB1" w:rsidR="00C13211" w:rsidRPr="00EE77E5" w:rsidRDefault="00806BA4" w:rsidP="008F210C">
      <w:r w:rsidRPr="00EE77E5">
        <w:t>P</w:t>
      </w:r>
      <w:r w:rsidR="00C13211" w:rsidRPr="00EE77E5">
        <w:t xml:space="preserve">eople living with dementia </w:t>
      </w:r>
      <w:r w:rsidRPr="00EE77E5">
        <w:t xml:space="preserve">will be supported </w:t>
      </w:r>
      <w:r w:rsidR="00C13211" w:rsidRPr="00EE77E5">
        <w:t>to successfully transition from hospital to aged care services and fund clinical in-reach services for people through the Specialist Dementia Care Program</w:t>
      </w:r>
      <w:r w:rsidRPr="00EE77E5">
        <w:t xml:space="preserve"> ($32.1 million)</w:t>
      </w:r>
      <w:r w:rsidR="00C13211" w:rsidRPr="00EE77E5">
        <w:t>. It will also enable Australian Dementia Network researchers to continue to ready the health system for promising new dementia diagnostic and treatment options.</w:t>
      </w:r>
    </w:p>
    <w:p w14:paraId="57DFCC42" w14:textId="6A23247D" w:rsidR="000517A3" w:rsidRPr="00EE77E5" w:rsidRDefault="000517A3" w:rsidP="008F210C">
      <w:r w:rsidRPr="00EE77E5">
        <w:t>Pensioners and Commonwealth Seniors Health Cardholders, will enjoy cheaper medicines thanks to a freeze on PBS co-payments for</w:t>
      </w:r>
      <w:r w:rsidR="006A026B">
        <w:t xml:space="preserve"> up to</w:t>
      </w:r>
      <w:r w:rsidRPr="00EE77E5">
        <w:t xml:space="preserve"> 5 years. It means that while their pension rises each year with inflation, the cost of the medicines they rely on won’t. </w:t>
      </w:r>
    </w:p>
    <w:p w14:paraId="3FABEC66" w14:textId="67E62E32" w:rsidR="000517A3" w:rsidRPr="00EE77E5" w:rsidRDefault="000517A3" w:rsidP="008F210C">
      <w:r w:rsidRPr="00EE77E5">
        <w:rPr>
          <w:szCs w:val="22"/>
        </w:rPr>
        <w:lastRenderedPageBreak/>
        <w:t xml:space="preserve">This is on top of the introduction of </w:t>
      </w:r>
      <w:r w:rsidRPr="00EE77E5">
        <w:rPr>
          <w:color w:val="202020"/>
          <w:szCs w:val="22"/>
          <w:lang w:eastAsia="en-AU"/>
        </w:rPr>
        <w:t>60-day prescriptions</w:t>
      </w:r>
      <w:r w:rsidR="00806BA4" w:rsidRPr="00EE77E5">
        <w:rPr>
          <w:color w:val="202020"/>
          <w:szCs w:val="22"/>
          <w:lang w:eastAsia="en-AU"/>
        </w:rPr>
        <w:t>,</w:t>
      </w:r>
      <w:r w:rsidRPr="00EE77E5">
        <w:rPr>
          <w:color w:val="202020"/>
          <w:szCs w:val="22"/>
          <w:lang w:eastAsia="en-AU"/>
        </w:rPr>
        <w:t xml:space="preserve"> which have already halved the cost of many common PBS medicines for older people with an ongoing health condition</w:t>
      </w:r>
      <w:r w:rsidRPr="00EE77E5">
        <w:rPr>
          <w:color w:val="202020"/>
          <w:sz w:val="23"/>
          <w:szCs w:val="23"/>
          <w:lang w:eastAsia="en-AU"/>
        </w:rPr>
        <w:t>.</w:t>
      </w:r>
    </w:p>
    <w:p w14:paraId="4198D886" w14:textId="6FBEA0C6" w:rsidR="000517A3" w:rsidRPr="00EE77E5" w:rsidRDefault="000517A3" w:rsidP="008F210C">
      <w:r w:rsidRPr="00EE77E5">
        <w:t xml:space="preserve">Aged </w:t>
      </w:r>
      <w:r w:rsidR="00BA7B00" w:rsidRPr="00EE77E5">
        <w:t>c</w:t>
      </w:r>
      <w:r w:rsidRPr="00EE77E5">
        <w:t xml:space="preserve">are residents will also have convenient and affordable access to </w:t>
      </w:r>
      <w:r w:rsidR="00806BA4" w:rsidRPr="00EE77E5">
        <w:t>lifesaving vaccines with no out-</w:t>
      </w:r>
      <w:r w:rsidRPr="00EE77E5">
        <w:t>of</w:t>
      </w:r>
      <w:r w:rsidR="00806BA4" w:rsidRPr="00EE77E5">
        <w:t>-</w:t>
      </w:r>
      <w:r w:rsidRPr="00EE77E5">
        <w:t>pocket expenses through the National Immunisation Program Vaccinations in Pharmacy Program ($</w:t>
      </w:r>
      <w:r w:rsidR="00A35F62" w:rsidRPr="00EE77E5">
        <w:t>0.9</w:t>
      </w:r>
      <w:r w:rsidRPr="00EE77E5">
        <w:t xml:space="preserve"> million). For the first time, pharmacists will be funded to provide free flu and other National Immunisation Program vaccines at residential</w:t>
      </w:r>
      <w:r w:rsidRPr="00EE77E5">
        <w:rPr>
          <w:color w:val="1F497D"/>
        </w:rPr>
        <w:t xml:space="preserve"> </w:t>
      </w:r>
      <w:r w:rsidRPr="00EE77E5">
        <w:t>homes.</w:t>
      </w:r>
    </w:p>
    <w:p w14:paraId="1FB773DC" w14:textId="521758DA" w:rsidR="000517A3" w:rsidRPr="00EE77E5" w:rsidRDefault="000517A3" w:rsidP="008F210C">
      <w:r w:rsidRPr="00EE77E5">
        <w:t xml:space="preserve">Funding for residential aged care homes to engage an on-site pharmacist </w:t>
      </w:r>
      <w:r w:rsidR="00691BE8" w:rsidRPr="00EE77E5">
        <w:t xml:space="preserve">will </w:t>
      </w:r>
      <w:r w:rsidR="008F210C" w:rsidRPr="00EE77E5">
        <w:t>help to ensure</w:t>
      </w:r>
      <w:r w:rsidRPr="00EE77E5">
        <w:t xml:space="preserve"> residents get the safest and most appropriate medication.</w:t>
      </w:r>
    </w:p>
    <w:p w14:paraId="1AFFDDD0" w14:textId="4F763D80" w:rsidR="00E53B90" w:rsidRPr="00EE77E5" w:rsidRDefault="00E53B90" w:rsidP="008F210C">
      <w:pPr>
        <w:pStyle w:val="Boxheading"/>
      </w:pPr>
      <w:bookmarkStart w:id="0" w:name="_GoBack"/>
      <w:bookmarkEnd w:id="0"/>
      <w:r w:rsidRPr="00EE77E5">
        <w:t>Case study</w:t>
      </w:r>
    </w:p>
    <w:p w14:paraId="4409AA72" w14:textId="4B851240" w:rsidR="008945D7" w:rsidRPr="00EE77E5" w:rsidRDefault="00A5742F" w:rsidP="008F210C">
      <w:pPr>
        <w:pStyle w:val="Boxtype"/>
      </w:pPr>
      <w:proofErr w:type="spellStart"/>
      <w:r w:rsidRPr="00EE77E5">
        <w:t>E</w:t>
      </w:r>
      <w:r w:rsidR="00DD2352" w:rsidRPr="00EE77E5">
        <w:t>leni</w:t>
      </w:r>
      <w:proofErr w:type="spellEnd"/>
      <w:r w:rsidR="00DD2352" w:rsidRPr="00EE77E5">
        <w:t xml:space="preserve"> is 86</w:t>
      </w:r>
      <w:r w:rsidRPr="00EE77E5">
        <w:t xml:space="preserve"> and loves living in her town where she can visit the </w:t>
      </w:r>
      <w:r w:rsidR="001E6B9E" w:rsidRPr="00EE77E5">
        <w:t>local</w:t>
      </w:r>
      <w:r w:rsidRPr="00EE77E5">
        <w:t xml:space="preserve"> library, meet friends for coffee or pop down to the shops. </w:t>
      </w:r>
      <w:r w:rsidR="00D7212C" w:rsidRPr="00EE77E5">
        <w:t xml:space="preserve">Due to issues with her blood pressure, </w:t>
      </w:r>
      <w:proofErr w:type="spellStart"/>
      <w:r w:rsidR="008945D7" w:rsidRPr="00EE77E5">
        <w:t>Eleni</w:t>
      </w:r>
      <w:proofErr w:type="spellEnd"/>
      <w:r w:rsidR="008945D7" w:rsidRPr="00EE77E5">
        <w:t xml:space="preserve"> </w:t>
      </w:r>
      <w:r w:rsidR="00D7212C" w:rsidRPr="00EE77E5">
        <w:t xml:space="preserve">recently </w:t>
      </w:r>
      <w:r w:rsidR="008945D7" w:rsidRPr="00EE77E5">
        <w:t>had a fall</w:t>
      </w:r>
      <w:r w:rsidR="00D7212C" w:rsidRPr="00EE77E5">
        <w:t xml:space="preserve">, </w:t>
      </w:r>
      <w:r w:rsidR="00CF2C2E" w:rsidRPr="00EE77E5">
        <w:t xml:space="preserve">and </w:t>
      </w:r>
      <w:r w:rsidR="008945D7" w:rsidRPr="00EE77E5">
        <w:t xml:space="preserve">she is </w:t>
      </w:r>
      <w:r w:rsidR="00C13211" w:rsidRPr="00EE77E5">
        <w:t xml:space="preserve">now </w:t>
      </w:r>
      <w:r w:rsidR="008945D7" w:rsidRPr="00EE77E5">
        <w:t xml:space="preserve">finding it harder </w:t>
      </w:r>
      <w:r w:rsidR="00B622A8" w:rsidRPr="00EE77E5">
        <w:t xml:space="preserve">to </w:t>
      </w:r>
      <w:r w:rsidR="00D7212C" w:rsidRPr="00EE77E5">
        <w:t xml:space="preserve">walk and </w:t>
      </w:r>
      <w:r w:rsidR="008945D7" w:rsidRPr="00EE77E5">
        <w:t>to care for herself.</w:t>
      </w:r>
    </w:p>
    <w:p w14:paraId="2F075B54" w14:textId="6E6C0792" w:rsidR="00DD2352" w:rsidRPr="00EE77E5" w:rsidRDefault="008945D7" w:rsidP="008F210C">
      <w:pPr>
        <w:pStyle w:val="Boxtype"/>
      </w:pPr>
      <w:r w:rsidRPr="00EE77E5">
        <w:t>Thanks to additional</w:t>
      </w:r>
      <w:r w:rsidR="001E6B9E" w:rsidRPr="00EE77E5">
        <w:t xml:space="preserve"> Home Care Package</w:t>
      </w:r>
      <w:r w:rsidRPr="00EE77E5">
        <w:t xml:space="preserve">s, </w:t>
      </w:r>
      <w:proofErr w:type="spellStart"/>
      <w:r w:rsidRPr="00EE77E5">
        <w:t>Eleni</w:t>
      </w:r>
      <w:proofErr w:type="spellEnd"/>
      <w:r w:rsidRPr="00EE77E5">
        <w:t xml:space="preserve"> has been able to </w:t>
      </w:r>
      <w:r w:rsidR="004B4869" w:rsidRPr="00EE77E5">
        <w:t xml:space="preserve">more </w:t>
      </w:r>
      <w:r w:rsidRPr="00EE77E5">
        <w:t xml:space="preserve">quickly access the care she </w:t>
      </w:r>
      <w:r w:rsidR="001E6B9E" w:rsidRPr="00EE77E5">
        <w:t>needs in her</w:t>
      </w:r>
      <w:r w:rsidRPr="00EE77E5">
        <w:t xml:space="preserve"> own</w:t>
      </w:r>
      <w:r w:rsidR="001E6B9E" w:rsidRPr="00EE77E5">
        <w:t xml:space="preserve"> home. </w:t>
      </w:r>
      <w:proofErr w:type="spellStart"/>
      <w:r w:rsidRPr="00EE77E5">
        <w:t>Eleni’s</w:t>
      </w:r>
      <w:proofErr w:type="spellEnd"/>
      <w:r w:rsidR="00DD2352" w:rsidRPr="00EE77E5">
        <w:t xml:space="preserve"> personal care worker recently moved to the area</w:t>
      </w:r>
      <w:r w:rsidR="00957C96" w:rsidRPr="00EE77E5">
        <w:t xml:space="preserve"> </w:t>
      </w:r>
      <w:r w:rsidRPr="00EE77E5">
        <w:t>and</w:t>
      </w:r>
      <w:r w:rsidR="00957C96" w:rsidRPr="00EE77E5">
        <w:t xml:space="preserve"> is getting training in </w:t>
      </w:r>
      <w:r w:rsidR="00220C67" w:rsidRPr="00EE77E5">
        <w:t>mobility</w:t>
      </w:r>
      <w:r w:rsidR="00957C96" w:rsidRPr="00EE77E5">
        <w:t xml:space="preserve"> care</w:t>
      </w:r>
      <w:r w:rsidRPr="00EE77E5">
        <w:t xml:space="preserve">. </w:t>
      </w:r>
      <w:r w:rsidR="00C13211" w:rsidRPr="00EE77E5">
        <w:t>She</w:t>
      </w:r>
      <w:r w:rsidR="00957C96" w:rsidRPr="00EE77E5">
        <w:t xml:space="preserve"> helps </w:t>
      </w:r>
      <w:proofErr w:type="spellStart"/>
      <w:r w:rsidR="00957C96" w:rsidRPr="00EE77E5">
        <w:t>Eleni</w:t>
      </w:r>
      <w:proofErr w:type="spellEnd"/>
      <w:r w:rsidR="00957C96" w:rsidRPr="00EE77E5">
        <w:t xml:space="preserve"> </w:t>
      </w:r>
      <w:r w:rsidRPr="00EE77E5">
        <w:t>to get a</w:t>
      </w:r>
      <w:r w:rsidR="00957C96" w:rsidRPr="00EE77E5">
        <w:t xml:space="preserve"> </w:t>
      </w:r>
      <w:r w:rsidR="00220C67" w:rsidRPr="00EE77E5">
        <w:t>walker</w:t>
      </w:r>
      <w:r w:rsidRPr="00EE77E5">
        <w:t xml:space="preserve">, </w:t>
      </w:r>
      <w:r w:rsidR="00220C67" w:rsidRPr="00EE77E5">
        <w:t>m</w:t>
      </w:r>
      <w:r w:rsidRPr="00EE77E5">
        <w:t xml:space="preserve">aking it easier for </w:t>
      </w:r>
      <w:proofErr w:type="spellStart"/>
      <w:r w:rsidRPr="00EE77E5">
        <w:t>Eleni</w:t>
      </w:r>
      <w:proofErr w:type="spellEnd"/>
      <w:r w:rsidRPr="00EE77E5">
        <w:t xml:space="preserve"> to </w:t>
      </w:r>
      <w:r w:rsidR="00220C67" w:rsidRPr="00EE77E5">
        <w:t>continue her community social activities</w:t>
      </w:r>
      <w:r w:rsidR="00957C96" w:rsidRPr="00EE77E5">
        <w:t>.</w:t>
      </w:r>
    </w:p>
    <w:p w14:paraId="6871D817" w14:textId="77777777" w:rsidR="00EE77E5" w:rsidRPr="00EE77E5" w:rsidRDefault="001E6B9E" w:rsidP="008F210C">
      <w:pPr>
        <w:pStyle w:val="Boxtype"/>
        <w:rPr>
          <w:rFonts w:cs="Times New Roman"/>
          <w:noProof/>
          <w:color w:val="000000"/>
          <w:lang w:val="en-AU" w:eastAsia="en-AU"/>
        </w:rPr>
      </w:pPr>
      <w:proofErr w:type="spellStart"/>
      <w:r w:rsidRPr="00EE77E5">
        <w:t>Eleni</w:t>
      </w:r>
      <w:proofErr w:type="spellEnd"/>
      <w:r w:rsidRPr="00EE77E5">
        <w:t xml:space="preserve"> also gets assistance from her doctor </w:t>
      </w:r>
      <w:r w:rsidR="00DD2352" w:rsidRPr="00EE77E5">
        <w:t xml:space="preserve">through virtual care services to manage her blood pressure. She logs on through her phone while sitting at her kitchen table. </w:t>
      </w:r>
      <w:r w:rsidR="6AD9B5B9" w:rsidRPr="00EE77E5">
        <w:t xml:space="preserve">Her doctor agrees that </w:t>
      </w:r>
      <w:proofErr w:type="spellStart"/>
      <w:r w:rsidR="00DD2352" w:rsidRPr="00EE77E5">
        <w:t>Eleni</w:t>
      </w:r>
      <w:proofErr w:type="spellEnd"/>
      <w:r w:rsidR="00DD2352" w:rsidRPr="00EE77E5">
        <w:t xml:space="preserve"> </w:t>
      </w:r>
      <w:r w:rsidR="6AD9B5B9" w:rsidRPr="00EE77E5">
        <w:t>is now stable on</w:t>
      </w:r>
      <w:r w:rsidR="1BE7473F" w:rsidRPr="00EE77E5">
        <w:t xml:space="preserve"> her treatment and </w:t>
      </w:r>
      <w:r w:rsidR="0A82368E" w:rsidRPr="00EE77E5">
        <w:t xml:space="preserve">to continue her medication she </w:t>
      </w:r>
      <w:r w:rsidR="00DD2352" w:rsidRPr="00EE77E5">
        <w:t>gets a 60-day prescription</w:t>
      </w:r>
      <w:r w:rsidR="0A82368E" w:rsidRPr="00EE77E5">
        <w:t>,</w:t>
      </w:r>
      <w:r w:rsidR="00DD2352" w:rsidRPr="00EE77E5">
        <w:t xml:space="preserve"> which is cheaper on the PBS</w:t>
      </w:r>
      <w:r w:rsidR="00220C67" w:rsidRPr="00EE77E5">
        <w:t xml:space="preserve"> with her concession card</w:t>
      </w:r>
      <w:r w:rsidR="00DD2352" w:rsidRPr="00EE77E5">
        <w:t>.</w:t>
      </w:r>
      <w:r w:rsidR="003F49B8" w:rsidRPr="00EE77E5">
        <w:t xml:space="preserve"> The co-payment she pays for her medication won’t rise for up to 5 years thanks to the </w:t>
      </w:r>
      <w:r w:rsidR="00EE77E5" w:rsidRPr="00EE77E5">
        <w:t>freeze announced in the 2024–25 Budget.</w:t>
      </w:r>
      <w:r w:rsidR="00EE77E5" w:rsidRPr="00EE77E5">
        <w:rPr>
          <w:rFonts w:cs="Times New Roman"/>
          <w:noProof/>
          <w:color w:val="000000"/>
          <w:lang w:val="en-AU" w:eastAsia="en-AU"/>
        </w:rPr>
        <w:t xml:space="preserve"> </w:t>
      </w:r>
    </w:p>
    <w:p w14:paraId="1D107332" w14:textId="7B00CAD2" w:rsidR="001E6B9E" w:rsidRDefault="00EE77E5" w:rsidP="008F210C">
      <w:pPr>
        <w:pStyle w:val="Boxtype"/>
      </w:pPr>
      <w:r w:rsidRPr="00EE77E5">
        <w:rPr>
          <w:rFonts w:cs="Times New Roman"/>
          <w:noProof/>
          <w:color w:val="000000"/>
          <w:lang w:val="en-AU" w:eastAsia="en-AU"/>
        </w:rPr>
        <w:drawing>
          <wp:inline distT="0" distB="0" distL="0" distR="0" wp14:anchorId="787A061A" wp14:editId="3A4EDFEE">
            <wp:extent cx="3238500" cy="2249838"/>
            <wp:effectExtent l="0" t="0" r="0" b="0"/>
            <wp:docPr id="2" name="Picture 2" descr="cid:image001.jpg@01DAA3EC.C2799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AA3EC.C2799C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47782" cy="2325758"/>
                    </a:xfrm>
                    <a:prstGeom prst="rect">
                      <a:avLst/>
                    </a:prstGeom>
                    <a:noFill/>
                    <a:ln>
                      <a:noFill/>
                    </a:ln>
                  </pic:spPr>
                </pic:pic>
              </a:graphicData>
            </a:graphic>
          </wp:inline>
        </w:drawing>
      </w:r>
    </w:p>
    <w:p w14:paraId="6EDE7F2D" w14:textId="708E79EC" w:rsidR="001C7534" w:rsidRPr="00835C76" w:rsidRDefault="001C7534" w:rsidP="008F210C">
      <w:pPr>
        <w:pStyle w:val="ListParagraph"/>
        <w:ind w:left="360"/>
      </w:pPr>
    </w:p>
    <w:sectPr w:rsidR="001C7534" w:rsidRPr="00835C76" w:rsidSect="005B6085">
      <w:headerReference w:type="default" r:id="rId14"/>
      <w:footerReference w:type="default" r:id="rId1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B1BE" w14:textId="77777777" w:rsidR="00B73D39" w:rsidRDefault="00B73D39" w:rsidP="00934368">
      <w:r>
        <w:separator/>
      </w:r>
    </w:p>
    <w:p w14:paraId="3724A64F" w14:textId="77777777" w:rsidR="00B73D39" w:rsidRDefault="00B73D39" w:rsidP="00934368"/>
  </w:endnote>
  <w:endnote w:type="continuationSeparator" w:id="0">
    <w:p w14:paraId="4E26CCFD" w14:textId="77777777" w:rsidR="00B73D39" w:rsidRDefault="00B73D39" w:rsidP="00934368">
      <w:r>
        <w:continuationSeparator/>
      </w:r>
    </w:p>
    <w:p w14:paraId="4192F45B" w14:textId="77777777" w:rsidR="00B73D39" w:rsidRDefault="00B73D39" w:rsidP="00934368"/>
  </w:endnote>
  <w:endnote w:type="continuationNotice" w:id="1">
    <w:p w14:paraId="673ABA8E" w14:textId="77777777" w:rsidR="00B73D39" w:rsidRDefault="00B73D39"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E0A6" w14:textId="77777777" w:rsidR="00B73D39" w:rsidRDefault="00B73D39" w:rsidP="00934368">
    <w:pPr>
      <w:pStyle w:val="Footer"/>
    </w:pPr>
  </w:p>
  <w:p w14:paraId="07E9EB94" w14:textId="1C20186E" w:rsidR="00B73D39" w:rsidRPr="00751A23" w:rsidRDefault="00B73D39" w:rsidP="0093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8DFB" w14:textId="77777777" w:rsidR="00B73D39" w:rsidRDefault="00B73D39" w:rsidP="00934368">
      <w:r>
        <w:separator/>
      </w:r>
    </w:p>
    <w:p w14:paraId="2515AC47" w14:textId="77777777" w:rsidR="00B73D39" w:rsidRDefault="00B73D39" w:rsidP="00934368"/>
  </w:footnote>
  <w:footnote w:type="continuationSeparator" w:id="0">
    <w:p w14:paraId="5F89810D" w14:textId="77777777" w:rsidR="00B73D39" w:rsidRDefault="00B73D39" w:rsidP="00934368">
      <w:r>
        <w:continuationSeparator/>
      </w:r>
    </w:p>
    <w:p w14:paraId="3928B194" w14:textId="77777777" w:rsidR="00B73D39" w:rsidRDefault="00B73D39" w:rsidP="00934368"/>
  </w:footnote>
  <w:footnote w:type="continuationNotice" w:id="1">
    <w:p w14:paraId="25CF413D" w14:textId="77777777" w:rsidR="00B73D39" w:rsidRDefault="00B73D39"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6AFC" w14:textId="77777777" w:rsidR="00B73D39" w:rsidRDefault="00B73D39" w:rsidP="00934368">
    <w:pPr>
      <w:pStyle w:val="Header"/>
    </w:pPr>
    <w:r>
      <w:rPr>
        <w:noProof/>
        <w:lang w:eastAsia="en-AU"/>
      </w:rPr>
      <w:drawing>
        <wp:anchor distT="0" distB="0" distL="114300" distR="114300" simplePos="0" relativeHeight="251658240" behindDoc="1" locked="0" layoutInCell="1" allowOverlap="1" wp14:anchorId="5B680832" wp14:editId="7DCBDAF0">
          <wp:simplePos x="0" y="0"/>
          <wp:positionH relativeFrom="page">
            <wp:align>center</wp:align>
          </wp:positionH>
          <wp:positionV relativeFrom="page">
            <wp:align>center</wp:align>
          </wp:positionV>
          <wp:extent cx="7559245" cy="10684579"/>
          <wp:effectExtent l="0" t="0" r="3810" b="2540"/>
          <wp:wrapNone/>
          <wp:docPr id="3" name="Picture 3" descr="Austrliaan " title="Header/Footer">
            <a:extLst xmlns:a="http://schemas.openxmlformats.org/drawingml/2006/main">
              <a:ext uri="{C183D7F6-B498-43B3-948B-1728B52AA6E4}">
                <adec:decorative xmlns:pic="http://schemas.openxmlformats.org/drawingml/2006/pictur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845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80D4" w14:textId="109B1337" w:rsidR="00B73D39" w:rsidRDefault="00B73D39"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DD829C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6A10187"/>
    <w:multiLevelType w:val="hybridMultilevel"/>
    <w:tmpl w:val="B0B0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A60B31"/>
    <w:multiLevelType w:val="hybridMultilevel"/>
    <w:tmpl w:val="0BBA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B1F9A"/>
    <w:multiLevelType w:val="hybridMultilevel"/>
    <w:tmpl w:val="1F7C2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B77488"/>
    <w:multiLevelType w:val="hybridMultilevel"/>
    <w:tmpl w:val="C77A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EC3461"/>
    <w:multiLevelType w:val="hybridMultilevel"/>
    <w:tmpl w:val="4904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76C16"/>
    <w:multiLevelType w:val="hybridMultilevel"/>
    <w:tmpl w:val="3C108E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DD283F"/>
    <w:multiLevelType w:val="hybridMultilevel"/>
    <w:tmpl w:val="61C4FA1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63BE434E"/>
    <w:multiLevelType w:val="hybridMultilevel"/>
    <w:tmpl w:val="D24A1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75174"/>
    <w:multiLevelType w:val="hybridMultilevel"/>
    <w:tmpl w:val="34200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B6FB5"/>
    <w:multiLevelType w:val="hybridMultilevel"/>
    <w:tmpl w:val="8AE020E6"/>
    <w:lvl w:ilvl="0" w:tplc="FFFFFFFF">
      <w:start w:val="1"/>
      <w:numFmt w:val="bullet"/>
      <w:lvlText w:val=""/>
      <w:lvlJc w:val="left"/>
      <w:pPr>
        <w:ind w:left="720" w:hanging="360"/>
      </w:pPr>
      <w:rPr>
        <w:rFonts w:ascii="Symbol" w:hAnsi="Symbol" w:hint="default"/>
      </w:rPr>
    </w:lvl>
    <w:lvl w:ilvl="1" w:tplc="D7D232D8">
      <w:start w:val="1"/>
      <w:numFmt w:val="bullet"/>
      <w:lvlText w:val="o"/>
      <w:lvlJc w:val="left"/>
      <w:pPr>
        <w:ind w:left="1440" w:hanging="360"/>
      </w:pPr>
      <w:rPr>
        <w:rFonts w:ascii="Courier New" w:hAnsi="Courier New" w:hint="default"/>
      </w:rPr>
    </w:lvl>
    <w:lvl w:ilvl="2" w:tplc="FF04D694">
      <w:start w:val="1"/>
      <w:numFmt w:val="bullet"/>
      <w:lvlText w:val=""/>
      <w:lvlJc w:val="left"/>
      <w:pPr>
        <w:ind w:left="2160" w:hanging="360"/>
      </w:pPr>
      <w:rPr>
        <w:rFonts w:ascii="Wingdings" w:hAnsi="Wingdings" w:hint="default"/>
      </w:rPr>
    </w:lvl>
    <w:lvl w:ilvl="3" w:tplc="785A8DE8">
      <w:start w:val="1"/>
      <w:numFmt w:val="bullet"/>
      <w:lvlText w:val=""/>
      <w:lvlJc w:val="left"/>
      <w:pPr>
        <w:ind w:left="2880" w:hanging="360"/>
      </w:pPr>
      <w:rPr>
        <w:rFonts w:ascii="Symbol" w:hAnsi="Symbol" w:hint="default"/>
      </w:rPr>
    </w:lvl>
    <w:lvl w:ilvl="4" w:tplc="99D06A6A">
      <w:start w:val="1"/>
      <w:numFmt w:val="bullet"/>
      <w:lvlText w:val="o"/>
      <w:lvlJc w:val="left"/>
      <w:pPr>
        <w:ind w:left="3600" w:hanging="360"/>
      </w:pPr>
      <w:rPr>
        <w:rFonts w:ascii="Courier New" w:hAnsi="Courier New" w:hint="default"/>
      </w:rPr>
    </w:lvl>
    <w:lvl w:ilvl="5" w:tplc="C95A282A">
      <w:start w:val="1"/>
      <w:numFmt w:val="bullet"/>
      <w:lvlText w:val=""/>
      <w:lvlJc w:val="left"/>
      <w:pPr>
        <w:ind w:left="4320" w:hanging="360"/>
      </w:pPr>
      <w:rPr>
        <w:rFonts w:ascii="Wingdings" w:hAnsi="Wingdings" w:hint="default"/>
      </w:rPr>
    </w:lvl>
    <w:lvl w:ilvl="6" w:tplc="22AEF40E">
      <w:start w:val="1"/>
      <w:numFmt w:val="bullet"/>
      <w:lvlText w:val=""/>
      <w:lvlJc w:val="left"/>
      <w:pPr>
        <w:ind w:left="5040" w:hanging="360"/>
      </w:pPr>
      <w:rPr>
        <w:rFonts w:ascii="Symbol" w:hAnsi="Symbol" w:hint="default"/>
      </w:rPr>
    </w:lvl>
    <w:lvl w:ilvl="7" w:tplc="640209B6">
      <w:start w:val="1"/>
      <w:numFmt w:val="bullet"/>
      <w:lvlText w:val="o"/>
      <w:lvlJc w:val="left"/>
      <w:pPr>
        <w:ind w:left="5760" w:hanging="360"/>
      </w:pPr>
      <w:rPr>
        <w:rFonts w:ascii="Courier New" w:hAnsi="Courier New" w:hint="default"/>
      </w:rPr>
    </w:lvl>
    <w:lvl w:ilvl="8" w:tplc="FA5AF1BC">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6A72BD"/>
    <w:multiLevelType w:val="hybridMultilevel"/>
    <w:tmpl w:val="3B36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7"/>
  </w:num>
  <w:num w:numId="4">
    <w:abstractNumId w:val="8"/>
  </w:num>
  <w:num w:numId="5">
    <w:abstractNumId w:val="8"/>
    <w:lvlOverride w:ilvl="0">
      <w:startOverride w:val="1"/>
    </w:lvlOverride>
  </w:num>
  <w:num w:numId="6">
    <w:abstractNumId w:val="9"/>
  </w:num>
  <w:num w:numId="7">
    <w:abstractNumId w:val="15"/>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0"/>
  </w:num>
  <w:num w:numId="18">
    <w:abstractNumId w:val="11"/>
  </w:num>
  <w:num w:numId="19">
    <w:abstractNumId w:val="12"/>
  </w:num>
  <w:num w:numId="20">
    <w:abstractNumId w:val="10"/>
  </w:num>
  <w:num w:numId="21">
    <w:abstractNumId w:val="12"/>
  </w:num>
  <w:num w:numId="22">
    <w:abstractNumId w:val="29"/>
  </w:num>
  <w:num w:numId="23">
    <w:abstractNumId w:val="18"/>
  </w:num>
  <w:num w:numId="24">
    <w:abstractNumId w:val="27"/>
  </w:num>
  <w:num w:numId="25">
    <w:abstractNumId w:val="8"/>
  </w:num>
  <w:num w:numId="26">
    <w:abstractNumId w:val="16"/>
  </w:num>
  <w:num w:numId="27">
    <w:abstractNumId w:val="24"/>
  </w:num>
  <w:num w:numId="28">
    <w:abstractNumId w:val="14"/>
  </w:num>
  <w:num w:numId="29">
    <w:abstractNumId w:val="20"/>
  </w:num>
  <w:num w:numId="30">
    <w:abstractNumId w:val="21"/>
  </w:num>
  <w:num w:numId="31">
    <w:abstractNumId w:val="19"/>
  </w:num>
  <w:num w:numId="32">
    <w:abstractNumId w:val="13"/>
  </w:num>
  <w:num w:numId="33">
    <w:abstractNumId w:val="17"/>
  </w:num>
  <w:num w:numId="34">
    <w:abstractNumId w:val="23"/>
  </w:num>
  <w:num w:numId="35">
    <w:abstractNumId w:val="22"/>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revisionView w:markup="0"/>
  <w:documentProtection w:formatting="1" w:enforcement="0"/>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0C"/>
    <w:rsid w:val="000006BA"/>
    <w:rsid w:val="00001F41"/>
    <w:rsid w:val="00003743"/>
    <w:rsid w:val="000047B4"/>
    <w:rsid w:val="00005712"/>
    <w:rsid w:val="00007FD8"/>
    <w:rsid w:val="000117F8"/>
    <w:rsid w:val="00011B5C"/>
    <w:rsid w:val="00017129"/>
    <w:rsid w:val="0002258B"/>
    <w:rsid w:val="00026139"/>
    <w:rsid w:val="000262CC"/>
    <w:rsid w:val="00026605"/>
    <w:rsid w:val="00026E5F"/>
    <w:rsid w:val="00027071"/>
    <w:rsid w:val="00027601"/>
    <w:rsid w:val="00033321"/>
    <w:rsid w:val="000338E5"/>
    <w:rsid w:val="00033ECC"/>
    <w:rsid w:val="0003422F"/>
    <w:rsid w:val="00046FF0"/>
    <w:rsid w:val="00047920"/>
    <w:rsid w:val="00050176"/>
    <w:rsid w:val="000517A3"/>
    <w:rsid w:val="00061915"/>
    <w:rsid w:val="00062B65"/>
    <w:rsid w:val="0006372A"/>
    <w:rsid w:val="00063B15"/>
    <w:rsid w:val="00067456"/>
    <w:rsid w:val="00071506"/>
    <w:rsid w:val="0007154F"/>
    <w:rsid w:val="00075CDF"/>
    <w:rsid w:val="00077706"/>
    <w:rsid w:val="00081AB1"/>
    <w:rsid w:val="00083124"/>
    <w:rsid w:val="00090316"/>
    <w:rsid w:val="00093981"/>
    <w:rsid w:val="00093CD9"/>
    <w:rsid w:val="000B067A"/>
    <w:rsid w:val="000B1540"/>
    <w:rsid w:val="000B33FD"/>
    <w:rsid w:val="000B3E43"/>
    <w:rsid w:val="000B4ABA"/>
    <w:rsid w:val="000C0E96"/>
    <w:rsid w:val="000C4B16"/>
    <w:rsid w:val="000C50C3"/>
    <w:rsid w:val="000D20D2"/>
    <w:rsid w:val="000D21F6"/>
    <w:rsid w:val="000D42C3"/>
    <w:rsid w:val="000D4500"/>
    <w:rsid w:val="000D7AEA"/>
    <w:rsid w:val="000E01A9"/>
    <w:rsid w:val="000E2C66"/>
    <w:rsid w:val="000E6E7D"/>
    <w:rsid w:val="000F123C"/>
    <w:rsid w:val="000F29A1"/>
    <w:rsid w:val="000F2FED"/>
    <w:rsid w:val="0010616D"/>
    <w:rsid w:val="00106560"/>
    <w:rsid w:val="00110478"/>
    <w:rsid w:val="0011711B"/>
    <w:rsid w:val="00117F8A"/>
    <w:rsid w:val="00121B9B"/>
    <w:rsid w:val="00122ADC"/>
    <w:rsid w:val="001270A3"/>
    <w:rsid w:val="00130548"/>
    <w:rsid w:val="00130F59"/>
    <w:rsid w:val="00133EC0"/>
    <w:rsid w:val="001365A9"/>
    <w:rsid w:val="00141CE5"/>
    <w:rsid w:val="00144908"/>
    <w:rsid w:val="0015034B"/>
    <w:rsid w:val="001571C7"/>
    <w:rsid w:val="00161094"/>
    <w:rsid w:val="00162177"/>
    <w:rsid w:val="001676F5"/>
    <w:rsid w:val="00172A55"/>
    <w:rsid w:val="0017433E"/>
    <w:rsid w:val="001756FF"/>
    <w:rsid w:val="001758CD"/>
    <w:rsid w:val="0017665C"/>
    <w:rsid w:val="00177AD2"/>
    <w:rsid w:val="001815A8"/>
    <w:rsid w:val="001840FA"/>
    <w:rsid w:val="00185BF7"/>
    <w:rsid w:val="00190079"/>
    <w:rsid w:val="0019622E"/>
    <w:rsid w:val="001966A7"/>
    <w:rsid w:val="001A4627"/>
    <w:rsid w:val="001A4979"/>
    <w:rsid w:val="001B15D3"/>
    <w:rsid w:val="001B3443"/>
    <w:rsid w:val="001B4486"/>
    <w:rsid w:val="001C007A"/>
    <w:rsid w:val="001C0326"/>
    <w:rsid w:val="001C192F"/>
    <w:rsid w:val="001C3C42"/>
    <w:rsid w:val="001C7534"/>
    <w:rsid w:val="001D0A60"/>
    <w:rsid w:val="001D7869"/>
    <w:rsid w:val="001E6B9E"/>
    <w:rsid w:val="001F2F78"/>
    <w:rsid w:val="002026CD"/>
    <w:rsid w:val="002033FC"/>
    <w:rsid w:val="002044BB"/>
    <w:rsid w:val="00205F7C"/>
    <w:rsid w:val="00210B09"/>
    <w:rsid w:val="00210C9E"/>
    <w:rsid w:val="00211840"/>
    <w:rsid w:val="00215113"/>
    <w:rsid w:val="00220C67"/>
    <w:rsid w:val="00220E5F"/>
    <w:rsid w:val="002212B5"/>
    <w:rsid w:val="002253AA"/>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16BD"/>
    <w:rsid w:val="00295AF2"/>
    <w:rsid w:val="00295C91"/>
    <w:rsid w:val="00297151"/>
    <w:rsid w:val="002A0910"/>
    <w:rsid w:val="002A65DF"/>
    <w:rsid w:val="002A6A1D"/>
    <w:rsid w:val="002B1B6A"/>
    <w:rsid w:val="002B20E6"/>
    <w:rsid w:val="002B42A3"/>
    <w:rsid w:val="002C0CDD"/>
    <w:rsid w:val="002D7641"/>
    <w:rsid w:val="002E1A1D"/>
    <w:rsid w:val="002E4081"/>
    <w:rsid w:val="002E4F57"/>
    <w:rsid w:val="002E5B78"/>
    <w:rsid w:val="002F3AE3"/>
    <w:rsid w:val="002F4F8E"/>
    <w:rsid w:val="002F6A80"/>
    <w:rsid w:val="0030257C"/>
    <w:rsid w:val="0030464B"/>
    <w:rsid w:val="0030548A"/>
    <w:rsid w:val="0030786C"/>
    <w:rsid w:val="003233DE"/>
    <w:rsid w:val="0032466B"/>
    <w:rsid w:val="00327B44"/>
    <w:rsid w:val="003330EB"/>
    <w:rsid w:val="003339CE"/>
    <w:rsid w:val="00336605"/>
    <w:rsid w:val="003415FD"/>
    <w:rsid w:val="003429F0"/>
    <w:rsid w:val="0034418C"/>
    <w:rsid w:val="0035097A"/>
    <w:rsid w:val="003540A4"/>
    <w:rsid w:val="00360E4E"/>
    <w:rsid w:val="00370AAA"/>
    <w:rsid w:val="00375F77"/>
    <w:rsid w:val="00377A78"/>
    <w:rsid w:val="00381BBE"/>
    <w:rsid w:val="00382903"/>
    <w:rsid w:val="003846FF"/>
    <w:rsid w:val="00385AD4"/>
    <w:rsid w:val="00387924"/>
    <w:rsid w:val="003917B6"/>
    <w:rsid w:val="0039384D"/>
    <w:rsid w:val="00395C23"/>
    <w:rsid w:val="003A2E4F"/>
    <w:rsid w:val="003A4438"/>
    <w:rsid w:val="003A5013"/>
    <w:rsid w:val="003A5078"/>
    <w:rsid w:val="003A62DD"/>
    <w:rsid w:val="003A775A"/>
    <w:rsid w:val="003B0DAB"/>
    <w:rsid w:val="003B1710"/>
    <w:rsid w:val="003B213A"/>
    <w:rsid w:val="003B2D0C"/>
    <w:rsid w:val="003B43AD"/>
    <w:rsid w:val="003B4EC8"/>
    <w:rsid w:val="003B76F7"/>
    <w:rsid w:val="003C0FEC"/>
    <w:rsid w:val="003C15B8"/>
    <w:rsid w:val="003C2AC8"/>
    <w:rsid w:val="003C46A6"/>
    <w:rsid w:val="003C5B6C"/>
    <w:rsid w:val="003C78B2"/>
    <w:rsid w:val="003D17F9"/>
    <w:rsid w:val="003D2D88"/>
    <w:rsid w:val="003D41EA"/>
    <w:rsid w:val="003D4850"/>
    <w:rsid w:val="003D535A"/>
    <w:rsid w:val="003E5265"/>
    <w:rsid w:val="003F0955"/>
    <w:rsid w:val="003F0FC0"/>
    <w:rsid w:val="003F49B8"/>
    <w:rsid w:val="003F6FE1"/>
    <w:rsid w:val="00400F00"/>
    <w:rsid w:val="00404F8B"/>
    <w:rsid w:val="00405256"/>
    <w:rsid w:val="004064C0"/>
    <w:rsid w:val="00410031"/>
    <w:rsid w:val="004115A2"/>
    <w:rsid w:val="00415C81"/>
    <w:rsid w:val="00416731"/>
    <w:rsid w:val="00424EA9"/>
    <w:rsid w:val="0042727C"/>
    <w:rsid w:val="00432378"/>
    <w:rsid w:val="00440D65"/>
    <w:rsid w:val="004435E6"/>
    <w:rsid w:val="00444C1E"/>
    <w:rsid w:val="00447E31"/>
    <w:rsid w:val="00453923"/>
    <w:rsid w:val="00454B9B"/>
    <w:rsid w:val="00457858"/>
    <w:rsid w:val="00460B0B"/>
    <w:rsid w:val="00461023"/>
    <w:rsid w:val="00462FAC"/>
    <w:rsid w:val="00464631"/>
    <w:rsid w:val="00464B79"/>
    <w:rsid w:val="00467BBF"/>
    <w:rsid w:val="0047394C"/>
    <w:rsid w:val="004800F1"/>
    <w:rsid w:val="004867E2"/>
    <w:rsid w:val="004929A9"/>
    <w:rsid w:val="00492BC6"/>
    <w:rsid w:val="004A51E0"/>
    <w:rsid w:val="004B2CD0"/>
    <w:rsid w:val="004B4869"/>
    <w:rsid w:val="004C2FEC"/>
    <w:rsid w:val="004C6BCF"/>
    <w:rsid w:val="004C794B"/>
    <w:rsid w:val="004D58BF"/>
    <w:rsid w:val="004D5EAF"/>
    <w:rsid w:val="004E1415"/>
    <w:rsid w:val="004E4335"/>
    <w:rsid w:val="004E5ACF"/>
    <w:rsid w:val="004F13EE"/>
    <w:rsid w:val="004F2022"/>
    <w:rsid w:val="004F7C05"/>
    <w:rsid w:val="00501C94"/>
    <w:rsid w:val="00506432"/>
    <w:rsid w:val="00507B25"/>
    <w:rsid w:val="0051242B"/>
    <w:rsid w:val="005156DD"/>
    <w:rsid w:val="0052051D"/>
    <w:rsid w:val="00521139"/>
    <w:rsid w:val="00523E6D"/>
    <w:rsid w:val="00526497"/>
    <w:rsid w:val="00545EE6"/>
    <w:rsid w:val="00550F02"/>
    <w:rsid w:val="00551066"/>
    <w:rsid w:val="005550E7"/>
    <w:rsid w:val="005564FB"/>
    <w:rsid w:val="005572C7"/>
    <w:rsid w:val="0056149C"/>
    <w:rsid w:val="005650ED"/>
    <w:rsid w:val="00575754"/>
    <w:rsid w:val="00580833"/>
    <w:rsid w:val="00585B66"/>
    <w:rsid w:val="00587976"/>
    <w:rsid w:val="00591E20"/>
    <w:rsid w:val="00595408"/>
    <w:rsid w:val="00595E84"/>
    <w:rsid w:val="00597D79"/>
    <w:rsid w:val="005A0C59"/>
    <w:rsid w:val="005A48EB"/>
    <w:rsid w:val="005A6CFB"/>
    <w:rsid w:val="005A7E94"/>
    <w:rsid w:val="005B6085"/>
    <w:rsid w:val="005B6B02"/>
    <w:rsid w:val="005C5AEB"/>
    <w:rsid w:val="005E0A3F"/>
    <w:rsid w:val="005E6883"/>
    <w:rsid w:val="005E6DC4"/>
    <w:rsid w:val="005E772F"/>
    <w:rsid w:val="005F4ECA"/>
    <w:rsid w:val="00603ABE"/>
    <w:rsid w:val="006041BE"/>
    <w:rsid w:val="006043C7"/>
    <w:rsid w:val="00624B52"/>
    <w:rsid w:val="00631DF4"/>
    <w:rsid w:val="00634175"/>
    <w:rsid w:val="006408AC"/>
    <w:rsid w:val="00643282"/>
    <w:rsid w:val="006459CB"/>
    <w:rsid w:val="006511B6"/>
    <w:rsid w:val="00652742"/>
    <w:rsid w:val="00653E7C"/>
    <w:rsid w:val="00657FF8"/>
    <w:rsid w:val="0066751E"/>
    <w:rsid w:val="00670D99"/>
    <w:rsid w:val="00670E2B"/>
    <w:rsid w:val="00672124"/>
    <w:rsid w:val="00672743"/>
    <w:rsid w:val="006734BB"/>
    <w:rsid w:val="00674706"/>
    <w:rsid w:val="00676AA2"/>
    <w:rsid w:val="00681A34"/>
    <w:rsid w:val="006821EB"/>
    <w:rsid w:val="0068353C"/>
    <w:rsid w:val="00691BE8"/>
    <w:rsid w:val="006A026B"/>
    <w:rsid w:val="006A5D1D"/>
    <w:rsid w:val="006B2286"/>
    <w:rsid w:val="006B56BB"/>
    <w:rsid w:val="006B685F"/>
    <w:rsid w:val="006C2690"/>
    <w:rsid w:val="006C50D1"/>
    <w:rsid w:val="006C56A4"/>
    <w:rsid w:val="006C77A8"/>
    <w:rsid w:val="006D3E09"/>
    <w:rsid w:val="006D4098"/>
    <w:rsid w:val="006D4F57"/>
    <w:rsid w:val="006D7681"/>
    <w:rsid w:val="006D7B2E"/>
    <w:rsid w:val="006E02EA"/>
    <w:rsid w:val="006E0968"/>
    <w:rsid w:val="006E2AF6"/>
    <w:rsid w:val="006E2F65"/>
    <w:rsid w:val="006E3605"/>
    <w:rsid w:val="006F583A"/>
    <w:rsid w:val="00701275"/>
    <w:rsid w:val="00707F56"/>
    <w:rsid w:val="00712C42"/>
    <w:rsid w:val="00713558"/>
    <w:rsid w:val="00720D08"/>
    <w:rsid w:val="007263B9"/>
    <w:rsid w:val="007334F8"/>
    <w:rsid w:val="007339CD"/>
    <w:rsid w:val="00734451"/>
    <w:rsid w:val="00734C59"/>
    <w:rsid w:val="007359D8"/>
    <w:rsid w:val="007362D4"/>
    <w:rsid w:val="00740F8B"/>
    <w:rsid w:val="00744166"/>
    <w:rsid w:val="00751A23"/>
    <w:rsid w:val="0076672A"/>
    <w:rsid w:val="00775E45"/>
    <w:rsid w:val="00776AA3"/>
    <w:rsid w:val="00776E74"/>
    <w:rsid w:val="007828B4"/>
    <w:rsid w:val="007844D7"/>
    <w:rsid w:val="00785169"/>
    <w:rsid w:val="0079062B"/>
    <w:rsid w:val="00793C42"/>
    <w:rsid w:val="007942EA"/>
    <w:rsid w:val="007954AB"/>
    <w:rsid w:val="007A14C5"/>
    <w:rsid w:val="007A3E38"/>
    <w:rsid w:val="007A4A10"/>
    <w:rsid w:val="007A54CF"/>
    <w:rsid w:val="007B1760"/>
    <w:rsid w:val="007B343F"/>
    <w:rsid w:val="007B37AE"/>
    <w:rsid w:val="007B3D03"/>
    <w:rsid w:val="007C6D9C"/>
    <w:rsid w:val="007C7DDB"/>
    <w:rsid w:val="007D2CC7"/>
    <w:rsid w:val="007D52C9"/>
    <w:rsid w:val="007D673D"/>
    <w:rsid w:val="007F2220"/>
    <w:rsid w:val="007F4B3E"/>
    <w:rsid w:val="007F588A"/>
    <w:rsid w:val="00806BA4"/>
    <w:rsid w:val="008127AF"/>
    <w:rsid w:val="00812B46"/>
    <w:rsid w:val="0081474C"/>
    <w:rsid w:val="00815700"/>
    <w:rsid w:val="00817B70"/>
    <w:rsid w:val="008264EB"/>
    <w:rsid w:val="00826B8F"/>
    <w:rsid w:val="00831E8A"/>
    <w:rsid w:val="00835C76"/>
    <w:rsid w:val="00842803"/>
    <w:rsid w:val="00843049"/>
    <w:rsid w:val="0085209B"/>
    <w:rsid w:val="00856B66"/>
    <w:rsid w:val="00861A5F"/>
    <w:rsid w:val="00862499"/>
    <w:rsid w:val="008644AD"/>
    <w:rsid w:val="00865735"/>
    <w:rsid w:val="00865DDB"/>
    <w:rsid w:val="00867538"/>
    <w:rsid w:val="00873912"/>
    <w:rsid w:val="00873D90"/>
    <w:rsid w:val="00873FC8"/>
    <w:rsid w:val="00882E2E"/>
    <w:rsid w:val="0088469C"/>
    <w:rsid w:val="00884C63"/>
    <w:rsid w:val="00885908"/>
    <w:rsid w:val="008864B7"/>
    <w:rsid w:val="00887D7D"/>
    <w:rsid w:val="00887FEE"/>
    <w:rsid w:val="0089211C"/>
    <w:rsid w:val="008945D7"/>
    <w:rsid w:val="0089677E"/>
    <w:rsid w:val="00896E8C"/>
    <w:rsid w:val="008A7438"/>
    <w:rsid w:val="008B1334"/>
    <w:rsid w:val="008C00DC"/>
    <w:rsid w:val="008C0278"/>
    <w:rsid w:val="008C163E"/>
    <w:rsid w:val="008C24E9"/>
    <w:rsid w:val="008D0533"/>
    <w:rsid w:val="008D25E4"/>
    <w:rsid w:val="008D42CB"/>
    <w:rsid w:val="008D48C9"/>
    <w:rsid w:val="008D5B79"/>
    <w:rsid w:val="008D6381"/>
    <w:rsid w:val="008E0C77"/>
    <w:rsid w:val="008E4E86"/>
    <w:rsid w:val="008E625F"/>
    <w:rsid w:val="008F210C"/>
    <w:rsid w:val="008F264D"/>
    <w:rsid w:val="0090516E"/>
    <w:rsid w:val="009074E1"/>
    <w:rsid w:val="009112F7"/>
    <w:rsid w:val="009122AF"/>
    <w:rsid w:val="009127BC"/>
    <w:rsid w:val="00912D54"/>
    <w:rsid w:val="0091389F"/>
    <w:rsid w:val="009208F7"/>
    <w:rsid w:val="00922517"/>
    <w:rsid w:val="00922722"/>
    <w:rsid w:val="009261E6"/>
    <w:rsid w:val="009268E1"/>
    <w:rsid w:val="009274B0"/>
    <w:rsid w:val="00934368"/>
    <w:rsid w:val="00937714"/>
    <w:rsid w:val="00943E28"/>
    <w:rsid w:val="00945E7F"/>
    <w:rsid w:val="009557C1"/>
    <w:rsid w:val="00957C96"/>
    <w:rsid w:val="00960D6E"/>
    <w:rsid w:val="00972BC1"/>
    <w:rsid w:val="00974B59"/>
    <w:rsid w:val="009828C3"/>
    <w:rsid w:val="0098340B"/>
    <w:rsid w:val="00985D65"/>
    <w:rsid w:val="00986830"/>
    <w:rsid w:val="009924C3"/>
    <w:rsid w:val="00993102"/>
    <w:rsid w:val="009A4F7B"/>
    <w:rsid w:val="009C4A39"/>
    <w:rsid w:val="009C6F10"/>
    <w:rsid w:val="009D148F"/>
    <w:rsid w:val="009D28E8"/>
    <w:rsid w:val="009D36A5"/>
    <w:rsid w:val="009D3D70"/>
    <w:rsid w:val="009E5434"/>
    <w:rsid w:val="009E6F7E"/>
    <w:rsid w:val="009E7A57"/>
    <w:rsid w:val="009F4F6A"/>
    <w:rsid w:val="009F53B8"/>
    <w:rsid w:val="00A04084"/>
    <w:rsid w:val="00A16E36"/>
    <w:rsid w:val="00A226F6"/>
    <w:rsid w:val="00A24961"/>
    <w:rsid w:val="00A24B10"/>
    <w:rsid w:val="00A30E9B"/>
    <w:rsid w:val="00A35F62"/>
    <w:rsid w:val="00A4512D"/>
    <w:rsid w:val="00A50244"/>
    <w:rsid w:val="00A56F17"/>
    <w:rsid w:val="00A5742F"/>
    <w:rsid w:val="00A6260C"/>
    <w:rsid w:val="00A627D7"/>
    <w:rsid w:val="00A656C7"/>
    <w:rsid w:val="00A705AF"/>
    <w:rsid w:val="00A70AE3"/>
    <w:rsid w:val="00A72454"/>
    <w:rsid w:val="00A74345"/>
    <w:rsid w:val="00A77696"/>
    <w:rsid w:val="00A7790E"/>
    <w:rsid w:val="00A80557"/>
    <w:rsid w:val="00A81D33"/>
    <w:rsid w:val="00A930AE"/>
    <w:rsid w:val="00AA1A95"/>
    <w:rsid w:val="00AA260F"/>
    <w:rsid w:val="00AA326A"/>
    <w:rsid w:val="00AA514B"/>
    <w:rsid w:val="00AB1EE7"/>
    <w:rsid w:val="00AB20D3"/>
    <w:rsid w:val="00AB3D92"/>
    <w:rsid w:val="00AB4B37"/>
    <w:rsid w:val="00AB5762"/>
    <w:rsid w:val="00AC2679"/>
    <w:rsid w:val="00AC4BE4"/>
    <w:rsid w:val="00AC530A"/>
    <w:rsid w:val="00AC6BF9"/>
    <w:rsid w:val="00AD05E6"/>
    <w:rsid w:val="00AD0D3F"/>
    <w:rsid w:val="00AD1C5A"/>
    <w:rsid w:val="00AD6AC3"/>
    <w:rsid w:val="00AE1D7D"/>
    <w:rsid w:val="00AE2A8B"/>
    <w:rsid w:val="00AE3F64"/>
    <w:rsid w:val="00AE640A"/>
    <w:rsid w:val="00AF7386"/>
    <w:rsid w:val="00AF7934"/>
    <w:rsid w:val="00B00B81"/>
    <w:rsid w:val="00B04580"/>
    <w:rsid w:val="00B04B09"/>
    <w:rsid w:val="00B108D1"/>
    <w:rsid w:val="00B16A51"/>
    <w:rsid w:val="00B25440"/>
    <w:rsid w:val="00B32222"/>
    <w:rsid w:val="00B3618D"/>
    <w:rsid w:val="00B3622A"/>
    <w:rsid w:val="00B36233"/>
    <w:rsid w:val="00B40D33"/>
    <w:rsid w:val="00B42851"/>
    <w:rsid w:val="00B45AC7"/>
    <w:rsid w:val="00B5372F"/>
    <w:rsid w:val="00B5741E"/>
    <w:rsid w:val="00B61129"/>
    <w:rsid w:val="00B622A8"/>
    <w:rsid w:val="00B64A3D"/>
    <w:rsid w:val="00B66253"/>
    <w:rsid w:val="00B67E7F"/>
    <w:rsid w:val="00B70B32"/>
    <w:rsid w:val="00B73D39"/>
    <w:rsid w:val="00B75A04"/>
    <w:rsid w:val="00B839B2"/>
    <w:rsid w:val="00B94252"/>
    <w:rsid w:val="00B9600C"/>
    <w:rsid w:val="00B9715A"/>
    <w:rsid w:val="00BA14BE"/>
    <w:rsid w:val="00BA2732"/>
    <w:rsid w:val="00BA293D"/>
    <w:rsid w:val="00BA49BC"/>
    <w:rsid w:val="00BA56B7"/>
    <w:rsid w:val="00BA7A1E"/>
    <w:rsid w:val="00BA7B00"/>
    <w:rsid w:val="00BA7CA9"/>
    <w:rsid w:val="00BB10B7"/>
    <w:rsid w:val="00BB2F6C"/>
    <w:rsid w:val="00BB3875"/>
    <w:rsid w:val="00BB5860"/>
    <w:rsid w:val="00BB664D"/>
    <w:rsid w:val="00BB6AAD"/>
    <w:rsid w:val="00BC0F4C"/>
    <w:rsid w:val="00BC4A19"/>
    <w:rsid w:val="00BC4E6D"/>
    <w:rsid w:val="00BD0617"/>
    <w:rsid w:val="00BD2E9B"/>
    <w:rsid w:val="00BE3121"/>
    <w:rsid w:val="00BF7A9E"/>
    <w:rsid w:val="00BF7AD7"/>
    <w:rsid w:val="00C00930"/>
    <w:rsid w:val="00C060AD"/>
    <w:rsid w:val="00C0670D"/>
    <w:rsid w:val="00C113BF"/>
    <w:rsid w:val="00C13211"/>
    <w:rsid w:val="00C2176E"/>
    <w:rsid w:val="00C23430"/>
    <w:rsid w:val="00C2432C"/>
    <w:rsid w:val="00C27D67"/>
    <w:rsid w:val="00C33833"/>
    <w:rsid w:val="00C4211D"/>
    <w:rsid w:val="00C45182"/>
    <w:rsid w:val="00C4631F"/>
    <w:rsid w:val="00C4770C"/>
    <w:rsid w:val="00C50E16"/>
    <w:rsid w:val="00C55258"/>
    <w:rsid w:val="00C60751"/>
    <w:rsid w:val="00C70AA4"/>
    <w:rsid w:val="00C82EEB"/>
    <w:rsid w:val="00C91E5B"/>
    <w:rsid w:val="00C971DC"/>
    <w:rsid w:val="00CA16B7"/>
    <w:rsid w:val="00CA4BE3"/>
    <w:rsid w:val="00CA62AE"/>
    <w:rsid w:val="00CB5B1A"/>
    <w:rsid w:val="00CC0C45"/>
    <w:rsid w:val="00CC220B"/>
    <w:rsid w:val="00CC5C43"/>
    <w:rsid w:val="00CD02AE"/>
    <w:rsid w:val="00CD03A2"/>
    <w:rsid w:val="00CD2A4F"/>
    <w:rsid w:val="00CE03CA"/>
    <w:rsid w:val="00CE22F1"/>
    <w:rsid w:val="00CE50F2"/>
    <w:rsid w:val="00CE6502"/>
    <w:rsid w:val="00CF2C2E"/>
    <w:rsid w:val="00CF7D3C"/>
    <w:rsid w:val="00D026A6"/>
    <w:rsid w:val="00D03933"/>
    <w:rsid w:val="00D147EB"/>
    <w:rsid w:val="00D21117"/>
    <w:rsid w:val="00D252CB"/>
    <w:rsid w:val="00D34667"/>
    <w:rsid w:val="00D401E1"/>
    <w:rsid w:val="00D408B4"/>
    <w:rsid w:val="00D423B1"/>
    <w:rsid w:val="00D45D94"/>
    <w:rsid w:val="00D524C8"/>
    <w:rsid w:val="00D60E25"/>
    <w:rsid w:val="00D652A9"/>
    <w:rsid w:val="00D70E24"/>
    <w:rsid w:val="00D71CA2"/>
    <w:rsid w:val="00D7212C"/>
    <w:rsid w:val="00D72B61"/>
    <w:rsid w:val="00D74B4D"/>
    <w:rsid w:val="00D80A17"/>
    <w:rsid w:val="00D86D34"/>
    <w:rsid w:val="00DA17FA"/>
    <w:rsid w:val="00DA2DCF"/>
    <w:rsid w:val="00DA3D1D"/>
    <w:rsid w:val="00DB0138"/>
    <w:rsid w:val="00DB2E44"/>
    <w:rsid w:val="00DB6286"/>
    <w:rsid w:val="00DB645F"/>
    <w:rsid w:val="00DB76E9"/>
    <w:rsid w:val="00DC0A67"/>
    <w:rsid w:val="00DC1D5E"/>
    <w:rsid w:val="00DC2313"/>
    <w:rsid w:val="00DC340A"/>
    <w:rsid w:val="00DC5220"/>
    <w:rsid w:val="00DC7910"/>
    <w:rsid w:val="00DD2061"/>
    <w:rsid w:val="00DD2352"/>
    <w:rsid w:val="00DD6F08"/>
    <w:rsid w:val="00DD7DAB"/>
    <w:rsid w:val="00DE3355"/>
    <w:rsid w:val="00DF486F"/>
    <w:rsid w:val="00DF5B5B"/>
    <w:rsid w:val="00DF7619"/>
    <w:rsid w:val="00E042D8"/>
    <w:rsid w:val="00E07EE7"/>
    <w:rsid w:val="00E1103B"/>
    <w:rsid w:val="00E14113"/>
    <w:rsid w:val="00E14FFD"/>
    <w:rsid w:val="00E17B44"/>
    <w:rsid w:val="00E26F50"/>
    <w:rsid w:val="00E26FEF"/>
    <w:rsid w:val="00E27EB3"/>
    <w:rsid w:val="00E27FEA"/>
    <w:rsid w:val="00E32096"/>
    <w:rsid w:val="00E356BD"/>
    <w:rsid w:val="00E36EEA"/>
    <w:rsid w:val="00E4086F"/>
    <w:rsid w:val="00E43B3C"/>
    <w:rsid w:val="00E50188"/>
    <w:rsid w:val="00E515CB"/>
    <w:rsid w:val="00E52260"/>
    <w:rsid w:val="00E53B90"/>
    <w:rsid w:val="00E639B6"/>
    <w:rsid w:val="00E6434B"/>
    <w:rsid w:val="00E6463D"/>
    <w:rsid w:val="00E72E9B"/>
    <w:rsid w:val="00E755BF"/>
    <w:rsid w:val="00E75D82"/>
    <w:rsid w:val="00E815C5"/>
    <w:rsid w:val="00E849DA"/>
    <w:rsid w:val="00E9462E"/>
    <w:rsid w:val="00EA0D98"/>
    <w:rsid w:val="00EA470E"/>
    <w:rsid w:val="00EA47A7"/>
    <w:rsid w:val="00EA57EB"/>
    <w:rsid w:val="00EB3226"/>
    <w:rsid w:val="00EC213A"/>
    <w:rsid w:val="00EC6603"/>
    <w:rsid w:val="00EC7744"/>
    <w:rsid w:val="00ED0DAD"/>
    <w:rsid w:val="00ED0F46"/>
    <w:rsid w:val="00ED2373"/>
    <w:rsid w:val="00EE3E8A"/>
    <w:rsid w:val="00EE77E5"/>
    <w:rsid w:val="00EF6ECA"/>
    <w:rsid w:val="00F024E1"/>
    <w:rsid w:val="00F049F6"/>
    <w:rsid w:val="00F06C10"/>
    <w:rsid w:val="00F1096F"/>
    <w:rsid w:val="00F12589"/>
    <w:rsid w:val="00F12595"/>
    <w:rsid w:val="00F134D9"/>
    <w:rsid w:val="00F1403D"/>
    <w:rsid w:val="00F1463F"/>
    <w:rsid w:val="00F17143"/>
    <w:rsid w:val="00F21302"/>
    <w:rsid w:val="00F31799"/>
    <w:rsid w:val="00F321DE"/>
    <w:rsid w:val="00F33777"/>
    <w:rsid w:val="00F34D14"/>
    <w:rsid w:val="00F40648"/>
    <w:rsid w:val="00F46DC6"/>
    <w:rsid w:val="00F47766"/>
    <w:rsid w:val="00F47DA2"/>
    <w:rsid w:val="00F519FC"/>
    <w:rsid w:val="00F544E7"/>
    <w:rsid w:val="00F546B2"/>
    <w:rsid w:val="00F6239D"/>
    <w:rsid w:val="00F715D2"/>
    <w:rsid w:val="00F7274F"/>
    <w:rsid w:val="00F765B5"/>
    <w:rsid w:val="00F76FA8"/>
    <w:rsid w:val="00F91767"/>
    <w:rsid w:val="00F93F08"/>
    <w:rsid w:val="00F94CED"/>
    <w:rsid w:val="00FA2BFD"/>
    <w:rsid w:val="00FA2CEE"/>
    <w:rsid w:val="00FA318C"/>
    <w:rsid w:val="00FB4944"/>
    <w:rsid w:val="00FB662A"/>
    <w:rsid w:val="00FB6F92"/>
    <w:rsid w:val="00FC026E"/>
    <w:rsid w:val="00FC3C86"/>
    <w:rsid w:val="00FC5124"/>
    <w:rsid w:val="00FC717F"/>
    <w:rsid w:val="00FD1A43"/>
    <w:rsid w:val="00FD4731"/>
    <w:rsid w:val="00FE13C6"/>
    <w:rsid w:val="00FE4CE6"/>
    <w:rsid w:val="00FE6BAE"/>
    <w:rsid w:val="00FF0AB0"/>
    <w:rsid w:val="00FF121C"/>
    <w:rsid w:val="00FF28AC"/>
    <w:rsid w:val="00FF7F62"/>
    <w:rsid w:val="0A82368E"/>
    <w:rsid w:val="0E0EA850"/>
    <w:rsid w:val="14BD3E89"/>
    <w:rsid w:val="1A6DBAB6"/>
    <w:rsid w:val="1B57C9BB"/>
    <w:rsid w:val="1BE7473F"/>
    <w:rsid w:val="1E3659FF"/>
    <w:rsid w:val="1F94149F"/>
    <w:rsid w:val="216B5AD2"/>
    <w:rsid w:val="23A16707"/>
    <w:rsid w:val="374F1BDF"/>
    <w:rsid w:val="37F88A13"/>
    <w:rsid w:val="3A6901B8"/>
    <w:rsid w:val="466A6C0D"/>
    <w:rsid w:val="4757C378"/>
    <w:rsid w:val="5A90C05D"/>
    <w:rsid w:val="6AD9B5B9"/>
    <w:rsid w:val="6DB6E43C"/>
    <w:rsid w:val="7AA57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8C2A7E5"/>
  <w15:docId w15:val="{6C6B659D-EE4B-497E-8B18-63B6E373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9828C3"/>
    <w:pPr>
      <w:keepNext/>
      <w:spacing w:before="840" w:after="60"/>
      <w:outlineLvl w:val="0"/>
    </w:pPr>
    <w:rPr>
      <w:rFonts w:ascii="Arial" w:hAnsi="Arial" w:cs="Arial"/>
      <w:b/>
      <w:bCs/>
      <w:color w:val="3F4A75"/>
      <w:kern w:val="28"/>
      <w:sz w:val="44"/>
      <w:szCs w:val="36"/>
      <w:lang w:eastAsia="en-US"/>
    </w:rPr>
  </w:style>
  <w:style w:type="paragraph" w:styleId="Heading2">
    <w:name w:val="heading 2"/>
    <w:next w:val="Normal"/>
    <w:qFormat/>
    <w:rsid w:val="004A51E0"/>
    <w:pPr>
      <w:keepNext/>
      <w:spacing w:before="240" w:after="60"/>
      <w:outlineLvl w:val="1"/>
    </w:pPr>
    <w:rPr>
      <w:rFonts w:ascii="Arial" w:hAnsi="Arial" w:cs="Arial"/>
      <w:b/>
      <w:bCs/>
      <w:iCs/>
      <w:color w:val="3F4A75"/>
      <w:sz w:val="36"/>
      <w:szCs w:val="28"/>
      <w:lang w:eastAsia="en-US"/>
    </w:r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9828C3"/>
    <w:pPr>
      <w:spacing w:after="24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E4F57"/>
    <w:rPr>
      <w:sz w:val="16"/>
      <w:szCs w:val="16"/>
    </w:rPr>
  </w:style>
  <w:style w:type="paragraph" w:styleId="CommentText">
    <w:name w:val="annotation text"/>
    <w:basedOn w:val="Normal"/>
    <w:link w:val="CommentTextChar"/>
    <w:uiPriority w:val="99"/>
    <w:semiHidden/>
    <w:unhideWhenUsed/>
    <w:rsid w:val="002E4F57"/>
    <w:pPr>
      <w:spacing w:line="240" w:lineRule="auto"/>
    </w:pPr>
    <w:rPr>
      <w:sz w:val="20"/>
      <w:szCs w:val="20"/>
    </w:rPr>
  </w:style>
  <w:style w:type="character" w:customStyle="1" w:styleId="CommentTextChar">
    <w:name w:val="Comment Text Char"/>
    <w:basedOn w:val="DefaultParagraphFont"/>
    <w:link w:val="CommentText"/>
    <w:uiPriority w:val="99"/>
    <w:semiHidden/>
    <w:rsid w:val="002E4F5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E4F57"/>
    <w:rPr>
      <w:b/>
      <w:bCs/>
    </w:rPr>
  </w:style>
  <w:style w:type="character" w:customStyle="1" w:styleId="CommentSubjectChar">
    <w:name w:val="Comment Subject Char"/>
    <w:basedOn w:val="CommentTextChar"/>
    <w:link w:val="CommentSubject"/>
    <w:semiHidden/>
    <w:rsid w:val="002E4F57"/>
    <w:rPr>
      <w:rFonts w:ascii="Arial" w:hAnsi="Arial"/>
      <w:b/>
      <w:bCs/>
      <w:color w:val="000000" w:themeColor="text1"/>
      <w:lang w:eastAsia="en-US"/>
    </w:rPr>
  </w:style>
  <w:style w:type="paragraph" w:styleId="Revision">
    <w:name w:val="Revision"/>
    <w:hidden/>
    <w:uiPriority w:val="99"/>
    <w:semiHidden/>
    <w:rsid w:val="00B64A3D"/>
    <w:rPr>
      <w:rFonts w:ascii="Arial" w:hAnsi="Arial"/>
      <w:color w:val="000000" w:themeColor="text1"/>
      <w:sz w:val="22"/>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916BD"/>
    <w:rPr>
      <w:rFonts w:ascii="Arial" w:hAnsi="Arial"/>
      <w:color w:val="000000" w:themeColor="text1"/>
      <w:sz w:val="22"/>
      <w:szCs w:val="24"/>
      <w:lang w:eastAsia="en-US"/>
    </w:rPr>
  </w:style>
  <w:style w:type="paragraph" w:customStyle="1" w:styleId="StyleTitle26pt">
    <w:name w:val="Style Title + 26 pt"/>
    <w:basedOn w:val="Title"/>
    <w:rsid w:val="00075CDF"/>
    <w:pPr>
      <w:spacing w:before="3120"/>
    </w:pPr>
    <w:rPr>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371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1635565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5961468">
      <w:bodyDiv w:val="1"/>
      <w:marLeft w:val="0"/>
      <w:marRight w:val="0"/>
      <w:marTop w:val="0"/>
      <w:marBottom w:val="0"/>
      <w:divBdr>
        <w:top w:val="none" w:sz="0" w:space="0" w:color="auto"/>
        <w:left w:val="none" w:sz="0" w:space="0" w:color="auto"/>
        <w:bottom w:val="none" w:sz="0" w:space="0" w:color="auto"/>
        <w:right w:val="none" w:sz="0" w:space="0" w:color="auto"/>
      </w:divBdr>
    </w:div>
    <w:div w:id="1852910228">
      <w:bodyDiv w:val="1"/>
      <w:marLeft w:val="0"/>
      <w:marRight w:val="0"/>
      <w:marTop w:val="0"/>
      <w:marBottom w:val="0"/>
      <w:divBdr>
        <w:top w:val="none" w:sz="0" w:space="0" w:color="auto"/>
        <w:left w:val="none" w:sz="0" w:space="0" w:color="auto"/>
        <w:bottom w:val="none" w:sz="0" w:space="0" w:color="auto"/>
        <w:right w:val="none" w:sz="0" w:space="0" w:color="auto"/>
      </w:divBdr>
    </w:div>
    <w:div w:id="1920677490">
      <w:bodyDiv w:val="1"/>
      <w:marLeft w:val="0"/>
      <w:marRight w:val="0"/>
      <w:marTop w:val="0"/>
      <w:marBottom w:val="0"/>
      <w:divBdr>
        <w:top w:val="none" w:sz="0" w:space="0" w:color="auto"/>
        <w:left w:val="none" w:sz="0" w:space="0" w:color="auto"/>
        <w:bottom w:val="none" w:sz="0" w:space="0" w:color="auto"/>
        <w:right w:val="none" w:sz="0" w:space="0" w:color="auto"/>
      </w:divBdr>
    </w:div>
    <w:div w:id="19370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A3EC.C2799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5_u00 xmlns="d29f60fd-a3b3-47ea-9576-3fd7501e145b" xsi:nil="true"/>
    <ngaw xmlns="d29f60fd-a3b3-47ea-9576-3fd7501e145b">
      <UserInfo>
        <DisplayName/>
        <AccountId xsi:nil="true"/>
        <AccountType/>
      </UserInfo>
    </ngaw>
    <Uploaded xmlns="d29f60fd-a3b3-47ea-9576-3fd7501e14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FB5DB3BD48542AFDB0273ADFCD959" ma:contentTypeVersion="5" ma:contentTypeDescription="Create a new document." ma:contentTypeScope="" ma:versionID="f003e097b5d37c894922c2118e639f0b">
  <xsd:schema xmlns:xsd="http://www.w3.org/2001/XMLSchema" xmlns:xs="http://www.w3.org/2001/XMLSchema" xmlns:p="http://schemas.microsoft.com/office/2006/metadata/properties" xmlns:ns2="d29f60fd-a3b3-47ea-9576-3fd7501e145b" xmlns:ns3="48e21489-317b-4c5c-8a53-17d557f14215" targetNamespace="http://schemas.microsoft.com/office/2006/metadata/properties" ma:root="true" ma:fieldsID="763565aa4be9e5ca9c15710a8b77f71f" ns2:_="" ns3:_="">
    <xsd:import namespace="d29f60fd-a3b3-47ea-9576-3fd7501e145b"/>
    <xsd:import namespace="48e21489-317b-4c5c-8a53-17d557f14215"/>
    <xsd:element name="properties">
      <xsd:complexType>
        <xsd:sequence>
          <xsd:element name="documentManagement">
            <xsd:complexType>
              <xsd:all>
                <xsd:element ref="ns2:ngaw" minOccurs="0"/>
                <xsd:element ref="ns2:_x0075_u00" minOccurs="0"/>
                <xsd:element ref="ns2:Upload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f60fd-a3b3-47ea-9576-3fd7501e145b" elementFormDefault="qualified">
    <xsd:import namespace="http://schemas.microsoft.com/office/2006/documentManagement/types"/>
    <xsd:import namespace="http://schemas.microsoft.com/office/infopath/2007/PartnerControls"/>
    <xsd:element name="ngaw" ma:index="8" nillable="true" ma:displayName="BMS Team" ma:list="UserInfo" ma:internalName="nga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5_u00" ma:index="9" nillable="true" ma:displayName="Current Status" ma:internalName="_x0075_u00">
      <xsd:simpleType>
        <xsd:restriction base="dms:Text"/>
      </xsd:simpleType>
    </xsd:element>
    <xsd:element name="Uploaded" ma:index="10" nillable="true" ma:displayName="Uploaded" ma:format="DateOnly" ma:internalNam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21489-317b-4c5c-8a53-17d557f14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d29f60fd-a3b3-47ea-9576-3fd7501e145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8e21489-317b-4c5c-8a53-17d557f14215"/>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5FC85E66-119A-4613-AEBD-38E58E86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f60fd-a3b3-47ea-9576-3fd7501e145b"/>
    <ds:schemaRef ds:uri="48e21489-317b-4c5c-8a53-17d557f1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77202-F4BA-454B-928D-3B116630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1339</Words>
  <Characters>7135</Characters>
  <Application>Microsoft Office Word</Application>
  <DocSecurity>0</DocSecurity>
  <Lines>123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2024-25: Quality aged care</dc:title>
  <dc:creator>KIDNER, Steve</dc:creator>
  <cp:keywords>Medicare, Medicines, Aged Care, Preventive Health, About the department</cp:keywords>
  <cp:lastModifiedBy>HOOD, Jodi</cp:lastModifiedBy>
  <cp:revision>3</cp:revision>
  <cp:lastPrinted>2024-05-11T11:34:00Z</cp:lastPrinted>
  <dcterms:created xsi:type="dcterms:W3CDTF">2024-05-14T02:15:00Z</dcterms:created>
  <dcterms:modified xsi:type="dcterms:W3CDTF">2024-05-14T02:20:00Z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0x010100438FB5DB3BD48542AFDB0273ADFCD959</vt:lpwstr>
  </property>
</Properties>
</file>