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48C85" w14:textId="1D6159C4" w:rsidR="004A51E0" w:rsidRPr="00560487" w:rsidRDefault="00722C11" w:rsidP="004A51E0">
      <w:pPr>
        <w:pStyle w:val="Heading1"/>
      </w:pPr>
      <w:r w:rsidRPr="00560487">
        <w:t>Budget 2024</w:t>
      </w:r>
      <w:r w:rsidR="00720B29">
        <w:t>–</w:t>
      </w:r>
      <w:r w:rsidRPr="00560487">
        <w:t xml:space="preserve">25: </w:t>
      </w:r>
      <w:r w:rsidR="008F2CB1" w:rsidRPr="00560487">
        <w:t xml:space="preserve">New and amended </w:t>
      </w:r>
      <w:r w:rsidR="00DD2655">
        <w:t>Medicare Benefits Schedule (</w:t>
      </w:r>
      <w:r w:rsidR="008F2CB1" w:rsidRPr="00560487">
        <w:t>MBS</w:t>
      </w:r>
      <w:r w:rsidR="00DD2655">
        <w:t>)</w:t>
      </w:r>
      <w:bookmarkStart w:id="0" w:name="_GoBack"/>
      <w:bookmarkEnd w:id="0"/>
      <w:r w:rsidR="008F2CB1" w:rsidRPr="00560487">
        <w:t xml:space="preserve"> listing</w:t>
      </w:r>
      <w:r w:rsidR="001473BA" w:rsidRPr="00560487">
        <w:t>s</w:t>
      </w:r>
    </w:p>
    <w:p w14:paraId="23C8CCDF" w14:textId="77777777" w:rsidR="001473BA" w:rsidRPr="00560487" w:rsidRDefault="00AD348C" w:rsidP="00997EEA">
      <w:pPr>
        <w:pStyle w:val="CABNETParagraph"/>
        <w:spacing w:before="240" w:after="240"/>
        <w:rPr>
          <w:rFonts w:cs="Arial"/>
        </w:rPr>
      </w:pPr>
      <w:r w:rsidRPr="00560487">
        <w:t>Through the 2024</w:t>
      </w:r>
      <w:r w:rsidR="001335A6" w:rsidRPr="00560487">
        <w:t>–25 Budget, an investment of $</w:t>
      </w:r>
      <w:r w:rsidR="00900882" w:rsidRPr="00560487">
        <w:t>123.2</w:t>
      </w:r>
      <w:r w:rsidRPr="00560487">
        <w:t xml:space="preserve"> million will </w:t>
      </w:r>
      <w:r w:rsidR="00F2312C" w:rsidRPr="00560487">
        <w:t>enable the introduction of</w:t>
      </w:r>
      <w:r w:rsidRPr="00560487">
        <w:t xml:space="preserve"> new services and amend</w:t>
      </w:r>
      <w:r w:rsidR="00F2312C" w:rsidRPr="00560487">
        <w:t>ment</w:t>
      </w:r>
      <w:r w:rsidR="005E1369" w:rsidRPr="00560487">
        <w:t>s to</w:t>
      </w:r>
      <w:r w:rsidR="00F2312C" w:rsidRPr="00560487">
        <w:t xml:space="preserve"> existing services o</w:t>
      </w:r>
      <w:r w:rsidRPr="00560487">
        <w:t>n the MBS.</w:t>
      </w:r>
      <w:r w:rsidR="001335A6" w:rsidRPr="00560487">
        <w:t xml:space="preserve"> This is i</w:t>
      </w:r>
      <w:r w:rsidR="001335A6" w:rsidRPr="00560487">
        <w:rPr>
          <w:rFonts w:cs="Arial"/>
        </w:rPr>
        <w:t xml:space="preserve">n response to </w:t>
      </w:r>
      <w:r w:rsidR="003D5535" w:rsidRPr="00560487">
        <w:rPr>
          <w:rFonts w:cs="Arial"/>
        </w:rPr>
        <w:t xml:space="preserve">government policy initiatives and </w:t>
      </w:r>
      <w:r w:rsidR="001335A6" w:rsidRPr="00560487">
        <w:rPr>
          <w:rFonts w:cs="Arial"/>
        </w:rPr>
        <w:t>recommendations from the independent Medical Services Advisory Committee (MSAC), the MBS Review Advisory Committee (MRAC) and the clinician led MBS Review Taskforce</w:t>
      </w:r>
      <w:r w:rsidR="003D5535" w:rsidRPr="00560487">
        <w:rPr>
          <w:rFonts w:cs="Arial"/>
        </w:rPr>
        <w:t>.</w:t>
      </w:r>
    </w:p>
    <w:p w14:paraId="6968419B" w14:textId="77777777" w:rsidR="00047573" w:rsidRPr="00560487" w:rsidRDefault="00047573" w:rsidP="00997EEA">
      <w:pPr>
        <w:pStyle w:val="CABNETParagraph"/>
        <w:spacing w:before="240" w:after="240"/>
        <w:rPr>
          <w:rFonts w:cs="Arial"/>
        </w:rPr>
      </w:pPr>
      <w:r w:rsidRPr="00560487">
        <w:rPr>
          <w:rFonts w:cs="Arial"/>
        </w:rPr>
        <w:t xml:space="preserve">The department will continue to work with stakeholders on the implementation of the changes and more detailed information for patients and providers will be made available, closer to the date of effect, at MBSonline.gov.au and </w:t>
      </w:r>
      <w:hyperlink r:id="rId11" w:history="1">
        <w:r w:rsidRPr="00560487">
          <w:rPr>
            <w:rStyle w:val="Hyperlink"/>
            <w:rFonts w:cs="Arial"/>
          </w:rPr>
          <w:t>www.health.gov.au</w:t>
        </w:r>
      </w:hyperlink>
      <w:r w:rsidRPr="00560487">
        <w:rPr>
          <w:rFonts w:cs="Arial"/>
        </w:rPr>
        <w:t xml:space="preserve"> .</w:t>
      </w:r>
    </w:p>
    <w:p w14:paraId="5FA9C12E" w14:textId="77777777" w:rsidR="001473BA" w:rsidRPr="00560487" w:rsidRDefault="0068335F" w:rsidP="00EC0A19">
      <w:pPr>
        <w:pStyle w:val="Heading3"/>
        <w:spacing w:before="240"/>
      </w:pPr>
      <w:r w:rsidRPr="00560487">
        <w:t>Primary Care</w:t>
      </w:r>
    </w:p>
    <w:tbl>
      <w:tblPr>
        <w:tblStyle w:val="DepartmentofHealthtable"/>
        <w:tblW w:w="0" w:type="auto"/>
        <w:tblLook w:val="04A0" w:firstRow="1" w:lastRow="0" w:firstColumn="1" w:lastColumn="0" w:noHBand="0" w:noVBand="1"/>
        <w:tblDescription w:val="Add Alt Text describing the content of the table"/>
      </w:tblPr>
      <w:tblGrid>
        <w:gridCol w:w="2410"/>
        <w:gridCol w:w="6379"/>
      </w:tblGrid>
      <w:tr w:rsidR="002B6CFB" w:rsidRPr="00560487" w14:paraId="525841AF" w14:textId="77777777" w:rsidTr="002E05A9">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000" w:firstRow="0" w:lastRow="0" w:firstColumn="1" w:lastColumn="0" w:oddVBand="0" w:evenVBand="0" w:oddHBand="0" w:evenHBand="0" w:firstRowFirstColumn="0" w:firstRowLastColumn="0" w:lastRowFirstColumn="0" w:lastRowLastColumn="0"/>
            <w:tcW w:w="2410" w:type="dxa"/>
          </w:tcPr>
          <w:p w14:paraId="0E64F4CE" w14:textId="77777777" w:rsidR="002B6CFB" w:rsidRPr="00560487" w:rsidRDefault="002B6CFB" w:rsidP="003D5535">
            <w:pPr>
              <w:pStyle w:val="TableHeaderWhite"/>
            </w:pPr>
            <w:r w:rsidRPr="00560487">
              <w:t>Date of effect</w:t>
            </w:r>
          </w:p>
          <w:p w14:paraId="52103650" w14:textId="77777777" w:rsidR="005E1369" w:rsidRPr="00560487" w:rsidRDefault="005E1369" w:rsidP="005E1369">
            <w:pPr>
              <w:pStyle w:val="Tabletextleft"/>
              <w:rPr>
                <w:lang w:val="en-US"/>
              </w:rPr>
            </w:pPr>
            <w:r w:rsidRPr="00560487">
              <w:rPr>
                <w:lang w:val="en-US"/>
              </w:rPr>
              <w:t>Item</w:t>
            </w:r>
            <w:r w:rsidR="00900882" w:rsidRPr="00560487">
              <w:rPr>
                <w:lang w:val="en-US"/>
              </w:rPr>
              <w:t xml:space="preserve"> Number</w:t>
            </w:r>
          </w:p>
        </w:tc>
        <w:tc>
          <w:tcPr>
            <w:tcW w:w="6379" w:type="dxa"/>
          </w:tcPr>
          <w:p w14:paraId="53006CBC" w14:textId="77777777" w:rsidR="002B6CFB" w:rsidRPr="00560487" w:rsidRDefault="002B6CFB" w:rsidP="003748B4">
            <w:pPr>
              <w:pStyle w:val="TableHeader"/>
              <w:cnfStyle w:val="100000000000" w:firstRow="1" w:lastRow="0" w:firstColumn="0" w:lastColumn="0" w:oddVBand="0" w:evenVBand="0" w:oddHBand="0" w:evenHBand="0" w:firstRowFirstColumn="0" w:firstRowLastColumn="0" w:lastRowFirstColumn="0" w:lastRowLastColumn="0"/>
            </w:pPr>
            <w:r w:rsidRPr="00560487">
              <w:t>Description</w:t>
            </w:r>
          </w:p>
        </w:tc>
      </w:tr>
      <w:tr w:rsidR="0068335F" w:rsidRPr="00560487" w14:paraId="49E34C9B" w14:textId="77777777" w:rsidTr="002E05A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10" w:type="dxa"/>
          </w:tcPr>
          <w:p w14:paraId="1EDCCB2A" w14:textId="77777777" w:rsidR="0068335F" w:rsidRPr="00560487" w:rsidRDefault="0068335F" w:rsidP="00C23057">
            <w:pPr>
              <w:pStyle w:val="Tabletextleft"/>
            </w:pPr>
            <w:r w:rsidRPr="00560487">
              <w:t>1 July 2024</w:t>
            </w:r>
          </w:p>
          <w:p w14:paraId="176AD603" w14:textId="77777777" w:rsidR="00F2730B" w:rsidRPr="00560487" w:rsidRDefault="00F2730B" w:rsidP="002E05A9">
            <w:r w:rsidRPr="00560487">
              <w:t>(</w:t>
            </w:r>
            <w:r w:rsidR="002E05A9" w:rsidRPr="00560487">
              <w:t xml:space="preserve">Items </w:t>
            </w:r>
            <w:r w:rsidR="00865A01" w:rsidRPr="00560487">
              <w:t>92715</w:t>
            </w:r>
            <w:r w:rsidR="002E05A9" w:rsidRPr="00560487">
              <w:t>–</w:t>
            </w:r>
            <w:r w:rsidR="00865A01" w:rsidRPr="00560487">
              <w:t>92726</w:t>
            </w:r>
            <w:r w:rsidR="002E05A9" w:rsidRPr="00560487">
              <w:t xml:space="preserve"> and</w:t>
            </w:r>
            <w:r w:rsidR="00865A01" w:rsidRPr="00560487">
              <w:t xml:space="preserve"> 92731</w:t>
            </w:r>
            <w:r w:rsidR="002E05A9" w:rsidRPr="00560487">
              <w:t>–</w:t>
            </w:r>
            <w:r w:rsidR="00865A01" w:rsidRPr="00560487">
              <w:t>92742</w:t>
            </w:r>
            <w:r w:rsidRPr="00560487">
              <w:t>)</w:t>
            </w:r>
          </w:p>
        </w:tc>
        <w:tc>
          <w:tcPr>
            <w:tcW w:w="6379" w:type="dxa"/>
          </w:tcPr>
          <w:p w14:paraId="0E07520C" w14:textId="5986021C" w:rsidR="002E05A9" w:rsidRPr="00560487" w:rsidRDefault="00865A01" w:rsidP="001914E7">
            <w:pPr>
              <w:pStyle w:val="Tabletextleft"/>
              <w:cnfStyle w:val="000000100000" w:firstRow="0" w:lastRow="0" w:firstColumn="0" w:lastColumn="0" w:oddVBand="0" w:evenVBand="0" w:oddHBand="1" w:evenHBand="0" w:firstRowFirstColumn="0" w:firstRowLastColumn="0" w:lastRowFirstColumn="0" w:lastRowLastColumn="0"/>
            </w:pPr>
            <w:r w:rsidRPr="00560487">
              <w:t>Amend temporary GP Blood Borne Virus and Sexual Reproductive Health telehealth items that expire on 30 June 2024 to become permanent.</w:t>
            </w:r>
          </w:p>
        </w:tc>
      </w:tr>
      <w:tr w:rsidR="002E05A9" w:rsidRPr="00560487" w14:paraId="3D30E3DC" w14:textId="77777777" w:rsidTr="002E05A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10" w:type="dxa"/>
          </w:tcPr>
          <w:p w14:paraId="2FFEC3A1" w14:textId="77777777" w:rsidR="002E05A9" w:rsidRPr="00560487" w:rsidRDefault="002E05A9" w:rsidP="002E05A9">
            <w:pPr>
              <w:pStyle w:val="Tabletextleft"/>
            </w:pPr>
            <w:r w:rsidRPr="00560487">
              <w:t>1 July 2024</w:t>
            </w:r>
          </w:p>
        </w:tc>
        <w:tc>
          <w:tcPr>
            <w:tcW w:w="6379" w:type="dxa"/>
          </w:tcPr>
          <w:p w14:paraId="5BA3D1DA" w14:textId="77777777" w:rsidR="002E05A9" w:rsidRPr="00560487" w:rsidRDefault="002E05A9" w:rsidP="002E05A9">
            <w:pPr>
              <w:pStyle w:val="Tabletextleft"/>
              <w:cnfStyle w:val="000000010000" w:firstRow="0" w:lastRow="0" w:firstColumn="0" w:lastColumn="0" w:oddVBand="0" w:evenVBand="0" w:oddHBand="0" w:evenHBand="1" w:firstRowFirstColumn="0" w:firstRowLastColumn="0" w:lastRowFirstColumn="0" w:lastRowLastColumn="0"/>
            </w:pPr>
            <w:r w:rsidRPr="00560487">
              <w:t xml:space="preserve">Some amendments to the exemptions to the GP established relationship criteria as of 30 June 2024. </w:t>
            </w:r>
          </w:p>
          <w:p w14:paraId="36B67448" w14:textId="3D5CE0EB" w:rsidR="002E05A9" w:rsidRPr="00560487" w:rsidRDefault="002E05A9" w:rsidP="002E05A9">
            <w:pPr>
              <w:pStyle w:val="Tabletextleft"/>
              <w:numPr>
                <w:ilvl w:val="0"/>
                <w:numId w:val="31"/>
              </w:numPr>
              <w:cnfStyle w:val="000000010000" w:firstRow="0" w:lastRow="0" w:firstColumn="0" w:lastColumn="0" w:oddVBand="0" w:evenVBand="0" w:oddHBand="0" w:evenHBand="1" w:firstRowFirstColumn="0" w:firstRowLastColumn="0" w:lastRowFirstColumn="0" w:lastRowLastColumn="0"/>
            </w:pPr>
            <w:r w:rsidRPr="00560487">
              <w:t>Temporary exemption for Mental Health items will become permanent.</w:t>
            </w:r>
          </w:p>
          <w:p w14:paraId="2B3C23A9" w14:textId="3FDAF437" w:rsidR="002E05A9" w:rsidRPr="00560487" w:rsidRDefault="002E05A9" w:rsidP="001914E7">
            <w:pPr>
              <w:pStyle w:val="Tabletextleft"/>
              <w:numPr>
                <w:ilvl w:val="0"/>
                <w:numId w:val="31"/>
              </w:numPr>
              <w:cnfStyle w:val="000000010000" w:firstRow="0" w:lastRow="0" w:firstColumn="0" w:lastColumn="0" w:oddVBand="0" w:evenVBand="0" w:oddHBand="0" w:evenHBand="1" w:firstRowFirstColumn="0" w:firstRowLastColumn="0" w:lastRowFirstColumn="0" w:lastRowLastColumn="0"/>
            </w:pPr>
            <w:r w:rsidRPr="00560487">
              <w:t xml:space="preserve">Temporary exemption for permanent Non-Directive Pregnancy Counselling items will expire. </w:t>
            </w:r>
          </w:p>
        </w:tc>
      </w:tr>
      <w:tr w:rsidR="002E05A9" w:rsidRPr="00560487" w14:paraId="5ACE5155" w14:textId="77777777" w:rsidTr="002E05A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10" w:type="dxa"/>
          </w:tcPr>
          <w:p w14:paraId="656E92D6" w14:textId="77777777" w:rsidR="002E05A9" w:rsidRPr="00560487" w:rsidRDefault="002E05A9" w:rsidP="002E05A9">
            <w:pPr>
              <w:pStyle w:val="Tabletextleft"/>
            </w:pPr>
            <w:r w:rsidRPr="00560487">
              <w:t>1 November 2024</w:t>
            </w:r>
          </w:p>
        </w:tc>
        <w:tc>
          <w:tcPr>
            <w:tcW w:w="6379" w:type="dxa"/>
          </w:tcPr>
          <w:p w14:paraId="5E040205" w14:textId="77777777" w:rsidR="002E05A9" w:rsidRPr="00560487" w:rsidRDefault="002E05A9" w:rsidP="002E05A9">
            <w:pPr>
              <w:pStyle w:val="Tabletextleft"/>
              <w:cnfStyle w:val="000000100000" w:firstRow="0" w:lastRow="0" w:firstColumn="0" w:lastColumn="0" w:oddVBand="0" w:evenVBand="0" w:oddHBand="1" w:evenHBand="0" w:firstRowFirstColumn="0" w:firstRowLastColumn="0" w:lastRowFirstColumn="0" w:lastRowLastColumn="0"/>
            </w:pPr>
            <w:r w:rsidRPr="00560487">
              <w:t>Expand ultrasound imaging requesting rights for nurse practitioners to support their ability to prescribe the MS</w:t>
            </w:r>
            <w:r w:rsidRPr="00560487">
              <w:noBreakHyphen/>
              <w:t>2 Step medical abortion program through adequate before and after care.</w:t>
            </w:r>
          </w:p>
        </w:tc>
      </w:tr>
      <w:tr w:rsidR="002E05A9" w:rsidRPr="00560487" w14:paraId="1DC80894" w14:textId="77777777" w:rsidTr="002E05A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10" w:type="dxa"/>
          </w:tcPr>
          <w:p w14:paraId="01F51E6B" w14:textId="77777777" w:rsidR="002E05A9" w:rsidRPr="00560487" w:rsidRDefault="002E05A9" w:rsidP="002E05A9">
            <w:pPr>
              <w:pStyle w:val="Tabletextleft"/>
            </w:pPr>
            <w:r w:rsidRPr="00560487">
              <w:t>1 March 2025</w:t>
            </w:r>
          </w:p>
          <w:p w14:paraId="339CAD70" w14:textId="77777777" w:rsidR="0019353E" w:rsidRPr="00560487" w:rsidRDefault="0019353E" w:rsidP="002E05A9">
            <w:pPr>
              <w:pStyle w:val="Tabletextleft"/>
            </w:pPr>
            <w:r w:rsidRPr="00560487">
              <w:t>82205</w:t>
            </w:r>
          </w:p>
        </w:tc>
        <w:tc>
          <w:tcPr>
            <w:tcW w:w="6379" w:type="dxa"/>
          </w:tcPr>
          <w:p w14:paraId="1CB66EDE" w14:textId="77777777" w:rsidR="002E05A9" w:rsidRPr="00560487" w:rsidRDefault="002E05A9" w:rsidP="002E05A9">
            <w:pPr>
              <w:pStyle w:val="Tabletextleft"/>
              <w:cnfStyle w:val="000000010000" w:firstRow="0" w:lastRow="0" w:firstColumn="0" w:lastColumn="0" w:oddVBand="0" w:evenVBand="0" w:oddHBand="0" w:evenHBand="1" w:firstRowFirstColumn="0" w:firstRowLastColumn="0" w:lastRowFirstColumn="0" w:lastRowLastColumn="0"/>
            </w:pPr>
            <w:r w:rsidRPr="00560487">
              <w:t>Introduce two new general attendance MBS items of at least 60 minutes (Level E) for face to face and video attendances with a nurse practitioner.</w:t>
            </w:r>
            <w:r w:rsidR="0019353E" w:rsidRPr="00560487">
              <w:t xml:space="preserve"> Amending item 82205 to include a 6 minute minimum duration of attendance to ensure high quality care.</w:t>
            </w:r>
          </w:p>
        </w:tc>
      </w:tr>
      <w:tr w:rsidR="002E05A9" w:rsidRPr="00560487" w14:paraId="047068F6" w14:textId="77777777" w:rsidTr="002E05A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10" w:type="dxa"/>
          </w:tcPr>
          <w:p w14:paraId="1DFDC5A6" w14:textId="77777777" w:rsidR="002E05A9" w:rsidRPr="00560487" w:rsidRDefault="002E05A9" w:rsidP="002E05A9">
            <w:pPr>
              <w:pStyle w:val="Tabletextleft"/>
            </w:pPr>
            <w:r w:rsidRPr="00560487">
              <w:t>1 March 2025</w:t>
            </w:r>
          </w:p>
          <w:p w14:paraId="2B942768" w14:textId="77777777" w:rsidR="002E05A9" w:rsidRPr="00560487" w:rsidRDefault="002E05A9" w:rsidP="002E05A9">
            <w:pPr>
              <w:pStyle w:val="Tabletextleft"/>
            </w:pPr>
            <w:r w:rsidRPr="00560487">
              <w:t>82100</w:t>
            </w:r>
          </w:p>
          <w:p w14:paraId="6DB879CD" w14:textId="77777777" w:rsidR="002E05A9" w:rsidRPr="00560487" w:rsidRDefault="002E05A9" w:rsidP="002E05A9">
            <w:pPr>
              <w:pStyle w:val="Tabletextleft"/>
            </w:pPr>
            <w:r w:rsidRPr="00560487">
              <w:t>82105</w:t>
            </w:r>
          </w:p>
          <w:p w14:paraId="59259014" w14:textId="77777777" w:rsidR="002E05A9" w:rsidRPr="00560487" w:rsidRDefault="002E05A9" w:rsidP="002E05A9">
            <w:pPr>
              <w:pStyle w:val="Tabletextleft"/>
            </w:pPr>
            <w:r w:rsidRPr="00560487">
              <w:t>82110</w:t>
            </w:r>
          </w:p>
          <w:p w14:paraId="11152A9B" w14:textId="77777777" w:rsidR="002E05A9" w:rsidRPr="00560487" w:rsidRDefault="002E05A9" w:rsidP="002E05A9">
            <w:pPr>
              <w:pStyle w:val="Tabletextleft"/>
            </w:pPr>
            <w:r w:rsidRPr="00560487">
              <w:t>82130</w:t>
            </w:r>
          </w:p>
          <w:p w14:paraId="74103FE4" w14:textId="77777777" w:rsidR="002E05A9" w:rsidRPr="00560487" w:rsidRDefault="002E05A9" w:rsidP="002E05A9">
            <w:pPr>
              <w:pStyle w:val="Tabletextleft"/>
            </w:pPr>
            <w:r w:rsidRPr="00560487">
              <w:t>82135</w:t>
            </w:r>
          </w:p>
          <w:p w14:paraId="2E7007E3" w14:textId="77777777" w:rsidR="002E05A9" w:rsidRPr="00560487" w:rsidRDefault="002E05A9" w:rsidP="002E05A9">
            <w:pPr>
              <w:pStyle w:val="Tabletextleft"/>
            </w:pPr>
            <w:r w:rsidRPr="00560487">
              <w:t>82140</w:t>
            </w:r>
          </w:p>
        </w:tc>
        <w:tc>
          <w:tcPr>
            <w:tcW w:w="6379" w:type="dxa"/>
          </w:tcPr>
          <w:p w14:paraId="1AEB6543" w14:textId="77777777" w:rsidR="002E05A9" w:rsidRPr="00560487" w:rsidRDefault="002E05A9" w:rsidP="00FB0637">
            <w:pPr>
              <w:pStyle w:val="Tabletextleft"/>
              <w:keepNext/>
              <w:cnfStyle w:val="000000100000" w:firstRow="0" w:lastRow="0" w:firstColumn="0" w:lastColumn="0" w:oddVBand="0" w:evenVBand="0" w:oddHBand="1" w:evenHBand="0" w:firstRowFirstColumn="0" w:firstRowLastColumn="0" w:lastRowFirstColumn="0" w:lastRowLastColumn="0"/>
            </w:pPr>
            <w:r w:rsidRPr="00560487">
              <w:t>Implement recommendations from the MBS Review Taskforce Primary Care – Participating Midwives Report, including:</w:t>
            </w:r>
          </w:p>
          <w:p w14:paraId="53986DFE" w14:textId="7C801C59" w:rsidR="002E05A9" w:rsidRPr="00560487" w:rsidRDefault="002E05A9" w:rsidP="002E05A9">
            <w:pPr>
              <w:pStyle w:val="ListParagraph"/>
              <w:numPr>
                <w:ilvl w:val="0"/>
                <w:numId w:val="30"/>
              </w:numPr>
              <w:spacing w:before="0" w:after="60" w:line="240" w:lineRule="auto"/>
              <w:ind w:left="318" w:hanging="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60487">
              <w:rPr>
                <w:rFonts w:cs="Arial"/>
              </w:rPr>
              <w:t>amending the antenatal and postnatal attendance items to appropriately reflect the time care takes</w:t>
            </w:r>
          </w:p>
          <w:p w14:paraId="19C07B06" w14:textId="48AB29AA" w:rsidR="002E05A9" w:rsidRPr="00560487" w:rsidRDefault="002E05A9" w:rsidP="002E05A9">
            <w:pPr>
              <w:pStyle w:val="ListParagraph"/>
              <w:numPr>
                <w:ilvl w:val="0"/>
                <w:numId w:val="30"/>
              </w:numPr>
              <w:spacing w:before="0" w:line="240" w:lineRule="auto"/>
              <w:ind w:left="318" w:hanging="318"/>
              <w:cnfStyle w:val="000000100000" w:firstRow="0" w:lastRow="0" w:firstColumn="0" w:lastColumn="0" w:oddVBand="0" w:evenVBand="0" w:oddHBand="1" w:evenHBand="0" w:firstRowFirstColumn="0" w:firstRowLastColumn="0" w:lastRowFirstColumn="0" w:lastRowLastColumn="0"/>
            </w:pPr>
            <w:r w:rsidRPr="00560487">
              <w:rPr>
                <w:rFonts w:cs="Arial"/>
              </w:rPr>
              <w:t>the introduction of a new item for long attendance of at least 90 minutes for both the antenatal and postnatal period</w:t>
            </w:r>
          </w:p>
          <w:p w14:paraId="083C4F2E" w14:textId="5476ED91" w:rsidR="002E05A9" w:rsidRPr="00560487" w:rsidRDefault="002E05A9" w:rsidP="002E05A9">
            <w:pPr>
              <w:pStyle w:val="ListParagraph"/>
              <w:numPr>
                <w:ilvl w:val="0"/>
                <w:numId w:val="30"/>
              </w:numPr>
              <w:spacing w:before="0" w:after="60" w:line="240" w:lineRule="auto"/>
              <w:ind w:left="318" w:hanging="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60487">
              <w:rPr>
                <w:rFonts w:cs="Arial"/>
              </w:rPr>
              <w:t>the creation of a new item for complex antenatal attendance leading to hospital admission</w:t>
            </w:r>
          </w:p>
          <w:p w14:paraId="79852885" w14:textId="52D73E5A" w:rsidR="002E05A9" w:rsidRPr="00560487" w:rsidRDefault="002E05A9" w:rsidP="00322A9A">
            <w:pPr>
              <w:pStyle w:val="ListParagraph"/>
              <w:numPr>
                <w:ilvl w:val="0"/>
                <w:numId w:val="30"/>
              </w:numPr>
              <w:spacing w:before="0" w:after="60" w:line="240" w:lineRule="auto"/>
              <w:ind w:left="318" w:hanging="318"/>
              <w:contextualSpacing w:val="0"/>
              <w:cnfStyle w:val="000000100000" w:firstRow="0" w:lastRow="0" w:firstColumn="0" w:lastColumn="0" w:oddVBand="0" w:evenVBand="0" w:oddHBand="1" w:evenHBand="0" w:firstRowFirstColumn="0" w:firstRowLastColumn="0" w:lastRowFirstColumn="0" w:lastRowLastColumn="0"/>
            </w:pPr>
            <w:proofErr w:type="gramStart"/>
            <w:r w:rsidRPr="00560487">
              <w:rPr>
                <w:rFonts w:cs="Arial"/>
              </w:rPr>
              <w:t>the</w:t>
            </w:r>
            <w:proofErr w:type="gramEnd"/>
            <w:r w:rsidRPr="00560487">
              <w:rPr>
                <w:rFonts w:cs="Arial"/>
              </w:rPr>
              <w:t xml:space="preserve"> inclusion of mandatory clinical activitie</w:t>
            </w:r>
            <w:r w:rsidR="0045494D" w:rsidRPr="00560487">
              <w:t xml:space="preserve">s </w:t>
            </w:r>
            <w:r w:rsidR="002E7AD5" w:rsidRPr="00560487">
              <w:t>and an</w:t>
            </w:r>
            <w:r w:rsidRPr="00560487">
              <w:t xml:space="preserve"> increase in the minimum time for a 6 week postnatal attendance.</w:t>
            </w:r>
          </w:p>
        </w:tc>
      </w:tr>
      <w:tr w:rsidR="002E05A9" w:rsidRPr="00560487" w14:paraId="5F512E8B" w14:textId="77777777" w:rsidTr="002E05A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10" w:type="dxa"/>
          </w:tcPr>
          <w:p w14:paraId="6777558B" w14:textId="77777777" w:rsidR="002E05A9" w:rsidRPr="00560487" w:rsidRDefault="002E05A9" w:rsidP="002E05A9">
            <w:pPr>
              <w:pStyle w:val="Tabletextleft"/>
            </w:pPr>
            <w:r w:rsidRPr="00560487">
              <w:lastRenderedPageBreak/>
              <w:t>1 March 2025</w:t>
            </w:r>
          </w:p>
        </w:tc>
        <w:tc>
          <w:tcPr>
            <w:tcW w:w="6379" w:type="dxa"/>
          </w:tcPr>
          <w:p w14:paraId="6819ADD4" w14:textId="77777777" w:rsidR="002E05A9" w:rsidRPr="00560487" w:rsidRDefault="002E05A9" w:rsidP="002E05A9">
            <w:pPr>
              <w:pStyle w:val="Tabletextleft"/>
              <w:keepNext/>
              <w:cnfStyle w:val="000000010000" w:firstRow="0" w:lastRow="0" w:firstColumn="0" w:lastColumn="0" w:oddVBand="0" w:evenVBand="0" w:oddHBand="0" w:evenHBand="1" w:firstRowFirstColumn="0" w:firstRowLastColumn="0" w:lastRowFirstColumn="0" w:lastRowLastColumn="0"/>
            </w:pPr>
            <w:r w:rsidRPr="00560487">
              <w:t>Implement the majority of recommendations from the MBS Review Taskforce Optometry Report, including:</w:t>
            </w:r>
          </w:p>
          <w:p w14:paraId="3C2E9347" w14:textId="57401B00" w:rsidR="002E05A9" w:rsidRPr="00560487" w:rsidRDefault="002E05A9" w:rsidP="002E05A9">
            <w:pPr>
              <w:pStyle w:val="Tabletextleft"/>
              <w:numPr>
                <w:ilvl w:val="0"/>
                <w:numId w:val="29"/>
              </w:numPr>
              <w:ind w:left="318" w:hanging="318"/>
              <w:cnfStyle w:val="000000010000" w:firstRow="0" w:lastRow="0" w:firstColumn="0" w:lastColumn="0" w:oddVBand="0" w:evenVBand="0" w:oddHBand="0" w:evenHBand="1" w:firstRowFirstColumn="0" w:firstRowLastColumn="0" w:lastRowFirstColumn="0" w:lastRowLastColumn="0"/>
            </w:pPr>
            <w:r w:rsidRPr="00560487">
              <w:t>expand</w:t>
            </w:r>
            <w:r w:rsidR="002E7AD5" w:rsidRPr="00560487">
              <w:t>ing</w:t>
            </w:r>
            <w:r w:rsidRPr="00560487">
              <w:t xml:space="preserve"> access to optometry services for vulnerable groups in domiciliary (home) settings</w:t>
            </w:r>
          </w:p>
          <w:p w14:paraId="61D4EEE5" w14:textId="5158BDD1" w:rsidR="002E05A9" w:rsidRPr="00560487" w:rsidRDefault="002E05A9" w:rsidP="002E05A9">
            <w:pPr>
              <w:pStyle w:val="Tabletextleft"/>
              <w:numPr>
                <w:ilvl w:val="0"/>
                <w:numId w:val="29"/>
              </w:numPr>
              <w:ind w:left="318" w:hanging="318"/>
              <w:cnfStyle w:val="000000010000" w:firstRow="0" w:lastRow="0" w:firstColumn="0" w:lastColumn="0" w:oddVBand="0" w:evenVBand="0" w:oddHBand="0" w:evenHBand="1" w:firstRowFirstColumn="0" w:firstRowLastColumn="0" w:lastRowFirstColumn="0" w:lastRowLastColumn="0"/>
            </w:pPr>
            <w:r w:rsidRPr="00560487">
              <w:t>amend</w:t>
            </w:r>
            <w:r w:rsidR="002E7AD5" w:rsidRPr="00560487">
              <w:t>ing and updating</w:t>
            </w:r>
            <w:r w:rsidRPr="00560487">
              <w:t xml:space="preserve"> the wording of existing items</w:t>
            </w:r>
            <w:r w:rsidR="0045494D" w:rsidRPr="00560487">
              <w:t xml:space="preserve"> </w:t>
            </w:r>
            <w:r w:rsidRPr="00560487">
              <w:t>to reflect contemporary practice</w:t>
            </w:r>
          </w:p>
          <w:p w14:paraId="40DDBACE" w14:textId="5B11DC5F" w:rsidR="002E05A9" w:rsidRPr="00560487" w:rsidRDefault="0045494D" w:rsidP="002E05A9">
            <w:pPr>
              <w:pStyle w:val="Tabletextleft"/>
              <w:numPr>
                <w:ilvl w:val="0"/>
                <w:numId w:val="29"/>
              </w:numPr>
              <w:ind w:left="318" w:hanging="318"/>
              <w:cnfStyle w:val="000000010000" w:firstRow="0" w:lastRow="0" w:firstColumn="0" w:lastColumn="0" w:oddVBand="0" w:evenVBand="0" w:oddHBand="0" w:evenHBand="1" w:firstRowFirstColumn="0" w:firstRowLastColumn="0" w:lastRowFirstColumn="0" w:lastRowLastColumn="0"/>
            </w:pPr>
            <w:r w:rsidRPr="00560487">
              <w:t>p</w:t>
            </w:r>
            <w:r w:rsidR="002E7AD5" w:rsidRPr="00560487">
              <w:t xml:space="preserve">roviding </w:t>
            </w:r>
            <w:r w:rsidR="002E05A9" w:rsidRPr="00560487">
              <w:t xml:space="preserve">additional guidance on the performance of computerised </w:t>
            </w:r>
            <w:proofErr w:type="spellStart"/>
            <w:r w:rsidR="002E05A9" w:rsidRPr="00560487">
              <w:t>perimetry</w:t>
            </w:r>
            <w:proofErr w:type="spellEnd"/>
            <w:r w:rsidR="002E05A9" w:rsidRPr="00560487">
              <w:t xml:space="preserve"> testing in both the item descriptor and explanatory note to provide clarity to providers</w:t>
            </w:r>
          </w:p>
          <w:p w14:paraId="15545518" w14:textId="03A3704E" w:rsidR="002E05A9" w:rsidRPr="00560487" w:rsidRDefault="0045494D" w:rsidP="00322A9A">
            <w:pPr>
              <w:pStyle w:val="Tabletextleft"/>
              <w:numPr>
                <w:ilvl w:val="0"/>
                <w:numId w:val="29"/>
              </w:numPr>
              <w:ind w:left="318" w:hanging="318"/>
              <w:cnfStyle w:val="000000010000" w:firstRow="0" w:lastRow="0" w:firstColumn="0" w:lastColumn="0" w:oddVBand="0" w:evenVBand="0" w:oddHBand="0" w:evenHBand="1" w:firstRowFirstColumn="0" w:firstRowLastColumn="0" w:lastRowFirstColumn="0" w:lastRowLastColumn="0"/>
            </w:pPr>
            <w:proofErr w:type="gramStart"/>
            <w:r w:rsidRPr="00560487">
              <w:t>i</w:t>
            </w:r>
            <w:r w:rsidR="002E7AD5" w:rsidRPr="00560487">
              <w:t>mplementing</w:t>
            </w:r>
            <w:proofErr w:type="gramEnd"/>
            <w:r w:rsidR="002E05A9" w:rsidRPr="00560487">
              <w:t xml:space="preserve"> a new item for a third visual field test in a 12</w:t>
            </w:r>
            <w:r w:rsidR="002E05A9" w:rsidRPr="00560487">
              <w:noBreakHyphen/>
              <w:t>month period for patients with a high risk of glaucoma progression.</w:t>
            </w:r>
          </w:p>
        </w:tc>
      </w:tr>
    </w:tbl>
    <w:p w14:paraId="48736682" w14:textId="77777777" w:rsidR="00AD348C" w:rsidRPr="00560487" w:rsidRDefault="0068335F" w:rsidP="00EC0A19">
      <w:pPr>
        <w:pStyle w:val="Heading3"/>
        <w:spacing w:before="240"/>
      </w:pPr>
      <w:r w:rsidRPr="00560487">
        <w:t>Specialists and Consultant Physicians</w:t>
      </w:r>
    </w:p>
    <w:tbl>
      <w:tblPr>
        <w:tblStyle w:val="DepartmentofHealthtable"/>
        <w:tblW w:w="8789" w:type="dxa"/>
        <w:tblLook w:val="04A0" w:firstRow="1" w:lastRow="0" w:firstColumn="1" w:lastColumn="0" w:noHBand="0" w:noVBand="1"/>
        <w:tblDescription w:val="Add Alt Text describing the content of the table"/>
      </w:tblPr>
      <w:tblGrid>
        <w:gridCol w:w="2268"/>
        <w:gridCol w:w="6521"/>
      </w:tblGrid>
      <w:tr w:rsidR="002B6CFB" w:rsidRPr="00560487" w14:paraId="39E038AF" w14:textId="77777777" w:rsidTr="00D15855">
        <w:trPr>
          <w:cnfStyle w:val="100000000000" w:firstRow="1" w:lastRow="0" w:firstColumn="0" w:lastColumn="0" w:oddVBand="0" w:evenVBand="0" w:oddHBand="0" w:evenHBand="0" w:firstRowFirstColumn="0" w:firstRowLastColumn="0" w:lastRowFirstColumn="0" w:lastRowLastColumn="0"/>
          <w:cantSplit/>
          <w:trHeight w:val="498"/>
          <w:tblHeader/>
        </w:trPr>
        <w:tc>
          <w:tcPr>
            <w:cnfStyle w:val="001000000000" w:firstRow="0" w:lastRow="0" w:firstColumn="1" w:lastColumn="0" w:oddVBand="0" w:evenVBand="0" w:oddHBand="0" w:evenHBand="0" w:firstRowFirstColumn="0" w:firstRowLastColumn="0" w:lastRowFirstColumn="0" w:lastRowLastColumn="0"/>
            <w:tcW w:w="2268" w:type="dxa"/>
          </w:tcPr>
          <w:p w14:paraId="0E30652B" w14:textId="77777777" w:rsidR="0029167B" w:rsidRPr="00560487" w:rsidRDefault="0029167B" w:rsidP="0029167B">
            <w:pPr>
              <w:pStyle w:val="TableHeaderWhite"/>
            </w:pPr>
            <w:r w:rsidRPr="00560487">
              <w:t>Date of effect</w:t>
            </w:r>
          </w:p>
          <w:p w14:paraId="71A5D139" w14:textId="77777777" w:rsidR="002B6CFB" w:rsidRPr="00560487" w:rsidRDefault="0029167B" w:rsidP="0029167B">
            <w:pPr>
              <w:pStyle w:val="TableHeaderWhite"/>
              <w:rPr>
                <w:b w:val="0"/>
              </w:rPr>
            </w:pPr>
            <w:r w:rsidRPr="00560487">
              <w:rPr>
                <w:b w:val="0"/>
              </w:rPr>
              <w:t>Item</w:t>
            </w:r>
            <w:r w:rsidR="00900882" w:rsidRPr="00560487">
              <w:rPr>
                <w:b w:val="0"/>
              </w:rPr>
              <w:t xml:space="preserve"> Number</w:t>
            </w:r>
          </w:p>
        </w:tc>
        <w:tc>
          <w:tcPr>
            <w:tcW w:w="6521" w:type="dxa"/>
          </w:tcPr>
          <w:p w14:paraId="0158772A" w14:textId="77777777" w:rsidR="002B6CFB" w:rsidRPr="00560487" w:rsidRDefault="002B6CFB" w:rsidP="00AD348C">
            <w:pPr>
              <w:pStyle w:val="TableHeader"/>
              <w:cnfStyle w:val="100000000000" w:firstRow="1" w:lastRow="0" w:firstColumn="0" w:lastColumn="0" w:oddVBand="0" w:evenVBand="0" w:oddHBand="0" w:evenHBand="0" w:firstRowFirstColumn="0" w:firstRowLastColumn="0" w:lastRowFirstColumn="0" w:lastRowLastColumn="0"/>
            </w:pPr>
            <w:r w:rsidRPr="00560487">
              <w:t>Description</w:t>
            </w:r>
          </w:p>
        </w:tc>
      </w:tr>
      <w:tr w:rsidR="0068335F" w:rsidRPr="00560487" w14:paraId="5E28A5A5" w14:textId="77777777" w:rsidTr="00D15855">
        <w:trPr>
          <w:cnfStyle w:val="000000100000" w:firstRow="0" w:lastRow="0" w:firstColumn="0" w:lastColumn="0" w:oddVBand="0" w:evenVBand="0" w:oddHBand="1" w:evenHBand="0" w:firstRowFirstColumn="0" w:firstRowLastColumn="0" w:lastRowFirstColumn="0" w:lastRowLastColumn="0"/>
          <w:cantSplit/>
          <w:trHeight w:val="393"/>
        </w:trPr>
        <w:tc>
          <w:tcPr>
            <w:cnfStyle w:val="001000000000" w:firstRow="0" w:lastRow="0" w:firstColumn="1" w:lastColumn="0" w:oddVBand="0" w:evenVBand="0" w:oddHBand="0" w:evenHBand="0" w:firstRowFirstColumn="0" w:firstRowLastColumn="0" w:lastRowFirstColumn="0" w:lastRowLastColumn="0"/>
            <w:tcW w:w="2268" w:type="dxa"/>
          </w:tcPr>
          <w:p w14:paraId="69EB74C7" w14:textId="77777777" w:rsidR="00F2730B" w:rsidRPr="00560487" w:rsidRDefault="0068335F" w:rsidP="0068335F">
            <w:pPr>
              <w:pStyle w:val="Tabletextleft"/>
            </w:pPr>
            <w:r w:rsidRPr="00560487">
              <w:t>1 November 2024</w:t>
            </w:r>
          </w:p>
        </w:tc>
        <w:tc>
          <w:tcPr>
            <w:tcW w:w="6521" w:type="dxa"/>
          </w:tcPr>
          <w:p w14:paraId="08EBEE7B" w14:textId="77777777" w:rsidR="0068335F" w:rsidRPr="00560487" w:rsidRDefault="0068335F" w:rsidP="0068335F">
            <w:pPr>
              <w:pStyle w:val="Tabletextleft"/>
              <w:cnfStyle w:val="000000100000" w:firstRow="0" w:lastRow="0" w:firstColumn="0" w:lastColumn="0" w:oddVBand="0" w:evenVBand="0" w:oddHBand="1" w:evenHBand="0" w:firstRowFirstColumn="0" w:firstRowLastColumn="0" w:lastRowFirstColumn="0" w:lastRowLastColumn="0"/>
            </w:pPr>
            <w:r w:rsidRPr="00560487">
              <w:t xml:space="preserve">Introduce MBS telehealth items enabling admission of patients to a psychiatric facility and some subsequent </w:t>
            </w:r>
            <w:r w:rsidR="0045494D" w:rsidRPr="00560487">
              <w:t xml:space="preserve">in-patient </w:t>
            </w:r>
            <w:r w:rsidRPr="00560487">
              <w:t>consultations by video.</w:t>
            </w:r>
          </w:p>
        </w:tc>
      </w:tr>
      <w:tr w:rsidR="0068335F" w:rsidRPr="00560487" w14:paraId="6F687596" w14:textId="77777777" w:rsidTr="00D15855">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58679749" w14:textId="77777777" w:rsidR="0068335F" w:rsidRPr="00560487" w:rsidRDefault="0068335F" w:rsidP="0068335F">
            <w:pPr>
              <w:pStyle w:val="Tabletextleft"/>
            </w:pPr>
            <w:r w:rsidRPr="00560487">
              <w:t>1 November 2024</w:t>
            </w:r>
          </w:p>
          <w:p w14:paraId="1923BE63" w14:textId="77777777" w:rsidR="0068335F" w:rsidRPr="00560487" w:rsidRDefault="0068335F" w:rsidP="0068335F">
            <w:pPr>
              <w:pStyle w:val="Tabletextleft"/>
            </w:pPr>
            <w:r w:rsidRPr="00560487">
              <w:t>90300</w:t>
            </w:r>
          </w:p>
        </w:tc>
        <w:tc>
          <w:tcPr>
            <w:tcW w:w="6521" w:type="dxa"/>
          </w:tcPr>
          <w:p w14:paraId="0B4BA0E7" w14:textId="77777777" w:rsidR="0068335F" w:rsidRPr="00560487" w:rsidRDefault="0068335F" w:rsidP="0068335F">
            <w:pPr>
              <w:pStyle w:val="Tabletextleft"/>
              <w:cnfStyle w:val="000000010000" w:firstRow="0" w:lastRow="0" w:firstColumn="0" w:lastColumn="0" w:oddVBand="0" w:evenVBand="0" w:oddHBand="0" w:evenHBand="1" w:firstRowFirstColumn="0" w:firstRowLastColumn="0" w:lastRowFirstColumn="0" w:lastRowLastColumn="0"/>
            </w:pPr>
            <w:r w:rsidRPr="00560487">
              <w:t xml:space="preserve">Amend item 90300 to enable a cardiothoracic (CT) surgeon to provide a backup standby service for possible rescue surgical intervention during low and intermediate surgical risk </w:t>
            </w:r>
            <w:proofErr w:type="spellStart"/>
            <w:r w:rsidRPr="00560487">
              <w:t>Transcatheter</w:t>
            </w:r>
            <w:proofErr w:type="spellEnd"/>
            <w:r w:rsidRPr="00560487">
              <w:t xml:space="preserve"> Aortic Valve Implantation (TAVI) procedures performed by a non-cardiothoracic surgeon.</w:t>
            </w:r>
          </w:p>
        </w:tc>
      </w:tr>
      <w:tr w:rsidR="00C23057" w:rsidRPr="00560487" w14:paraId="4114759A" w14:textId="77777777" w:rsidTr="00D15855">
        <w:trPr>
          <w:cnfStyle w:val="000000100000" w:firstRow="0" w:lastRow="0" w:firstColumn="0" w:lastColumn="0" w:oddVBand="0" w:evenVBand="0" w:oddHBand="1"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1573FA20" w14:textId="77777777" w:rsidR="00C23057" w:rsidRPr="00560487" w:rsidRDefault="00C23057" w:rsidP="00C23057">
            <w:pPr>
              <w:pStyle w:val="Tabletextleft"/>
            </w:pPr>
            <w:r w:rsidRPr="00560487">
              <w:t>1 November 2024</w:t>
            </w:r>
          </w:p>
          <w:p w14:paraId="1D4F5034" w14:textId="77777777" w:rsidR="00C23057" w:rsidRPr="00560487" w:rsidRDefault="00C23057" w:rsidP="00C23057">
            <w:pPr>
              <w:pStyle w:val="Tabletextleft"/>
            </w:pPr>
            <w:r w:rsidRPr="00560487">
              <w:t>35401</w:t>
            </w:r>
          </w:p>
        </w:tc>
        <w:tc>
          <w:tcPr>
            <w:tcW w:w="6521" w:type="dxa"/>
          </w:tcPr>
          <w:p w14:paraId="06C4A5AC" w14:textId="77777777" w:rsidR="00C23057" w:rsidRPr="00560487" w:rsidRDefault="00C23057" w:rsidP="004E6C2F">
            <w:pPr>
              <w:pStyle w:val="Tabletextleft"/>
              <w:cnfStyle w:val="000000100000" w:firstRow="0" w:lastRow="0" w:firstColumn="0" w:lastColumn="0" w:oddVBand="0" w:evenVBand="0" w:oddHBand="1" w:evenHBand="0" w:firstRowFirstColumn="0" w:firstRowLastColumn="0" w:lastRowFirstColumn="0" w:lastRowLastColumn="0"/>
            </w:pPr>
            <w:r w:rsidRPr="00560487">
              <w:t xml:space="preserve">Amend </w:t>
            </w:r>
            <w:proofErr w:type="spellStart"/>
            <w:r w:rsidRPr="00560487">
              <w:t>vertebroplasty</w:t>
            </w:r>
            <w:proofErr w:type="spellEnd"/>
            <w:r w:rsidRPr="00560487">
              <w:t xml:space="preserve"> item 35401 to allow additional appropriately trained clinicians to provide the MBS service.</w:t>
            </w:r>
          </w:p>
        </w:tc>
      </w:tr>
      <w:tr w:rsidR="00C23057" w:rsidRPr="00560487" w14:paraId="6DBCBF75" w14:textId="77777777" w:rsidTr="00D15855">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48F05EAD" w14:textId="77777777" w:rsidR="00C23057" w:rsidRPr="00560487" w:rsidRDefault="00C23057" w:rsidP="00C23057">
            <w:pPr>
              <w:pStyle w:val="Tabletextleft"/>
            </w:pPr>
            <w:r w:rsidRPr="00560487">
              <w:t>1 November 2024</w:t>
            </w:r>
          </w:p>
          <w:p w14:paraId="486CE27F" w14:textId="77777777" w:rsidR="00C23057" w:rsidRPr="00560487" w:rsidRDefault="009A4608" w:rsidP="00C23057">
            <w:pPr>
              <w:pStyle w:val="Tabletextleft"/>
            </w:pPr>
            <w:r w:rsidRPr="00560487">
              <w:t>32135</w:t>
            </w:r>
          </w:p>
          <w:p w14:paraId="1439FF33" w14:textId="77777777" w:rsidR="00C23057" w:rsidRPr="00560487" w:rsidRDefault="00C23057" w:rsidP="00C23057">
            <w:pPr>
              <w:pStyle w:val="Tabletextleft"/>
            </w:pPr>
            <w:r w:rsidRPr="00560487">
              <w:t>3213</w:t>
            </w:r>
            <w:r w:rsidR="009A4608" w:rsidRPr="00560487">
              <w:t>9</w:t>
            </w:r>
          </w:p>
        </w:tc>
        <w:tc>
          <w:tcPr>
            <w:tcW w:w="6521" w:type="dxa"/>
          </w:tcPr>
          <w:p w14:paraId="100011EF" w14:textId="77777777" w:rsidR="00C23057" w:rsidRPr="00560487" w:rsidRDefault="00C23057" w:rsidP="004E6C2F">
            <w:pPr>
              <w:pStyle w:val="Tabletextleft"/>
              <w:cnfStyle w:val="000000010000" w:firstRow="0" w:lastRow="0" w:firstColumn="0" w:lastColumn="0" w:oddVBand="0" w:evenVBand="0" w:oddHBand="0" w:evenHBand="1" w:firstRowFirstColumn="0" w:firstRowLastColumn="0" w:lastRowFirstColumn="0" w:lastRowLastColumn="0"/>
            </w:pPr>
            <w:r w:rsidRPr="00560487">
              <w:t xml:space="preserve">Amend item 32139 to </w:t>
            </w:r>
            <w:r w:rsidR="004E6C2F" w:rsidRPr="00560487">
              <w:t>allow for the operative treatment of all degrees of symptomatic haemorrhoids (not just third and fourth degree haemorrhoids)</w:t>
            </w:r>
            <w:r w:rsidRPr="00560487">
              <w:t xml:space="preserve"> and amend item 32135 to clarify th</w:t>
            </w:r>
            <w:r w:rsidR="004E6C2F" w:rsidRPr="00560487">
              <w:t>at</w:t>
            </w:r>
            <w:r w:rsidRPr="00560487">
              <w:t xml:space="preserve"> </w:t>
            </w:r>
            <w:r w:rsidR="004E6C2F" w:rsidRPr="00560487">
              <w:t xml:space="preserve">topical energy therapies are a </w:t>
            </w:r>
            <w:r w:rsidRPr="00560487">
              <w:t>non-operative treatment for haemorrhoids claimable under the item.</w:t>
            </w:r>
          </w:p>
        </w:tc>
      </w:tr>
      <w:tr w:rsidR="00C23057" w:rsidRPr="00560487" w14:paraId="7DDF540F" w14:textId="77777777" w:rsidTr="00D15855">
        <w:trPr>
          <w:cnfStyle w:val="000000100000" w:firstRow="0" w:lastRow="0" w:firstColumn="0" w:lastColumn="0" w:oddVBand="0" w:evenVBand="0" w:oddHBand="1"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7D09F033" w14:textId="77777777" w:rsidR="00C23057" w:rsidRPr="00560487" w:rsidRDefault="00C23057" w:rsidP="00C23057">
            <w:pPr>
              <w:pStyle w:val="Tabletextleft"/>
            </w:pPr>
            <w:r w:rsidRPr="00560487">
              <w:t>1 November 2024</w:t>
            </w:r>
          </w:p>
          <w:p w14:paraId="0150C8BF" w14:textId="77777777" w:rsidR="00C23057" w:rsidRPr="00560487" w:rsidRDefault="00C23057" w:rsidP="00C23057">
            <w:pPr>
              <w:pStyle w:val="Tabletextleft"/>
            </w:pPr>
            <w:r w:rsidRPr="00560487">
              <w:t>22002</w:t>
            </w:r>
          </w:p>
        </w:tc>
        <w:tc>
          <w:tcPr>
            <w:tcW w:w="6521" w:type="dxa"/>
          </w:tcPr>
          <w:p w14:paraId="1331F060" w14:textId="77777777" w:rsidR="00C23057" w:rsidRPr="00560487" w:rsidRDefault="00C23057" w:rsidP="00C23057">
            <w:pPr>
              <w:pStyle w:val="Tabletextleft"/>
              <w:cnfStyle w:val="000000100000" w:firstRow="0" w:lastRow="0" w:firstColumn="0" w:lastColumn="0" w:oddVBand="0" w:evenVBand="0" w:oddHBand="1" w:evenHBand="0" w:firstRowFirstColumn="0" w:firstRowLastColumn="0" w:lastRowFirstColumn="0" w:lastRowLastColumn="0"/>
            </w:pPr>
            <w:r w:rsidRPr="00560487">
              <w:t>Amend anaesthesia item 22002 allowing intraoperative cell salvage (blood collection) and transfusion services.</w:t>
            </w:r>
          </w:p>
        </w:tc>
      </w:tr>
      <w:tr w:rsidR="00C23057" w:rsidRPr="00560487" w14:paraId="69780E8F" w14:textId="77777777" w:rsidTr="00D15855">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7BA8D033" w14:textId="77777777" w:rsidR="00C23057" w:rsidRPr="00560487" w:rsidRDefault="00C23057" w:rsidP="00C23057">
            <w:pPr>
              <w:pStyle w:val="Tabletextleft"/>
            </w:pPr>
            <w:r w:rsidRPr="00560487">
              <w:t>1 March 2025</w:t>
            </w:r>
          </w:p>
        </w:tc>
        <w:tc>
          <w:tcPr>
            <w:tcW w:w="6521" w:type="dxa"/>
          </w:tcPr>
          <w:p w14:paraId="164829CB" w14:textId="0A08224C" w:rsidR="00C23057" w:rsidRPr="00560487" w:rsidRDefault="00C23057" w:rsidP="0045494D">
            <w:pPr>
              <w:pStyle w:val="Tabletextleft"/>
              <w:cnfStyle w:val="000000010000" w:firstRow="0" w:lastRow="0" w:firstColumn="0" w:lastColumn="0" w:oddVBand="0" w:evenVBand="0" w:oddHBand="0" w:evenHBand="1" w:firstRowFirstColumn="0" w:firstRowLastColumn="0" w:lastRowFirstColumn="0" w:lastRowLastColumn="0"/>
            </w:pPr>
            <w:r w:rsidRPr="00560487">
              <w:t>Remove the 85% ‘out of hospital’ rebate level, while retaining the 75% ‘in hospital’ rebate level, from surgical operations services which are necessarily provided in a hospital or hospital equivalent setting. Th</w:t>
            </w:r>
            <w:r w:rsidR="0045494D" w:rsidRPr="00560487">
              <w:t xml:space="preserve">ese changes </w:t>
            </w:r>
            <w:r w:rsidRPr="00560487">
              <w:t xml:space="preserve">will </w:t>
            </w:r>
            <w:r w:rsidR="0045494D" w:rsidRPr="00560487">
              <w:t>include</w:t>
            </w:r>
            <w:r w:rsidRPr="00560487">
              <w:t xml:space="preserve"> items that cover the majority of the procedural specialities who access MBS categories</w:t>
            </w:r>
            <w:r w:rsidR="00A22750" w:rsidRPr="00560487">
              <w:t xml:space="preserve"> 3, 4 and 5</w:t>
            </w:r>
            <w:r w:rsidRPr="00560487">
              <w:t>.</w:t>
            </w:r>
          </w:p>
        </w:tc>
      </w:tr>
      <w:tr w:rsidR="00C23057" w:rsidRPr="00560487" w14:paraId="16F014B3" w14:textId="77777777" w:rsidTr="00D15855">
        <w:trPr>
          <w:cnfStyle w:val="000000100000" w:firstRow="0" w:lastRow="0" w:firstColumn="0" w:lastColumn="0" w:oddVBand="0" w:evenVBand="0" w:oddHBand="1"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3DD37E88" w14:textId="77777777" w:rsidR="00C23057" w:rsidRPr="00560487" w:rsidRDefault="00C23057" w:rsidP="00C23057">
            <w:pPr>
              <w:pStyle w:val="Tabletextleft"/>
            </w:pPr>
            <w:r w:rsidRPr="00560487">
              <w:t>1 July 2025</w:t>
            </w:r>
          </w:p>
        </w:tc>
        <w:tc>
          <w:tcPr>
            <w:tcW w:w="6521" w:type="dxa"/>
          </w:tcPr>
          <w:p w14:paraId="75AA0789" w14:textId="77777777" w:rsidR="00C23057" w:rsidRPr="00560487" w:rsidRDefault="00CD4607" w:rsidP="009A4608">
            <w:pPr>
              <w:pStyle w:val="Tabletextleft"/>
              <w:cnfStyle w:val="000000100000" w:firstRow="0" w:lastRow="0" w:firstColumn="0" w:lastColumn="0" w:oddVBand="0" w:evenVBand="0" w:oddHBand="1" w:evenHBand="0" w:firstRowFirstColumn="0" w:firstRowLastColumn="0" w:lastRowFirstColumn="0" w:lastRowLastColumn="0"/>
            </w:pPr>
            <w:r w:rsidRPr="00560487">
              <w:t>Introduce two new</w:t>
            </w:r>
            <w:r w:rsidR="00C23057" w:rsidRPr="00560487">
              <w:t xml:space="preserve"> items to enable a gynaecologist to have </w:t>
            </w:r>
            <w:r w:rsidR="009A4608" w:rsidRPr="00560487">
              <w:t>45 minute or longer</w:t>
            </w:r>
            <w:r w:rsidR="00C23057" w:rsidRPr="00560487">
              <w:t xml:space="preserve"> consultation</w:t>
            </w:r>
            <w:r w:rsidR="009A4608" w:rsidRPr="00560487">
              <w:t>s</w:t>
            </w:r>
            <w:r w:rsidR="00C23057" w:rsidRPr="00560487">
              <w:t xml:space="preserve"> with patients who have complex conditions, such as suspected endometriosis.</w:t>
            </w:r>
          </w:p>
        </w:tc>
      </w:tr>
      <w:tr w:rsidR="00C23057" w:rsidRPr="00560487" w14:paraId="44A1F4E0" w14:textId="77777777" w:rsidTr="00D15855">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1356C94F" w14:textId="77777777" w:rsidR="00C23057" w:rsidRPr="00560487" w:rsidRDefault="00C23057" w:rsidP="00C23057">
            <w:pPr>
              <w:pStyle w:val="Tabletextleft"/>
            </w:pPr>
            <w:r w:rsidRPr="00560487">
              <w:lastRenderedPageBreak/>
              <w:t>1 July 2025</w:t>
            </w:r>
          </w:p>
        </w:tc>
        <w:tc>
          <w:tcPr>
            <w:tcW w:w="6521" w:type="dxa"/>
          </w:tcPr>
          <w:p w14:paraId="03758A9C" w14:textId="77777777" w:rsidR="00CE401C" w:rsidRPr="00560487" w:rsidRDefault="00C23057" w:rsidP="00F55293">
            <w:pPr>
              <w:pStyle w:val="Tabletextleft"/>
              <w:cnfStyle w:val="000000010000" w:firstRow="0" w:lastRow="0" w:firstColumn="0" w:lastColumn="0" w:oddVBand="0" w:evenVBand="0" w:oddHBand="0" w:evenHBand="1" w:firstRowFirstColumn="0" w:firstRowLastColumn="0" w:lastRowFirstColumn="0" w:lastRowLastColumn="0"/>
            </w:pPr>
            <w:r w:rsidRPr="00560487">
              <w:t>I</w:t>
            </w:r>
            <w:r w:rsidR="00F2312C" w:rsidRPr="00560487">
              <w:t>mplement</w:t>
            </w:r>
            <w:r w:rsidR="003E5E2B" w:rsidRPr="00560487">
              <w:t xml:space="preserve"> the majority of</w:t>
            </w:r>
            <w:r w:rsidR="00F2312C" w:rsidRPr="00560487">
              <w:t xml:space="preserve"> recommendations</w:t>
            </w:r>
            <w:r w:rsidR="003E5E2B" w:rsidRPr="00560487">
              <w:t xml:space="preserve"> for changes to MBS items</w:t>
            </w:r>
            <w:r w:rsidR="00F2312C" w:rsidRPr="00560487">
              <w:t xml:space="preserve"> from</w:t>
            </w:r>
            <w:r w:rsidRPr="00560487">
              <w:t xml:space="preserve"> the MBS Review Taskforce Ophthalmology report, along with other minor changes to MBS items that relate to the eye and associated anatomy.</w:t>
            </w:r>
            <w:r w:rsidR="00F55293" w:rsidRPr="00560487">
              <w:t xml:space="preserve"> </w:t>
            </w:r>
          </w:p>
          <w:p w14:paraId="4F532AE8" w14:textId="77777777" w:rsidR="00C23057" w:rsidRPr="00560487" w:rsidRDefault="00F55293" w:rsidP="00F55293">
            <w:pPr>
              <w:pStyle w:val="Tabletextleft"/>
              <w:cnfStyle w:val="000000010000" w:firstRow="0" w:lastRow="0" w:firstColumn="0" w:lastColumn="0" w:oddVBand="0" w:evenVBand="0" w:oddHBand="0" w:evenHBand="1" w:firstRowFirstColumn="0" w:firstRowLastColumn="0" w:lastRowFirstColumn="0" w:lastRowLastColumn="0"/>
            </w:pPr>
            <w:r w:rsidRPr="00560487">
              <w:t xml:space="preserve">This includes reforming </w:t>
            </w:r>
            <w:proofErr w:type="spellStart"/>
            <w:r w:rsidRPr="00560487">
              <w:t>intravitreal</w:t>
            </w:r>
            <w:proofErr w:type="spellEnd"/>
            <w:r w:rsidRPr="00560487">
              <w:t xml:space="preserve"> eye injections to improve patient access, benefitting patients through the addition of services to the MBS for the treatment of glaucoma</w:t>
            </w:r>
            <w:r w:rsidR="00CE401C" w:rsidRPr="00560487">
              <w:t>,</w:t>
            </w:r>
            <w:r w:rsidRPr="00560487">
              <w:t xml:space="preserve"> </w:t>
            </w:r>
            <w:r w:rsidR="00CE401C" w:rsidRPr="00560487">
              <w:t>removing</w:t>
            </w:r>
            <w:r w:rsidRPr="00560487">
              <w:t xml:space="preserve"> redundant services from the MBS</w:t>
            </w:r>
            <w:r w:rsidR="00CE401C" w:rsidRPr="00560487">
              <w:t>, and introducing</w:t>
            </w:r>
            <w:r w:rsidRPr="00560487">
              <w:t xml:space="preserve"> co-claiming restrictions for items that are considered clinically inappropriate to be claimed together.</w:t>
            </w:r>
          </w:p>
        </w:tc>
      </w:tr>
    </w:tbl>
    <w:p w14:paraId="143C131D" w14:textId="77777777" w:rsidR="0068335F" w:rsidRPr="00560487" w:rsidRDefault="0068335F" w:rsidP="00EC0A19">
      <w:pPr>
        <w:pStyle w:val="Heading3"/>
        <w:spacing w:before="240"/>
      </w:pPr>
      <w:r w:rsidRPr="00560487">
        <w:t>Pathology and Diagnostic Imaging</w:t>
      </w:r>
    </w:p>
    <w:tbl>
      <w:tblPr>
        <w:tblStyle w:val="DepartmentofHealthtable"/>
        <w:tblW w:w="8789" w:type="dxa"/>
        <w:tblLook w:val="04A0" w:firstRow="1" w:lastRow="0" w:firstColumn="1" w:lastColumn="0" w:noHBand="0" w:noVBand="1"/>
        <w:tblDescription w:val="Add Alt Text describing the content of the table"/>
      </w:tblPr>
      <w:tblGrid>
        <w:gridCol w:w="2268"/>
        <w:gridCol w:w="6521"/>
      </w:tblGrid>
      <w:tr w:rsidR="0068335F" w:rsidRPr="00560487" w14:paraId="52879ACA" w14:textId="77777777" w:rsidTr="00936A1F">
        <w:trPr>
          <w:cnfStyle w:val="100000000000" w:firstRow="1" w:lastRow="0" w:firstColumn="0" w:lastColumn="0" w:oddVBand="0" w:evenVBand="0" w:oddHBand="0" w:evenHBand="0" w:firstRowFirstColumn="0" w:firstRowLastColumn="0" w:lastRowFirstColumn="0" w:lastRowLastColumn="0"/>
          <w:cantSplit/>
          <w:trHeight w:val="498"/>
          <w:tblHeader/>
        </w:trPr>
        <w:tc>
          <w:tcPr>
            <w:cnfStyle w:val="001000000000" w:firstRow="0" w:lastRow="0" w:firstColumn="1" w:lastColumn="0" w:oddVBand="0" w:evenVBand="0" w:oddHBand="0" w:evenHBand="0" w:firstRowFirstColumn="0" w:firstRowLastColumn="0" w:lastRowFirstColumn="0" w:lastRowLastColumn="0"/>
            <w:tcW w:w="2268" w:type="dxa"/>
          </w:tcPr>
          <w:p w14:paraId="5FB5FBED" w14:textId="77777777" w:rsidR="0029167B" w:rsidRPr="00560487" w:rsidRDefault="0029167B" w:rsidP="0029167B">
            <w:pPr>
              <w:pStyle w:val="TableHeaderWhite"/>
            </w:pPr>
            <w:r w:rsidRPr="00560487">
              <w:t>Date of effect</w:t>
            </w:r>
          </w:p>
          <w:p w14:paraId="638E9C5F" w14:textId="77777777" w:rsidR="0068335F" w:rsidRPr="00560487" w:rsidRDefault="0029167B" w:rsidP="0029167B">
            <w:pPr>
              <w:pStyle w:val="TableHeaderWhite"/>
              <w:rPr>
                <w:b w:val="0"/>
              </w:rPr>
            </w:pPr>
            <w:r w:rsidRPr="00560487">
              <w:rPr>
                <w:b w:val="0"/>
              </w:rPr>
              <w:t>Item</w:t>
            </w:r>
          </w:p>
        </w:tc>
        <w:tc>
          <w:tcPr>
            <w:tcW w:w="6521" w:type="dxa"/>
          </w:tcPr>
          <w:p w14:paraId="7111CA37" w14:textId="77777777" w:rsidR="0068335F" w:rsidRPr="00560487" w:rsidRDefault="0068335F" w:rsidP="001221FC">
            <w:pPr>
              <w:pStyle w:val="TableHeader"/>
              <w:cnfStyle w:val="100000000000" w:firstRow="1" w:lastRow="0" w:firstColumn="0" w:lastColumn="0" w:oddVBand="0" w:evenVBand="0" w:oddHBand="0" w:evenHBand="0" w:firstRowFirstColumn="0" w:firstRowLastColumn="0" w:lastRowFirstColumn="0" w:lastRowLastColumn="0"/>
            </w:pPr>
            <w:r w:rsidRPr="00560487">
              <w:t>Description</w:t>
            </w:r>
          </w:p>
        </w:tc>
      </w:tr>
      <w:tr w:rsidR="003E5E2B" w:rsidRPr="00560487" w14:paraId="575DCA9F" w14:textId="77777777" w:rsidTr="00936A1F">
        <w:trPr>
          <w:cnfStyle w:val="000000100000" w:firstRow="0" w:lastRow="0" w:firstColumn="0" w:lastColumn="0" w:oddVBand="0" w:evenVBand="0" w:oddHBand="1" w:evenHBand="0" w:firstRowFirstColumn="0" w:firstRowLastColumn="0" w:lastRowFirstColumn="0" w:lastRowLastColumn="0"/>
          <w:cantSplit/>
          <w:trHeight w:val="393"/>
        </w:trPr>
        <w:tc>
          <w:tcPr>
            <w:cnfStyle w:val="001000000000" w:firstRow="0" w:lastRow="0" w:firstColumn="1" w:lastColumn="0" w:oddVBand="0" w:evenVBand="0" w:oddHBand="0" w:evenHBand="0" w:firstRowFirstColumn="0" w:firstRowLastColumn="0" w:lastRowFirstColumn="0" w:lastRowLastColumn="0"/>
            <w:tcW w:w="2268" w:type="dxa"/>
          </w:tcPr>
          <w:p w14:paraId="374A0622" w14:textId="77777777" w:rsidR="003E5E2B" w:rsidRPr="00560487" w:rsidRDefault="003E5E2B" w:rsidP="003E5E2B">
            <w:pPr>
              <w:pStyle w:val="Tabletextleft"/>
            </w:pPr>
            <w:r w:rsidRPr="00560487">
              <w:t>1 July 2024</w:t>
            </w:r>
          </w:p>
          <w:p w14:paraId="2DDA1C85" w14:textId="77777777" w:rsidR="003E5E2B" w:rsidRPr="00560487" w:rsidRDefault="003E5E2B" w:rsidP="003E5E2B">
            <w:pPr>
              <w:pStyle w:val="Tabletextleft"/>
            </w:pPr>
            <w:r w:rsidRPr="00560487">
              <w:t>61470</w:t>
            </w:r>
          </w:p>
          <w:p w14:paraId="2384EFD0" w14:textId="77777777" w:rsidR="003E5E2B" w:rsidRPr="00560487" w:rsidRDefault="003E5E2B" w:rsidP="003E5E2B">
            <w:pPr>
              <w:pStyle w:val="Tabletextleft"/>
            </w:pPr>
            <w:r w:rsidRPr="00560487">
              <w:t>61477</w:t>
            </w:r>
          </w:p>
        </w:tc>
        <w:tc>
          <w:tcPr>
            <w:tcW w:w="6521" w:type="dxa"/>
          </w:tcPr>
          <w:p w14:paraId="3DF0BBB4" w14:textId="77777777" w:rsidR="003E5E2B" w:rsidRPr="00560487" w:rsidRDefault="003E5E2B" w:rsidP="003E5E2B">
            <w:pPr>
              <w:pStyle w:val="Tabletextleft"/>
              <w:cnfStyle w:val="000000100000" w:firstRow="0" w:lastRow="0" w:firstColumn="0" w:lastColumn="0" w:oddVBand="0" w:evenVBand="0" w:oddHBand="1" w:evenHBand="0" w:firstRowFirstColumn="0" w:firstRowLastColumn="0" w:lastRowFirstColumn="0" w:lastRowLastColumn="0"/>
            </w:pPr>
            <w:r w:rsidRPr="00560487">
              <w:t>Extend availability and increase the schedule fee for two temporary nuclear medicine items to continue to support the additional cost of the radiopharmaceuticals, thallium-201 and gallium-67, in a range of imaging services.</w:t>
            </w:r>
          </w:p>
        </w:tc>
      </w:tr>
      <w:tr w:rsidR="00936A1F" w:rsidRPr="00560487" w14:paraId="16C43577" w14:textId="77777777" w:rsidTr="00936A1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268" w:type="dxa"/>
          </w:tcPr>
          <w:p w14:paraId="4433149F" w14:textId="77777777" w:rsidR="00936A1F" w:rsidRPr="00560487" w:rsidRDefault="00936A1F" w:rsidP="005E3C29">
            <w:pPr>
              <w:pStyle w:val="Tabletextleft"/>
            </w:pPr>
            <w:r w:rsidRPr="00560487">
              <w:t>1 November 2024</w:t>
            </w:r>
          </w:p>
        </w:tc>
        <w:tc>
          <w:tcPr>
            <w:tcW w:w="6521" w:type="dxa"/>
          </w:tcPr>
          <w:p w14:paraId="76AAEFF3" w14:textId="77777777" w:rsidR="00936A1F" w:rsidRPr="00560487" w:rsidRDefault="00936A1F" w:rsidP="005E3C29">
            <w:pPr>
              <w:pStyle w:val="Tabletextleft"/>
              <w:cnfStyle w:val="000000010000" w:firstRow="0" w:lastRow="0" w:firstColumn="0" w:lastColumn="0" w:oddVBand="0" w:evenVBand="0" w:oddHBand="0" w:evenHBand="1" w:firstRowFirstColumn="0" w:firstRowLastColumn="0" w:lastRowFirstColumn="0" w:lastRowLastColumn="0"/>
            </w:pPr>
            <w:r w:rsidRPr="00560487">
              <w:t>Expand ultrasound imaging requesting rights for nurse practitioners to support their ability to prescribe the MS</w:t>
            </w:r>
            <w:r w:rsidRPr="00560487">
              <w:noBreakHyphen/>
              <w:t>2 Step medical abortion program through adequate before and after care.</w:t>
            </w:r>
          </w:p>
        </w:tc>
      </w:tr>
      <w:tr w:rsidR="003E5E2B" w:rsidRPr="00560487" w14:paraId="2786014F" w14:textId="77777777" w:rsidTr="00936A1F">
        <w:trPr>
          <w:cnfStyle w:val="000000100000" w:firstRow="0" w:lastRow="0" w:firstColumn="0" w:lastColumn="0" w:oddVBand="0" w:evenVBand="0" w:oddHBand="1" w:evenHBand="0" w:firstRowFirstColumn="0" w:firstRowLastColumn="0" w:lastRowFirstColumn="0" w:lastRowLastColumn="0"/>
          <w:cantSplit/>
          <w:trHeight w:val="393"/>
        </w:trPr>
        <w:tc>
          <w:tcPr>
            <w:cnfStyle w:val="001000000000" w:firstRow="0" w:lastRow="0" w:firstColumn="1" w:lastColumn="0" w:oddVBand="0" w:evenVBand="0" w:oddHBand="0" w:evenHBand="0" w:firstRowFirstColumn="0" w:firstRowLastColumn="0" w:lastRowFirstColumn="0" w:lastRowLastColumn="0"/>
            <w:tcW w:w="2268" w:type="dxa"/>
          </w:tcPr>
          <w:p w14:paraId="0043D733" w14:textId="77777777" w:rsidR="003E5E2B" w:rsidRPr="00560487" w:rsidRDefault="003E5E2B" w:rsidP="003E5E2B">
            <w:pPr>
              <w:pStyle w:val="Tabletextleft"/>
            </w:pPr>
            <w:r w:rsidRPr="00560487">
              <w:t>1 November 2024</w:t>
            </w:r>
          </w:p>
        </w:tc>
        <w:tc>
          <w:tcPr>
            <w:tcW w:w="6521" w:type="dxa"/>
          </w:tcPr>
          <w:p w14:paraId="45A35F26" w14:textId="4C079034" w:rsidR="003E5E2B" w:rsidRPr="00560487" w:rsidRDefault="003E5E2B" w:rsidP="003E5E2B">
            <w:pPr>
              <w:pStyle w:val="Tabletextleft"/>
              <w:cnfStyle w:val="000000100000" w:firstRow="0" w:lastRow="0" w:firstColumn="0" w:lastColumn="0" w:oddVBand="0" w:evenVBand="0" w:oddHBand="1" w:evenHBand="0" w:firstRowFirstColumn="0" w:firstRowLastColumn="0" w:lastRowFirstColumn="0" w:lastRowLastColumn="0"/>
            </w:pPr>
            <w:r w:rsidRPr="00560487">
              <w:t xml:space="preserve">Introduce new tests for </w:t>
            </w:r>
            <w:r w:rsidR="00F2614C" w:rsidRPr="00560487">
              <w:t xml:space="preserve">Brain Natriuretic Peptide (BNP) or </w:t>
            </w:r>
            <w:r w:rsidRPr="00560487">
              <w:t>N-Terminal-pro Brain Natriuretic Peptide (NT-</w:t>
            </w:r>
            <w:proofErr w:type="spellStart"/>
            <w:r w:rsidRPr="00560487">
              <w:t>proBNP</w:t>
            </w:r>
            <w:proofErr w:type="spellEnd"/>
            <w:r w:rsidRPr="00560487">
              <w:t>) to aid in the diagnosis of patients with suspected heart failure in a non-hospital setting.</w:t>
            </w:r>
          </w:p>
        </w:tc>
      </w:tr>
      <w:tr w:rsidR="003E5E2B" w:rsidRPr="00560487" w14:paraId="0EFB13BE" w14:textId="77777777" w:rsidTr="00936A1F">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5AED0705" w14:textId="77777777" w:rsidR="003E5E2B" w:rsidRPr="00560487" w:rsidRDefault="003E5E2B" w:rsidP="003E5E2B">
            <w:pPr>
              <w:pStyle w:val="Tabletextleft"/>
            </w:pPr>
            <w:r w:rsidRPr="00560487">
              <w:t>1 November 2024</w:t>
            </w:r>
          </w:p>
        </w:tc>
        <w:tc>
          <w:tcPr>
            <w:tcW w:w="6521" w:type="dxa"/>
          </w:tcPr>
          <w:p w14:paraId="5233240E" w14:textId="77777777" w:rsidR="003E5E2B" w:rsidRPr="00560487" w:rsidRDefault="003E5E2B" w:rsidP="003E5E2B">
            <w:pPr>
              <w:pStyle w:val="Tabletextleft"/>
              <w:cnfStyle w:val="000000010000" w:firstRow="0" w:lastRow="0" w:firstColumn="0" w:lastColumn="0" w:oddVBand="0" w:evenVBand="0" w:oddHBand="0" w:evenHBand="1" w:firstRowFirstColumn="0" w:firstRowLastColumn="0" w:lastRowFirstColumn="0" w:lastRowLastColumn="0"/>
            </w:pPr>
            <w:r w:rsidRPr="00560487">
              <w:t xml:space="preserve">Introduce point of care testing for detection of </w:t>
            </w:r>
            <w:proofErr w:type="spellStart"/>
            <w:r w:rsidRPr="00560487">
              <w:t>neisseria</w:t>
            </w:r>
            <w:proofErr w:type="spellEnd"/>
            <w:r w:rsidRPr="00560487">
              <w:t xml:space="preserve"> gonorrhoea, chlamydia trachomatis and trichomonas </w:t>
            </w:r>
            <w:proofErr w:type="spellStart"/>
            <w:r w:rsidRPr="00560487">
              <w:t>vaginalis</w:t>
            </w:r>
            <w:proofErr w:type="spellEnd"/>
            <w:r w:rsidRPr="00560487">
              <w:t xml:space="preserve"> to providers located within remote (MM 6) and very remote (MM 7) communities.</w:t>
            </w:r>
          </w:p>
        </w:tc>
      </w:tr>
      <w:tr w:rsidR="003E5E2B" w:rsidRPr="00560487" w14:paraId="43CE18E7" w14:textId="77777777" w:rsidTr="00936A1F">
        <w:trPr>
          <w:cnfStyle w:val="000000100000" w:firstRow="0" w:lastRow="0" w:firstColumn="0" w:lastColumn="0" w:oddVBand="0" w:evenVBand="0" w:oddHBand="1"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51310DA7" w14:textId="77777777" w:rsidR="003E5E2B" w:rsidRPr="00560487" w:rsidRDefault="003E5E2B" w:rsidP="003E5E2B">
            <w:pPr>
              <w:pStyle w:val="Tabletextleft"/>
            </w:pPr>
            <w:r w:rsidRPr="00560487">
              <w:t>1 November 2024</w:t>
            </w:r>
          </w:p>
        </w:tc>
        <w:tc>
          <w:tcPr>
            <w:tcW w:w="6521" w:type="dxa"/>
          </w:tcPr>
          <w:p w14:paraId="61E5B142" w14:textId="77777777" w:rsidR="003E5E2B" w:rsidRPr="00560487" w:rsidRDefault="003E5E2B" w:rsidP="003E5E2B">
            <w:pPr>
              <w:pStyle w:val="Tabletextleft"/>
              <w:cnfStyle w:val="000000100000" w:firstRow="0" w:lastRow="0" w:firstColumn="0" w:lastColumn="0" w:oddVBand="0" w:evenVBand="0" w:oddHBand="1" w:evenHBand="0" w:firstRowFirstColumn="0" w:firstRowLastColumn="0" w:lastRowFirstColumn="0" w:lastRowLastColumn="0"/>
            </w:pPr>
            <w:r w:rsidRPr="00560487">
              <w:t>Introduce a new item for follow up PET/CT imaging for the assessment of treatment response and recurrence for patients with eligible rare cancer types.</w:t>
            </w:r>
          </w:p>
        </w:tc>
      </w:tr>
      <w:tr w:rsidR="003E5E2B" w:rsidRPr="00560487" w14:paraId="093496E8" w14:textId="77777777" w:rsidTr="00936A1F">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549E2D49" w14:textId="77777777" w:rsidR="003E5E2B" w:rsidRPr="00560487" w:rsidRDefault="003E5E2B" w:rsidP="003E5E2B">
            <w:pPr>
              <w:pStyle w:val="Tabletextleft"/>
            </w:pPr>
            <w:r w:rsidRPr="00560487">
              <w:t>1 November 2024</w:t>
            </w:r>
          </w:p>
          <w:p w14:paraId="533C1B6A" w14:textId="77777777" w:rsidR="003E5E2B" w:rsidRPr="00560487" w:rsidRDefault="003E5E2B" w:rsidP="003E5E2B">
            <w:pPr>
              <w:pStyle w:val="Tabletextleft"/>
            </w:pPr>
            <w:r w:rsidRPr="00560487">
              <w:t>73420</w:t>
            </w:r>
          </w:p>
          <w:p w14:paraId="43F49FCD" w14:textId="77777777" w:rsidR="003E5E2B" w:rsidRPr="00560487" w:rsidRDefault="003E5E2B" w:rsidP="003E5E2B">
            <w:pPr>
              <w:pStyle w:val="Tabletextleft"/>
            </w:pPr>
            <w:r w:rsidRPr="00560487">
              <w:t>73421</w:t>
            </w:r>
          </w:p>
        </w:tc>
        <w:tc>
          <w:tcPr>
            <w:tcW w:w="6521" w:type="dxa"/>
          </w:tcPr>
          <w:p w14:paraId="1AA363B3" w14:textId="115E3F55" w:rsidR="003E5E2B" w:rsidRPr="00560487" w:rsidRDefault="003E5E2B" w:rsidP="0045494D">
            <w:pPr>
              <w:pStyle w:val="Tabletextleft"/>
              <w:cnfStyle w:val="000000010000" w:firstRow="0" w:lastRow="0" w:firstColumn="0" w:lastColumn="0" w:oddVBand="0" w:evenVBand="0" w:oddHBand="0" w:evenHBand="1" w:firstRowFirstColumn="0" w:firstRowLastColumn="0" w:lastRowFirstColumn="0" w:lastRowLastColumn="0"/>
            </w:pPr>
            <w:r w:rsidRPr="00560487">
              <w:t>Increase</w:t>
            </w:r>
            <w:r w:rsidR="0045494D" w:rsidRPr="00560487">
              <w:t xml:space="preserve"> the</w:t>
            </w:r>
            <w:r w:rsidRPr="00560487">
              <w:t xml:space="preserve"> fee for MBS item 73420 for Rhesus D non-invasive prenatal testing (NIPT) of non-</w:t>
            </w:r>
            <w:proofErr w:type="spellStart"/>
            <w:r w:rsidRPr="00560487">
              <w:t>alloimmunised</w:t>
            </w:r>
            <w:proofErr w:type="spellEnd"/>
            <w:r w:rsidRPr="00560487">
              <w:t xml:space="preserve"> patients and amend item 73421 to include patients expecting more than one child.</w:t>
            </w:r>
          </w:p>
        </w:tc>
      </w:tr>
      <w:tr w:rsidR="003E5E2B" w:rsidRPr="00560487" w14:paraId="124ADE1C" w14:textId="77777777" w:rsidTr="00936A1F">
        <w:trPr>
          <w:cnfStyle w:val="000000100000" w:firstRow="0" w:lastRow="0" w:firstColumn="0" w:lastColumn="0" w:oddVBand="0" w:evenVBand="0" w:oddHBand="1"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418E03B2" w14:textId="77777777" w:rsidR="003E5E2B" w:rsidRPr="00560487" w:rsidRDefault="003E5E2B" w:rsidP="003E5E2B">
            <w:pPr>
              <w:pStyle w:val="Tabletextleft"/>
            </w:pPr>
            <w:r w:rsidRPr="00560487">
              <w:t>1 November 2024</w:t>
            </w:r>
          </w:p>
          <w:p w14:paraId="00308D19" w14:textId="77777777" w:rsidR="003E5E2B" w:rsidRPr="00560487" w:rsidRDefault="003E5E2B" w:rsidP="003E5E2B">
            <w:pPr>
              <w:pStyle w:val="Tabletextleft"/>
            </w:pPr>
            <w:r w:rsidRPr="00560487">
              <w:t>73441</w:t>
            </w:r>
          </w:p>
        </w:tc>
        <w:tc>
          <w:tcPr>
            <w:tcW w:w="6521" w:type="dxa"/>
          </w:tcPr>
          <w:p w14:paraId="61A1ABDB" w14:textId="77777777" w:rsidR="003E5E2B" w:rsidRPr="00560487" w:rsidRDefault="003E5E2B" w:rsidP="003E5E2B">
            <w:pPr>
              <w:pStyle w:val="Tabletextleft"/>
              <w:cnfStyle w:val="000000100000" w:firstRow="0" w:lastRow="0" w:firstColumn="0" w:lastColumn="0" w:oddVBand="0" w:evenVBand="0" w:oddHBand="1" w:evenHBand="0" w:firstRowFirstColumn="0" w:firstRowLastColumn="0" w:lastRowFirstColumn="0" w:lastRowLastColumn="0"/>
            </w:pPr>
            <w:r w:rsidRPr="00560487">
              <w:t>Amend item 73441 for genetic testing for childhood hearing loss to clarify policy intent and allow patients with unilateral hearing loss to access testing.</w:t>
            </w:r>
          </w:p>
        </w:tc>
      </w:tr>
      <w:tr w:rsidR="003E5E2B" w:rsidRPr="00560487" w14:paraId="7F0BFEF2" w14:textId="77777777" w:rsidTr="00936A1F">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5D378919" w14:textId="77777777" w:rsidR="003E5E2B" w:rsidRPr="00560487" w:rsidRDefault="003E5E2B" w:rsidP="003E5E2B">
            <w:pPr>
              <w:pStyle w:val="Tabletextleft"/>
            </w:pPr>
            <w:r w:rsidRPr="00560487">
              <w:t>1 November 2024</w:t>
            </w:r>
          </w:p>
          <w:p w14:paraId="36937560" w14:textId="77777777" w:rsidR="003E5E2B" w:rsidRPr="00560487" w:rsidRDefault="003E5E2B" w:rsidP="003E5E2B">
            <w:pPr>
              <w:pStyle w:val="Tabletextleft"/>
            </w:pPr>
            <w:r w:rsidRPr="00560487">
              <w:t>73451</w:t>
            </w:r>
          </w:p>
        </w:tc>
        <w:tc>
          <w:tcPr>
            <w:tcW w:w="6521" w:type="dxa"/>
          </w:tcPr>
          <w:p w14:paraId="520AAFED" w14:textId="77777777" w:rsidR="003E5E2B" w:rsidRPr="00560487" w:rsidRDefault="003E5E2B" w:rsidP="003E5E2B">
            <w:pPr>
              <w:pStyle w:val="Tabletextleft"/>
              <w:cnfStyle w:val="000000010000" w:firstRow="0" w:lastRow="0" w:firstColumn="0" w:lastColumn="0" w:oddVBand="0" w:evenVBand="0" w:oddHBand="0" w:evenHBand="1" w:firstRowFirstColumn="0" w:firstRowLastColumn="0" w:lastRowFirstColumn="0" w:lastRowLastColumn="0"/>
            </w:pPr>
            <w:r w:rsidRPr="00560487">
              <w:t>Amend item 73451 for reproductive carrier testing for cystic fibrosis, spinal muscular atrophy and fragile X syndrome to clarify policy intent and mitigate inappropriate co-claiming.</w:t>
            </w:r>
          </w:p>
        </w:tc>
      </w:tr>
      <w:tr w:rsidR="003E5E2B" w:rsidRPr="00560487" w14:paraId="02C84E88" w14:textId="77777777" w:rsidTr="00936A1F">
        <w:trPr>
          <w:cnfStyle w:val="000000100000" w:firstRow="0" w:lastRow="0" w:firstColumn="0" w:lastColumn="0" w:oddVBand="0" w:evenVBand="0" w:oddHBand="1"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0A4080AE" w14:textId="77777777" w:rsidR="003E5E2B" w:rsidRPr="00560487" w:rsidRDefault="003E5E2B" w:rsidP="003E5E2B">
            <w:pPr>
              <w:pStyle w:val="Tabletextleft"/>
            </w:pPr>
            <w:r w:rsidRPr="00560487">
              <w:lastRenderedPageBreak/>
              <w:t>1 November 2024</w:t>
            </w:r>
          </w:p>
          <w:p w14:paraId="679542F0" w14:textId="77777777" w:rsidR="003E5E2B" w:rsidRPr="00560487" w:rsidRDefault="003E5E2B" w:rsidP="003E5E2B">
            <w:pPr>
              <w:pStyle w:val="Tabletextleft"/>
            </w:pPr>
            <w:r w:rsidRPr="00560487">
              <w:t>73429</w:t>
            </w:r>
          </w:p>
        </w:tc>
        <w:tc>
          <w:tcPr>
            <w:tcW w:w="6521" w:type="dxa"/>
          </w:tcPr>
          <w:p w14:paraId="6435E613" w14:textId="77777777" w:rsidR="003E5E2B" w:rsidRPr="00560487" w:rsidRDefault="003E5E2B" w:rsidP="003E5E2B">
            <w:pPr>
              <w:pStyle w:val="Tabletextleft"/>
              <w:cnfStyle w:val="000000100000" w:firstRow="0" w:lastRow="0" w:firstColumn="0" w:lastColumn="0" w:oddVBand="0" w:evenVBand="0" w:oddHBand="1" w:evenHBand="0" w:firstRowFirstColumn="0" w:firstRowLastColumn="0" w:lastRowFirstColumn="0" w:lastRowLastColumn="0"/>
            </w:pPr>
            <w:r w:rsidRPr="00560487">
              <w:t>Amend item 73429 for somatic gene panel testing for the diagnosis and classification of gliomas to clarify policy intent and remove the specification of test methodologies.</w:t>
            </w:r>
          </w:p>
        </w:tc>
      </w:tr>
      <w:tr w:rsidR="003E5E2B" w:rsidRPr="00560487" w14:paraId="05AAE003" w14:textId="77777777" w:rsidTr="00936A1F">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597972E6" w14:textId="77777777" w:rsidR="003E5E2B" w:rsidRPr="00560487" w:rsidRDefault="003E5E2B" w:rsidP="003E5E2B">
            <w:pPr>
              <w:pStyle w:val="Tabletextleft"/>
            </w:pPr>
            <w:r w:rsidRPr="00560487">
              <w:t>1 November 2024</w:t>
            </w:r>
          </w:p>
          <w:p w14:paraId="2339C3F1" w14:textId="77777777" w:rsidR="003E5E2B" w:rsidRPr="00560487" w:rsidRDefault="003E5E2B" w:rsidP="003E5E2B">
            <w:pPr>
              <w:pStyle w:val="Tabletextleft"/>
            </w:pPr>
            <w:r w:rsidRPr="00560487">
              <w:t>73343</w:t>
            </w:r>
          </w:p>
        </w:tc>
        <w:tc>
          <w:tcPr>
            <w:tcW w:w="6521" w:type="dxa"/>
          </w:tcPr>
          <w:p w14:paraId="7A1EAB9F" w14:textId="639F77CF" w:rsidR="003E5E2B" w:rsidRPr="00560487" w:rsidRDefault="003E5E2B" w:rsidP="003E5E2B">
            <w:pPr>
              <w:pStyle w:val="Tabletextleft"/>
              <w:cnfStyle w:val="000000010000" w:firstRow="0" w:lastRow="0" w:firstColumn="0" w:lastColumn="0" w:oddVBand="0" w:evenVBand="0" w:oddHBand="0" w:evenHBand="1" w:firstRowFirstColumn="0" w:firstRowLastColumn="0" w:lastRowFirstColumn="0" w:lastRowLastColumn="0"/>
            </w:pPr>
            <w:r w:rsidRPr="00560487">
              <w:t xml:space="preserve">Amend item 73343 </w:t>
            </w:r>
            <w:r w:rsidR="008D5DCA" w:rsidRPr="00560487">
              <w:t xml:space="preserve">for 17p deletion testing of patients with chronic lymphocytic leukaemia (CLL) or small lymphocytic lymphoma (SLL) </w:t>
            </w:r>
            <w:r w:rsidRPr="00560487">
              <w:t>to remove the specification of test methodologies.</w:t>
            </w:r>
          </w:p>
        </w:tc>
      </w:tr>
      <w:tr w:rsidR="003E5E2B" w:rsidRPr="00560487" w14:paraId="1A8B111B" w14:textId="77777777" w:rsidTr="00936A1F">
        <w:trPr>
          <w:cnfStyle w:val="000000100000" w:firstRow="0" w:lastRow="0" w:firstColumn="0" w:lastColumn="0" w:oddVBand="0" w:evenVBand="0" w:oddHBand="1"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07608046" w14:textId="77777777" w:rsidR="003E5E2B" w:rsidRPr="00560487" w:rsidRDefault="003E5E2B" w:rsidP="003E5E2B">
            <w:pPr>
              <w:pStyle w:val="Tabletextleft"/>
            </w:pPr>
            <w:r w:rsidRPr="00560487">
              <w:t>1 November 2024</w:t>
            </w:r>
          </w:p>
          <w:p w14:paraId="1C25C537" w14:textId="77777777" w:rsidR="003E5E2B" w:rsidRPr="00560487" w:rsidRDefault="003E5E2B" w:rsidP="003E5E2B">
            <w:pPr>
              <w:pStyle w:val="Tabletextleft"/>
            </w:pPr>
            <w:r w:rsidRPr="00560487">
              <w:t>73422</w:t>
            </w:r>
          </w:p>
          <w:p w14:paraId="700B82E7" w14:textId="77777777" w:rsidR="003E5E2B" w:rsidRPr="00560487" w:rsidRDefault="003E5E2B" w:rsidP="003E5E2B">
            <w:pPr>
              <w:pStyle w:val="Tabletextleft"/>
            </w:pPr>
            <w:r w:rsidRPr="00560487">
              <w:t>73424</w:t>
            </w:r>
          </w:p>
          <w:p w14:paraId="04A9D367" w14:textId="77777777" w:rsidR="003E5E2B" w:rsidRPr="00560487" w:rsidRDefault="003E5E2B" w:rsidP="003E5E2B">
            <w:pPr>
              <w:pStyle w:val="Tabletextleft"/>
            </w:pPr>
            <w:r w:rsidRPr="00560487">
              <w:t>73434</w:t>
            </w:r>
          </w:p>
        </w:tc>
        <w:tc>
          <w:tcPr>
            <w:tcW w:w="6521" w:type="dxa"/>
          </w:tcPr>
          <w:p w14:paraId="021FD716" w14:textId="77777777" w:rsidR="003E5E2B" w:rsidRPr="00560487" w:rsidRDefault="003E5E2B" w:rsidP="003E5E2B">
            <w:pPr>
              <w:pStyle w:val="Tabletextleft"/>
              <w:cnfStyle w:val="000000100000" w:firstRow="0" w:lastRow="0" w:firstColumn="0" w:lastColumn="0" w:oddVBand="0" w:evenVBand="0" w:oddHBand="1" w:evenHBand="0" w:firstRowFirstColumn="0" w:firstRowLastColumn="0" w:lastRowFirstColumn="0" w:lastRowLastColumn="0"/>
            </w:pPr>
            <w:r w:rsidRPr="00560487">
              <w:t>Amend items, 73422, 73424 and 73434 to clarify policy intent and specify the purposes of particular types of genetic testing for various neuromuscular conditions.</w:t>
            </w:r>
          </w:p>
        </w:tc>
      </w:tr>
      <w:tr w:rsidR="003E5E2B" w14:paraId="107305FB" w14:textId="77777777" w:rsidTr="00936A1F">
        <w:trPr>
          <w:cnfStyle w:val="000000010000" w:firstRow="0" w:lastRow="0" w:firstColumn="0" w:lastColumn="0" w:oddVBand="0" w:evenVBand="0" w:oddHBand="0" w:evenHBand="1"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2268" w:type="dxa"/>
          </w:tcPr>
          <w:p w14:paraId="641BEF6F" w14:textId="77777777" w:rsidR="003E5E2B" w:rsidRPr="00560487" w:rsidRDefault="003E5E2B" w:rsidP="003E5E2B">
            <w:pPr>
              <w:pStyle w:val="Tabletextleft"/>
            </w:pPr>
            <w:r w:rsidRPr="00560487">
              <w:t>1 November 2024</w:t>
            </w:r>
          </w:p>
          <w:p w14:paraId="1EBD4FC4" w14:textId="77777777" w:rsidR="003E5E2B" w:rsidRPr="00560487" w:rsidRDefault="003E5E2B" w:rsidP="003E5E2B">
            <w:pPr>
              <w:pStyle w:val="Tabletextleft"/>
            </w:pPr>
            <w:r w:rsidRPr="00560487">
              <w:t>63476</w:t>
            </w:r>
          </w:p>
        </w:tc>
        <w:tc>
          <w:tcPr>
            <w:tcW w:w="6521" w:type="dxa"/>
          </w:tcPr>
          <w:p w14:paraId="5FA9CEE5" w14:textId="77777777" w:rsidR="003E5E2B" w:rsidRDefault="003E5E2B" w:rsidP="003E5E2B">
            <w:pPr>
              <w:pStyle w:val="Tabletextleft"/>
              <w:cnfStyle w:val="000000010000" w:firstRow="0" w:lastRow="0" w:firstColumn="0" w:lastColumn="0" w:oddVBand="0" w:evenVBand="0" w:oddHBand="0" w:evenHBand="1" w:firstRowFirstColumn="0" w:firstRowLastColumn="0" w:lastRowFirstColumn="0" w:lastRowLastColumn="0"/>
            </w:pPr>
            <w:r w:rsidRPr="00560487">
              <w:t>Amend existing MRI item 63476 to include its use for the restaging and follow up of rectal cancer.</w:t>
            </w:r>
          </w:p>
        </w:tc>
      </w:tr>
    </w:tbl>
    <w:p w14:paraId="27B9190B" w14:textId="77777777" w:rsidR="004E5ACF" w:rsidRPr="00D8074B" w:rsidRDefault="004E5ACF" w:rsidP="00D8074B"/>
    <w:sectPr w:rsidR="004E5ACF" w:rsidRPr="00D8074B" w:rsidSect="00A74345">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1054" w14:textId="77777777" w:rsidR="00D145EB" w:rsidRDefault="00D145EB" w:rsidP="00934368">
      <w:r>
        <w:separator/>
      </w:r>
    </w:p>
    <w:p w14:paraId="14CE5245" w14:textId="77777777" w:rsidR="00D145EB" w:rsidRDefault="00D145EB" w:rsidP="00934368"/>
  </w:endnote>
  <w:endnote w:type="continuationSeparator" w:id="0">
    <w:p w14:paraId="335C977D" w14:textId="77777777" w:rsidR="00D145EB" w:rsidRDefault="00D145EB" w:rsidP="00934368">
      <w:r>
        <w:continuationSeparator/>
      </w:r>
    </w:p>
    <w:p w14:paraId="022C7247" w14:textId="77777777" w:rsidR="00D145EB" w:rsidRDefault="00D145EB" w:rsidP="00934368"/>
  </w:endnote>
  <w:endnote w:type="continuationNotice" w:id="1">
    <w:p w14:paraId="7AC51A2C" w14:textId="77777777" w:rsidR="00D145EB" w:rsidRDefault="00D145EB"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0AE1" w14:textId="7C454B71" w:rsidR="00751A23" w:rsidRPr="00751A23" w:rsidRDefault="00AD348C" w:rsidP="00934368">
    <w:pPr>
      <w:pStyle w:val="Footer"/>
    </w:pPr>
    <w:r>
      <w:t>Budget 2024–25 New and amended MBS listings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0FB9" w14:textId="77777777" w:rsidR="00D145EB" w:rsidRDefault="00D145EB" w:rsidP="00934368">
      <w:r>
        <w:separator/>
      </w:r>
    </w:p>
    <w:p w14:paraId="7470D99C" w14:textId="77777777" w:rsidR="00D145EB" w:rsidRDefault="00D145EB" w:rsidP="00934368"/>
  </w:footnote>
  <w:footnote w:type="continuationSeparator" w:id="0">
    <w:p w14:paraId="01E1DF36" w14:textId="77777777" w:rsidR="00D145EB" w:rsidRDefault="00D145EB" w:rsidP="00934368">
      <w:r>
        <w:continuationSeparator/>
      </w:r>
    </w:p>
    <w:p w14:paraId="513CD177" w14:textId="77777777" w:rsidR="00D145EB" w:rsidRDefault="00D145EB" w:rsidP="00934368"/>
  </w:footnote>
  <w:footnote w:type="continuationNotice" w:id="1">
    <w:p w14:paraId="2102C9CD" w14:textId="77777777" w:rsidR="00D145EB" w:rsidRDefault="00D145EB"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C228" w14:textId="77777777" w:rsidR="008E0C77" w:rsidRDefault="003C5B6C" w:rsidP="00934368">
    <w:pPr>
      <w:pStyle w:val="Headertext"/>
    </w:pPr>
    <w:r>
      <w:rPr>
        <w:noProof/>
        <w:lang w:eastAsia="en-AU"/>
      </w:rPr>
      <w:drawing>
        <wp:anchor distT="0" distB="0" distL="114300" distR="114300" simplePos="0" relativeHeight="251659264" behindDoc="1" locked="0" layoutInCell="1" allowOverlap="1" wp14:anchorId="0F63FE9D" wp14:editId="0A2B87A2">
          <wp:simplePos x="0" y="0"/>
          <wp:positionH relativeFrom="page">
            <wp:align>left</wp:align>
          </wp:positionH>
          <wp:positionV relativeFrom="page">
            <wp:align>top</wp:align>
          </wp:positionV>
          <wp:extent cx="7578000" cy="10710000"/>
          <wp:effectExtent l="0" t="0" r="4445" b="0"/>
          <wp:wrapNone/>
          <wp:docPr id="1328196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96055" name="Picture 1328196055"/>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74FF7"/>
    <w:multiLevelType w:val="hybridMultilevel"/>
    <w:tmpl w:val="BA44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6B12D2"/>
    <w:multiLevelType w:val="hybridMultilevel"/>
    <w:tmpl w:val="626EB26A"/>
    <w:lvl w:ilvl="0" w:tplc="F9FAB0D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6E37D0"/>
    <w:multiLevelType w:val="hybridMultilevel"/>
    <w:tmpl w:val="144A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2349DA"/>
    <w:multiLevelType w:val="hybridMultilevel"/>
    <w:tmpl w:val="F8FEF588"/>
    <w:lvl w:ilvl="0" w:tplc="F9FAB0D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D07566"/>
    <w:multiLevelType w:val="hybridMultilevel"/>
    <w:tmpl w:val="505AE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22"/>
  </w:num>
  <w:num w:numId="4">
    <w:abstractNumId w:val="8"/>
  </w:num>
  <w:num w:numId="5">
    <w:abstractNumId w:val="8"/>
    <w:lvlOverride w:ilvl="0">
      <w:startOverride w:val="1"/>
    </w:lvlOverride>
  </w:num>
  <w:num w:numId="6">
    <w:abstractNumId w:val="9"/>
  </w:num>
  <w:num w:numId="7">
    <w:abstractNumId w:val="14"/>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0"/>
  </w:num>
  <w:num w:numId="18">
    <w:abstractNumId w:val="11"/>
  </w:num>
  <w:num w:numId="19">
    <w:abstractNumId w:val="13"/>
  </w:num>
  <w:num w:numId="20">
    <w:abstractNumId w:val="10"/>
  </w:num>
  <w:num w:numId="21">
    <w:abstractNumId w:val="13"/>
  </w:num>
  <w:num w:numId="22">
    <w:abstractNumId w:val="23"/>
  </w:num>
  <w:num w:numId="23">
    <w:abstractNumId w:val="16"/>
  </w:num>
  <w:num w:numId="24">
    <w:abstractNumId w:val="22"/>
  </w:num>
  <w:num w:numId="25">
    <w:abstractNumId w:val="8"/>
  </w:num>
  <w:num w:numId="26">
    <w:abstractNumId w:val="15"/>
  </w:num>
  <w:num w:numId="27">
    <w:abstractNumId w:val="18"/>
  </w:num>
  <w:num w:numId="28">
    <w:abstractNumId w:val="20"/>
  </w:num>
  <w:num w:numId="29">
    <w:abstractNumId w:val="19"/>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8C"/>
    <w:rsid w:val="00001F41"/>
    <w:rsid w:val="00003743"/>
    <w:rsid w:val="000047B4"/>
    <w:rsid w:val="00005712"/>
    <w:rsid w:val="00007FD8"/>
    <w:rsid w:val="000117F8"/>
    <w:rsid w:val="00026139"/>
    <w:rsid w:val="00027071"/>
    <w:rsid w:val="00027601"/>
    <w:rsid w:val="00033321"/>
    <w:rsid w:val="000338E5"/>
    <w:rsid w:val="00033ECC"/>
    <w:rsid w:val="0003422F"/>
    <w:rsid w:val="00046B77"/>
    <w:rsid w:val="00046FF0"/>
    <w:rsid w:val="00047573"/>
    <w:rsid w:val="00050176"/>
    <w:rsid w:val="00062B65"/>
    <w:rsid w:val="0006662D"/>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BC5"/>
    <w:rsid w:val="000F2FED"/>
    <w:rsid w:val="0010616D"/>
    <w:rsid w:val="00110478"/>
    <w:rsid w:val="0011711B"/>
    <w:rsid w:val="00117F8A"/>
    <w:rsid w:val="00121B9B"/>
    <w:rsid w:val="00122ADC"/>
    <w:rsid w:val="00123EAD"/>
    <w:rsid w:val="00130F59"/>
    <w:rsid w:val="001335A6"/>
    <w:rsid w:val="00133EC0"/>
    <w:rsid w:val="00141CE5"/>
    <w:rsid w:val="00144908"/>
    <w:rsid w:val="001473BA"/>
    <w:rsid w:val="001571C7"/>
    <w:rsid w:val="00161094"/>
    <w:rsid w:val="00172A55"/>
    <w:rsid w:val="001758CD"/>
    <w:rsid w:val="0017665C"/>
    <w:rsid w:val="00177AD2"/>
    <w:rsid w:val="001815A8"/>
    <w:rsid w:val="001840FA"/>
    <w:rsid w:val="00190079"/>
    <w:rsid w:val="001914E7"/>
    <w:rsid w:val="0019353E"/>
    <w:rsid w:val="0019622E"/>
    <w:rsid w:val="001966A7"/>
    <w:rsid w:val="001A4627"/>
    <w:rsid w:val="001A4979"/>
    <w:rsid w:val="001B15D3"/>
    <w:rsid w:val="001B3443"/>
    <w:rsid w:val="001C0326"/>
    <w:rsid w:val="001C192F"/>
    <w:rsid w:val="001C3C42"/>
    <w:rsid w:val="001D7869"/>
    <w:rsid w:val="001E3E40"/>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2202"/>
    <w:rsid w:val="0028519E"/>
    <w:rsid w:val="002856A5"/>
    <w:rsid w:val="002872ED"/>
    <w:rsid w:val="002905C2"/>
    <w:rsid w:val="0029167B"/>
    <w:rsid w:val="00295AF2"/>
    <w:rsid w:val="00295C91"/>
    <w:rsid w:val="00297151"/>
    <w:rsid w:val="002A0910"/>
    <w:rsid w:val="002B20E6"/>
    <w:rsid w:val="002B42A3"/>
    <w:rsid w:val="002B6CFB"/>
    <w:rsid w:val="002C0CDD"/>
    <w:rsid w:val="002E05A9"/>
    <w:rsid w:val="002E1A1D"/>
    <w:rsid w:val="002E4081"/>
    <w:rsid w:val="002E5B78"/>
    <w:rsid w:val="002E7AD5"/>
    <w:rsid w:val="002F3AE3"/>
    <w:rsid w:val="00303B35"/>
    <w:rsid w:val="0030464B"/>
    <w:rsid w:val="0030786C"/>
    <w:rsid w:val="00322A9A"/>
    <w:rsid w:val="003233DE"/>
    <w:rsid w:val="0032466B"/>
    <w:rsid w:val="00327B44"/>
    <w:rsid w:val="003330EB"/>
    <w:rsid w:val="003339CE"/>
    <w:rsid w:val="00336605"/>
    <w:rsid w:val="003415FD"/>
    <w:rsid w:val="003429F0"/>
    <w:rsid w:val="0035097A"/>
    <w:rsid w:val="003540A4"/>
    <w:rsid w:val="00360E4E"/>
    <w:rsid w:val="00370AAA"/>
    <w:rsid w:val="00373A0D"/>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C5B6C"/>
    <w:rsid w:val="003D17F9"/>
    <w:rsid w:val="003D2D88"/>
    <w:rsid w:val="003D41EA"/>
    <w:rsid w:val="003D4850"/>
    <w:rsid w:val="003D535A"/>
    <w:rsid w:val="003D5535"/>
    <w:rsid w:val="003E5265"/>
    <w:rsid w:val="003E5E2B"/>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94D"/>
    <w:rsid w:val="00454B9B"/>
    <w:rsid w:val="00457858"/>
    <w:rsid w:val="00460B0B"/>
    <w:rsid w:val="00461023"/>
    <w:rsid w:val="00462FAC"/>
    <w:rsid w:val="00464631"/>
    <w:rsid w:val="00464B79"/>
    <w:rsid w:val="00467BBF"/>
    <w:rsid w:val="004867E2"/>
    <w:rsid w:val="004929A9"/>
    <w:rsid w:val="004957FC"/>
    <w:rsid w:val="004A51E0"/>
    <w:rsid w:val="004C2FEC"/>
    <w:rsid w:val="004C63C3"/>
    <w:rsid w:val="004C6BCF"/>
    <w:rsid w:val="004D58BF"/>
    <w:rsid w:val="004E4335"/>
    <w:rsid w:val="004E5ACF"/>
    <w:rsid w:val="004E6C2F"/>
    <w:rsid w:val="004F13EE"/>
    <w:rsid w:val="004F2022"/>
    <w:rsid w:val="004F7C05"/>
    <w:rsid w:val="00501C94"/>
    <w:rsid w:val="00506432"/>
    <w:rsid w:val="0051242B"/>
    <w:rsid w:val="0052018A"/>
    <w:rsid w:val="0052051D"/>
    <w:rsid w:val="00545EE6"/>
    <w:rsid w:val="005550E7"/>
    <w:rsid w:val="005564FB"/>
    <w:rsid w:val="005572C7"/>
    <w:rsid w:val="00560487"/>
    <w:rsid w:val="005650ED"/>
    <w:rsid w:val="00575754"/>
    <w:rsid w:val="005845DE"/>
    <w:rsid w:val="00591E20"/>
    <w:rsid w:val="00595408"/>
    <w:rsid w:val="00595E84"/>
    <w:rsid w:val="00597D79"/>
    <w:rsid w:val="005A0655"/>
    <w:rsid w:val="005A0C59"/>
    <w:rsid w:val="005A48EB"/>
    <w:rsid w:val="005A6CFB"/>
    <w:rsid w:val="005C5AEB"/>
    <w:rsid w:val="005E0A3F"/>
    <w:rsid w:val="005E1369"/>
    <w:rsid w:val="005E6883"/>
    <w:rsid w:val="005E68C4"/>
    <w:rsid w:val="005E772F"/>
    <w:rsid w:val="005F4ECA"/>
    <w:rsid w:val="00603309"/>
    <w:rsid w:val="006041BE"/>
    <w:rsid w:val="006043C7"/>
    <w:rsid w:val="00624B52"/>
    <w:rsid w:val="00631DF4"/>
    <w:rsid w:val="00634175"/>
    <w:rsid w:val="006408AC"/>
    <w:rsid w:val="00642494"/>
    <w:rsid w:val="006511B6"/>
    <w:rsid w:val="00652742"/>
    <w:rsid w:val="00657FF8"/>
    <w:rsid w:val="00670D99"/>
    <w:rsid w:val="00670E2B"/>
    <w:rsid w:val="00672743"/>
    <w:rsid w:val="006734BB"/>
    <w:rsid w:val="00677337"/>
    <w:rsid w:val="00681A34"/>
    <w:rsid w:val="006821EB"/>
    <w:rsid w:val="0068335F"/>
    <w:rsid w:val="006B2286"/>
    <w:rsid w:val="006B56BB"/>
    <w:rsid w:val="006C77A8"/>
    <w:rsid w:val="006D4098"/>
    <w:rsid w:val="006D7681"/>
    <w:rsid w:val="006D7B2E"/>
    <w:rsid w:val="006E02EA"/>
    <w:rsid w:val="006E0968"/>
    <w:rsid w:val="006E2AF6"/>
    <w:rsid w:val="00701275"/>
    <w:rsid w:val="00707B13"/>
    <w:rsid w:val="00707F56"/>
    <w:rsid w:val="00713558"/>
    <w:rsid w:val="00720B29"/>
    <w:rsid w:val="00720D08"/>
    <w:rsid w:val="00721586"/>
    <w:rsid w:val="00722C11"/>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2D90"/>
    <w:rsid w:val="007D43C9"/>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0F11"/>
    <w:rsid w:val="00861A5F"/>
    <w:rsid w:val="008644AD"/>
    <w:rsid w:val="00865735"/>
    <w:rsid w:val="00865A01"/>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5DCA"/>
    <w:rsid w:val="008D6381"/>
    <w:rsid w:val="008E0C77"/>
    <w:rsid w:val="008E625F"/>
    <w:rsid w:val="008F264D"/>
    <w:rsid w:val="008F2CB1"/>
    <w:rsid w:val="00900882"/>
    <w:rsid w:val="009074E1"/>
    <w:rsid w:val="009112F7"/>
    <w:rsid w:val="009122AF"/>
    <w:rsid w:val="009127BC"/>
    <w:rsid w:val="00912D54"/>
    <w:rsid w:val="0091389F"/>
    <w:rsid w:val="009208F7"/>
    <w:rsid w:val="00922517"/>
    <w:rsid w:val="00922722"/>
    <w:rsid w:val="009261E6"/>
    <w:rsid w:val="009268E1"/>
    <w:rsid w:val="00934368"/>
    <w:rsid w:val="00936A1F"/>
    <w:rsid w:val="00945E7F"/>
    <w:rsid w:val="009557C1"/>
    <w:rsid w:val="00960D6E"/>
    <w:rsid w:val="00972BC1"/>
    <w:rsid w:val="00974B59"/>
    <w:rsid w:val="0098340B"/>
    <w:rsid w:val="00986830"/>
    <w:rsid w:val="009924C3"/>
    <w:rsid w:val="00993102"/>
    <w:rsid w:val="0099595F"/>
    <w:rsid w:val="00997EEA"/>
    <w:rsid w:val="009A4608"/>
    <w:rsid w:val="009C4A39"/>
    <w:rsid w:val="009C6F10"/>
    <w:rsid w:val="009D148F"/>
    <w:rsid w:val="009D3D70"/>
    <w:rsid w:val="009E6F7E"/>
    <w:rsid w:val="009E7A57"/>
    <w:rsid w:val="009F4F6A"/>
    <w:rsid w:val="00A04084"/>
    <w:rsid w:val="00A04126"/>
    <w:rsid w:val="00A16E36"/>
    <w:rsid w:val="00A226F6"/>
    <w:rsid w:val="00A22750"/>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D348C"/>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2B06"/>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565"/>
    <w:rsid w:val="00BD0617"/>
    <w:rsid w:val="00BD2E9B"/>
    <w:rsid w:val="00BF7AD7"/>
    <w:rsid w:val="00C00930"/>
    <w:rsid w:val="00C060AD"/>
    <w:rsid w:val="00C0670D"/>
    <w:rsid w:val="00C113BF"/>
    <w:rsid w:val="00C2176E"/>
    <w:rsid w:val="00C23057"/>
    <w:rsid w:val="00C23430"/>
    <w:rsid w:val="00C27D67"/>
    <w:rsid w:val="00C4631F"/>
    <w:rsid w:val="00C50E16"/>
    <w:rsid w:val="00C55258"/>
    <w:rsid w:val="00C603BF"/>
    <w:rsid w:val="00C635D4"/>
    <w:rsid w:val="00C8153F"/>
    <w:rsid w:val="00C82EEB"/>
    <w:rsid w:val="00C971DC"/>
    <w:rsid w:val="00CA16B7"/>
    <w:rsid w:val="00CA4BE3"/>
    <w:rsid w:val="00CA62AE"/>
    <w:rsid w:val="00CB4F0F"/>
    <w:rsid w:val="00CB5B1A"/>
    <w:rsid w:val="00CC220B"/>
    <w:rsid w:val="00CC5C43"/>
    <w:rsid w:val="00CD02AE"/>
    <w:rsid w:val="00CD2A4F"/>
    <w:rsid w:val="00CD4607"/>
    <w:rsid w:val="00CE03CA"/>
    <w:rsid w:val="00CE22F1"/>
    <w:rsid w:val="00CE401C"/>
    <w:rsid w:val="00CE50F2"/>
    <w:rsid w:val="00CE6502"/>
    <w:rsid w:val="00CF7D3C"/>
    <w:rsid w:val="00D03933"/>
    <w:rsid w:val="00D145EB"/>
    <w:rsid w:val="00D147EB"/>
    <w:rsid w:val="00D15855"/>
    <w:rsid w:val="00D234E3"/>
    <w:rsid w:val="00D34667"/>
    <w:rsid w:val="00D401E1"/>
    <w:rsid w:val="00D408B4"/>
    <w:rsid w:val="00D423B1"/>
    <w:rsid w:val="00D45D94"/>
    <w:rsid w:val="00D47CD0"/>
    <w:rsid w:val="00D524C8"/>
    <w:rsid w:val="00D5518D"/>
    <w:rsid w:val="00D60E25"/>
    <w:rsid w:val="00D70E24"/>
    <w:rsid w:val="00D72B61"/>
    <w:rsid w:val="00D8074B"/>
    <w:rsid w:val="00DA3D1D"/>
    <w:rsid w:val="00DB0138"/>
    <w:rsid w:val="00DB0E1E"/>
    <w:rsid w:val="00DB6286"/>
    <w:rsid w:val="00DB645F"/>
    <w:rsid w:val="00DB76E9"/>
    <w:rsid w:val="00DC0A67"/>
    <w:rsid w:val="00DC1D5E"/>
    <w:rsid w:val="00DC2313"/>
    <w:rsid w:val="00DC5220"/>
    <w:rsid w:val="00DC7910"/>
    <w:rsid w:val="00DD2061"/>
    <w:rsid w:val="00DD2655"/>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7403B"/>
    <w:rsid w:val="00E849DA"/>
    <w:rsid w:val="00E915E6"/>
    <w:rsid w:val="00E9462E"/>
    <w:rsid w:val="00EA470E"/>
    <w:rsid w:val="00EA47A7"/>
    <w:rsid w:val="00EA57EB"/>
    <w:rsid w:val="00EB3226"/>
    <w:rsid w:val="00EC0A19"/>
    <w:rsid w:val="00EC213A"/>
    <w:rsid w:val="00EC6603"/>
    <w:rsid w:val="00EC7744"/>
    <w:rsid w:val="00ED0DAD"/>
    <w:rsid w:val="00ED0F46"/>
    <w:rsid w:val="00ED2373"/>
    <w:rsid w:val="00EE3E8A"/>
    <w:rsid w:val="00EE5BF1"/>
    <w:rsid w:val="00EF6ECA"/>
    <w:rsid w:val="00F024E1"/>
    <w:rsid w:val="00F049F6"/>
    <w:rsid w:val="00F06C10"/>
    <w:rsid w:val="00F1096F"/>
    <w:rsid w:val="00F12589"/>
    <w:rsid w:val="00F12595"/>
    <w:rsid w:val="00F134D9"/>
    <w:rsid w:val="00F1403D"/>
    <w:rsid w:val="00F1463F"/>
    <w:rsid w:val="00F21302"/>
    <w:rsid w:val="00F2312C"/>
    <w:rsid w:val="00F2614C"/>
    <w:rsid w:val="00F2730B"/>
    <w:rsid w:val="00F31799"/>
    <w:rsid w:val="00F321DE"/>
    <w:rsid w:val="00F33777"/>
    <w:rsid w:val="00F40648"/>
    <w:rsid w:val="00F47DA2"/>
    <w:rsid w:val="00F519FC"/>
    <w:rsid w:val="00F55293"/>
    <w:rsid w:val="00F6239D"/>
    <w:rsid w:val="00F715D2"/>
    <w:rsid w:val="00F7274F"/>
    <w:rsid w:val="00F76FA8"/>
    <w:rsid w:val="00F93F08"/>
    <w:rsid w:val="00F94CED"/>
    <w:rsid w:val="00FA2CEE"/>
    <w:rsid w:val="00FA318C"/>
    <w:rsid w:val="00FB0637"/>
    <w:rsid w:val="00FB32B3"/>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455E18"/>
  <w15:docId w15:val="{E7128A7A-EE45-4DA4-94E6-92B465E7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4A51E0"/>
    <w:pPr>
      <w:keepNext/>
      <w:spacing w:before="240" w:after="60"/>
      <w:outlineLvl w:val="1"/>
    </w:pPr>
    <w:rPr>
      <w:rFonts w:ascii="Arial" w:hAnsi="Arial" w:cs="Arial"/>
      <w:b/>
      <w:bCs/>
      <w:iCs/>
      <w:color w:val="3F4A75"/>
      <w:sz w:val="36"/>
      <w:szCs w:val="28"/>
      <w:lang w:eastAsia="en-US"/>
    </w:r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CAB - List Bullet,List Bullet Cab,Bullet Point,Bullet point,Bulletr List Paragraph,Content descriptions,FooterText,L,List Bullet 1,List Paragraph1,List Paragraph11,List Paragraph2,List Paragraph21,Listeafsnit1,NFP GP Bulleted List,リスト段,列"/>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D8074B"/>
    <w:pPr>
      <w:spacing w:before="60" w:after="60"/>
    </w:pPr>
    <w:rPr>
      <w:rFonts w:ascii="Arial" w:hAnsi="Arial" w:cs="Arial"/>
      <w:sz w:val="22"/>
      <w:szCs w:val="22"/>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4A51E0"/>
    <w:pPr>
      <w:spacing w:before="48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AD348C"/>
    <w:rPr>
      <w:sz w:val="16"/>
      <w:szCs w:val="16"/>
    </w:rPr>
  </w:style>
  <w:style w:type="paragraph" w:styleId="CommentText">
    <w:name w:val="annotation text"/>
    <w:basedOn w:val="Normal"/>
    <w:link w:val="CommentTextChar"/>
    <w:uiPriority w:val="99"/>
    <w:unhideWhenUsed/>
    <w:rsid w:val="00AD348C"/>
    <w:pPr>
      <w:spacing w:before="0" w:after="20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AD348C"/>
    <w:rPr>
      <w:rFonts w:ascii="Arial" w:eastAsiaTheme="minorHAnsi" w:hAnsi="Arial" w:cstheme="minorBidi"/>
      <w:lang w:eastAsia="en-US"/>
    </w:rPr>
  </w:style>
  <w:style w:type="paragraph" w:customStyle="1" w:styleId="CABNETParagraph">
    <w:name w:val="CABNET Paragraph."/>
    <w:basedOn w:val="Normal"/>
    <w:link w:val="CABNETParagraphChar"/>
    <w:uiPriority w:val="98"/>
    <w:qFormat/>
    <w:rsid w:val="00AD348C"/>
    <w:pPr>
      <w:spacing w:line="240" w:lineRule="auto"/>
    </w:pPr>
    <w:rPr>
      <w:rFonts w:eastAsiaTheme="minorHAnsi" w:cstheme="minorHAnsi"/>
      <w:color w:val="auto"/>
      <w:szCs w:val="22"/>
    </w:rPr>
  </w:style>
  <w:style w:type="character" w:customStyle="1" w:styleId="CABNETParagraphChar">
    <w:name w:val="CABNET Paragraph. Char"/>
    <w:basedOn w:val="DefaultParagraphFont"/>
    <w:link w:val="CABNETParagraph"/>
    <w:uiPriority w:val="98"/>
    <w:rsid w:val="00AD348C"/>
    <w:rPr>
      <w:rFonts w:ascii="Arial" w:eastAsiaTheme="minorHAnsi" w:hAnsi="Arial" w:cstheme="minorHAnsi"/>
      <w:sz w:val="22"/>
      <w:szCs w:val="22"/>
      <w:lang w:eastAsia="en-US"/>
    </w:rPr>
  </w:style>
  <w:style w:type="paragraph" w:customStyle="1" w:styleId="CAB-Heading1">
    <w:name w:val="CAB - Heading 1"/>
    <w:basedOn w:val="Heading1"/>
    <w:link w:val="CAB-Heading1Char"/>
    <w:uiPriority w:val="98"/>
    <w:rsid w:val="0099595F"/>
    <w:pPr>
      <w:keepLines/>
      <w:tabs>
        <w:tab w:val="left" w:pos="567"/>
      </w:tabs>
      <w:spacing w:after="200"/>
    </w:pPr>
    <w:rPr>
      <w:rFonts w:eastAsiaTheme="majorEastAsia" w:cstheme="majorBidi"/>
      <w:color w:val="003865"/>
      <w:kern w:val="0"/>
      <w:sz w:val="28"/>
      <w:szCs w:val="28"/>
    </w:rPr>
  </w:style>
  <w:style w:type="character" w:customStyle="1" w:styleId="CAB-Heading1Char">
    <w:name w:val="CAB - Heading 1 Char"/>
    <w:basedOn w:val="DefaultParagraphFont"/>
    <w:link w:val="CAB-Heading1"/>
    <w:uiPriority w:val="98"/>
    <w:rsid w:val="0099595F"/>
    <w:rPr>
      <w:rFonts w:ascii="Arial" w:eastAsiaTheme="majorEastAsia" w:hAnsi="Arial" w:cstheme="majorBidi"/>
      <w:b/>
      <w:bCs/>
      <w:color w:val="003865"/>
      <w:sz w:val="28"/>
      <w:szCs w:val="28"/>
      <w:lang w:eastAsia="en-US"/>
    </w:rPr>
  </w:style>
  <w:style w:type="character" w:customStyle="1" w:styleId="ListParagraphChar">
    <w:name w:val="List Paragraph Char"/>
    <w:aliases w:val="CAB - List Bullet Char,List Bullet Cab Char,Bullet Point Char,Bullet point Char,Bulletr List Paragraph Char,Content descriptions Char,FooterText Char,L Char,List Bullet 1 Char,List Paragraph1 Char,List Paragraph11 Char,リスト段 Char"/>
    <w:basedOn w:val="DefaultParagraphFont"/>
    <w:link w:val="ListParagraph"/>
    <w:uiPriority w:val="34"/>
    <w:qFormat/>
    <w:locked/>
    <w:rsid w:val="0099595F"/>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282202"/>
    <w:pPr>
      <w:spacing w:before="120" w:after="120" w:line="240" w:lineRule="auto"/>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282202"/>
    <w:rPr>
      <w:rFonts w:ascii="Arial" w:eastAsiaTheme="minorHAnsi"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0826904">
      <w:bodyDiv w:val="1"/>
      <w:marLeft w:val="0"/>
      <w:marRight w:val="0"/>
      <w:marTop w:val="0"/>
      <w:marBottom w:val="0"/>
      <w:divBdr>
        <w:top w:val="none" w:sz="0" w:space="0" w:color="auto"/>
        <w:left w:val="none" w:sz="0" w:space="0" w:color="auto"/>
        <w:bottom w:val="none" w:sz="0" w:space="0" w:color="auto"/>
        <w:right w:val="none" w:sz="0" w:space="0" w:color="auto"/>
      </w:divBdr>
    </w:div>
    <w:div w:id="1138498795">
      <w:bodyDiv w:val="1"/>
      <w:marLeft w:val="0"/>
      <w:marRight w:val="0"/>
      <w:marTop w:val="0"/>
      <w:marBottom w:val="0"/>
      <w:divBdr>
        <w:top w:val="none" w:sz="0" w:space="0" w:color="auto"/>
        <w:left w:val="none" w:sz="0" w:space="0" w:color="auto"/>
        <w:bottom w:val="none" w:sz="0" w:space="0" w:color="auto"/>
        <w:right w:val="none" w:sz="0" w:space="0" w:color="auto"/>
      </w:divBdr>
    </w:div>
    <w:div w:id="122232609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5360704">
      <w:bodyDiv w:val="1"/>
      <w:marLeft w:val="0"/>
      <w:marRight w:val="0"/>
      <w:marTop w:val="0"/>
      <w:marBottom w:val="0"/>
      <w:divBdr>
        <w:top w:val="none" w:sz="0" w:space="0" w:color="auto"/>
        <w:left w:val="none" w:sz="0" w:space="0" w:color="auto"/>
        <w:bottom w:val="none" w:sz="0" w:space="0" w:color="auto"/>
        <w:right w:val="none" w:sz="0" w:space="0" w:color="auto"/>
      </w:divBdr>
    </w:div>
    <w:div w:id="1918057350">
      <w:bodyDiv w:val="1"/>
      <w:marLeft w:val="0"/>
      <w:marRight w:val="0"/>
      <w:marTop w:val="0"/>
      <w:marBottom w:val="0"/>
      <w:divBdr>
        <w:top w:val="none" w:sz="0" w:space="0" w:color="auto"/>
        <w:left w:val="none" w:sz="0" w:space="0" w:color="auto"/>
        <w:bottom w:val="none" w:sz="0" w:space="0" w:color="auto"/>
        <w:right w:val="none" w:sz="0" w:space="0" w:color="auto"/>
      </w:divBdr>
    </w:div>
    <w:div w:id="19871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KIDNES\AppData\Local\Microsoft\Windows\INetCache\Content.Outlook\1ZJET1T1\MBS%20listing%20budge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225296-5bc7-404a-82af-55dc9cd4c2a2" xsi:nil="true"/>
    <lcf76f155ced4ddcb4097134ff3c332f xmlns="41edcdd1-add5-4517-b14d-527bb88aeb5d">
      <Terms xmlns="http://schemas.microsoft.com/office/infopath/2007/PartnerControls"/>
    </lcf76f155ced4ddcb4097134ff3c332f>
    <Documenttype xmlns="41edcdd1-add5-4517-b14d-527bb88aeb5d" xsi:nil="true"/>
    <TWAH_x002d_7Dec xmlns="41edcdd1-add5-4517-b14d-527bb88aeb5d">
      <Url xsi:nil="true"/>
      <Description xsi:nil="true"/>
    </TWAH_x002d_7De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24AE2E8D31DB418FCD451CBB002641" ma:contentTypeVersion="20" ma:contentTypeDescription="Create a new document." ma:contentTypeScope="" ma:versionID="355b99548494b2da5efac5a0d927bf77">
  <xsd:schema xmlns:xsd="http://www.w3.org/2001/XMLSchema" xmlns:xs="http://www.w3.org/2001/XMLSchema" xmlns:p="http://schemas.microsoft.com/office/2006/metadata/properties" xmlns:ns2="41edcdd1-add5-4517-b14d-527bb88aeb5d" xmlns:ns3="66b98d56-25b7-479b-bf58-c8a0702ccf2c" xmlns:ns4="15225296-5bc7-404a-82af-55dc9cd4c2a2" targetNamespace="http://schemas.microsoft.com/office/2006/metadata/properties" ma:root="true" ma:fieldsID="ae867d83b2492bee2c78b6177c8a04c0" ns2:_="" ns3:_="" ns4:_="">
    <xsd:import namespace="41edcdd1-add5-4517-b14d-527bb88aeb5d"/>
    <xsd:import namespace="66b98d56-25b7-479b-bf58-c8a0702ccf2c"/>
    <xsd:import namespace="15225296-5bc7-404a-82af-55dc9cd4c2a2"/>
    <xsd:element name="properties">
      <xsd:complexType>
        <xsd:sequence>
          <xsd:element name="documentManagement">
            <xsd:complexType>
              <xsd:all>
                <xsd:element ref="ns2:TWAH_x002d_7Dec"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Document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dcdd1-add5-4517-b14d-527bb88aeb5d" elementFormDefault="qualified">
    <xsd:import namespace="http://schemas.microsoft.com/office/2006/documentManagement/types"/>
    <xsd:import namespace="http://schemas.microsoft.com/office/infopath/2007/PartnerControls"/>
    <xsd:element name="TWAH_x002d_7Dec" ma:index="8" nillable="true" ma:displayName="TWAH - 7 Dec" ma:description="http://sharepoint.central.health/divisions/PCPD/teams/CorpComms/SitePages/Home.aspx?RootFolder=%2Fdivisions%2FPCPD%2Fteams%2FCorpComms%2FShared%20Documents%2FThis%20Week%20at%20Health%20message%2F7%20Dec%202020&amp;FolderCTID=0x0120003B2352A88648ED489D9AF8A66CF856FE&amp;View=%7B614ACC18%2D5EC2%2D42D3%2D84E7%2D397E0FD96044%7D" ma:format="Hyperlink" ma:internalName="TWAH_x002d_7De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ocumenttype" ma:index="26" nillable="true" ma:displayName="Document type" ma:format="Dropdown" ma:internalName="Documenttype">
      <xsd:simpleType>
        <xsd:restriction base="dms:Choice">
          <xsd:enumeration value="Team Health"/>
          <xsd:enumeration value="One minute"/>
          <xsd:enumeration value="SOP"/>
          <xsd:enumeration value="Talking points"/>
          <xsd:enumeration value="This week"/>
          <xsd:enumeration value="Communication plan"/>
          <xsd:enumeration value="Days of significance"/>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66b98d56-25b7-479b-bf58-c8a0702ccf2c"/>
    <ds:schemaRef ds:uri="http://schemas.microsoft.com/office/2006/documentManagement/types"/>
    <ds:schemaRef ds:uri="15225296-5bc7-404a-82af-55dc9cd4c2a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1edcdd1-add5-4517-b14d-527bb88aeb5d"/>
    <ds:schemaRef ds:uri="http://www.w3.org/XML/1998/namespace"/>
    <ds:schemaRef ds:uri="http://purl.org/dc/dcmitype/"/>
  </ds:schemaRefs>
</ds:datastoreItem>
</file>

<file path=customXml/itemProps3.xml><?xml version="1.0" encoding="utf-8"?>
<ds:datastoreItem xmlns:ds="http://schemas.openxmlformats.org/officeDocument/2006/customXml" ds:itemID="{85143770-C077-44F4-8DC8-06056A909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dcdd1-add5-4517-b14d-527bb88aeb5d"/>
    <ds:schemaRef ds:uri="66b98d56-25b7-479b-bf58-c8a0702ccf2c"/>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92955-877B-401B-9760-3272A061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MBS listing budget template (002).dotx</Template>
  <TotalTime>73</TotalTime>
  <Pages>4</Pages>
  <Words>1128</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KIDNER, Steve</dc:creator>
  <cp:lastModifiedBy>MARTIN, Mel</cp:lastModifiedBy>
  <cp:revision>4</cp:revision>
  <cp:lastPrinted>2024-05-08T00:11:00Z</cp:lastPrinted>
  <dcterms:created xsi:type="dcterms:W3CDTF">2024-05-08T00:09:00Z</dcterms:created>
  <dcterms:modified xsi:type="dcterms:W3CDTF">2024-05-08T02:11:00Z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0x0101002824AE2E8D31DB418FCD451CBB002641</vt:lpwstr>
  </property>
</Properties>
</file>