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45674" w14:textId="664AB709" w:rsidR="007507C3" w:rsidRPr="00A20ACE" w:rsidRDefault="00B458E7" w:rsidP="31E669CB">
      <w:pPr>
        <w:pStyle w:val="Title"/>
        <w:rPr>
          <w:b/>
          <w:bCs/>
          <w:color w:val="0A0A23"/>
        </w:rPr>
      </w:pPr>
      <w:r w:rsidRPr="00A20ACE">
        <w:rPr>
          <w:rStyle w:val="TitleChar"/>
        </w:rPr>
        <w:t>Botulism</w:t>
      </w:r>
      <w:r w:rsidR="007507C3" w:rsidRPr="00A20ACE">
        <w:rPr>
          <w:sz w:val="40"/>
          <w:szCs w:val="40"/>
        </w:rPr>
        <w:t xml:space="preserve"> </w:t>
      </w:r>
      <w:r w:rsidR="007507C3" w:rsidRPr="00A20ACE">
        <w:rPr>
          <w:b/>
          <w:bCs/>
          <w:color w:val="0A0A23"/>
          <w:shd w:val="clear" w:color="auto" w:fill="FFFFFF"/>
        </w:rPr>
        <w:t xml:space="preserve">| </w:t>
      </w:r>
      <w:r w:rsidR="05D5E34F" w:rsidRPr="00B91FD3">
        <w:rPr>
          <w:b/>
          <w:bCs/>
          <w:i/>
          <w:iCs/>
          <w:color w:val="0A0A23"/>
          <w:shd w:val="clear" w:color="auto" w:fill="FFFFFF"/>
        </w:rPr>
        <w:t xml:space="preserve">Clostridium </w:t>
      </w:r>
      <w:r w:rsidR="00B91FD3" w:rsidRPr="00B91FD3">
        <w:rPr>
          <w:b/>
          <w:bCs/>
          <w:i/>
          <w:iCs/>
          <w:color w:val="0A0A23"/>
          <w:shd w:val="clear" w:color="auto" w:fill="FFFFFF"/>
        </w:rPr>
        <w:t xml:space="preserve">botulinum </w:t>
      </w:r>
    </w:p>
    <w:p w14:paraId="40E92C25" w14:textId="2EEC603A" w:rsidR="006B7635" w:rsidRPr="00A20ACE" w:rsidRDefault="006B7635" w:rsidP="00A53F74">
      <w:pPr>
        <w:pStyle w:val="Title"/>
      </w:pPr>
      <w:r w:rsidRPr="00A20ACE">
        <w:t xml:space="preserve">Laboratory </w:t>
      </w:r>
      <w:r w:rsidR="00866892" w:rsidRPr="00A20ACE">
        <w:t>c</w:t>
      </w:r>
      <w:r w:rsidRPr="00A20ACE">
        <w:t xml:space="preserve">ase </w:t>
      </w:r>
      <w:r w:rsidR="00866892" w:rsidRPr="00A20ACE">
        <w:t>d</w:t>
      </w:r>
      <w:r w:rsidRPr="00A20ACE">
        <w:t>efinition</w:t>
      </w:r>
    </w:p>
    <w:p w14:paraId="4C4F5E22" w14:textId="1851A935" w:rsidR="006B7635" w:rsidRPr="00A20ACE" w:rsidRDefault="006B7635" w:rsidP="00495BE0">
      <w:r w:rsidRPr="00A20ACE">
        <w:t xml:space="preserve">The Public Health Laboratory Network </w:t>
      </w:r>
      <w:r w:rsidR="00866892" w:rsidRPr="00A20ACE">
        <w:t xml:space="preserve">(PHLN) </w:t>
      </w:r>
      <w:r w:rsidR="00664005" w:rsidRPr="00A20ACE">
        <w:t>has</w:t>
      </w:r>
      <w:r w:rsidRPr="00A20ACE">
        <w:t xml:space="preserve"> developed </w:t>
      </w:r>
      <w:r w:rsidR="00866892" w:rsidRPr="00A20ACE">
        <w:t>standard case definitions to inform</w:t>
      </w:r>
      <w:r w:rsidRPr="00A20ACE">
        <w:t xml:space="preserve"> the diagnosis of </w:t>
      </w:r>
      <w:r w:rsidR="00866892" w:rsidRPr="00A20ACE">
        <w:t xml:space="preserve">key </w:t>
      </w:r>
      <w:r w:rsidRPr="00A20ACE">
        <w:t>disease</w:t>
      </w:r>
      <w:r w:rsidR="00866892" w:rsidRPr="00A20ACE">
        <w:t>s</w:t>
      </w:r>
      <w:r w:rsidR="004F61C6" w:rsidRPr="00A20ACE">
        <w:t xml:space="preserve"> in Australia</w:t>
      </w:r>
      <w:r w:rsidRPr="00A20ACE">
        <w:t xml:space="preserve">. This </w:t>
      </w:r>
      <w:r w:rsidR="00866892" w:rsidRPr="00A20ACE">
        <w:t>document</w:t>
      </w:r>
      <w:r w:rsidRPr="00A20ACE">
        <w:t xml:space="preserve"> contains the </w:t>
      </w:r>
      <w:r w:rsidR="00866892" w:rsidRPr="00A20ACE">
        <w:t>laboratory case definition</w:t>
      </w:r>
      <w:r w:rsidRPr="00A20ACE">
        <w:t xml:space="preserve"> </w:t>
      </w:r>
      <w:r w:rsidR="006431D9" w:rsidRPr="00A20ACE">
        <w:t xml:space="preserve">(LCD) </w:t>
      </w:r>
      <w:r w:rsidRPr="00A20ACE">
        <w:t>for</w:t>
      </w:r>
      <w:r w:rsidR="00415085" w:rsidRPr="00A20ACE">
        <w:t xml:space="preserve"> </w:t>
      </w:r>
      <w:r w:rsidR="00B458E7" w:rsidRPr="00A20ACE">
        <w:t>Botulism</w:t>
      </w:r>
      <w:r w:rsidR="006431D9" w:rsidRPr="00A20ACE">
        <w:t>.</w:t>
      </w:r>
    </w:p>
    <w:tbl>
      <w:tblPr>
        <w:tblStyle w:val="ListTable3-Accent1"/>
        <w:tblW w:w="0" w:type="auto"/>
        <w:tblLook w:val="04A0" w:firstRow="1" w:lastRow="0" w:firstColumn="1" w:lastColumn="0" w:noHBand="0" w:noVBand="1"/>
      </w:tblPr>
      <w:tblGrid>
        <w:gridCol w:w="1023"/>
        <w:gridCol w:w="3740"/>
        <w:gridCol w:w="1945"/>
        <w:gridCol w:w="2309"/>
      </w:tblGrid>
      <w:tr w:rsidR="00495BE0" w:rsidRPr="00A20ACE" w14:paraId="519B5F9B" w14:textId="77777777" w:rsidTr="00A53F7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9" w:type="dxa"/>
          </w:tcPr>
          <w:p w14:paraId="13EA7212" w14:textId="758F9938" w:rsidR="00A53F74" w:rsidRPr="00A20ACE" w:rsidRDefault="00A53F74" w:rsidP="00495BE0">
            <w:pPr>
              <w:spacing w:before="120" w:after="120" w:line="240" w:lineRule="auto"/>
            </w:pPr>
            <w:r w:rsidRPr="00A20ACE">
              <w:t>Version</w:t>
            </w:r>
          </w:p>
        </w:tc>
        <w:tc>
          <w:tcPr>
            <w:tcW w:w="4229" w:type="dxa"/>
          </w:tcPr>
          <w:p w14:paraId="2426E91E" w14:textId="3DE828D3" w:rsidR="00A53F74" w:rsidRPr="00A20ACE" w:rsidRDefault="00A53F74" w:rsidP="00495BE0">
            <w:pPr>
              <w:spacing w:before="120" w:after="120" w:line="240" w:lineRule="auto"/>
              <w:cnfStyle w:val="100000000000" w:firstRow="1" w:lastRow="0" w:firstColumn="0" w:lastColumn="0" w:oddVBand="0" w:evenVBand="0" w:oddHBand="0" w:evenHBand="0" w:firstRowFirstColumn="0" w:firstRowLastColumn="0" w:lastRowFirstColumn="0" w:lastRowLastColumn="0"/>
            </w:pPr>
            <w:r w:rsidRPr="00A20ACE">
              <w:t>Status</w:t>
            </w:r>
          </w:p>
        </w:tc>
        <w:tc>
          <w:tcPr>
            <w:tcW w:w="2008" w:type="dxa"/>
          </w:tcPr>
          <w:p w14:paraId="03C9EFCE" w14:textId="529368B1" w:rsidR="00A53F74" w:rsidRPr="00A20ACE" w:rsidRDefault="00A53F74" w:rsidP="00495BE0">
            <w:pPr>
              <w:spacing w:before="120" w:after="120" w:line="240" w:lineRule="auto"/>
              <w:cnfStyle w:val="100000000000" w:firstRow="1" w:lastRow="0" w:firstColumn="0" w:lastColumn="0" w:oddVBand="0" w:evenVBand="0" w:oddHBand="0" w:evenHBand="0" w:firstRowFirstColumn="0" w:firstRowLastColumn="0" w:lastRowFirstColumn="0" w:lastRowLastColumn="0"/>
            </w:pPr>
            <w:r w:rsidRPr="00A20ACE">
              <w:t>Authorisation</w:t>
            </w:r>
          </w:p>
        </w:tc>
        <w:tc>
          <w:tcPr>
            <w:tcW w:w="2501" w:type="dxa"/>
          </w:tcPr>
          <w:p w14:paraId="75016562" w14:textId="3EAD2DE7" w:rsidR="00A53F74" w:rsidRPr="00A20ACE" w:rsidRDefault="00A53F74" w:rsidP="00495BE0">
            <w:pPr>
              <w:spacing w:before="120" w:after="120" w:line="240" w:lineRule="auto"/>
              <w:cnfStyle w:val="100000000000" w:firstRow="1" w:lastRow="0" w:firstColumn="0" w:lastColumn="0" w:oddVBand="0" w:evenVBand="0" w:oddHBand="0" w:evenHBand="0" w:firstRowFirstColumn="0" w:firstRowLastColumn="0" w:lastRowFirstColumn="0" w:lastRowLastColumn="0"/>
            </w:pPr>
            <w:r w:rsidRPr="00A20ACE">
              <w:t>Consensus Date</w:t>
            </w:r>
          </w:p>
        </w:tc>
      </w:tr>
      <w:tr w:rsidR="00A53F74" w:rsidRPr="00A20ACE" w14:paraId="1F8F6488" w14:textId="77777777" w:rsidTr="00A53F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tcPr>
          <w:p w14:paraId="50AF92A7" w14:textId="3E508A52" w:rsidR="00A53F74" w:rsidRPr="00A20ACE" w:rsidRDefault="00A53F74" w:rsidP="00495BE0">
            <w:pPr>
              <w:spacing w:before="120" w:after="120" w:line="240" w:lineRule="auto"/>
            </w:pPr>
            <w:r w:rsidRPr="00A20ACE">
              <w:t>1.1</w:t>
            </w:r>
          </w:p>
        </w:tc>
        <w:tc>
          <w:tcPr>
            <w:tcW w:w="4229" w:type="dxa"/>
          </w:tcPr>
          <w:p w14:paraId="7A99E63C" w14:textId="3BE3F791" w:rsidR="00A53F74" w:rsidRPr="00A20ACE" w:rsidRDefault="008C6B48" w:rsidP="00495BE0">
            <w:pPr>
              <w:spacing w:before="120" w:after="120" w:line="240" w:lineRule="auto"/>
              <w:cnfStyle w:val="000000100000" w:firstRow="0" w:lastRow="0" w:firstColumn="0" w:lastColumn="0" w:oddVBand="0" w:evenVBand="0" w:oddHBand="1" w:evenHBand="0" w:firstRowFirstColumn="0" w:firstRowLastColumn="0" w:lastRowFirstColumn="0" w:lastRowLastColumn="0"/>
            </w:pPr>
            <w:r>
              <w:t>Update to new template and content to ensure gold standards of practice has been incorporated</w:t>
            </w:r>
          </w:p>
        </w:tc>
        <w:tc>
          <w:tcPr>
            <w:tcW w:w="2008" w:type="dxa"/>
          </w:tcPr>
          <w:p w14:paraId="7D227644" w14:textId="7FCAE210" w:rsidR="00A53F74" w:rsidRPr="00A20ACE" w:rsidRDefault="00A53F74" w:rsidP="00495BE0">
            <w:pPr>
              <w:spacing w:before="120" w:after="120" w:line="240" w:lineRule="auto"/>
              <w:cnfStyle w:val="000000100000" w:firstRow="0" w:lastRow="0" w:firstColumn="0" w:lastColumn="0" w:oddVBand="0" w:evenVBand="0" w:oddHBand="1" w:evenHBand="0" w:firstRowFirstColumn="0" w:firstRowLastColumn="0" w:lastRowFirstColumn="0" w:lastRowLastColumn="0"/>
            </w:pPr>
            <w:r w:rsidRPr="00A20ACE">
              <w:t>PHLN</w:t>
            </w:r>
          </w:p>
        </w:tc>
        <w:tc>
          <w:tcPr>
            <w:tcW w:w="2501" w:type="dxa"/>
          </w:tcPr>
          <w:p w14:paraId="2E201341" w14:textId="5B66BB8D" w:rsidR="00A53F74" w:rsidRPr="00A20ACE" w:rsidRDefault="002F1F33" w:rsidP="00495BE0">
            <w:pPr>
              <w:spacing w:before="120" w:after="120" w:line="240" w:lineRule="auto"/>
              <w:cnfStyle w:val="000000100000" w:firstRow="0" w:lastRow="0" w:firstColumn="0" w:lastColumn="0" w:oddVBand="0" w:evenVBand="0" w:oddHBand="1" w:evenHBand="0" w:firstRowFirstColumn="0" w:firstRowLastColumn="0" w:lastRowFirstColumn="0" w:lastRowLastColumn="0"/>
            </w:pPr>
            <w:r>
              <w:t>15 March 2024</w:t>
            </w:r>
          </w:p>
        </w:tc>
      </w:tr>
      <w:tr w:rsidR="00A53F74" w:rsidRPr="00A20ACE" w14:paraId="02B2C8C5" w14:textId="77777777" w:rsidTr="00A53F74">
        <w:tc>
          <w:tcPr>
            <w:cnfStyle w:val="001000000000" w:firstRow="0" w:lastRow="0" w:firstColumn="1" w:lastColumn="0" w:oddVBand="0" w:evenVBand="0" w:oddHBand="0" w:evenHBand="0" w:firstRowFirstColumn="0" w:firstRowLastColumn="0" w:lastRowFirstColumn="0" w:lastRowLastColumn="0"/>
            <w:tcW w:w="279" w:type="dxa"/>
          </w:tcPr>
          <w:p w14:paraId="5B10668F" w14:textId="5346E218" w:rsidR="00A53F74" w:rsidRPr="00A20ACE" w:rsidRDefault="00A53F74" w:rsidP="00495BE0">
            <w:pPr>
              <w:spacing w:before="120" w:after="120" w:line="240" w:lineRule="auto"/>
            </w:pPr>
            <w:r w:rsidRPr="00A20ACE">
              <w:t>1.0</w:t>
            </w:r>
          </w:p>
        </w:tc>
        <w:tc>
          <w:tcPr>
            <w:tcW w:w="4229" w:type="dxa"/>
          </w:tcPr>
          <w:p w14:paraId="1F3B5BC9" w14:textId="7BBD2A33" w:rsidR="00A53F74" w:rsidRPr="00A20ACE" w:rsidRDefault="00A53F74" w:rsidP="00495BE0">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A20ACE">
              <w:t>Initial PHLN Laboratory Case Definition</w:t>
            </w:r>
          </w:p>
        </w:tc>
        <w:tc>
          <w:tcPr>
            <w:tcW w:w="2008" w:type="dxa"/>
          </w:tcPr>
          <w:p w14:paraId="433CEDB5" w14:textId="61438D1F" w:rsidR="00A53F74" w:rsidRPr="00A20ACE" w:rsidRDefault="00A53F74" w:rsidP="00495BE0">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A20ACE">
              <w:t>PHLN</w:t>
            </w:r>
          </w:p>
        </w:tc>
        <w:tc>
          <w:tcPr>
            <w:tcW w:w="2501" w:type="dxa"/>
          </w:tcPr>
          <w:p w14:paraId="137821BB" w14:textId="450AEE0C" w:rsidR="00A53F74" w:rsidRPr="00A20ACE" w:rsidRDefault="00B458E7" w:rsidP="00495BE0">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A20ACE">
              <w:t>27 October 2006</w:t>
            </w:r>
          </w:p>
        </w:tc>
      </w:tr>
    </w:tbl>
    <w:p w14:paraId="358CA5D4" w14:textId="77777777" w:rsidR="00495BE0" w:rsidRPr="00A20ACE" w:rsidRDefault="00495BE0" w:rsidP="00495BE0">
      <w:pPr>
        <w:pStyle w:val="Heading1"/>
        <w:numPr>
          <w:ilvl w:val="0"/>
          <w:numId w:val="0"/>
        </w:numPr>
        <w:ind w:left="397"/>
      </w:pPr>
      <w:r w:rsidRPr="00A20ACE">
        <w:br w:type="page"/>
      </w:r>
    </w:p>
    <w:p w14:paraId="53E35CFB" w14:textId="511F36F8" w:rsidR="006B7635" w:rsidRPr="00A20ACE" w:rsidRDefault="006B7635" w:rsidP="00A53F74">
      <w:pPr>
        <w:pStyle w:val="Heading1"/>
      </w:pPr>
      <w:r w:rsidRPr="00A20ACE">
        <w:lastRenderedPageBreak/>
        <w:t xml:space="preserve">PHLN </w:t>
      </w:r>
      <w:r w:rsidR="006431D9" w:rsidRPr="00A20ACE">
        <w:t>s</w:t>
      </w:r>
      <w:r w:rsidRPr="00A20ACE">
        <w:t>ummary laboratory definition</w:t>
      </w:r>
    </w:p>
    <w:p w14:paraId="5472EA97" w14:textId="748692FF" w:rsidR="006B7635" w:rsidRPr="00A20ACE" w:rsidRDefault="006B7635" w:rsidP="00C000BA">
      <w:pPr>
        <w:pStyle w:val="Heading2"/>
      </w:pPr>
      <w:r w:rsidRPr="00A20ACE">
        <w:t>Condition</w:t>
      </w:r>
    </w:p>
    <w:p w14:paraId="579E81CA" w14:textId="1AC19A9A" w:rsidR="006B7635" w:rsidRPr="00A20ACE" w:rsidRDefault="00B458E7" w:rsidP="31E669CB">
      <w:r w:rsidRPr="00A20ACE">
        <w:t>Botulism</w:t>
      </w:r>
      <w:r w:rsidR="008B6E31" w:rsidRPr="00A20ACE">
        <w:t xml:space="preserve"> </w:t>
      </w:r>
      <w:r w:rsidR="009071CD" w:rsidRPr="00A20ACE">
        <w:t xml:space="preserve">due to infection with </w:t>
      </w:r>
      <w:r w:rsidR="009071CD" w:rsidRPr="00A20ACE">
        <w:rPr>
          <w:rFonts w:ascii="Helvetica" w:eastAsiaTheme="minorEastAsia" w:hAnsi="Helvetica" w:cs="Helvetica"/>
          <w:i/>
          <w:iCs/>
          <w:color w:val="222222"/>
          <w:sz w:val="20"/>
          <w:szCs w:val="20"/>
        </w:rPr>
        <w:t>Clostridium botulinum (</w:t>
      </w:r>
      <w:r w:rsidR="009071CD" w:rsidRPr="00A20ACE">
        <w:rPr>
          <w:rFonts w:ascii="Helvetica" w:eastAsia="Times New Roman" w:hAnsi="Helvetica" w:cs="Helvetica"/>
          <w:i/>
          <w:iCs/>
          <w:color w:val="222222"/>
          <w:sz w:val="20"/>
          <w:szCs w:val="20"/>
        </w:rPr>
        <w:t>C.</w:t>
      </w:r>
      <w:r w:rsidR="009071CD">
        <w:rPr>
          <w:rFonts w:ascii="Helvetica" w:eastAsia="Times New Roman" w:hAnsi="Helvetica" w:cs="Helvetica"/>
          <w:i/>
          <w:iCs/>
          <w:color w:val="222222"/>
          <w:sz w:val="20"/>
          <w:szCs w:val="20"/>
        </w:rPr>
        <w:t> b</w:t>
      </w:r>
      <w:r w:rsidR="009071CD" w:rsidRPr="00A20ACE">
        <w:rPr>
          <w:rFonts w:ascii="Helvetica" w:eastAsia="Times New Roman" w:hAnsi="Helvetica" w:cs="Helvetica"/>
          <w:i/>
          <w:iCs/>
          <w:color w:val="222222"/>
          <w:sz w:val="20"/>
          <w:szCs w:val="20"/>
        </w:rPr>
        <w:t>otulinum).</w:t>
      </w:r>
    </w:p>
    <w:p w14:paraId="16BD1929" w14:textId="77777777" w:rsidR="009071CD" w:rsidRPr="00A20ACE" w:rsidRDefault="009071CD" w:rsidP="009071CD">
      <w:pPr>
        <w:pStyle w:val="Heading3"/>
      </w:pPr>
      <w:r w:rsidRPr="00A20ACE">
        <w:t>Definitive criteria</w:t>
      </w:r>
    </w:p>
    <w:p w14:paraId="6F7B0891" w14:textId="77777777" w:rsidR="009071CD" w:rsidRPr="00A20ACE" w:rsidRDefault="009071CD" w:rsidP="009071CD">
      <w:pPr>
        <w:pStyle w:val="ListParagraph"/>
        <w:numPr>
          <w:ilvl w:val="0"/>
          <w:numId w:val="40"/>
        </w:numPr>
        <w:spacing w:before="0" w:after="160" w:line="256" w:lineRule="auto"/>
        <w:contextualSpacing/>
        <w:rPr>
          <w:rFonts w:asciiTheme="minorHAnsi" w:hAnsiTheme="minorHAnsi" w:cstheme="minorBidi"/>
        </w:rPr>
      </w:pPr>
      <w:r w:rsidRPr="00A20ACE">
        <w:t xml:space="preserve">Isolation of </w:t>
      </w:r>
      <w:r w:rsidRPr="00A754D7">
        <w:t>botulinum</w:t>
      </w:r>
      <w:r>
        <w:rPr>
          <w:color w:val="FF0000"/>
        </w:rPr>
        <w:t xml:space="preserve"> </w:t>
      </w:r>
      <w:r w:rsidRPr="00A20ACE">
        <w:t xml:space="preserve">toxin gene positive </w:t>
      </w:r>
      <w:r w:rsidRPr="00A20ACE">
        <w:rPr>
          <w:i/>
          <w:iCs/>
        </w:rPr>
        <w:t>C. botulinum</w:t>
      </w:r>
      <w:r w:rsidRPr="00A20ACE">
        <w:t xml:space="preserve"> from an appropriate clinical specimen (e.g., stool, gastric aspirate, wound swab/tissue) from a patient with clinical features of botulism, </w:t>
      </w:r>
    </w:p>
    <w:p w14:paraId="5E04983D" w14:textId="77777777" w:rsidR="009071CD" w:rsidRPr="00A20ACE" w:rsidRDefault="009071CD" w:rsidP="009071CD">
      <w:pPr>
        <w:pStyle w:val="ListParagraph"/>
      </w:pPr>
      <w:r w:rsidRPr="00A20ACE">
        <w:t xml:space="preserve">OR </w:t>
      </w:r>
    </w:p>
    <w:p w14:paraId="715135D9" w14:textId="77777777" w:rsidR="009071CD" w:rsidRPr="00A20ACE" w:rsidRDefault="009071CD" w:rsidP="009071CD">
      <w:pPr>
        <w:pStyle w:val="ListParagraph"/>
        <w:numPr>
          <w:ilvl w:val="0"/>
          <w:numId w:val="40"/>
        </w:numPr>
        <w:spacing w:before="0" w:after="160" w:line="256" w:lineRule="auto"/>
        <w:contextualSpacing/>
      </w:pPr>
      <w:r w:rsidRPr="00A20ACE">
        <w:t xml:space="preserve">Detection of the botulinum toxin gene from an appropriate clinical specimen (e.g., stool, gastric aspirate, wound swab/tissue) or from </w:t>
      </w:r>
      <w:bookmarkStart w:id="0" w:name="_Hlk151134754"/>
      <w:r w:rsidRPr="00A20ACE">
        <w:t>food consumed by a patient with clinical features of botulism</w:t>
      </w:r>
      <w:bookmarkEnd w:id="0"/>
      <w:r w:rsidRPr="00A20ACE">
        <w:rPr>
          <w:rStyle w:val="FootnoteReference"/>
        </w:rPr>
        <w:footnoteReference w:id="2"/>
      </w:r>
      <w:r w:rsidRPr="00A20ACE">
        <w:t xml:space="preserve"> </w:t>
      </w:r>
      <w:r w:rsidRPr="00A20ACE">
        <w:rPr>
          <w:rStyle w:val="FootnoteReference"/>
        </w:rPr>
        <w:footnoteReference w:id="3"/>
      </w:r>
      <w:r w:rsidRPr="00A20ACE">
        <w:t xml:space="preserve">, </w:t>
      </w:r>
    </w:p>
    <w:p w14:paraId="538BAFEE" w14:textId="77777777" w:rsidR="009071CD" w:rsidRPr="00A20ACE" w:rsidRDefault="009071CD" w:rsidP="009071CD">
      <w:pPr>
        <w:pStyle w:val="ListParagraph"/>
      </w:pPr>
      <w:r>
        <w:t>OR</w:t>
      </w:r>
    </w:p>
    <w:p w14:paraId="30E91F18" w14:textId="77777777" w:rsidR="009071CD" w:rsidRPr="00A754D7" w:rsidRDefault="009071CD" w:rsidP="009071CD">
      <w:pPr>
        <w:pStyle w:val="ListParagraph"/>
        <w:numPr>
          <w:ilvl w:val="0"/>
          <w:numId w:val="40"/>
        </w:numPr>
        <w:spacing w:before="0" w:after="160" w:line="256" w:lineRule="auto"/>
        <w:contextualSpacing/>
      </w:pPr>
      <w:r w:rsidRPr="00A20ACE">
        <w:t xml:space="preserve">Detection </w:t>
      </w:r>
      <w:r w:rsidRPr="00A754D7">
        <w:t>of botulinum</w:t>
      </w:r>
      <w:r>
        <w:t xml:space="preserve"> </w:t>
      </w:r>
      <w:r w:rsidRPr="00A754D7">
        <w:t xml:space="preserve">toxin in serum, stool, gastric aspirate, or food consumed by the patient with clinical features of botulism. </w:t>
      </w:r>
    </w:p>
    <w:p w14:paraId="7A5AA931" w14:textId="77777777" w:rsidR="009071CD" w:rsidRPr="00A754D7" w:rsidRDefault="009071CD" w:rsidP="009071CD">
      <w:pPr>
        <w:pStyle w:val="Heading3"/>
        <w:rPr>
          <w:color w:val="auto"/>
        </w:rPr>
      </w:pPr>
      <w:r w:rsidRPr="00A754D7">
        <w:rPr>
          <w:color w:val="auto"/>
        </w:rPr>
        <w:t>Suggestive criteria</w:t>
      </w:r>
    </w:p>
    <w:p w14:paraId="0319B5F7" w14:textId="6A576BF7" w:rsidR="009071CD" w:rsidRPr="00A20ACE" w:rsidRDefault="009071CD" w:rsidP="009071CD">
      <w:pPr>
        <w:pStyle w:val="ListParagraph"/>
        <w:numPr>
          <w:ilvl w:val="0"/>
          <w:numId w:val="41"/>
        </w:numPr>
        <w:spacing w:line="300" w:lineRule="atLeast"/>
      </w:pPr>
      <w:r w:rsidRPr="00A754D7">
        <w:t xml:space="preserve">Isolation of botulinum toxin negative or botulinum toxin gene negative </w:t>
      </w:r>
      <w:r w:rsidRPr="00714F2A">
        <w:rPr>
          <w:i/>
          <w:iCs/>
        </w:rPr>
        <w:t>C. botulinum</w:t>
      </w:r>
      <w:r>
        <w:t xml:space="preserve"> </w:t>
      </w:r>
      <w:r w:rsidRPr="00A754D7">
        <w:t xml:space="preserve">from food consumed by a patient </w:t>
      </w:r>
      <w:r>
        <w:t xml:space="preserve">with clinical features of the disease. </w:t>
      </w:r>
    </w:p>
    <w:p w14:paraId="5E66FA9F" w14:textId="77777777" w:rsidR="00814EEC" w:rsidRPr="00A20ACE" w:rsidRDefault="00814EEC" w:rsidP="00814EEC">
      <w:pPr>
        <w:spacing w:line="300" w:lineRule="atLeast"/>
      </w:pPr>
    </w:p>
    <w:p w14:paraId="747B43F6" w14:textId="77777777" w:rsidR="00814EEC" w:rsidRDefault="00814EEC" w:rsidP="00814EEC">
      <w:pPr>
        <w:spacing w:line="300" w:lineRule="atLeast"/>
      </w:pPr>
    </w:p>
    <w:p w14:paraId="7AA12F36" w14:textId="77777777" w:rsidR="00714F2A" w:rsidRDefault="00714F2A" w:rsidP="00814EEC">
      <w:pPr>
        <w:spacing w:line="300" w:lineRule="atLeast"/>
      </w:pPr>
    </w:p>
    <w:p w14:paraId="69924DDD" w14:textId="77777777" w:rsidR="00714F2A" w:rsidRPr="00A20ACE" w:rsidRDefault="00714F2A" w:rsidP="00814EEC">
      <w:pPr>
        <w:spacing w:line="300" w:lineRule="atLeast"/>
      </w:pPr>
    </w:p>
    <w:p w14:paraId="5A0FF03A" w14:textId="77777777" w:rsidR="006B7635" w:rsidRPr="00A20ACE" w:rsidRDefault="006B7635" w:rsidP="00C000BA">
      <w:pPr>
        <w:pStyle w:val="Heading1"/>
      </w:pPr>
      <w:r w:rsidRPr="00A20ACE">
        <w:lastRenderedPageBreak/>
        <w:t>Introduction</w:t>
      </w:r>
    </w:p>
    <w:p w14:paraId="7E3454DD" w14:textId="77777777" w:rsidR="00814EEC" w:rsidRPr="00A20ACE" w:rsidRDefault="00814EEC" w:rsidP="00EC5717">
      <w:r w:rsidRPr="00A20ACE">
        <w:t xml:space="preserve">Botulism is a paralytic disease in which blurred vision, slurred speech, difficulty swallowing, dry mouth and respiratory insufficiency are important features. The various forms of disease are caused by a neurotoxin and are often associated with food consumption. In developed countries the commonest form of disease is infant botulism in which the immature intestine is colonised by </w:t>
      </w:r>
      <w:r w:rsidRPr="00A20ACE">
        <w:rPr>
          <w:i/>
          <w:iCs/>
        </w:rPr>
        <w:t>C. botulinum</w:t>
      </w:r>
      <w:r w:rsidRPr="00A20ACE">
        <w:t xml:space="preserve"> after ingestion of the organism. </w:t>
      </w:r>
      <w:r w:rsidRPr="00A20ACE">
        <w:rPr>
          <w:i/>
          <w:iCs/>
        </w:rPr>
        <w:t>C. botulinum</w:t>
      </w:r>
      <w:r w:rsidRPr="00A20ACE">
        <w:t xml:space="preserve"> is widespread in the natural environment including soils. It can be found in indoor house dust and may be a natural contaminant of ingested foods; honey being implicated as a possible source in the USA in the 1970s. </w:t>
      </w:r>
    </w:p>
    <w:p w14:paraId="372F5570" w14:textId="35BCD1C7" w:rsidR="00814EEC" w:rsidRPr="00A20ACE" w:rsidRDefault="00814EEC" w:rsidP="00EC5717">
      <w:r w:rsidRPr="00A20ACE">
        <w:t xml:space="preserve">Neurotoxin (BoNT) released by intestinal </w:t>
      </w:r>
      <w:r w:rsidRPr="00A20ACE">
        <w:rPr>
          <w:i/>
          <w:iCs/>
        </w:rPr>
        <w:t>C. botulinum</w:t>
      </w:r>
      <w:r w:rsidRPr="00A20ACE">
        <w:t xml:space="preserve"> results in the clinical features of infant botulism. Classical botulism develops in older children and adults who consume toxin-contaminated foods, particularly those that have been inadequately processed or preserved. In developed countries these are often home processed or traditional foodstuffs. Botulism is recognised increasingly in adults and older children with intestinal colonisation by </w:t>
      </w:r>
      <w:r w:rsidRPr="00A20ACE">
        <w:rPr>
          <w:i/>
          <w:iCs/>
        </w:rPr>
        <w:t>C</w:t>
      </w:r>
      <w:r w:rsidR="00A20ACE" w:rsidRPr="00A20ACE">
        <w:rPr>
          <w:i/>
          <w:iCs/>
        </w:rPr>
        <w:t>.</w:t>
      </w:r>
      <w:r w:rsidR="00A20ACE">
        <w:rPr>
          <w:i/>
          <w:iCs/>
        </w:rPr>
        <w:t> </w:t>
      </w:r>
      <w:r w:rsidRPr="00A20ACE">
        <w:rPr>
          <w:i/>
          <w:iCs/>
        </w:rPr>
        <w:t>botulinum</w:t>
      </w:r>
      <w:r w:rsidRPr="00A20ACE">
        <w:t xml:space="preserve"> following, for example, intestinal surgery. The least common form of botulism is associated with </w:t>
      </w:r>
      <w:r w:rsidRPr="00A20ACE">
        <w:rPr>
          <w:i/>
          <w:iCs/>
        </w:rPr>
        <w:t>C. botulinum</w:t>
      </w:r>
      <w:r w:rsidRPr="00A20ACE">
        <w:t xml:space="preserve"> contaminated wounds where the neurotoxin is released into the systemic circulation from the infected soft tissues in a manner similar to tetanus toxin. The differential diagnosis of botulism is limited</w:t>
      </w:r>
      <w:r w:rsidR="00A20ACE">
        <w:t>,</w:t>
      </w:r>
      <w:r w:rsidRPr="00A20ACE">
        <w:t xml:space="preserve"> and includes myasthenia gravis, Eaton-Lambert syndrome, tick paralysis and acute inflammatory polyneuropathy (esp</w:t>
      </w:r>
      <w:r w:rsidR="00A20ACE">
        <w:t>ecially</w:t>
      </w:r>
      <w:r w:rsidR="00A20ACE" w:rsidRPr="00A20ACE">
        <w:t xml:space="preserve"> </w:t>
      </w:r>
      <w:r w:rsidRPr="00A20ACE">
        <w:t xml:space="preserve">the Miller-Fisher variant). A specialist </w:t>
      </w:r>
      <w:r w:rsidR="00A20ACE" w:rsidRPr="00A20ACE">
        <w:t>neurologi</w:t>
      </w:r>
      <w:r w:rsidR="00A20ACE">
        <w:t>st</w:t>
      </w:r>
      <w:r w:rsidR="00A20ACE" w:rsidRPr="00A20ACE">
        <w:t xml:space="preserve"> </w:t>
      </w:r>
      <w:r w:rsidRPr="00A20ACE">
        <w:t xml:space="preserve">opinion will help rule out these possibilities in cases of suspected botulism. </w:t>
      </w:r>
    </w:p>
    <w:p w14:paraId="7054A29E" w14:textId="7CB72DBD" w:rsidR="000C7735" w:rsidRPr="00A20ACE" w:rsidRDefault="00814EEC" w:rsidP="00EC5717">
      <w:r w:rsidRPr="00A20ACE">
        <w:rPr>
          <w:i/>
          <w:iCs/>
        </w:rPr>
        <w:t>Clostridium</w:t>
      </w:r>
      <w:r w:rsidRPr="00A20ACE">
        <w:t xml:space="preserve"> species are anaerobic, spore-forming Gram-positive bacilli. Several </w:t>
      </w:r>
      <w:r w:rsidRPr="00A20ACE">
        <w:rPr>
          <w:i/>
          <w:iCs/>
        </w:rPr>
        <w:t>Clostridium</w:t>
      </w:r>
      <w:r w:rsidRPr="00A20ACE">
        <w:t xml:space="preserve"> species are capable of causing toxin-mediated disease. Botulism is usually caused by neurotoxin-producing strains of </w:t>
      </w:r>
      <w:r w:rsidRPr="00714F2A">
        <w:rPr>
          <w:i/>
          <w:iCs/>
        </w:rPr>
        <w:t>Clostridium botulinum</w:t>
      </w:r>
      <w:r w:rsidRPr="00A20ACE">
        <w:t xml:space="preserve">. Other </w:t>
      </w:r>
      <w:r w:rsidRPr="00A20ACE">
        <w:rPr>
          <w:i/>
          <w:iCs/>
        </w:rPr>
        <w:t>Clostridium</w:t>
      </w:r>
      <w:r w:rsidRPr="00A20ACE">
        <w:t xml:space="preserve"> species (</w:t>
      </w:r>
      <w:r w:rsidRPr="00A20ACE">
        <w:rPr>
          <w:i/>
          <w:iCs/>
        </w:rPr>
        <w:t>C. baratii, C. noyvii, C. sporogenes and C. butyricum</w:t>
      </w:r>
      <w:r w:rsidRPr="00A20ACE">
        <w:t xml:space="preserve">) can produce neurotoxin and may occasionally cause human disease. Serotypes are defined by the toxins produced which are serologically different, with eight exotoxins described (A, B, C (C1,C2), D, E, F, G and H (Barash JR, Arnon SH: A novel strain of </w:t>
      </w:r>
      <w:r w:rsidRPr="00714F2A">
        <w:rPr>
          <w:i/>
          <w:iCs/>
        </w:rPr>
        <w:t>Clostridium botulinum</w:t>
      </w:r>
      <w:r w:rsidRPr="00A20ACE">
        <w:t xml:space="preserve"> that produces type B and type H botulinum toxins. J Infect Dis 2013; online publication Oct 7. PMID: 24106296). Four of the seven serotypes (A, B, E, and F) have been linked with human botulism, with the majority of the cases being caused by serotypes A and B</w:t>
      </w:r>
      <w:r w:rsidR="00F12BB3">
        <w:t>.</w:t>
      </w:r>
      <w:r w:rsidRPr="00A20ACE">
        <w:t xml:space="preserve"> Neurotoxin-positive strains of </w:t>
      </w:r>
      <w:r w:rsidRPr="00714F2A">
        <w:rPr>
          <w:i/>
          <w:iCs/>
        </w:rPr>
        <w:t>C. botulinum</w:t>
      </w:r>
      <w:r w:rsidRPr="00A20ACE">
        <w:t xml:space="preserve"> </w:t>
      </w:r>
      <w:r w:rsidR="00F12BB3">
        <w:t xml:space="preserve">are </w:t>
      </w:r>
      <w:r w:rsidRPr="00A20ACE">
        <w:t>subdivide</w:t>
      </w:r>
      <w:r w:rsidR="00F12BB3">
        <w:t>d</w:t>
      </w:r>
      <w:r w:rsidRPr="00A20ACE">
        <w:t xml:space="preserve"> into three subgroups, the first two which are associated with human botulism, and the third which only causes disease in non-human animals (Table 1). Group I is so closely related to </w:t>
      </w:r>
      <w:r w:rsidRPr="00714F2A">
        <w:rPr>
          <w:i/>
          <w:iCs/>
        </w:rPr>
        <w:t>C. sporogenes</w:t>
      </w:r>
      <w:r w:rsidRPr="00A20ACE">
        <w:t xml:space="preserve"> that it can only be distinguished by its ability to produce neurotoxin. Group III is related to </w:t>
      </w:r>
      <w:r w:rsidRPr="00714F2A">
        <w:rPr>
          <w:i/>
          <w:iCs/>
        </w:rPr>
        <w:t>C. noyvii</w:t>
      </w:r>
      <w:r w:rsidRPr="00A20ACE">
        <w:t xml:space="preserve">. Group I and group II </w:t>
      </w:r>
      <w:r w:rsidRPr="00A20ACE">
        <w:rPr>
          <w:i/>
          <w:iCs/>
        </w:rPr>
        <w:t>C. botulinum</w:t>
      </w:r>
      <w:r w:rsidRPr="00A20ACE">
        <w:t xml:space="preserve"> strains differ in </w:t>
      </w:r>
      <w:r w:rsidRPr="00A20ACE">
        <w:lastRenderedPageBreak/>
        <w:t xml:space="preserve">that group I contains proteolytic strains. </w:t>
      </w:r>
      <w:r w:rsidR="009071CD" w:rsidRPr="00A20ACE">
        <w:t>Members of Group I are proteolytic and produce BoNTs type A, B, and F. Members of Group II are non-proteolytic and produce BoNTs type B, E, and F. The majority of human cases of botulism are usually associated with members of Groups I and II.</w:t>
      </w:r>
      <w:r w:rsidR="009071CD">
        <w:t xml:space="preserve"> </w:t>
      </w:r>
      <w:r w:rsidR="009071CD" w:rsidRPr="00A20ACE">
        <w:t xml:space="preserve">In a CDC review of cases of clinically confirmed botulism, only 65% of cases were positive in at least one laboratory test for BoNT </w:t>
      </w:r>
      <w:r w:rsidR="009071CD" w:rsidRPr="00A20ACE">
        <w:rPr>
          <w:i/>
          <w:iCs/>
        </w:rPr>
        <w:t>or C. botulinum</w:t>
      </w:r>
      <w:r w:rsidR="009071CD" w:rsidRPr="00A20ACE">
        <w:t xml:space="preserve"> culture (</w:t>
      </w:r>
      <w:hyperlink r:id="rId11" w:history="1">
        <w:r w:rsidR="009071CD" w:rsidRPr="00A20ACE">
          <w:rPr>
            <w:rStyle w:val="Hyperlink"/>
            <w:rFonts w:ascii="Helvetica" w:eastAsia="Times New Roman" w:hAnsi="Helvetica" w:cs="Helvetica"/>
            <w:sz w:val="20"/>
            <w:szCs w:val="20"/>
          </w:rPr>
          <w:t>https://www.cdc.gov/botulism/pdf/bot-manual.pdf</w:t>
        </w:r>
      </w:hyperlink>
      <w:r w:rsidR="009071CD" w:rsidRPr="00A20ACE">
        <w:t xml:space="preserve">). </w:t>
      </w:r>
    </w:p>
    <w:p w14:paraId="7679EE57" w14:textId="77777777" w:rsidR="00166A15" w:rsidRPr="00A20ACE" w:rsidRDefault="00166A15" w:rsidP="00166A15">
      <w:r w:rsidRPr="00A20ACE">
        <w:t xml:space="preserve">Large outbreaks have also been noted where none or only low numbers of clinical specimens are positive in laboratory tests. Early sample collection appears to be beneficial in improving </w:t>
      </w:r>
      <w:r>
        <w:t>rates of detection</w:t>
      </w:r>
      <w:r w:rsidRPr="00A20ACE">
        <w:t xml:space="preserve">. </w:t>
      </w:r>
      <w:r>
        <w:t>Turnaround times for l</w:t>
      </w:r>
      <w:r w:rsidRPr="00A20ACE">
        <w:t xml:space="preserve">aboratory testing </w:t>
      </w:r>
      <w:r>
        <w:t>may</w:t>
      </w:r>
      <w:r w:rsidRPr="00A20ACE">
        <w:t xml:space="preserve"> require</w:t>
      </w:r>
      <w:r>
        <w:t xml:space="preserve"> several</w:t>
      </w:r>
      <w:r w:rsidRPr="00A20ACE">
        <w:t xml:space="preserve"> days and the only specific therapy for botulism is antitoxin, which is most effective if administered early in the course of neurological disease. Therefore, treatment of suspected botulism should not wait for laboratory testing but rather clinical picture and case history. </w:t>
      </w:r>
    </w:p>
    <w:p w14:paraId="0AD737FE" w14:textId="77777777" w:rsidR="00166A15" w:rsidRPr="00A20ACE" w:rsidRDefault="00166A15" w:rsidP="00166A15">
      <w:pPr>
        <w:pStyle w:val="Heading1"/>
      </w:pPr>
      <w:r w:rsidRPr="00A20ACE">
        <w:t>Laboratory diagnosis</w:t>
      </w:r>
    </w:p>
    <w:tbl>
      <w:tblPr>
        <w:tblStyle w:val="TableGrid"/>
        <w:tblW w:w="0" w:type="auto"/>
        <w:tblInd w:w="-5" w:type="dxa"/>
        <w:tblLook w:val="04A0" w:firstRow="1" w:lastRow="0" w:firstColumn="1" w:lastColumn="0" w:noHBand="0" w:noVBand="1"/>
      </w:tblPr>
      <w:tblGrid>
        <w:gridCol w:w="8620"/>
      </w:tblGrid>
      <w:tr w:rsidR="00166A15" w:rsidRPr="00A20ACE" w14:paraId="75D6B545" w14:textId="77777777" w:rsidTr="001906B4">
        <w:trPr>
          <w:trHeight w:val="540"/>
        </w:trPr>
        <w:tc>
          <w:tcPr>
            <w:tcW w:w="8620" w:type="dxa"/>
          </w:tcPr>
          <w:p w14:paraId="7D8BC377" w14:textId="77777777" w:rsidR="00166A15" w:rsidRPr="00A20ACE" w:rsidRDefault="00166A15" w:rsidP="001906B4">
            <w:pPr>
              <w:rPr>
                <w:rFonts w:ascii="Helvetica" w:eastAsia="Times New Roman" w:hAnsi="Helvetica" w:cs="Helvetica"/>
                <w:color w:val="000000"/>
                <w:sz w:val="20"/>
                <w:szCs w:val="20"/>
              </w:rPr>
            </w:pPr>
            <w:r w:rsidRPr="00A20ACE">
              <w:rPr>
                <w:rFonts w:ascii="Helvetica" w:eastAsia="Times New Roman" w:hAnsi="Helvetica" w:cs="Helvetica"/>
                <w:color w:val="000000" w:themeColor="text1"/>
                <w:sz w:val="20"/>
                <w:szCs w:val="20"/>
              </w:rPr>
              <w:t xml:space="preserve">Note that </w:t>
            </w:r>
            <w:r w:rsidRPr="00A20ACE">
              <w:rPr>
                <w:rFonts w:ascii="Helvetica" w:eastAsia="Times New Roman" w:hAnsi="Helvetica" w:cs="Helvetica"/>
                <w:i/>
                <w:iCs/>
                <w:color w:val="000000" w:themeColor="text1"/>
                <w:sz w:val="20"/>
                <w:szCs w:val="20"/>
              </w:rPr>
              <w:t xml:space="preserve">C. botulinum </w:t>
            </w:r>
            <w:r w:rsidRPr="00A20ACE">
              <w:rPr>
                <w:rFonts w:ascii="Helvetica" w:eastAsia="Times New Roman" w:hAnsi="Helvetica" w:cs="Helvetica"/>
                <w:color w:val="000000" w:themeColor="text1"/>
                <w:sz w:val="20"/>
                <w:szCs w:val="20"/>
              </w:rPr>
              <w:t>and botulinum toxin are tier 2 and tier 1 security sensitive biological agents respectively. See 3.2.</w:t>
            </w:r>
          </w:p>
        </w:tc>
      </w:tr>
    </w:tbl>
    <w:p w14:paraId="41C9C84B" w14:textId="6CB0D24B" w:rsidR="00AD5392" w:rsidRPr="00A20ACE" w:rsidRDefault="00AD5392" w:rsidP="007814E8">
      <w:pPr>
        <w:pStyle w:val="Heading2"/>
      </w:pPr>
      <w:r w:rsidRPr="00A20ACE">
        <w:t xml:space="preserve">Botulinum neurotoxin detection </w:t>
      </w:r>
    </w:p>
    <w:p w14:paraId="7515C646" w14:textId="665AB825" w:rsidR="00AD5392" w:rsidRPr="00A20ACE" w:rsidRDefault="00AD5392" w:rsidP="00EC5717">
      <w:r>
        <w:t xml:space="preserve">A definitive diagnosis of botulism requires detection of </w:t>
      </w:r>
      <w:r w:rsidRPr="3CBEBD0A">
        <w:rPr>
          <w:i/>
          <w:iCs/>
        </w:rPr>
        <w:t>C. botulinum</w:t>
      </w:r>
      <w:r>
        <w:t xml:space="preserve"> neurotoxin (BoNT)</w:t>
      </w:r>
      <w:r w:rsidR="00411CAC">
        <w:t xml:space="preserve"> </w:t>
      </w:r>
      <w:r w:rsidR="002E5309" w:rsidRPr="00F90B2E">
        <w:t>in</w:t>
      </w:r>
      <w:r w:rsidR="00411CAC" w:rsidRPr="00F90B2E">
        <w:t xml:space="preserve"> an appropriate clinical specimen (e.g., stool, gastric aspirate, wound swab/tissue)</w:t>
      </w:r>
      <w:r w:rsidR="00411CAC">
        <w:t xml:space="preserve"> </w:t>
      </w:r>
      <w:r>
        <w:t xml:space="preserve">from a patient with features of the disease, or in a specimen of food they consumed before the onset of clinical botulism. BoNT detection is by mouse bioassay and is not available in most clinical laboratories and only some jurisdictional public health laboratories with appropriate animal ethics approval. The toxin type is determined by neutralisation of the toxin with specific antitoxins. </w:t>
      </w:r>
    </w:p>
    <w:p w14:paraId="00291A5E" w14:textId="77777777" w:rsidR="00166A15" w:rsidRDefault="00166A15" w:rsidP="00166A15">
      <w:r w:rsidRPr="00A20ACE">
        <w:t xml:space="preserve">Given the ethical considerations associated with the mouse bioassay, the laboratory case definition has been modified to include isolation of </w:t>
      </w:r>
      <w:r w:rsidRPr="00A20ACE">
        <w:rPr>
          <w:i/>
          <w:iCs/>
        </w:rPr>
        <w:t>C. botulinum</w:t>
      </w:r>
      <w:r w:rsidRPr="00A20ACE">
        <w:t xml:space="preserve"> or the detection of the gene responsible for neurotoxin production. These changes reduce the need for a mouse bioassay to serum only samples. The changes, however, assume the presence of the bacterium in the right clinical specimen or the presence of the gene is sufficient evidence for intoxication. </w:t>
      </w:r>
    </w:p>
    <w:p w14:paraId="4C12F69A" w14:textId="77777777" w:rsidR="00056CA0" w:rsidRDefault="00056CA0" w:rsidP="00166A15"/>
    <w:p w14:paraId="1F92AC57" w14:textId="77777777" w:rsidR="00056CA0" w:rsidRPr="00A20ACE" w:rsidRDefault="00056CA0" w:rsidP="00166A15"/>
    <w:p w14:paraId="541E272E" w14:textId="6239F034" w:rsidR="000D38E8" w:rsidRPr="00A20ACE" w:rsidRDefault="000D38E8" w:rsidP="007814E8">
      <w:pPr>
        <w:pStyle w:val="Heading3"/>
      </w:pPr>
      <w:r w:rsidRPr="00A20ACE">
        <w:lastRenderedPageBreak/>
        <w:t xml:space="preserve">Specimen collection and transport </w:t>
      </w:r>
    </w:p>
    <w:p w14:paraId="23D1EBA6" w14:textId="2CC20009" w:rsidR="000D38E8" w:rsidRPr="00A20ACE" w:rsidRDefault="000D38E8" w:rsidP="00EC5717">
      <w:r>
        <w:t>Blood and faeces should be collected from the patient as soon after onset of symptoms as possible. The blood is drawn into a</w:t>
      </w:r>
      <w:r w:rsidR="001F662B">
        <w:t xml:space="preserve"> blood tube without</w:t>
      </w:r>
      <w:r w:rsidR="001F662B" w:rsidRPr="001F662B">
        <w:t xml:space="preserve"> </w:t>
      </w:r>
      <w:r w:rsidR="001F662B">
        <w:t>anticoagulant</w:t>
      </w:r>
      <w:r w:rsidR="00714F2A">
        <w:t xml:space="preserve">. </w:t>
      </w:r>
      <w:r>
        <w:t xml:space="preserve">Ideally, 15–20 mL serum and 25–50 g faeces should be collected. Two millilitres of serum should be obtained from infants and as much faeces as possible. </w:t>
      </w:r>
    </w:p>
    <w:p w14:paraId="5B8887A8" w14:textId="5A2CBD32" w:rsidR="005A1E5E" w:rsidRPr="00A20ACE" w:rsidRDefault="005A1E5E" w:rsidP="007814E8">
      <w:pPr>
        <w:pStyle w:val="Heading3"/>
      </w:pPr>
      <w:r w:rsidRPr="00A20ACE">
        <w:t xml:space="preserve">Specimen preparation </w:t>
      </w:r>
    </w:p>
    <w:p w14:paraId="1FC90CB4" w14:textId="77777777" w:rsidR="005A1E5E" w:rsidRPr="00A20ACE" w:rsidRDefault="005A1E5E" w:rsidP="00883DA9">
      <w:pPr>
        <w:pStyle w:val="ListParagraph"/>
        <w:numPr>
          <w:ilvl w:val="0"/>
          <w:numId w:val="44"/>
        </w:numPr>
      </w:pPr>
      <w:r w:rsidRPr="00A20ACE">
        <w:t xml:space="preserve">Serum: serum is separated, and a series of 1 mL aliquots dispensed, one for each toxin type and one control. A 0.25 mL aliquot of each antitoxin is then added and incubated for 30–60 minutes at room temperature. 0.4 mL is intraperitoneally injected into 2 mice for the control and 0.5 mL injected for each aliquot containing antitoxin. Antitoxin to the commonest types (A, B and E) are used. Type F neurotoxin is very rarely encountered. Antisera for therapeutic use are unsuitable for the neutralisation test. </w:t>
      </w:r>
    </w:p>
    <w:p w14:paraId="7EF91E11" w14:textId="025818E1" w:rsidR="005A1E5E" w:rsidRPr="00A20ACE" w:rsidRDefault="005A1E5E" w:rsidP="00883DA9">
      <w:pPr>
        <w:pStyle w:val="ListParagraph"/>
        <w:numPr>
          <w:ilvl w:val="0"/>
          <w:numId w:val="44"/>
        </w:numPr>
      </w:pPr>
      <w:r w:rsidRPr="00A20ACE">
        <w:t>Faeces: a portion of the faecal specimen is suspended in buffered gelatin</w:t>
      </w:r>
      <w:r w:rsidR="00A20ACE">
        <w:t>e</w:t>
      </w:r>
      <w:r w:rsidRPr="00A20ACE">
        <w:t xml:space="preserve"> (1:1). The supernatant is tested with and without antitoxin as in 3.1.2 (a) above after clarification by centrifugation. Non-specific toxicity of faecal supernatant may be seen at a dilution of less than 1:10. </w:t>
      </w:r>
    </w:p>
    <w:p w14:paraId="360379B9" w14:textId="67D3BE8F" w:rsidR="005A1E5E" w:rsidRPr="00A20ACE" w:rsidRDefault="005A1E5E" w:rsidP="00883DA9">
      <w:pPr>
        <w:pStyle w:val="ListParagraph"/>
        <w:numPr>
          <w:ilvl w:val="0"/>
          <w:numId w:val="44"/>
        </w:numPr>
      </w:pPr>
      <w:r w:rsidRPr="00A20ACE">
        <w:t>Other clinical specimens: such as tissue or exudate from suspected wound botulism, should be ground up with sterile mortar and pestle then treated as for faeces in (b) above</w:t>
      </w:r>
      <w:r w:rsidR="00A2704C">
        <w:t>.</w:t>
      </w:r>
      <w:r w:rsidRPr="00A20ACE">
        <w:t xml:space="preserve"> </w:t>
      </w:r>
    </w:p>
    <w:p w14:paraId="3E617850" w14:textId="77777777" w:rsidR="005A1E5E" w:rsidRPr="00A20ACE" w:rsidRDefault="005A1E5E" w:rsidP="00883DA9">
      <w:pPr>
        <w:pStyle w:val="ListParagraph"/>
        <w:numPr>
          <w:ilvl w:val="0"/>
          <w:numId w:val="44"/>
        </w:numPr>
      </w:pPr>
      <w:r w:rsidRPr="00A20ACE">
        <w:t xml:space="preserve">Food: suspect food sources should be treated in accordance with Australian Standard 1766 and also treated as for faeces in (b) above. </w:t>
      </w:r>
    </w:p>
    <w:p w14:paraId="2BEE0438" w14:textId="77777777" w:rsidR="00166A15" w:rsidRPr="00A20ACE" w:rsidRDefault="00166A15" w:rsidP="00166A15">
      <w:pPr>
        <w:pStyle w:val="ListParagraph"/>
        <w:numPr>
          <w:ilvl w:val="0"/>
          <w:numId w:val="44"/>
        </w:numPr>
      </w:pPr>
      <w:r w:rsidRPr="00A20ACE">
        <w:t xml:space="preserve">Enrichment Culture: Culture supernatant may also be tested as per serum in (a) above. </w:t>
      </w:r>
    </w:p>
    <w:p w14:paraId="190A5D42" w14:textId="2F079044" w:rsidR="005A1E5E" w:rsidRPr="00A20ACE" w:rsidRDefault="005A1E5E" w:rsidP="007814E8">
      <w:pPr>
        <w:pStyle w:val="Heading3"/>
      </w:pPr>
      <w:r w:rsidRPr="00A20ACE">
        <w:t xml:space="preserve">Specimen inoculation </w:t>
      </w:r>
    </w:p>
    <w:p w14:paraId="3BAAED99" w14:textId="551653C8" w:rsidR="00AE5C18" w:rsidRPr="00A20ACE" w:rsidRDefault="005A1E5E" w:rsidP="00883DA9">
      <w:r w:rsidRPr="00A20ACE">
        <w:t xml:space="preserve">The 0.4 or 0.5 mL specimen/antitoxin mixtures are each inoculated intraperitoneally into laboratory mice, and the animals observed closely over a 4 day period. </w:t>
      </w:r>
    </w:p>
    <w:p w14:paraId="2E33D418" w14:textId="719E86D6" w:rsidR="007814E8" w:rsidRPr="00A20ACE" w:rsidRDefault="007814E8" w:rsidP="007814E8">
      <w:pPr>
        <w:pStyle w:val="Heading3"/>
      </w:pPr>
      <w:r w:rsidRPr="00A20ACE">
        <w:t xml:space="preserve">Results and interpretation </w:t>
      </w:r>
    </w:p>
    <w:p w14:paraId="155C5DD6" w14:textId="77777777" w:rsidR="007814E8" w:rsidRPr="00A20ACE" w:rsidRDefault="007814E8" w:rsidP="00883DA9">
      <w:r w:rsidRPr="00A20ACE">
        <w:t xml:space="preserve">Assessment of the effects of mouse inoculation must be carried out by staff with a valid laboratory animal handling license and experience of the mouse BoNT bioassay. A lethal result may take up to 4 days but neurotoxic effects are often evident to experienced staff </w:t>
      </w:r>
      <w:r w:rsidRPr="00A20ACE">
        <w:lastRenderedPageBreak/>
        <w:t xml:space="preserve">after only one day. Low levels of toxin in specimens may produce signs in mice without death for the non-neutralised control. Serum from patients with acute inflammatory polyneuropathy can produce paralysis in mice. The non-specific toxicity produced in mice inoculated with faecal supernatant at lower dilutions may necessitate repetition of the bioassay with supernatant at higher dilution. BoNT toxicity is usually evident in the mouse bioassay at greater than 1:100 dilution. Death in mice without consistent neutralisation patterns is inconclusive. </w:t>
      </w:r>
    </w:p>
    <w:p w14:paraId="3AA6E970" w14:textId="77777777" w:rsidR="00166A15" w:rsidRPr="00A20ACE" w:rsidRDefault="00166A15" w:rsidP="00166A15">
      <w:r w:rsidRPr="00A20ACE">
        <w:t>Confirmatory results require observation of clinical signs (ruffling fur, laboured abdominal breathing, weakness of limbs or total paralysis and/or death) in unprotected mice AND protection from clinical signs in antitoxin treated mice (polyvalent or a single monovalent where mice injected with other monovalent antitoxin are expected to show clinical signs).</w:t>
      </w:r>
    </w:p>
    <w:p w14:paraId="77E1B63B" w14:textId="174BCBEB" w:rsidR="007814E8" w:rsidRPr="00A20ACE" w:rsidRDefault="007814E8" w:rsidP="007814E8">
      <w:pPr>
        <w:pStyle w:val="Heading3"/>
      </w:pPr>
      <w:r w:rsidRPr="00A20ACE">
        <w:t xml:space="preserve">Timeline </w:t>
      </w:r>
    </w:p>
    <w:p w14:paraId="6E3C2134" w14:textId="29883090" w:rsidR="007814E8" w:rsidRPr="00A20ACE" w:rsidRDefault="007814E8" w:rsidP="00883DA9">
      <w:pPr>
        <w:rPr>
          <w:rFonts w:ascii="Open Sans" w:hAnsi="Open Sans"/>
          <w:color w:val="000000"/>
          <w:szCs w:val="24"/>
        </w:rPr>
      </w:pPr>
      <w:r w:rsidRPr="00A20ACE">
        <w:t xml:space="preserve">The mouse bioassay will take a minimum of 4 days to produce a negative result from a clinical or food specimen. A need to transport specimens, to obtain type-specific antitoxin, or titrate out non-specific mouse toxicity will lengthen the test period. </w:t>
      </w:r>
    </w:p>
    <w:p w14:paraId="3A8F02D3" w14:textId="04652E6C" w:rsidR="007814E8" w:rsidRPr="00A20ACE" w:rsidRDefault="007814E8" w:rsidP="007814E8">
      <w:pPr>
        <w:pStyle w:val="Heading3"/>
      </w:pPr>
      <w:r w:rsidRPr="00A20ACE">
        <w:t xml:space="preserve">Confidence limits </w:t>
      </w:r>
    </w:p>
    <w:p w14:paraId="1B6C3C03" w14:textId="27CCF235" w:rsidR="007814E8" w:rsidRDefault="007814E8" w:rsidP="00883DA9">
      <w:r w:rsidRPr="00A20ACE">
        <w:t xml:space="preserve">No recent statistical evaluation of sensitivity or specificity of the BoNT mouse bioassay is available. </w:t>
      </w:r>
      <w:r w:rsidR="00166A15" w:rsidRPr="00A20ACE">
        <w:t>However, it is reported to be very sensitive, with one intraperitoneal mouse 50% lethal dose corresponding to 5 to 10 pg (Smith, L. D. S., and H. Sugiyama. 1988. Botulism. The organism, its toxins, the disease. Charles C. Thomas, Springfield, Ill.). The mouse bioassay has been found by some centres to be more sensitive than developmental toxin immunoassays and is thought to detect toxin in around 70% cases, including a study of clinical wound botulism cases also identified the mouse bioassay as having a sensitivity of 68% (</w:t>
      </w:r>
      <w:hyperlink r:id="rId12" w:history="1">
        <w:r w:rsidR="00166A15" w:rsidRPr="00714F2A">
          <w:rPr>
            <w:rStyle w:val="Hyperlink"/>
          </w:rPr>
          <w:t>https://academic.oup.com/cid/article/48/12/1669/320221</w:t>
        </w:r>
      </w:hyperlink>
      <w:r w:rsidR="00166A15" w:rsidRPr="00A20ACE">
        <w:t>, however other studies report positivity in mouse bioassay of 44% of sera and stool samples in adult botulism cases (</w:t>
      </w:r>
      <w:hyperlink r:id="rId13" w:history="1">
        <w:r w:rsidR="00166A15" w:rsidRPr="00234A83">
          <w:rPr>
            <w:rStyle w:val="Hyperlink"/>
          </w:rPr>
          <w:t>https://pubmed.ncbi.nlm.nih.gov/1431246/</w:t>
        </w:r>
      </w:hyperlink>
      <w:r w:rsidR="00166A15">
        <w:t>)</w:t>
      </w:r>
      <w:r w:rsidR="00166A15" w:rsidRPr="00A20ACE">
        <w:t xml:space="preserve">). </w:t>
      </w:r>
      <w:r w:rsidRPr="00A20ACE">
        <w:t>A negative BoNT bioassay does not exclude a diagnosis of botulism in a patient with clinical features of the disease. Although theoretically very specific, the bioassay can produce mouse paralysis when sera from patients with acute inflammatory polyneuropathy have been inoculated or false positives may be caused by endotoxins from gram-negative bacteria or tetanus toxin, which is why the inclusion of neutralisation in this test is important</w:t>
      </w:r>
      <w:r w:rsidR="00A265D4">
        <w:t xml:space="preserve"> </w:t>
      </w:r>
      <w:r w:rsidRPr="00A20ACE">
        <w:t>(</w:t>
      </w:r>
      <w:hyperlink r:id="rId14" w:history="1">
        <w:r w:rsidR="00A265D4" w:rsidRPr="00234A83">
          <w:rPr>
            <w:rStyle w:val="Hyperlink"/>
          </w:rPr>
          <w:t>https://www.ncbi.nlm.nih.gov/pmc/articles/PMC1471988/</w:t>
        </w:r>
      </w:hyperlink>
      <w:r w:rsidR="00A265D4">
        <w:t>)</w:t>
      </w:r>
      <w:r w:rsidRPr="00A20ACE">
        <w:t xml:space="preserve">. </w:t>
      </w:r>
    </w:p>
    <w:p w14:paraId="4BEE64B7" w14:textId="77777777" w:rsidR="00056CA0" w:rsidRPr="00A265D4" w:rsidRDefault="00056CA0" w:rsidP="00883DA9"/>
    <w:p w14:paraId="51EE2C82" w14:textId="18D17A2F" w:rsidR="00495BE0" w:rsidRPr="00A20ACE" w:rsidRDefault="00A10C95" w:rsidP="00C000BA">
      <w:pPr>
        <w:pStyle w:val="Heading2"/>
      </w:pPr>
      <w:r w:rsidRPr="00A20ACE">
        <w:rPr>
          <w:rFonts w:ascii="Open Sans" w:hAnsi="Open Sans" w:cs="Helvetica"/>
          <w:i/>
          <w:iCs/>
          <w:sz w:val="30"/>
          <w:szCs w:val="30"/>
        </w:rPr>
        <w:lastRenderedPageBreak/>
        <w:t>C. botulinum isolation</w:t>
      </w:r>
    </w:p>
    <w:p w14:paraId="3DE2B491" w14:textId="1B5FE7AB" w:rsidR="00166A15" w:rsidRDefault="00277109" w:rsidP="00166A15">
      <w:r w:rsidRPr="00A20ACE">
        <w:t xml:space="preserve">Detection of </w:t>
      </w:r>
      <w:r w:rsidRPr="00A20ACE">
        <w:rPr>
          <w:i/>
          <w:iCs/>
        </w:rPr>
        <w:t>C. botulinum</w:t>
      </w:r>
      <w:r w:rsidRPr="00A20ACE">
        <w:t xml:space="preserve"> in faeces from a patient with clinical features of botulism is strongly suggestive of the diagnosis even if tests for neurotoxin are negative. BoNT is rarely detected in faeces of patients who have botulism and who are </w:t>
      </w:r>
      <w:r w:rsidRPr="00A20ACE">
        <w:rPr>
          <w:i/>
          <w:iCs/>
        </w:rPr>
        <w:t>C. botulinum</w:t>
      </w:r>
      <w:r w:rsidRPr="00A20ACE">
        <w:t xml:space="preserve"> positive. </w:t>
      </w:r>
      <w:r w:rsidR="00166A15" w:rsidRPr="00A20ACE">
        <w:t xml:space="preserve">The isolation of </w:t>
      </w:r>
      <w:r w:rsidR="00166A15" w:rsidRPr="00A20ACE">
        <w:rPr>
          <w:i/>
          <w:iCs/>
        </w:rPr>
        <w:t>C. botulinum</w:t>
      </w:r>
      <w:r w:rsidR="00166A15" w:rsidRPr="00A20ACE">
        <w:t xml:space="preserve"> from samples with high levels of competitive bacterial flora, such as faecal and environmental samples, can be challenging. Several broth cultures and platings may be required to isolate a pure culture, and repeated attempts may not successfully yield an isolate. It is thought that the presence of nontoxigenic </w:t>
      </w:r>
      <w:r w:rsidR="00166A15" w:rsidRPr="00A20ACE">
        <w:rPr>
          <w:i/>
          <w:iCs/>
        </w:rPr>
        <w:t>C. botulinum</w:t>
      </w:r>
      <w:r w:rsidR="00166A15" w:rsidRPr="00A20ACE">
        <w:t xml:space="preserve">-like strains can disturb the culture of BoNT positive </w:t>
      </w:r>
      <w:r w:rsidR="00166A15" w:rsidRPr="00A20ACE">
        <w:rPr>
          <w:i/>
          <w:iCs/>
        </w:rPr>
        <w:t>C. botulinum</w:t>
      </w:r>
      <w:r w:rsidR="00166A15" w:rsidRPr="00A20ACE">
        <w:t xml:space="preserve"> strain. Isolation of </w:t>
      </w:r>
      <w:r w:rsidR="00166A15" w:rsidRPr="00A20ACE">
        <w:rPr>
          <w:i/>
          <w:iCs/>
        </w:rPr>
        <w:t xml:space="preserve">C. botulinum </w:t>
      </w:r>
      <w:r w:rsidR="00166A15" w:rsidRPr="00A20ACE">
        <w:t xml:space="preserve">from toxin positive specimens can provide useful confirmatory evidence that can be kept indefinitely for subsequent investigation. However, isolation of </w:t>
      </w:r>
      <w:r w:rsidR="00166A15" w:rsidRPr="00A20ACE">
        <w:rPr>
          <w:i/>
          <w:iCs/>
        </w:rPr>
        <w:t>C. botulinum</w:t>
      </w:r>
      <w:r w:rsidR="00166A15" w:rsidRPr="00A20ACE">
        <w:t xml:space="preserve"> from toxin negative food specimens is of questionable value given the widespread dissemination of</w:t>
      </w:r>
      <w:r w:rsidR="00166A15" w:rsidRPr="00A20ACE">
        <w:rPr>
          <w:i/>
          <w:iCs/>
        </w:rPr>
        <w:t xml:space="preserve"> C. botulinum </w:t>
      </w:r>
      <w:r w:rsidR="00166A15" w:rsidRPr="00A20ACE">
        <w:t xml:space="preserve">spores in the inanimate environment. Sera should not be considered for </w:t>
      </w:r>
      <w:r w:rsidR="00166A15" w:rsidRPr="00A20ACE">
        <w:rPr>
          <w:i/>
          <w:iCs/>
        </w:rPr>
        <w:t>C. botulinum</w:t>
      </w:r>
      <w:r w:rsidR="00166A15" w:rsidRPr="00A20ACE">
        <w:t xml:space="preserve"> culture.</w:t>
      </w:r>
    </w:p>
    <w:p w14:paraId="2674DFBC" w14:textId="013AED38" w:rsidR="00F44D12" w:rsidRPr="00056CA0" w:rsidRDefault="00166A15" w:rsidP="00056CA0">
      <w:pPr>
        <w:pBdr>
          <w:top w:val="single" w:sz="4" w:space="1" w:color="auto"/>
          <w:left w:val="single" w:sz="4" w:space="4" w:color="auto"/>
          <w:bottom w:val="single" w:sz="4" w:space="1" w:color="auto"/>
          <w:right w:val="single" w:sz="4" w:space="4" w:color="auto"/>
        </w:pBdr>
        <w:rPr>
          <w:rFonts w:ascii="Helvetica" w:eastAsia="Times New Roman" w:hAnsi="Helvetica" w:cs="Helvetica"/>
          <w:color w:val="222222"/>
          <w:sz w:val="20"/>
          <w:szCs w:val="20"/>
        </w:rPr>
      </w:pPr>
      <w:r w:rsidRPr="00A20ACE">
        <w:rPr>
          <w:i/>
          <w:iCs/>
        </w:rPr>
        <w:t>C. botulinum</w:t>
      </w:r>
      <w:r w:rsidRPr="00A20ACE">
        <w:t xml:space="preserve"> bacteria are a Tier 2 Security Sensitive Biological Agent in Australia and facilities handling cultures should be compliant with the SSBA Regulatory Scheme. BoNT is a Tier 1 reportable agent at 0.5 mg and above – any broth cultures of </w:t>
      </w:r>
      <w:r w:rsidRPr="00A20ACE">
        <w:rPr>
          <w:i/>
          <w:iCs/>
        </w:rPr>
        <w:t>C. botulinum</w:t>
      </w:r>
      <w:r w:rsidRPr="00A20ACE">
        <w:t xml:space="preserve"> should be assumed to be producing reportable levels of toxin and therefore should only be handled by a registered entity.</w:t>
      </w:r>
    </w:p>
    <w:p w14:paraId="4642456C" w14:textId="08FEE434" w:rsidR="004B49D4" w:rsidRPr="00A20ACE" w:rsidRDefault="004B49D4" w:rsidP="007043F3">
      <w:pPr>
        <w:pStyle w:val="Heading3"/>
      </w:pPr>
      <w:r w:rsidRPr="00A20ACE">
        <w:t xml:space="preserve">Specimen collection </w:t>
      </w:r>
    </w:p>
    <w:p w14:paraId="776E14FA" w14:textId="77777777" w:rsidR="004B49D4" w:rsidRPr="00A20ACE" w:rsidRDefault="004B49D4" w:rsidP="00883DA9">
      <w:pPr>
        <w:pStyle w:val="ListParagraph"/>
        <w:numPr>
          <w:ilvl w:val="0"/>
          <w:numId w:val="45"/>
        </w:numPr>
      </w:pPr>
      <w:r w:rsidRPr="00A20ACE">
        <w:t xml:space="preserve">Faeces: a portion of the faecal specimen collected for BoNT bioassay can be used for culture. </w:t>
      </w:r>
    </w:p>
    <w:p w14:paraId="5527A55E" w14:textId="77777777" w:rsidR="004B49D4" w:rsidRPr="00A20ACE" w:rsidRDefault="004B49D4" w:rsidP="00883DA9">
      <w:pPr>
        <w:pStyle w:val="ListParagraph"/>
        <w:numPr>
          <w:ilvl w:val="0"/>
          <w:numId w:val="45"/>
        </w:numPr>
      </w:pPr>
      <w:r w:rsidRPr="00A20ACE">
        <w:t xml:space="preserve">Exudate or tissue should be sought from suspected wound botulism cases. </w:t>
      </w:r>
    </w:p>
    <w:p w14:paraId="6CFFEC60" w14:textId="7E8D75B8" w:rsidR="004B49D4" w:rsidRPr="00A20ACE" w:rsidRDefault="004B49D4" w:rsidP="007043F3">
      <w:pPr>
        <w:pStyle w:val="Heading3"/>
      </w:pPr>
      <w:r w:rsidRPr="00A20ACE">
        <w:t xml:space="preserve">Culture media </w:t>
      </w:r>
    </w:p>
    <w:p w14:paraId="311C07ED" w14:textId="77777777" w:rsidR="004B49D4" w:rsidRPr="00A20ACE" w:rsidRDefault="004B49D4" w:rsidP="00883DA9">
      <w:r w:rsidRPr="00A20ACE">
        <w:t xml:space="preserve">Two tubes of cooked meat/glucose/starch broth should be inoculated. One should be heated to 80 °C to kill vegetative bacteria, then both should be incubated anaerobically at 30 °C for 4 days. </w:t>
      </w:r>
    </w:p>
    <w:p w14:paraId="1B68DC0D" w14:textId="3931916F" w:rsidR="004B49D4" w:rsidRPr="00A20ACE" w:rsidRDefault="004B49D4" w:rsidP="007043F3">
      <w:pPr>
        <w:pStyle w:val="Heading3"/>
      </w:pPr>
      <w:r w:rsidRPr="00A20ACE">
        <w:t xml:space="preserve">Neurotoxin screen </w:t>
      </w:r>
    </w:p>
    <w:p w14:paraId="20CEA71B" w14:textId="6ECF4342" w:rsidR="004B49D4" w:rsidRPr="00A20ACE" w:rsidRDefault="004B49D4" w:rsidP="00883DA9">
      <w:r w:rsidRPr="00A20ACE">
        <w:t>The culture medium can be</w:t>
      </w:r>
      <w:r w:rsidR="00B91FD3">
        <w:t xml:space="preserve"> </w:t>
      </w:r>
      <w:r w:rsidRPr="00A20ACE">
        <w:t xml:space="preserve">screened for BoNT using the mouse bioassay as described in 3.1 above. </w:t>
      </w:r>
    </w:p>
    <w:p w14:paraId="32ED7C1E" w14:textId="01F057EE" w:rsidR="004B49D4" w:rsidRPr="00A20ACE" w:rsidRDefault="004B49D4" w:rsidP="00BF6B2C">
      <w:pPr>
        <w:pStyle w:val="Heading3"/>
      </w:pPr>
      <w:r w:rsidRPr="00A20ACE">
        <w:t xml:space="preserve">Isolation of </w:t>
      </w:r>
      <w:r w:rsidRPr="00A20ACE">
        <w:rPr>
          <w:i/>
          <w:iCs/>
        </w:rPr>
        <w:t>C. botulinum</w:t>
      </w:r>
      <w:r w:rsidRPr="00A20ACE">
        <w:t xml:space="preserve"> </w:t>
      </w:r>
    </w:p>
    <w:p w14:paraId="5BBF6569" w14:textId="1083F9DC" w:rsidR="004B49D4" w:rsidRPr="00A20ACE" w:rsidRDefault="004B49D4" w:rsidP="00883DA9">
      <w:r w:rsidRPr="00A20ACE">
        <w:rPr>
          <w:i/>
          <w:iCs/>
        </w:rPr>
        <w:lastRenderedPageBreak/>
        <w:t>C. botulinum</w:t>
      </w:r>
      <w:r w:rsidRPr="00A20ACE">
        <w:t xml:space="preserve"> is isolated from enrichment media and directly from specimens by streaking onto selective egg yolk media (e.g., BSM) and incubating the egg yolk plates at 37</w:t>
      </w:r>
      <w:r w:rsidR="00F823EE">
        <w:t> °</w:t>
      </w:r>
      <w:r w:rsidR="00F823EE" w:rsidRPr="00A20ACE">
        <w:t xml:space="preserve">C </w:t>
      </w:r>
      <w:r w:rsidRPr="00A20ACE">
        <w:t xml:space="preserve">anaerobically. Typical colonies are small and demonstrate lipase but not lecithinase activity. </w:t>
      </w:r>
    </w:p>
    <w:p w14:paraId="58A2572B" w14:textId="77777777" w:rsidR="004B49D4" w:rsidRPr="00A20ACE" w:rsidRDefault="004B49D4" w:rsidP="00883DA9">
      <w:r w:rsidRPr="00A20ACE">
        <w:t xml:space="preserve">Some of the components of selective egg yolk media (e.g., BSM) may suppress the growth of group II </w:t>
      </w:r>
      <w:r w:rsidRPr="00A20ACE">
        <w:rPr>
          <w:i/>
          <w:iCs/>
        </w:rPr>
        <w:t>C. botulinum</w:t>
      </w:r>
      <w:r w:rsidRPr="00A20ACE">
        <w:t xml:space="preserve"> (E and F) so including non-selective plates in adult botulism work-ups is recommended (https://journals.asm.org/doi/10.1128/CMR.19.2.298-314.2006#T1). </w:t>
      </w:r>
    </w:p>
    <w:p w14:paraId="66F6E748" w14:textId="22879820" w:rsidR="004B49D4" w:rsidRPr="00A20ACE" w:rsidRDefault="004B49D4" w:rsidP="007334CD">
      <w:pPr>
        <w:pStyle w:val="Heading3"/>
      </w:pPr>
      <w:r w:rsidRPr="00A20ACE">
        <w:t xml:space="preserve">Confirmation of </w:t>
      </w:r>
      <w:r w:rsidRPr="00A20ACE">
        <w:rPr>
          <w:i/>
          <w:iCs/>
        </w:rPr>
        <w:t>C. botulinum</w:t>
      </w:r>
    </w:p>
    <w:p w14:paraId="6850DCC2" w14:textId="20EC19AA" w:rsidR="00D54CBD" w:rsidRPr="00A20ACE" w:rsidRDefault="004B49D4" w:rsidP="00EC5717">
      <w:pPr>
        <w:rPr>
          <w:rFonts w:ascii="Helvetica" w:eastAsia="Times New Roman" w:hAnsi="Helvetica" w:cs="Helvetica"/>
          <w:color w:val="222222"/>
          <w:sz w:val="20"/>
          <w:szCs w:val="20"/>
        </w:rPr>
      </w:pPr>
      <w:r w:rsidRPr="00A20ACE">
        <w:t xml:space="preserve">Definitive confirmation of the identity of suspected </w:t>
      </w:r>
      <w:r w:rsidRPr="00A20ACE">
        <w:rPr>
          <w:i/>
          <w:iCs/>
        </w:rPr>
        <w:t>C. botulinum</w:t>
      </w:r>
      <w:r w:rsidRPr="00A20ACE">
        <w:t xml:space="preserve"> colonies requires demonstration of BoNT production, since group I is biochemically and genetically identical to strains of </w:t>
      </w:r>
      <w:r w:rsidRPr="00A20ACE">
        <w:rPr>
          <w:i/>
          <w:iCs/>
        </w:rPr>
        <w:t>C. sporogenes</w:t>
      </w:r>
      <w:r w:rsidRPr="00A20ACE">
        <w:t xml:space="preserve"> and group III closely resembles </w:t>
      </w:r>
      <w:r w:rsidRPr="00A20ACE">
        <w:rPr>
          <w:i/>
          <w:iCs/>
        </w:rPr>
        <w:t>C. noyvii</w:t>
      </w:r>
      <w:r w:rsidRPr="00A20ACE">
        <w:t xml:space="preserve">. The following phenotypic features would be taken as suggestive but not conclusive evidence of </w:t>
      </w:r>
      <w:r w:rsidRPr="00A20ACE">
        <w:rPr>
          <w:i/>
          <w:iCs/>
        </w:rPr>
        <w:t>C. botulinum</w:t>
      </w:r>
      <w:r w:rsidRPr="00A20ACE">
        <w:t>: Gram positive bacilli, with oval subterminal spores, anaerobic growth, and lipase activity.</w:t>
      </w:r>
      <w:r w:rsidR="00166A15" w:rsidRPr="00166A15">
        <w:t xml:space="preserve"> </w:t>
      </w:r>
      <w:r w:rsidR="00166A15" w:rsidRPr="00A20ACE">
        <w:t xml:space="preserve">Current IVD MALDI-TOF MS libraries are unable to correctly identify </w:t>
      </w:r>
      <w:r w:rsidR="00166A15" w:rsidRPr="00A20ACE">
        <w:rPr>
          <w:i/>
          <w:iCs/>
        </w:rPr>
        <w:t>C. botulinum</w:t>
      </w:r>
      <w:r w:rsidR="00166A15" w:rsidRPr="00A20ACE">
        <w:t xml:space="preserve"> and may return an identification of </w:t>
      </w:r>
      <w:r w:rsidR="00166A15" w:rsidRPr="00A20ACE">
        <w:rPr>
          <w:i/>
          <w:iCs/>
        </w:rPr>
        <w:t>C. sporogenes</w:t>
      </w:r>
      <w:r w:rsidR="00166A15" w:rsidRPr="00A20ACE">
        <w:t xml:space="preserve"> (reference https://pubmed.ncbi.nlm.nih.gov/29021156/). Therefore, laboratories should not rely on MALDI-TOF as part of their identification algorithm for </w:t>
      </w:r>
      <w:r w:rsidR="00166A15" w:rsidRPr="00A20ACE">
        <w:rPr>
          <w:i/>
          <w:iCs/>
        </w:rPr>
        <w:t>C. botulinum</w:t>
      </w:r>
      <w:r w:rsidRPr="00A20ACE">
        <w:rPr>
          <w:i/>
          <w:iCs/>
        </w:rPr>
        <w:t>.</w:t>
      </w:r>
      <w:r w:rsidR="00A20ACE">
        <w:rPr>
          <w:rFonts w:ascii="Helvetica" w:eastAsia="Times New Roman" w:hAnsi="Helvetica" w:cs="Helvetica"/>
          <w:color w:val="222222"/>
          <w:sz w:val="20"/>
          <w:szCs w:val="20"/>
        </w:rPr>
        <w:t xml:space="preserve"> </w:t>
      </w:r>
      <w:r w:rsidRPr="00A20ACE">
        <w:rPr>
          <w:rFonts w:ascii="Helvetica" w:eastAsia="Times New Roman" w:hAnsi="Helvetica" w:cs="Helvetica"/>
          <w:color w:val="222222"/>
          <w:sz w:val="20"/>
          <w:szCs w:val="20"/>
        </w:rPr>
        <w:t xml:space="preserve"> </w:t>
      </w:r>
    </w:p>
    <w:p w14:paraId="2FC10B2A" w14:textId="04AF4115" w:rsidR="005B40EC" w:rsidRPr="00A20ACE" w:rsidRDefault="005B40EC" w:rsidP="00D54CBD">
      <w:pPr>
        <w:pStyle w:val="Heading3"/>
      </w:pPr>
      <w:r w:rsidRPr="00A20ACE">
        <w:t>Confidence limits</w:t>
      </w:r>
    </w:p>
    <w:p w14:paraId="1BD615B7" w14:textId="01E03A41" w:rsidR="005B40EC" w:rsidRPr="00A20ACE" w:rsidRDefault="005B40EC" w:rsidP="00D54CBD">
      <w:r w:rsidRPr="00A20ACE">
        <w:t xml:space="preserve">The taxonomic complexity of </w:t>
      </w:r>
      <w:r w:rsidRPr="00A20ACE">
        <w:rPr>
          <w:i/>
          <w:iCs/>
        </w:rPr>
        <w:t>C. botulinum</w:t>
      </w:r>
      <w:r w:rsidRPr="00A20ACE">
        <w:t xml:space="preserve"> and related neurotoxin-positive Clostridia dictates that presumptive identification of </w:t>
      </w:r>
      <w:r w:rsidRPr="00A20ACE">
        <w:rPr>
          <w:i/>
          <w:iCs/>
        </w:rPr>
        <w:t>Clostridium</w:t>
      </w:r>
      <w:r w:rsidRPr="00A20ACE">
        <w:t xml:space="preserve"> species from patients with suspected botulism should not be used as the sole justification for a diagnosis. The phenotypic and genotypic characteristics of </w:t>
      </w:r>
      <w:r w:rsidRPr="00A20ACE">
        <w:rPr>
          <w:i/>
          <w:iCs/>
        </w:rPr>
        <w:t>C. botulinum</w:t>
      </w:r>
      <w:r w:rsidRPr="00A20ACE">
        <w:t xml:space="preserve"> are not specific to this species and only common denominator of all </w:t>
      </w:r>
      <w:r w:rsidRPr="00A20ACE">
        <w:rPr>
          <w:i/>
          <w:iCs/>
        </w:rPr>
        <w:t>C. botulinum</w:t>
      </w:r>
      <w:r w:rsidRPr="00A20ACE">
        <w:t xml:space="preserve"> strains is the ability to produce neurotoxins that cause flaccid paralysis. Without further testing such as demonstration of BoNT activity, the presence of the </w:t>
      </w:r>
      <w:r w:rsidRPr="00A20ACE">
        <w:rPr>
          <w:i/>
          <w:iCs/>
        </w:rPr>
        <w:t>bont</w:t>
      </w:r>
      <w:r w:rsidRPr="00A20ACE">
        <w:t xml:space="preserve"> gene or genomic sequencing of the isolate, an isolate cannot be considered to be confirmed </w:t>
      </w:r>
      <w:r w:rsidRPr="00A20ACE">
        <w:rPr>
          <w:i/>
          <w:iCs/>
        </w:rPr>
        <w:t>C. botulinum.</w:t>
      </w:r>
      <w:r w:rsidRPr="00A20ACE">
        <w:t xml:space="preserve"> Moreover, variations in expression of BoNT activity may render some strains negative by mouse bioassay. Cultures were positive for 51% of stool specimens and toxin testing was positive for </w:t>
      </w:r>
      <w:r w:rsidR="005C4170" w:rsidRPr="000B003E">
        <w:t xml:space="preserve">37% of sera and 23% of stool specimens </w:t>
      </w:r>
      <w:r w:rsidRPr="00A20ACE">
        <w:t>collected from 309 persons with clinically diagnosed botulism reported to CDC from 1975 to 1988 (https://www.cdc.gov/botulism/pdf/bot-manual.pdf).</w:t>
      </w:r>
    </w:p>
    <w:p w14:paraId="6401F544" w14:textId="77777777" w:rsidR="00166A15" w:rsidRPr="00A20ACE" w:rsidRDefault="00166A15" w:rsidP="00166A15">
      <w:pPr>
        <w:pStyle w:val="Heading2"/>
      </w:pPr>
      <w:r w:rsidRPr="00A20ACE">
        <w:t>PCR</w:t>
      </w:r>
    </w:p>
    <w:p w14:paraId="3A2B10A3" w14:textId="77777777" w:rsidR="00166A15" w:rsidRPr="00A20ACE" w:rsidRDefault="00166A15" w:rsidP="00166A15">
      <w:r w:rsidRPr="00A20ACE">
        <w:t xml:space="preserve">Molecular detection of the toxin gene </w:t>
      </w:r>
      <w:r w:rsidRPr="00A20ACE">
        <w:rPr>
          <w:i/>
          <w:iCs/>
        </w:rPr>
        <w:t>bont</w:t>
      </w:r>
      <w:r w:rsidRPr="00A20ACE">
        <w:t xml:space="preserve"> does not confirm a functional gene is present or expressing as toxin. Ideally, a functional test like the mouse bioassay or genomic </w:t>
      </w:r>
      <w:r w:rsidRPr="00A20ACE">
        <w:lastRenderedPageBreak/>
        <w:t xml:space="preserve">sequencing to examine the full gene sequence should be performed to provide additional information. </w:t>
      </w:r>
    </w:p>
    <w:p w14:paraId="525B7244" w14:textId="77777777" w:rsidR="00166A15" w:rsidRPr="00A20ACE" w:rsidRDefault="00166A15" w:rsidP="00166A15">
      <w:pPr>
        <w:pStyle w:val="Heading3"/>
      </w:pPr>
      <w:r w:rsidRPr="00A20ACE">
        <w:t>Specimens</w:t>
      </w:r>
    </w:p>
    <w:p w14:paraId="193B743F" w14:textId="77777777" w:rsidR="00166A15" w:rsidRPr="00A20ACE" w:rsidRDefault="00166A15" w:rsidP="00166A15">
      <w:r w:rsidRPr="00A20ACE">
        <w:t xml:space="preserve">PCR can be performed on direct clinical extractions from faeces, gastric aspirate or tissue or enrichments of such specimens. PCR of the toxin gene is a highly useful tool for screening bacterial colonies and sample enrichments of clinical specimens and food to detect the presence of toxin gene positive </w:t>
      </w:r>
      <w:r w:rsidRPr="00A20ACE">
        <w:rPr>
          <w:i/>
          <w:iCs/>
        </w:rPr>
        <w:t xml:space="preserve">C. botulinum. </w:t>
      </w:r>
      <w:r w:rsidRPr="00A20ACE">
        <w:t xml:space="preserve">Sera should not be screened by PCR as there is no </w:t>
      </w:r>
      <w:r w:rsidRPr="00A20ACE">
        <w:rPr>
          <w:i/>
          <w:iCs/>
        </w:rPr>
        <w:t xml:space="preserve">C. botulinum </w:t>
      </w:r>
      <w:r w:rsidRPr="00A20ACE">
        <w:t xml:space="preserve">toxin gene expected in patient sera. </w:t>
      </w:r>
    </w:p>
    <w:p w14:paraId="18E761B1" w14:textId="77777777" w:rsidR="00166A15" w:rsidRPr="00A20ACE" w:rsidRDefault="00166A15" w:rsidP="00166A15">
      <w:pPr>
        <w:pStyle w:val="Heading3"/>
      </w:pPr>
      <w:r w:rsidRPr="00A20ACE">
        <w:t xml:space="preserve">BioFire gene testing </w:t>
      </w:r>
    </w:p>
    <w:p w14:paraId="7F9B7DBE" w14:textId="77777777" w:rsidR="00166A15" w:rsidRPr="00A20ACE" w:rsidRDefault="00166A15" w:rsidP="00166A15">
      <w:r w:rsidRPr="00A20ACE">
        <w:rPr>
          <w:i/>
          <w:iCs/>
        </w:rPr>
        <w:t>C. botulinum</w:t>
      </w:r>
      <w:r w:rsidRPr="00A20ACE">
        <w:t xml:space="preserve"> toxin A gene is included in the BioFire Defense BioThreat panel. This test is intended for use on swabs, liquids, cultures and powders and is not listed on the Australian Register of Therapeutic Goods for use on clinical specimens. </w:t>
      </w:r>
    </w:p>
    <w:p w14:paraId="0B33D5F1" w14:textId="77777777" w:rsidR="00166A15" w:rsidRPr="00A20ACE" w:rsidRDefault="00166A15" w:rsidP="00166A15">
      <w:pPr>
        <w:pStyle w:val="Heading2"/>
      </w:pPr>
      <w:r w:rsidRPr="00A20ACE">
        <w:t xml:space="preserve">Alternative testing approaches </w:t>
      </w:r>
    </w:p>
    <w:p w14:paraId="5EA33206" w14:textId="77777777" w:rsidR="00166A15" w:rsidRPr="00A20ACE" w:rsidRDefault="00166A15" w:rsidP="00166A15">
      <w:r w:rsidRPr="00A20ACE">
        <w:t>Immunoassays for detecting BoNT may be commercially available overseas but are not readily available in Australia. In house testing can be developed using polyclonal or monoclonal antibodies but validation can be challenging. Alternative assays including endopeptidase mass spectrometry and colorimetric assays have been developed but are not readily available to Australian public health laboratories at this point in time,</w:t>
      </w:r>
    </w:p>
    <w:p w14:paraId="42F6DAFD" w14:textId="4CE11EA7" w:rsidR="005B40EC" w:rsidRPr="00A20ACE" w:rsidRDefault="005B40EC" w:rsidP="001D7151">
      <w:pPr>
        <w:pStyle w:val="Heading2"/>
      </w:pPr>
      <w:r w:rsidRPr="00A20ACE">
        <w:t xml:space="preserve">Quality control </w:t>
      </w:r>
    </w:p>
    <w:p w14:paraId="133C06C3" w14:textId="77777777" w:rsidR="005B40EC" w:rsidRPr="00A20ACE" w:rsidRDefault="005B40EC" w:rsidP="00A41F5A">
      <w:r w:rsidRPr="00A20ACE">
        <w:t xml:space="preserve">At present there is no external quality control programme for BoNT detection or </w:t>
      </w:r>
      <w:r w:rsidRPr="00A20ACE">
        <w:rPr>
          <w:i/>
          <w:iCs/>
        </w:rPr>
        <w:t>C. botulinum</w:t>
      </w:r>
      <w:r w:rsidRPr="00A20ACE">
        <w:t xml:space="preserve"> isolation from clinical specimens, however the Royal College of Pathologists of Australasia (RCPA) Quality Assurance Program for Biosecurity does offer some simulated clinical samples containing inactivated or attenuated </w:t>
      </w:r>
      <w:r w:rsidRPr="00A20ACE">
        <w:rPr>
          <w:i/>
          <w:iCs/>
        </w:rPr>
        <w:t>C. botulinum</w:t>
      </w:r>
      <w:r w:rsidRPr="00A20ACE">
        <w:t xml:space="preserve"> or related organisms. </w:t>
      </w:r>
    </w:p>
    <w:p w14:paraId="00DC1B12" w14:textId="648F9BAA" w:rsidR="005B40EC" w:rsidRPr="00A20ACE" w:rsidRDefault="005B40EC" w:rsidP="001D7151">
      <w:pPr>
        <w:pStyle w:val="Heading3"/>
      </w:pPr>
      <w:r w:rsidRPr="00A20ACE">
        <w:t xml:space="preserve">Special considerations </w:t>
      </w:r>
    </w:p>
    <w:p w14:paraId="170725CF" w14:textId="77777777" w:rsidR="005B40EC" w:rsidRPr="00A20ACE" w:rsidRDefault="005B40EC" w:rsidP="00A41F5A">
      <w:r w:rsidRPr="00A20ACE">
        <w:t xml:space="preserve">The sporadic nature of botulism and, the technically demanding procedures required for its confirmation mean that there are very few Australian laboratories are able to provide a test service. Performance of the mouse bioassay requires approved animal handling facilities, ethical approval and staff with the appropriate animal handling certification. Supplies of type-specific diagnostic antisera can be sporadic. Competent laboratories may therefore be unable to offer a test service for an unspecified period depending on availability of antisera. </w:t>
      </w:r>
    </w:p>
    <w:p w14:paraId="08422662" w14:textId="44EC492A" w:rsidR="005B40EC" w:rsidRPr="00A20ACE" w:rsidRDefault="005B40EC" w:rsidP="001D7151">
      <w:pPr>
        <w:pStyle w:val="Heading3"/>
      </w:pPr>
      <w:r w:rsidRPr="00A20ACE">
        <w:t xml:space="preserve">Timeline </w:t>
      </w:r>
    </w:p>
    <w:p w14:paraId="190A8C85" w14:textId="47697BDC" w:rsidR="0AF9E4E0" w:rsidRDefault="005B40EC" w:rsidP="00A41F5A">
      <w:r w:rsidRPr="00A20ACE">
        <w:lastRenderedPageBreak/>
        <w:t xml:space="preserve">Clinical testing may produce a positive mouse bioassay within 48 hours and culture and PCR may detect toxin gene positive </w:t>
      </w:r>
      <w:r w:rsidRPr="00A20ACE">
        <w:rPr>
          <w:i/>
          <w:iCs/>
        </w:rPr>
        <w:t>C. botulinum</w:t>
      </w:r>
      <w:r w:rsidRPr="00A20ACE">
        <w:t xml:space="preserve"> in 48–72 hours. However typically testing requires 405 days to return a result on a clinical specimen. Completion of a set of </w:t>
      </w:r>
      <w:r w:rsidRPr="00A20ACE">
        <w:rPr>
          <w:i/>
          <w:iCs/>
        </w:rPr>
        <w:t>C. botulinum</w:t>
      </w:r>
      <w:r w:rsidRPr="00A20ACE">
        <w:t xml:space="preserve"> neurotoxin and culture tests on matched clinical and food samples can take between 10 and 14 days. This period includes assembly of reagents, lengthy anaerobic culture and mouse bioassay procedures. Transportation of specimens, acquisition of type-specific antisera and repetition of mouse bioassay at higher dilutions can prolong the time taken to produce a reliable result. </w:t>
      </w:r>
    </w:p>
    <w:p w14:paraId="386DD2AA" w14:textId="77777777" w:rsidR="00166A15" w:rsidRDefault="00166A15" w:rsidP="00166A15">
      <w:pPr>
        <w:pStyle w:val="Heading1"/>
      </w:pPr>
      <w:r>
        <w:t>SNOMED CT Terms</w:t>
      </w:r>
    </w:p>
    <w:tbl>
      <w:tblPr>
        <w:tblStyle w:val="GridTable4-Accent1"/>
        <w:tblW w:w="0" w:type="auto"/>
        <w:tblLook w:val="04A0" w:firstRow="1" w:lastRow="0" w:firstColumn="1" w:lastColumn="0" w:noHBand="0" w:noVBand="1"/>
      </w:tblPr>
      <w:tblGrid>
        <w:gridCol w:w="2122"/>
        <w:gridCol w:w="3889"/>
        <w:gridCol w:w="3006"/>
      </w:tblGrid>
      <w:tr w:rsidR="00166A15" w:rsidRPr="0043019F" w14:paraId="57180759" w14:textId="77777777" w:rsidTr="001906B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2" w:type="dxa"/>
          </w:tcPr>
          <w:p w14:paraId="683791AE" w14:textId="77777777" w:rsidR="00166A15" w:rsidRPr="0043019F" w:rsidRDefault="00166A15" w:rsidP="001906B4">
            <w:r w:rsidRPr="0043019F">
              <w:t>SNOMED CT code</w:t>
            </w:r>
          </w:p>
        </w:tc>
        <w:tc>
          <w:tcPr>
            <w:tcW w:w="3889" w:type="dxa"/>
          </w:tcPr>
          <w:p w14:paraId="36DCBCD1" w14:textId="77777777" w:rsidR="00166A15" w:rsidRPr="0043019F" w:rsidRDefault="00166A15" w:rsidP="001906B4">
            <w:pPr>
              <w:cnfStyle w:val="100000000000" w:firstRow="1" w:lastRow="0" w:firstColumn="0" w:lastColumn="0" w:oddVBand="0" w:evenVBand="0" w:oddHBand="0" w:evenHBand="0" w:firstRowFirstColumn="0" w:firstRowLastColumn="0" w:lastRowFirstColumn="0" w:lastRowLastColumn="0"/>
            </w:pPr>
            <w:r w:rsidRPr="0043019F">
              <w:t>Term name</w:t>
            </w:r>
          </w:p>
        </w:tc>
        <w:tc>
          <w:tcPr>
            <w:tcW w:w="3006" w:type="dxa"/>
          </w:tcPr>
          <w:p w14:paraId="4D447A63" w14:textId="77777777" w:rsidR="00166A15" w:rsidRPr="0043019F" w:rsidRDefault="00166A15" w:rsidP="001906B4">
            <w:pPr>
              <w:cnfStyle w:val="100000000000" w:firstRow="1" w:lastRow="0" w:firstColumn="0" w:lastColumn="0" w:oddVBand="0" w:evenVBand="0" w:oddHBand="0" w:evenHBand="0" w:firstRowFirstColumn="0" w:firstRowLastColumn="0" w:lastRowFirstColumn="0" w:lastRowLastColumn="0"/>
            </w:pPr>
            <w:r w:rsidRPr="0043019F">
              <w:t>Description</w:t>
            </w:r>
          </w:p>
        </w:tc>
      </w:tr>
      <w:tr w:rsidR="00166A15" w:rsidRPr="0043019F" w14:paraId="3EE5EB2F" w14:textId="77777777" w:rsidTr="005C4170">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2122" w:type="dxa"/>
          </w:tcPr>
          <w:p w14:paraId="4FDEC3F0" w14:textId="77777777" w:rsidR="00166A15" w:rsidRPr="0043019F" w:rsidRDefault="00166A15" w:rsidP="001906B4">
            <w:r w:rsidRPr="0043019F">
              <w:t>406614006</w:t>
            </w:r>
          </w:p>
        </w:tc>
        <w:tc>
          <w:tcPr>
            <w:tcW w:w="3889" w:type="dxa"/>
          </w:tcPr>
          <w:p w14:paraId="300FA987" w14:textId="77777777" w:rsidR="00166A15" w:rsidRPr="0043019F" w:rsidRDefault="00166A15" w:rsidP="001906B4">
            <w:pPr>
              <w:cnfStyle w:val="000000100000" w:firstRow="0" w:lastRow="0" w:firstColumn="0" w:lastColumn="0" w:oddVBand="0" w:evenVBand="0" w:oddHBand="1" w:evenHBand="0" w:firstRowFirstColumn="0" w:firstRowLastColumn="0" w:lastRowFirstColumn="0" w:lastRowLastColumn="0"/>
            </w:pPr>
            <w:r>
              <w:t xml:space="preserve">Botulism </w:t>
            </w:r>
          </w:p>
        </w:tc>
        <w:tc>
          <w:tcPr>
            <w:tcW w:w="3006" w:type="dxa"/>
          </w:tcPr>
          <w:p w14:paraId="63E763A0" w14:textId="77777777" w:rsidR="00166A15" w:rsidRPr="0043019F" w:rsidRDefault="00166A15" w:rsidP="001906B4">
            <w:pPr>
              <w:cnfStyle w:val="000000100000" w:firstRow="0" w:lastRow="0" w:firstColumn="0" w:lastColumn="0" w:oddVBand="0" w:evenVBand="0" w:oddHBand="1" w:evenHBand="0" w:firstRowFirstColumn="0" w:firstRowLastColumn="0" w:lastRowFirstColumn="0" w:lastRowLastColumn="0"/>
              <w:rPr>
                <w:i/>
                <w:iCs/>
              </w:rPr>
            </w:pPr>
            <w:r w:rsidRPr="0043019F">
              <w:rPr>
                <w:i/>
                <w:iCs/>
              </w:rPr>
              <w:t>Disorder</w:t>
            </w:r>
          </w:p>
        </w:tc>
      </w:tr>
      <w:tr w:rsidR="00166A15" w:rsidRPr="0043019F" w14:paraId="13222405" w14:textId="77777777" w:rsidTr="005C4170">
        <w:trPr>
          <w:trHeight w:val="682"/>
        </w:trPr>
        <w:tc>
          <w:tcPr>
            <w:cnfStyle w:val="001000000000" w:firstRow="0" w:lastRow="0" w:firstColumn="1" w:lastColumn="0" w:oddVBand="0" w:evenVBand="0" w:oddHBand="0" w:evenHBand="0" w:firstRowFirstColumn="0" w:firstRowLastColumn="0" w:lastRowFirstColumn="0" w:lastRowLastColumn="0"/>
            <w:tcW w:w="2122" w:type="dxa"/>
          </w:tcPr>
          <w:p w14:paraId="157C3FCC" w14:textId="77777777" w:rsidR="00166A15" w:rsidRPr="0043019F" w:rsidRDefault="00166A15" w:rsidP="001906B4">
            <w:r>
              <w:t>13080008</w:t>
            </w:r>
          </w:p>
        </w:tc>
        <w:tc>
          <w:tcPr>
            <w:tcW w:w="3889" w:type="dxa"/>
          </w:tcPr>
          <w:p w14:paraId="5AA820CB" w14:textId="77777777" w:rsidR="00166A15" w:rsidRPr="0043019F" w:rsidRDefault="00166A15" w:rsidP="001906B4">
            <w:pPr>
              <w:cnfStyle w:val="000000000000" w:firstRow="0" w:lastRow="0" w:firstColumn="0" w:lastColumn="0" w:oddVBand="0" w:evenVBand="0" w:oddHBand="0" w:evenHBand="0" w:firstRowFirstColumn="0" w:firstRowLastColumn="0" w:lastRowFirstColumn="0" w:lastRowLastColumn="0"/>
            </w:pPr>
            <w:r>
              <w:t>Clostridium botulinum</w:t>
            </w:r>
          </w:p>
        </w:tc>
        <w:tc>
          <w:tcPr>
            <w:tcW w:w="3006" w:type="dxa"/>
          </w:tcPr>
          <w:p w14:paraId="7EFEE19C" w14:textId="77777777" w:rsidR="00166A15" w:rsidRPr="0043019F" w:rsidRDefault="00166A15" w:rsidP="001906B4">
            <w:pPr>
              <w:cnfStyle w:val="000000000000" w:firstRow="0" w:lastRow="0" w:firstColumn="0" w:lastColumn="0" w:oddVBand="0" w:evenVBand="0" w:oddHBand="0" w:evenHBand="0" w:firstRowFirstColumn="0" w:firstRowLastColumn="0" w:lastRowFirstColumn="0" w:lastRowLastColumn="0"/>
              <w:rPr>
                <w:i/>
                <w:iCs/>
              </w:rPr>
            </w:pPr>
            <w:r w:rsidRPr="0043019F">
              <w:rPr>
                <w:i/>
                <w:iCs/>
              </w:rPr>
              <w:t>Organism</w:t>
            </w:r>
          </w:p>
        </w:tc>
      </w:tr>
    </w:tbl>
    <w:p w14:paraId="454F07ED" w14:textId="77777777" w:rsidR="005C4170" w:rsidRDefault="005C4170" w:rsidP="005C4170">
      <w:pPr>
        <w:pStyle w:val="Heading1"/>
      </w:pPr>
      <w:r>
        <w:br w:type="page"/>
      </w:r>
    </w:p>
    <w:p w14:paraId="0CABE0F3" w14:textId="22588EA3" w:rsidR="00CD23B2" w:rsidRPr="00A20ACE" w:rsidRDefault="00CD23B2" w:rsidP="005C4170">
      <w:pPr>
        <w:pStyle w:val="Heading1"/>
        <w:numPr>
          <w:ilvl w:val="0"/>
          <w:numId w:val="47"/>
        </w:numPr>
      </w:pPr>
      <w:r w:rsidRPr="00A20ACE">
        <w:lastRenderedPageBreak/>
        <w:t>References</w:t>
      </w:r>
    </w:p>
    <w:p w14:paraId="7F619EB1" w14:textId="5B251669" w:rsidR="00584A1E" w:rsidRPr="00A20ACE" w:rsidRDefault="00B830E0" w:rsidP="00886AB8">
      <w:pPr>
        <w:pStyle w:val="ListParagraph"/>
        <w:numPr>
          <w:ilvl w:val="0"/>
          <w:numId w:val="46"/>
        </w:numPr>
      </w:pPr>
      <w:r w:rsidRPr="00A20ACE">
        <w:t>Anon. 1998. Botulism in the United Sates, 1899-1996. Handbook for Epidemiologists, Clinicians and Laboratory Workers. Centers for Disease Control and Prevention, Atlanta, GA.</w:t>
      </w:r>
    </w:p>
    <w:p w14:paraId="71EA526F" w14:textId="0A8A4E5A" w:rsidR="00C000BA" w:rsidRPr="00A20ACE" w:rsidRDefault="00D20AE4" w:rsidP="00886AB8">
      <w:pPr>
        <w:pStyle w:val="ListParagraph"/>
        <w:numPr>
          <w:ilvl w:val="0"/>
          <w:numId w:val="46"/>
        </w:numPr>
      </w:pPr>
      <w:r w:rsidRPr="00A20ACE">
        <w:t>Balows A, Duerden BI. Systematic Bacteriology. 1998. Topley &amp; Wilson’s Microbiology &amp; Microbial Infections. Vol. 2. Collier L, Balows A, Sussman M. Arnold, London, 1998.</w:t>
      </w:r>
    </w:p>
    <w:p w14:paraId="14285D24" w14:textId="44C98C8A" w:rsidR="00C000BA" w:rsidRPr="00A20ACE" w:rsidRDefault="002F151C" w:rsidP="00886AB8">
      <w:pPr>
        <w:pStyle w:val="ListParagraph"/>
        <w:numPr>
          <w:ilvl w:val="0"/>
          <w:numId w:val="46"/>
        </w:numPr>
      </w:pPr>
      <w:r w:rsidRPr="00A20ACE">
        <w:t>Murray PR, Baron EJ, Pfaller MA, Tenover FC, Yolken RH. 1999. Manual of Clinical Microbiology, ASM Press, Washington, D.C., USA.</w:t>
      </w:r>
    </w:p>
    <w:p w14:paraId="69F52F51" w14:textId="00696211" w:rsidR="00185BD9" w:rsidRDefault="00886AB8" w:rsidP="00185BD9">
      <w:pPr>
        <w:pStyle w:val="ListParagraph"/>
        <w:numPr>
          <w:ilvl w:val="0"/>
          <w:numId w:val="46"/>
        </w:numPr>
      </w:pPr>
      <w:r w:rsidRPr="00A20ACE">
        <w:t>Mandell GL, Bennett JE, Dolin R. 2000. Principles and Practice of Infectious Diseases. 5th Edition. Vol.2. Churchill Livingstone, Edinburgh, UK.</w:t>
      </w:r>
    </w:p>
    <w:p w14:paraId="2F5DF399" w14:textId="77777777" w:rsidR="00056CA0" w:rsidRDefault="00056CA0" w:rsidP="00056CA0"/>
    <w:p w14:paraId="5190898F" w14:textId="77777777" w:rsidR="00056CA0" w:rsidRDefault="00056CA0" w:rsidP="00056CA0"/>
    <w:p w14:paraId="0655F5B4" w14:textId="77777777" w:rsidR="00056CA0" w:rsidRDefault="00056CA0" w:rsidP="00056CA0"/>
    <w:p w14:paraId="14366994" w14:textId="77777777" w:rsidR="00056CA0" w:rsidRDefault="00056CA0" w:rsidP="00056CA0"/>
    <w:p w14:paraId="2D161CEA" w14:textId="77777777" w:rsidR="005C4170" w:rsidRDefault="005C4170" w:rsidP="00056CA0"/>
    <w:p w14:paraId="31E6DC35" w14:textId="77777777" w:rsidR="005C4170" w:rsidRDefault="005C4170" w:rsidP="00056CA0"/>
    <w:p w14:paraId="4A3E0797" w14:textId="77777777" w:rsidR="005C4170" w:rsidRDefault="005C4170" w:rsidP="00056CA0"/>
    <w:p w14:paraId="08F44717" w14:textId="77777777" w:rsidR="005C4170" w:rsidRDefault="005C4170" w:rsidP="00056CA0"/>
    <w:p w14:paraId="2EA7EE16" w14:textId="77777777" w:rsidR="005C4170" w:rsidRDefault="005C4170" w:rsidP="00056CA0"/>
    <w:p w14:paraId="0337D624" w14:textId="77777777" w:rsidR="005C4170" w:rsidRDefault="005C4170" w:rsidP="00056CA0"/>
    <w:p w14:paraId="0C363EF3" w14:textId="77777777" w:rsidR="005C4170" w:rsidRDefault="005C4170" w:rsidP="00056CA0"/>
    <w:p w14:paraId="2CEDBACB" w14:textId="77777777" w:rsidR="005C4170" w:rsidRDefault="005C4170" w:rsidP="00056CA0"/>
    <w:p w14:paraId="719A2F1F" w14:textId="77777777" w:rsidR="005C4170" w:rsidRDefault="005C4170" w:rsidP="00056CA0"/>
    <w:p w14:paraId="27D2D2E0" w14:textId="77777777" w:rsidR="005C4170" w:rsidRDefault="005C4170" w:rsidP="00056CA0"/>
    <w:p w14:paraId="1D09BE12" w14:textId="11474F64" w:rsidR="00EC3B9A" w:rsidRPr="00A20ACE" w:rsidRDefault="00CF2D40" w:rsidP="00EC3B9A">
      <w:pPr>
        <w:pStyle w:val="Heading1"/>
      </w:pPr>
      <w:r w:rsidRPr="00A20ACE">
        <w:lastRenderedPageBreak/>
        <w:t>Glossary</w:t>
      </w:r>
    </w:p>
    <w:p w14:paraId="584E3140" w14:textId="1C5A0BCB" w:rsidR="00DC4218" w:rsidRPr="00A20ACE" w:rsidRDefault="00DC4218" w:rsidP="00CF2D40">
      <w:pPr>
        <w:rPr>
          <w:rStyle w:val="Strong"/>
          <w:b w:val="0"/>
          <w:bCs w:val="0"/>
          <w:color w:val="222222"/>
          <w:shd w:val="clear" w:color="auto" w:fill="FFFFFF"/>
        </w:rPr>
      </w:pPr>
      <w:r w:rsidRPr="00A20ACE">
        <w:rPr>
          <w:rStyle w:val="Strong"/>
          <w:color w:val="222222"/>
          <w:shd w:val="clear" w:color="auto" w:fill="FFFFFF"/>
        </w:rPr>
        <w:t>Ag/Ab</w:t>
      </w:r>
      <w:r w:rsidR="006A499C" w:rsidRPr="00A20ACE">
        <w:rPr>
          <w:rStyle w:val="Strong"/>
          <w:color w:val="222222"/>
          <w:shd w:val="clear" w:color="auto" w:fill="FFFFFF"/>
        </w:rPr>
        <w:t xml:space="preserve"> </w:t>
      </w:r>
      <w:r w:rsidR="006A499C" w:rsidRPr="00A20ACE">
        <w:rPr>
          <w:rStyle w:val="Strong"/>
          <w:b w:val="0"/>
          <w:bCs w:val="0"/>
          <w:color w:val="222222"/>
          <w:shd w:val="clear" w:color="auto" w:fill="FFFFFF"/>
        </w:rPr>
        <w:t>– Antigen/Antibody</w:t>
      </w:r>
    </w:p>
    <w:p w14:paraId="45833081" w14:textId="1EBF2234" w:rsidR="00A26C3D" w:rsidRPr="00A20ACE" w:rsidRDefault="00A26C3D" w:rsidP="00CF2D40">
      <w:pPr>
        <w:rPr>
          <w:rStyle w:val="Strong"/>
          <w:b w:val="0"/>
          <w:bCs w:val="0"/>
          <w:color w:val="222222"/>
          <w:shd w:val="clear" w:color="auto" w:fill="FFFFFF"/>
        </w:rPr>
      </w:pPr>
      <w:r w:rsidRPr="00A20ACE">
        <w:rPr>
          <w:rStyle w:val="Strong"/>
          <w:color w:val="222222"/>
          <w:shd w:val="clear" w:color="auto" w:fill="FFFFFF"/>
        </w:rPr>
        <w:t>AMR</w:t>
      </w:r>
      <w:r w:rsidRPr="00A20ACE">
        <w:rPr>
          <w:rStyle w:val="Strong"/>
          <w:b w:val="0"/>
          <w:bCs w:val="0"/>
          <w:color w:val="222222"/>
          <w:shd w:val="clear" w:color="auto" w:fill="FFFFFF"/>
        </w:rPr>
        <w:t xml:space="preserve"> – Antimicrobial resistance </w:t>
      </w:r>
    </w:p>
    <w:p w14:paraId="7388B913" w14:textId="23F20E62" w:rsidR="00BE0113" w:rsidRPr="00A20ACE" w:rsidRDefault="00BE0113" w:rsidP="00CF2D40">
      <w:r w:rsidRPr="00A20ACE">
        <w:rPr>
          <w:rStyle w:val="Strong"/>
          <w:color w:val="222222"/>
          <w:shd w:val="clear" w:color="auto" w:fill="FFFFFF"/>
        </w:rPr>
        <w:t>ARTG</w:t>
      </w:r>
      <w:r w:rsidRPr="00A20ACE">
        <w:rPr>
          <w:color w:val="222222"/>
          <w:shd w:val="clear" w:color="auto" w:fill="FFFFFF"/>
        </w:rPr>
        <w:t> </w:t>
      </w:r>
      <w:r w:rsidR="00A26C3D" w:rsidRPr="00A20ACE">
        <w:t xml:space="preserve">– </w:t>
      </w:r>
      <w:r w:rsidRPr="00A20ACE">
        <w:rPr>
          <w:color w:val="222222"/>
          <w:shd w:val="clear" w:color="auto" w:fill="FFFFFF"/>
        </w:rPr>
        <w:t>Australian Register of Therapeutic Goods</w:t>
      </w:r>
      <w:r w:rsidRPr="00A20ACE">
        <w:t xml:space="preserve"> </w:t>
      </w:r>
    </w:p>
    <w:p w14:paraId="1880D0B8" w14:textId="52612301" w:rsidR="00E1346E" w:rsidRPr="00A20ACE" w:rsidRDefault="00E1346E" w:rsidP="00CF2D40">
      <w:r w:rsidRPr="00A20ACE">
        <w:rPr>
          <w:b/>
          <w:bCs/>
        </w:rPr>
        <w:t>BA</w:t>
      </w:r>
      <w:r w:rsidRPr="00A20ACE">
        <w:t xml:space="preserve"> – Blood agar</w:t>
      </w:r>
    </w:p>
    <w:p w14:paraId="25D77A86" w14:textId="05FB942B" w:rsidR="00D20A0B" w:rsidRPr="00A20ACE" w:rsidRDefault="00D20A0B" w:rsidP="00CF2D40">
      <w:r w:rsidRPr="00A20ACE">
        <w:rPr>
          <w:b/>
          <w:bCs/>
        </w:rPr>
        <w:t>Biotype</w:t>
      </w:r>
      <w:r w:rsidRPr="00A20ACE">
        <w:t xml:space="preserve"> </w:t>
      </w:r>
      <w:r w:rsidR="00A26C3D" w:rsidRPr="00A20ACE">
        <w:t>– S</w:t>
      </w:r>
      <w:r w:rsidR="003A583C" w:rsidRPr="00A20ACE">
        <w:t>train distinguished from other microorganisms of the same species by its physiological properties</w:t>
      </w:r>
      <w:r w:rsidR="00DC4218" w:rsidRPr="00A20ACE">
        <w:t xml:space="preserve"> or</w:t>
      </w:r>
      <w:r w:rsidR="003A583C" w:rsidRPr="00A20ACE">
        <w:t xml:space="preserve"> a group of organisms with the same genotype</w:t>
      </w:r>
    </w:p>
    <w:p w14:paraId="76C65A34" w14:textId="795DCD7F" w:rsidR="00D20A0B" w:rsidRPr="00A20ACE" w:rsidRDefault="00D20A0B" w:rsidP="00CF2D40">
      <w:r w:rsidRPr="00A20ACE">
        <w:rPr>
          <w:b/>
          <w:bCs/>
        </w:rPr>
        <w:t>CCNA</w:t>
      </w:r>
      <w:r w:rsidRPr="00A20ACE">
        <w:t xml:space="preserve"> </w:t>
      </w:r>
      <w:r w:rsidR="00A26C3D" w:rsidRPr="00A20ACE">
        <w:t xml:space="preserve">– </w:t>
      </w:r>
      <w:r w:rsidR="006A499C" w:rsidRPr="00A20ACE">
        <w:t>Cell cytotoxicity neutrali</w:t>
      </w:r>
      <w:r w:rsidR="00BF5A7B" w:rsidRPr="00A20ACE">
        <w:t>s</w:t>
      </w:r>
      <w:r w:rsidR="006A499C" w:rsidRPr="00A20ACE">
        <w:t>ation assay</w:t>
      </w:r>
    </w:p>
    <w:p w14:paraId="47156159" w14:textId="17FA8D33" w:rsidR="00E1346E" w:rsidRPr="00A20ACE" w:rsidRDefault="00BF5A7B" w:rsidP="00CF2D40">
      <w:r w:rsidRPr="00A20ACE">
        <w:rPr>
          <w:b/>
          <w:bCs/>
        </w:rPr>
        <w:t xml:space="preserve">(US) </w:t>
      </w:r>
      <w:r w:rsidR="00E1346E" w:rsidRPr="00A20ACE">
        <w:rPr>
          <w:b/>
          <w:bCs/>
        </w:rPr>
        <w:t>CDC</w:t>
      </w:r>
      <w:r w:rsidR="00E1346E" w:rsidRPr="00A20ACE">
        <w:t xml:space="preserve"> </w:t>
      </w:r>
      <w:r w:rsidR="00EC3B9A" w:rsidRPr="00A20ACE">
        <w:t>–</w:t>
      </w:r>
      <w:r w:rsidR="00E1346E" w:rsidRPr="00A20ACE">
        <w:t xml:space="preserve"> </w:t>
      </w:r>
      <w:r w:rsidR="00BE0113" w:rsidRPr="00A20ACE">
        <w:t>Cent</w:t>
      </w:r>
      <w:r w:rsidR="00EC3B9A" w:rsidRPr="00A20ACE">
        <w:t xml:space="preserve">ers </w:t>
      </w:r>
      <w:r w:rsidR="00BE0113" w:rsidRPr="00A20ACE">
        <w:t>for Disease Control and Prevention</w:t>
      </w:r>
    </w:p>
    <w:p w14:paraId="2E6B67A9" w14:textId="75CBCDE7" w:rsidR="00C04E5A" w:rsidRPr="00A20ACE" w:rsidRDefault="00C04E5A" w:rsidP="00CF2D40">
      <w:r w:rsidRPr="00A20ACE">
        <w:rPr>
          <w:b/>
          <w:bCs/>
        </w:rPr>
        <w:t>CDNA</w:t>
      </w:r>
      <w:r w:rsidRPr="00A20ACE">
        <w:t xml:space="preserve"> </w:t>
      </w:r>
      <w:r w:rsidR="00A26C3D" w:rsidRPr="00A20ACE">
        <w:t xml:space="preserve">– </w:t>
      </w:r>
      <w:r w:rsidRPr="00A20ACE">
        <w:t>Communicable Diseases Network Australia</w:t>
      </w:r>
    </w:p>
    <w:p w14:paraId="44921DC9" w14:textId="29F5A041" w:rsidR="006A499C" w:rsidRPr="00A20ACE" w:rsidRDefault="006A499C" w:rsidP="00CF2D40">
      <w:r w:rsidRPr="00A20ACE">
        <w:rPr>
          <w:b/>
          <w:bCs/>
        </w:rPr>
        <w:t>CDS</w:t>
      </w:r>
      <w:r w:rsidRPr="00A20ACE">
        <w:t xml:space="preserve"> </w:t>
      </w:r>
      <w:r w:rsidR="00A26C3D" w:rsidRPr="00A20ACE">
        <w:t xml:space="preserve">– </w:t>
      </w:r>
      <w:r w:rsidRPr="00A20ACE">
        <w:t xml:space="preserve">Calibrated </w:t>
      </w:r>
      <w:r w:rsidR="00EC3B9A" w:rsidRPr="00A20ACE">
        <w:t>d</w:t>
      </w:r>
      <w:r w:rsidRPr="00A20ACE">
        <w:t xml:space="preserve">ichotomous </w:t>
      </w:r>
      <w:r w:rsidR="00EC3B9A" w:rsidRPr="00A20ACE">
        <w:t>s</w:t>
      </w:r>
      <w:r w:rsidRPr="00A20ACE">
        <w:t>usceptibility</w:t>
      </w:r>
    </w:p>
    <w:p w14:paraId="48DC4C8A" w14:textId="6C2F28BB" w:rsidR="006A499C" w:rsidRPr="00A20ACE" w:rsidRDefault="006A499C" w:rsidP="00CF2D40">
      <w:r w:rsidRPr="00A20ACE">
        <w:rPr>
          <w:b/>
          <w:bCs/>
        </w:rPr>
        <w:t>CIA</w:t>
      </w:r>
      <w:r w:rsidRPr="00A20ACE">
        <w:t xml:space="preserve"> </w:t>
      </w:r>
      <w:r w:rsidR="00A26C3D" w:rsidRPr="00A20ACE">
        <w:t xml:space="preserve">– </w:t>
      </w:r>
      <w:r w:rsidRPr="00A20ACE">
        <w:t>Chemiluminescent immunoassay</w:t>
      </w:r>
    </w:p>
    <w:p w14:paraId="53B5732C" w14:textId="47CBA7BE" w:rsidR="00D20A0B" w:rsidRPr="00A20ACE" w:rsidRDefault="00D20A0B" w:rsidP="00CF2D40">
      <w:r w:rsidRPr="00A20ACE">
        <w:rPr>
          <w:b/>
          <w:bCs/>
        </w:rPr>
        <w:t>Clade</w:t>
      </w:r>
      <w:r w:rsidR="003A583C" w:rsidRPr="00A20ACE">
        <w:t xml:space="preserve"> </w:t>
      </w:r>
      <w:r w:rsidR="00A26C3D" w:rsidRPr="00A20ACE">
        <w:t>– G</w:t>
      </w:r>
      <w:r w:rsidR="00DC4218" w:rsidRPr="00A20ACE">
        <w:t xml:space="preserve">roup of organisms composed of a common ancestor and all its lineal descendants </w:t>
      </w:r>
    </w:p>
    <w:p w14:paraId="21B13BDE" w14:textId="1AC56E99" w:rsidR="006A499C" w:rsidRPr="00A20ACE" w:rsidRDefault="006A499C" w:rsidP="00CF2D40">
      <w:r w:rsidRPr="00A20ACE">
        <w:rPr>
          <w:b/>
          <w:bCs/>
        </w:rPr>
        <w:t>CLSI</w:t>
      </w:r>
      <w:r w:rsidRPr="00A20ACE">
        <w:t xml:space="preserve"> </w:t>
      </w:r>
      <w:r w:rsidR="00A26C3D" w:rsidRPr="00A20ACE">
        <w:t xml:space="preserve">– </w:t>
      </w:r>
      <w:r w:rsidRPr="00A20ACE">
        <w:t>Clinical and Laboratory Standards Institute</w:t>
      </w:r>
    </w:p>
    <w:p w14:paraId="50932D48" w14:textId="4DE67B61" w:rsidR="00E1346E" w:rsidRPr="00A20ACE" w:rsidRDefault="00E1346E" w:rsidP="00CF2D40">
      <w:r w:rsidRPr="00A20ACE">
        <w:rPr>
          <w:b/>
          <w:bCs/>
        </w:rPr>
        <w:t>CSF</w:t>
      </w:r>
      <w:r w:rsidRPr="00A20ACE">
        <w:t xml:space="preserve"> </w:t>
      </w:r>
      <w:r w:rsidR="00A26C3D" w:rsidRPr="00A20ACE">
        <w:t xml:space="preserve">– </w:t>
      </w:r>
      <w:r w:rsidRPr="00A20ACE">
        <w:t xml:space="preserve">Cerebrospinal fluid </w:t>
      </w:r>
    </w:p>
    <w:p w14:paraId="5735371B" w14:textId="32B422FB" w:rsidR="006A499C" w:rsidRPr="00A20ACE" w:rsidRDefault="006A499C" w:rsidP="00CF2D40">
      <w:r w:rsidRPr="00A20ACE">
        <w:rPr>
          <w:b/>
          <w:bCs/>
        </w:rPr>
        <w:t>Ct</w:t>
      </w:r>
      <w:r w:rsidRPr="00A20ACE">
        <w:t xml:space="preserve"> – Cycle threshold</w:t>
      </w:r>
    </w:p>
    <w:p w14:paraId="0A97107D" w14:textId="119D4F5C" w:rsidR="00E1346E" w:rsidRPr="00A20ACE" w:rsidRDefault="00E1346E" w:rsidP="00CF2D40">
      <w:r w:rsidRPr="00A20ACE">
        <w:rPr>
          <w:b/>
          <w:bCs/>
        </w:rPr>
        <w:t>DFA</w:t>
      </w:r>
      <w:r w:rsidRPr="00A20ACE">
        <w:t xml:space="preserve"> </w:t>
      </w:r>
      <w:r w:rsidR="00A26C3D" w:rsidRPr="00A20ACE">
        <w:t xml:space="preserve">– </w:t>
      </w:r>
      <w:r w:rsidRPr="00A20ACE">
        <w:t xml:space="preserve">Direct </w:t>
      </w:r>
      <w:r w:rsidR="00DD02C4" w:rsidRPr="00A20ACE">
        <w:t>f</w:t>
      </w:r>
      <w:r w:rsidRPr="00A20ACE">
        <w:t xml:space="preserve">luorescent </w:t>
      </w:r>
      <w:r w:rsidR="00DD02C4" w:rsidRPr="00A20ACE">
        <w:t>a</w:t>
      </w:r>
      <w:r w:rsidRPr="00A20ACE">
        <w:t>ntibody</w:t>
      </w:r>
    </w:p>
    <w:p w14:paraId="170600FB" w14:textId="1F5D4869" w:rsidR="00E1346E" w:rsidRPr="00A20ACE" w:rsidRDefault="00E1346E" w:rsidP="00CF2D40">
      <w:r w:rsidRPr="00A20ACE">
        <w:rPr>
          <w:b/>
          <w:bCs/>
        </w:rPr>
        <w:t>DNA</w:t>
      </w:r>
      <w:r w:rsidR="008A0130" w:rsidRPr="00A20ACE">
        <w:t xml:space="preserve"> </w:t>
      </w:r>
      <w:r w:rsidR="006A499C" w:rsidRPr="00A20ACE">
        <w:t>–</w:t>
      </w:r>
      <w:r w:rsidR="008A0130" w:rsidRPr="00A20ACE">
        <w:t xml:space="preserve"> </w:t>
      </w:r>
      <w:r w:rsidR="006A499C" w:rsidRPr="00A20ACE">
        <w:t xml:space="preserve">Deoxyribonucleic acid </w:t>
      </w:r>
    </w:p>
    <w:p w14:paraId="29FA3A8B" w14:textId="1154C494" w:rsidR="00D20A0B" w:rsidRPr="00A20ACE" w:rsidRDefault="00D20A0B" w:rsidP="00CF2D40">
      <w:r w:rsidRPr="00A20ACE">
        <w:rPr>
          <w:b/>
          <w:bCs/>
        </w:rPr>
        <w:t>EDTA</w:t>
      </w:r>
      <w:r w:rsidRPr="00A20ACE">
        <w:t xml:space="preserve"> </w:t>
      </w:r>
      <w:r w:rsidR="00A26C3D" w:rsidRPr="00A20ACE">
        <w:t xml:space="preserve">– </w:t>
      </w:r>
      <w:r w:rsidR="00DC4218" w:rsidRPr="00A20ACE">
        <w:t>Ethylenediaminetetraacetic acid</w:t>
      </w:r>
    </w:p>
    <w:p w14:paraId="6FE121EF" w14:textId="16041E9D" w:rsidR="00DD02C4" w:rsidRPr="00A20ACE" w:rsidRDefault="00DD02C4" w:rsidP="00CF2D40">
      <w:r w:rsidRPr="00A20ACE">
        <w:rPr>
          <w:b/>
          <w:bCs/>
        </w:rPr>
        <w:t>EIA</w:t>
      </w:r>
      <w:r w:rsidRPr="00A20ACE">
        <w:t xml:space="preserve"> </w:t>
      </w:r>
      <w:r w:rsidR="00A26C3D" w:rsidRPr="00A20ACE">
        <w:t xml:space="preserve">– </w:t>
      </w:r>
      <w:r w:rsidRPr="00A20ACE">
        <w:t xml:space="preserve">Enzyme </w:t>
      </w:r>
      <w:r w:rsidR="0083509D" w:rsidRPr="00A20ACE">
        <w:t>i</w:t>
      </w:r>
      <w:r w:rsidRPr="00A20ACE">
        <w:t>mmunoassay</w:t>
      </w:r>
    </w:p>
    <w:p w14:paraId="0E7D548A" w14:textId="4A96542E" w:rsidR="00E1346E" w:rsidRPr="00A20ACE" w:rsidRDefault="00E1346E" w:rsidP="00CF2D40">
      <w:r w:rsidRPr="00A20ACE">
        <w:rPr>
          <w:b/>
          <w:bCs/>
        </w:rPr>
        <w:t>ELISA</w:t>
      </w:r>
      <w:r w:rsidRPr="00A20ACE">
        <w:t xml:space="preserve"> </w:t>
      </w:r>
      <w:r w:rsidR="00A26C3D" w:rsidRPr="00A20ACE">
        <w:t xml:space="preserve">– </w:t>
      </w:r>
      <w:r w:rsidR="0083509D" w:rsidRPr="00A20ACE">
        <w:t>E</w:t>
      </w:r>
      <w:r w:rsidR="00617E04" w:rsidRPr="00A20ACE">
        <w:t>nzyme linked immunosorbent assay</w:t>
      </w:r>
    </w:p>
    <w:p w14:paraId="2783354E" w14:textId="6A3F0E2D" w:rsidR="006A499C" w:rsidRPr="00A20ACE" w:rsidRDefault="006A499C" w:rsidP="00CF2D40">
      <w:r w:rsidRPr="00A20ACE">
        <w:rPr>
          <w:b/>
          <w:bCs/>
        </w:rPr>
        <w:t>EUCAST</w:t>
      </w:r>
      <w:r w:rsidRPr="00A20ACE">
        <w:t xml:space="preserve"> </w:t>
      </w:r>
      <w:r w:rsidR="00A26C3D" w:rsidRPr="00A20ACE">
        <w:t xml:space="preserve">– </w:t>
      </w:r>
      <w:r w:rsidRPr="00A20ACE">
        <w:t xml:space="preserve">European Committee on Antimicrobial Susceptibility Testing </w:t>
      </w:r>
    </w:p>
    <w:p w14:paraId="71EE511E" w14:textId="5DE84727" w:rsidR="00D20A0B" w:rsidRPr="00A20ACE" w:rsidRDefault="006A499C" w:rsidP="00CF2D40">
      <w:r w:rsidRPr="00A20ACE">
        <w:rPr>
          <w:b/>
          <w:bCs/>
        </w:rPr>
        <w:t>HI</w:t>
      </w:r>
      <w:r w:rsidRPr="00A20ACE">
        <w:t xml:space="preserve"> </w:t>
      </w:r>
      <w:r w:rsidR="00A26C3D" w:rsidRPr="00A20ACE">
        <w:t xml:space="preserve">– </w:t>
      </w:r>
      <w:r w:rsidR="00D20A0B" w:rsidRPr="00A20ACE">
        <w:t xml:space="preserve">Haemagglutination </w:t>
      </w:r>
      <w:r w:rsidRPr="00A20ACE">
        <w:t>i</w:t>
      </w:r>
      <w:r w:rsidR="00D20A0B" w:rsidRPr="00A20ACE">
        <w:t>nhibition</w:t>
      </w:r>
    </w:p>
    <w:p w14:paraId="385307D6" w14:textId="755DE735" w:rsidR="00C83210" w:rsidRPr="00A20ACE" w:rsidRDefault="00C83210" w:rsidP="00CF2D40">
      <w:r w:rsidRPr="00A20ACE">
        <w:rPr>
          <w:b/>
          <w:bCs/>
        </w:rPr>
        <w:lastRenderedPageBreak/>
        <w:t>ICT</w:t>
      </w:r>
      <w:r w:rsidRPr="00A20ACE">
        <w:t xml:space="preserve"> </w:t>
      </w:r>
      <w:r w:rsidR="00A26C3D" w:rsidRPr="00A20ACE">
        <w:t xml:space="preserve">– </w:t>
      </w:r>
      <w:r w:rsidRPr="00A20ACE">
        <w:t>Immunochromatographic test</w:t>
      </w:r>
    </w:p>
    <w:p w14:paraId="6C2B4FB7" w14:textId="070BB877" w:rsidR="00D20A0B" w:rsidRPr="00A20ACE" w:rsidRDefault="00D20A0B" w:rsidP="00CF2D40">
      <w:r w:rsidRPr="00A20ACE">
        <w:rPr>
          <w:b/>
          <w:bCs/>
        </w:rPr>
        <w:t>IFA</w:t>
      </w:r>
      <w:r w:rsidRPr="00A20ACE">
        <w:t xml:space="preserve"> </w:t>
      </w:r>
      <w:r w:rsidR="00A26C3D" w:rsidRPr="00A20ACE">
        <w:t xml:space="preserve">– </w:t>
      </w:r>
      <w:r w:rsidRPr="00A20ACE">
        <w:t xml:space="preserve">Immunofluorescent </w:t>
      </w:r>
      <w:r w:rsidR="006A499C" w:rsidRPr="00A20ACE">
        <w:t>a</w:t>
      </w:r>
      <w:r w:rsidRPr="00A20ACE">
        <w:t>ntibody</w:t>
      </w:r>
    </w:p>
    <w:p w14:paraId="3296D531" w14:textId="717D2FF8" w:rsidR="00DD02C4" w:rsidRPr="00A20ACE" w:rsidRDefault="00DD02C4" w:rsidP="00CF2D40">
      <w:r w:rsidRPr="00A20ACE">
        <w:rPr>
          <w:b/>
          <w:bCs/>
        </w:rPr>
        <w:t>IgA</w:t>
      </w:r>
      <w:r w:rsidR="00BE0113" w:rsidRPr="00A20ACE">
        <w:t xml:space="preserve"> </w:t>
      </w:r>
      <w:r w:rsidR="00A26C3D" w:rsidRPr="00A20ACE">
        <w:t xml:space="preserve">– </w:t>
      </w:r>
      <w:r w:rsidR="00BE0113" w:rsidRPr="00A20ACE">
        <w:t>Immunoglobulin A</w:t>
      </w:r>
    </w:p>
    <w:p w14:paraId="44F3B881" w14:textId="7336B640" w:rsidR="00E1346E" w:rsidRPr="00A20ACE" w:rsidRDefault="00E1346E" w:rsidP="00CF2D40">
      <w:r w:rsidRPr="00A20ACE">
        <w:rPr>
          <w:b/>
          <w:bCs/>
        </w:rPr>
        <w:t>IgG</w:t>
      </w:r>
      <w:r w:rsidR="00BE0113" w:rsidRPr="00A20ACE">
        <w:t xml:space="preserve"> </w:t>
      </w:r>
      <w:r w:rsidR="00A26C3D" w:rsidRPr="00A20ACE">
        <w:t xml:space="preserve">– </w:t>
      </w:r>
      <w:r w:rsidR="00BE0113" w:rsidRPr="00A20ACE">
        <w:t>Immunoglobulin G</w:t>
      </w:r>
    </w:p>
    <w:p w14:paraId="112A6948" w14:textId="5F72A0FC" w:rsidR="00E1346E" w:rsidRPr="00A20ACE" w:rsidRDefault="00E1346E" w:rsidP="00CF2D40">
      <w:r w:rsidRPr="00A20ACE">
        <w:rPr>
          <w:b/>
          <w:bCs/>
        </w:rPr>
        <w:t>IgM</w:t>
      </w:r>
      <w:r w:rsidR="00BE0113" w:rsidRPr="00A20ACE">
        <w:t xml:space="preserve"> </w:t>
      </w:r>
      <w:r w:rsidR="00A26C3D" w:rsidRPr="00A20ACE">
        <w:t xml:space="preserve">– </w:t>
      </w:r>
      <w:r w:rsidR="00BE0113" w:rsidRPr="00A20ACE">
        <w:t>Immunoglobulin M</w:t>
      </w:r>
    </w:p>
    <w:p w14:paraId="35208E8F" w14:textId="48B4B20B" w:rsidR="00C83210" w:rsidRPr="00A20ACE" w:rsidRDefault="00C83210" w:rsidP="00CF2D40">
      <w:r w:rsidRPr="00A20ACE">
        <w:rPr>
          <w:b/>
          <w:bCs/>
        </w:rPr>
        <w:t>IVD (device)</w:t>
      </w:r>
      <w:r w:rsidRPr="00A20ACE">
        <w:t xml:space="preserve"> </w:t>
      </w:r>
      <w:r w:rsidR="00A26C3D" w:rsidRPr="00A20ACE">
        <w:t xml:space="preserve">– </w:t>
      </w:r>
      <w:r w:rsidRPr="00A20ACE">
        <w:t>In vitro diagnostic medical device</w:t>
      </w:r>
    </w:p>
    <w:p w14:paraId="13D75391" w14:textId="4BF6DE28" w:rsidR="00D20A0B" w:rsidRPr="00A20ACE" w:rsidRDefault="00D20A0B" w:rsidP="00CF2D40">
      <w:r w:rsidRPr="00A20ACE">
        <w:rPr>
          <w:b/>
          <w:bCs/>
        </w:rPr>
        <w:t>In vitro</w:t>
      </w:r>
      <w:r w:rsidR="006A499C" w:rsidRPr="00A20ACE">
        <w:rPr>
          <w:b/>
          <w:bCs/>
        </w:rPr>
        <w:t xml:space="preserve"> </w:t>
      </w:r>
      <w:r w:rsidR="00A26C3D" w:rsidRPr="00A20ACE">
        <w:t xml:space="preserve">– </w:t>
      </w:r>
      <w:r w:rsidR="006A499C" w:rsidRPr="00A20ACE">
        <w:t>performed in a test tube, culture dish, or elsewhere outside a living organism</w:t>
      </w:r>
    </w:p>
    <w:p w14:paraId="0CB469DF" w14:textId="1D67538D" w:rsidR="00D20A0B" w:rsidRPr="00A20ACE" w:rsidRDefault="00D20A0B" w:rsidP="00CF2D40">
      <w:r w:rsidRPr="00A20ACE">
        <w:rPr>
          <w:b/>
          <w:bCs/>
        </w:rPr>
        <w:t>In vivo</w:t>
      </w:r>
      <w:r w:rsidR="006A499C" w:rsidRPr="00A20ACE">
        <w:rPr>
          <w:b/>
          <w:bCs/>
        </w:rPr>
        <w:t xml:space="preserve"> </w:t>
      </w:r>
      <w:r w:rsidR="00A26C3D" w:rsidRPr="00A20ACE">
        <w:t xml:space="preserve">– </w:t>
      </w:r>
      <w:r w:rsidR="006A499C" w:rsidRPr="00A20ACE">
        <w:t>performed or taking place in a living organism</w:t>
      </w:r>
    </w:p>
    <w:p w14:paraId="4BA620CC" w14:textId="3A43E318" w:rsidR="006A499C" w:rsidRPr="00A20ACE" w:rsidRDefault="006A499C" w:rsidP="00CF2D40">
      <w:r w:rsidRPr="00A20ACE">
        <w:rPr>
          <w:b/>
          <w:bCs/>
        </w:rPr>
        <w:t>ITS</w:t>
      </w:r>
      <w:r w:rsidRPr="00A20ACE">
        <w:t xml:space="preserve"> </w:t>
      </w:r>
      <w:r w:rsidR="00A26C3D" w:rsidRPr="00A20ACE">
        <w:t xml:space="preserve">– </w:t>
      </w:r>
      <w:r w:rsidRPr="00A20ACE">
        <w:t>Inter-genic spacer region</w:t>
      </w:r>
    </w:p>
    <w:p w14:paraId="461F78EB" w14:textId="0C9FDD1A" w:rsidR="00BE0113" w:rsidRPr="00A20ACE" w:rsidRDefault="003A583C" w:rsidP="00CF2D40">
      <w:r w:rsidRPr="00A20ACE">
        <w:rPr>
          <w:b/>
          <w:bCs/>
        </w:rPr>
        <w:t>LAMP</w:t>
      </w:r>
      <w:r w:rsidRPr="00A20ACE">
        <w:t xml:space="preserve"> </w:t>
      </w:r>
      <w:r w:rsidR="00A26C3D" w:rsidRPr="00A20ACE">
        <w:t xml:space="preserve">– </w:t>
      </w:r>
      <w:r w:rsidR="00BE0113" w:rsidRPr="00A20ACE">
        <w:t>Loop-mediated isothermal amplification</w:t>
      </w:r>
      <w:r w:rsidR="008A0130" w:rsidRPr="00A20ACE">
        <w:t xml:space="preserve"> </w:t>
      </w:r>
    </w:p>
    <w:p w14:paraId="052F64FB" w14:textId="7AD0F5FC" w:rsidR="00DD02C4" w:rsidRPr="00A20ACE" w:rsidRDefault="00DD02C4" w:rsidP="00CF2D40">
      <w:r w:rsidRPr="00A20ACE">
        <w:rPr>
          <w:b/>
          <w:bCs/>
        </w:rPr>
        <w:t>LPS</w:t>
      </w:r>
      <w:r w:rsidRPr="00A20ACE">
        <w:t xml:space="preserve"> </w:t>
      </w:r>
      <w:r w:rsidR="00D20A0B" w:rsidRPr="00A20ACE">
        <w:t>–</w:t>
      </w:r>
      <w:r w:rsidRPr="00A20ACE">
        <w:t xml:space="preserve"> </w:t>
      </w:r>
      <w:r w:rsidR="003A583C" w:rsidRPr="00A20ACE">
        <w:t>L</w:t>
      </w:r>
      <w:r w:rsidRPr="00A20ACE">
        <w:t>ipopolysaccharide</w:t>
      </w:r>
    </w:p>
    <w:p w14:paraId="3D79C20D" w14:textId="70DEE256" w:rsidR="00C83210" w:rsidRPr="00A20ACE" w:rsidRDefault="00C83210" w:rsidP="00CF2D40">
      <w:r w:rsidRPr="00A20ACE">
        <w:rPr>
          <w:b/>
          <w:bCs/>
        </w:rPr>
        <w:t>MALDI-TOF</w:t>
      </w:r>
      <w:r w:rsidRPr="00A20ACE">
        <w:t xml:space="preserve"> </w:t>
      </w:r>
      <w:r w:rsidR="00A26C3D" w:rsidRPr="00A20ACE">
        <w:t xml:space="preserve">– </w:t>
      </w:r>
      <w:r w:rsidRPr="00A20ACE">
        <w:t>Matrix-assisted laser desorption ion</w:t>
      </w:r>
      <w:r w:rsidR="00A20ACE">
        <w:t>is</w:t>
      </w:r>
      <w:r w:rsidRPr="00A20ACE">
        <w:t xml:space="preserve">ation-time of flight </w:t>
      </w:r>
    </w:p>
    <w:p w14:paraId="44FFE129" w14:textId="27717D93" w:rsidR="006A499C" w:rsidRPr="00A20ACE" w:rsidRDefault="006A499C" w:rsidP="006A499C">
      <w:r w:rsidRPr="00A20ACE">
        <w:rPr>
          <w:b/>
          <w:bCs/>
        </w:rPr>
        <w:t>MAT</w:t>
      </w:r>
      <w:r w:rsidRPr="00A20ACE">
        <w:t xml:space="preserve"> </w:t>
      </w:r>
      <w:r w:rsidR="00A26C3D" w:rsidRPr="00A20ACE">
        <w:t xml:space="preserve">– </w:t>
      </w:r>
      <w:r w:rsidRPr="00A20ACE">
        <w:t>Microscopic agglutination test</w:t>
      </w:r>
    </w:p>
    <w:p w14:paraId="045B7E10" w14:textId="7B415F27" w:rsidR="006A499C" w:rsidRPr="00A20ACE" w:rsidRDefault="00C83210" w:rsidP="00CF2D40">
      <w:r w:rsidRPr="00A20ACE">
        <w:rPr>
          <w:b/>
          <w:bCs/>
        </w:rPr>
        <w:t>MDST</w:t>
      </w:r>
      <w:r w:rsidRPr="00A20ACE">
        <w:t xml:space="preserve"> </w:t>
      </w:r>
      <w:r w:rsidR="00A26C3D" w:rsidRPr="00A20ACE">
        <w:t xml:space="preserve">– </w:t>
      </w:r>
      <w:r w:rsidRPr="00A20ACE">
        <w:t>Molecular drug susceptibility testing</w:t>
      </w:r>
    </w:p>
    <w:p w14:paraId="1EDBCCBD" w14:textId="39803965" w:rsidR="00A26C3D" w:rsidRPr="00A20ACE" w:rsidRDefault="00A26C3D" w:rsidP="00CF2D40">
      <w:r w:rsidRPr="00A20ACE">
        <w:rPr>
          <w:b/>
          <w:bCs/>
        </w:rPr>
        <w:t>MDR</w:t>
      </w:r>
      <w:r w:rsidRPr="00A20ACE">
        <w:t xml:space="preserve"> – Multidrug resistant</w:t>
      </w:r>
    </w:p>
    <w:p w14:paraId="3C029B42" w14:textId="50B5C23C" w:rsidR="00C83210" w:rsidRPr="00A20ACE" w:rsidRDefault="00C83210" w:rsidP="00CF2D40">
      <w:r w:rsidRPr="00A20ACE">
        <w:rPr>
          <w:b/>
          <w:bCs/>
        </w:rPr>
        <w:t>MIA</w:t>
      </w:r>
      <w:r w:rsidRPr="00A20ACE">
        <w:t xml:space="preserve"> </w:t>
      </w:r>
      <w:r w:rsidR="00A26C3D" w:rsidRPr="00A20ACE">
        <w:t xml:space="preserve">– </w:t>
      </w:r>
      <w:r w:rsidRPr="00A20ACE">
        <w:t>Microsphere immunoassay</w:t>
      </w:r>
    </w:p>
    <w:p w14:paraId="14B20A3A" w14:textId="6CFC7763" w:rsidR="00D20A0B" w:rsidRPr="00A20ACE" w:rsidRDefault="00D20A0B" w:rsidP="00CF2D40">
      <w:r w:rsidRPr="00A20ACE">
        <w:rPr>
          <w:b/>
          <w:bCs/>
        </w:rPr>
        <w:t>MLST</w:t>
      </w:r>
      <w:r w:rsidRPr="00A20ACE">
        <w:t xml:space="preserve"> </w:t>
      </w:r>
      <w:r w:rsidR="00A26C3D" w:rsidRPr="00A20ACE">
        <w:t xml:space="preserve">– </w:t>
      </w:r>
      <w:r w:rsidR="003A583C" w:rsidRPr="00A20ACE">
        <w:t>M</w:t>
      </w:r>
      <w:r w:rsidRPr="00A20ACE">
        <w:t>ultilocus sequence typing</w:t>
      </w:r>
    </w:p>
    <w:p w14:paraId="3EFBC9FC" w14:textId="02A3CB60" w:rsidR="00DD02C4" w:rsidRPr="00A20ACE" w:rsidRDefault="00DD02C4" w:rsidP="00E1346E">
      <w:r w:rsidRPr="00A20ACE">
        <w:rPr>
          <w:b/>
          <w:bCs/>
        </w:rPr>
        <w:t>NAAT</w:t>
      </w:r>
      <w:r w:rsidRPr="00A20ACE">
        <w:t xml:space="preserve"> </w:t>
      </w:r>
      <w:r w:rsidR="00A26C3D" w:rsidRPr="00A20ACE">
        <w:t xml:space="preserve">– </w:t>
      </w:r>
      <w:r w:rsidRPr="00A20ACE">
        <w:t>Nucleic acid amplification test/ing</w:t>
      </w:r>
    </w:p>
    <w:p w14:paraId="0A85F343" w14:textId="1E26C072" w:rsidR="00E1346E" w:rsidRPr="00A20ACE" w:rsidRDefault="00E1346E" w:rsidP="00E1346E">
      <w:r w:rsidRPr="00A20ACE">
        <w:rPr>
          <w:b/>
          <w:bCs/>
        </w:rPr>
        <w:t>NATA</w:t>
      </w:r>
      <w:r w:rsidRPr="00A20ACE">
        <w:t xml:space="preserve"> - National Association of Testing Authorities</w:t>
      </w:r>
      <w:r w:rsidR="00BF5A7B" w:rsidRPr="00A20ACE">
        <w:t>, Australia</w:t>
      </w:r>
    </w:p>
    <w:p w14:paraId="46A272E6" w14:textId="29A201FB" w:rsidR="00BE0113" w:rsidRPr="00A20ACE" w:rsidRDefault="00BE0113" w:rsidP="00E1346E">
      <w:r w:rsidRPr="00A20ACE">
        <w:rPr>
          <w:b/>
          <w:bCs/>
        </w:rPr>
        <w:t>NGS</w:t>
      </w:r>
      <w:r w:rsidRPr="00A20ACE">
        <w:t xml:space="preserve"> </w:t>
      </w:r>
      <w:r w:rsidR="00A26C3D" w:rsidRPr="00A20ACE">
        <w:t xml:space="preserve">– </w:t>
      </w:r>
      <w:r w:rsidR="003A583C" w:rsidRPr="00A20ACE">
        <w:t>N</w:t>
      </w:r>
      <w:r w:rsidRPr="00A20ACE">
        <w:t>ext generation sequencing</w:t>
      </w:r>
    </w:p>
    <w:p w14:paraId="4F20829B" w14:textId="3B6B94ED" w:rsidR="00D20A0B" w:rsidRPr="00A20ACE" w:rsidRDefault="00D20A0B" w:rsidP="00E1346E">
      <w:r w:rsidRPr="00A20ACE">
        <w:rPr>
          <w:b/>
          <w:bCs/>
        </w:rPr>
        <w:t>NPAAC</w:t>
      </w:r>
      <w:r w:rsidR="003A583C" w:rsidRPr="00A20ACE">
        <w:t xml:space="preserve"> </w:t>
      </w:r>
      <w:r w:rsidR="00A26C3D" w:rsidRPr="00A20ACE">
        <w:t xml:space="preserve">– </w:t>
      </w:r>
      <w:r w:rsidR="003A583C" w:rsidRPr="00A20ACE">
        <w:t>National Pathology Accreditation Advisory Council</w:t>
      </w:r>
    </w:p>
    <w:p w14:paraId="1D223DAB" w14:textId="4C120496" w:rsidR="0083509D" w:rsidRPr="00A20ACE" w:rsidRDefault="00DD02C4" w:rsidP="00E1346E">
      <w:r w:rsidRPr="00A20ACE">
        <w:rPr>
          <w:b/>
          <w:bCs/>
        </w:rPr>
        <w:t>NRL</w:t>
      </w:r>
      <w:r w:rsidR="00DC4218" w:rsidRPr="00A20ACE">
        <w:t xml:space="preserve"> </w:t>
      </w:r>
      <w:r w:rsidR="00A26C3D" w:rsidRPr="00A20ACE">
        <w:t xml:space="preserve">– </w:t>
      </w:r>
      <w:r w:rsidR="00DC4218" w:rsidRPr="00A20ACE">
        <w:t>National Serology Reference Laboratory</w:t>
      </w:r>
    </w:p>
    <w:p w14:paraId="769F9354" w14:textId="3947AFB2" w:rsidR="00E1346E" w:rsidRPr="00A20ACE" w:rsidRDefault="00E1346E" w:rsidP="00E1346E">
      <w:r w:rsidRPr="00A20ACE">
        <w:rPr>
          <w:b/>
          <w:bCs/>
        </w:rPr>
        <w:t>PCR</w:t>
      </w:r>
      <w:r w:rsidR="00DD02C4" w:rsidRPr="00A20ACE">
        <w:t xml:space="preserve"> </w:t>
      </w:r>
      <w:r w:rsidR="00A26C3D" w:rsidRPr="00A20ACE">
        <w:t xml:space="preserve">– </w:t>
      </w:r>
      <w:r w:rsidR="00DD02C4" w:rsidRPr="00A20ACE">
        <w:t xml:space="preserve">Polymerase </w:t>
      </w:r>
      <w:r w:rsidR="0083509D" w:rsidRPr="00A20ACE">
        <w:t>c</w:t>
      </w:r>
      <w:r w:rsidR="00DD02C4" w:rsidRPr="00A20ACE">
        <w:t xml:space="preserve">hain </w:t>
      </w:r>
      <w:r w:rsidR="0083509D" w:rsidRPr="00A20ACE">
        <w:t>r</w:t>
      </w:r>
      <w:r w:rsidR="00DD02C4" w:rsidRPr="00A20ACE">
        <w:t>eact</w:t>
      </w:r>
      <w:r w:rsidR="00DC4218" w:rsidRPr="00A20ACE">
        <w:t>i</w:t>
      </w:r>
      <w:r w:rsidR="00DD02C4" w:rsidRPr="00A20ACE">
        <w:t>on</w:t>
      </w:r>
    </w:p>
    <w:p w14:paraId="78A91FE9" w14:textId="7258648D" w:rsidR="00DD02C4" w:rsidRPr="00A20ACE" w:rsidRDefault="00DD02C4" w:rsidP="00E1346E">
      <w:r w:rsidRPr="00A20ACE">
        <w:rPr>
          <w:b/>
          <w:bCs/>
        </w:rPr>
        <w:lastRenderedPageBreak/>
        <w:t>PC2</w:t>
      </w:r>
      <w:r w:rsidR="006A499C" w:rsidRPr="00A20ACE">
        <w:rPr>
          <w:b/>
          <w:bCs/>
        </w:rPr>
        <w:t xml:space="preserve"> </w:t>
      </w:r>
      <w:r w:rsidR="00BF5A7B" w:rsidRPr="00A20ACE">
        <w:rPr>
          <w:b/>
          <w:bCs/>
        </w:rPr>
        <w:t>laboratory</w:t>
      </w:r>
      <w:r w:rsidR="006A499C" w:rsidRPr="00A20ACE">
        <w:t xml:space="preserve"> </w:t>
      </w:r>
      <w:r w:rsidR="00A26C3D" w:rsidRPr="00A20ACE">
        <w:t xml:space="preserve">– </w:t>
      </w:r>
      <w:r w:rsidR="006A499C" w:rsidRPr="00A20ACE">
        <w:t xml:space="preserve">Physical </w:t>
      </w:r>
      <w:r w:rsidR="0083509D" w:rsidRPr="00A20ACE">
        <w:t>c</w:t>
      </w:r>
      <w:r w:rsidR="006A499C" w:rsidRPr="00A20ACE">
        <w:t xml:space="preserve">ontainment </w:t>
      </w:r>
      <w:r w:rsidR="0083509D" w:rsidRPr="00A20ACE">
        <w:t>l</w:t>
      </w:r>
      <w:r w:rsidR="006A499C" w:rsidRPr="00A20ACE">
        <w:t xml:space="preserve">evel 2 laboratory </w:t>
      </w:r>
    </w:p>
    <w:p w14:paraId="41C6F32F" w14:textId="7B31A0A7" w:rsidR="00DD02C4" w:rsidRPr="00A20ACE" w:rsidRDefault="00DD02C4" w:rsidP="00E1346E">
      <w:r w:rsidRPr="00A20ACE">
        <w:rPr>
          <w:b/>
          <w:bCs/>
        </w:rPr>
        <w:t>PC3</w:t>
      </w:r>
      <w:r w:rsidR="006A499C" w:rsidRPr="00A20ACE">
        <w:rPr>
          <w:b/>
          <w:bCs/>
        </w:rPr>
        <w:t xml:space="preserve"> </w:t>
      </w:r>
      <w:r w:rsidR="00BF5A7B" w:rsidRPr="00A20ACE">
        <w:rPr>
          <w:b/>
          <w:bCs/>
        </w:rPr>
        <w:t>laboratory</w:t>
      </w:r>
      <w:r w:rsidR="00BF5A7B" w:rsidRPr="00A20ACE">
        <w:t xml:space="preserve"> </w:t>
      </w:r>
      <w:r w:rsidR="00A26C3D" w:rsidRPr="00A20ACE">
        <w:t xml:space="preserve">– </w:t>
      </w:r>
      <w:r w:rsidR="006A499C" w:rsidRPr="00A20ACE">
        <w:t xml:space="preserve">Physical </w:t>
      </w:r>
      <w:r w:rsidR="0083509D" w:rsidRPr="00A20ACE">
        <w:t>c</w:t>
      </w:r>
      <w:r w:rsidR="006A499C" w:rsidRPr="00A20ACE">
        <w:t xml:space="preserve">ontainment </w:t>
      </w:r>
      <w:r w:rsidR="0083509D" w:rsidRPr="00A20ACE">
        <w:t>l</w:t>
      </w:r>
      <w:r w:rsidR="006A499C" w:rsidRPr="00A20ACE">
        <w:t>evel 3 laboratory</w:t>
      </w:r>
    </w:p>
    <w:p w14:paraId="0FCB7B3E" w14:textId="17B2C3BA" w:rsidR="00DC4218" w:rsidRPr="00A20ACE" w:rsidRDefault="00DC4218" w:rsidP="00E1346E">
      <w:r w:rsidRPr="00A20ACE">
        <w:rPr>
          <w:b/>
          <w:bCs/>
        </w:rPr>
        <w:t xml:space="preserve">PC4 </w:t>
      </w:r>
      <w:r w:rsidR="00BF5A7B" w:rsidRPr="00A20ACE">
        <w:rPr>
          <w:b/>
          <w:bCs/>
        </w:rPr>
        <w:t xml:space="preserve">laboratory </w:t>
      </w:r>
      <w:r w:rsidR="00A26C3D" w:rsidRPr="00A20ACE">
        <w:t xml:space="preserve">– </w:t>
      </w:r>
      <w:r w:rsidR="006A499C" w:rsidRPr="00A20ACE">
        <w:t xml:space="preserve">Physical </w:t>
      </w:r>
      <w:r w:rsidR="0083509D" w:rsidRPr="00A20ACE">
        <w:t>c</w:t>
      </w:r>
      <w:r w:rsidR="006A499C" w:rsidRPr="00A20ACE">
        <w:t xml:space="preserve">ontainment </w:t>
      </w:r>
      <w:r w:rsidR="0083509D" w:rsidRPr="00A20ACE">
        <w:t>l</w:t>
      </w:r>
      <w:r w:rsidR="006A499C" w:rsidRPr="00A20ACE">
        <w:t>evel 4</w:t>
      </w:r>
      <w:r w:rsidR="0083509D" w:rsidRPr="00A20ACE">
        <w:t xml:space="preserve"> </w:t>
      </w:r>
      <w:r w:rsidR="006A499C" w:rsidRPr="00A20ACE">
        <w:t>laboratory</w:t>
      </w:r>
    </w:p>
    <w:p w14:paraId="34CC3B7B" w14:textId="05E70585" w:rsidR="0083509D" w:rsidRPr="00A20ACE" w:rsidRDefault="0083509D" w:rsidP="00E1346E">
      <w:r w:rsidRPr="00A20ACE">
        <w:rPr>
          <w:b/>
          <w:bCs/>
        </w:rPr>
        <w:t>PFGE</w:t>
      </w:r>
      <w:r w:rsidRPr="00A20ACE">
        <w:t xml:space="preserve"> </w:t>
      </w:r>
      <w:r w:rsidR="00A26C3D" w:rsidRPr="00A20ACE">
        <w:t xml:space="preserve">– </w:t>
      </w:r>
      <w:r w:rsidRPr="00A20ACE">
        <w:t>Pulsed field gel electrophoresis</w:t>
      </w:r>
    </w:p>
    <w:p w14:paraId="58099713" w14:textId="3308F1D9" w:rsidR="00DD02C4" w:rsidRPr="00A20ACE" w:rsidRDefault="00DD02C4" w:rsidP="00E1346E">
      <w:r w:rsidRPr="00A20ACE">
        <w:rPr>
          <w:b/>
          <w:bCs/>
        </w:rPr>
        <w:t>POC</w:t>
      </w:r>
      <w:r w:rsidRPr="00A20ACE">
        <w:t xml:space="preserve"> – </w:t>
      </w:r>
      <w:r w:rsidR="003A583C" w:rsidRPr="00A20ACE">
        <w:t>Point-of-care</w:t>
      </w:r>
    </w:p>
    <w:p w14:paraId="308262ED" w14:textId="77777777" w:rsidR="0083509D" w:rsidRPr="00A20ACE" w:rsidRDefault="0083509D" w:rsidP="0083509D">
      <w:r w:rsidRPr="00A20ACE">
        <w:rPr>
          <w:b/>
          <w:bCs/>
        </w:rPr>
        <w:t>QAP</w:t>
      </w:r>
      <w:r w:rsidRPr="00A20ACE">
        <w:t xml:space="preserve"> – Quality assurance program</w:t>
      </w:r>
    </w:p>
    <w:p w14:paraId="7932E4D9" w14:textId="1EF09361" w:rsidR="0083509D" w:rsidRPr="00A20ACE" w:rsidRDefault="0083509D" w:rsidP="00E1346E">
      <w:r w:rsidRPr="00A20ACE">
        <w:rPr>
          <w:b/>
          <w:bCs/>
        </w:rPr>
        <w:t>QC</w:t>
      </w:r>
      <w:r w:rsidRPr="00A20ACE">
        <w:t xml:space="preserve"> – Quality control</w:t>
      </w:r>
    </w:p>
    <w:p w14:paraId="4ACA97B5" w14:textId="68B7DB35" w:rsidR="0083509D" w:rsidRPr="00A20ACE" w:rsidRDefault="0083509D" w:rsidP="00E1346E">
      <w:r w:rsidRPr="00A20ACE">
        <w:rPr>
          <w:b/>
          <w:bCs/>
        </w:rPr>
        <w:t>RAPD</w:t>
      </w:r>
      <w:r w:rsidRPr="00A20ACE">
        <w:t xml:space="preserve"> </w:t>
      </w:r>
      <w:r w:rsidR="00A26C3D" w:rsidRPr="00A20ACE">
        <w:t xml:space="preserve">– </w:t>
      </w:r>
      <w:r w:rsidRPr="00A20ACE">
        <w:t xml:space="preserve">Random amplified polymorphic DNA </w:t>
      </w:r>
    </w:p>
    <w:p w14:paraId="0EB82AC9" w14:textId="5EF2366B" w:rsidR="00DD02C4" w:rsidRPr="00A20ACE" w:rsidRDefault="00DD02C4" w:rsidP="00E1346E">
      <w:r w:rsidRPr="00A20ACE">
        <w:rPr>
          <w:b/>
          <w:bCs/>
        </w:rPr>
        <w:t>RCPA</w:t>
      </w:r>
      <w:r w:rsidRPr="00A20ACE">
        <w:t xml:space="preserve"> </w:t>
      </w:r>
      <w:r w:rsidR="00A26C3D" w:rsidRPr="00A20ACE">
        <w:t xml:space="preserve">– </w:t>
      </w:r>
      <w:r w:rsidR="00D20A0B" w:rsidRPr="00A20ACE">
        <w:t>Royal College of Pathologists of Australasia</w:t>
      </w:r>
    </w:p>
    <w:p w14:paraId="6C35BE0A" w14:textId="3EA70C5C" w:rsidR="0083509D" w:rsidRPr="00A20ACE" w:rsidRDefault="0083509D" w:rsidP="00E1346E">
      <w:r w:rsidRPr="00A20ACE">
        <w:rPr>
          <w:b/>
          <w:bCs/>
        </w:rPr>
        <w:t>RFLP</w:t>
      </w:r>
      <w:r w:rsidRPr="00A20ACE">
        <w:t xml:space="preserve"> </w:t>
      </w:r>
      <w:r w:rsidR="00A26C3D" w:rsidRPr="00A20ACE">
        <w:t xml:space="preserve">– </w:t>
      </w:r>
      <w:r w:rsidRPr="00A20ACE">
        <w:t>Restriction fragment length polymorphism</w:t>
      </w:r>
    </w:p>
    <w:p w14:paraId="3E7861B9" w14:textId="75803399" w:rsidR="00E1346E" w:rsidRPr="00A20ACE" w:rsidRDefault="00E1346E" w:rsidP="00E1346E">
      <w:r w:rsidRPr="00A20ACE">
        <w:rPr>
          <w:b/>
          <w:bCs/>
        </w:rPr>
        <w:t>RNA</w:t>
      </w:r>
      <w:r w:rsidR="00DD02C4" w:rsidRPr="00A20ACE">
        <w:t xml:space="preserve"> </w:t>
      </w:r>
      <w:r w:rsidR="00A26C3D" w:rsidRPr="00A20ACE">
        <w:t xml:space="preserve">– </w:t>
      </w:r>
      <w:r w:rsidR="003A583C" w:rsidRPr="00A20ACE">
        <w:t>R</w:t>
      </w:r>
      <w:r w:rsidR="00DD02C4" w:rsidRPr="00A20ACE">
        <w:t>ibonucleic acid</w:t>
      </w:r>
    </w:p>
    <w:p w14:paraId="6AEDB076" w14:textId="4BB3D252" w:rsidR="0083509D" w:rsidRPr="00A20ACE" w:rsidRDefault="0083509D" w:rsidP="00E1346E">
      <w:r w:rsidRPr="00A20ACE">
        <w:rPr>
          <w:b/>
          <w:bCs/>
        </w:rPr>
        <w:t>RT</w:t>
      </w:r>
      <w:r w:rsidRPr="00A20ACE">
        <w:t xml:space="preserve"> </w:t>
      </w:r>
      <w:r w:rsidR="00A26C3D" w:rsidRPr="00A20ACE">
        <w:t xml:space="preserve">– </w:t>
      </w:r>
      <w:r w:rsidRPr="00A20ACE">
        <w:t xml:space="preserve">Reverse transcriptase </w:t>
      </w:r>
    </w:p>
    <w:p w14:paraId="37A0BD6E" w14:textId="42614B12" w:rsidR="00E1346E" w:rsidRPr="00A20ACE" w:rsidRDefault="00E1346E" w:rsidP="00E1346E">
      <w:r w:rsidRPr="00A20ACE">
        <w:rPr>
          <w:b/>
          <w:bCs/>
        </w:rPr>
        <w:t>RT-PCR</w:t>
      </w:r>
      <w:r w:rsidR="00BE0113" w:rsidRPr="00A20ACE">
        <w:t xml:space="preserve"> </w:t>
      </w:r>
      <w:r w:rsidR="00A26C3D" w:rsidRPr="00A20ACE">
        <w:t xml:space="preserve">– </w:t>
      </w:r>
      <w:r w:rsidR="003A583C" w:rsidRPr="00A20ACE">
        <w:t>R</w:t>
      </w:r>
      <w:r w:rsidR="00BE0113" w:rsidRPr="00A20ACE">
        <w:t>everse transcription polymerase chain reaction</w:t>
      </w:r>
    </w:p>
    <w:p w14:paraId="53BE9BD0" w14:textId="74C635C1" w:rsidR="00C83210" w:rsidRPr="00A20ACE" w:rsidRDefault="00C83210" w:rsidP="00E1346E">
      <w:r w:rsidRPr="00A20ACE">
        <w:rPr>
          <w:b/>
          <w:bCs/>
        </w:rPr>
        <w:t>SBT</w:t>
      </w:r>
      <w:r w:rsidRPr="00A20ACE">
        <w:t xml:space="preserve"> </w:t>
      </w:r>
      <w:r w:rsidR="00A26C3D" w:rsidRPr="00A20ACE">
        <w:t xml:space="preserve">– </w:t>
      </w:r>
      <w:r w:rsidRPr="00A20ACE">
        <w:t>Sequence based typing</w:t>
      </w:r>
    </w:p>
    <w:p w14:paraId="12615D78" w14:textId="0FD5CCFC" w:rsidR="006A499C" w:rsidRPr="00A20ACE" w:rsidRDefault="006A499C" w:rsidP="00E1346E">
      <w:r w:rsidRPr="00A20ACE">
        <w:rPr>
          <w:b/>
          <w:bCs/>
        </w:rPr>
        <w:t>Serotype</w:t>
      </w:r>
      <w:r w:rsidRPr="00A20ACE">
        <w:t xml:space="preserve"> –</w:t>
      </w:r>
      <w:r w:rsidR="00A26C3D" w:rsidRPr="00A20ACE">
        <w:t xml:space="preserve"> Pathogens</w:t>
      </w:r>
      <w:r w:rsidRPr="00A20ACE">
        <w:t xml:space="preserve"> of the same species that are antigenically different</w:t>
      </w:r>
    </w:p>
    <w:p w14:paraId="09B365F0" w14:textId="4B9E6928" w:rsidR="00C83210" w:rsidRPr="00A20ACE" w:rsidRDefault="00C83210" w:rsidP="00E1346E">
      <w:r w:rsidRPr="00A20ACE">
        <w:rPr>
          <w:b/>
          <w:bCs/>
        </w:rPr>
        <w:t>SNT</w:t>
      </w:r>
      <w:r w:rsidRPr="00A20ACE">
        <w:t xml:space="preserve"> </w:t>
      </w:r>
      <w:r w:rsidR="00A26C3D" w:rsidRPr="00A20ACE">
        <w:t>–</w:t>
      </w:r>
      <w:r w:rsidRPr="00A20ACE">
        <w:t xml:space="preserve"> Serum neutralisation</w:t>
      </w:r>
    </w:p>
    <w:p w14:paraId="7D184C64" w14:textId="70A6D74C" w:rsidR="00E1346E" w:rsidRPr="00A20ACE" w:rsidRDefault="00E1346E" w:rsidP="00E1346E">
      <w:r w:rsidRPr="00A20ACE">
        <w:rPr>
          <w:b/>
          <w:bCs/>
        </w:rPr>
        <w:t>SSBA</w:t>
      </w:r>
      <w:r w:rsidRPr="00A20ACE">
        <w:t xml:space="preserve"> </w:t>
      </w:r>
      <w:r w:rsidR="00A26C3D" w:rsidRPr="00A20ACE">
        <w:t xml:space="preserve">– </w:t>
      </w:r>
      <w:r w:rsidRPr="00A20ACE">
        <w:t xml:space="preserve">Security </w:t>
      </w:r>
      <w:r w:rsidR="0083509D" w:rsidRPr="00A20ACE">
        <w:t>s</w:t>
      </w:r>
      <w:r w:rsidRPr="00A20ACE">
        <w:t xml:space="preserve">ensitive </w:t>
      </w:r>
      <w:r w:rsidR="0083509D" w:rsidRPr="00A20ACE">
        <w:t>b</w:t>
      </w:r>
      <w:r w:rsidRPr="00A20ACE">
        <w:t xml:space="preserve">iological </w:t>
      </w:r>
      <w:r w:rsidR="0083509D" w:rsidRPr="00A20ACE">
        <w:t>a</w:t>
      </w:r>
      <w:r w:rsidRPr="00A20ACE">
        <w:t>gent</w:t>
      </w:r>
    </w:p>
    <w:p w14:paraId="0C2FE9C8" w14:textId="689DE386" w:rsidR="00DD02C4" w:rsidRPr="00A20ACE" w:rsidRDefault="00DD02C4" w:rsidP="00E1346E">
      <w:r w:rsidRPr="00A20ACE">
        <w:rPr>
          <w:b/>
          <w:bCs/>
        </w:rPr>
        <w:t>STI</w:t>
      </w:r>
      <w:r w:rsidRPr="00A20ACE">
        <w:t xml:space="preserve"> </w:t>
      </w:r>
      <w:r w:rsidR="00A26C3D" w:rsidRPr="00A20ACE">
        <w:t xml:space="preserve">– </w:t>
      </w:r>
      <w:r w:rsidR="003A583C" w:rsidRPr="00A20ACE">
        <w:t>S</w:t>
      </w:r>
      <w:r w:rsidRPr="00A20ACE">
        <w:t>exually transmitted infection</w:t>
      </w:r>
    </w:p>
    <w:p w14:paraId="6E06593B" w14:textId="6EC50546" w:rsidR="006A499C" w:rsidRPr="00A20ACE" w:rsidRDefault="006A499C" w:rsidP="00E1346E">
      <w:r w:rsidRPr="00A20ACE">
        <w:rPr>
          <w:b/>
          <w:bCs/>
        </w:rPr>
        <w:t>Strain</w:t>
      </w:r>
      <w:r w:rsidRPr="00A20ACE">
        <w:t xml:space="preserve"> </w:t>
      </w:r>
      <w:r w:rsidR="00A26C3D" w:rsidRPr="00A20ACE">
        <w:t xml:space="preserve">– </w:t>
      </w:r>
      <w:r w:rsidR="0083509D" w:rsidRPr="00A20ACE">
        <w:t>V</w:t>
      </w:r>
      <w:r w:rsidRPr="00A20ACE">
        <w:t>ariant that possesses unique and stable phenotypic characteristics</w:t>
      </w:r>
    </w:p>
    <w:p w14:paraId="703CB025" w14:textId="15C603D0" w:rsidR="00C83210" w:rsidRPr="00A20ACE" w:rsidRDefault="00C83210" w:rsidP="00E1346E">
      <w:r w:rsidRPr="00A20ACE">
        <w:rPr>
          <w:b/>
          <w:bCs/>
        </w:rPr>
        <w:t>SQAP</w:t>
      </w:r>
      <w:r w:rsidRPr="00A20ACE">
        <w:t xml:space="preserve"> </w:t>
      </w:r>
      <w:r w:rsidR="00A26C3D" w:rsidRPr="00A20ACE">
        <w:t xml:space="preserve">– </w:t>
      </w:r>
      <w:r w:rsidRPr="00A20ACE">
        <w:t>Serology quality assurance program</w:t>
      </w:r>
    </w:p>
    <w:p w14:paraId="52864775" w14:textId="018E5D68" w:rsidR="0083509D" w:rsidRPr="00A20ACE" w:rsidRDefault="0083509D" w:rsidP="0083509D">
      <w:r w:rsidRPr="00A20ACE">
        <w:rPr>
          <w:b/>
          <w:bCs/>
        </w:rPr>
        <w:t>Test sensitivity</w:t>
      </w:r>
      <w:r w:rsidRPr="00A20ACE">
        <w:t xml:space="preserve"> </w:t>
      </w:r>
      <w:r w:rsidR="00A26C3D" w:rsidRPr="00A20ACE">
        <w:t xml:space="preserve">– </w:t>
      </w:r>
      <w:r w:rsidRPr="00A20ACE">
        <w:t>Ability of a test to correctly identify patients with a disease</w:t>
      </w:r>
    </w:p>
    <w:p w14:paraId="5DCB1234" w14:textId="5BE5B3B2" w:rsidR="0083509D" w:rsidRPr="00A20ACE" w:rsidRDefault="0083509D" w:rsidP="00E1346E">
      <w:r w:rsidRPr="00A20ACE">
        <w:rPr>
          <w:b/>
          <w:bCs/>
        </w:rPr>
        <w:t>Test specificity</w:t>
      </w:r>
      <w:r w:rsidRPr="00A20ACE">
        <w:t xml:space="preserve"> </w:t>
      </w:r>
      <w:r w:rsidR="00A26C3D" w:rsidRPr="00A20ACE">
        <w:t xml:space="preserve">– </w:t>
      </w:r>
      <w:r w:rsidRPr="00A20ACE">
        <w:t>Ability of a test to correctly identify people without the disease</w:t>
      </w:r>
    </w:p>
    <w:p w14:paraId="7DAB616A" w14:textId="1F8463AD" w:rsidR="0083509D" w:rsidRPr="00A20ACE" w:rsidRDefault="00C83210" w:rsidP="00E1346E">
      <w:r w:rsidRPr="00A20ACE">
        <w:rPr>
          <w:b/>
          <w:bCs/>
        </w:rPr>
        <w:t>TGA</w:t>
      </w:r>
      <w:r w:rsidRPr="00A20ACE">
        <w:t xml:space="preserve"> </w:t>
      </w:r>
      <w:r w:rsidR="00A26C3D" w:rsidRPr="00A20ACE">
        <w:t xml:space="preserve">– </w:t>
      </w:r>
      <w:r w:rsidRPr="00A20ACE">
        <w:t>Therapeutic Goods Administration</w:t>
      </w:r>
    </w:p>
    <w:p w14:paraId="6EC32FAB" w14:textId="753B25A7" w:rsidR="0083509D" w:rsidRPr="00A20ACE" w:rsidRDefault="0083509D" w:rsidP="00E1346E">
      <w:r w:rsidRPr="00A20ACE">
        <w:rPr>
          <w:b/>
          <w:bCs/>
        </w:rPr>
        <w:lastRenderedPageBreak/>
        <w:t>UTM</w:t>
      </w:r>
      <w:r w:rsidRPr="00A20ACE">
        <w:t xml:space="preserve"> </w:t>
      </w:r>
      <w:r w:rsidR="00A26C3D" w:rsidRPr="00A20ACE">
        <w:t xml:space="preserve">– </w:t>
      </w:r>
      <w:r w:rsidRPr="00A20ACE">
        <w:t xml:space="preserve">Universal </w:t>
      </w:r>
      <w:r w:rsidR="00A26C3D" w:rsidRPr="00A20ACE">
        <w:t>t</w:t>
      </w:r>
      <w:r w:rsidRPr="00A20ACE">
        <w:t xml:space="preserve">ransport </w:t>
      </w:r>
      <w:r w:rsidR="00A26C3D" w:rsidRPr="00A20ACE">
        <w:t>m</w:t>
      </w:r>
      <w:r w:rsidRPr="00A20ACE">
        <w:t>edium</w:t>
      </w:r>
    </w:p>
    <w:p w14:paraId="375C0230" w14:textId="417E546D" w:rsidR="0083509D" w:rsidRPr="00A20ACE" w:rsidRDefault="0083509D" w:rsidP="00E1346E">
      <w:r w:rsidRPr="00A20ACE">
        <w:rPr>
          <w:b/>
          <w:bCs/>
        </w:rPr>
        <w:t>VTM</w:t>
      </w:r>
      <w:r w:rsidRPr="00A20ACE">
        <w:t xml:space="preserve"> </w:t>
      </w:r>
      <w:r w:rsidR="00A26C3D" w:rsidRPr="00A20ACE">
        <w:t xml:space="preserve">– </w:t>
      </w:r>
      <w:r w:rsidRPr="00A20ACE">
        <w:t>Viral transport media</w:t>
      </w:r>
    </w:p>
    <w:p w14:paraId="3650C5EF" w14:textId="23BDBA31" w:rsidR="00D20A0B" w:rsidRPr="00A20ACE" w:rsidRDefault="00D20A0B" w:rsidP="00E1346E">
      <w:r w:rsidRPr="00A20ACE">
        <w:rPr>
          <w:b/>
          <w:bCs/>
        </w:rPr>
        <w:t>WGS</w:t>
      </w:r>
      <w:r w:rsidRPr="00A20ACE">
        <w:t xml:space="preserve"> </w:t>
      </w:r>
      <w:r w:rsidR="00A26C3D" w:rsidRPr="00A20ACE">
        <w:t xml:space="preserve">– </w:t>
      </w:r>
      <w:r w:rsidRPr="00A20ACE">
        <w:t>Whole genome sequencing</w:t>
      </w:r>
    </w:p>
    <w:p w14:paraId="7EB29846" w14:textId="14A1D57C" w:rsidR="00E1346E" w:rsidRPr="00A20ACE" w:rsidRDefault="00E1346E" w:rsidP="00CF2D40">
      <w:r w:rsidRPr="00A20ACE">
        <w:rPr>
          <w:b/>
          <w:bCs/>
        </w:rPr>
        <w:t>WHO</w:t>
      </w:r>
      <w:r w:rsidR="00D20A0B" w:rsidRPr="00A20ACE">
        <w:t xml:space="preserve"> </w:t>
      </w:r>
      <w:r w:rsidR="00A26C3D" w:rsidRPr="00A20ACE">
        <w:t xml:space="preserve">– </w:t>
      </w:r>
      <w:r w:rsidR="00D20A0B" w:rsidRPr="00A20ACE">
        <w:t>World Health Organi</w:t>
      </w:r>
      <w:r w:rsidR="00BF5A7B" w:rsidRPr="00A20ACE">
        <w:t>z</w:t>
      </w:r>
      <w:r w:rsidR="00D20A0B" w:rsidRPr="00A20ACE">
        <w:t>ation</w:t>
      </w:r>
    </w:p>
    <w:p w14:paraId="73905932" w14:textId="7D5560EB" w:rsidR="0083509D" w:rsidRPr="00A20ACE" w:rsidRDefault="0083509D" w:rsidP="00CF2D40">
      <w:r w:rsidRPr="00A20ACE">
        <w:rPr>
          <w:b/>
          <w:bCs/>
        </w:rPr>
        <w:t>WHO CC</w:t>
      </w:r>
      <w:r w:rsidRPr="00A20ACE">
        <w:t xml:space="preserve"> </w:t>
      </w:r>
      <w:r w:rsidR="00A26C3D" w:rsidRPr="00A20ACE">
        <w:t xml:space="preserve">– </w:t>
      </w:r>
      <w:r w:rsidRPr="00A20ACE">
        <w:t>WHO Collaborating Centre</w:t>
      </w:r>
    </w:p>
    <w:p w14:paraId="6EAFAB87" w14:textId="32158708" w:rsidR="00A26C3D" w:rsidRPr="00A20ACE" w:rsidRDefault="00A26C3D" w:rsidP="00CF2D40">
      <w:r w:rsidRPr="00A20ACE">
        <w:rPr>
          <w:b/>
          <w:bCs/>
        </w:rPr>
        <w:t>XDR</w:t>
      </w:r>
      <w:r w:rsidRPr="00A20ACE">
        <w:t xml:space="preserve"> – Extensively drug resistant </w:t>
      </w:r>
    </w:p>
    <w:p w14:paraId="7C1BCFB7" w14:textId="11E4CA5A" w:rsidR="00617E04" w:rsidRPr="00A20ACE" w:rsidRDefault="00617E04" w:rsidP="006A499C"/>
    <w:sectPr w:rsidR="00617E04" w:rsidRPr="00A20ACE" w:rsidSect="000D34E6">
      <w:headerReference w:type="default" r:id="rId15"/>
      <w:footerReference w:type="default" r:id="rId16"/>
      <w:headerReference w:type="first" r:id="rId17"/>
      <w:pgSz w:w="11907" w:h="16840" w:code="9"/>
      <w:pgMar w:top="1440" w:right="1440" w:bottom="1440" w:left="1440" w:header="680" w:footer="457" w:gutter="0"/>
      <w:paperSrc w:first="2" w:other="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41F7E" w14:textId="77777777" w:rsidR="00596657" w:rsidRDefault="00596657" w:rsidP="00A53F74">
      <w:r>
        <w:separator/>
      </w:r>
    </w:p>
    <w:p w14:paraId="3A28E1C4" w14:textId="77777777" w:rsidR="00596657" w:rsidRDefault="00596657" w:rsidP="00A53F74"/>
  </w:endnote>
  <w:endnote w:type="continuationSeparator" w:id="0">
    <w:p w14:paraId="743C1F3C" w14:textId="77777777" w:rsidR="00596657" w:rsidRDefault="00596657" w:rsidP="00A53F74">
      <w:r>
        <w:continuationSeparator/>
      </w:r>
    </w:p>
    <w:p w14:paraId="41873E9A" w14:textId="77777777" w:rsidR="00596657" w:rsidRDefault="00596657" w:rsidP="00A53F74"/>
  </w:endnote>
  <w:endnote w:type="continuationNotice" w:id="1">
    <w:p w14:paraId="5A39393E" w14:textId="77777777" w:rsidR="00596657" w:rsidRDefault="0059665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599424"/>
      <w:docPartObj>
        <w:docPartGallery w:val="Page Numbers (Bottom of Page)"/>
        <w:docPartUnique/>
      </w:docPartObj>
    </w:sdtPr>
    <w:sdtEndPr>
      <w:rPr>
        <w:rFonts w:ascii="Arial" w:hAnsi="Arial" w:cs="Arial"/>
        <w:sz w:val="18"/>
        <w:szCs w:val="16"/>
      </w:rPr>
    </w:sdtEndPr>
    <w:sdtContent>
      <w:sdt>
        <w:sdtPr>
          <w:rPr>
            <w:rFonts w:ascii="Arial" w:hAnsi="Arial" w:cs="Arial"/>
            <w:sz w:val="18"/>
            <w:szCs w:val="16"/>
          </w:rPr>
          <w:id w:val="-1769616900"/>
          <w:docPartObj>
            <w:docPartGallery w:val="Page Numbers (Top of Page)"/>
            <w:docPartUnique/>
          </w:docPartObj>
        </w:sdtPr>
        <w:sdtEndPr/>
        <w:sdtContent>
          <w:p w14:paraId="638C4AB6" w14:textId="62F839B4" w:rsidR="004F61C6" w:rsidRPr="00AE5C18" w:rsidRDefault="004F61C6" w:rsidP="00A53F74">
            <w:pPr>
              <w:pStyle w:val="Footer"/>
              <w:rPr>
                <w:rFonts w:ascii="Arial" w:hAnsi="Arial" w:cs="Arial"/>
                <w:sz w:val="18"/>
                <w:szCs w:val="16"/>
              </w:rPr>
            </w:pPr>
            <w:r w:rsidRPr="00AE5C18">
              <w:rPr>
                <w:rFonts w:ascii="Arial" w:hAnsi="Arial" w:cs="Arial"/>
                <w:sz w:val="18"/>
                <w:szCs w:val="16"/>
              </w:rPr>
              <w:t xml:space="preserve">Page </w:t>
            </w:r>
            <w:r w:rsidRPr="00AE5C18">
              <w:rPr>
                <w:rFonts w:ascii="Arial" w:hAnsi="Arial" w:cs="Arial"/>
                <w:sz w:val="18"/>
                <w:szCs w:val="16"/>
              </w:rPr>
              <w:fldChar w:fldCharType="begin"/>
            </w:r>
            <w:r w:rsidRPr="00AE5C18">
              <w:rPr>
                <w:rFonts w:ascii="Arial" w:hAnsi="Arial" w:cs="Arial"/>
                <w:sz w:val="18"/>
                <w:szCs w:val="16"/>
              </w:rPr>
              <w:instrText xml:space="preserve"> PAGE </w:instrText>
            </w:r>
            <w:r w:rsidRPr="00AE5C18">
              <w:rPr>
                <w:rFonts w:ascii="Arial" w:hAnsi="Arial" w:cs="Arial"/>
                <w:sz w:val="18"/>
                <w:szCs w:val="16"/>
              </w:rPr>
              <w:fldChar w:fldCharType="separate"/>
            </w:r>
            <w:r w:rsidRPr="00AE5C18">
              <w:rPr>
                <w:rFonts w:ascii="Arial" w:hAnsi="Arial" w:cs="Arial"/>
                <w:noProof/>
                <w:sz w:val="18"/>
                <w:szCs w:val="16"/>
              </w:rPr>
              <w:t>2</w:t>
            </w:r>
            <w:r w:rsidRPr="00AE5C18">
              <w:rPr>
                <w:rFonts w:ascii="Arial" w:hAnsi="Arial" w:cs="Arial"/>
                <w:sz w:val="18"/>
                <w:szCs w:val="16"/>
              </w:rPr>
              <w:fldChar w:fldCharType="end"/>
            </w:r>
            <w:r w:rsidRPr="00AE5C18">
              <w:rPr>
                <w:rFonts w:ascii="Arial" w:hAnsi="Arial" w:cs="Arial"/>
                <w:sz w:val="18"/>
                <w:szCs w:val="16"/>
              </w:rPr>
              <w:t xml:space="preserve"> of </w:t>
            </w:r>
            <w:r w:rsidRPr="00AE5C18">
              <w:rPr>
                <w:rFonts w:ascii="Arial" w:hAnsi="Arial" w:cs="Arial"/>
                <w:sz w:val="18"/>
                <w:szCs w:val="16"/>
              </w:rPr>
              <w:fldChar w:fldCharType="begin"/>
            </w:r>
            <w:r w:rsidRPr="00AE5C18">
              <w:rPr>
                <w:rFonts w:ascii="Arial" w:hAnsi="Arial" w:cs="Arial"/>
                <w:sz w:val="18"/>
                <w:szCs w:val="16"/>
              </w:rPr>
              <w:instrText xml:space="preserve"> NUMPAGES  </w:instrText>
            </w:r>
            <w:r w:rsidRPr="00AE5C18">
              <w:rPr>
                <w:rFonts w:ascii="Arial" w:hAnsi="Arial" w:cs="Arial"/>
                <w:sz w:val="18"/>
                <w:szCs w:val="16"/>
              </w:rPr>
              <w:fldChar w:fldCharType="separate"/>
            </w:r>
            <w:r w:rsidRPr="00AE5C18">
              <w:rPr>
                <w:rFonts w:ascii="Arial" w:hAnsi="Arial" w:cs="Arial"/>
                <w:noProof/>
                <w:sz w:val="18"/>
                <w:szCs w:val="16"/>
              </w:rPr>
              <w:t>2</w:t>
            </w:r>
            <w:r w:rsidRPr="00AE5C18">
              <w:rPr>
                <w:rFonts w:ascii="Arial" w:hAnsi="Arial" w:cs="Arial"/>
                <w:sz w:val="18"/>
                <w:szCs w:val="16"/>
              </w:rPr>
              <w:fldChar w:fldCharType="end"/>
            </w:r>
          </w:p>
        </w:sdtContent>
      </w:sdt>
    </w:sdtContent>
  </w:sdt>
  <w:p w14:paraId="59C91BA3" w14:textId="01430ED4" w:rsidR="00110BE3" w:rsidRPr="00AE5C18" w:rsidRDefault="00B458E7" w:rsidP="00AE5C18">
    <w:pPr>
      <w:pStyle w:val="Footer"/>
      <w:rPr>
        <w:rFonts w:ascii="Arial" w:hAnsi="Arial" w:cs="Arial"/>
        <w:sz w:val="18"/>
        <w:szCs w:val="16"/>
      </w:rPr>
    </w:pPr>
    <w:r>
      <w:rPr>
        <w:rFonts w:ascii="Arial" w:hAnsi="Arial" w:cs="Arial"/>
        <w:sz w:val="18"/>
        <w:szCs w:val="16"/>
      </w:rPr>
      <w:t>Botulism</w:t>
    </w:r>
    <w:r w:rsidR="00AE5C18" w:rsidRPr="00AE5C18">
      <w:rPr>
        <w:rFonts w:ascii="Arial" w:hAnsi="Arial" w:cs="Arial"/>
        <w:sz w:val="18"/>
        <w:szCs w:val="16"/>
      </w:rPr>
      <w:t xml:space="preserve"> – </w:t>
    </w:r>
    <w:r w:rsidR="006D70F9" w:rsidRPr="00AE5C18">
      <w:rPr>
        <w:rFonts w:ascii="Arial" w:hAnsi="Arial" w:cs="Arial"/>
        <w:sz w:val="18"/>
        <w:szCs w:val="16"/>
      </w:rPr>
      <w:t>Laboratory case definition – Version</w:t>
    </w:r>
    <w:r>
      <w:rPr>
        <w:rFonts w:ascii="Arial" w:hAnsi="Arial" w:cs="Arial"/>
        <w:sz w:val="18"/>
        <w:szCs w:val="16"/>
      </w:rPr>
      <w:t xml:space="preserve">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AC443" w14:textId="77777777" w:rsidR="00596657" w:rsidRDefault="00596657" w:rsidP="00A53F74">
      <w:r>
        <w:separator/>
      </w:r>
    </w:p>
    <w:p w14:paraId="47181EB3" w14:textId="77777777" w:rsidR="00596657" w:rsidRDefault="00596657" w:rsidP="00A53F74"/>
  </w:footnote>
  <w:footnote w:type="continuationSeparator" w:id="0">
    <w:p w14:paraId="5BD97B7A" w14:textId="77777777" w:rsidR="00596657" w:rsidRDefault="00596657" w:rsidP="00A53F74">
      <w:r>
        <w:continuationSeparator/>
      </w:r>
    </w:p>
    <w:p w14:paraId="4162E624" w14:textId="77777777" w:rsidR="00596657" w:rsidRDefault="00596657" w:rsidP="00A53F74"/>
  </w:footnote>
  <w:footnote w:type="continuationNotice" w:id="1">
    <w:p w14:paraId="1870DC74" w14:textId="77777777" w:rsidR="00596657" w:rsidRDefault="00596657">
      <w:pPr>
        <w:spacing w:before="0" w:after="0" w:line="240" w:lineRule="auto"/>
      </w:pPr>
    </w:p>
  </w:footnote>
  <w:footnote w:id="2">
    <w:p w14:paraId="0C666D45" w14:textId="77777777" w:rsidR="009071CD" w:rsidRPr="00EC5717" w:rsidRDefault="009071CD" w:rsidP="009071CD">
      <w:pPr>
        <w:spacing w:line="240" w:lineRule="auto"/>
        <w:rPr>
          <w:sz w:val="18"/>
          <w:szCs w:val="18"/>
        </w:rPr>
      </w:pPr>
      <w:r w:rsidRPr="00EC5717">
        <w:rPr>
          <w:rStyle w:val="FootnoteReference"/>
          <w:sz w:val="18"/>
          <w:szCs w:val="18"/>
        </w:rPr>
        <w:footnoteRef/>
      </w:r>
      <w:r w:rsidRPr="00EC5717">
        <w:rPr>
          <w:sz w:val="18"/>
          <w:szCs w:val="18"/>
        </w:rPr>
        <w:t xml:space="preserve"> Noting that there are other </w:t>
      </w:r>
      <w:r w:rsidRPr="00EC5717">
        <w:rPr>
          <w:i/>
          <w:iCs/>
          <w:sz w:val="18"/>
          <w:szCs w:val="18"/>
        </w:rPr>
        <w:t>Clostridium</w:t>
      </w:r>
      <w:r w:rsidRPr="00EC5717">
        <w:rPr>
          <w:sz w:val="18"/>
          <w:szCs w:val="18"/>
        </w:rPr>
        <w:t xml:space="preserve"> species that have uncommonly been reported as carrying the botulinum toxin gene for toxin types (</w:t>
      </w:r>
      <w:r w:rsidRPr="00EC5717">
        <w:rPr>
          <w:i/>
          <w:iCs/>
          <w:sz w:val="18"/>
          <w:szCs w:val="18"/>
        </w:rPr>
        <w:t>bont</w:t>
      </w:r>
      <w:r w:rsidRPr="00EC5717">
        <w:rPr>
          <w:sz w:val="18"/>
          <w:szCs w:val="18"/>
        </w:rPr>
        <w:t xml:space="preserve">) linked to human cases, including </w:t>
      </w:r>
      <w:r w:rsidRPr="00EC5717">
        <w:rPr>
          <w:i/>
          <w:iCs/>
          <w:sz w:val="18"/>
          <w:szCs w:val="18"/>
        </w:rPr>
        <w:t>C. sporogenes</w:t>
      </w:r>
      <w:r w:rsidRPr="00EC5717">
        <w:rPr>
          <w:sz w:val="18"/>
          <w:szCs w:val="18"/>
        </w:rPr>
        <w:t xml:space="preserve"> carrying the </w:t>
      </w:r>
      <w:r w:rsidRPr="00EC5717">
        <w:rPr>
          <w:i/>
          <w:iCs/>
          <w:sz w:val="18"/>
          <w:szCs w:val="18"/>
        </w:rPr>
        <w:t>bont/B</w:t>
      </w:r>
      <w:r w:rsidRPr="00EC5717">
        <w:rPr>
          <w:sz w:val="18"/>
          <w:szCs w:val="18"/>
        </w:rPr>
        <w:t xml:space="preserve"> gene.(Reference: Differentiating Botulinum Neurotoxin-Producing Clostridia with a Simple, Multiplex PCR Assay - PMC (nih.gov)). Further culture and </w:t>
      </w:r>
      <w:r>
        <w:rPr>
          <w:sz w:val="18"/>
          <w:szCs w:val="18"/>
        </w:rPr>
        <w:t xml:space="preserve">identification are </w:t>
      </w:r>
      <w:r w:rsidRPr="00EC5717">
        <w:rPr>
          <w:sz w:val="18"/>
          <w:szCs w:val="18"/>
        </w:rPr>
        <w:t xml:space="preserve">recommended. </w:t>
      </w:r>
    </w:p>
    <w:p w14:paraId="507AADCF" w14:textId="77777777" w:rsidR="009071CD" w:rsidRPr="00EC5717" w:rsidRDefault="009071CD" w:rsidP="009071CD">
      <w:pPr>
        <w:spacing w:line="240" w:lineRule="auto"/>
        <w:rPr>
          <w:sz w:val="18"/>
          <w:szCs w:val="18"/>
        </w:rPr>
      </w:pPr>
    </w:p>
  </w:footnote>
  <w:footnote w:id="3">
    <w:p w14:paraId="0D6AC273" w14:textId="77777777" w:rsidR="009071CD" w:rsidRPr="00EC5717" w:rsidRDefault="009071CD" w:rsidP="009071CD">
      <w:pPr>
        <w:spacing w:line="240" w:lineRule="auto"/>
        <w:rPr>
          <w:sz w:val="18"/>
          <w:szCs w:val="18"/>
        </w:rPr>
      </w:pPr>
      <w:r w:rsidRPr="00EC5717">
        <w:rPr>
          <w:rStyle w:val="FootnoteReference"/>
          <w:sz w:val="18"/>
          <w:szCs w:val="18"/>
        </w:rPr>
        <w:footnoteRef/>
      </w:r>
      <w:r w:rsidRPr="00EC5717">
        <w:rPr>
          <w:sz w:val="18"/>
          <w:szCs w:val="18"/>
        </w:rPr>
        <w:t xml:space="preserve"> Molecular detection of the toxin gene </w:t>
      </w:r>
      <w:r w:rsidRPr="00EC5717">
        <w:rPr>
          <w:i/>
          <w:iCs/>
          <w:sz w:val="18"/>
          <w:szCs w:val="18"/>
        </w:rPr>
        <w:t>bont</w:t>
      </w:r>
      <w:r w:rsidRPr="00EC5717">
        <w:rPr>
          <w:sz w:val="18"/>
          <w:szCs w:val="18"/>
        </w:rPr>
        <w:t xml:space="preserve"> does not confirm a functional toxin gene is present or is expressing functional </w:t>
      </w:r>
      <w:r>
        <w:rPr>
          <w:sz w:val="18"/>
          <w:szCs w:val="18"/>
        </w:rPr>
        <w:t>neurotoxin (BoNT)</w:t>
      </w:r>
      <w:r w:rsidRPr="00EC5717">
        <w:rPr>
          <w:sz w:val="18"/>
          <w:szCs w:val="18"/>
        </w:rPr>
        <w:t>. It is recommended that a functional test like the mouse bioassay or sequencing to examine the full gene sequence should be performed to provide additional information.</w:t>
      </w:r>
    </w:p>
    <w:p w14:paraId="53B25B51" w14:textId="77777777" w:rsidR="009071CD" w:rsidRDefault="009071CD" w:rsidP="009071C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19AC6" w14:textId="266396B4" w:rsidR="00110BE3" w:rsidRDefault="00866892" w:rsidP="00AE5C18">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F466" w14:textId="6C821626" w:rsidR="00AE5C18" w:rsidRDefault="00AE5C18">
    <w:pPr>
      <w:pStyle w:val="Header"/>
    </w:pPr>
    <w:r>
      <w:rPr>
        <w:noProof/>
        <w:lang w:val="en-AU" w:eastAsia="en-AU"/>
      </w:rPr>
      <w:drawing>
        <wp:inline distT="0" distB="0" distL="0" distR="0" wp14:anchorId="55988EBD" wp14:editId="37436A67">
          <wp:extent cx="3240000" cy="1320764"/>
          <wp:effectExtent l="0" t="0" r="0" b="0"/>
          <wp:docPr id="5" name="Picture 5" descr="Public Health Laborator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ublic Health Laboratory Network logo"/>
                  <pic:cNvPicPr/>
                </pic:nvPicPr>
                <pic:blipFill>
                  <a:blip r:embed="rId1">
                    <a:extLst>
                      <a:ext uri="{28A0092B-C50C-407E-A947-70E740481C1C}">
                        <a14:useLocalDpi xmlns:a14="http://schemas.microsoft.com/office/drawing/2010/main" val="0"/>
                      </a:ext>
                    </a:extLst>
                  </a:blip>
                  <a:stretch>
                    <a:fillRect/>
                  </a:stretch>
                </pic:blipFill>
                <pic:spPr>
                  <a:xfrm>
                    <a:off x="0" y="0"/>
                    <a:ext cx="3240000" cy="13207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09B"/>
    <w:multiLevelType w:val="multilevel"/>
    <w:tmpl w:val="3D601560"/>
    <w:lvl w:ilvl="0">
      <w:start w:val="1"/>
      <w:numFmt w:val="decimal"/>
      <w:pStyle w:val="Heading1"/>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680"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397" w:hanging="397"/>
      </w:pPr>
      <w:rPr>
        <w:rFonts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1" w15:restartNumberingAfterBreak="0">
    <w:nsid w:val="03615545"/>
    <w:multiLevelType w:val="hybridMultilevel"/>
    <w:tmpl w:val="F868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AF6E18"/>
    <w:multiLevelType w:val="hybridMultilevel"/>
    <w:tmpl w:val="D18A29F0"/>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697061D"/>
    <w:multiLevelType w:val="hybridMultilevel"/>
    <w:tmpl w:val="935841D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84E381E"/>
    <w:multiLevelType w:val="hybridMultilevel"/>
    <w:tmpl w:val="3D0436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584384"/>
    <w:multiLevelType w:val="multilevel"/>
    <w:tmpl w:val="E084DE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D565BF"/>
    <w:multiLevelType w:val="hybridMultilevel"/>
    <w:tmpl w:val="44BAF7F8"/>
    <w:lvl w:ilvl="0" w:tplc="0C09000F">
      <w:start w:val="1"/>
      <w:numFmt w:val="decimal"/>
      <w:lvlText w:val="%1."/>
      <w:lvlJc w:val="left"/>
      <w:pPr>
        <w:ind w:left="2202" w:hanging="360"/>
      </w:pPr>
    </w:lvl>
    <w:lvl w:ilvl="1" w:tplc="0C090019" w:tentative="1">
      <w:start w:val="1"/>
      <w:numFmt w:val="lowerLetter"/>
      <w:lvlText w:val="%2."/>
      <w:lvlJc w:val="left"/>
      <w:pPr>
        <w:ind w:left="2922" w:hanging="360"/>
      </w:pPr>
    </w:lvl>
    <w:lvl w:ilvl="2" w:tplc="0C09001B" w:tentative="1">
      <w:start w:val="1"/>
      <w:numFmt w:val="lowerRoman"/>
      <w:lvlText w:val="%3."/>
      <w:lvlJc w:val="right"/>
      <w:pPr>
        <w:ind w:left="3642" w:hanging="180"/>
      </w:pPr>
    </w:lvl>
    <w:lvl w:ilvl="3" w:tplc="0C09000F" w:tentative="1">
      <w:start w:val="1"/>
      <w:numFmt w:val="decimal"/>
      <w:lvlText w:val="%4."/>
      <w:lvlJc w:val="left"/>
      <w:pPr>
        <w:ind w:left="4362" w:hanging="360"/>
      </w:pPr>
    </w:lvl>
    <w:lvl w:ilvl="4" w:tplc="0C090019" w:tentative="1">
      <w:start w:val="1"/>
      <w:numFmt w:val="lowerLetter"/>
      <w:lvlText w:val="%5."/>
      <w:lvlJc w:val="left"/>
      <w:pPr>
        <w:ind w:left="5082" w:hanging="360"/>
      </w:pPr>
    </w:lvl>
    <w:lvl w:ilvl="5" w:tplc="0C09001B" w:tentative="1">
      <w:start w:val="1"/>
      <w:numFmt w:val="lowerRoman"/>
      <w:lvlText w:val="%6."/>
      <w:lvlJc w:val="right"/>
      <w:pPr>
        <w:ind w:left="5802" w:hanging="180"/>
      </w:pPr>
    </w:lvl>
    <w:lvl w:ilvl="6" w:tplc="0C09000F" w:tentative="1">
      <w:start w:val="1"/>
      <w:numFmt w:val="decimal"/>
      <w:lvlText w:val="%7."/>
      <w:lvlJc w:val="left"/>
      <w:pPr>
        <w:ind w:left="6522" w:hanging="360"/>
      </w:pPr>
    </w:lvl>
    <w:lvl w:ilvl="7" w:tplc="0C090019" w:tentative="1">
      <w:start w:val="1"/>
      <w:numFmt w:val="lowerLetter"/>
      <w:lvlText w:val="%8."/>
      <w:lvlJc w:val="left"/>
      <w:pPr>
        <w:ind w:left="7242" w:hanging="360"/>
      </w:pPr>
    </w:lvl>
    <w:lvl w:ilvl="8" w:tplc="0C09001B" w:tentative="1">
      <w:start w:val="1"/>
      <w:numFmt w:val="lowerRoman"/>
      <w:lvlText w:val="%9."/>
      <w:lvlJc w:val="right"/>
      <w:pPr>
        <w:ind w:left="7962" w:hanging="180"/>
      </w:pPr>
    </w:lvl>
  </w:abstractNum>
  <w:abstractNum w:abstractNumId="7" w15:restartNumberingAfterBreak="0">
    <w:nsid w:val="0EDE166D"/>
    <w:multiLevelType w:val="hybridMultilevel"/>
    <w:tmpl w:val="6B9262DE"/>
    <w:lvl w:ilvl="0" w:tplc="15326F3A">
      <w:start w:val="1"/>
      <w:numFmt w:val="bullet"/>
      <w:pStyle w:val="ListParagraph"/>
      <w:lvlText w:val=""/>
      <w:lvlJc w:val="left"/>
      <w:pPr>
        <w:ind w:left="2202"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24D3511"/>
    <w:multiLevelType w:val="multilevel"/>
    <w:tmpl w:val="0CA8D3C0"/>
    <w:lvl w:ilvl="0">
      <w:start w:val="1"/>
      <w:numFmt w:val="bullet"/>
      <w:lvlText w:val=""/>
      <w:lvlJc w:val="left"/>
      <w:pPr>
        <w:ind w:left="689" w:hanging="405"/>
      </w:pPr>
      <w:rPr>
        <w:rFonts w:ascii="Symbol" w:hAnsi="Symbol" w:hint="default"/>
      </w:rPr>
    </w:lvl>
    <w:lvl w:ilvl="1">
      <w:start w:val="1"/>
      <w:numFmt w:val="decimal"/>
      <w:lvlText w:val="%1.%2"/>
      <w:lvlJc w:val="left"/>
      <w:pPr>
        <w:ind w:left="1288"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216"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144" w:hanging="1440"/>
      </w:pPr>
      <w:rPr>
        <w:rFonts w:hint="default"/>
      </w:rPr>
    </w:lvl>
    <w:lvl w:ilvl="6">
      <w:start w:val="1"/>
      <w:numFmt w:val="decimal"/>
      <w:lvlText w:val="%1.%2.%3.%4.%5.%6.%7"/>
      <w:lvlJc w:val="left"/>
      <w:pPr>
        <w:ind w:left="3788" w:hanging="1800"/>
      </w:pPr>
      <w:rPr>
        <w:rFonts w:hint="default"/>
      </w:rPr>
    </w:lvl>
    <w:lvl w:ilvl="7">
      <w:start w:val="1"/>
      <w:numFmt w:val="decimal"/>
      <w:lvlText w:val="%1.%2.%3.%4.%5.%6.%7.%8"/>
      <w:lvlJc w:val="left"/>
      <w:pPr>
        <w:ind w:left="4072" w:hanging="1800"/>
      </w:pPr>
      <w:rPr>
        <w:rFonts w:hint="default"/>
      </w:rPr>
    </w:lvl>
    <w:lvl w:ilvl="8">
      <w:start w:val="1"/>
      <w:numFmt w:val="decimal"/>
      <w:lvlText w:val="%1.%2.%3.%4.%5.%6.%7.%8.%9"/>
      <w:lvlJc w:val="left"/>
      <w:pPr>
        <w:ind w:left="4716" w:hanging="2160"/>
      </w:pPr>
      <w:rPr>
        <w:rFonts w:hint="default"/>
      </w:rPr>
    </w:lvl>
  </w:abstractNum>
  <w:abstractNum w:abstractNumId="9" w15:restartNumberingAfterBreak="0">
    <w:nsid w:val="16AC07E2"/>
    <w:multiLevelType w:val="hybridMultilevel"/>
    <w:tmpl w:val="88F6E8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961154"/>
    <w:multiLevelType w:val="multilevel"/>
    <w:tmpl w:val="E37E1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AF4385"/>
    <w:multiLevelType w:val="hybridMultilevel"/>
    <w:tmpl w:val="4A82D9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02D059D"/>
    <w:multiLevelType w:val="hybridMultilevel"/>
    <w:tmpl w:val="F57082B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0BC71D7"/>
    <w:multiLevelType w:val="hybridMultilevel"/>
    <w:tmpl w:val="1D7C8398"/>
    <w:lvl w:ilvl="0" w:tplc="0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1E62A14"/>
    <w:multiLevelType w:val="multilevel"/>
    <w:tmpl w:val="EE4682EC"/>
    <w:lvl w:ilvl="0">
      <w:start w:val="1"/>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231C273A"/>
    <w:multiLevelType w:val="multilevel"/>
    <w:tmpl w:val="252457A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263214E2"/>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7" w15:restartNumberingAfterBreak="0">
    <w:nsid w:val="289D3C51"/>
    <w:multiLevelType w:val="hybridMultilevel"/>
    <w:tmpl w:val="3D3C78A2"/>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B580ACB"/>
    <w:multiLevelType w:val="hybridMultilevel"/>
    <w:tmpl w:val="7504AD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D76CF1"/>
    <w:multiLevelType w:val="hybridMultilevel"/>
    <w:tmpl w:val="F1201BAE"/>
    <w:lvl w:ilvl="0" w:tplc="67BE4D6E">
      <w:start w:val="1"/>
      <w:numFmt w:val="bullet"/>
      <w:lvlText w:val=""/>
      <w:lvlJc w:val="left"/>
      <w:pPr>
        <w:ind w:left="720"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D91B27"/>
    <w:multiLevelType w:val="hybridMultilevel"/>
    <w:tmpl w:val="E1E2238A"/>
    <w:lvl w:ilvl="0" w:tplc="829E7B70">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0">
    <w:nsid w:val="2ECD3108"/>
    <w:multiLevelType w:val="hybridMultilevel"/>
    <w:tmpl w:val="9DF89D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2604E1C"/>
    <w:multiLevelType w:val="hybridMultilevel"/>
    <w:tmpl w:val="994A1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AB41B5"/>
    <w:multiLevelType w:val="hybridMultilevel"/>
    <w:tmpl w:val="17741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9375E5"/>
    <w:multiLevelType w:val="multilevel"/>
    <w:tmpl w:val="618C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1D1A04"/>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6" w15:restartNumberingAfterBreak="0">
    <w:nsid w:val="454404B7"/>
    <w:multiLevelType w:val="hybridMultilevel"/>
    <w:tmpl w:val="0DCA4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3D6344"/>
    <w:multiLevelType w:val="hybridMultilevel"/>
    <w:tmpl w:val="09D2283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4C1F7F25"/>
    <w:multiLevelType w:val="hybridMultilevel"/>
    <w:tmpl w:val="6252389E"/>
    <w:lvl w:ilvl="0" w:tplc="1292AA2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8E60F2"/>
    <w:multiLevelType w:val="hybridMultilevel"/>
    <w:tmpl w:val="E2A68462"/>
    <w:lvl w:ilvl="0" w:tplc="3E466006">
      <w:start w:val="1"/>
      <w:numFmt w:val="bullet"/>
      <w:pStyle w:val="NoSpacing"/>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51A32831"/>
    <w:multiLevelType w:val="multilevel"/>
    <w:tmpl w:val="0FA8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152346"/>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2" w15:restartNumberingAfterBreak="0">
    <w:nsid w:val="64433016"/>
    <w:multiLevelType w:val="multilevel"/>
    <w:tmpl w:val="BEBE38D2"/>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15:restartNumberingAfterBreak="0">
    <w:nsid w:val="6B4E665B"/>
    <w:multiLevelType w:val="hybridMultilevel"/>
    <w:tmpl w:val="2054A2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3B11EA7"/>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5" w15:restartNumberingAfterBreak="0">
    <w:nsid w:val="73E746F4"/>
    <w:multiLevelType w:val="hybridMultilevel"/>
    <w:tmpl w:val="0CB849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5214679"/>
    <w:multiLevelType w:val="multilevel"/>
    <w:tmpl w:val="BAD4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D8D70D6"/>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8" w15:restartNumberingAfterBreak="0">
    <w:nsid w:val="7F5D6C85"/>
    <w:multiLevelType w:val="hybridMultilevel"/>
    <w:tmpl w:val="E988C7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86239161">
    <w:abstractNumId w:val="0"/>
  </w:num>
  <w:num w:numId="2" w16cid:durableId="1854223975">
    <w:abstractNumId w:val="7"/>
  </w:num>
  <w:num w:numId="3" w16cid:durableId="236719160">
    <w:abstractNumId w:val="17"/>
  </w:num>
  <w:num w:numId="4" w16cid:durableId="32073046">
    <w:abstractNumId w:val="9"/>
  </w:num>
  <w:num w:numId="5" w16cid:durableId="475798994">
    <w:abstractNumId w:val="15"/>
  </w:num>
  <w:num w:numId="6" w16cid:durableId="1527525351">
    <w:abstractNumId w:val="21"/>
  </w:num>
  <w:num w:numId="7" w16cid:durableId="509298668">
    <w:abstractNumId w:val="2"/>
  </w:num>
  <w:num w:numId="8" w16cid:durableId="550191105">
    <w:abstractNumId w:val="11"/>
  </w:num>
  <w:num w:numId="9" w16cid:durableId="1859660227">
    <w:abstractNumId w:val="13"/>
  </w:num>
  <w:num w:numId="10" w16cid:durableId="279725373">
    <w:abstractNumId w:val="19"/>
  </w:num>
  <w:num w:numId="11" w16cid:durableId="425465459">
    <w:abstractNumId w:val="35"/>
  </w:num>
  <w:num w:numId="12" w16cid:durableId="103617635">
    <w:abstractNumId w:val="4"/>
  </w:num>
  <w:num w:numId="13" w16cid:durableId="1288514446">
    <w:abstractNumId w:val="7"/>
  </w:num>
  <w:num w:numId="14" w16cid:durableId="1177815473">
    <w:abstractNumId w:val="7"/>
  </w:num>
  <w:num w:numId="15" w16cid:durableId="1211578666">
    <w:abstractNumId w:val="19"/>
    <w:lvlOverride w:ilvl="0">
      <w:startOverride w:val="1"/>
    </w:lvlOverride>
  </w:num>
  <w:num w:numId="16" w16cid:durableId="985473278">
    <w:abstractNumId w:val="30"/>
  </w:num>
  <w:num w:numId="17" w16cid:durableId="350255201">
    <w:abstractNumId w:val="36"/>
  </w:num>
  <w:num w:numId="18" w16cid:durableId="683090904">
    <w:abstractNumId w:val="5"/>
  </w:num>
  <w:num w:numId="19" w16cid:durableId="828787008">
    <w:abstractNumId w:val="24"/>
  </w:num>
  <w:num w:numId="20" w16cid:durableId="567350416">
    <w:abstractNumId w:val="10"/>
  </w:num>
  <w:num w:numId="21" w16cid:durableId="1609585879">
    <w:abstractNumId w:val="0"/>
  </w:num>
  <w:num w:numId="22" w16cid:durableId="552934090">
    <w:abstractNumId w:val="0"/>
  </w:num>
  <w:num w:numId="23" w16cid:durableId="153843638">
    <w:abstractNumId w:val="0"/>
  </w:num>
  <w:num w:numId="24" w16cid:durableId="1689865425">
    <w:abstractNumId w:val="3"/>
  </w:num>
  <w:num w:numId="25" w16cid:durableId="1074857861">
    <w:abstractNumId w:val="29"/>
  </w:num>
  <w:num w:numId="26" w16cid:durableId="1957809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6824953">
    <w:abstractNumId w:val="26"/>
  </w:num>
  <w:num w:numId="28" w16cid:durableId="1724215818">
    <w:abstractNumId w:val="32"/>
  </w:num>
  <w:num w:numId="29" w16cid:durableId="1192453217">
    <w:abstractNumId w:val="20"/>
  </w:num>
  <w:num w:numId="30" w16cid:durableId="2008555078">
    <w:abstractNumId w:val="1"/>
  </w:num>
  <w:num w:numId="31" w16cid:durableId="1681348590">
    <w:abstractNumId w:val="22"/>
  </w:num>
  <w:num w:numId="32" w16cid:durableId="1608613471">
    <w:abstractNumId w:val="8"/>
  </w:num>
  <w:num w:numId="33" w16cid:durableId="125896457">
    <w:abstractNumId w:val="34"/>
  </w:num>
  <w:num w:numId="34" w16cid:durableId="278033911">
    <w:abstractNumId w:val="25"/>
  </w:num>
  <w:num w:numId="35" w16cid:durableId="1322925397">
    <w:abstractNumId w:val="31"/>
  </w:num>
  <w:num w:numId="36" w16cid:durableId="1021660618">
    <w:abstractNumId w:val="37"/>
  </w:num>
  <w:num w:numId="37" w16cid:durableId="305746267">
    <w:abstractNumId w:val="16"/>
  </w:num>
  <w:num w:numId="38" w16cid:durableId="368729821">
    <w:abstractNumId w:val="6"/>
  </w:num>
  <w:num w:numId="39" w16cid:durableId="1712682167">
    <w:abstractNumId w:val="28"/>
  </w:num>
  <w:num w:numId="40" w16cid:durableId="792871203">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53655761">
    <w:abstractNumId w:val="23"/>
  </w:num>
  <w:num w:numId="42" w16cid:durableId="5507308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133517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21636686">
    <w:abstractNumId w:val="18"/>
  </w:num>
  <w:num w:numId="45" w16cid:durableId="996156014">
    <w:abstractNumId w:val="38"/>
  </w:num>
  <w:num w:numId="46" w16cid:durableId="1005402568">
    <w:abstractNumId w:val="33"/>
  </w:num>
  <w:num w:numId="47" w16cid:durableId="2029869017">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FCD"/>
    <w:rsid w:val="000109C1"/>
    <w:rsid w:val="0001619D"/>
    <w:rsid w:val="00033486"/>
    <w:rsid w:val="00051062"/>
    <w:rsid w:val="00056CA0"/>
    <w:rsid w:val="00060A02"/>
    <w:rsid w:val="00064ADE"/>
    <w:rsid w:val="000B7DE0"/>
    <w:rsid w:val="000C7735"/>
    <w:rsid w:val="000D34E6"/>
    <w:rsid w:val="000D38E8"/>
    <w:rsid w:val="000D43D8"/>
    <w:rsid w:val="000E5585"/>
    <w:rsid w:val="00110BE3"/>
    <w:rsid w:val="00113E61"/>
    <w:rsid w:val="0011491A"/>
    <w:rsid w:val="00134CD9"/>
    <w:rsid w:val="00150652"/>
    <w:rsid w:val="00153E7F"/>
    <w:rsid w:val="00154072"/>
    <w:rsid w:val="00162756"/>
    <w:rsid w:val="00166373"/>
    <w:rsid w:val="00166A15"/>
    <w:rsid w:val="00185BD9"/>
    <w:rsid w:val="001A0A39"/>
    <w:rsid w:val="001A114E"/>
    <w:rsid w:val="001D1E1D"/>
    <w:rsid w:val="001D7151"/>
    <w:rsid w:val="001F662B"/>
    <w:rsid w:val="002148B8"/>
    <w:rsid w:val="00277109"/>
    <w:rsid w:val="002D3A04"/>
    <w:rsid w:val="002E5309"/>
    <w:rsid w:val="002F151C"/>
    <w:rsid w:val="002F1F33"/>
    <w:rsid w:val="002F29D8"/>
    <w:rsid w:val="0030236C"/>
    <w:rsid w:val="003121DC"/>
    <w:rsid w:val="003349D6"/>
    <w:rsid w:val="00357CE5"/>
    <w:rsid w:val="00380691"/>
    <w:rsid w:val="00394ABF"/>
    <w:rsid w:val="003A13E3"/>
    <w:rsid w:val="003A583C"/>
    <w:rsid w:val="003B07F4"/>
    <w:rsid w:val="00411CAC"/>
    <w:rsid w:val="00413B15"/>
    <w:rsid w:val="004140E2"/>
    <w:rsid w:val="00414FFC"/>
    <w:rsid w:val="00415085"/>
    <w:rsid w:val="004929B2"/>
    <w:rsid w:val="00495BE0"/>
    <w:rsid w:val="0049615E"/>
    <w:rsid w:val="004B49D4"/>
    <w:rsid w:val="004C281A"/>
    <w:rsid w:val="004D590B"/>
    <w:rsid w:val="004F0B66"/>
    <w:rsid w:val="004F61C6"/>
    <w:rsid w:val="0053020F"/>
    <w:rsid w:val="00533E4C"/>
    <w:rsid w:val="00534181"/>
    <w:rsid w:val="00543E31"/>
    <w:rsid w:val="00547282"/>
    <w:rsid w:val="00584A1E"/>
    <w:rsid w:val="00596657"/>
    <w:rsid w:val="005A1E5E"/>
    <w:rsid w:val="005B40EC"/>
    <w:rsid w:val="005C1B49"/>
    <w:rsid w:val="005C4170"/>
    <w:rsid w:val="005C6171"/>
    <w:rsid w:val="005D56F6"/>
    <w:rsid w:val="005F3539"/>
    <w:rsid w:val="0061047C"/>
    <w:rsid w:val="00617E04"/>
    <w:rsid w:val="0062702B"/>
    <w:rsid w:val="00635132"/>
    <w:rsid w:val="00642B69"/>
    <w:rsid w:val="006431D9"/>
    <w:rsid w:val="00643C3E"/>
    <w:rsid w:val="00664005"/>
    <w:rsid w:val="006A499C"/>
    <w:rsid w:val="006B166D"/>
    <w:rsid w:val="006B5DC9"/>
    <w:rsid w:val="006B7635"/>
    <w:rsid w:val="006D70F9"/>
    <w:rsid w:val="006E7F24"/>
    <w:rsid w:val="006F24C1"/>
    <w:rsid w:val="006F4457"/>
    <w:rsid w:val="007043F3"/>
    <w:rsid w:val="00714F2A"/>
    <w:rsid w:val="00715C5C"/>
    <w:rsid w:val="00726497"/>
    <w:rsid w:val="007334CD"/>
    <w:rsid w:val="0073499A"/>
    <w:rsid w:val="00743E41"/>
    <w:rsid w:val="007507C3"/>
    <w:rsid w:val="00751598"/>
    <w:rsid w:val="00762AA6"/>
    <w:rsid w:val="00773296"/>
    <w:rsid w:val="007814E8"/>
    <w:rsid w:val="007C0904"/>
    <w:rsid w:val="007D0923"/>
    <w:rsid w:val="007E2E56"/>
    <w:rsid w:val="007F4AF3"/>
    <w:rsid w:val="00814EEC"/>
    <w:rsid w:val="0083509D"/>
    <w:rsid w:val="00851A2F"/>
    <w:rsid w:val="00866892"/>
    <w:rsid w:val="00871E00"/>
    <w:rsid w:val="00883DA9"/>
    <w:rsid w:val="00886AB8"/>
    <w:rsid w:val="0089574F"/>
    <w:rsid w:val="008A0130"/>
    <w:rsid w:val="008A2113"/>
    <w:rsid w:val="008A46C1"/>
    <w:rsid w:val="008A5733"/>
    <w:rsid w:val="008B6E31"/>
    <w:rsid w:val="008C6B48"/>
    <w:rsid w:val="008F41F4"/>
    <w:rsid w:val="009071CD"/>
    <w:rsid w:val="00942B94"/>
    <w:rsid w:val="00963E90"/>
    <w:rsid w:val="009A20B5"/>
    <w:rsid w:val="009B1B23"/>
    <w:rsid w:val="009B32A2"/>
    <w:rsid w:val="009D0AFD"/>
    <w:rsid w:val="00A10C95"/>
    <w:rsid w:val="00A20ACE"/>
    <w:rsid w:val="00A2164F"/>
    <w:rsid w:val="00A265D4"/>
    <w:rsid w:val="00A26C3D"/>
    <w:rsid w:val="00A2704C"/>
    <w:rsid w:val="00A310BD"/>
    <w:rsid w:val="00A34F21"/>
    <w:rsid w:val="00A41F5A"/>
    <w:rsid w:val="00A432D2"/>
    <w:rsid w:val="00A53F74"/>
    <w:rsid w:val="00A542BF"/>
    <w:rsid w:val="00A754D7"/>
    <w:rsid w:val="00A8126F"/>
    <w:rsid w:val="00A83442"/>
    <w:rsid w:val="00A876AA"/>
    <w:rsid w:val="00AA2F00"/>
    <w:rsid w:val="00AA2F43"/>
    <w:rsid w:val="00AA5018"/>
    <w:rsid w:val="00AB7598"/>
    <w:rsid w:val="00AD5392"/>
    <w:rsid w:val="00AE5C18"/>
    <w:rsid w:val="00AF7035"/>
    <w:rsid w:val="00B05D88"/>
    <w:rsid w:val="00B079E1"/>
    <w:rsid w:val="00B4018F"/>
    <w:rsid w:val="00B458E7"/>
    <w:rsid w:val="00B47657"/>
    <w:rsid w:val="00B57968"/>
    <w:rsid w:val="00B812C3"/>
    <w:rsid w:val="00B830E0"/>
    <w:rsid w:val="00B84BDB"/>
    <w:rsid w:val="00B91FD3"/>
    <w:rsid w:val="00B94D51"/>
    <w:rsid w:val="00B9677D"/>
    <w:rsid w:val="00BA01D8"/>
    <w:rsid w:val="00BC6C8E"/>
    <w:rsid w:val="00BD1509"/>
    <w:rsid w:val="00BE0113"/>
    <w:rsid w:val="00BF4BEA"/>
    <w:rsid w:val="00BF5A7B"/>
    <w:rsid w:val="00BF6B2C"/>
    <w:rsid w:val="00C000BA"/>
    <w:rsid w:val="00C04E5A"/>
    <w:rsid w:val="00C13EF5"/>
    <w:rsid w:val="00C36BE2"/>
    <w:rsid w:val="00C46834"/>
    <w:rsid w:val="00C74E28"/>
    <w:rsid w:val="00C80F3B"/>
    <w:rsid w:val="00C83210"/>
    <w:rsid w:val="00C91DC0"/>
    <w:rsid w:val="00CB0F83"/>
    <w:rsid w:val="00CD23B2"/>
    <w:rsid w:val="00CF2D40"/>
    <w:rsid w:val="00D13A80"/>
    <w:rsid w:val="00D14776"/>
    <w:rsid w:val="00D20A0B"/>
    <w:rsid w:val="00D20AE4"/>
    <w:rsid w:val="00D33572"/>
    <w:rsid w:val="00D54CBD"/>
    <w:rsid w:val="00D65ED7"/>
    <w:rsid w:val="00D94A99"/>
    <w:rsid w:val="00DA072A"/>
    <w:rsid w:val="00DA79EE"/>
    <w:rsid w:val="00DB1AB2"/>
    <w:rsid w:val="00DB6415"/>
    <w:rsid w:val="00DC4218"/>
    <w:rsid w:val="00DD02C4"/>
    <w:rsid w:val="00DD44D5"/>
    <w:rsid w:val="00DD790A"/>
    <w:rsid w:val="00DE404C"/>
    <w:rsid w:val="00DF46C5"/>
    <w:rsid w:val="00E03131"/>
    <w:rsid w:val="00E1066E"/>
    <w:rsid w:val="00E1346E"/>
    <w:rsid w:val="00E14581"/>
    <w:rsid w:val="00E150F3"/>
    <w:rsid w:val="00E421D6"/>
    <w:rsid w:val="00E71D87"/>
    <w:rsid w:val="00E71F8C"/>
    <w:rsid w:val="00E7724A"/>
    <w:rsid w:val="00E87D7A"/>
    <w:rsid w:val="00E9473C"/>
    <w:rsid w:val="00EC3B9A"/>
    <w:rsid w:val="00EC5717"/>
    <w:rsid w:val="00ED1F94"/>
    <w:rsid w:val="00ED586D"/>
    <w:rsid w:val="00F12BB3"/>
    <w:rsid w:val="00F16A46"/>
    <w:rsid w:val="00F425D0"/>
    <w:rsid w:val="00F44D12"/>
    <w:rsid w:val="00F61DFB"/>
    <w:rsid w:val="00F62BFF"/>
    <w:rsid w:val="00F823EE"/>
    <w:rsid w:val="00F848B1"/>
    <w:rsid w:val="00F84FCD"/>
    <w:rsid w:val="00F90B2E"/>
    <w:rsid w:val="00FA126E"/>
    <w:rsid w:val="00FA76C6"/>
    <w:rsid w:val="00FC28E0"/>
    <w:rsid w:val="00FD1B4F"/>
    <w:rsid w:val="0135C8A2"/>
    <w:rsid w:val="05D5E34F"/>
    <w:rsid w:val="0AF9E4E0"/>
    <w:rsid w:val="117B4FAD"/>
    <w:rsid w:val="123D1350"/>
    <w:rsid w:val="13DA19A2"/>
    <w:rsid w:val="195D85B9"/>
    <w:rsid w:val="1A07964B"/>
    <w:rsid w:val="1AAA944B"/>
    <w:rsid w:val="2BB47B08"/>
    <w:rsid w:val="2F52BCB5"/>
    <w:rsid w:val="2F93DDF7"/>
    <w:rsid w:val="301871E4"/>
    <w:rsid w:val="31E669CB"/>
    <w:rsid w:val="32919C7E"/>
    <w:rsid w:val="362B8187"/>
    <w:rsid w:val="3A15A614"/>
    <w:rsid w:val="3C204EFB"/>
    <w:rsid w:val="3CB71265"/>
    <w:rsid w:val="3CBEBD0A"/>
    <w:rsid w:val="417F3A71"/>
    <w:rsid w:val="45F50DE6"/>
    <w:rsid w:val="46B4C966"/>
    <w:rsid w:val="4974C60E"/>
    <w:rsid w:val="4A33B764"/>
    <w:rsid w:val="50D8925A"/>
    <w:rsid w:val="50F344E8"/>
    <w:rsid w:val="5337F902"/>
    <w:rsid w:val="5401BC45"/>
    <w:rsid w:val="60376A7A"/>
    <w:rsid w:val="61C9477D"/>
    <w:rsid w:val="666D2DDB"/>
    <w:rsid w:val="6B217131"/>
    <w:rsid w:val="6F053CEF"/>
    <w:rsid w:val="73DA0628"/>
    <w:rsid w:val="7618E4E1"/>
    <w:rsid w:val="779834A7"/>
    <w:rsid w:val="7843BC38"/>
    <w:rsid w:val="7BE273F7"/>
    <w:rsid w:val="7D558015"/>
    <w:rsid w:val="7F88FEF2"/>
    <w:rsid w:val="7FDFC6A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A88A3"/>
  <w15:chartTrackingRefBased/>
  <w15:docId w15:val="{61FC0289-C0F0-4CB7-B6D9-620F900D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B9A"/>
    <w:pPr>
      <w:spacing w:before="240" w:after="240" w:line="360" w:lineRule="auto"/>
    </w:pPr>
    <w:rPr>
      <w:rFonts w:ascii="Arial" w:hAnsi="Arial" w:cs="Arial"/>
      <w:lang w:eastAsia="en-AU"/>
    </w:rPr>
  </w:style>
  <w:style w:type="paragraph" w:styleId="Heading1">
    <w:name w:val="heading 1"/>
    <w:basedOn w:val="Normal"/>
    <w:link w:val="Heading1Char"/>
    <w:uiPriority w:val="9"/>
    <w:qFormat/>
    <w:rsid w:val="00E1066E"/>
    <w:pPr>
      <w:numPr>
        <w:numId w:val="1"/>
      </w:numPr>
      <w:shd w:val="clear" w:color="auto" w:fill="FFFFFF"/>
      <w:spacing w:after="120" w:line="240" w:lineRule="auto"/>
      <w:jc w:val="both"/>
      <w:outlineLvl w:val="0"/>
    </w:pPr>
    <w:rPr>
      <w:rFonts w:eastAsia="Times New Roman"/>
      <w:color w:val="000000"/>
      <w:sz w:val="36"/>
      <w:szCs w:val="36"/>
    </w:rPr>
  </w:style>
  <w:style w:type="paragraph" w:styleId="Heading2">
    <w:name w:val="heading 2"/>
    <w:basedOn w:val="Heading1"/>
    <w:next w:val="Normal"/>
    <w:link w:val="Heading2Char"/>
    <w:uiPriority w:val="9"/>
    <w:unhideWhenUsed/>
    <w:qFormat/>
    <w:rsid w:val="00C000BA"/>
    <w:pPr>
      <w:numPr>
        <w:ilvl w:val="1"/>
      </w:numPr>
      <w:ind w:left="397"/>
      <w:outlineLvl w:val="1"/>
    </w:pPr>
    <w:rPr>
      <w:sz w:val="28"/>
      <w:szCs w:val="27"/>
      <w:shd w:val="clear" w:color="auto" w:fill="FFFFFF"/>
    </w:rPr>
  </w:style>
  <w:style w:type="paragraph" w:styleId="Heading3">
    <w:name w:val="heading 3"/>
    <w:basedOn w:val="Heading1"/>
    <w:next w:val="Normal"/>
    <w:link w:val="Heading3Char"/>
    <w:uiPriority w:val="9"/>
    <w:unhideWhenUsed/>
    <w:qFormat/>
    <w:rsid w:val="005C6171"/>
    <w:pPr>
      <w:numPr>
        <w:ilvl w:val="2"/>
      </w:numPr>
      <w:outlineLvl w:val="2"/>
    </w:pPr>
    <w:rPr>
      <w:sz w:val="24"/>
      <w:shd w:val="clear" w:color="auto" w:fill="FFFFFF"/>
    </w:rPr>
  </w:style>
  <w:style w:type="paragraph" w:styleId="Heading4">
    <w:name w:val="heading 4"/>
    <w:basedOn w:val="Heading1"/>
    <w:next w:val="Normal"/>
    <w:link w:val="Heading4Char"/>
    <w:uiPriority w:val="9"/>
    <w:unhideWhenUsed/>
    <w:qFormat/>
    <w:rsid w:val="00F84FCD"/>
    <w:pPr>
      <w:numPr>
        <w:ilvl w:val="3"/>
      </w:numPr>
      <w:outlineLvl w:val="3"/>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066E"/>
    <w:pPr>
      <w:ind w:left="360" w:hanging="360"/>
      <w:jc w:val="both"/>
    </w:pPr>
    <w:rPr>
      <w:sz w:val="48"/>
    </w:rPr>
  </w:style>
  <w:style w:type="character" w:customStyle="1" w:styleId="TitleChar">
    <w:name w:val="Title Char"/>
    <w:basedOn w:val="DefaultParagraphFont"/>
    <w:link w:val="Title"/>
    <w:uiPriority w:val="10"/>
    <w:rsid w:val="00E1066E"/>
    <w:rPr>
      <w:rFonts w:ascii="Arial" w:hAnsi="Arial" w:cs="Arial"/>
      <w:sz w:val="48"/>
      <w:lang w:eastAsia="en-AU"/>
    </w:rPr>
  </w:style>
  <w:style w:type="character" w:customStyle="1" w:styleId="Heading1Char">
    <w:name w:val="Heading 1 Char"/>
    <w:basedOn w:val="DefaultParagraphFont"/>
    <w:link w:val="Heading1"/>
    <w:uiPriority w:val="9"/>
    <w:rsid w:val="00E1066E"/>
    <w:rPr>
      <w:rFonts w:ascii="Arial" w:eastAsia="Times New Roman" w:hAnsi="Arial" w:cs="Arial"/>
      <w:color w:val="000000"/>
      <w:sz w:val="36"/>
      <w:szCs w:val="36"/>
      <w:shd w:val="clear" w:color="auto" w:fill="FFFFFF"/>
      <w:lang w:eastAsia="en-AU"/>
    </w:rPr>
  </w:style>
  <w:style w:type="character" w:customStyle="1" w:styleId="Heading2Char">
    <w:name w:val="Heading 2 Char"/>
    <w:basedOn w:val="DefaultParagraphFont"/>
    <w:link w:val="Heading2"/>
    <w:uiPriority w:val="9"/>
    <w:rsid w:val="00C000BA"/>
    <w:rPr>
      <w:rFonts w:ascii="Arial" w:eastAsia="Times New Roman" w:hAnsi="Arial" w:cs="Arial"/>
      <w:color w:val="000000"/>
      <w:sz w:val="28"/>
      <w:szCs w:val="27"/>
      <w:shd w:val="clear" w:color="auto" w:fill="FFFFFF"/>
      <w:lang w:eastAsia="en-AU"/>
    </w:rPr>
  </w:style>
  <w:style w:type="character" w:customStyle="1" w:styleId="Heading3Char">
    <w:name w:val="Heading 3 Char"/>
    <w:basedOn w:val="DefaultParagraphFont"/>
    <w:link w:val="Heading3"/>
    <w:uiPriority w:val="9"/>
    <w:rsid w:val="005C6171"/>
    <w:rPr>
      <w:rFonts w:ascii="Arial" w:eastAsia="Times New Roman" w:hAnsi="Arial" w:cs="Arial"/>
      <w:color w:val="000000"/>
      <w:sz w:val="24"/>
      <w:szCs w:val="36"/>
      <w:shd w:val="clear" w:color="auto" w:fill="FFFFFF"/>
      <w:lang w:eastAsia="en-AU"/>
    </w:rPr>
  </w:style>
  <w:style w:type="character" w:customStyle="1" w:styleId="Heading4Char">
    <w:name w:val="Heading 4 Char"/>
    <w:basedOn w:val="DefaultParagraphFont"/>
    <w:link w:val="Heading4"/>
    <w:uiPriority w:val="9"/>
    <w:rsid w:val="00F84FCD"/>
    <w:rPr>
      <w:rFonts w:ascii="Century Gothic" w:eastAsia="Times New Roman" w:hAnsi="Century Gothic" w:cs="Helvetica"/>
      <w:color w:val="000000"/>
      <w:szCs w:val="36"/>
      <w:shd w:val="clear" w:color="auto" w:fill="FFFFFF"/>
      <w:lang w:eastAsia="en-AU"/>
    </w:rPr>
  </w:style>
  <w:style w:type="paragraph" w:styleId="ListParagraph">
    <w:name w:val="List Paragraph"/>
    <w:basedOn w:val="Normal"/>
    <w:uiPriority w:val="34"/>
    <w:qFormat/>
    <w:rsid w:val="00871E00"/>
    <w:pPr>
      <w:numPr>
        <w:numId w:val="2"/>
      </w:numPr>
    </w:pPr>
  </w:style>
  <w:style w:type="paragraph" w:styleId="Subtitle">
    <w:name w:val="Subtitle"/>
    <w:basedOn w:val="Normal"/>
    <w:next w:val="Normal"/>
    <w:link w:val="SubtitleChar"/>
    <w:uiPriority w:val="11"/>
    <w:qFormat/>
    <w:rsid w:val="00D14776"/>
    <w:pPr>
      <w:shd w:val="clear" w:color="auto" w:fill="FFFFFF"/>
      <w:spacing w:after="160" w:line="240" w:lineRule="auto"/>
      <w:jc w:val="both"/>
    </w:pPr>
    <w:rPr>
      <w:rFonts w:ascii="Helvetica" w:eastAsia="Times New Roman" w:hAnsi="Helvetica" w:cs="Helvetica"/>
      <w:color w:val="707070"/>
      <w:szCs w:val="20"/>
    </w:rPr>
  </w:style>
  <w:style w:type="character" w:customStyle="1" w:styleId="SubtitleChar">
    <w:name w:val="Subtitle Char"/>
    <w:basedOn w:val="DefaultParagraphFont"/>
    <w:link w:val="Subtitle"/>
    <w:uiPriority w:val="11"/>
    <w:rsid w:val="00D14776"/>
    <w:rPr>
      <w:rFonts w:ascii="Helvetica" w:eastAsia="Times New Roman" w:hAnsi="Helvetica" w:cs="Helvetica"/>
      <w:color w:val="707070"/>
      <w:sz w:val="20"/>
      <w:szCs w:val="20"/>
      <w:shd w:val="clear" w:color="auto" w:fill="FFFFFF"/>
      <w:lang w:eastAsia="en-AU"/>
    </w:rPr>
  </w:style>
  <w:style w:type="paragraph" w:styleId="Header">
    <w:name w:val="header"/>
    <w:basedOn w:val="Normal"/>
    <w:link w:val="HeaderChar"/>
    <w:rsid w:val="00D14776"/>
    <w:pPr>
      <w:tabs>
        <w:tab w:val="center" w:pos="4153"/>
        <w:tab w:val="right" w:pos="8306"/>
      </w:tabs>
      <w:spacing w:after="0" w:line="240" w:lineRule="auto"/>
    </w:pPr>
    <w:rPr>
      <w:rFonts w:ascii="Times New Roman" w:eastAsia="Times New Roman" w:hAnsi="Times New Roman" w:cs="Times New Roman"/>
      <w:szCs w:val="20"/>
      <w:lang w:val="en-US" w:eastAsia="en-US"/>
    </w:rPr>
  </w:style>
  <w:style w:type="character" w:customStyle="1" w:styleId="HeaderChar">
    <w:name w:val="Header Char"/>
    <w:basedOn w:val="DefaultParagraphFont"/>
    <w:link w:val="Header"/>
    <w:rsid w:val="00D14776"/>
    <w:rPr>
      <w:rFonts w:ascii="Times New Roman" w:eastAsia="Times New Roman" w:hAnsi="Times New Roman" w:cs="Times New Roman"/>
      <w:sz w:val="20"/>
      <w:szCs w:val="20"/>
      <w:lang w:val="en-US"/>
    </w:rPr>
  </w:style>
  <w:style w:type="paragraph" w:styleId="Footer">
    <w:name w:val="footer"/>
    <w:basedOn w:val="Normal"/>
    <w:link w:val="FooterChar"/>
    <w:uiPriority w:val="99"/>
    <w:rsid w:val="00D14776"/>
    <w:pPr>
      <w:tabs>
        <w:tab w:val="center" w:pos="4153"/>
        <w:tab w:val="right" w:pos="8306"/>
      </w:tabs>
      <w:spacing w:after="0" w:line="240" w:lineRule="auto"/>
    </w:pPr>
    <w:rPr>
      <w:rFonts w:ascii="Times New Roman" w:eastAsia="Times New Roman" w:hAnsi="Times New Roman" w:cs="Times New Roman"/>
      <w:szCs w:val="20"/>
      <w:lang w:val="en-US" w:eastAsia="en-US"/>
    </w:rPr>
  </w:style>
  <w:style w:type="character" w:customStyle="1" w:styleId="FooterChar">
    <w:name w:val="Footer Char"/>
    <w:basedOn w:val="DefaultParagraphFont"/>
    <w:link w:val="Footer"/>
    <w:uiPriority w:val="99"/>
    <w:rsid w:val="00D14776"/>
    <w:rPr>
      <w:rFonts w:ascii="Times New Roman" w:eastAsia="Times New Roman" w:hAnsi="Times New Roman" w:cs="Times New Roman"/>
      <w:sz w:val="20"/>
      <w:szCs w:val="20"/>
      <w:lang w:val="en-US"/>
    </w:rPr>
  </w:style>
  <w:style w:type="character" w:styleId="Hyperlink">
    <w:name w:val="Hyperlink"/>
    <w:rsid w:val="00D14776"/>
    <w:rPr>
      <w:color w:val="0000FF"/>
      <w:u w:val="single"/>
    </w:rPr>
  </w:style>
  <w:style w:type="paragraph" w:styleId="NoSpacing">
    <w:name w:val="No Spacing"/>
    <w:basedOn w:val="ListParagraph"/>
    <w:uiPriority w:val="1"/>
    <w:qFormat/>
    <w:rsid w:val="00A53F74"/>
    <w:pPr>
      <w:numPr>
        <w:numId w:val="25"/>
      </w:numPr>
      <w:ind w:left="723"/>
    </w:pPr>
    <w:rPr>
      <w:shd w:val="clear" w:color="auto" w:fill="FFFFFF"/>
    </w:rPr>
  </w:style>
  <w:style w:type="paragraph" w:styleId="BalloonText">
    <w:name w:val="Balloon Text"/>
    <w:basedOn w:val="Normal"/>
    <w:link w:val="BalloonTextChar"/>
    <w:uiPriority w:val="99"/>
    <w:semiHidden/>
    <w:unhideWhenUsed/>
    <w:rsid w:val="00FD1B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B4F"/>
    <w:rPr>
      <w:rFonts w:ascii="Segoe UI" w:hAnsi="Segoe UI" w:cs="Segoe UI"/>
      <w:sz w:val="18"/>
      <w:szCs w:val="18"/>
      <w:lang w:eastAsia="en-AU"/>
    </w:rPr>
  </w:style>
  <w:style w:type="character" w:styleId="CommentReference">
    <w:name w:val="annotation reference"/>
    <w:basedOn w:val="DefaultParagraphFont"/>
    <w:uiPriority w:val="99"/>
    <w:semiHidden/>
    <w:unhideWhenUsed/>
    <w:rsid w:val="0001619D"/>
    <w:rPr>
      <w:sz w:val="16"/>
      <w:szCs w:val="16"/>
    </w:rPr>
  </w:style>
  <w:style w:type="paragraph" w:styleId="CommentText">
    <w:name w:val="annotation text"/>
    <w:basedOn w:val="Normal"/>
    <w:link w:val="CommentTextChar"/>
    <w:uiPriority w:val="99"/>
    <w:unhideWhenUsed/>
    <w:rsid w:val="0001619D"/>
    <w:pPr>
      <w:spacing w:line="240" w:lineRule="auto"/>
    </w:pPr>
    <w:rPr>
      <w:sz w:val="20"/>
      <w:szCs w:val="20"/>
    </w:rPr>
  </w:style>
  <w:style w:type="character" w:customStyle="1" w:styleId="CommentTextChar">
    <w:name w:val="Comment Text Char"/>
    <w:basedOn w:val="DefaultParagraphFont"/>
    <w:link w:val="CommentText"/>
    <w:uiPriority w:val="99"/>
    <w:rsid w:val="0001619D"/>
    <w:rPr>
      <w:rFonts w:ascii="Garamond" w:hAnsi="Garamond"/>
      <w:sz w:val="20"/>
      <w:szCs w:val="20"/>
      <w:lang w:eastAsia="en-AU"/>
    </w:rPr>
  </w:style>
  <w:style w:type="paragraph" w:styleId="CommentSubject">
    <w:name w:val="annotation subject"/>
    <w:basedOn w:val="CommentText"/>
    <w:next w:val="CommentText"/>
    <w:link w:val="CommentSubjectChar"/>
    <w:uiPriority w:val="99"/>
    <w:semiHidden/>
    <w:unhideWhenUsed/>
    <w:rsid w:val="0001619D"/>
    <w:rPr>
      <w:b/>
      <w:bCs/>
    </w:rPr>
  </w:style>
  <w:style w:type="character" w:customStyle="1" w:styleId="CommentSubjectChar">
    <w:name w:val="Comment Subject Char"/>
    <w:basedOn w:val="CommentTextChar"/>
    <w:link w:val="CommentSubject"/>
    <w:uiPriority w:val="99"/>
    <w:semiHidden/>
    <w:rsid w:val="0001619D"/>
    <w:rPr>
      <w:rFonts w:ascii="Garamond" w:hAnsi="Garamond"/>
      <w:b/>
      <w:bCs/>
      <w:sz w:val="20"/>
      <w:szCs w:val="20"/>
      <w:lang w:eastAsia="en-AU"/>
    </w:rPr>
  </w:style>
  <w:style w:type="table" w:styleId="TableGrid">
    <w:name w:val="Table Grid"/>
    <w:basedOn w:val="TableNormal"/>
    <w:uiPriority w:val="59"/>
    <w:rsid w:val="00CD2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507C3"/>
    <w:rPr>
      <w:color w:val="808080"/>
    </w:rPr>
  </w:style>
  <w:style w:type="table" w:styleId="ListTable3-Accent1">
    <w:name w:val="List Table 3 Accent 1"/>
    <w:basedOn w:val="TableNormal"/>
    <w:uiPriority w:val="48"/>
    <w:rsid w:val="00A53F74"/>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SubtleEmphasis">
    <w:name w:val="Subtle Emphasis"/>
    <w:basedOn w:val="DefaultParagraphFont"/>
    <w:uiPriority w:val="19"/>
    <w:qFormat/>
    <w:rsid w:val="00C000BA"/>
    <w:rPr>
      <w:i/>
      <w:iCs/>
      <w:color w:val="404040" w:themeColor="text1" w:themeTint="BF"/>
    </w:rPr>
  </w:style>
  <w:style w:type="character" w:styleId="Emphasis">
    <w:name w:val="Emphasis"/>
    <w:basedOn w:val="DefaultParagraphFont"/>
    <w:uiPriority w:val="20"/>
    <w:qFormat/>
    <w:rsid w:val="00C000BA"/>
    <w:rPr>
      <w:i/>
      <w:iCs/>
    </w:rPr>
  </w:style>
  <w:style w:type="paragraph" w:styleId="Caption">
    <w:name w:val="caption"/>
    <w:basedOn w:val="Normal"/>
    <w:next w:val="Normal"/>
    <w:uiPriority w:val="35"/>
    <w:unhideWhenUsed/>
    <w:qFormat/>
    <w:rsid w:val="00C000BA"/>
    <w:pPr>
      <w:spacing w:before="0" w:after="200" w:line="240" w:lineRule="auto"/>
    </w:pPr>
    <w:rPr>
      <w:i/>
      <w:iCs/>
      <w:color w:val="1F497D" w:themeColor="text2"/>
      <w:sz w:val="18"/>
      <w:szCs w:val="18"/>
    </w:rPr>
  </w:style>
  <w:style w:type="character" w:styleId="Strong">
    <w:name w:val="Strong"/>
    <w:basedOn w:val="DefaultParagraphFont"/>
    <w:uiPriority w:val="22"/>
    <w:qFormat/>
    <w:rsid w:val="00BE0113"/>
    <w:rPr>
      <w:b/>
      <w:bCs/>
    </w:rPr>
  </w:style>
  <w:style w:type="paragraph" w:styleId="FootnoteText">
    <w:name w:val="footnote text"/>
    <w:basedOn w:val="Normal"/>
    <w:link w:val="FootnoteTextChar"/>
    <w:uiPriority w:val="99"/>
    <w:semiHidden/>
    <w:unhideWhenUsed/>
    <w:rsid w:val="00B458E7"/>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B458E7"/>
    <w:rPr>
      <w:rFonts w:ascii="Arial" w:hAnsi="Arial" w:cs="Arial"/>
      <w:sz w:val="20"/>
      <w:szCs w:val="20"/>
      <w:lang w:eastAsia="en-AU"/>
    </w:rPr>
  </w:style>
  <w:style w:type="character" w:styleId="FootnoteReference">
    <w:name w:val="footnote reference"/>
    <w:basedOn w:val="DefaultParagraphFont"/>
    <w:uiPriority w:val="99"/>
    <w:semiHidden/>
    <w:unhideWhenUsed/>
    <w:rsid w:val="00B458E7"/>
    <w:rPr>
      <w:vertAlign w:val="superscript"/>
    </w:rPr>
  </w:style>
  <w:style w:type="character" w:styleId="UnresolvedMention">
    <w:name w:val="Unresolved Mention"/>
    <w:basedOn w:val="DefaultParagraphFont"/>
    <w:uiPriority w:val="99"/>
    <w:semiHidden/>
    <w:unhideWhenUsed/>
    <w:rsid w:val="000C7735"/>
    <w:rPr>
      <w:color w:val="605E5C"/>
      <w:shd w:val="clear" w:color="auto" w:fill="E1DFDD"/>
    </w:rPr>
  </w:style>
  <w:style w:type="paragraph" w:styleId="Revision">
    <w:name w:val="Revision"/>
    <w:hidden/>
    <w:uiPriority w:val="99"/>
    <w:semiHidden/>
    <w:rsid w:val="00DD44D5"/>
    <w:pPr>
      <w:spacing w:after="0" w:line="240" w:lineRule="auto"/>
    </w:pPr>
    <w:rPr>
      <w:rFonts w:ascii="Arial" w:hAnsi="Arial" w:cs="Arial"/>
      <w:lang w:eastAsia="en-AU"/>
    </w:rPr>
  </w:style>
  <w:style w:type="table" w:styleId="GridTable4-Accent1">
    <w:name w:val="Grid Table 4 Accent 1"/>
    <w:basedOn w:val="TableNormal"/>
    <w:uiPriority w:val="49"/>
    <w:rsid w:val="00185BD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32706">
      <w:bodyDiv w:val="1"/>
      <w:marLeft w:val="0"/>
      <w:marRight w:val="0"/>
      <w:marTop w:val="0"/>
      <w:marBottom w:val="0"/>
      <w:divBdr>
        <w:top w:val="none" w:sz="0" w:space="0" w:color="auto"/>
        <w:left w:val="none" w:sz="0" w:space="0" w:color="auto"/>
        <w:bottom w:val="none" w:sz="0" w:space="0" w:color="auto"/>
        <w:right w:val="none" w:sz="0" w:space="0" w:color="auto"/>
      </w:divBdr>
    </w:div>
    <w:div w:id="124157102">
      <w:bodyDiv w:val="1"/>
      <w:marLeft w:val="0"/>
      <w:marRight w:val="0"/>
      <w:marTop w:val="0"/>
      <w:marBottom w:val="0"/>
      <w:divBdr>
        <w:top w:val="none" w:sz="0" w:space="0" w:color="auto"/>
        <w:left w:val="none" w:sz="0" w:space="0" w:color="auto"/>
        <w:bottom w:val="none" w:sz="0" w:space="0" w:color="auto"/>
        <w:right w:val="none" w:sz="0" w:space="0" w:color="auto"/>
      </w:divBdr>
    </w:div>
    <w:div w:id="408969548">
      <w:bodyDiv w:val="1"/>
      <w:marLeft w:val="0"/>
      <w:marRight w:val="0"/>
      <w:marTop w:val="0"/>
      <w:marBottom w:val="0"/>
      <w:divBdr>
        <w:top w:val="none" w:sz="0" w:space="0" w:color="auto"/>
        <w:left w:val="none" w:sz="0" w:space="0" w:color="auto"/>
        <w:bottom w:val="none" w:sz="0" w:space="0" w:color="auto"/>
        <w:right w:val="none" w:sz="0" w:space="0" w:color="auto"/>
      </w:divBdr>
    </w:div>
    <w:div w:id="546260485">
      <w:bodyDiv w:val="1"/>
      <w:marLeft w:val="0"/>
      <w:marRight w:val="0"/>
      <w:marTop w:val="0"/>
      <w:marBottom w:val="0"/>
      <w:divBdr>
        <w:top w:val="none" w:sz="0" w:space="0" w:color="auto"/>
        <w:left w:val="none" w:sz="0" w:space="0" w:color="auto"/>
        <w:bottom w:val="none" w:sz="0" w:space="0" w:color="auto"/>
        <w:right w:val="none" w:sz="0" w:space="0" w:color="auto"/>
      </w:divBdr>
    </w:div>
    <w:div w:id="955405786">
      <w:bodyDiv w:val="1"/>
      <w:marLeft w:val="0"/>
      <w:marRight w:val="0"/>
      <w:marTop w:val="0"/>
      <w:marBottom w:val="0"/>
      <w:divBdr>
        <w:top w:val="none" w:sz="0" w:space="0" w:color="auto"/>
        <w:left w:val="none" w:sz="0" w:space="0" w:color="auto"/>
        <w:bottom w:val="none" w:sz="0" w:space="0" w:color="auto"/>
        <w:right w:val="none" w:sz="0" w:space="0" w:color="auto"/>
      </w:divBdr>
    </w:div>
    <w:div w:id="1177648146">
      <w:bodyDiv w:val="1"/>
      <w:marLeft w:val="0"/>
      <w:marRight w:val="0"/>
      <w:marTop w:val="0"/>
      <w:marBottom w:val="0"/>
      <w:divBdr>
        <w:top w:val="none" w:sz="0" w:space="0" w:color="auto"/>
        <w:left w:val="none" w:sz="0" w:space="0" w:color="auto"/>
        <w:bottom w:val="none" w:sz="0" w:space="0" w:color="auto"/>
        <w:right w:val="none" w:sz="0" w:space="0" w:color="auto"/>
      </w:divBdr>
    </w:div>
    <w:div w:id="1223758133">
      <w:bodyDiv w:val="1"/>
      <w:marLeft w:val="0"/>
      <w:marRight w:val="0"/>
      <w:marTop w:val="0"/>
      <w:marBottom w:val="0"/>
      <w:divBdr>
        <w:top w:val="none" w:sz="0" w:space="0" w:color="auto"/>
        <w:left w:val="none" w:sz="0" w:space="0" w:color="auto"/>
        <w:bottom w:val="none" w:sz="0" w:space="0" w:color="auto"/>
        <w:right w:val="none" w:sz="0" w:space="0" w:color="auto"/>
      </w:divBdr>
    </w:div>
    <w:div w:id="1479960188">
      <w:bodyDiv w:val="1"/>
      <w:marLeft w:val="0"/>
      <w:marRight w:val="0"/>
      <w:marTop w:val="0"/>
      <w:marBottom w:val="0"/>
      <w:divBdr>
        <w:top w:val="none" w:sz="0" w:space="0" w:color="auto"/>
        <w:left w:val="none" w:sz="0" w:space="0" w:color="auto"/>
        <w:bottom w:val="none" w:sz="0" w:space="0" w:color="auto"/>
        <w:right w:val="none" w:sz="0" w:space="0" w:color="auto"/>
      </w:divBdr>
    </w:div>
    <w:div w:id="1741173667">
      <w:bodyDiv w:val="1"/>
      <w:marLeft w:val="0"/>
      <w:marRight w:val="0"/>
      <w:marTop w:val="0"/>
      <w:marBottom w:val="0"/>
      <w:divBdr>
        <w:top w:val="none" w:sz="0" w:space="0" w:color="auto"/>
        <w:left w:val="none" w:sz="0" w:space="0" w:color="auto"/>
        <w:bottom w:val="none" w:sz="0" w:space="0" w:color="auto"/>
        <w:right w:val="none" w:sz="0" w:space="0" w:color="auto"/>
      </w:divBdr>
    </w:div>
    <w:div w:id="1893536180">
      <w:bodyDiv w:val="1"/>
      <w:marLeft w:val="0"/>
      <w:marRight w:val="0"/>
      <w:marTop w:val="0"/>
      <w:marBottom w:val="0"/>
      <w:divBdr>
        <w:top w:val="none" w:sz="0" w:space="0" w:color="auto"/>
        <w:left w:val="none" w:sz="0" w:space="0" w:color="auto"/>
        <w:bottom w:val="none" w:sz="0" w:space="0" w:color="auto"/>
        <w:right w:val="none" w:sz="0" w:space="0" w:color="auto"/>
      </w:divBdr>
    </w:div>
    <w:div w:id="2016765356">
      <w:bodyDiv w:val="1"/>
      <w:marLeft w:val="0"/>
      <w:marRight w:val="0"/>
      <w:marTop w:val="0"/>
      <w:marBottom w:val="0"/>
      <w:divBdr>
        <w:top w:val="none" w:sz="0" w:space="0" w:color="auto"/>
        <w:left w:val="none" w:sz="0" w:space="0" w:color="auto"/>
        <w:bottom w:val="none" w:sz="0" w:space="0" w:color="auto"/>
        <w:right w:val="none" w:sz="0" w:space="0" w:color="auto"/>
      </w:divBdr>
    </w:div>
    <w:div w:id="204459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med.ncbi.nlm.nih.gov/143124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ademic.oup.com/cid/article/48/12/1669/32022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botulism/pdf/bot-manual.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bi.nlm.nih.gov/pmc/articles/PMC147198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48bfc06-5762-4cfb-85f8-969387ebc8ab">
      <UserInfo>
        <DisplayName>Norelle Sherry</DisplayName>
        <AccountId>56</AccountId>
        <AccountType/>
      </UserInfo>
      <UserInfo>
        <DisplayName>Porter, Michelle</DisplayName>
        <AccountId>106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F22E431BBE12409AFF64C86A6197B7" ma:contentTypeVersion="7" ma:contentTypeDescription="Create a new document." ma:contentTypeScope="" ma:versionID="b0cb394a09027cb113278862a58f0b25">
  <xsd:schema xmlns:xsd="http://www.w3.org/2001/XMLSchema" xmlns:xs="http://www.w3.org/2001/XMLSchema" xmlns:p="http://schemas.microsoft.com/office/2006/metadata/properties" xmlns:ns2="0ebf5690-dfa9-46aa-9761-8b851342f711" xmlns:ns3="d48bfc06-5762-4cfb-85f8-969387ebc8ab" targetNamespace="http://schemas.microsoft.com/office/2006/metadata/properties" ma:root="true" ma:fieldsID="c91a5327445b8a4e39ca9aa0430f10cc" ns2:_="" ns3:_="">
    <xsd:import namespace="0ebf5690-dfa9-46aa-9761-8b851342f711"/>
    <xsd:import namespace="d48bfc06-5762-4cfb-85f8-969387ebc8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f5690-dfa9-46aa-9761-8b851342f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8bfc06-5762-4cfb-85f8-969387ebc8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60147-F05C-4F13-9872-256A425961F0}">
  <ds:schemaRefs>
    <ds:schemaRef ds:uri="http://purl.org/dc/terms/"/>
    <ds:schemaRef ds:uri="0ebf5690-dfa9-46aa-9761-8b851342f711"/>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48bfc06-5762-4cfb-85f8-969387ebc8ab"/>
    <ds:schemaRef ds:uri="http://www.w3.org/XML/1998/namespace"/>
  </ds:schemaRefs>
</ds:datastoreItem>
</file>

<file path=customXml/itemProps2.xml><?xml version="1.0" encoding="utf-8"?>
<ds:datastoreItem xmlns:ds="http://schemas.openxmlformats.org/officeDocument/2006/customXml" ds:itemID="{F60F378D-1A33-4470-9E24-E29334E150A9}">
  <ds:schemaRefs>
    <ds:schemaRef ds:uri="http://schemas.microsoft.com/sharepoint/v3/contenttype/forms"/>
  </ds:schemaRefs>
</ds:datastoreItem>
</file>

<file path=customXml/itemProps3.xml><?xml version="1.0" encoding="utf-8"?>
<ds:datastoreItem xmlns:ds="http://schemas.openxmlformats.org/officeDocument/2006/customXml" ds:itemID="{5708721B-9E42-4F40-9212-EA695C411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f5690-dfa9-46aa-9761-8b851342f711"/>
    <ds:schemaRef ds:uri="d48bfc06-5762-4cfb-85f8-969387ebc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FFF82A-E655-4FC5-8C9D-8827F78BC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3316</Words>
  <Characters>19293</Characters>
  <Application>Microsoft Office Word</Application>
  <DocSecurity>0</DocSecurity>
  <Lines>385</Lines>
  <Paragraphs>173</Paragraphs>
  <ScaleCrop>false</ScaleCrop>
  <HeadingPairs>
    <vt:vector size="2" baseType="variant">
      <vt:variant>
        <vt:lpstr>Title</vt:lpstr>
      </vt:variant>
      <vt:variant>
        <vt:i4>1</vt:i4>
      </vt:variant>
    </vt:vector>
  </HeadingPairs>
  <TitlesOfParts>
    <vt:vector size="1" baseType="lpstr">
      <vt:lpstr>Botulism – Laboratory case definition</vt:lpstr>
    </vt:vector>
  </TitlesOfParts>
  <Company/>
  <LinksUpToDate>false</LinksUpToDate>
  <CharactersWithSpaces>22573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Botulism – Laboratory case definition</dc:title>
  <dc:subject>Communicable dieases</dc:subject>
  <dc:creator>Australian Government Department of Health and Aged Care</dc:creator>
  <cp:keywords>Communicable dieases; Botulism</cp:keywords>
  <dc:description/>
  <cp:revision>3</cp:revision>
  <cp:lastPrinted>2024-04-11T00:46:00Z</cp:lastPrinted>
  <dcterms:created xsi:type="dcterms:W3CDTF">2024-05-16T02:21:00Z</dcterms:created>
  <dcterms:modified xsi:type="dcterms:W3CDTF">2024-05-17T00:42:00Z</dcterms:modified>
</cp:coreProperties>
</file>