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2C0825D9" w:rsidR="001A6DD1" w:rsidRDefault="001A6DD1" w:rsidP="00FD7ABF">
      <w:pPr>
        <w:pStyle w:val="Heading1"/>
        <w:spacing w:after="240"/>
        <w:contextualSpacing/>
      </w:pPr>
      <w:r w:rsidRPr="005C0FEE">
        <w:t>Pharmaceutical Benefits Scheme</w:t>
      </w:r>
      <w:r w:rsidR="00FD7ABF">
        <w:t xml:space="preserve"> – </w:t>
      </w:r>
      <w:r>
        <w:t xml:space="preserve">Biosimilar </w:t>
      </w:r>
      <w:r w:rsidR="00950D49">
        <w:t>Teriparatide</w:t>
      </w:r>
    </w:p>
    <w:p w14:paraId="1A956E20" w14:textId="77687929" w:rsidR="00950D49" w:rsidRDefault="00950D49" w:rsidP="00950D49">
      <w:pPr>
        <w:rPr>
          <w:lang w:eastAsia="ko-KR"/>
        </w:rPr>
      </w:pPr>
      <w:r>
        <w:rPr>
          <w:lang w:eastAsia="ko-KR"/>
        </w:rPr>
        <w:t>Terrosa</w:t>
      </w:r>
      <w:r>
        <w:rPr>
          <w:vertAlign w:val="superscript"/>
        </w:rPr>
        <w:t>®</w:t>
      </w:r>
      <w:r>
        <w:rPr>
          <w:lang w:eastAsia="ko-KR"/>
        </w:rPr>
        <w:t xml:space="preserve"> </w:t>
      </w:r>
      <w:r w:rsidR="00525003">
        <w:rPr>
          <w:lang w:eastAsia="ko-KR"/>
        </w:rPr>
        <w:t>and Teriparatide</w:t>
      </w:r>
      <w:r w:rsidR="00867DDD">
        <w:rPr>
          <w:lang w:eastAsia="ko-KR"/>
        </w:rPr>
        <w:t> </w:t>
      </w:r>
      <w:r w:rsidR="00525003">
        <w:rPr>
          <w:lang w:eastAsia="ko-KR"/>
        </w:rPr>
        <w:t>Lupin</w:t>
      </w:r>
      <w:r w:rsidR="00525003">
        <w:rPr>
          <w:vertAlign w:val="superscript"/>
        </w:rPr>
        <w:t>®</w:t>
      </w:r>
      <w:r w:rsidR="00525003">
        <w:rPr>
          <w:lang w:eastAsia="ko-KR"/>
        </w:rPr>
        <w:t xml:space="preserve"> are</w:t>
      </w:r>
      <w:r>
        <w:rPr>
          <w:lang w:eastAsia="ko-KR"/>
        </w:rPr>
        <w:t xml:space="preserve"> biosimilar brand</w:t>
      </w:r>
      <w:r w:rsidR="00525003">
        <w:rPr>
          <w:lang w:eastAsia="ko-KR"/>
        </w:rPr>
        <w:t>s</w:t>
      </w:r>
      <w:r>
        <w:rPr>
          <w:lang w:eastAsia="ko-KR"/>
        </w:rPr>
        <w:t xml:space="preserve"> of teriparatide which w</w:t>
      </w:r>
      <w:r w:rsidR="00D2632B">
        <w:rPr>
          <w:lang w:eastAsia="ko-KR"/>
        </w:rPr>
        <w:t>ere</w:t>
      </w:r>
      <w:r>
        <w:rPr>
          <w:lang w:eastAsia="ko-KR"/>
        </w:rPr>
        <w:t xml:space="preserve"> listed on the Pharmaceutical Benefits Scheme (PBS) on 1 October 2021</w:t>
      </w:r>
      <w:r w:rsidR="00D2632B">
        <w:rPr>
          <w:lang w:eastAsia="ko-KR"/>
        </w:rPr>
        <w:t xml:space="preserve"> and 1 May 2024 respectively</w:t>
      </w:r>
      <w:r>
        <w:rPr>
          <w:lang w:eastAsia="ko-KR"/>
        </w:rPr>
        <w:t>. Th</w:t>
      </w:r>
      <w:r w:rsidR="00D2632B">
        <w:rPr>
          <w:lang w:eastAsia="ko-KR"/>
        </w:rPr>
        <w:t>ese</w:t>
      </w:r>
      <w:r>
        <w:rPr>
          <w:lang w:eastAsia="ko-KR"/>
        </w:rPr>
        <w:t xml:space="preserve"> brand</w:t>
      </w:r>
      <w:r w:rsidR="00D2632B">
        <w:rPr>
          <w:lang w:eastAsia="ko-KR"/>
        </w:rPr>
        <w:t>s are</w:t>
      </w:r>
      <w:r>
        <w:rPr>
          <w:lang w:eastAsia="ko-KR"/>
        </w:rPr>
        <w:t xml:space="preserve"> listed under the PBS General</w:t>
      </w:r>
      <w:r w:rsidR="005E6F53">
        <w:rPr>
          <w:lang w:eastAsia="ko-KR"/>
        </w:rPr>
        <w:t xml:space="preserve"> Schedule</w:t>
      </w:r>
      <w:r>
        <w:rPr>
          <w:lang w:eastAsia="ko-KR"/>
        </w:rPr>
        <w:t>.</w:t>
      </w:r>
    </w:p>
    <w:p w14:paraId="71AE83C9" w14:textId="77777777" w:rsidR="00950D49" w:rsidRDefault="00950D49" w:rsidP="00950D49">
      <w:pPr>
        <w:pStyle w:val="Heading2"/>
      </w:pPr>
      <w:r>
        <w:t>What are biological and biosimilar medicines?</w:t>
      </w:r>
    </w:p>
    <w:p w14:paraId="4F029EC5" w14:textId="77777777" w:rsidR="00950D49" w:rsidRDefault="00950D49" w:rsidP="00950D49">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3291C302" w14:textId="1F984713" w:rsidR="00950D49" w:rsidRDefault="00950D49" w:rsidP="00950D49">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1CF2FC98" w14:textId="77777777" w:rsidR="00950D49" w:rsidRDefault="00950D49" w:rsidP="00950D49">
      <w:r>
        <w:t xml:space="preserve">Biosimilar medicines </w:t>
      </w:r>
      <w:r w:rsidRPr="00D673BE">
        <w:t>have been tested and shown to</w:t>
      </w:r>
      <w:r>
        <w:t xml:space="preserve"> </w:t>
      </w:r>
      <w:r w:rsidRPr="00D673BE">
        <w:t>be as safe and effective as the reference biological medicines</w:t>
      </w:r>
      <w:r>
        <w:t>.</w:t>
      </w:r>
    </w:p>
    <w:p w14:paraId="30D11708" w14:textId="2FEB670A" w:rsidR="00950D49" w:rsidRDefault="00950D49" w:rsidP="00950D49">
      <w:pPr>
        <w:pStyle w:val="Heading2"/>
      </w:pPr>
      <w:r>
        <w:t>How is biosimilarity determined?</w:t>
      </w:r>
    </w:p>
    <w:p w14:paraId="606D5024" w14:textId="77777777" w:rsidR="00950D49" w:rsidRPr="00396AEA" w:rsidRDefault="00950D49" w:rsidP="00950D49">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5CA864CB" w14:textId="77777777" w:rsidR="00950D49" w:rsidRPr="00F8050B" w:rsidRDefault="00950D49" w:rsidP="00950D49">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432FB948" w14:textId="3A67C00B" w:rsidR="00950D49" w:rsidRDefault="00950D49" w:rsidP="00950D49">
      <w:pPr>
        <w:spacing w:before="240"/>
        <w:rPr>
          <w:lang w:eastAsia="ko-KR"/>
        </w:rPr>
      </w:pPr>
      <w:r>
        <w:rPr>
          <w:lang w:eastAsia="ko-KR"/>
        </w:rPr>
        <w:t>Terros</w:t>
      </w:r>
      <w:r w:rsidR="00691672">
        <w:rPr>
          <w:lang w:eastAsia="ko-KR"/>
        </w:rPr>
        <w:t>a and Teriparatide</w:t>
      </w:r>
      <w:r w:rsidR="00867DDD">
        <w:rPr>
          <w:lang w:eastAsia="ko-KR"/>
        </w:rPr>
        <w:t> </w:t>
      </w:r>
      <w:r w:rsidR="00691672">
        <w:rPr>
          <w:lang w:eastAsia="ko-KR"/>
        </w:rPr>
        <w:t xml:space="preserve">Lupin </w:t>
      </w:r>
      <w:r w:rsidR="00427A06">
        <w:rPr>
          <w:lang w:eastAsia="ko-KR"/>
        </w:rPr>
        <w:t>have</w:t>
      </w:r>
      <w:r>
        <w:rPr>
          <w:lang w:eastAsia="ko-KR"/>
        </w:rPr>
        <w:t xml:space="preserve"> </w:t>
      </w:r>
      <w:r w:rsidRPr="00BB1E84">
        <w:rPr>
          <w:lang w:eastAsia="ko-KR"/>
        </w:rPr>
        <w:t xml:space="preserve">been assessed by the </w:t>
      </w:r>
      <w:r>
        <w:rPr>
          <w:lang w:eastAsia="ko-KR"/>
        </w:rPr>
        <w:t>TGA on the basis of</w:t>
      </w:r>
      <w:r>
        <w:rPr>
          <w:rFonts w:hint="eastAsia"/>
          <w:lang w:eastAsia="ko-KR"/>
        </w:rPr>
        <w:t xml:space="preserve"> comparability and clinical studies </w:t>
      </w:r>
      <w:r w:rsidRPr="00BB1E84">
        <w:rPr>
          <w:lang w:eastAsia="ko-KR"/>
        </w:rPr>
        <w:t>to be highly similar</w:t>
      </w:r>
      <w:r>
        <w:rPr>
          <w:rFonts w:hint="eastAsia"/>
          <w:lang w:eastAsia="ko-KR"/>
        </w:rPr>
        <w:t xml:space="preserve"> to</w:t>
      </w:r>
      <w:r>
        <w:rPr>
          <w:lang w:eastAsia="ko-KR"/>
        </w:rPr>
        <w:t xml:space="preserve"> the reference brand,</w:t>
      </w:r>
      <w:r>
        <w:rPr>
          <w:rFonts w:hint="eastAsia"/>
          <w:lang w:eastAsia="ko-KR"/>
        </w:rPr>
        <w:t xml:space="preserve"> </w:t>
      </w:r>
      <w:r>
        <w:t>Forteo</w:t>
      </w:r>
      <w:r>
        <w:rPr>
          <w:vertAlign w:val="superscript"/>
        </w:rPr>
        <w:t>®</w:t>
      </w:r>
      <w:r w:rsidRPr="00BB1E84">
        <w:rPr>
          <w:lang w:eastAsia="ko-KR"/>
        </w:rPr>
        <w:t xml:space="preserve">. </w:t>
      </w:r>
      <w:r>
        <w:rPr>
          <w:rFonts w:hint="eastAsia"/>
          <w:lang w:eastAsia="ko-KR"/>
        </w:rPr>
        <w:t xml:space="preserve">This means </w:t>
      </w:r>
      <w:r>
        <w:rPr>
          <w:lang w:eastAsia="ko-KR"/>
        </w:rPr>
        <w:t xml:space="preserve">that Terrosa </w:t>
      </w:r>
      <w:r w:rsidR="00427A06">
        <w:rPr>
          <w:lang w:eastAsia="ko-KR"/>
        </w:rPr>
        <w:t>and Teriparatide</w:t>
      </w:r>
      <w:r w:rsidR="00867DDD">
        <w:rPr>
          <w:lang w:eastAsia="ko-KR"/>
        </w:rPr>
        <w:t> </w:t>
      </w:r>
      <w:r w:rsidR="00427A06">
        <w:rPr>
          <w:lang w:eastAsia="ko-KR"/>
        </w:rPr>
        <w:t xml:space="preserve">Lupin </w:t>
      </w:r>
      <w:r>
        <w:rPr>
          <w:lang w:eastAsia="ko-KR"/>
        </w:rPr>
        <w:t>provide</w:t>
      </w:r>
      <w:r w:rsidRPr="00BB1E84">
        <w:rPr>
          <w:lang w:eastAsia="ko-KR"/>
        </w:rPr>
        <w:t xml:space="preserve"> the same health outcome</w:t>
      </w:r>
      <w:r>
        <w:rPr>
          <w:lang w:eastAsia="ko-KR"/>
        </w:rPr>
        <w:t>s</w:t>
      </w:r>
      <w:r w:rsidRPr="00BB1E84">
        <w:rPr>
          <w:lang w:eastAsia="ko-KR"/>
        </w:rPr>
        <w:t xml:space="preserve"> and </w:t>
      </w:r>
      <w:r w:rsidR="006F6B08">
        <w:rPr>
          <w:lang w:eastAsia="ko-KR"/>
        </w:rPr>
        <w:t>are</w:t>
      </w:r>
      <w:r>
        <w:rPr>
          <w:rFonts w:hint="eastAsia"/>
          <w:lang w:eastAsia="ko-KR"/>
        </w:rPr>
        <w:t xml:space="preserve"> </w:t>
      </w:r>
      <w:r w:rsidRPr="00BB1E84">
        <w:rPr>
          <w:lang w:eastAsia="ko-KR"/>
        </w:rPr>
        <w:t>as safe and effective as</w:t>
      </w:r>
      <w:r>
        <w:rPr>
          <w:lang w:eastAsia="ko-KR"/>
        </w:rPr>
        <w:t xml:space="preserve"> Forteo</w:t>
      </w:r>
      <w:r w:rsidRPr="00BB1E84">
        <w:rPr>
          <w:lang w:eastAsia="ko-KR"/>
        </w:rPr>
        <w:t>.</w:t>
      </w:r>
    </w:p>
    <w:p w14:paraId="1A749FFC" w14:textId="2B8AF6C7" w:rsidR="002A0F74" w:rsidRPr="00721F0E" w:rsidRDefault="002A0F74" w:rsidP="002A0F74">
      <w:pPr>
        <w:pStyle w:val="IntroPara"/>
        <w:spacing w:before="0"/>
        <w:rPr>
          <w:color w:val="7F7F7F" w:themeColor="text1" w:themeTint="80"/>
        </w:rPr>
      </w:pPr>
      <w:r>
        <w:rPr>
          <w:color w:val="7F7F7F" w:themeColor="text1" w:themeTint="80"/>
        </w:rPr>
        <w:t xml:space="preserve">Forteo </w:t>
      </w:r>
      <w:r w:rsidRPr="00007533">
        <w:rPr>
          <w:color w:val="7F7F7F" w:themeColor="text1" w:themeTint="80"/>
        </w:rPr>
        <w:t>delisting</w:t>
      </w:r>
      <w:r w:rsidRPr="00721F0E">
        <w:rPr>
          <w:color w:val="7F7F7F" w:themeColor="text1" w:themeTint="80"/>
        </w:rPr>
        <w:t xml:space="preserve"> </w:t>
      </w:r>
    </w:p>
    <w:p w14:paraId="072A33BC" w14:textId="77EACC57" w:rsidR="002A0F74" w:rsidRPr="00721F0E" w:rsidRDefault="002A0F74" w:rsidP="002A0F74">
      <w:pPr>
        <w:rPr>
          <w:lang w:eastAsia="ko-KR"/>
        </w:rPr>
      </w:pPr>
      <w:r>
        <w:rPr>
          <w:lang w:eastAsia="ko-KR"/>
        </w:rPr>
        <w:t xml:space="preserve">The reference brand </w:t>
      </w:r>
      <w:r w:rsidR="00DF4A52">
        <w:rPr>
          <w:lang w:eastAsia="ko-KR"/>
        </w:rPr>
        <w:t>Forteo</w:t>
      </w:r>
      <w:r>
        <w:rPr>
          <w:lang w:eastAsia="ko-KR"/>
        </w:rPr>
        <w:t xml:space="preserve"> was removed from the PBS from 1 </w:t>
      </w:r>
      <w:r w:rsidR="00846047">
        <w:rPr>
          <w:lang w:eastAsia="ko-KR"/>
        </w:rPr>
        <w:t>January</w:t>
      </w:r>
      <w:r>
        <w:rPr>
          <w:lang w:eastAsia="ko-KR"/>
        </w:rPr>
        <w:t xml:space="preserve"> 2022 at the request of the sponsor. </w:t>
      </w:r>
    </w:p>
    <w:p w14:paraId="18E3CA76" w14:textId="52FA382F" w:rsidR="00950D49" w:rsidRDefault="00950D49" w:rsidP="00950D49">
      <w:pPr>
        <w:pStyle w:val="Heading2"/>
      </w:pPr>
      <w:r>
        <w:t>What is teriparatide?</w:t>
      </w:r>
    </w:p>
    <w:p w14:paraId="75DAD965" w14:textId="77777777" w:rsidR="00950D49" w:rsidRDefault="00950D49" w:rsidP="00950D49">
      <w:pPr>
        <w:rPr>
          <w:lang w:eastAsia="ko-KR"/>
        </w:rPr>
      </w:pPr>
      <w:r>
        <w:rPr>
          <w:lang w:eastAsia="ko-KR"/>
        </w:rPr>
        <w:t>Teriparatide</w:t>
      </w:r>
      <w:r w:rsidRPr="004276A8">
        <w:rPr>
          <w:lang w:eastAsia="ko-KR"/>
        </w:rPr>
        <w:t xml:space="preserve"> </w:t>
      </w:r>
      <w:r w:rsidRPr="0013669F">
        <w:rPr>
          <w:rFonts w:cs="Arial"/>
        </w:rPr>
        <w:t>is</w:t>
      </w:r>
      <w:r w:rsidRPr="004276A8">
        <w:rPr>
          <w:lang w:eastAsia="ko-KR"/>
        </w:rPr>
        <w:t xml:space="preserve"> a biological medicine</w:t>
      </w:r>
      <w:r>
        <w:rPr>
          <w:lang w:eastAsia="ko-KR"/>
        </w:rPr>
        <w:t xml:space="preserve">, </w:t>
      </w:r>
      <w:r w:rsidRPr="001B4E3E">
        <w:rPr>
          <w:lang w:eastAsia="ko-KR"/>
        </w:rPr>
        <w:t xml:space="preserve">produced in </w:t>
      </w:r>
      <w:r w:rsidRPr="001B4E3E">
        <w:rPr>
          <w:i/>
          <w:iCs/>
          <w:lang w:eastAsia="ko-KR"/>
        </w:rPr>
        <w:t>Escherichia coli</w:t>
      </w:r>
      <w:r>
        <w:rPr>
          <w:i/>
          <w:iCs/>
          <w:lang w:eastAsia="ko-KR"/>
        </w:rPr>
        <w:t xml:space="preserve"> (E.coli)</w:t>
      </w:r>
      <w:r w:rsidRPr="001B4E3E">
        <w:rPr>
          <w:lang w:eastAsia="ko-KR"/>
        </w:rPr>
        <w:t xml:space="preserve"> using recombinant deoxyribonucleic acid (DNA) technology.</w:t>
      </w:r>
      <w:r w:rsidRPr="004276A8">
        <w:rPr>
          <w:lang w:eastAsia="ko-KR"/>
        </w:rPr>
        <w:t xml:space="preserve"> </w:t>
      </w:r>
      <w:r>
        <w:rPr>
          <w:lang w:eastAsia="ko-KR"/>
        </w:rPr>
        <w:t>It</w:t>
      </w:r>
      <w:r w:rsidRPr="004276A8">
        <w:rPr>
          <w:lang w:eastAsia="ko-KR"/>
        </w:rPr>
        <w:t xml:space="preserve"> is used to treat</w:t>
      </w:r>
      <w:r>
        <w:rPr>
          <w:lang w:eastAsia="ko-KR"/>
        </w:rPr>
        <w:t>:</w:t>
      </w:r>
    </w:p>
    <w:p w14:paraId="67D2F14C" w14:textId="77777777" w:rsidR="00950D49" w:rsidRPr="00592511" w:rsidRDefault="00950D49" w:rsidP="00950D49">
      <w:pPr>
        <w:pStyle w:val="ListParagraph"/>
        <w:numPr>
          <w:ilvl w:val="0"/>
          <w:numId w:val="27"/>
        </w:numPr>
        <w:spacing w:line="240" w:lineRule="auto"/>
        <w:ind w:left="714" w:hanging="357"/>
        <w:rPr>
          <w:lang w:eastAsia="ko-KR"/>
        </w:rPr>
      </w:pPr>
      <w:r w:rsidRPr="00592511">
        <w:rPr>
          <w:lang w:eastAsia="ko-KR"/>
        </w:rPr>
        <w:lastRenderedPageBreak/>
        <w:t xml:space="preserve">osteoporosis in postmenopausal women; </w:t>
      </w:r>
    </w:p>
    <w:p w14:paraId="227FE952" w14:textId="77777777" w:rsidR="00950D49" w:rsidRPr="00592511" w:rsidRDefault="00950D49" w:rsidP="00950D49">
      <w:pPr>
        <w:pStyle w:val="ListParagraph"/>
        <w:numPr>
          <w:ilvl w:val="0"/>
          <w:numId w:val="27"/>
        </w:numPr>
        <w:spacing w:before="240" w:line="240" w:lineRule="auto"/>
        <w:rPr>
          <w:lang w:eastAsia="ko-KR"/>
        </w:rPr>
      </w:pPr>
      <w:r w:rsidRPr="00592511">
        <w:rPr>
          <w:lang w:eastAsia="ko-KR"/>
        </w:rPr>
        <w:t>primary osteoporosis in men when other agents are considered unsuitable and when there is a high risk of fracture;</w:t>
      </w:r>
      <w:r>
        <w:rPr>
          <w:lang w:eastAsia="ko-KR"/>
        </w:rPr>
        <w:t xml:space="preserve"> and</w:t>
      </w:r>
    </w:p>
    <w:p w14:paraId="2026BA2B" w14:textId="77777777" w:rsidR="00950D49" w:rsidRPr="00592511" w:rsidRDefault="00950D49" w:rsidP="00950D49">
      <w:pPr>
        <w:pStyle w:val="ListParagraph"/>
        <w:numPr>
          <w:ilvl w:val="0"/>
          <w:numId w:val="27"/>
        </w:numPr>
        <w:spacing w:before="240" w:line="240" w:lineRule="auto"/>
        <w:rPr>
          <w:lang w:eastAsia="ko-KR"/>
        </w:rPr>
      </w:pPr>
      <w:r w:rsidRPr="00592511">
        <w:rPr>
          <w:lang w:eastAsia="ko-KR"/>
        </w:rPr>
        <w:t>osteoporosis associated with sustained systemic glucocorticoid therapy in women and men at high risk for fracture.</w:t>
      </w:r>
    </w:p>
    <w:p w14:paraId="08C0D320" w14:textId="644A3305" w:rsidR="00950D49" w:rsidRPr="003C3E8E" w:rsidRDefault="00950D49" w:rsidP="00950D49">
      <w:r>
        <w:t xml:space="preserve">More information about this medicine is available by entering ‘teriparatide’ at </w:t>
      </w:r>
      <w:r>
        <w:rPr>
          <w:rFonts w:hint="eastAsia"/>
          <w:lang w:eastAsia="ko-KR"/>
        </w:rPr>
        <w:t xml:space="preserve">the </w:t>
      </w:r>
      <w:hyperlink r:id="rId8"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45EF7D1D" w14:textId="77777777" w:rsidR="00950D49" w:rsidRPr="001F3984" w:rsidRDefault="00950D49" w:rsidP="00950D49">
      <w:pPr>
        <w:pStyle w:val="Heading2"/>
      </w:pPr>
      <w:r w:rsidRPr="001F3984">
        <w:t xml:space="preserve">What are the PBS restrictions for </w:t>
      </w:r>
      <w:r>
        <w:t>teriparatide</w:t>
      </w:r>
      <w:r w:rsidRPr="001F3984">
        <w:t>?</w:t>
      </w:r>
    </w:p>
    <w:p w14:paraId="0F9F923C" w14:textId="525D23DD" w:rsidR="00950D49" w:rsidRPr="00363F23" w:rsidRDefault="00950D49" w:rsidP="00950D49">
      <w:pPr>
        <w:rPr>
          <w:rFonts w:cs="Arial"/>
        </w:rPr>
      </w:pPr>
      <w:r w:rsidRPr="00363F23">
        <w:rPr>
          <w:rFonts w:cs="Arial"/>
        </w:rPr>
        <w:t xml:space="preserve">Teriparatide is available on the PBS </w:t>
      </w:r>
      <w:r>
        <w:rPr>
          <w:rFonts w:cs="Arial"/>
        </w:rPr>
        <w:t>as initial and continuing treatment for severe established osteoporosis under certain conditions. Treatment is limited to a maximum of 18 months therapy in a patient’s</w:t>
      </w:r>
      <w:r w:rsidRPr="004B6965">
        <w:rPr>
          <w:rFonts w:cs="Arial"/>
        </w:rPr>
        <w:t xml:space="preserve"> </w:t>
      </w:r>
      <w:r>
        <w:rPr>
          <w:rFonts w:cs="Arial"/>
        </w:rPr>
        <w:t>lifetime.</w:t>
      </w:r>
    </w:p>
    <w:p w14:paraId="26BB0C6A" w14:textId="34F3B1E5" w:rsidR="0033764C" w:rsidRDefault="0033764C" w:rsidP="00950D49">
      <w:pPr>
        <w:rPr>
          <w:rFonts w:cs="Arial"/>
        </w:rPr>
      </w:pPr>
      <w:r>
        <w:rPr>
          <w:rFonts w:cs="Arial"/>
        </w:rPr>
        <w:t xml:space="preserve">Read the Schedule of Pharmaceutical Benefits for the </w:t>
      </w:r>
      <w:hyperlink r:id="rId9" w:history="1">
        <w:r w:rsidRPr="0033764C">
          <w:rPr>
            <w:rStyle w:val="Hyperlink"/>
            <w:rFonts w:cs="Arial"/>
          </w:rPr>
          <w:t>teriparatide</w:t>
        </w:r>
      </w:hyperlink>
      <w:r>
        <w:rPr>
          <w:rFonts w:cs="Arial"/>
        </w:rPr>
        <w:t xml:space="preserve"> listings. The Schedule is also available via the</w:t>
      </w:r>
      <w:r w:rsidRPr="00A94669">
        <w:rPr>
          <w:rFonts w:cs="Arial"/>
        </w:rPr>
        <w:t xml:space="preserve"> </w:t>
      </w:r>
      <w:hyperlink r:id="rId10" w:history="1">
        <w:r>
          <w:rPr>
            <w:rStyle w:val="Hyperlink"/>
            <w:rFonts w:cs="Arial"/>
          </w:rPr>
          <w:t>PBS publications page</w:t>
        </w:r>
      </w:hyperlink>
      <w:r>
        <w:rPr>
          <w:rFonts w:cs="Arial"/>
        </w:rPr>
        <w:t xml:space="preserve">. The </w:t>
      </w:r>
      <w:r>
        <w:t>prescribing software</w:t>
      </w:r>
      <w:r>
        <w:rPr>
          <w:rFonts w:cs="Arial"/>
        </w:rPr>
        <w:t xml:space="preserve"> contains further details of initial and continuing treatment phase criteria and eligibility details.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p>
    <w:p w14:paraId="7B7D8A95" w14:textId="0D943FC1" w:rsidR="00AE7F82" w:rsidRDefault="00AE7F82" w:rsidP="00AE7F82">
      <w:pPr>
        <w:pStyle w:val="Heading2"/>
      </w:pPr>
      <w:r>
        <w:t>Can PBS brands of teriparatide be substituted?</w:t>
      </w:r>
    </w:p>
    <w:p w14:paraId="1A3A7AD4" w14:textId="1092731D" w:rsidR="00AE7F82" w:rsidRPr="00723916" w:rsidRDefault="00AE7F82" w:rsidP="00AE7F82">
      <w:r w:rsidRPr="0012130C">
        <w:rPr>
          <w:lang w:eastAsia="ko-KR"/>
        </w:rPr>
        <w:t>The Pharmaceutical Benefits Advisory Committee (PBAC)</w:t>
      </w:r>
      <w:r>
        <w:rPr>
          <w:lang w:eastAsia="ko-KR"/>
        </w:rPr>
        <w:t>, an independent, expert advisory body,</w:t>
      </w:r>
      <w:r w:rsidRPr="0012130C">
        <w:rPr>
          <w:lang w:eastAsia="ko-KR"/>
        </w:rPr>
        <w:t xml:space="preserve"> recommended that</w:t>
      </w:r>
      <w:r>
        <w:rPr>
          <w:lang w:eastAsia="ko-KR"/>
        </w:rPr>
        <w:t xml:space="preserve"> Terrosa </w:t>
      </w:r>
      <w:r w:rsidR="00980EB4">
        <w:rPr>
          <w:lang w:eastAsia="ko-KR"/>
        </w:rPr>
        <w:t>and Teriparatide</w:t>
      </w:r>
      <w:r w:rsidR="00867DDD">
        <w:rPr>
          <w:lang w:eastAsia="ko-KR"/>
        </w:rPr>
        <w:t> </w:t>
      </w:r>
      <w:r w:rsidR="00980EB4">
        <w:rPr>
          <w:lang w:eastAsia="ko-KR"/>
        </w:rPr>
        <w:t xml:space="preserve">Lupin </w:t>
      </w:r>
      <w:r w:rsidRPr="0012130C">
        <w:rPr>
          <w:lang w:eastAsia="ko-KR"/>
        </w:rPr>
        <w:t>be listed on the PBS as</w:t>
      </w:r>
      <w:r>
        <w:rPr>
          <w:lang w:eastAsia="ko-KR"/>
        </w:rPr>
        <w:t xml:space="preserve"> </w:t>
      </w:r>
      <w:r w:rsidRPr="0012130C">
        <w:rPr>
          <w:lang w:eastAsia="ko-KR"/>
        </w:rPr>
        <w:t>substitutable biosimilar</w:t>
      </w:r>
      <w:r w:rsidR="00980EB4">
        <w:rPr>
          <w:lang w:eastAsia="ko-KR"/>
        </w:rPr>
        <w:t>s</w:t>
      </w:r>
      <w:r w:rsidRPr="0012130C">
        <w:rPr>
          <w:lang w:eastAsia="ko-KR"/>
        </w:rPr>
        <w:t xml:space="preserve"> of </w:t>
      </w:r>
      <w:r>
        <w:rPr>
          <w:lang w:eastAsia="ko-KR"/>
        </w:rPr>
        <w:t>Forteo for all approved indications</w:t>
      </w:r>
      <w:r w:rsidRPr="0012130C">
        <w:rPr>
          <w:lang w:eastAsia="ko-KR"/>
        </w:rPr>
        <w:t>.</w:t>
      </w:r>
      <w:r>
        <w:rPr>
          <w:lang w:eastAsia="ko-KR"/>
        </w:rPr>
        <w:t xml:space="preserve"> </w:t>
      </w:r>
      <w:r>
        <w:t xml:space="preserve">Terrosa </w:t>
      </w:r>
      <w:r w:rsidR="00980EB4">
        <w:t xml:space="preserve">and </w:t>
      </w:r>
      <w:r w:rsidR="00022453">
        <w:t>T</w:t>
      </w:r>
      <w:r w:rsidR="00980EB4">
        <w:t>eriparatide</w:t>
      </w:r>
      <w:r w:rsidR="00867DDD">
        <w:t> </w:t>
      </w:r>
      <w:r w:rsidR="00980EB4">
        <w:t xml:space="preserve">Lupin </w:t>
      </w:r>
      <w:r>
        <w:t>remain as brand</w:t>
      </w:r>
      <w:r w:rsidR="00980EB4">
        <w:t>s</w:t>
      </w:r>
      <w:r w:rsidR="00C77086">
        <w:t xml:space="preserve"> listed on the PBS </w:t>
      </w:r>
      <w:r w:rsidR="00C77086">
        <w:rPr>
          <w:lang w:eastAsia="ko-KR"/>
        </w:rPr>
        <w:t xml:space="preserve">following the </w:t>
      </w:r>
      <w:r w:rsidR="00C77086">
        <w:t>removal of Forteo.</w:t>
      </w:r>
    </w:p>
    <w:p w14:paraId="5086E4DE" w14:textId="3F6264AD" w:rsidR="00AE7F82" w:rsidRPr="003D52F4" w:rsidRDefault="00AE7F82" w:rsidP="00AE7F82">
      <w:pPr>
        <w:autoSpaceDE w:val="0"/>
        <w:autoSpaceDN w:val="0"/>
        <w:adjustRightInd w:val="0"/>
        <w:rPr>
          <w:rFonts w:cs="Arial"/>
        </w:rPr>
      </w:pPr>
      <w:r w:rsidRPr="003D52F4">
        <w:rPr>
          <w:rFonts w:cs="Arial"/>
        </w:rPr>
        <w:t>When PBS brands are listed as substitutable with each other, the pharmacist may dispense any brand</w:t>
      </w:r>
      <w:r w:rsidR="006F6B08">
        <w:rPr>
          <w:rFonts w:cs="Arial"/>
        </w:rPr>
        <w:t xml:space="preserve"> in consultation with the patient, and</w:t>
      </w:r>
      <w:r w:rsidRPr="003D52F4">
        <w:rPr>
          <w:rFonts w:cs="Arial"/>
        </w:rPr>
        <w:t xml:space="preserve"> provided the prescriber has not indicated ‘brand substitution not permitted’ on the prescription</w:t>
      </w:r>
      <w:r w:rsidR="006F6B08">
        <w:rPr>
          <w:rFonts w:cs="Arial"/>
        </w:rPr>
        <w:t>.</w:t>
      </w:r>
    </w:p>
    <w:p w14:paraId="7303D42F" w14:textId="0B5E8909" w:rsidR="00950D49" w:rsidRDefault="00950D49" w:rsidP="00950D49">
      <w:pPr>
        <w:pStyle w:val="Heading2"/>
      </w:pPr>
      <w:r>
        <w:t>Do biosimilar uptake drivers apply to teriparatide?</w:t>
      </w:r>
    </w:p>
    <w:p w14:paraId="7F14CA13" w14:textId="77777777" w:rsidR="00785EC2" w:rsidRPr="00C77086" w:rsidRDefault="00785EC2" w:rsidP="00785EC2">
      <w:pPr>
        <w:autoSpaceDE w:val="0"/>
        <w:autoSpaceDN w:val="0"/>
        <w:adjustRightInd w:val="0"/>
      </w:pPr>
      <w:r w:rsidRPr="003D52F4">
        <w:rPr>
          <w:rFonts w:cs="Arial"/>
        </w:rPr>
        <w:t>The Government has implemented policies to encourage greater use of biosimilar brands</w:t>
      </w:r>
      <w:r>
        <w:rPr>
          <w:rFonts w:cs="Arial"/>
        </w:rPr>
        <w:t xml:space="preserve">. Further information about the biosimilar uptake drivers is available on the </w:t>
      </w:r>
      <w:hyperlink r:id="rId11" w:history="1">
        <w:r w:rsidRPr="00145926">
          <w:rPr>
            <w:rStyle w:val="Hyperlink"/>
            <w:rFonts w:cs="Arial"/>
          </w:rPr>
          <w:t>PBS website</w:t>
        </w:r>
      </w:hyperlink>
      <w:r>
        <w:rPr>
          <w:rFonts w:cs="Arial"/>
        </w:rPr>
        <w:t>.</w:t>
      </w:r>
      <w:r w:rsidRPr="00ED54DB">
        <w:rPr>
          <w:rFonts w:cs="Arial"/>
          <w:color w:val="FF0000"/>
        </w:rPr>
        <w:t xml:space="preserve"> </w:t>
      </w:r>
    </w:p>
    <w:p w14:paraId="5B993EB3" w14:textId="01583FFE" w:rsidR="00785EC2" w:rsidRPr="00A05890" w:rsidRDefault="00785EC2" w:rsidP="00785EC2">
      <w:r w:rsidRPr="00375CC7">
        <w:rPr>
          <w:color w:val="auto"/>
        </w:rPr>
        <w:t xml:space="preserve">Following the removal </w:t>
      </w:r>
      <w:r>
        <w:t xml:space="preserve">from the PBS </w:t>
      </w:r>
      <w:r w:rsidRPr="00375CC7">
        <w:rPr>
          <w:color w:val="auto"/>
        </w:rPr>
        <w:t xml:space="preserve">of the reference brand </w:t>
      </w:r>
      <w:r>
        <w:rPr>
          <w:color w:val="auto"/>
        </w:rPr>
        <w:t>Forteo</w:t>
      </w:r>
      <w:r>
        <w:t xml:space="preserve"> on 1 January 2022, biosimilar uptake drivers are no longer required for </w:t>
      </w:r>
      <w:r w:rsidR="00496EE9">
        <w:t>teriparatide</w:t>
      </w:r>
      <w:r>
        <w:t>.</w:t>
      </w:r>
    </w:p>
    <w:p w14:paraId="31809128" w14:textId="77777777" w:rsidR="00950D49" w:rsidRPr="004B7B34" w:rsidRDefault="00950D49" w:rsidP="00950D49">
      <w:pPr>
        <w:pStyle w:val="Heading2"/>
      </w:pPr>
      <w:r w:rsidRPr="004B7B34">
        <w:rPr>
          <w:iCs w:val="0"/>
          <w:szCs w:val="24"/>
        </w:rPr>
        <w:t>Why are</w:t>
      </w:r>
      <w:r w:rsidRPr="004B7B34">
        <w:t xml:space="preserve"> biosimilar medicines important?</w:t>
      </w:r>
    </w:p>
    <w:p w14:paraId="7AB3403C" w14:textId="77777777" w:rsidR="00F45351" w:rsidRPr="004B7B34" w:rsidRDefault="00F45351" w:rsidP="00F45351">
      <w:r>
        <w:rPr>
          <w:rFonts w:cs="Arial"/>
        </w:rPr>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33C90D48" w14:textId="77777777" w:rsidR="00950D49" w:rsidRPr="004B7B34" w:rsidRDefault="00950D49" w:rsidP="00950D49">
      <w:pPr>
        <w:pStyle w:val="Heading2"/>
      </w:pPr>
      <w:r w:rsidRPr="004B7B34">
        <w:lastRenderedPageBreak/>
        <w:t>How can greater use of biosimilars benefit the PBS?</w:t>
      </w:r>
    </w:p>
    <w:p w14:paraId="6CE6BFD8" w14:textId="77777777" w:rsidR="002029DD" w:rsidRPr="00CF0739" w:rsidRDefault="002029DD" w:rsidP="002029DD">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6B5AC1F8" w14:textId="77777777" w:rsidR="002029DD" w:rsidRPr="005535C9" w:rsidRDefault="002029DD" w:rsidP="002029DD">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6D2BB709" w14:textId="1EFA3086" w:rsidR="00950D49" w:rsidRPr="004B7B34" w:rsidRDefault="00950D49" w:rsidP="00950D49">
      <w:pPr>
        <w:rPr>
          <w:rFonts w:cs="Arial"/>
        </w:rPr>
      </w:pPr>
      <w:r w:rsidRPr="004B7B34">
        <w:rPr>
          <w:rFonts w:cs="Arial"/>
        </w:rPr>
        <w:t xml:space="preserve">Detailed information about PBS pricing, including Price Disclosure, is available on the </w:t>
      </w:r>
      <w:hyperlink r:id="rId12" w:history="1">
        <w:r w:rsidRPr="0033764C">
          <w:rPr>
            <w:rStyle w:val="Hyperlink"/>
            <w:rFonts w:cs="Arial"/>
          </w:rPr>
          <w:t>PBS</w:t>
        </w:r>
        <w:r w:rsidR="0033764C" w:rsidRPr="0033764C">
          <w:rPr>
            <w:rStyle w:val="Hyperlink"/>
            <w:rFonts w:cs="Arial"/>
          </w:rPr>
          <w:t> </w:t>
        </w:r>
        <w:r w:rsidRPr="0033764C">
          <w:rPr>
            <w:rStyle w:val="Hyperlink"/>
            <w:rFonts w:cs="Arial"/>
          </w:rPr>
          <w:t>website</w:t>
        </w:r>
      </w:hyperlink>
      <w:r w:rsidRPr="004B7B34">
        <w:rPr>
          <w:rFonts w:cs="Arial"/>
        </w:rPr>
        <w:t>.</w:t>
      </w:r>
    </w:p>
    <w:p w14:paraId="4119B527" w14:textId="77777777" w:rsidR="00950D49" w:rsidRPr="00D673BE" w:rsidRDefault="00950D49" w:rsidP="00950D49">
      <w:pPr>
        <w:pStyle w:val="Heading2"/>
      </w:pPr>
      <w:r>
        <w:rPr>
          <w:rFonts w:hint="eastAsia"/>
        </w:rPr>
        <w:t>M</w:t>
      </w:r>
      <w:r w:rsidRPr="00D673BE">
        <w:t>ore Information</w:t>
      </w:r>
    </w:p>
    <w:p w14:paraId="46922DF8" w14:textId="77777777" w:rsidR="00825510" w:rsidRPr="008C125D" w:rsidRDefault="00825510" w:rsidP="00825510">
      <w:bookmarkStart w:id="0" w:name="_Hlk114481044"/>
      <w:r w:rsidRPr="008C125D">
        <w:t>For more information, read</w:t>
      </w:r>
      <w:r>
        <w:t>:</w:t>
      </w:r>
    </w:p>
    <w:p w14:paraId="70FA6612" w14:textId="77777777" w:rsidR="00825510" w:rsidRPr="0041243E" w:rsidRDefault="00825510" w:rsidP="00825510">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3" w:history="1">
        <w:r w:rsidRPr="008A247E">
          <w:rPr>
            <w:rStyle w:val="Hyperlink"/>
            <w:lang w:eastAsia="ko-KR"/>
          </w:rPr>
          <w:t>About medicines</w:t>
        </w:r>
      </w:hyperlink>
      <w:r>
        <w:rPr>
          <w:lang w:eastAsia="ko-KR"/>
        </w:rPr>
        <w:t xml:space="preserve"> page.</w:t>
      </w:r>
    </w:p>
    <w:p w14:paraId="512ABEB8" w14:textId="77777777" w:rsidR="00825510" w:rsidRDefault="00825510" w:rsidP="00825510">
      <w:pPr>
        <w:pStyle w:val="ListBullet"/>
        <w:numPr>
          <w:ilvl w:val="0"/>
          <w:numId w:val="17"/>
        </w:numPr>
      </w:pPr>
      <w:r w:rsidRPr="008C125D">
        <w:rPr>
          <w:lang w:eastAsia="ko-KR"/>
        </w:rPr>
        <w:t>Therapeutic Goods Administration website</w:t>
      </w:r>
      <w:r>
        <w:rPr>
          <w:lang w:eastAsia="ko-KR"/>
        </w:rPr>
        <w:t xml:space="preserve"> </w:t>
      </w:r>
      <w:hyperlink r:id="rId14"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6FE36E2F" w14:textId="0548B67B" w:rsidR="00825510" w:rsidRPr="002029DD" w:rsidRDefault="00825510" w:rsidP="00825510">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hyperlink r:id="rId15" w:history="1">
        <w:r w:rsidRPr="00825510">
          <w:rPr>
            <w:rStyle w:val="Hyperlink"/>
            <w:rFonts w:cs="Arial"/>
          </w:rPr>
          <w:t xml:space="preserve">PBAC Public summary document for </w:t>
        </w:r>
        <w:r w:rsidRPr="00825510">
          <w:rPr>
            <w:rStyle w:val="Hyperlink"/>
            <w:rFonts w:cs="Arial"/>
            <w:lang w:eastAsia="ko-KR"/>
          </w:rPr>
          <w:t>Terrosa</w:t>
        </w:r>
      </w:hyperlink>
      <w:r w:rsidRPr="00C906AF">
        <w:t>.</w:t>
      </w:r>
    </w:p>
    <w:p w14:paraId="6A3AF348" w14:textId="0345455A" w:rsidR="002029DD" w:rsidRPr="002029DD" w:rsidRDefault="002029DD" w:rsidP="002029DD">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hyperlink r:id="rId16" w:history="1">
        <w:r w:rsidRPr="00177C2D">
          <w:rPr>
            <w:rStyle w:val="Hyperlink"/>
            <w:rFonts w:cs="Arial"/>
          </w:rPr>
          <w:t xml:space="preserve">PBAC Public summary document for </w:t>
        </w:r>
        <w:r w:rsidRPr="00177C2D">
          <w:rPr>
            <w:rStyle w:val="Hyperlink"/>
            <w:rFonts w:cs="Arial"/>
            <w:lang w:eastAsia="ko-KR"/>
          </w:rPr>
          <w:t>Teriparatide</w:t>
        </w:r>
        <w:r w:rsidR="00867DDD">
          <w:rPr>
            <w:rStyle w:val="Hyperlink"/>
            <w:rFonts w:cs="Arial"/>
            <w:lang w:eastAsia="ko-KR"/>
          </w:rPr>
          <w:t> </w:t>
        </w:r>
        <w:r w:rsidRPr="00177C2D">
          <w:rPr>
            <w:rStyle w:val="Hyperlink"/>
            <w:rFonts w:cs="Arial"/>
            <w:lang w:eastAsia="ko-KR"/>
          </w:rPr>
          <w:t>Lupin</w:t>
        </w:r>
      </w:hyperlink>
      <w:r w:rsidRPr="00C906AF">
        <w:t>.</w:t>
      </w:r>
    </w:p>
    <w:p w14:paraId="3E24F9FD" w14:textId="27D327B1" w:rsidR="00825510" w:rsidRPr="008C125D" w:rsidRDefault="00825510" w:rsidP="00825510">
      <w:pPr>
        <w:pStyle w:val="ListBullet"/>
        <w:numPr>
          <w:ilvl w:val="0"/>
          <w:numId w:val="17"/>
        </w:numPr>
        <w:rPr>
          <w:rFonts w:cs="Arial"/>
          <w:lang w:eastAsia="ko-KR"/>
        </w:rPr>
      </w:pPr>
      <w:r w:rsidRPr="009F7989">
        <w:rPr>
          <w:lang w:eastAsia="ko-KR"/>
        </w:rPr>
        <w:t>The</w:t>
      </w:r>
      <w:r w:rsidRPr="009F7989">
        <w:t xml:space="preserve"> </w:t>
      </w:r>
      <w:hyperlink r:id="rId17" w:history="1">
        <w:r w:rsidRPr="009F7989">
          <w:rPr>
            <w:rStyle w:val="Hyperlink"/>
          </w:rPr>
          <w:t>Biosimilar Education Hub</w:t>
        </w:r>
      </w:hyperlink>
      <w:r w:rsidRPr="009F7989">
        <w:t xml:space="preserve"> </w:t>
      </w:r>
      <w:r>
        <w:t xml:space="preserve">(Generic and Biosimilar Medicines Association Education website, originally funded by the </w:t>
      </w:r>
      <w:r w:rsidR="001669EC">
        <w:t>Australian Government</w:t>
      </w:r>
      <w:r>
        <w:t>).</w:t>
      </w:r>
    </w:p>
    <w:p w14:paraId="4494AF8F" w14:textId="007FE703" w:rsidR="009040E9" w:rsidRPr="009040E9" w:rsidRDefault="00825510" w:rsidP="00825510">
      <w:pPr>
        <w:spacing w:after="60"/>
      </w:pPr>
      <w:r>
        <w:rPr>
          <w:rFonts w:cs="Arial"/>
        </w:rPr>
        <w:t xml:space="preserve">Further information for healthcare professionals regarding the use of </w:t>
      </w:r>
      <w:hyperlink r:id="rId18" w:history="1">
        <w:r w:rsidRPr="007B397E">
          <w:rPr>
            <w:rStyle w:val="Hyperlink"/>
            <w:rFonts w:cs="Arial"/>
          </w:rPr>
          <w:t>PBS Authorities</w:t>
        </w:r>
      </w:hyperlink>
      <w:r>
        <w:rPr>
          <w:rFonts w:cs="Arial"/>
        </w:rPr>
        <w:t xml:space="preserve"> and </w:t>
      </w:r>
      <w:hyperlink r:id="rId19" w:history="1">
        <w:r w:rsidRPr="007B397E">
          <w:rPr>
            <w:rStyle w:val="Hyperlink"/>
            <w:rFonts w:cs="Arial"/>
          </w:rPr>
          <w:t>claiming of PBS benefits</w:t>
        </w:r>
      </w:hyperlink>
      <w:r>
        <w:rPr>
          <w:rFonts w:cs="Arial"/>
        </w:rPr>
        <w:t xml:space="preserve"> is available at the </w:t>
      </w:r>
      <w:hyperlink r:id="rId20" w:history="1">
        <w:r w:rsidRPr="007E3F33">
          <w:rPr>
            <w:rStyle w:val="Hyperlink"/>
            <w:rFonts w:cs="Arial"/>
          </w:rPr>
          <w:t>Services Australia</w:t>
        </w:r>
      </w:hyperlink>
      <w:r>
        <w:rPr>
          <w:rFonts w:cs="Arial"/>
        </w:rPr>
        <w:t xml:space="preserve"> website.</w:t>
      </w:r>
      <w:bookmarkEnd w:id="0"/>
    </w:p>
    <w:sectPr w:rsidR="009040E9" w:rsidRPr="009040E9" w:rsidSect="00B53987">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FF37" w14:textId="77777777" w:rsidR="00930310" w:rsidRDefault="00930310" w:rsidP="006B56BB">
      <w:r>
        <w:separator/>
      </w:r>
    </w:p>
    <w:p w14:paraId="338B986E" w14:textId="77777777" w:rsidR="00930310" w:rsidRDefault="00930310"/>
  </w:endnote>
  <w:endnote w:type="continuationSeparator" w:id="0">
    <w:p w14:paraId="3BE569F1" w14:textId="77777777" w:rsidR="00930310" w:rsidRDefault="00930310" w:rsidP="006B56BB">
      <w:r>
        <w:continuationSeparator/>
      </w:r>
    </w:p>
    <w:p w14:paraId="6B1E24A1" w14:textId="77777777" w:rsidR="00930310" w:rsidRDefault="00930310"/>
  </w:endnote>
  <w:endnote w:type="continuationNotice" w:id="1">
    <w:p w14:paraId="304C2B5D" w14:textId="77777777" w:rsidR="00930310" w:rsidRDefault="00930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08448028"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364857">
      <w:t>Teriparatide</w:t>
    </w:r>
    <w:r w:rsidR="007B1FEE">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62027A73"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364857">
      <w:t>Teriparatide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1238" w14:textId="77777777" w:rsidR="00930310" w:rsidRDefault="00930310" w:rsidP="006B56BB">
      <w:r>
        <w:separator/>
      </w:r>
    </w:p>
    <w:p w14:paraId="4CEC966E" w14:textId="77777777" w:rsidR="00930310" w:rsidRDefault="00930310"/>
  </w:footnote>
  <w:footnote w:type="continuationSeparator" w:id="0">
    <w:p w14:paraId="4AF6C560" w14:textId="77777777" w:rsidR="00930310" w:rsidRDefault="00930310" w:rsidP="006B56BB">
      <w:r>
        <w:continuationSeparator/>
      </w:r>
    </w:p>
    <w:p w14:paraId="77FED5E1" w14:textId="77777777" w:rsidR="00930310" w:rsidRDefault="00930310"/>
  </w:footnote>
  <w:footnote w:type="continuationNotice" w:id="1">
    <w:p w14:paraId="2D4842B7" w14:textId="77777777" w:rsidR="00930310" w:rsidRDefault="00930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5973AD"/>
    <w:multiLevelType w:val="hybridMultilevel"/>
    <w:tmpl w:val="E5A6A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25917402">
    <w:abstractNumId w:val="7"/>
  </w:num>
  <w:num w:numId="2" w16cid:durableId="1042365155">
    <w:abstractNumId w:val="15"/>
  </w:num>
  <w:num w:numId="3" w16cid:durableId="337391772">
    <w:abstractNumId w:val="18"/>
  </w:num>
  <w:num w:numId="4" w16cid:durableId="1154762524">
    <w:abstractNumId w:val="8"/>
  </w:num>
  <w:num w:numId="5" w16cid:durableId="484782522">
    <w:abstractNumId w:val="8"/>
    <w:lvlOverride w:ilvl="0">
      <w:startOverride w:val="1"/>
    </w:lvlOverride>
  </w:num>
  <w:num w:numId="6" w16cid:durableId="335155729">
    <w:abstractNumId w:val="9"/>
  </w:num>
  <w:num w:numId="7" w16cid:durableId="638221793">
    <w:abstractNumId w:val="13"/>
  </w:num>
  <w:num w:numId="8" w16cid:durableId="769276779">
    <w:abstractNumId w:val="17"/>
  </w:num>
  <w:num w:numId="9" w16cid:durableId="393167373">
    <w:abstractNumId w:val="5"/>
  </w:num>
  <w:num w:numId="10" w16cid:durableId="1239899926">
    <w:abstractNumId w:val="4"/>
  </w:num>
  <w:num w:numId="11" w16cid:durableId="10035560">
    <w:abstractNumId w:val="3"/>
  </w:num>
  <w:num w:numId="12" w16cid:durableId="1590502127">
    <w:abstractNumId w:val="2"/>
  </w:num>
  <w:num w:numId="13" w16cid:durableId="1124735965">
    <w:abstractNumId w:val="6"/>
  </w:num>
  <w:num w:numId="14" w16cid:durableId="558632679">
    <w:abstractNumId w:val="1"/>
  </w:num>
  <w:num w:numId="15" w16cid:durableId="2000113193">
    <w:abstractNumId w:val="0"/>
  </w:num>
  <w:num w:numId="16" w16cid:durableId="1055355521">
    <w:abstractNumId w:val="19"/>
  </w:num>
  <w:num w:numId="17" w16cid:durableId="314721271">
    <w:abstractNumId w:val="10"/>
  </w:num>
  <w:num w:numId="18" w16cid:durableId="622883784">
    <w:abstractNumId w:val="11"/>
  </w:num>
  <w:num w:numId="19" w16cid:durableId="420444843">
    <w:abstractNumId w:val="12"/>
  </w:num>
  <w:num w:numId="20" w16cid:durableId="2143384026">
    <w:abstractNumId w:val="10"/>
  </w:num>
  <w:num w:numId="21" w16cid:durableId="1517570719">
    <w:abstractNumId w:val="12"/>
  </w:num>
  <w:num w:numId="22" w16cid:durableId="687023212">
    <w:abstractNumId w:val="19"/>
  </w:num>
  <w:num w:numId="23" w16cid:durableId="1304577604">
    <w:abstractNumId w:val="15"/>
  </w:num>
  <w:num w:numId="24" w16cid:durableId="980420750">
    <w:abstractNumId w:val="18"/>
  </w:num>
  <w:num w:numId="25" w16cid:durableId="1325937124">
    <w:abstractNumId w:val="8"/>
  </w:num>
  <w:num w:numId="26" w16cid:durableId="626744195">
    <w:abstractNumId w:val="14"/>
  </w:num>
  <w:num w:numId="27" w16cid:durableId="20809029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453"/>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72BD5"/>
    <w:rsid w:val="00081AB1"/>
    <w:rsid w:val="00090316"/>
    <w:rsid w:val="00093981"/>
    <w:rsid w:val="000B067A"/>
    <w:rsid w:val="000B1540"/>
    <w:rsid w:val="000B1E53"/>
    <w:rsid w:val="000B33FD"/>
    <w:rsid w:val="000B4ABA"/>
    <w:rsid w:val="000C4AF9"/>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47EB"/>
    <w:rsid w:val="00156D96"/>
    <w:rsid w:val="001571C7"/>
    <w:rsid w:val="00161094"/>
    <w:rsid w:val="001669EC"/>
    <w:rsid w:val="0017665C"/>
    <w:rsid w:val="00177AD2"/>
    <w:rsid w:val="00177C2D"/>
    <w:rsid w:val="001815A8"/>
    <w:rsid w:val="001840FA"/>
    <w:rsid w:val="00190079"/>
    <w:rsid w:val="0019622E"/>
    <w:rsid w:val="001966A7"/>
    <w:rsid w:val="001A4627"/>
    <w:rsid w:val="001A4979"/>
    <w:rsid w:val="001A6DD1"/>
    <w:rsid w:val="001B15D3"/>
    <w:rsid w:val="001B3443"/>
    <w:rsid w:val="001C0326"/>
    <w:rsid w:val="001C192F"/>
    <w:rsid w:val="001C3C42"/>
    <w:rsid w:val="001D7869"/>
    <w:rsid w:val="002026CD"/>
    <w:rsid w:val="002029D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F74"/>
    <w:rsid w:val="002B20E6"/>
    <w:rsid w:val="002B42A3"/>
    <w:rsid w:val="002C0CDD"/>
    <w:rsid w:val="002C38C4"/>
    <w:rsid w:val="002E1A1D"/>
    <w:rsid w:val="002E4081"/>
    <w:rsid w:val="002E5B78"/>
    <w:rsid w:val="002F3AE3"/>
    <w:rsid w:val="0030464B"/>
    <w:rsid w:val="0030786C"/>
    <w:rsid w:val="003233DE"/>
    <w:rsid w:val="0032466B"/>
    <w:rsid w:val="003330EB"/>
    <w:rsid w:val="0033764C"/>
    <w:rsid w:val="003415FD"/>
    <w:rsid w:val="003429F0"/>
    <w:rsid w:val="00345A82"/>
    <w:rsid w:val="0035097A"/>
    <w:rsid w:val="003540A4"/>
    <w:rsid w:val="00357BCC"/>
    <w:rsid w:val="00360E4E"/>
    <w:rsid w:val="00364857"/>
    <w:rsid w:val="00370AAA"/>
    <w:rsid w:val="00375F77"/>
    <w:rsid w:val="00381BBE"/>
    <w:rsid w:val="00382903"/>
    <w:rsid w:val="003846FF"/>
    <w:rsid w:val="003857D4"/>
    <w:rsid w:val="00385AD4"/>
    <w:rsid w:val="00387924"/>
    <w:rsid w:val="0039384D"/>
    <w:rsid w:val="00395C23"/>
    <w:rsid w:val="003A077F"/>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7A06"/>
    <w:rsid w:val="00432378"/>
    <w:rsid w:val="00432A74"/>
    <w:rsid w:val="00440D65"/>
    <w:rsid w:val="004435E6"/>
    <w:rsid w:val="00447E31"/>
    <w:rsid w:val="00453923"/>
    <w:rsid w:val="00454B9B"/>
    <w:rsid w:val="00457858"/>
    <w:rsid w:val="00460B0B"/>
    <w:rsid w:val="00460C47"/>
    <w:rsid w:val="00461023"/>
    <w:rsid w:val="00462FAC"/>
    <w:rsid w:val="00464631"/>
    <w:rsid w:val="00464B79"/>
    <w:rsid w:val="00467BBF"/>
    <w:rsid w:val="0048593C"/>
    <w:rsid w:val="004867E2"/>
    <w:rsid w:val="004929A9"/>
    <w:rsid w:val="00496EE9"/>
    <w:rsid w:val="004A78D9"/>
    <w:rsid w:val="004C6BCF"/>
    <w:rsid w:val="004D58BF"/>
    <w:rsid w:val="004E4335"/>
    <w:rsid w:val="004F13EE"/>
    <w:rsid w:val="004F2022"/>
    <w:rsid w:val="004F7C05"/>
    <w:rsid w:val="00501C94"/>
    <w:rsid w:val="00506432"/>
    <w:rsid w:val="00506E82"/>
    <w:rsid w:val="0052051D"/>
    <w:rsid w:val="00525003"/>
    <w:rsid w:val="00545EE6"/>
    <w:rsid w:val="0054762C"/>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27A1"/>
    <w:rsid w:val="005E6883"/>
    <w:rsid w:val="005E6F53"/>
    <w:rsid w:val="005E772F"/>
    <w:rsid w:val="005F4ECA"/>
    <w:rsid w:val="006041BE"/>
    <w:rsid w:val="006043C7"/>
    <w:rsid w:val="00624B52"/>
    <w:rsid w:val="00630794"/>
    <w:rsid w:val="00631DF4"/>
    <w:rsid w:val="00634175"/>
    <w:rsid w:val="006344AA"/>
    <w:rsid w:val="006408AC"/>
    <w:rsid w:val="006511B6"/>
    <w:rsid w:val="00657FF8"/>
    <w:rsid w:val="00670D99"/>
    <w:rsid w:val="00670E2B"/>
    <w:rsid w:val="006734BB"/>
    <w:rsid w:val="0067697A"/>
    <w:rsid w:val="006821EB"/>
    <w:rsid w:val="00691672"/>
    <w:rsid w:val="006B2286"/>
    <w:rsid w:val="006B56BB"/>
    <w:rsid w:val="006C0DE9"/>
    <w:rsid w:val="006C77A8"/>
    <w:rsid w:val="006D4098"/>
    <w:rsid w:val="006D7681"/>
    <w:rsid w:val="006D7B2E"/>
    <w:rsid w:val="006E02EA"/>
    <w:rsid w:val="006E0968"/>
    <w:rsid w:val="006E2AF6"/>
    <w:rsid w:val="006F6B08"/>
    <w:rsid w:val="00701275"/>
    <w:rsid w:val="00707F56"/>
    <w:rsid w:val="00713558"/>
    <w:rsid w:val="00720D08"/>
    <w:rsid w:val="007263B9"/>
    <w:rsid w:val="007334F8"/>
    <w:rsid w:val="007339CD"/>
    <w:rsid w:val="007359D8"/>
    <w:rsid w:val="007362D4"/>
    <w:rsid w:val="0076672A"/>
    <w:rsid w:val="00775E45"/>
    <w:rsid w:val="00776E74"/>
    <w:rsid w:val="00785169"/>
    <w:rsid w:val="00785EC2"/>
    <w:rsid w:val="007954AB"/>
    <w:rsid w:val="007A14C5"/>
    <w:rsid w:val="007A4A10"/>
    <w:rsid w:val="007B1760"/>
    <w:rsid w:val="007B1FEE"/>
    <w:rsid w:val="007C1FDC"/>
    <w:rsid w:val="007C6D9C"/>
    <w:rsid w:val="007C7DDB"/>
    <w:rsid w:val="007D2CC7"/>
    <w:rsid w:val="007D673D"/>
    <w:rsid w:val="007E0FB8"/>
    <w:rsid w:val="007E4D09"/>
    <w:rsid w:val="007F2220"/>
    <w:rsid w:val="007F4B3E"/>
    <w:rsid w:val="008127AF"/>
    <w:rsid w:val="00812B46"/>
    <w:rsid w:val="00815700"/>
    <w:rsid w:val="00825510"/>
    <w:rsid w:val="008264EB"/>
    <w:rsid w:val="00826B8F"/>
    <w:rsid w:val="00831E8A"/>
    <w:rsid w:val="00835C76"/>
    <w:rsid w:val="008376E2"/>
    <w:rsid w:val="00843049"/>
    <w:rsid w:val="00846047"/>
    <w:rsid w:val="0085209B"/>
    <w:rsid w:val="00856B66"/>
    <w:rsid w:val="008601AC"/>
    <w:rsid w:val="00861A5F"/>
    <w:rsid w:val="008644AD"/>
    <w:rsid w:val="00865735"/>
    <w:rsid w:val="00865DDB"/>
    <w:rsid w:val="00867538"/>
    <w:rsid w:val="00867DDD"/>
    <w:rsid w:val="00873D90"/>
    <w:rsid w:val="00873FC8"/>
    <w:rsid w:val="00884C63"/>
    <w:rsid w:val="00885908"/>
    <w:rsid w:val="008864B7"/>
    <w:rsid w:val="0089677E"/>
    <w:rsid w:val="008A7438"/>
    <w:rsid w:val="008B03D3"/>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44AE"/>
    <w:rsid w:val="009344DE"/>
    <w:rsid w:val="00945E7F"/>
    <w:rsid w:val="00950D49"/>
    <w:rsid w:val="009557C1"/>
    <w:rsid w:val="00960D6E"/>
    <w:rsid w:val="00974B59"/>
    <w:rsid w:val="00980EB4"/>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A30EF"/>
    <w:rsid w:val="00AB1EE7"/>
    <w:rsid w:val="00AB4B37"/>
    <w:rsid w:val="00AB5762"/>
    <w:rsid w:val="00AC2679"/>
    <w:rsid w:val="00AC4BE4"/>
    <w:rsid w:val="00AD05E6"/>
    <w:rsid w:val="00AD0D3F"/>
    <w:rsid w:val="00AE1D7D"/>
    <w:rsid w:val="00AE2A8B"/>
    <w:rsid w:val="00AE3F64"/>
    <w:rsid w:val="00AE7F82"/>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77086"/>
    <w:rsid w:val="00C82EEB"/>
    <w:rsid w:val="00C906AF"/>
    <w:rsid w:val="00C915C0"/>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2632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4A52"/>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5351"/>
    <w:rsid w:val="00F47DA2"/>
    <w:rsid w:val="00F519FC"/>
    <w:rsid w:val="00F6239D"/>
    <w:rsid w:val="00F715D2"/>
    <w:rsid w:val="00F7274F"/>
    <w:rsid w:val="00F74E84"/>
    <w:rsid w:val="00F76FA8"/>
    <w:rsid w:val="00F93F08"/>
    <w:rsid w:val="00F94CED"/>
    <w:rsid w:val="00FA02BB"/>
    <w:rsid w:val="00FA2CEE"/>
    <w:rsid w:val="00FA318C"/>
    <w:rsid w:val="00FB6CE0"/>
    <w:rsid w:val="00FB6F92"/>
    <w:rsid w:val="00FC026E"/>
    <w:rsid w:val="00FC5124"/>
    <w:rsid w:val="00FD4731"/>
    <w:rsid w:val="00FD6768"/>
    <w:rsid w:val="00FD7ABF"/>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FD7ABF"/>
    <w:rPr>
      <w:color w:val="800080" w:themeColor="followedHyperlink"/>
      <w:u w:val="single"/>
    </w:rPr>
  </w:style>
  <w:style w:type="character" w:styleId="UnresolvedMention">
    <w:name w:val="Unresolved Mention"/>
    <w:basedOn w:val="DefaultParagraphFont"/>
    <w:uiPriority w:val="99"/>
    <w:semiHidden/>
    <w:unhideWhenUsed/>
    <w:rsid w:val="0033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org.au/medical-info/medicine-finder" TargetMode="External"/><Relationship Id="rId13" Type="http://schemas.openxmlformats.org/officeDocument/2006/relationships/hyperlink" Target="http://www.health.gov.au/biosimilars" TargetMode="External"/><Relationship Id="rId18" Type="http://schemas.openxmlformats.org/officeDocument/2006/relationships/hyperlink" Target="https://www.servicesaustralia.gov.au/pharmaceutical-benefits-sche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bs.gov.au/info/industry/pricing" TargetMode="External"/><Relationship Id="rId17" Type="http://schemas.openxmlformats.org/officeDocument/2006/relationships/hyperlink" Target="https://biosimilarhub.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bs.gov.au/info/industry/listing/elements/pbac-meetings/psd/2023-11/teriparatide-PSD-November-2023" TargetMode="External"/><Relationship Id="rId20"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general/biosimilars/biosimilar-uptake-drivers-q-and-a.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industry/listing/elements/pbac-meetings/psd/2021-03/files/teriparatide-psd-mar-2021.pdf" TargetMode="External"/><Relationship Id="rId23" Type="http://schemas.openxmlformats.org/officeDocument/2006/relationships/header" Target="header2.xml"/><Relationship Id="rId10" Type="http://schemas.openxmlformats.org/officeDocument/2006/relationships/hyperlink" Target="http://www.pbs.gov.au/browse/publications" TargetMode="External"/><Relationship Id="rId19" Type="http://schemas.openxmlformats.org/officeDocument/2006/relationships/hyperlink" Target="https://www.servicesaustralia.gov.au/claim-benefit-medicare-benefits-for-health-professionals?context=34076" TargetMode="External"/><Relationship Id="rId4" Type="http://schemas.openxmlformats.org/officeDocument/2006/relationships/settings" Target="settings.xml"/><Relationship Id="rId9" Type="http://schemas.openxmlformats.org/officeDocument/2006/relationships/hyperlink" Target="https://www.pbs.gov.au/pbs/search?term=teriparatide" TargetMode="External"/><Relationship Id="rId14" Type="http://schemas.openxmlformats.org/officeDocument/2006/relationships/hyperlink" Target="https://www.tga.gov.au/resources/resource/guidance/biosimilar-medicines-regulatio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Pharmaceutical Benefits Scheme – Biosimilar Teriparatide</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Teriparatide</dc:title>
  <dc:subject>Pharmaceutical Benefits Scheme</dc:subject>
  <dc:creator/>
  <cp:keywords>Pharmaceutical Benefits Scheme; Biosimilar medicines; Teriparatide</cp:keywords>
  <cp:lastModifiedBy/>
  <cp:revision>1</cp:revision>
  <dcterms:created xsi:type="dcterms:W3CDTF">2024-05-06T04:52:00Z</dcterms:created>
  <dcterms:modified xsi:type="dcterms:W3CDTF">2024-05-09T05:09:00Z</dcterms:modified>
</cp:coreProperties>
</file>