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57C9" w14:textId="6D2382B2" w:rsidR="00BC508E" w:rsidRPr="00260274" w:rsidRDefault="00BC508E" w:rsidP="00260274">
      <w:pPr>
        <w:pStyle w:val="Title"/>
      </w:pPr>
      <w:r w:rsidRPr="00260274">
        <w:t>Outreach Programs</w:t>
      </w:r>
    </w:p>
    <w:p w14:paraId="517CB627" w14:textId="1120FDC8" w:rsidR="00751A23" w:rsidRDefault="00BC508E" w:rsidP="00260274">
      <w:pPr>
        <w:pStyle w:val="Title"/>
      </w:pPr>
      <w:r w:rsidRPr="00BC508E">
        <w:t xml:space="preserve">Service Delivery </w:t>
      </w:r>
      <w:r w:rsidRPr="00260274">
        <w:t>Standards</w:t>
      </w:r>
    </w:p>
    <w:p w14:paraId="2BB6B9FC" w14:textId="3AC6BAB7" w:rsidR="00454281" w:rsidRPr="003B7C78" w:rsidRDefault="00FA6C8A" w:rsidP="00260274">
      <w:pPr>
        <w:rPr>
          <w:rStyle w:val="Strong"/>
        </w:rPr>
      </w:pPr>
      <w:r w:rsidRPr="003B7C78">
        <w:rPr>
          <w:rStyle w:val="Strong"/>
        </w:rPr>
        <w:t xml:space="preserve">Medical Outreach Indigenous Chronic Disease Program </w:t>
      </w:r>
    </w:p>
    <w:p w14:paraId="22848F29" w14:textId="5D5790C5" w:rsidR="00454281" w:rsidRPr="003B7C78" w:rsidRDefault="00FA6C8A" w:rsidP="00260274">
      <w:pPr>
        <w:rPr>
          <w:rStyle w:val="Strong"/>
        </w:rPr>
      </w:pPr>
      <w:r w:rsidRPr="003B7C78">
        <w:rPr>
          <w:rStyle w:val="Strong"/>
        </w:rPr>
        <w:t xml:space="preserve">Healthy Ears – Better Hearing Better Listening (Healthy Ears) Program </w:t>
      </w:r>
    </w:p>
    <w:p w14:paraId="6120531C" w14:textId="2052063D" w:rsidR="00454281" w:rsidRPr="003B7C78" w:rsidRDefault="00FA6C8A" w:rsidP="00260274">
      <w:pPr>
        <w:rPr>
          <w:rStyle w:val="Strong"/>
        </w:rPr>
      </w:pPr>
      <w:r w:rsidRPr="003B7C78">
        <w:rPr>
          <w:rStyle w:val="Strong"/>
        </w:rPr>
        <w:t xml:space="preserve">Eye and Ear Surgical Support Program </w:t>
      </w:r>
    </w:p>
    <w:p w14:paraId="15FF0760" w14:textId="6B1D6108" w:rsidR="00FA6C8A" w:rsidRPr="003B7C78" w:rsidRDefault="00FA6C8A" w:rsidP="00260274">
      <w:pPr>
        <w:rPr>
          <w:rStyle w:val="Strong"/>
        </w:rPr>
      </w:pPr>
      <w:r w:rsidRPr="003B7C78">
        <w:rPr>
          <w:rStyle w:val="Strong"/>
        </w:rPr>
        <w:t>Visiting Optometrists Scheme</w:t>
      </w:r>
    </w:p>
    <w:p w14:paraId="3926BCAF" w14:textId="77777777" w:rsidR="00544A4D" w:rsidRPr="00260274" w:rsidRDefault="00544A4D" w:rsidP="00260274"/>
    <w:p w14:paraId="6982A947" w14:textId="77777777" w:rsidR="00CA79CF" w:rsidRDefault="00CA79CF" w:rsidP="00CA79CF">
      <w:pPr>
        <w:pStyle w:val="Subtitle"/>
        <w:sectPr w:rsidR="00CA79CF" w:rsidSect="00CA79CF">
          <w:headerReference w:type="even" r:id="rId11"/>
          <w:headerReference w:type="default" r:id="rId12"/>
          <w:headerReference w:type="first" r:id="rId13"/>
          <w:type w:val="continuous"/>
          <w:pgSz w:w="11906" w:h="16838"/>
          <w:pgMar w:top="1701" w:right="1418" w:bottom="1418" w:left="1418" w:header="709" w:footer="709" w:gutter="0"/>
          <w:cols w:space="708"/>
          <w:titlePg/>
          <w:docGrid w:linePitch="360"/>
        </w:sectPr>
      </w:pPr>
    </w:p>
    <w:p w14:paraId="2AAC2BC3" w14:textId="77777777" w:rsidR="009D6E4A" w:rsidRPr="00260274" w:rsidRDefault="009D6E4A" w:rsidP="003B7C78">
      <w:pPr>
        <w:spacing w:before="240" w:after="240"/>
        <w:rPr>
          <w:rStyle w:val="Strong"/>
        </w:rPr>
      </w:pPr>
      <w:r w:rsidRPr="00260274">
        <w:rPr>
          <w:rStyle w:val="Strong"/>
        </w:rPr>
        <w:lastRenderedPageBreak/>
        <w:t>Versions:</w:t>
      </w:r>
    </w:p>
    <w:p w14:paraId="682133C8" w14:textId="66626099" w:rsidR="009D6E4A" w:rsidRPr="00C7539A" w:rsidRDefault="009D6E4A" w:rsidP="00C7539A">
      <w:r w:rsidRPr="00C7539A">
        <w:rPr>
          <w:rStyle w:val="Strong"/>
        </w:rPr>
        <w:t>Issued</w:t>
      </w:r>
      <w:r w:rsidRPr="00C7539A">
        <w:t>: 20 October 2020</w:t>
      </w:r>
    </w:p>
    <w:p w14:paraId="25E52393" w14:textId="6130C9AD" w:rsidR="009D6E4A" w:rsidRPr="00C7539A" w:rsidRDefault="009D6E4A" w:rsidP="00C7539A">
      <w:r w:rsidRPr="00C7539A">
        <w:rPr>
          <w:rStyle w:val="Strong"/>
        </w:rPr>
        <w:t>Amendment No.1</w:t>
      </w:r>
      <w:r w:rsidRPr="00C7539A">
        <w:t xml:space="preserve">: </w:t>
      </w:r>
      <w:r w:rsidR="004C50E2" w:rsidRPr="00C7539A">
        <w:t xml:space="preserve">December </w:t>
      </w:r>
      <w:r w:rsidRPr="00C7539A">
        <w:t>2021</w:t>
      </w:r>
    </w:p>
    <w:p w14:paraId="66BA6080" w14:textId="77D3CD4D" w:rsidR="009D6E4A" w:rsidRPr="00B65018" w:rsidRDefault="009D6E4A" w:rsidP="00B65018">
      <w:pPr>
        <w:pStyle w:val="ListBullet2"/>
      </w:pPr>
      <w:r w:rsidRPr="00B65018">
        <w:t xml:space="preserve">Inclusion of eligibility to provides services to </w:t>
      </w:r>
      <w:r w:rsidR="00037993" w:rsidRPr="00B65018">
        <w:t>First Nations</w:t>
      </w:r>
      <w:r w:rsidRPr="00B65018">
        <w:t xml:space="preserve"> patients in Modified Monash (MM)1 locations under the Visiting Optometrists Scheme (VOS)</w:t>
      </w:r>
      <w:r w:rsidR="00F251D9" w:rsidRPr="00B65018">
        <w:t>.</w:t>
      </w:r>
    </w:p>
    <w:p w14:paraId="19E03451" w14:textId="3CDD48D9" w:rsidR="002938EA" w:rsidRPr="00B65018" w:rsidRDefault="009D6E4A" w:rsidP="00B65018">
      <w:pPr>
        <w:pStyle w:val="ListBullet2"/>
      </w:pPr>
      <w:r w:rsidRPr="00B65018">
        <w:t>Inclusion of an additional Travel Time Allowance under the VOS</w:t>
      </w:r>
      <w:r w:rsidR="00F251D9" w:rsidRPr="00B65018">
        <w:t>.</w:t>
      </w:r>
    </w:p>
    <w:p w14:paraId="521FC293" w14:textId="7DB7ACC5" w:rsidR="002938EA" w:rsidRPr="00B65018" w:rsidRDefault="002938EA" w:rsidP="00B65018">
      <w:pPr>
        <w:pStyle w:val="ListBullet2"/>
      </w:pPr>
      <w:r w:rsidRPr="00B65018">
        <w:t>Added definition of private vehicle in the glossary and clarification of use of private vehicle</w:t>
      </w:r>
      <w:r w:rsidR="00F251D9" w:rsidRPr="00B65018">
        <w:t>.</w:t>
      </w:r>
    </w:p>
    <w:p w14:paraId="151BDFAE" w14:textId="3B0C0EDD" w:rsidR="00D0495C" w:rsidRPr="00B65018" w:rsidRDefault="002938EA" w:rsidP="00B65018">
      <w:pPr>
        <w:pStyle w:val="ListBullet2"/>
      </w:pPr>
      <w:r w:rsidRPr="00B65018">
        <w:t>Clarified Backfilling in the glossary</w:t>
      </w:r>
      <w:r w:rsidR="00F251D9" w:rsidRPr="00B65018">
        <w:t>.</w:t>
      </w:r>
    </w:p>
    <w:p w14:paraId="7C46C172" w14:textId="4DD49B5D" w:rsidR="00DF02C4" w:rsidRPr="00B65018" w:rsidRDefault="00D0495C" w:rsidP="00B65018">
      <w:pPr>
        <w:pStyle w:val="ListBullet2"/>
      </w:pPr>
      <w:r w:rsidRPr="00B65018">
        <w:t>Clarified eligibility for Host Facility Fees</w:t>
      </w:r>
      <w:r w:rsidR="00F251D9" w:rsidRPr="00B65018">
        <w:t>.</w:t>
      </w:r>
    </w:p>
    <w:p w14:paraId="037C3736" w14:textId="3818572F" w:rsidR="00E06C3F" w:rsidRPr="00B65018" w:rsidRDefault="00DF02C4" w:rsidP="00B65018">
      <w:pPr>
        <w:pStyle w:val="ListBullet2"/>
      </w:pPr>
      <w:r w:rsidRPr="00B65018">
        <w:t>Expanded Workforce Support Payments</w:t>
      </w:r>
      <w:r w:rsidR="00F251D9" w:rsidRPr="00B65018">
        <w:t>.</w:t>
      </w:r>
    </w:p>
    <w:p w14:paraId="1DF796A3" w14:textId="0E3FBAFD" w:rsidR="00E06C3F" w:rsidRPr="00C7539A" w:rsidRDefault="00E06C3F" w:rsidP="00C7539A">
      <w:r w:rsidRPr="00C7539A">
        <w:rPr>
          <w:rStyle w:val="Strong"/>
        </w:rPr>
        <w:t>Amendment No. 2</w:t>
      </w:r>
      <w:r w:rsidRPr="00C7539A">
        <w:t xml:space="preserve">: </w:t>
      </w:r>
      <w:r w:rsidR="004A4D56" w:rsidRPr="00C7539A">
        <w:t>March 2024</w:t>
      </w:r>
    </w:p>
    <w:p w14:paraId="3471A686" w14:textId="4CBEC757" w:rsidR="00E06C3F" w:rsidRPr="00B65018" w:rsidRDefault="00DD1B7B" w:rsidP="00B65018">
      <w:pPr>
        <w:pStyle w:val="ListBullet2"/>
      </w:pPr>
      <w:r w:rsidRPr="00B65018">
        <w:t>‘Aboriginal and Torres Strait Islander’</w:t>
      </w:r>
      <w:r w:rsidR="00022425" w:rsidRPr="00B65018">
        <w:t xml:space="preserve"> people</w:t>
      </w:r>
      <w:r w:rsidRPr="00B65018">
        <w:t xml:space="preserve"> replaced by ‘First Nations’</w:t>
      </w:r>
      <w:r w:rsidR="00022425" w:rsidRPr="00B65018">
        <w:t xml:space="preserve"> people</w:t>
      </w:r>
      <w:r w:rsidR="00F251D9" w:rsidRPr="00B65018">
        <w:t>.</w:t>
      </w:r>
    </w:p>
    <w:p w14:paraId="5BAEEA59" w14:textId="1DA92DD7" w:rsidR="00DD1B7B" w:rsidRPr="00B65018" w:rsidRDefault="00E6011C" w:rsidP="00B65018">
      <w:pPr>
        <w:pStyle w:val="ListBullet2"/>
      </w:pPr>
      <w:r w:rsidRPr="00B65018">
        <w:t>Minor editorial changes to improve overall readability</w:t>
      </w:r>
      <w:r w:rsidR="001812C8" w:rsidRPr="00B65018">
        <w:t>, including updating of broken web links</w:t>
      </w:r>
      <w:r w:rsidR="00F251D9" w:rsidRPr="00B65018">
        <w:t>.</w:t>
      </w:r>
    </w:p>
    <w:p w14:paraId="0409F79D" w14:textId="6513C3D9" w:rsidR="006A0D74" w:rsidRPr="00260274" w:rsidRDefault="006A0D74" w:rsidP="00260274">
      <w:r w:rsidRPr="00260274">
        <w:t xml:space="preserve">Updated wording and new sections </w:t>
      </w:r>
      <w:r w:rsidR="00D168D9" w:rsidRPr="00260274">
        <w:t xml:space="preserve">added </w:t>
      </w:r>
      <w:r w:rsidRPr="00260274">
        <w:t>to reflect recommendations from the Outreach Evaluation Report and stakeholder feedback:</w:t>
      </w:r>
    </w:p>
    <w:p w14:paraId="7E505D4E" w14:textId="53191365" w:rsidR="00376922" w:rsidRPr="00B65018" w:rsidRDefault="00376922" w:rsidP="00B65018">
      <w:pPr>
        <w:pStyle w:val="ListBullet2"/>
      </w:pPr>
      <w:r w:rsidRPr="00B65018">
        <w:t>New Section</w:t>
      </w:r>
      <w:r w:rsidR="005B3B1D" w:rsidRPr="00B65018">
        <w:t>s</w:t>
      </w:r>
      <w:r w:rsidRPr="00B65018">
        <w:t xml:space="preserve"> 2.2</w:t>
      </w:r>
      <w:r w:rsidR="005B3B1D" w:rsidRPr="00B65018">
        <w:t xml:space="preserve"> (</w:t>
      </w:r>
      <w:r w:rsidR="00587CE6" w:rsidRPr="00B65018">
        <w:t>Reporting)</w:t>
      </w:r>
      <w:r w:rsidR="005B3B1D" w:rsidRPr="00B65018">
        <w:t xml:space="preserve"> and 4.9 (Program administration costs for Fundholders)</w:t>
      </w:r>
    </w:p>
    <w:p w14:paraId="79394F27" w14:textId="2E971B4D" w:rsidR="00F251D9" w:rsidRPr="00B65018" w:rsidRDefault="006A0D74" w:rsidP="00B65018">
      <w:pPr>
        <w:pStyle w:val="ListBullet2"/>
      </w:pPr>
      <w:r w:rsidRPr="00B65018">
        <w:t>Section 3.2: Updated wording on Outreach Advisory Forum members and observers.</w:t>
      </w:r>
    </w:p>
    <w:p w14:paraId="751143B2" w14:textId="5004E8A7" w:rsidR="00F251D9" w:rsidRPr="00B65018" w:rsidRDefault="006A0D74" w:rsidP="00B65018">
      <w:pPr>
        <w:pStyle w:val="ListBullet2"/>
      </w:pPr>
      <w:r w:rsidRPr="00B65018">
        <w:t>Section 3.3: Updated wording on Outreach Advisory Forum Chair</w:t>
      </w:r>
    </w:p>
    <w:p w14:paraId="2F49A2A2" w14:textId="6889C125" w:rsidR="006A0D74" w:rsidRPr="00B65018" w:rsidRDefault="006A0D74" w:rsidP="00B65018">
      <w:pPr>
        <w:pStyle w:val="ListBullet2"/>
      </w:pPr>
      <w:r w:rsidRPr="00B65018">
        <w:t>Section 4.1: Updated wording to include Aboriginal Community Controlled Health Services as preferred providers for First Nations people.</w:t>
      </w:r>
    </w:p>
    <w:p w14:paraId="734A0BBD" w14:textId="17EC0EBD" w:rsidR="006A0D74" w:rsidRPr="00B65018" w:rsidRDefault="006A0D74" w:rsidP="00B65018">
      <w:pPr>
        <w:pStyle w:val="ListBullet2"/>
      </w:pPr>
      <w:r w:rsidRPr="00B65018">
        <w:t xml:space="preserve">Section 4.8: Updated Eligible Activities </w:t>
      </w:r>
    </w:p>
    <w:p w14:paraId="04D2604D" w14:textId="07C38821" w:rsidR="00525EE5" w:rsidRPr="00B65018" w:rsidRDefault="00525EE5" w:rsidP="00B65018">
      <w:pPr>
        <w:pStyle w:val="ListBullet2"/>
      </w:pPr>
      <w:r w:rsidRPr="00B65018">
        <w:t xml:space="preserve">Section 5.2: </w:t>
      </w:r>
      <w:r w:rsidR="004C3828" w:rsidRPr="00B65018">
        <w:t>Simplified wording for Hire cars</w:t>
      </w:r>
      <w:r w:rsidRPr="00B65018">
        <w:t>.</w:t>
      </w:r>
    </w:p>
    <w:p w14:paraId="2AE6CA85" w14:textId="2537FEAD" w:rsidR="004C3828" w:rsidRPr="00B65018" w:rsidRDefault="004C3828" w:rsidP="00B65018">
      <w:pPr>
        <w:pStyle w:val="ListBullet2"/>
      </w:pPr>
      <w:r w:rsidRPr="00B65018">
        <w:t>Section 5.4: Removed requirement for Department approval.</w:t>
      </w:r>
    </w:p>
    <w:p w14:paraId="539F22CB" w14:textId="75FF20AD" w:rsidR="006A0D74" w:rsidRPr="00B65018" w:rsidRDefault="004C3828" w:rsidP="00B65018">
      <w:pPr>
        <w:pStyle w:val="ListBullet2"/>
      </w:pPr>
      <w:r w:rsidRPr="00B65018">
        <w:t>Section 5.5: Removed requirement for Department approval</w:t>
      </w:r>
      <w:r w:rsidR="006A0D74" w:rsidRPr="00B65018">
        <w:t>.</w:t>
      </w:r>
    </w:p>
    <w:p w14:paraId="0F14AA65" w14:textId="10F1B314" w:rsidR="004C3828" w:rsidRPr="00B65018" w:rsidRDefault="006A0D74" w:rsidP="00B65018">
      <w:pPr>
        <w:pStyle w:val="ListBullet2"/>
      </w:pPr>
      <w:r w:rsidRPr="00B65018">
        <w:t xml:space="preserve">Section 5.8: Removed requirement for Department approval </w:t>
      </w:r>
      <w:r w:rsidR="004C3828" w:rsidRPr="00B65018">
        <w:t>for Workforce Support Payment considerations</w:t>
      </w:r>
      <w:r w:rsidRPr="00B65018">
        <w:t>.</w:t>
      </w:r>
    </w:p>
    <w:p w14:paraId="3EEFAB71" w14:textId="6E5BB39E" w:rsidR="006A0D74" w:rsidRPr="00B65018" w:rsidRDefault="006A0D74" w:rsidP="00B65018">
      <w:pPr>
        <w:pStyle w:val="ListBullet2"/>
      </w:pPr>
      <w:r w:rsidRPr="00B65018">
        <w:t>Glossary: added definition of Value for Money.</w:t>
      </w:r>
    </w:p>
    <w:p w14:paraId="2FD0E180" w14:textId="77777777" w:rsidR="00E06C3F" w:rsidRDefault="00E06C3F">
      <w:r>
        <w:br w:type="page"/>
      </w:r>
    </w:p>
    <w:sdt>
      <w:sdtPr>
        <w:rPr>
          <w:rFonts w:eastAsia="Times New Roman" w:cs="Times New Roman"/>
          <w:color w:val="auto"/>
          <w:sz w:val="22"/>
          <w:szCs w:val="24"/>
          <w:lang w:val="en-AU"/>
        </w:rPr>
        <w:id w:val="1073003427"/>
        <w:docPartObj>
          <w:docPartGallery w:val="Table of Contents"/>
          <w:docPartUnique/>
        </w:docPartObj>
      </w:sdtPr>
      <w:sdtEndPr>
        <w:rPr>
          <w:b/>
          <w:bCs/>
          <w:noProof/>
        </w:rPr>
      </w:sdtEndPr>
      <w:sdtContent>
        <w:p w14:paraId="253F24FE" w14:textId="5CFAE399" w:rsidR="001D6018" w:rsidRDefault="001D6018">
          <w:pPr>
            <w:pStyle w:val="TOCHeading"/>
          </w:pPr>
          <w:r>
            <w:t>Contents</w:t>
          </w:r>
        </w:p>
        <w:p w14:paraId="22A0ECB1" w14:textId="41FF5C7D" w:rsidR="0026633C" w:rsidRDefault="001D6018">
          <w:pPr>
            <w:pStyle w:val="TOC1"/>
            <w:rPr>
              <w:rFonts w:asciiTheme="minorHAnsi" w:eastAsiaTheme="minorEastAsia" w:hAnsiTheme="minorHAnsi" w:cstheme="minorBidi"/>
              <w:noProof/>
              <w:kern w:val="2"/>
              <w:szCs w:val="22"/>
              <w:lang w:eastAsia="en-AU"/>
              <w14:ligatures w14:val="standardContextual"/>
            </w:rPr>
          </w:pPr>
          <w:r>
            <w:fldChar w:fldCharType="begin"/>
          </w:r>
          <w:r>
            <w:instrText xml:space="preserve"> TOC \o "1-3" \h \z \u </w:instrText>
          </w:r>
          <w:r>
            <w:fldChar w:fldCharType="separate"/>
          </w:r>
          <w:hyperlink w:anchor="_Toc164328416" w:history="1">
            <w:r w:rsidR="0026633C" w:rsidRPr="00C765C2">
              <w:rPr>
                <w:rStyle w:val="Hyperlink"/>
                <w:noProof/>
              </w:rPr>
              <w:t>1</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Outreach Programs Overview</w:t>
            </w:r>
            <w:r w:rsidR="0026633C">
              <w:rPr>
                <w:noProof/>
                <w:webHidden/>
              </w:rPr>
              <w:tab/>
            </w:r>
            <w:r w:rsidR="0026633C">
              <w:rPr>
                <w:noProof/>
                <w:webHidden/>
              </w:rPr>
              <w:fldChar w:fldCharType="begin"/>
            </w:r>
            <w:r w:rsidR="0026633C">
              <w:rPr>
                <w:noProof/>
                <w:webHidden/>
              </w:rPr>
              <w:instrText xml:space="preserve"> PAGEREF _Toc164328416 \h </w:instrText>
            </w:r>
            <w:r w:rsidR="0026633C">
              <w:rPr>
                <w:noProof/>
                <w:webHidden/>
              </w:rPr>
            </w:r>
            <w:r w:rsidR="0026633C">
              <w:rPr>
                <w:noProof/>
                <w:webHidden/>
              </w:rPr>
              <w:fldChar w:fldCharType="separate"/>
            </w:r>
            <w:r w:rsidR="0026633C">
              <w:rPr>
                <w:noProof/>
                <w:webHidden/>
              </w:rPr>
              <w:t>4</w:t>
            </w:r>
            <w:r w:rsidR="0026633C">
              <w:rPr>
                <w:noProof/>
                <w:webHidden/>
              </w:rPr>
              <w:fldChar w:fldCharType="end"/>
            </w:r>
          </w:hyperlink>
        </w:p>
        <w:p w14:paraId="12A503E3" w14:textId="3F6B99C5" w:rsidR="0026633C" w:rsidRDefault="00000000">
          <w:pPr>
            <w:pStyle w:val="TOC1"/>
            <w:rPr>
              <w:rFonts w:asciiTheme="minorHAnsi" w:eastAsiaTheme="minorEastAsia" w:hAnsiTheme="minorHAnsi" w:cstheme="minorBidi"/>
              <w:noProof/>
              <w:kern w:val="2"/>
              <w:szCs w:val="22"/>
              <w:lang w:eastAsia="en-AU"/>
              <w14:ligatures w14:val="standardContextual"/>
            </w:rPr>
          </w:pPr>
          <w:hyperlink w:anchor="_Toc164328417" w:history="1">
            <w:r w:rsidR="0026633C" w:rsidRPr="00C765C2">
              <w:rPr>
                <w:rStyle w:val="Hyperlink"/>
                <w:noProof/>
              </w:rPr>
              <w:t>2</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The Fundholders</w:t>
            </w:r>
            <w:r w:rsidR="0026633C">
              <w:rPr>
                <w:noProof/>
                <w:webHidden/>
              </w:rPr>
              <w:tab/>
            </w:r>
            <w:r w:rsidR="0026633C">
              <w:rPr>
                <w:noProof/>
                <w:webHidden/>
              </w:rPr>
              <w:fldChar w:fldCharType="begin"/>
            </w:r>
            <w:r w:rsidR="0026633C">
              <w:rPr>
                <w:noProof/>
                <w:webHidden/>
              </w:rPr>
              <w:instrText xml:space="preserve"> PAGEREF _Toc164328417 \h </w:instrText>
            </w:r>
            <w:r w:rsidR="0026633C">
              <w:rPr>
                <w:noProof/>
                <w:webHidden/>
              </w:rPr>
            </w:r>
            <w:r w:rsidR="0026633C">
              <w:rPr>
                <w:noProof/>
                <w:webHidden/>
              </w:rPr>
              <w:fldChar w:fldCharType="separate"/>
            </w:r>
            <w:r w:rsidR="0026633C">
              <w:rPr>
                <w:noProof/>
                <w:webHidden/>
              </w:rPr>
              <w:t>4</w:t>
            </w:r>
            <w:r w:rsidR="0026633C">
              <w:rPr>
                <w:noProof/>
                <w:webHidden/>
              </w:rPr>
              <w:fldChar w:fldCharType="end"/>
            </w:r>
          </w:hyperlink>
        </w:p>
        <w:p w14:paraId="5F92C499" w14:textId="5C12ECA1"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18" w:history="1">
            <w:r w:rsidR="0026633C" w:rsidRPr="00C765C2">
              <w:rPr>
                <w:rStyle w:val="Hyperlink"/>
                <w:noProof/>
              </w:rPr>
              <w:t>2.1</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Needs Assessment</w:t>
            </w:r>
            <w:r w:rsidR="0026633C">
              <w:rPr>
                <w:noProof/>
                <w:webHidden/>
              </w:rPr>
              <w:tab/>
            </w:r>
            <w:r w:rsidR="0026633C">
              <w:rPr>
                <w:noProof/>
                <w:webHidden/>
              </w:rPr>
              <w:fldChar w:fldCharType="begin"/>
            </w:r>
            <w:r w:rsidR="0026633C">
              <w:rPr>
                <w:noProof/>
                <w:webHidden/>
              </w:rPr>
              <w:instrText xml:space="preserve"> PAGEREF _Toc164328418 \h </w:instrText>
            </w:r>
            <w:r w:rsidR="0026633C">
              <w:rPr>
                <w:noProof/>
                <w:webHidden/>
              </w:rPr>
            </w:r>
            <w:r w:rsidR="0026633C">
              <w:rPr>
                <w:noProof/>
                <w:webHidden/>
              </w:rPr>
              <w:fldChar w:fldCharType="separate"/>
            </w:r>
            <w:r w:rsidR="0026633C">
              <w:rPr>
                <w:noProof/>
                <w:webHidden/>
              </w:rPr>
              <w:t>5</w:t>
            </w:r>
            <w:r w:rsidR="0026633C">
              <w:rPr>
                <w:noProof/>
                <w:webHidden/>
              </w:rPr>
              <w:fldChar w:fldCharType="end"/>
            </w:r>
          </w:hyperlink>
        </w:p>
        <w:p w14:paraId="1C8D1712" w14:textId="4E7F6E54"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19" w:history="1">
            <w:r w:rsidR="0026633C" w:rsidRPr="00C765C2">
              <w:rPr>
                <w:rStyle w:val="Hyperlink"/>
                <w:noProof/>
              </w:rPr>
              <w:t>2.2</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Reporting</w:t>
            </w:r>
            <w:r w:rsidR="0026633C">
              <w:rPr>
                <w:noProof/>
                <w:webHidden/>
              </w:rPr>
              <w:tab/>
            </w:r>
            <w:r w:rsidR="0026633C">
              <w:rPr>
                <w:noProof/>
                <w:webHidden/>
              </w:rPr>
              <w:fldChar w:fldCharType="begin"/>
            </w:r>
            <w:r w:rsidR="0026633C">
              <w:rPr>
                <w:noProof/>
                <w:webHidden/>
              </w:rPr>
              <w:instrText xml:space="preserve"> PAGEREF _Toc164328419 \h </w:instrText>
            </w:r>
            <w:r w:rsidR="0026633C">
              <w:rPr>
                <w:noProof/>
                <w:webHidden/>
              </w:rPr>
            </w:r>
            <w:r w:rsidR="0026633C">
              <w:rPr>
                <w:noProof/>
                <w:webHidden/>
              </w:rPr>
              <w:fldChar w:fldCharType="separate"/>
            </w:r>
            <w:r w:rsidR="0026633C">
              <w:rPr>
                <w:noProof/>
                <w:webHidden/>
              </w:rPr>
              <w:t>5</w:t>
            </w:r>
            <w:r w:rsidR="0026633C">
              <w:rPr>
                <w:noProof/>
                <w:webHidden/>
              </w:rPr>
              <w:fldChar w:fldCharType="end"/>
            </w:r>
          </w:hyperlink>
        </w:p>
        <w:p w14:paraId="6BBAE02F" w14:textId="3F7787CA" w:rsidR="0026633C" w:rsidRDefault="00000000">
          <w:pPr>
            <w:pStyle w:val="TOC1"/>
            <w:rPr>
              <w:rFonts w:asciiTheme="minorHAnsi" w:eastAsiaTheme="minorEastAsia" w:hAnsiTheme="minorHAnsi" w:cstheme="minorBidi"/>
              <w:noProof/>
              <w:kern w:val="2"/>
              <w:szCs w:val="22"/>
              <w:lang w:eastAsia="en-AU"/>
              <w14:ligatures w14:val="standardContextual"/>
            </w:rPr>
          </w:pPr>
          <w:hyperlink w:anchor="_Toc164328420" w:history="1">
            <w:r w:rsidR="0026633C" w:rsidRPr="00C765C2">
              <w:rPr>
                <w:rStyle w:val="Hyperlink"/>
                <w:noProof/>
              </w:rPr>
              <w:t>3</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Governance</w:t>
            </w:r>
            <w:r w:rsidR="0026633C">
              <w:rPr>
                <w:noProof/>
                <w:webHidden/>
              </w:rPr>
              <w:tab/>
            </w:r>
            <w:r w:rsidR="0026633C">
              <w:rPr>
                <w:noProof/>
                <w:webHidden/>
              </w:rPr>
              <w:fldChar w:fldCharType="begin"/>
            </w:r>
            <w:r w:rsidR="0026633C">
              <w:rPr>
                <w:noProof/>
                <w:webHidden/>
              </w:rPr>
              <w:instrText xml:space="preserve"> PAGEREF _Toc164328420 \h </w:instrText>
            </w:r>
            <w:r w:rsidR="0026633C">
              <w:rPr>
                <w:noProof/>
                <w:webHidden/>
              </w:rPr>
            </w:r>
            <w:r w:rsidR="0026633C">
              <w:rPr>
                <w:noProof/>
                <w:webHidden/>
              </w:rPr>
              <w:fldChar w:fldCharType="separate"/>
            </w:r>
            <w:r w:rsidR="0026633C">
              <w:rPr>
                <w:noProof/>
                <w:webHidden/>
              </w:rPr>
              <w:t>6</w:t>
            </w:r>
            <w:r w:rsidR="0026633C">
              <w:rPr>
                <w:noProof/>
                <w:webHidden/>
              </w:rPr>
              <w:fldChar w:fldCharType="end"/>
            </w:r>
          </w:hyperlink>
        </w:p>
        <w:p w14:paraId="7B375252" w14:textId="5EEA7BD8"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21" w:history="1">
            <w:r w:rsidR="0026633C" w:rsidRPr="00C765C2">
              <w:rPr>
                <w:rStyle w:val="Hyperlink"/>
                <w:noProof/>
              </w:rPr>
              <w:t>3.1</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Outreach Advisory Forum</w:t>
            </w:r>
            <w:r w:rsidR="0026633C">
              <w:rPr>
                <w:noProof/>
                <w:webHidden/>
              </w:rPr>
              <w:tab/>
            </w:r>
            <w:r w:rsidR="0026633C">
              <w:rPr>
                <w:noProof/>
                <w:webHidden/>
              </w:rPr>
              <w:fldChar w:fldCharType="begin"/>
            </w:r>
            <w:r w:rsidR="0026633C">
              <w:rPr>
                <w:noProof/>
                <w:webHidden/>
              </w:rPr>
              <w:instrText xml:space="preserve"> PAGEREF _Toc164328421 \h </w:instrText>
            </w:r>
            <w:r w:rsidR="0026633C">
              <w:rPr>
                <w:noProof/>
                <w:webHidden/>
              </w:rPr>
            </w:r>
            <w:r w:rsidR="0026633C">
              <w:rPr>
                <w:noProof/>
                <w:webHidden/>
              </w:rPr>
              <w:fldChar w:fldCharType="separate"/>
            </w:r>
            <w:r w:rsidR="0026633C">
              <w:rPr>
                <w:noProof/>
                <w:webHidden/>
              </w:rPr>
              <w:t>6</w:t>
            </w:r>
            <w:r w:rsidR="0026633C">
              <w:rPr>
                <w:noProof/>
                <w:webHidden/>
              </w:rPr>
              <w:fldChar w:fldCharType="end"/>
            </w:r>
          </w:hyperlink>
        </w:p>
        <w:p w14:paraId="145E1FAF" w14:textId="29F2A7F3"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22" w:history="1">
            <w:r w:rsidR="0026633C" w:rsidRPr="00C765C2">
              <w:rPr>
                <w:rStyle w:val="Hyperlink"/>
                <w:noProof/>
              </w:rPr>
              <w:t>3.2</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Outreach Advisory Forum members and observers</w:t>
            </w:r>
            <w:r w:rsidR="0026633C">
              <w:rPr>
                <w:noProof/>
                <w:webHidden/>
              </w:rPr>
              <w:tab/>
            </w:r>
            <w:r w:rsidR="0026633C">
              <w:rPr>
                <w:noProof/>
                <w:webHidden/>
              </w:rPr>
              <w:fldChar w:fldCharType="begin"/>
            </w:r>
            <w:r w:rsidR="0026633C">
              <w:rPr>
                <w:noProof/>
                <w:webHidden/>
              </w:rPr>
              <w:instrText xml:space="preserve"> PAGEREF _Toc164328422 \h </w:instrText>
            </w:r>
            <w:r w:rsidR="0026633C">
              <w:rPr>
                <w:noProof/>
                <w:webHidden/>
              </w:rPr>
            </w:r>
            <w:r w:rsidR="0026633C">
              <w:rPr>
                <w:noProof/>
                <w:webHidden/>
              </w:rPr>
              <w:fldChar w:fldCharType="separate"/>
            </w:r>
            <w:r w:rsidR="0026633C">
              <w:rPr>
                <w:noProof/>
                <w:webHidden/>
              </w:rPr>
              <w:t>6</w:t>
            </w:r>
            <w:r w:rsidR="0026633C">
              <w:rPr>
                <w:noProof/>
                <w:webHidden/>
              </w:rPr>
              <w:fldChar w:fldCharType="end"/>
            </w:r>
          </w:hyperlink>
        </w:p>
        <w:p w14:paraId="79F234D8" w14:textId="62E42B9D"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23" w:history="1">
            <w:r w:rsidR="0026633C" w:rsidRPr="00C765C2">
              <w:rPr>
                <w:rStyle w:val="Hyperlink"/>
                <w:noProof/>
              </w:rPr>
              <w:t>3.3</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Outreach Advisory Forum Chair</w:t>
            </w:r>
            <w:r w:rsidR="0026633C">
              <w:rPr>
                <w:noProof/>
                <w:webHidden/>
              </w:rPr>
              <w:tab/>
            </w:r>
            <w:r w:rsidR="0026633C">
              <w:rPr>
                <w:noProof/>
                <w:webHidden/>
              </w:rPr>
              <w:fldChar w:fldCharType="begin"/>
            </w:r>
            <w:r w:rsidR="0026633C">
              <w:rPr>
                <w:noProof/>
                <w:webHidden/>
              </w:rPr>
              <w:instrText xml:space="preserve"> PAGEREF _Toc164328423 \h </w:instrText>
            </w:r>
            <w:r w:rsidR="0026633C">
              <w:rPr>
                <w:noProof/>
                <w:webHidden/>
              </w:rPr>
            </w:r>
            <w:r w:rsidR="0026633C">
              <w:rPr>
                <w:noProof/>
                <w:webHidden/>
              </w:rPr>
              <w:fldChar w:fldCharType="separate"/>
            </w:r>
            <w:r w:rsidR="0026633C">
              <w:rPr>
                <w:noProof/>
                <w:webHidden/>
              </w:rPr>
              <w:t>7</w:t>
            </w:r>
            <w:r w:rsidR="0026633C">
              <w:rPr>
                <w:noProof/>
                <w:webHidden/>
              </w:rPr>
              <w:fldChar w:fldCharType="end"/>
            </w:r>
          </w:hyperlink>
        </w:p>
        <w:p w14:paraId="5BE22C1E" w14:textId="6C0D8B8A"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24" w:history="1">
            <w:r w:rsidR="0026633C" w:rsidRPr="00C765C2">
              <w:rPr>
                <w:rStyle w:val="Hyperlink"/>
                <w:noProof/>
              </w:rPr>
              <w:t>3.4</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Administration of the Outreach Advisory Forum</w:t>
            </w:r>
            <w:r w:rsidR="0026633C">
              <w:rPr>
                <w:noProof/>
                <w:webHidden/>
              </w:rPr>
              <w:tab/>
            </w:r>
            <w:r w:rsidR="0026633C">
              <w:rPr>
                <w:noProof/>
                <w:webHidden/>
              </w:rPr>
              <w:fldChar w:fldCharType="begin"/>
            </w:r>
            <w:r w:rsidR="0026633C">
              <w:rPr>
                <w:noProof/>
                <w:webHidden/>
              </w:rPr>
              <w:instrText xml:space="preserve"> PAGEREF _Toc164328424 \h </w:instrText>
            </w:r>
            <w:r w:rsidR="0026633C">
              <w:rPr>
                <w:noProof/>
                <w:webHidden/>
              </w:rPr>
            </w:r>
            <w:r w:rsidR="0026633C">
              <w:rPr>
                <w:noProof/>
                <w:webHidden/>
              </w:rPr>
              <w:fldChar w:fldCharType="separate"/>
            </w:r>
            <w:r w:rsidR="0026633C">
              <w:rPr>
                <w:noProof/>
                <w:webHidden/>
              </w:rPr>
              <w:t>7</w:t>
            </w:r>
            <w:r w:rsidR="0026633C">
              <w:rPr>
                <w:noProof/>
                <w:webHidden/>
              </w:rPr>
              <w:fldChar w:fldCharType="end"/>
            </w:r>
          </w:hyperlink>
        </w:p>
        <w:p w14:paraId="0EC3593D" w14:textId="46BB84FC" w:rsidR="0026633C" w:rsidRDefault="00000000">
          <w:pPr>
            <w:pStyle w:val="TOC1"/>
            <w:rPr>
              <w:rFonts w:asciiTheme="minorHAnsi" w:eastAsiaTheme="minorEastAsia" w:hAnsiTheme="minorHAnsi" w:cstheme="minorBidi"/>
              <w:noProof/>
              <w:kern w:val="2"/>
              <w:szCs w:val="22"/>
              <w:lang w:eastAsia="en-AU"/>
              <w14:ligatures w14:val="standardContextual"/>
            </w:rPr>
          </w:pPr>
          <w:hyperlink w:anchor="_Toc164328425" w:history="1">
            <w:r w:rsidR="0026633C" w:rsidRPr="00C765C2">
              <w:rPr>
                <w:rStyle w:val="Hyperlink"/>
                <w:noProof/>
              </w:rPr>
              <w:t>4</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Service Eligibility</w:t>
            </w:r>
            <w:r w:rsidR="0026633C">
              <w:rPr>
                <w:noProof/>
                <w:webHidden/>
              </w:rPr>
              <w:tab/>
            </w:r>
            <w:r w:rsidR="0026633C">
              <w:rPr>
                <w:noProof/>
                <w:webHidden/>
              </w:rPr>
              <w:fldChar w:fldCharType="begin"/>
            </w:r>
            <w:r w:rsidR="0026633C">
              <w:rPr>
                <w:noProof/>
                <w:webHidden/>
              </w:rPr>
              <w:instrText xml:space="preserve"> PAGEREF _Toc164328425 \h </w:instrText>
            </w:r>
            <w:r w:rsidR="0026633C">
              <w:rPr>
                <w:noProof/>
                <w:webHidden/>
              </w:rPr>
            </w:r>
            <w:r w:rsidR="0026633C">
              <w:rPr>
                <w:noProof/>
                <w:webHidden/>
              </w:rPr>
              <w:fldChar w:fldCharType="separate"/>
            </w:r>
            <w:r w:rsidR="0026633C">
              <w:rPr>
                <w:noProof/>
                <w:webHidden/>
              </w:rPr>
              <w:t>7</w:t>
            </w:r>
            <w:r w:rsidR="0026633C">
              <w:rPr>
                <w:noProof/>
                <w:webHidden/>
              </w:rPr>
              <w:fldChar w:fldCharType="end"/>
            </w:r>
          </w:hyperlink>
        </w:p>
        <w:p w14:paraId="77432092" w14:textId="52E7CAA8"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26" w:history="1">
            <w:r w:rsidR="0026633C" w:rsidRPr="00C765C2">
              <w:rPr>
                <w:rStyle w:val="Hyperlink"/>
                <w:noProof/>
              </w:rPr>
              <w:t>4.1</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Culturally appropriate service delivery</w:t>
            </w:r>
            <w:r w:rsidR="0026633C">
              <w:rPr>
                <w:noProof/>
                <w:webHidden/>
              </w:rPr>
              <w:tab/>
            </w:r>
            <w:r w:rsidR="0026633C">
              <w:rPr>
                <w:noProof/>
                <w:webHidden/>
              </w:rPr>
              <w:fldChar w:fldCharType="begin"/>
            </w:r>
            <w:r w:rsidR="0026633C">
              <w:rPr>
                <w:noProof/>
                <w:webHidden/>
              </w:rPr>
              <w:instrText xml:space="preserve"> PAGEREF _Toc164328426 \h </w:instrText>
            </w:r>
            <w:r w:rsidR="0026633C">
              <w:rPr>
                <w:noProof/>
                <w:webHidden/>
              </w:rPr>
            </w:r>
            <w:r w:rsidR="0026633C">
              <w:rPr>
                <w:noProof/>
                <w:webHidden/>
              </w:rPr>
              <w:fldChar w:fldCharType="separate"/>
            </w:r>
            <w:r w:rsidR="0026633C">
              <w:rPr>
                <w:noProof/>
                <w:webHidden/>
              </w:rPr>
              <w:t>7</w:t>
            </w:r>
            <w:r w:rsidR="0026633C">
              <w:rPr>
                <w:noProof/>
                <w:webHidden/>
              </w:rPr>
              <w:fldChar w:fldCharType="end"/>
            </w:r>
          </w:hyperlink>
        </w:p>
        <w:p w14:paraId="65456FB5" w14:textId="610B2C21"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27" w:history="1">
            <w:r w:rsidR="0026633C" w:rsidRPr="00C765C2">
              <w:rPr>
                <w:rStyle w:val="Hyperlink"/>
                <w:noProof/>
              </w:rPr>
              <w:t>4.2</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Services to be provided under Outreach Programs</w:t>
            </w:r>
            <w:r w:rsidR="0026633C">
              <w:rPr>
                <w:noProof/>
                <w:webHidden/>
              </w:rPr>
              <w:tab/>
            </w:r>
            <w:r w:rsidR="0026633C">
              <w:rPr>
                <w:noProof/>
                <w:webHidden/>
              </w:rPr>
              <w:fldChar w:fldCharType="begin"/>
            </w:r>
            <w:r w:rsidR="0026633C">
              <w:rPr>
                <w:noProof/>
                <w:webHidden/>
              </w:rPr>
              <w:instrText xml:space="preserve"> PAGEREF _Toc164328427 \h </w:instrText>
            </w:r>
            <w:r w:rsidR="0026633C">
              <w:rPr>
                <w:noProof/>
                <w:webHidden/>
              </w:rPr>
            </w:r>
            <w:r w:rsidR="0026633C">
              <w:rPr>
                <w:noProof/>
                <w:webHidden/>
              </w:rPr>
              <w:fldChar w:fldCharType="separate"/>
            </w:r>
            <w:r w:rsidR="0026633C">
              <w:rPr>
                <w:noProof/>
                <w:webHidden/>
              </w:rPr>
              <w:t>7</w:t>
            </w:r>
            <w:r w:rsidR="0026633C">
              <w:rPr>
                <w:noProof/>
                <w:webHidden/>
              </w:rPr>
              <w:fldChar w:fldCharType="end"/>
            </w:r>
          </w:hyperlink>
        </w:p>
        <w:p w14:paraId="33DB5789" w14:textId="56968312"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28" w:history="1">
            <w:r w:rsidR="0026633C" w:rsidRPr="00C765C2">
              <w:rPr>
                <w:rStyle w:val="Hyperlink"/>
                <w:noProof/>
              </w:rPr>
              <w:t>4.3</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Health Professionals supported by the Outreach Programs</w:t>
            </w:r>
            <w:r w:rsidR="0026633C">
              <w:rPr>
                <w:noProof/>
                <w:webHidden/>
              </w:rPr>
              <w:tab/>
            </w:r>
            <w:r w:rsidR="0026633C">
              <w:rPr>
                <w:noProof/>
                <w:webHidden/>
              </w:rPr>
              <w:fldChar w:fldCharType="begin"/>
            </w:r>
            <w:r w:rsidR="0026633C">
              <w:rPr>
                <w:noProof/>
                <w:webHidden/>
              </w:rPr>
              <w:instrText xml:space="preserve"> PAGEREF _Toc164328428 \h </w:instrText>
            </w:r>
            <w:r w:rsidR="0026633C">
              <w:rPr>
                <w:noProof/>
                <w:webHidden/>
              </w:rPr>
            </w:r>
            <w:r w:rsidR="0026633C">
              <w:rPr>
                <w:noProof/>
                <w:webHidden/>
              </w:rPr>
              <w:fldChar w:fldCharType="separate"/>
            </w:r>
            <w:r w:rsidR="0026633C">
              <w:rPr>
                <w:noProof/>
                <w:webHidden/>
              </w:rPr>
              <w:t>8</w:t>
            </w:r>
            <w:r w:rsidR="0026633C">
              <w:rPr>
                <w:noProof/>
                <w:webHidden/>
              </w:rPr>
              <w:fldChar w:fldCharType="end"/>
            </w:r>
          </w:hyperlink>
        </w:p>
        <w:p w14:paraId="00B9E203" w14:textId="1ABB03A9"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29" w:history="1">
            <w:r w:rsidR="0026633C" w:rsidRPr="00C765C2">
              <w:rPr>
                <w:rStyle w:val="Hyperlink"/>
                <w:noProof/>
              </w:rPr>
              <w:t>4.4</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Who can propose a service?</w:t>
            </w:r>
            <w:r w:rsidR="0026633C">
              <w:rPr>
                <w:noProof/>
                <w:webHidden/>
              </w:rPr>
              <w:tab/>
            </w:r>
            <w:r w:rsidR="0026633C">
              <w:rPr>
                <w:noProof/>
                <w:webHidden/>
              </w:rPr>
              <w:fldChar w:fldCharType="begin"/>
            </w:r>
            <w:r w:rsidR="0026633C">
              <w:rPr>
                <w:noProof/>
                <w:webHidden/>
              </w:rPr>
              <w:instrText xml:space="preserve"> PAGEREF _Toc164328429 \h </w:instrText>
            </w:r>
            <w:r w:rsidR="0026633C">
              <w:rPr>
                <w:noProof/>
                <w:webHidden/>
              </w:rPr>
            </w:r>
            <w:r w:rsidR="0026633C">
              <w:rPr>
                <w:noProof/>
                <w:webHidden/>
              </w:rPr>
              <w:fldChar w:fldCharType="separate"/>
            </w:r>
            <w:r w:rsidR="0026633C">
              <w:rPr>
                <w:noProof/>
                <w:webHidden/>
              </w:rPr>
              <w:t>8</w:t>
            </w:r>
            <w:r w:rsidR="0026633C">
              <w:rPr>
                <w:noProof/>
                <w:webHidden/>
              </w:rPr>
              <w:fldChar w:fldCharType="end"/>
            </w:r>
          </w:hyperlink>
        </w:p>
        <w:p w14:paraId="76204C40" w14:textId="6552AC0D"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30" w:history="1">
            <w:r w:rsidR="0026633C" w:rsidRPr="00C765C2">
              <w:rPr>
                <w:rStyle w:val="Hyperlink"/>
                <w:noProof/>
              </w:rPr>
              <w:t>4.5</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How proposals should be assessed</w:t>
            </w:r>
            <w:r w:rsidR="0026633C">
              <w:rPr>
                <w:noProof/>
                <w:webHidden/>
              </w:rPr>
              <w:tab/>
            </w:r>
            <w:r w:rsidR="0026633C">
              <w:rPr>
                <w:noProof/>
                <w:webHidden/>
              </w:rPr>
              <w:fldChar w:fldCharType="begin"/>
            </w:r>
            <w:r w:rsidR="0026633C">
              <w:rPr>
                <w:noProof/>
                <w:webHidden/>
              </w:rPr>
              <w:instrText xml:space="preserve"> PAGEREF _Toc164328430 \h </w:instrText>
            </w:r>
            <w:r w:rsidR="0026633C">
              <w:rPr>
                <w:noProof/>
                <w:webHidden/>
              </w:rPr>
            </w:r>
            <w:r w:rsidR="0026633C">
              <w:rPr>
                <w:noProof/>
                <w:webHidden/>
              </w:rPr>
              <w:fldChar w:fldCharType="separate"/>
            </w:r>
            <w:r w:rsidR="0026633C">
              <w:rPr>
                <w:noProof/>
                <w:webHidden/>
              </w:rPr>
              <w:t>8</w:t>
            </w:r>
            <w:r w:rsidR="0026633C">
              <w:rPr>
                <w:noProof/>
                <w:webHidden/>
              </w:rPr>
              <w:fldChar w:fldCharType="end"/>
            </w:r>
          </w:hyperlink>
        </w:p>
        <w:p w14:paraId="501A382C" w14:textId="5B8D5147"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31" w:history="1">
            <w:r w:rsidR="0026633C" w:rsidRPr="00C765C2">
              <w:rPr>
                <w:rStyle w:val="Hyperlink"/>
                <w:noProof/>
              </w:rPr>
              <w:t>4.6</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Models of care</w:t>
            </w:r>
            <w:r w:rsidR="0026633C">
              <w:rPr>
                <w:noProof/>
                <w:webHidden/>
              </w:rPr>
              <w:tab/>
            </w:r>
            <w:r w:rsidR="0026633C">
              <w:rPr>
                <w:noProof/>
                <w:webHidden/>
              </w:rPr>
              <w:fldChar w:fldCharType="begin"/>
            </w:r>
            <w:r w:rsidR="0026633C">
              <w:rPr>
                <w:noProof/>
                <w:webHidden/>
              </w:rPr>
              <w:instrText xml:space="preserve"> PAGEREF _Toc164328431 \h </w:instrText>
            </w:r>
            <w:r w:rsidR="0026633C">
              <w:rPr>
                <w:noProof/>
                <w:webHidden/>
              </w:rPr>
            </w:r>
            <w:r w:rsidR="0026633C">
              <w:rPr>
                <w:noProof/>
                <w:webHidden/>
              </w:rPr>
              <w:fldChar w:fldCharType="separate"/>
            </w:r>
            <w:r w:rsidR="0026633C">
              <w:rPr>
                <w:noProof/>
                <w:webHidden/>
              </w:rPr>
              <w:t>9</w:t>
            </w:r>
            <w:r w:rsidR="0026633C">
              <w:rPr>
                <w:noProof/>
                <w:webHidden/>
              </w:rPr>
              <w:fldChar w:fldCharType="end"/>
            </w:r>
          </w:hyperlink>
        </w:p>
        <w:p w14:paraId="18E9DE35" w14:textId="016173C3"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32" w:history="1">
            <w:r w:rsidR="0026633C" w:rsidRPr="00C765C2">
              <w:rPr>
                <w:rStyle w:val="Hyperlink"/>
                <w:noProof/>
              </w:rPr>
              <w:t>4.7</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Eligible locations</w:t>
            </w:r>
            <w:r w:rsidR="0026633C">
              <w:rPr>
                <w:noProof/>
                <w:webHidden/>
              </w:rPr>
              <w:tab/>
            </w:r>
            <w:r w:rsidR="0026633C">
              <w:rPr>
                <w:noProof/>
                <w:webHidden/>
              </w:rPr>
              <w:fldChar w:fldCharType="begin"/>
            </w:r>
            <w:r w:rsidR="0026633C">
              <w:rPr>
                <w:noProof/>
                <w:webHidden/>
              </w:rPr>
              <w:instrText xml:space="preserve"> PAGEREF _Toc164328432 \h </w:instrText>
            </w:r>
            <w:r w:rsidR="0026633C">
              <w:rPr>
                <w:noProof/>
                <w:webHidden/>
              </w:rPr>
            </w:r>
            <w:r w:rsidR="0026633C">
              <w:rPr>
                <w:noProof/>
                <w:webHidden/>
              </w:rPr>
              <w:fldChar w:fldCharType="separate"/>
            </w:r>
            <w:r w:rsidR="0026633C">
              <w:rPr>
                <w:noProof/>
                <w:webHidden/>
              </w:rPr>
              <w:t>9</w:t>
            </w:r>
            <w:r w:rsidR="0026633C">
              <w:rPr>
                <w:noProof/>
                <w:webHidden/>
              </w:rPr>
              <w:fldChar w:fldCharType="end"/>
            </w:r>
          </w:hyperlink>
        </w:p>
        <w:p w14:paraId="5EFE5225" w14:textId="02AE5548"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33" w:history="1">
            <w:r w:rsidR="0026633C" w:rsidRPr="00C765C2">
              <w:rPr>
                <w:rStyle w:val="Hyperlink"/>
                <w:noProof/>
              </w:rPr>
              <w:t>4.7.1</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VOS patients in MM1 locations</w:t>
            </w:r>
            <w:r w:rsidR="0026633C">
              <w:rPr>
                <w:noProof/>
                <w:webHidden/>
              </w:rPr>
              <w:tab/>
            </w:r>
            <w:r w:rsidR="0026633C">
              <w:rPr>
                <w:noProof/>
                <w:webHidden/>
              </w:rPr>
              <w:fldChar w:fldCharType="begin"/>
            </w:r>
            <w:r w:rsidR="0026633C">
              <w:rPr>
                <w:noProof/>
                <w:webHidden/>
              </w:rPr>
              <w:instrText xml:space="preserve"> PAGEREF _Toc164328433 \h </w:instrText>
            </w:r>
            <w:r w:rsidR="0026633C">
              <w:rPr>
                <w:noProof/>
                <w:webHidden/>
              </w:rPr>
            </w:r>
            <w:r w:rsidR="0026633C">
              <w:rPr>
                <w:noProof/>
                <w:webHidden/>
              </w:rPr>
              <w:fldChar w:fldCharType="separate"/>
            </w:r>
            <w:r w:rsidR="0026633C">
              <w:rPr>
                <w:noProof/>
                <w:webHidden/>
              </w:rPr>
              <w:t>9</w:t>
            </w:r>
            <w:r w:rsidR="0026633C">
              <w:rPr>
                <w:noProof/>
                <w:webHidden/>
              </w:rPr>
              <w:fldChar w:fldCharType="end"/>
            </w:r>
          </w:hyperlink>
        </w:p>
        <w:p w14:paraId="5DA24CCD" w14:textId="7AED963B"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34" w:history="1">
            <w:r w:rsidR="0026633C" w:rsidRPr="00C765C2">
              <w:rPr>
                <w:rStyle w:val="Hyperlink"/>
                <w:noProof/>
              </w:rPr>
              <w:t>4.8</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Eligible Activities</w:t>
            </w:r>
            <w:r w:rsidR="0026633C">
              <w:rPr>
                <w:noProof/>
                <w:webHidden/>
              </w:rPr>
              <w:tab/>
            </w:r>
            <w:r w:rsidR="0026633C">
              <w:rPr>
                <w:noProof/>
                <w:webHidden/>
              </w:rPr>
              <w:fldChar w:fldCharType="begin"/>
            </w:r>
            <w:r w:rsidR="0026633C">
              <w:rPr>
                <w:noProof/>
                <w:webHidden/>
              </w:rPr>
              <w:instrText xml:space="preserve"> PAGEREF _Toc164328434 \h </w:instrText>
            </w:r>
            <w:r w:rsidR="0026633C">
              <w:rPr>
                <w:noProof/>
                <w:webHidden/>
              </w:rPr>
            </w:r>
            <w:r w:rsidR="0026633C">
              <w:rPr>
                <w:noProof/>
                <w:webHidden/>
              </w:rPr>
              <w:fldChar w:fldCharType="separate"/>
            </w:r>
            <w:r w:rsidR="0026633C">
              <w:rPr>
                <w:noProof/>
                <w:webHidden/>
              </w:rPr>
              <w:t>9</w:t>
            </w:r>
            <w:r w:rsidR="0026633C">
              <w:rPr>
                <w:noProof/>
                <w:webHidden/>
              </w:rPr>
              <w:fldChar w:fldCharType="end"/>
            </w:r>
          </w:hyperlink>
        </w:p>
        <w:p w14:paraId="36693BE0" w14:textId="15ADDE9C"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35" w:history="1">
            <w:r w:rsidR="0026633C" w:rsidRPr="00C765C2">
              <w:rPr>
                <w:rStyle w:val="Hyperlink"/>
                <w:noProof/>
              </w:rPr>
              <w:t>4.9</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Program administration costs for Fundholders</w:t>
            </w:r>
            <w:r w:rsidR="0026633C">
              <w:rPr>
                <w:noProof/>
                <w:webHidden/>
              </w:rPr>
              <w:tab/>
            </w:r>
            <w:r w:rsidR="0026633C">
              <w:rPr>
                <w:noProof/>
                <w:webHidden/>
              </w:rPr>
              <w:fldChar w:fldCharType="begin"/>
            </w:r>
            <w:r w:rsidR="0026633C">
              <w:rPr>
                <w:noProof/>
                <w:webHidden/>
              </w:rPr>
              <w:instrText xml:space="preserve"> PAGEREF _Toc164328435 \h </w:instrText>
            </w:r>
            <w:r w:rsidR="0026633C">
              <w:rPr>
                <w:noProof/>
                <w:webHidden/>
              </w:rPr>
            </w:r>
            <w:r w:rsidR="0026633C">
              <w:rPr>
                <w:noProof/>
                <w:webHidden/>
              </w:rPr>
              <w:fldChar w:fldCharType="separate"/>
            </w:r>
            <w:r w:rsidR="0026633C">
              <w:rPr>
                <w:noProof/>
                <w:webHidden/>
              </w:rPr>
              <w:t>10</w:t>
            </w:r>
            <w:r w:rsidR="0026633C">
              <w:rPr>
                <w:noProof/>
                <w:webHidden/>
              </w:rPr>
              <w:fldChar w:fldCharType="end"/>
            </w:r>
          </w:hyperlink>
        </w:p>
        <w:p w14:paraId="7E2ACD53" w14:textId="70A0F2CC"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36" w:history="1">
            <w:r w:rsidR="0026633C" w:rsidRPr="00C765C2">
              <w:rPr>
                <w:rStyle w:val="Hyperlink"/>
                <w:noProof/>
              </w:rPr>
              <w:t>4.10</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Ineligible activities</w:t>
            </w:r>
            <w:r w:rsidR="0026633C">
              <w:rPr>
                <w:noProof/>
                <w:webHidden/>
              </w:rPr>
              <w:tab/>
            </w:r>
            <w:r w:rsidR="0026633C">
              <w:rPr>
                <w:noProof/>
                <w:webHidden/>
              </w:rPr>
              <w:fldChar w:fldCharType="begin"/>
            </w:r>
            <w:r w:rsidR="0026633C">
              <w:rPr>
                <w:noProof/>
                <w:webHidden/>
              </w:rPr>
              <w:instrText xml:space="preserve"> PAGEREF _Toc164328436 \h </w:instrText>
            </w:r>
            <w:r w:rsidR="0026633C">
              <w:rPr>
                <w:noProof/>
                <w:webHidden/>
              </w:rPr>
            </w:r>
            <w:r w:rsidR="0026633C">
              <w:rPr>
                <w:noProof/>
                <w:webHidden/>
              </w:rPr>
              <w:fldChar w:fldCharType="separate"/>
            </w:r>
            <w:r w:rsidR="0026633C">
              <w:rPr>
                <w:noProof/>
                <w:webHidden/>
              </w:rPr>
              <w:t>10</w:t>
            </w:r>
            <w:r w:rsidR="0026633C">
              <w:rPr>
                <w:noProof/>
                <w:webHidden/>
              </w:rPr>
              <w:fldChar w:fldCharType="end"/>
            </w:r>
          </w:hyperlink>
        </w:p>
        <w:p w14:paraId="4B13D7E5" w14:textId="76B1C632" w:rsidR="0026633C" w:rsidRDefault="00000000">
          <w:pPr>
            <w:pStyle w:val="TOC1"/>
            <w:rPr>
              <w:rFonts w:asciiTheme="minorHAnsi" w:eastAsiaTheme="minorEastAsia" w:hAnsiTheme="minorHAnsi" w:cstheme="minorBidi"/>
              <w:noProof/>
              <w:kern w:val="2"/>
              <w:szCs w:val="22"/>
              <w:lang w:eastAsia="en-AU"/>
              <w14:ligatures w14:val="standardContextual"/>
            </w:rPr>
          </w:pPr>
          <w:hyperlink w:anchor="_Toc164328437" w:history="1">
            <w:r w:rsidR="0026633C" w:rsidRPr="00C765C2">
              <w:rPr>
                <w:rStyle w:val="Hyperlink"/>
                <w:noProof/>
              </w:rPr>
              <w:t>5</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Expenses Supported by Outreach Programs</w:t>
            </w:r>
            <w:r w:rsidR="0026633C">
              <w:rPr>
                <w:noProof/>
                <w:webHidden/>
              </w:rPr>
              <w:tab/>
            </w:r>
            <w:r w:rsidR="0026633C">
              <w:rPr>
                <w:noProof/>
                <w:webHidden/>
              </w:rPr>
              <w:fldChar w:fldCharType="begin"/>
            </w:r>
            <w:r w:rsidR="0026633C">
              <w:rPr>
                <w:noProof/>
                <w:webHidden/>
              </w:rPr>
              <w:instrText xml:space="preserve"> PAGEREF _Toc164328437 \h </w:instrText>
            </w:r>
            <w:r w:rsidR="0026633C">
              <w:rPr>
                <w:noProof/>
                <w:webHidden/>
              </w:rPr>
            </w:r>
            <w:r w:rsidR="0026633C">
              <w:rPr>
                <w:noProof/>
                <w:webHidden/>
              </w:rPr>
              <w:fldChar w:fldCharType="separate"/>
            </w:r>
            <w:r w:rsidR="0026633C">
              <w:rPr>
                <w:noProof/>
                <w:webHidden/>
              </w:rPr>
              <w:t>11</w:t>
            </w:r>
            <w:r w:rsidR="0026633C">
              <w:rPr>
                <w:noProof/>
                <w:webHidden/>
              </w:rPr>
              <w:fldChar w:fldCharType="end"/>
            </w:r>
          </w:hyperlink>
        </w:p>
        <w:p w14:paraId="534E5803" w14:textId="7FB694CB"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38" w:history="1">
            <w:r w:rsidR="0026633C" w:rsidRPr="00C765C2">
              <w:rPr>
                <w:rStyle w:val="Hyperlink"/>
                <w:noProof/>
              </w:rPr>
              <w:t>5.1</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Orientation to the outreach location</w:t>
            </w:r>
            <w:r w:rsidR="0026633C">
              <w:rPr>
                <w:noProof/>
                <w:webHidden/>
              </w:rPr>
              <w:tab/>
            </w:r>
            <w:r w:rsidR="0026633C">
              <w:rPr>
                <w:noProof/>
                <w:webHidden/>
              </w:rPr>
              <w:fldChar w:fldCharType="begin"/>
            </w:r>
            <w:r w:rsidR="0026633C">
              <w:rPr>
                <w:noProof/>
                <w:webHidden/>
              </w:rPr>
              <w:instrText xml:space="preserve"> PAGEREF _Toc164328438 \h </w:instrText>
            </w:r>
            <w:r w:rsidR="0026633C">
              <w:rPr>
                <w:noProof/>
                <w:webHidden/>
              </w:rPr>
            </w:r>
            <w:r w:rsidR="0026633C">
              <w:rPr>
                <w:noProof/>
                <w:webHidden/>
              </w:rPr>
              <w:fldChar w:fldCharType="separate"/>
            </w:r>
            <w:r w:rsidR="0026633C">
              <w:rPr>
                <w:noProof/>
                <w:webHidden/>
              </w:rPr>
              <w:t>11</w:t>
            </w:r>
            <w:r w:rsidR="0026633C">
              <w:rPr>
                <w:noProof/>
                <w:webHidden/>
              </w:rPr>
              <w:fldChar w:fldCharType="end"/>
            </w:r>
          </w:hyperlink>
        </w:p>
        <w:p w14:paraId="7F935389" w14:textId="7E28C1BE"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39" w:history="1">
            <w:r w:rsidR="0026633C" w:rsidRPr="00C765C2">
              <w:rPr>
                <w:rStyle w:val="Hyperlink"/>
                <w:noProof/>
              </w:rPr>
              <w:t>5.2</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Travel, meals and accommodation costs for visiting Health Professionals</w:t>
            </w:r>
            <w:r w:rsidR="0026633C">
              <w:rPr>
                <w:noProof/>
                <w:webHidden/>
              </w:rPr>
              <w:tab/>
            </w:r>
            <w:r w:rsidR="0026633C">
              <w:rPr>
                <w:noProof/>
                <w:webHidden/>
              </w:rPr>
              <w:fldChar w:fldCharType="begin"/>
            </w:r>
            <w:r w:rsidR="0026633C">
              <w:rPr>
                <w:noProof/>
                <w:webHidden/>
              </w:rPr>
              <w:instrText xml:space="preserve"> PAGEREF _Toc164328439 \h </w:instrText>
            </w:r>
            <w:r w:rsidR="0026633C">
              <w:rPr>
                <w:noProof/>
                <w:webHidden/>
              </w:rPr>
            </w:r>
            <w:r w:rsidR="0026633C">
              <w:rPr>
                <w:noProof/>
                <w:webHidden/>
              </w:rPr>
              <w:fldChar w:fldCharType="separate"/>
            </w:r>
            <w:r w:rsidR="0026633C">
              <w:rPr>
                <w:noProof/>
                <w:webHidden/>
              </w:rPr>
              <w:t>11</w:t>
            </w:r>
            <w:r w:rsidR="0026633C">
              <w:rPr>
                <w:noProof/>
                <w:webHidden/>
              </w:rPr>
              <w:fldChar w:fldCharType="end"/>
            </w:r>
          </w:hyperlink>
        </w:p>
        <w:p w14:paraId="51F8B6EA" w14:textId="3EA8166C"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40" w:history="1">
            <w:r w:rsidR="0026633C" w:rsidRPr="00C765C2">
              <w:rPr>
                <w:rStyle w:val="Hyperlink"/>
                <w:noProof/>
              </w:rPr>
              <w:t>5.2.1</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Air</w:t>
            </w:r>
            <w:r w:rsidR="0026633C">
              <w:rPr>
                <w:noProof/>
                <w:webHidden/>
              </w:rPr>
              <w:tab/>
            </w:r>
            <w:r w:rsidR="0026633C">
              <w:rPr>
                <w:noProof/>
                <w:webHidden/>
              </w:rPr>
              <w:fldChar w:fldCharType="begin"/>
            </w:r>
            <w:r w:rsidR="0026633C">
              <w:rPr>
                <w:noProof/>
                <w:webHidden/>
              </w:rPr>
              <w:instrText xml:space="preserve"> PAGEREF _Toc164328440 \h </w:instrText>
            </w:r>
            <w:r w:rsidR="0026633C">
              <w:rPr>
                <w:noProof/>
                <w:webHidden/>
              </w:rPr>
            </w:r>
            <w:r w:rsidR="0026633C">
              <w:rPr>
                <w:noProof/>
                <w:webHidden/>
              </w:rPr>
              <w:fldChar w:fldCharType="separate"/>
            </w:r>
            <w:r w:rsidR="0026633C">
              <w:rPr>
                <w:noProof/>
                <w:webHidden/>
              </w:rPr>
              <w:t>11</w:t>
            </w:r>
            <w:r w:rsidR="0026633C">
              <w:rPr>
                <w:noProof/>
                <w:webHidden/>
              </w:rPr>
              <w:fldChar w:fldCharType="end"/>
            </w:r>
          </w:hyperlink>
        </w:p>
        <w:p w14:paraId="4D8E0A7F" w14:textId="034D30E8"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41" w:history="1">
            <w:r w:rsidR="0026633C" w:rsidRPr="00C765C2">
              <w:rPr>
                <w:rStyle w:val="Hyperlink"/>
                <w:noProof/>
              </w:rPr>
              <w:t>5.2.2</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Hire car</w:t>
            </w:r>
            <w:r w:rsidR="0026633C">
              <w:rPr>
                <w:noProof/>
                <w:webHidden/>
              </w:rPr>
              <w:tab/>
            </w:r>
            <w:r w:rsidR="0026633C">
              <w:rPr>
                <w:noProof/>
                <w:webHidden/>
              </w:rPr>
              <w:fldChar w:fldCharType="begin"/>
            </w:r>
            <w:r w:rsidR="0026633C">
              <w:rPr>
                <w:noProof/>
                <w:webHidden/>
              </w:rPr>
              <w:instrText xml:space="preserve"> PAGEREF _Toc164328441 \h </w:instrText>
            </w:r>
            <w:r w:rsidR="0026633C">
              <w:rPr>
                <w:noProof/>
                <w:webHidden/>
              </w:rPr>
            </w:r>
            <w:r w:rsidR="0026633C">
              <w:rPr>
                <w:noProof/>
                <w:webHidden/>
              </w:rPr>
              <w:fldChar w:fldCharType="separate"/>
            </w:r>
            <w:r w:rsidR="0026633C">
              <w:rPr>
                <w:noProof/>
                <w:webHidden/>
              </w:rPr>
              <w:t>11</w:t>
            </w:r>
            <w:r w:rsidR="0026633C">
              <w:rPr>
                <w:noProof/>
                <w:webHidden/>
              </w:rPr>
              <w:fldChar w:fldCharType="end"/>
            </w:r>
          </w:hyperlink>
        </w:p>
        <w:p w14:paraId="5D357BA8" w14:textId="374603B4"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42" w:history="1">
            <w:r w:rsidR="0026633C" w:rsidRPr="00C765C2">
              <w:rPr>
                <w:rStyle w:val="Hyperlink"/>
                <w:noProof/>
              </w:rPr>
              <w:t>5.2.3</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Accommodation</w:t>
            </w:r>
            <w:r w:rsidR="0026633C">
              <w:rPr>
                <w:noProof/>
                <w:webHidden/>
              </w:rPr>
              <w:tab/>
            </w:r>
            <w:r w:rsidR="0026633C">
              <w:rPr>
                <w:noProof/>
                <w:webHidden/>
              </w:rPr>
              <w:fldChar w:fldCharType="begin"/>
            </w:r>
            <w:r w:rsidR="0026633C">
              <w:rPr>
                <w:noProof/>
                <w:webHidden/>
              </w:rPr>
              <w:instrText xml:space="preserve"> PAGEREF _Toc164328442 \h </w:instrText>
            </w:r>
            <w:r w:rsidR="0026633C">
              <w:rPr>
                <w:noProof/>
                <w:webHidden/>
              </w:rPr>
            </w:r>
            <w:r w:rsidR="0026633C">
              <w:rPr>
                <w:noProof/>
                <w:webHidden/>
              </w:rPr>
              <w:fldChar w:fldCharType="separate"/>
            </w:r>
            <w:r w:rsidR="0026633C">
              <w:rPr>
                <w:noProof/>
                <w:webHidden/>
              </w:rPr>
              <w:t>11</w:t>
            </w:r>
            <w:r w:rsidR="0026633C">
              <w:rPr>
                <w:noProof/>
                <w:webHidden/>
              </w:rPr>
              <w:fldChar w:fldCharType="end"/>
            </w:r>
          </w:hyperlink>
        </w:p>
        <w:p w14:paraId="67D5CDD8" w14:textId="3A13FAE3"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43" w:history="1">
            <w:r w:rsidR="0026633C" w:rsidRPr="00C765C2">
              <w:rPr>
                <w:rStyle w:val="Hyperlink"/>
                <w:noProof/>
              </w:rPr>
              <w:t>5.2.4</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Meals and Incidentals</w:t>
            </w:r>
            <w:r w:rsidR="0026633C">
              <w:rPr>
                <w:noProof/>
                <w:webHidden/>
              </w:rPr>
              <w:tab/>
            </w:r>
            <w:r w:rsidR="0026633C">
              <w:rPr>
                <w:noProof/>
                <w:webHidden/>
              </w:rPr>
              <w:fldChar w:fldCharType="begin"/>
            </w:r>
            <w:r w:rsidR="0026633C">
              <w:rPr>
                <w:noProof/>
                <w:webHidden/>
              </w:rPr>
              <w:instrText xml:space="preserve"> PAGEREF _Toc164328443 \h </w:instrText>
            </w:r>
            <w:r w:rsidR="0026633C">
              <w:rPr>
                <w:noProof/>
                <w:webHidden/>
              </w:rPr>
            </w:r>
            <w:r w:rsidR="0026633C">
              <w:rPr>
                <w:noProof/>
                <w:webHidden/>
              </w:rPr>
              <w:fldChar w:fldCharType="separate"/>
            </w:r>
            <w:r w:rsidR="0026633C">
              <w:rPr>
                <w:noProof/>
                <w:webHidden/>
              </w:rPr>
              <w:t>11</w:t>
            </w:r>
            <w:r w:rsidR="0026633C">
              <w:rPr>
                <w:noProof/>
                <w:webHidden/>
              </w:rPr>
              <w:fldChar w:fldCharType="end"/>
            </w:r>
          </w:hyperlink>
        </w:p>
        <w:p w14:paraId="1046D44D" w14:textId="09854482"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44" w:history="1">
            <w:r w:rsidR="0026633C" w:rsidRPr="00C765C2">
              <w:rPr>
                <w:rStyle w:val="Hyperlink"/>
                <w:noProof/>
              </w:rPr>
              <w:t>5.3</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Travel, meals and accommodation costs associated with the EESS program</w:t>
            </w:r>
            <w:r w:rsidR="0026633C">
              <w:rPr>
                <w:noProof/>
                <w:webHidden/>
              </w:rPr>
              <w:tab/>
            </w:r>
            <w:r w:rsidR="0026633C">
              <w:rPr>
                <w:noProof/>
                <w:webHidden/>
              </w:rPr>
              <w:fldChar w:fldCharType="begin"/>
            </w:r>
            <w:r w:rsidR="0026633C">
              <w:rPr>
                <w:noProof/>
                <w:webHidden/>
              </w:rPr>
              <w:instrText xml:space="preserve"> PAGEREF _Toc164328444 \h </w:instrText>
            </w:r>
            <w:r w:rsidR="0026633C">
              <w:rPr>
                <w:noProof/>
                <w:webHidden/>
              </w:rPr>
            </w:r>
            <w:r w:rsidR="0026633C">
              <w:rPr>
                <w:noProof/>
                <w:webHidden/>
              </w:rPr>
              <w:fldChar w:fldCharType="separate"/>
            </w:r>
            <w:r w:rsidR="0026633C">
              <w:rPr>
                <w:noProof/>
                <w:webHidden/>
              </w:rPr>
              <w:t>12</w:t>
            </w:r>
            <w:r w:rsidR="0026633C">
              <w:rPr>
                <w:noProof/>
                <w:webHidden/>
              </w:rPr>
              <w:fldChar w:fldCharType="end"/>
            </w:r>
          </w:hyperlink>
        </w:p>
        <w:p w14:paraId="084B58FB" w14:textId="4525A11B"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45" w:history="1">
            <w:r w:rsidR="0026633C" w:rsidRPr="00C765C2">
              <w:rPr>
                <w:rStyle w:val="Hyperlink"/>
                <w:noProof/>
              </w:rPr>
              <w:t>5.4</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Equipment lease</w:t>
            </w:r>
            <w:r w:rsidR="0026633C">
              <w:rPr>
                <w:noProof/>
                <w:webHidden/>
              </w:rPr>
              <w:tab/>
            </w:r>
            <w:r w:rsidR="0026633C">
              <w:rPr>
                <w:noProof/>
                <w:webHidden/>
              </w:rPr>
              <w:fldChar w:fldCharType="begin"/>
            </w:r>
            <w:r w:rsidR="0026633C">
              <w:rPr>
                <w:noProof/>
                <w:webHidden/>
              </w:rPr>
              <w:instrText xml:space="preserve"> PAGEREF _Toc164328445 \h </w:instrText>
            </w:r>
            <w:r w:rsidR="0026633C">
              <w:rPr>
                <w:noProof/>
                <w:webHidden/>
              </w:rPr>
            </w:r>
            <w:r w:rsidR="0026633C">
              <w:rPr>
                <w:noProof/>
                <w:webHidden/>
              </w:rPr>
              <w:fldChar w:fldCharType="separate"/>
            </w:r>
            <w:r w:rsidR="0026633C">
              <w:rPr>
                <w:noProof/>
                <w:webHidden/>
              </w:rPr>
              <w:t>12</w:t>
            </w:r>
            <w:r w:rsidR="0026633C">
              <w:rPr>
                <w:noProof/>
                <w:webHidden/>
              </w:rPr>
              <w:fldChar w:fldCharType="end"/>
            </w:r>
          </w:hyperlink>
        </w:p>
        <w:p w14:paraId="4DA141D7" w14:textId="38EC2EB0"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46" w:history="1">
            <w:r w:rsidR="0026633C" w:rsidRPr="00C765C2">
              <w:rPr>
                <w:rStyle w:val="Hyperlink"/>
                <w:noProof/>
              </w:rPr>
              <w:t>5.5</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Equipment purchase</w:t>
            </w:r>
            <w:r w:rsidR="0026633C">
              <w:rPr>
                <w:noProof/>
                <w:webHidden/>
              </w:rPr>
              <w:tab/>
            </w:r>
            <w:r w:rsidR="0026633C">
              <w:rPr>
                <w:noProof/>
                <w:webHidden/>
              </w:rPr>
              <w:fldChar w:fldCharType="begin"/>
            </w:r>
            <w:r w:rsidR="0026633C">
              <w:rPr>
                <w:noProof/>
                <w:webHidden/>
              </w:rPr>
              <w:instrText xml:space="preserve"> PAGEREF _Toc164328446 \h </w:instrText>
            </w:r>
            <w:r w:rsidR="0026633C">
              <w:rPr>
                <w:noProof/>
                <w:webHidden/>
              </w:rPr>
            </w:r>
            <w:r w:rsidR="0026633C">
              <w:rPr>
                <w:noProof/>
                <w:webHidden/>
              </w:rPr>
              <w:fldChar w:fldCharType="separate"/>
            </w:r>
            <w:r w:rsidR="0026633C">
              <w:rPr>
                <w:noProof/>
                <w:webHidden/>
              </w:rPr>
              <w:t>12</w:t>
            </w:r>
            <w:r w:rsidR="0026633C">
              <w:rPr>
                <w:noProof/>
                <w:webHidden/>
              </w:rPr>
              <w:fldChar w:fldCharType="end"/>
            </w:r>
          </w:hyperlink>
        </w:p>
        <w:p w14:paraId="3E67B8D6" w14:textId="24E44B7C"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47" w:history="1">
            <w:r w:rsidR="0026633C" w:rsidRPr="00C765C2">
              <w:rPr>
                <w:rStyle w:val="Hyperlink"/>
                <w:noProof/>
              </w:rPr>
              <w:t>5.6</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Host facility fees</w:t>
            </w:r>
            <w:r w:rsidR="0026633C">
              <w:rPr>
                <w:noProof/>
                <w:webHidden/>
              </w:rPr>
              <w:tab/>
            </w:r>
            <w:r w:rsidR="0026633C">
              <w:rPr>
                <w:noProof/>
                <w:webHidden/>
              </w:rPr>
              <w:fldChar w:fldCharType="begin"/>
            </w:r>
            <w:r w:rsidR="0026633C">
              <w:rPr>
                <w:noProof/>
                <w:webHidden/>
              </w:rPr>
              <w:instrText xml:space="preserve"> PAGEREF _Toc164328447 \h </w:instrText>
            </w:r>
            <w:r w:rsidR="0026633C">
              <w:rPr>
                <w:noProof/>
                <w:webHidden/>
              </w:rPr>
            </w:r>
            <w:r w:rsidR="0026633C">
              <w:rPr>
                <w:noProof/>
                <w:webHidden/>
              </w:rPr>
              <w:fldChar w:fldCharType="separate"/>
            </w:r>
            <w:r w:rsidR="0026633C">
              <w:rPr>
                <w:noProof/>
                <w:webHidden/>
              </w:rPr>
              <w:t>12</w:t>
            </w:r>
            <w:r w:rsidR="0026633C">
              <w:rPr>
                <w:noProof/>
                <w:webHidden/>
              </w:rPr>
              <w:fldChar w:fldCharType="end"/>
            </w:r>
          </w:hyperlink>
        </w:p>
        <w:p w14:paraId="2C2ABA84" w14:textId="3F8FB7EE"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48" w:history="1">
            <w:r w:rsidR="0026633C" w:rsidRPr="00C765C2">
              <w:rPr>
                <w:rStyle w:val="Hyperlink"/>
                <w:noProof/>
              </w:rPr>
              <w:t>5.7</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Hospital services</w:t>
            </w:r>
            <w:r w:rsidR="0026633C">
              <w:rPr>
                <w:noProof/>
                <w:webHidden/>
              </w:rPr>
              <w:tab/>
            </w:r>
            <w:r w:rsidR="0026633C">
              <w:rPr>
                <w:noProof/>
                <w:webHidden/>
              </w:rPr>
              <w:fldChar w:fldCharType="begin"/>
            </w:r>
            <w:r w:rsidR="0026633C">
              <w:rPr>
                <w:noProof/>
                <w:webHidden/>
              </w:rPr>
              <w:instrText xml:space="preserve"> PAGEREF _Toc164328448 \h </w:instrText>
            </w:r>
            <w:r w:rsidR="0026633C">
              <w:rPr>
                <w:noProof/>
                <w:webHidden/>
              </w:rPr>
            </w:r>
            <w:r w:rsidR="0026633C">
              <w:rPr>
                <w:noProof/>
                <w:webHidden/>
              </w:rPr>
              <w:fldChar w:fldCharType="separate"/>
            </w:r>
            <w:r w:rsidR="0026633C">
              <w:rPr>
                <w:noProof/>
                <w:webHidden/>
              </w:rPr>
              <w:t>12</w:t>
            </w:r>
            <w:r w:rsidR="0026633C">
              <w:rPr>
                <w:noProof/>
                <w:webHidden/>
              </w:rPr>
              <w:fldChar w:fldCharType="end"/>
            </w:r>
          </w:hyperlink>
        </w:p>
        <w:p w14:paraId="7E422C72" w14:textId="1EDDC46C" w:rsidR="0026633C" w:rsidRDefault="00000000">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64328449" w:history="1">
            <w:r w:rsidR="0026633C" w:rsidRPr="00C765C2">
              <w:rPr>
                <w:rStyle w:val="Hyperlink"/>
                <w:noProof/>
              </w:rPr>
              <w:t>5.8</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Support payments for visiting Health Professionals</w:t>
            </w:r>
            <w:r w:rsidR="0026633C">
              <w:rPr>
                <w:noProof/>
                <w:webHidden/>
              </w:rPr>
              <w:tab/>
            </w:r>
            <w:r w:rsidR="0026633C">
              <w:rPr>
                <w:noProof/>
                <w:webHidden/>
              </w:rPr>
              <w:fldChar w:fldCharType="begin"/>
            </w:r>
            <w:r w:rsidR="0026633C">
              <w:rPr>
                <w:noProof/>
                <w:webHidden/>
              </w:rPr>
              <w:instrText xml:space="preserve"> PAGEREF _Toc164328449 \h </w:instrText>
            </w:r>
            <w:r w:rsidR="0026633C">
              <w:rPr>
                <w:noProof/>
                <w:webHidden/>
              </w:rPr>
            </w:r>
            <w:r w:rsidR="0026633C">
              <w:rPr>
                <w:noProof/>
                <w:webHidden/>
              </w:rPr>
              <w:fldChar w:fldCharType="separate"/>
            </w:r>
            <w:r w:rsidR="0026633C">
              <w:rPr>
                <w:noProof/>
                <w:webHidden/>
              </w:rPr>
              <w:t>13</w:t>
            </w:r>
            <w:r w:rsidR="0026633C">
              <w:rPr>
                <w:noProof/>
                <w:webHidden/>
              </w:rPr>
              <w:fldChar w:fldCharType="end"/>
            </w:r>
          </w:hyperlink>
        </w:p>
        <w:p w14:paraId="4BB01117" w14:textId="295DCA34"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50" w:history="1">
            <w:r w:rsidR="0026633C" w:rsidRPr="00C765C2">
              <w:rPr>
                <w:rStyle w:val="Hyperlink"/>
                <w:noProof/>
              </w:rPr>
              <w:t>5.8.1</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Administrative support</w:t>
            </w:r>
            <w:r w:rsidR="0026633C">
              <w:rPr>
                <w:noProof/>
                <w:webHidden/>
              </w:rPr>
              <w:tab/>
            </w:r>
            <w:r w:rsidR="0026633C">
              <w:rPr>
                <w:noProof/>
                <w:webHidden/>
              </w:rPr>
              <w:fldChar w:fldCharType="begin"/>
            </w:r>
            <w:r w:rsidR="0026633C">
              <w:rPr>
                <w:noProof/>
                <w:webHidden/>
              </w:rPr>
              <w:instrText xml:space="preserve"> PAGEREF _Toc164328450 \h </w:instrText>
            </w:r>
            <w:r w:rsidR="0026633C">
              <w:rPr>
                <w:noProof/>
                <w:webHidden/>
              </w:rPr>
            </w:r>
            <w:r w:rsidR="0026633C">
              <w:rPr>
                <w:noProof/>
                <w:webHidden/>
              </w:rPr>
              <w:fldChar w:fldCharType="separate"/>
            </w:r>
            <w:r w:rsidR="0026633C">
              <w:rPr>
                <w:noProof/>
                <w:webHidden/>
              </w:rPr>
              <w:t>13</w:t>
            </w:r>
            <w:r w:rsidR="0026633C">
              <w:rPr>
                <w:noProof/>
                <w:webHidden/>
              </w:rPr>
              <w:fldChar w:fldCharType="end"/>
            </w:r>
          </w:hyperlink>
        </w:p>
        <w:p w14:paraId="3C8C8CFA" w14:textId="21B46BC0"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51" w:history="1">
            <w:r w:rsidR="0026633C" w:rsidRPr="00C765C2">
              <w:rPr>
                <w:rStyle w:val="Hyperlink"/>
                <w:noProof/>
              </w:rPr>
              <w:t>5.8.2</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Registrars, technical staff and accompanying Health Professionals’ assistants</w:t>
            </w:r>
            <w:r w:rsidR="0026633C">
              <w:rPr>
                <w:noProof/>
                <w:webHidden/>
              </w:rPr>
              <w:tab/>
            </w:r>
            <w:r w:rsidR="0026633C">
              <w:rPr>
                <w:noProof/>
                <w:webHidden/>
              </w:rPr>
              <w:fldChar w:fldCharType="begin"/>
            </w:r>
            <w:r w:rsidR="0026633C">
              <w:rPr>
                <w:noProof/>
                <w:webHidden/>
              </w:rPr>
              <w:instrText xml:space="preserve"> PAGEREF _Toc164328451 \h </w:instrText>
            </w:r>
            <w:r w:rsidR="0026633C">
              <w:rPr>
                <w:noProof/>
                <w:webHidden/>
              </w:rPr>
            </w:r>
            <w:r w:rsidR="0026633C">
              <w:rPr>
                <w:noProof/>
                <w:webHidden/>
              </w:rPr>
              <w:fldChar w:fldCharType="separate"/>
            </w:r>
            <w:r w:rsidR="0026633C">
              <w:rPr>
                <w:noProof/>
                <w:webHidden/>
              </w:rPr>
              <w:t>13</w:t>
            </w:r>
            <w:r w:rsidR="0026633C">
              <w:rPr>
                <w:noProof/>
                <w:webHidden/>
              </w:rPr>
              <w:fldChar w:fldCharType="end"/>
            </w:r>
          </w:hyperlink>
        </w:p>
        <w:p w14:paraId="770922B1" w14:textId="57A8B496"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52" w:history="1">
            <w:r w:rsidR="0026633C" w:rsidRPr="00C765C2">
              <w:rPr>
                <w:rStyle w:val="Hyperlink"/>
                <w:noProof/>
              </w:rPr>
              <w:t>5.8.3</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Allied health and optometry students</w:t>
            </w:r>
            <w:r w:rsidR="0026633C">
              <w:rPr>
                <w:noProof/>
                <w:webHidden/>
              </w:rPr>
              <w:tab/>
            </w:r>
            <w:r w:rsidR="0026633C">
              <w:rPr>
                <w:noProof/>
                <w:webHidden/>
              </w:rPr>
              <w:fldChar w:fldCharType="begin"/>
            </w:r>
            <w:r w:rsidR="0026633C">
              <w:rPr>
                <w:noProof/>
                <w:webHidden/>
              </w:rPr>
              <w:instrText xml:space="preserve"> PAGEREF _Toc164328452 \h </w:instrText>
            </w:r>
            <w:r w:rsidR="0026633C">
              <w:rPr>
                <w:noProof/>
                <w:webHidden/>
              </w:rPr>
            </w:r>
            <w:r w:rsidR="0026633C">
              <w:rPr>
                <w:noProof/>
                <w:webHidden/>
              </w:rPr>
              <w:fldChar w:fldCharType="separate"/>
            </w:r>
            <w:r w:rsidR="0026633C">
              <w:rPr>
                <w:noProof/>
                <w:webHidden/>
              </w:rPr>
              <w:t>13</w:t>
            </w:r>
            <w:r w:rsidR="0026633C">
              <w:rPr>
                <w:noProof/>
                <w:webHidden/>
              </w:rPr>
              <w:fldChar w:fldCharType="end"/>
            </w:r>
          </w:hyperlink>
        </w:p>
        <w:p w14:paraId="3484D245" w14:textId="1D1A1C6E"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53" w:history="1">
            <w:r w:rsidR="0026633C" w:rsidRPr="00C765C2">
              <w:rPr>
                <w:rStyle w:val="Hyperlink"/>
                <w:noProof/>
              </w:rPr>
              <w:t>5.8.4</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Cultural training and orientation</w:t>
            </w:r>
            <w:r w:rsidR="0026633C">
              <w:rPr>
                <w:noProof/>
                <w:webHidden/>
              </w:rPr>
              <w:tab/>
            </w:r>
            <w:r w:rsidR="0026633C">
              <w:rPr>
                <w:noProof/>
                <w:webHidden/>
              </w:rPr>
              <w:fldChar w:fldCharType="begin"/>
            </w:r>
            <w:r w:rsidR="0026633C">
              <w:rPr>
                <w:noProof/>
                <w:webHidden/>
              </w:rPr>
              <w:instrText xml:space="preserve"> PAGEREF _Toc164328453 \h </w:instrText>
            </w:r>
            <w:r w:rsidR="0026633C">
              <w:rPr>
                <w:noProof/>
                <w:webHidden/>
              </w:rPr>
            </w:r>
            <w:r w:rsidR="0026633C">
              <w:rPr>
                <w:noProof/>
                <w:webHidden/>
              </w:rPr>
              <w:fldChar w:fldCharType="separate"/>
            </w:r>
            <w:r w:rsidR="0026633C">
              <w:rPr>
                <w:noProof/>
                <w:webHidden/>
              </w:rPr>
              <w:t>13</w:t>
            </w:r>
            <w:r w:rsidR="0026633C">
              <w:rPr>
                <w:noProof/>
                <w:webHidden/>
              </w:rPr>
              <w:fldChar w:fldCharType="end"/>
            </w:r>
          </w:hyperlink>
        </w:p>
        <w:p w14:paraId="66835F2E" w14:textId="3980FD46"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54" w:history="1">
            <w:r w:rsidR="0026633C" w:rsidRPr="00C765C2">
              <w:rPr>
                <w:rStyle w:val="Hyperlink"/>
                <w:noProof/>
              </w:rPr>
              <w:t>5.8.5</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Travel Time Allowance</w:t>
            </w:r>
            <w:r w:rsidR="0026633C">
              <w:rPr>
                <w:noProof/>
                <w:webHidden/>
              </w:rPr>
              <w:tab/>
            </w:r>
            <w:r w:rsidR="0026633C">
              <w:rPr>
                <w:noProof/>
                <w:webHidden/>
              </w:rPr>
              <w:fldChar w:fldCharType="begin"/>
            </w:r>
            <w:r w:rsidR="0026633C">
              <w:rPr>
                <w:noProof/>
                <w:webHidden/>
              </w:rPr>
              <w:instrText xml:space="preserve"> PAGEREF _Toc164328454 \h </w:instrText>
            </w:r>
            <w:r w:rsidR="0026633C">
              <w:rPr>
                <w:noProof/>
                <w:webHidden/>
              </w:rPr>
            </w:r>
            <w:r w:rsidR="0026633C">
              <w:rPr>
                <w:noProof/>
                <w:webHidden/>
              </w:rPr>
              <w:fldChar w:fldCharType="separate"/>
            </w:r>
            <w:r w:rsidR="0026633C">
              <w:rPr>
                <w:noProof/>
                <w:webHidden/>
              </w:rPr>
              <w:t>14</w:t>
            </w:r>
            <w:r w:rsidR="0026633C">
              <w:rPr>
                <w:noProof/>
                <w:webHidden/>
              </w:rPr>
              <w:fldChar w:fldCharType="end"/>
            </w:r>
          </w:hyperlink>
        </w:p>
        <w:p w14:paraId="58E757CD" w14:textId="7EE61245"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55" w:history="1">
            <w:r w:rsidR="0026633C" w:rsidRPr="00C765C2">
              <w:rPr>
                <w:rStyle w:val="Hyperlink"/>
                <w:noProof/>
              </w:rPr>
              <w:t>5.8.6</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Travel Time Allowance under the VOS</w:t>
            </w:r>
            <w:r w:rsidR="0026633C">
              <w:rPr>
                <w:noProof/>
                <w:webHidden/>
              </w:rPr>
              <w:tab/>
            </w:r>
            <w:r w:rsidR="0026633C">
              <w:rPr>
                <w:noProof/>
                <w:webHidden/>
              </w:rPr>
              <w:fldChar w:fldCharType="begin"/>
            </w:r>
            <w:r w:rsidR="0026633C">
              <w:rPr>
                <w:noProof/>
                <w:webHidden/>
              </w:rPr>
              <w:instrText xml:space="preserve"> PAGEREF _Toc164328455 \h </w:instrText>
            </w:r>
            <w:r w:rsidR="0026633C">
              <w:rPr>
                <w:noProof/>
                <w:webHidden/>
              </w:rPr>
            </w:r>
            <w:r w:rsidR="0026633C">
              <w:rPr>
                <w:noProof/>
                <w:webHidden/>
              </w:rPr>
              <w:fldChar w:fldCharType="separate"/>
            </w:r>
            <w:r w:rsidR="0026633C">
              <w:rPr>
                <w:noProof/>
                <w:webHidden/>
              </w:rPr>
              <w:t>14</w:t>
            </w:r>
            <w:r w:rsidR="0026633C">
              <w:rPr>
                <w:noProof/>
                <w:webHidden/>
              </w:rPr>
              <w:fldChar w:fldCharType="end"/>
            </w:r>
          </w:hyperlink>
        </w:p>
        <w:p w14:paraId="3E20497C" w14:textId="6A77CED6"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56" w:history="1">
            <w:r w:rsidR="0026633C" w:rsidRPr="00C765C2">
              <w:rPr>
                <w:rStyle w:val="Hyperlink"/>
                <w:noProof/>
              </w:rPr>
              <w:t>5.8.7</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Workforce support</w:t>
            </w:r>
            <w:r w:rsidR="0026633C">
              <w:rPr>
                <w:noProof/>
                <w:webHidden/>
              </w:rPr>
              <w:tab/>
            </w:r>
            <w:r w:rsidR="0026633C">
              <w:rPr>
                <w:noProof/>
                <w:webHidden/>
              </w:rPr>
              <w:fldChar w:fldCharType="begin"/>
            </w:r>
            <w:r w:rsidR="0026633C">
              <w:rPr>
                <w:noProof/>
                <w:webHidden/>
              </w:rPr>
              <w:instrText xml:space="preserve"> PAGEREF _Toc164328456 \h </w:instrText>
            </w:r>
            <w:r w:rsidR="0026633C">
              <w:rPr>
                <w:noProof/>
                <w:webHidden/>
              </w:rPr>
            </w:r>
            <w:r w:rsidR="0026633C">
              <w:rPr>
                <w:noProof/>
                <w:webHidden/>
              </w:rPr>
              <w:fldChar w:fldCharType="separate"/>
            </w:r>
            <w:r w:rsidR="0026633C">
              <w:rPr>
                <w:noProof/>
                <w:webHidden/>
              </w:rPr>
              <w:t>14</w:t>
            </w:r>
            <w:r w:rsidR="0026633C">
              <w:rPr>
                <w:noProof/>
                <w:webHidden/>
              </w:rPr>
              <w:fldChar w:fldCharType="end"/>
            </w:r>
          </w:hyperlink>
        </w:p>
        <w:p w14:paraId="77AFF71B" w14:textId="2F863116"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57" w:history="1">
            <w:r w:rsidR="0026633C" w:rsidRPr="00C765C2">
              <w:rPr>
                <w:rStyle w:val="Hyperlink"/>
                <w:noProof/>
              </w:rPr>
              <w:t>5.8.8</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Backfilling and locum support for salaried Health Professionals</w:t>
            </w:r>
            <w:r w:rsidR="0026633C">
              <w:rPr>
                <w:noProof/>
                <w:webHidden/>
              </w:rPr>
              <w:tab/>
            </w:r>
            <w:r w:rsidR="0026633C">
              <w:rPr>
                <w:noProof/>
                <w:webHidden/>
              </w:rPr>
              <w:fldChar w:fldCharType="begin"/>
            </w:r>
            <w:r w:rsidR="0026633C">
              <w:rPr>
                <w:noProof/>
                <w:webHidden/>
              </w:rPr>
              <w:instrText xml:space="preserve"> PAGEREF _Toc164328457 \h </w:instrText>
            </w:r>
            <w:r w:rsidR="0026633C">
              <w:rPr>
                <w:noProof/>
                <w:webHidden/>
              </w:rPr>
            </w:r>
            <w:r w:rsidR="0026633C">
              <w:rPr>
                <w:noProof/>
                <w:webHidden/>
              </w:rPr>
              <w:fldChar w:fldCharType="separate"/>
            </w:r>
            <w:r w:rsidR="0026633C">
              <w:rPr>
                <w:noProof/>
                <w:webHidden/>
              </w:rPr>
              <w:t>14</w:t>
            </w:r>
            <w:r w:rsidR="0026633C">
              <w:rPr>
                <w:noProof/>
                <w:webHidden/>
              </w:rPr>
              <w:fldChar w:fldCharType="end"/>
            </w:r>
          </w:hyperlink>
        </w:p>
        <w:p w14:paraId="34A7B794" w14:textId="4310CC25"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58" w:history="1">
            <w:r w:rsidR="0026633C" w:rsidRPr="00C765C2">
              <w:rPr>
                <w:rStyle w:val="Hyperlink"/>
                <w:noProof/>
              </w:rPr>
              <w:t>5.8.9</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Upskilling</w:t>
            </w:r>
            <w:r w:rsidR="0026633C">
              <w:rPr>
                <w:noProof/>
                <w:webHidden/>
              </w:rPr>
              <w:tab/>
            </w:r>
            <w:r w:rsidR="0026633C">
              <w:rPr>
                <w:noProof/>
                <w:webHidden/>
              </w:rPr>
              <w:fldChar w:fldCharType="begin"/>
            </w:r>
            <w:r w:rsidR="0026633C">
              <w:rPr>
                <w:noProof/>
                <w:webHidden/>
              </w:rPr>
              <w:instrText xml:space="preserve"> PAGEREF _Toc164328458 \h </w:instrText>
            </w:r>
            <w:r w:rsidR="0026633C">
              <w:rPr>
                <w:noProof/>
                <w:webHidden/>
              </w:rPr>
            </w:r>
            <w:r w:rsidR="0026633C">
              <w:rPr>
                <w:noProof/>
                <w:webHidden/>
              </w:rPr>
              <w:fldChar w:fldCharType="separate"/>
            </w:r>
            <w:r w:rsidR="0026633C">
              <w:rPr>
                <w:noProof/>
                <w:webHidden/>
              </w:rPr>
              <w:t>14</w:t>
            </w:r>
            <w:r w:rsidR="0026633C">
              <w:rPr>
                <w:noProof/>
                <w:webHidden/>
              </w:rPr>
              <w:fldChar w:fldCharType="end"/>
            </w:r>
          </w:hyperlink>
        </w:p>
        <w:p w14:paraId="213A6A7B" w14:textId="3D2CE2BF"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59" w:history="1">
            <w:r w:rsidR="0026633C" w:rsidRPr="00C765C2">
              <w:rPr>
                <w:rStyle w:val="Hyperlink"/>
                <w:noProof/>
              </w:rPr>
              <w:t>5.8.10</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Professional Support</w:t>
            </w:r>
            <w:r w:rsidR="0026633C">
              <w:rPr>
                <w:noProof/>
                <w:webHidden/>
              </w:rPr>
              <w:tab/>
            </w:r>
            <w:r w:rsidR="0026633C">
              <w:rPr>
                <w:noProof/>
                <w:webHidden/>
              </w:rPr>
              <w:fldChar w:fldCharType="begin"/>
            </w:r>
            <w:r w:rsidR="0026633C">
              <w:rPr>
                <w:noProof/>
                <w:webHidden/>
              </w:rPr>
              <w:instrText xml:space="preserve"> PAGEREF _Toc164328459 \h </w:instrText>
            </w:r>
            <w:r w:rsidR="0026633C">
              <w:rPr>
                <w:noProof/>
                <w:webHidden/>
              </w:rPr>
            </w:r>
            <w:r w:rsidR="0026633C">
              <w:rPr>
                <w:noProof/>
                <w:webHidden/>
              </w:rPr>
              <w:fldChar w:fldCharType="separate"/>
            </w:r>
            <w:r w:rsidR="0026633C">
              <w:rPr>
                <w:noProof/>
                <w:webHidden/>
              </w:rPr>
              <w:t>15</w:t>
            </w:r>
            <w:r w:rsidR="0026633C">
              <w:rPr>
                <w:noProof/>
                <w:webHidden/>
              </w:rPr>
              <w:fldChar w:fldCharType="end"/>
            </w:r>
          </w:hyperlink>
        </w:p>
        <w:p w14:paraId="5913AF9F" w14:textId="3D1BC901"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60" w:history="1">
            <w:r w:rsidR="0026633C" w:rsidRPr="00C765C2">
              <w:rPr>
                <w:rStyle w:val="Hyperlink"/>
                <w:noProof/>
              </w:rPr>
              <w:t>5.8.11</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Telemedicine and eHealth</w:t>
            </w:r>
            <w:r w:rsidR="0026633C">
              <w:rPr>
                <w:noProof/>
                <w:webHidden/>
              </w:rPr>
              <w:tab/>
            </w:r>
            <w:r w:rsidR="0026633C">
              <w:rPr>
                <w:noProof/>
                <w:webHidden/>
              </w:rPr>
              <w:fldChar w:fldCharType="begin"/>
            </w:r>
            <w:r w:rsidR="0026633C">
              <w:rPr>
                <w:noProof/>
                <w:webHidden/>
              </w:rPr>
              <w:instrText xml:space="preserve"> PAGEREF _Toc164328460 \h </w:instrText>
            </w:r>
            <w:r w:rsidR="0026633C">
              <w:rPr>
                <w:noProof/>
                <w:webHidden/>
              </w:rPr>
            </w:r>
            <w:r w:rsidR="0026633C">
              <w:rPr>
                <w:noProof/>
                <w:webHidden/>
              </w:rPr>
              <w:fldChar w:fldCharType="separate"/>
            </w:r>
            <w:r w:rsidR="0026633C">
              <w:rPr>
                <w:noProof/>
                <w:webHidden/>
              </w:rPr>
              <w:t>15</w:t>
            </w:r>
            <w:r w:rsidR="0026633C">
              <w:rPr>
                <w:noProof/>
                <w:webHidden/>
              </w:rPr>
              <w:fldChar w:fldCharType="end"/>
            </w:r>
          </w:hyperlink>
        </w:p>
        <w:p w14:paraId="634556C7" w14:textId="5F0C9288" w:rsidR="0026633C" w:rsidRDefault="00000000">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64328461" w:history="1">
            <w:r w:rsidR="0026633C" w:rsidRPr="00C765C2">
              <w:rPr>
                <w:rStyle w:val="Hyperlink"/>
                <w:noProof/>
              </w:rPr>
              <w:t>5.8.12</w:t>
            </w:r>
            <w:r w:rsidR="0026633C">
              <w:rPr>
                <w:rFonts w:asciiTheme="minorHAnsi" w:eastAsiaTheme="minorEastAsia" w:hAnsiTheme="minorHAnsi" w:cstheme="minorBidi"/>
                <w:noProof/>
                <w:kern w:val="2"/>
                <w:szCs w:val="22"/>
                <w:lang w:eastAsia="en-AU"/>
                <w14:ligatures w14:val="standardContextual"/>
              </w:rPr>
              <w:tab/>
            </w:r>
            <w:r w:rsidR="0026633C" w:rsidRPr="00C765C2">
              <w:rPr>
                <w:rStyle w:val="Hyperlink"/>
                <w:noProof/>
              </w:rPr>
              <w:t>Special arrangements</w:t>
            </w:r>
            <w:r w:rsidR="0026633C">
              <w:rPr>
                <w:noProof/>
                <w:webHidden/>
              </w:rPr>
              <w:tab/>
            </w:r>
            <w:r w:rsidR="0026633C">
              <w:rPr>
                <w:noProof/>
                <w:webHidden/>
              </w:rPr>
              <w:fldChar w:fldCharType="begin"/>
            </w:r>
            <w:r w:rsidR="0026633C">
              <w:rPr>
                <w:noProof/>
                <w:webHidden/>
              </w:rPr>
              <w:instrText xml:space="preserve"> PAGEREF _Toc164328461 \h </w:instrText>
            </w:r>
            <w:r w:rsidR="0026633C">
              <w:rPr>
                <w:noProof/>
                <w:webHidden/>
              </w:rPr>
            </w:r>
            <w:r w:rsidR="0026633C">
              <w:rPr>
                <w:noProof/>
                <w:webHidden/>
              </w:rPr>
              <w:fldChar w:fldCharType="separate"/>
            </w:r>
            <w:r w:rsidR="0026633C">
              <w:rPr>
                <w:noProof/>
                <w:webHidden/>
              </w:rPr>
              <w:t>15</w:t>
            </w:r>
            <w:r w:rsidR="0026633C">
              <w:rPr>
                <w:noProof/>
                <w:webHidden/>
              </w:rPr>
              <w:fldChar w:fldCharType="end"/>
            </w:r>
          </w:hyperlink>
        </w:p>
        <w:p w14:paraId="761EFF55" w14:textId="629B8B64" w:rsidR="0026633C" w:rsidRDefault="00000000">
          <w:pPr>
            <w:pStyle w:val="TOC1"/>
            <w:rPr>
              <w:rFonts w:asciiTheme="minorHAnsi" w:eastAsiaTheme="minorEastAsia" w:hAnsiTheme="minorHAnsi" w:cstheme="minorBidi"/>
              <w:noProof/>
              <w:kern w:val="2"/>
              <w:szCs w:val="22"/>
              <w:lang w:eastAsia="en-AU"/>
              <w14:ligatures w14:val="standardContextual"/>
            </w:rPr>
          </w:pPr>
          <w:hyperlink w:anchor="_Toc164328462" w:history="1">
            <w:r w:rsidR="0026633C" w:rsidRPr="00C765C2">
              <w:rPr>
                <w:rStyle w:val="Hyperlink"/>
                <w:noProof/>
              </w:rPr>
              <w:t>Attachment A – The Service Matrix</w:t>
            </w:r>
            <w:r w:rsidR="0026633C">
              <w:rPr>
                <w:noProof/>
                <w:webHidden/>
              </w:rPr>
              <w:tab/>
            </w:r>
            <w:r w:rsidR="0026633C">
              <w:rPr>
                <w:noProof/>
                <w:webHidden/>
              </w:rPr>
              <w:fldChar w:fldCharType="begin"/>
            </w:r>
            <w:r w:rsidR="0026633C">
              <w:rPr>
                <w:noProof/>
                <w:webHidden/>
              </w:rPr>
              <w:instrText xml:space="preserve"> PAGEREF _Toc164328462 \h </w:instrText>
            </w:r>
            <w:r w:rsidR="0026633C">
              <w:rPr>
                <w:noProof/>
                <w:webHidden/>
              </w:rPr>
            </w:r>
            <w:r w:rsidR="0026633C">
              <w:rPr>
                <w:noProof/>
                <w:webHidden/>
              </w:rPr>
              <w:fldChar w:fldCharType="separate"/>
            </w:r>
            <w:r w:rsidR="0026633C">
              <w:rPr>
                <w:noProof/>
                <w:webHidden/>
              </w:rPr>
              <w:t>16</w:t>
            </w:r>
            <w:r w:rsidR="0026633C">
              <w:rPr>
                <w:noProof/>
                <w:webHidden/>
              </w:rPr>
              <w:fldChar w:fldCharType="end"/>
            </w:r>
          </w:hyperlink>
        </w:p>
        <w:p w14:paraId="1E36676D" w14:textId="0A0841D7" w:rsidR="0026633C" w:rsidRDefault="00000000">
          <w:pPr>
            <w:pStyle w:val="TOC1"/>
            <w:rPr>
              <w:rFonts w:asciiTheme="minorHAnsi" w:eastAsiaTheme="minorEastAsia" w:hAnsiTheme="minorHAnsi" w:cstheme="minorBidi"/>
              <w:noProof/>
              <w:kern w:val="2"/>
              <w:szCs w:val="22"/>
              <w:lang w:eastAsia="en-AU"/>
              <w14:ligatures w14:val="standardContextual"/>
            </w:rPr>
          </w:pPr>
          <w:hyperlink w:anchor="_Toc164328463" w:history="1">
            <w:r w:rsidR="0026633C" w:rsidRPr="00C765C2">
              <w:rPr>
                <w:rStyle w:val="Hyperlink"/>
                <w:noProof/>
              </w:rPr>
              <w:t>Glossary</w:t>
            </w:r>
            <w:r w:rsidR="0026633C">
              <w:rPr>
                <w:noProof/>
                <w:webHidden/>
              </w:rPr>
              <w:tab/>
            </w:r>
            <w:r w:rsidR="0026633C">
              <w:rPr>
                <w:noProof/>
                <w:webHidden/>
              </w:rPr>
              <w:fldChar w:fldCharType="begin"/>
            </w:r>
            <w:r w:rsidR="0026633C">
              <w:rPr>
                <w:noProof/>
                <w:webHidden/>
              </w:rPr>
              <w:instrText xml:space="preserve"> PAGEREF _Toc164328463 \h </w:instrText>
            </w:r>
            <w:r w:rsidR="0026633C">
              <w:rPr>
                <w:noProof/>
                <w:webHidden/>
              </w:rPr>
            </w:r>
            <w:r w:rsidR="0026633C">
              <w:rPr>
                <w:noProof/>
                <w:webHidden/>
              </w:rPr>
              <w:fldChar w:fldCharType="separate"/>
            </w:r>
            <w:r w:rsidR="0026633C">
              <w:rPr>
                <w:noProof/>
                <w:webHidden/>
              </w:rPr>
              <w:t>17</w:t>
            </w:r>
            <w:r w:rsidR="0026633C">
              <w:rPr>
                <w:noProof/>
                <w:webHidden/>
              </w:rPr>
              <w:fldChar w:fldCharType="end"/>
            </w:r>
          </w:hyperlink>
        </w:p>
        <w:p w14:paraId="6E582C52" w14:textId="282A8AB4" w:rsidR="005C4A44" w:rsidRPr="00260274" w:rsidRDefault="001D6018" w:rsidP="00260274">
          <w:r>
            <w:rPr>
              <w:b/>
              <w:bCs/>
              <w:noProof/>
            </w:rPr>
            <w:fldChar w:fldCharType="end"/>
          </w:r>
        </w:p>
      </w:sdtContent>
    </w:sdt>
    <w:p w14:paraId="7846E9AA" w14:textId="77777777" w:rsidR="009905AE" w:rsidRPr="00B65018" w:rsidRDefault="009905AE" w:rsidP="00B65018">
      <w:bookmarkStart w:id="0" w:name="_Toc49331723"/>
      <w:bookmarkStart w:id="1" w:name="_Toc260815300"/>
      <w:r>
        <w:br w:type="page"/>
      </w:r>
    </w:p>
    <w:p w14:paraId="7DCC297C" w14:textId="78232B74" w:rsidR="00BC508E" w:rsidRPr="005D0E99" w:rsidRDefault="00BC508E" w:rsidP="003B7C78">
      <w:pPr>
        <w:pStyle w:val="Heading1"/>
      </w:pPr>
      <w:bookmarkStart w:id="2" w:name="_Toc164328314"/>
      <w:bookmarkStart w:id="3" w:name="_Toc164328416"/>
      <w:r w:rsidRPr="00864560">
        <w:lastRenderedPageBreak/>
        <w:t>Outreach Programs Overview</w:t>
      </w:r>
      <w:bookmarkEnd w:id="0"/>
      <w:bookmarkEnd w:id="2"/>
      <w:bookmarkEnd w:id="3"/>
    </w:p>
    <w:p w14:paraId="1C60687E" w14:textId="1ED91D9A" w:rsidR="00BC508E" w:rsidRPr="00260274" w:rsidRDefault="00BC508E" w:rsidP="00260274">
      <w:r w:rsidRPr="00260274">
        <w:t xml:space="preserve">The Australian Government’s Outreach Programs were established to address the high need for health services in areas of market failure, particularly in regional, rural and remote Australia. The Outreach Programs included in these Service Delivery Standards focus on outreach health service delivery for </w:t>
      </w:r>
      <w:r w:rsidR="00037993" w:rsidRPr="00260274">
        <w:t>First Nations</w:t>
      </w:r>
      <w:r w:rsidRPr="00260274">
        <w:t xml:space="preserve"> people.</w:t>
      </w:r>
    </w:p>
    <w:p w14:paraId="399579B9" w14:textId="77777777" w:rsidR="00BC508E" w:rsidRPr="00260274" w:rsidRDefault="00BC508E" w:rsidP="00260274">
      <w:r w:rsidRPr="00260274">
        <w:t>The Indigenous Australians' Health Programme (IAHP) funds the following Outreach Programs:</w:t>
      </w:r>
    </w:p>
    <w:p w14:paraId="0658B400" w14:textId="33C1EECE" w:rsidR="00B65018" w:rsidRPr="003B7C78" w:rsidRDefault="00BC508E" w:rsidP="003B7C78">
      <w:pPr>
        <w:pStyle w:val="ListBullet3"/>
      </w:pPr>
      <w:r w:rsidRPr="003B7C78">
        <w:t>Medical Outreach Indigenous Chronic Disease Program (MOICDP)</w:t>
      </w:r>
    </w:p>
    <w:p w14:paraId="366B80C7" w14:textId="426DB8D6" w:rsidR="00BC508E" w:rsidRPr="00260274" w:rsidRDefault="00BC508E" w:rsidP="00260274">
      <w:r w:rsidRPr="00260274">
        <w:t xml:space="preserve">Increases access to a range of health services, including expanded primary care for </w:t>
      </w:r>
      <w:r w:rsidR="00037993" w:rsidRPr="00260274">
        <w:t>First Nations</w:t>
      </w:r>
      <w:r w:rsidRPr="00260274">
        <w:t xml:space="preserve"> people for the prevention, diagnosis and management of chronic disease, where chronic disease is defined as ‘a condition that has been (or is likely to be) present for six months or longer’.</w:t>
      </w:r>
      <w:r w:rsidR="002A12CA" w:rsidRPr="00260274">
        <w:t xml:space="preserve"> MM1 – MM7 locations are eligible for MOIC</w:t>
      </w:r>
      <w:r w:rsidR="00705379" w:rsidRPr="00260274">
        <w:t>D</w:t>
      </w:r>
      <w:r w:rsidR="002A12CA" w:rsidRPr="00260274">
        <w:t>P services.</w:t>
      </w:r>
    </w:p>
    <w:p w14:paraId="36163140" w14:textId="77777777" w:rsidR="00260274" w:rsidRPr="003B7C78" w:rsidRDefault="00BC508E" w:rsidP="003B7C78">
      <w:pPr>
        <w:pStyle w:val="ListBullet3"/>
      </w:pPr>
      <w:r w:rsidRPr="003B7C78">
        <w:t xml:space="preserve">Healthy Ears – Better Hearing Better Listening (Healthy Ears) Program </w:t>
      </w:r>
    </w:p>
    <w:p w14:paraId="55383293" w14:textId="7773F1F5" w:rsidR="00BC508E" w:rsidRPr="00260274" w:rsidRDefault="00BC508E" w:rsidP="00260274">
      <w:r w:rsidRPr="00260274">
        <w:t xml:space="preserve">Increases access to a range of ear and hearing health services, including expanded primary care for </w:t>
      </w:r>
      <w:r w:rsidR="00037993" w:rsidRPr="00260274">
        <w:t>First Nations</w:t>
      </w:r>
      <w:r w:rsidRPr="00260274">
        <w:t xml:space="preserve"> children and youth (0-21 years) for the diagnosis, treatment and management of ear and hearing health conditions.</w:t>
      </w:r>
      <w:r w:rsidR="002A12CA" w:rsidRPr="00260274">
        <w:t xml:space="preserve"> MM</w:t>
      </w:r>
      <w:r w:rsidR="007155AA" w:rsidRPr="00260274">
        <w:t>2</w:t>
      </w:r>
      <w:r w:rsidR="002A12CA" w:rsidRPr="00260274">
        <w:t xml:space="preserve"> – MM7 </w:t>
      </w:r>
      <w:r w:rsidR="00705379" w:rsidRPr="00260274">
        <w:t>locations are eligible for Healthy Ears</w:t>
      </w:r>
      <w:r w:rsidR="002A12CA" w:rsidRPr="00260274">
        <w:t xml:space="preserve"> services</w:t>
      </w:r>
      <w:r w:rsidR="00705379" w:rsidRPr="00260274">
        <w:t>.</w:t>
      </w:r>
    </w:p>
    <w:p w14:paraId="6633AA23" w14:textId="77777777" w:rsidR="00260274" w:rsidRPr="003B7C78" w:rsidRDefault="00BC508E" w:rsidP="003B7C78">
      <w:pPr>
        <w:pStyle w:val="ListBullet3"/>
      </w:pPr>
      <w:r w:rsidRPr="003B7C78">
        <w:t xml:space="preserve">Eye and Ear Surgical Support Program (EESS) </w:t>
      </w:r>
    </w:p>
    <w:p w14:paraId="67F91AE6" w14:textId="4A742EC9" w:rsidR="00BC508E" w:rsidRPr="00260274" w:rsidRDefault="00BC508E" w:rsidP="00260274">
      <w:r w:rsidRPr="00260274">
        <w:t xml:space="preserve">Expedites access to surgical interventions to support </w:t>
      </w:r>
      <w:r w:rsidR="00037993" w:rsidRPr="00260274">
        <w:t>First Nations</w:t>
      </w:r>
      <w:r w:rsidRPr="00260274">
        <w:t xml:space="preserve"> people who require eye surgery or ear surgery for conditions resulting from Otitis Media.</w:t>
      </w:r>
      <w:r w:rsidR="00705379" w:rsidRPr="00260274">
        <w:t xml:space="preserve"> Patients who reside in MM3 – MM7 locations are eligible for EESS services.</w:t>
      </w:r>
    </w:p>
    <w:p w14:paraId="5A89E02A" w14:textId="1F5769CD" w:rsidR="00BC508E" w:rsidRPr="00260274" w:rsidRDefault="00BC508E" w:rsidP="00260274">
      <w:r w:rsidRPr="00260274">
        <w:t xml:space="preserve">The IAHP aims to contribute to Outcome 1 - </w:t>
      </w:r>
      <w:r w:rsidR="00037993" w:rsidRPr="00260274">
        <w:t>First Nations</w:t>
      </w:r>
      <w:r w:rsidRPr="00260274">
        <w:t xml:space="preserve"> people enjoy long and healthy lives under the </w:t>
      </w:r>
      <w:hyperlink r:id="rId14" w:history="1">
        <w:r w:rsidRPr="00260274">
          <w:rPr>
            <w:rStyle w:val="Hyperlink"/>
          </w:rPr>
          <w:t>2020 National Agreement on Closing the Gap</w:t>
        </w:r>
      </w:hyperlink>
      <w:r w:rsidRPr="00260274">
        <w:t xml:space="preserve"> by providing </w:t>
      </w:r>
      <w:r w:rsidR="00037993" w:rsidRPr="00260274">
        <w:t>First Nations</w:t>
      </w:r>
      <w:r w:rsidRPr="00260274">
        <w:t xml:space="preserve"> people with access to effective high quality, comprehensive, culturally appropriate, primary health care services across Australia. </w:t>
      </w:r>
    </w:p>
    <w:p w14:paraId="766999B3" w14:textId="227480B5" w:rsidR="00BC508E" w:rsidRPr="00260274" w:rsidRDefault="00BC508E" w:rsidP="00260274">
      <w:r w:rsidRPr="00260274">
        <w:t>The Medicare Services Special Appropriation funds the:</w:t>
      </w:r>
    </w:p>
    <w:p w14:paraId="6ABF4F71" w14:textId="77777777" w:rsidR="00B65018" w:rsidRPr="003B7C78" w:rsidRDefault="00BC508E" w:rsidP="003B7C78">
      <w:pPr>
        <w:pStyle w:val="ListBullet3"/>
      </w:pPr>
      <w:r w:rsidRPr="003B7C78">
        <w:t>Visiting Optometrists Scheme (VOS)</w:t>
      </w:r>
    </w:p>
    <w:p w14:paraId="38D5FC57" w14:textId="15B8B9DF" w:rsidR="004232F8" w:rsidRPr="00260274" w:rsidRDefault="00BC508E" w:rsidP="00260274">
      <w:r w:rsidRPr="00260274">
        <w:t xml:space="preserve">Increases access to optometry services for people living in regional, rural and remote locations. This arrangement has been in operation since 1975 and is enabled under section 129A of the </w:t>
      </w:r>
      <w:r w:rsidRPr="00260274">
        <w:rPr>
          <w:rStyle w:val="Emphasis"/>
        </w:rPr>
        <w:t>Health Insurance Act 1973</w:t>
      </w:r>
      <w:r w:rsidRPr="00260274">
        <w:t xml:space="preserve">. </w:t>
      </w:r>
      <w:r w:rsidR="00705379" w:rsidRPr="00260274">
        <w:t>MM2 – MM7 locations are eligible for VOS services</w:t>
      </w:r>
      <w:r w:rsidR="004232F8" w:rsidRPr="00260274">
        <w:t>.</w:t>
      </w:r>
      <w:r w:rsidR="004E4EEC" w:rsidRPr="00260274">
        <w:t xml:space="preserve"> </w:t>
      </w:r>
      <w:r w:rsidR="004232F8" w:rsidRPr="00260274">
        <w:t xml:space="preserve">Services for </w:t>
      </w:r>
      <w:r w:rsidR="00037993" w:rsidRPr="00260274">
        <w:t>First Nations</w:t>
      </w:r>
      <w:r w:rsidR="004232F8" w:rsidRPr="00260274">
        <w:t xml:space="preserve"> patients</w:t>
      </w:r>
      <w:r w:rsidR="00B82870" w:rsidRPr="00260274">
        <w:t xml:space="preserve"> may also be provided in MM1 locations</w:t>
      </w:r>
      <w:r w:rsidR="004E4EEC" w:rsidRPr="00260274">
        <w:t xml:space="preserve"> (</w:t>
      </w:r>
      <w:r w:rsidR="00B82870" w:rsidRPr="00260274">
        <w:t>refer to clause 4.7.1</w:t>
      </w:r>
      <w:r w:rsidR="004E4EEC" w:rsidRPr="00260274">
        <w:t>)</w:t>
      </w:r>
      <w:r w:rsidR="00B82870" w:rsidRPr="00260274">
        <w:t>.</w:t>
      </w:r>
    </w:p>
    <w:p w14:paraId="482DA4FF" w14:textId="364A7EFE" w:rsidR="00BC508E" w:rsidRPr="00260274" w:rsidRDefault="00BC508E" w:rsidP="00260274">
      <w:r w:rsidRPr="00260274">
        <w:t xml:space="preserve">The VOS is made up </w:t>
      </w:r>
      <w:r w:rsidRPr="00B65018">
        <w:t>of</w:t>
      </w:r>
      <w:r w:rsidRPr="00260274">
        <w:t xml:space="preserve"> an Indigenous and non-Indigenous component with the Indigenous component making up 40% of the total annual funding allocation in each jurisdiction.</w:t>
      </w:r>
    </w:p>
    <w:p w14:paraId="1A1FA06F" w14:textId="77777777" w:rsidR="00BC508E" w:rsidRPr="005D0E99" w:rsidRDefault="00BC508E" w:rsidP="003B7C78">
      <w:pPr>
        <w:pStyle w:val="Heading1"/>
      </w:pPr>
      <w:bookmarkStart w:id="4" w:name="_Toc49331724"/>
      <w:bookmarkStart w:id="5" w:name="_Toc164328315"/>
      <w:bookmarkStart w:id="6" w:name="_Toc164328417"/>
      <w:r w:rsidRPr="00864560">
        <w:t>The Fundholders</w:t>
      </w:r>
      <w:bookmarkEnd w:id="4"/>
      <w:bookmarkEnd w:id="5"/>
      <w:bookmarkEnd w:id="6"/>
    </w:p>
    <w:p w14:paraId="4A5A74FA" w14:textId="30849BB2" w:rsidR="00BC508E" w:rsidRPr="00260274" w:rsidRDefault="00BC508E" w:rsidP="00260274">
      <w:r w:rsidRPr="00260274">
        <w:t>The Outreach Programs are delivered by an approved organisation in each jurisdiction, contracted by the Commonwealth Department of Health</w:t>
      </w:r>
      <w:r w:rsidR="00F738E3" w:rsidRPr="00260274">
        <w:t xml:space="preserve"> and Aged Care</w:t>
      </w:r>
      <w:r w:rsidRPr="00260274">
        <w:t xml:space="preserve"> (</w:t>
      </w:r>
      <w:r w:rsidR="00D45513" w:rsidRPr="00260274">
        <w:t>t</w:t>
      </w:r>
      <w:r w:rsidRPr="00260274">
        <w:t>he Department). These organisations are referred to as the Fundholders.</w:t>
      </w:r>
    </w:p>
    <w:p w14:paraId="0B466C92" w14:textId="77777777" w:rsidR="00BC508E" w:rsidRPr="00260274" w:rsidRDefault="00BC508E" w:rsidP="00260274">
      <w:r w:rsidRPr="00260274">
        <w:t>Fundholders are required to:</w:t>
      </w:r>
    </w:p>
    <w:p w14:paraId="27BFD709" w14:textId="77777777" w:rsidR="00BC508E" w:rsidRPr="00B65018" w:rsidRDefault="00BC508E" w:rsidP="00B65018">
      <w:pPr>
        <w:pStyle w:val="ListNumber"/>
      </w:pPr>
      <w:r w:rsidRPr="00B65018">
        <w:t>Deliver the activities and meet the terms and conditions outlined in their Standard Grant Agreements for each Outreach Program and the Outreach Program Service Delivery Standards.</w:t>
      </w:r>
    </w:p>
    <w:p w14:paraId="05A93E61" w14:textId="4E0889E1" w:rsidR="00BC508E" w:rsidRPr="00B65018" w:rsidRDefault="00BC508E" w:rsidP="00B65018">
      <w:pPr>
        <w:pStyle w:val="ListNumber"/>
      </w:pPr>
      <w:r w:rsidRPr="00B65018">
        <w:t xml:space="preserve">Commit to shared decision-making with </w:t>
      </w:r>
      <w:r w:rsidR="00037993" w:rsidRPr="00B65018">
        <w:t>First Nations</w:t>
      </w:r>
      <w:r w:rsidRPr="00B65018">
        <w:t xml:space="preserve"> people and delivery of culturally safe services that respond to the needs of </w:t>
      </w:r>
      <w:r w:rsidR="00037993" w:rsidRPr="00B65018">
        <w:t>First Nations</w:t>
      </w:r>
      <w:r w:rsidRPr="00B65018">
        <w:t xml:space="preserve"> people.</w:t>
      </w:r>
    </w:p>
    <w:p w14:paraId="48CAB500" w14:textId="77777777" w:rsidR="00BC508E" w:rsidRPr="00B65018" w:rsidRDefault="00BC508E" w:rsidP="00B65018">
      <w:pPr>
        <w:pStyle w:val="ListNumber"/>
      </w:pPr>
      <w:r w:rsidRPr="00B65018">
        <w:t>Undertake a detailed needs assessment or undertake service planning in line with current and relevant needs assessments.</w:t>
      </w:r>
    </w:p>
    <w:p w14:paraId="238EAFD2" w14:textId="77777777" w:rsidR="00BC508E" w:rsidRPr="00B65018" w:rsidRDefault="00BC508E" w:rsidP="00B65018">
      <w:pPr>
        <w:pStyle w:val="ListNumber"/>
      </w:pPr>
      <w:r w:rsidRPr="00B65018">
        <w:t>Engage with local communities to ensure coordination of services.</w:t>
      </w:r>
    </w:p>
    <w:p w14:paraId="33FBD791" w14:textId="77777777" w:rsidR="00BC508E" w:rsidRPr="00B65018" w:rsidRDefault="00BC508E" w:rsidP="00B65018">
      <w:pPr>
        <w:pStyle w:val="ListNumber"/>
      </w:pPr>
      <w:r w:rsidRPr="00B65018">
        <w:t>Manage the recruitment and retention of outreach Health Professionals.</w:t>
      </w:r>
    </w:p>
    <w:p w14:paraId="5F89AC11" w14:textId="77777777" w:rsidR="00BC508E" w:rsidRPr="00B65018" w:rsidRDefault="00BC508E" w:rsidP="00B65018">
      <w:pPr>
        <w:pStyle w:val="ListNumber"/>
      </w:pPr>
      <w:r w:rsidRPr="00B65018">
        <w:lastRenderedPageBreak/>
        <w:t>Maintain an internal administrative unit.</w:t>
      </w:r>
    </w:p>
    <w:p w14:paraId="3F9AF293" w14:textId="77777777" w:rsidR="00BC508E" w:rsidRPr="00B65018" w:rsidRDefault="00BC508E" w:rsidP="00B65018">
      <w:pPr>
        <w:pStyle w:val="ListNumber"/>
      </w:pPr>
      <w:r w:rsidRPr="00B65018">
        <w:t>Maintain records and data to inform reporting deliverables.</w:t>
      </w:r>
    </w:p>
    <w:p w14:paraId="3658C88B" w14:textId="56E5F6F5" w:rsidR="00BC508E" w:rsidRPr="00B8406B" w:rsidRDefault="00BC508E" w:rsidP="003B7C78">
      <w:pPr>
        <w:pStyle w:val="Heading2"/>
      </w:pPr>
      <w:bookmarkStart w:id="7" w:name="_Toc49331725"/>
      <w:bookmarkStart w:id="8" w:name="_Toc164328316"/>
      <w:bookmarkStart w:id="9" w:name="_Toc164328418"/>
      <w:r w:rsidRPr="00B8406B">
        <w:t>Needs Assessment</w:t>
      </w:r>
      <w:bookmarkEnd w:id="7"/>
      <w:bookmarkEnd w:id="8"/>
      <w:bookmarkEnd w:id="9"/>
    </w:p>
    <w:p w14:paraId="07125FDB" w14:textId="381D8489" w:rsidR="00BC508E" w:rsidRPr="0008002F" w:rsidRDefault="00BC508E" w:rsidP="00BC508E">
      <w:pPr>
        <w:rPr>
          <w:rFonts w:asciiTheme="minorHAnsi" w:hAnsiTheme="minorHAnsi" w:cstheme="minorHAnsi"/>
        </w:rPr>
      </w:pPr>
      <w:r w:rsidRPr="0008002F">
        <w:rPr>
          <w:rFonts w:asciiTheme="minorHAnsi" w:hAnsiTheme="minorHAnsi" w:cstheme="minorHAnsi"/>
        </w:rPr>
        <w:t>Each Fundholder must undertake an annual Needs Assessment or health service planning to identify the priority health needs and priority loca</w:t>
      </w:r>
      <w:r>
        <w:rPr>
          <w:rFonts w:asciiTheme="minorHAnsi" w:hAnsiTheme="minorHAnsi" w:cstheme="minorHAnsi"/>
        </w:rPr>
        <w:t xml:space="preserve">tions within their jurisdiction. </w:t>
      </w:r>
      <w:r w:rsidRPr="00194381">
        <w:rPr>
          <w:rFonts w:asciiTheme="minorHAnsi" w:hAnsiTheme="minorHAnsi" w:cstheme="minorHAnsi"/>
        </w:rPr>
        <w:t xml:space="preserve">In undertaking the Needs Assessment, Fundholders must consult broadly and ensure the views and expertise of </w:t>
      </w:r>
      <w:r w:rsidR="00037993">
        <w:rPr>
          <w:rFonts w:asciiTheme="minorHAnsi" w:hAnsiTheme="minorHAnsi" w:cstheme="minorHAnsi"/>
        </w:rPr>
        <w:t>First Nations</w:t>
      </w:r>
      <w:r w:rsidRPr="00194381">
        <w:rPr>
          <w:rFonts w:asciiTheme="minorHAnsi" w:hAnsiTheme="minorHAnsi" w:cstheme="minorHAnsi"/>
        </w:rPr>
        <w:t xml:space="preserve"> people, communities and organisations are an integral part of the process</w:t>
      </w:r>
      <w:r w:rsidRPr="0008002F">
        <w:rPr>
          <w:rFonts w:asciiTheme="minorHAnsi" w:hAnsiTheme="minorHAnsi" w:cstheme="minorHAnsi"/>
        </w:rPr>
        <w:t>.</w:t>
      </w:r>
    </w:p>
    <w:p w14:paraId="3A105C83" w14:textId="7B622E9F" w:rsidR="00BC508E" w:rsidRPr="00300BC7" w:rsidRDefault="00BC508E" w:rsidP="00BC508E">
      <w:pPr>
        <w:rPr>
          <w:rFonts w:asciiTheme="minorHAnsi" w:hAnsiTheme="minorHAnsi" w:cstheme="minorHAnsi"/>
        </w:rPr>
      </w:pPr>
      <w:r>
        <w:rPr>
          <w:rFonts w:asciiTheme="minorHAnsi" w:hAnsiTheme="minorHAnsi" w:cstheme="minorHAnsi"/>
        </w:rPr>
        <w:t>S</w:t>
      </w:r>
      <w:r w:rsidRPr="003B7AE9">
        <w:rPr>
          <w:rFonts w:asciiTheme="minorHAnsi" w:hAnsiTheme="minorHAnsi" w:cstheme="minorHAnsi"/>
        </w:rPr>
        <w:t>hared decision-making structures al</w:t>
      </w:r>
      <w:r>
        <w:rPr>
          <w:rFonts w:asciiTheme="minorHAnsi" w:hAnsiTheme="minorHAnsi" w:cstheme="minorHAnsi"/>
        </w:rPr>
        <w:t>ready exist and</w:t>
      </w:r>
      <w:r w:rsidRPr="003B7AE9">
        <w:rPr>
          <w:rFonts w:asciiTheme="minorHAnsi" w:hAnsiTheme="minorHAnsi" w:cstheme="minorHAnsi"/>
        </w:rPr>
        <w:t xml:space="preserve"> many of these have been developed by </w:t>
      </w:r>
      <w:r w:rsidR="00037993">
        <w:rPr>
          <w:rFonts w:asciiTheme="minorHAnsi" w:hAnsiTheme="minorHAnsi" w:cstheme="minorHAnsi"/>
        </w:rPr>
        <w:t>First Nations</w:t>
      </w:r>
      <w:r w:rsidRPr="003B7AE9">
        <w:rPr>
          <w:rFonts w:asciiTheme="minorHAnsi" w:hAnsiTheme="minorHAnsi" w:cstheme="minorHAnsi"/>
        </w:rPr>
        <w:t xml:space="preserve"> people. </w:t>
      </w:r>
      <w:r>
        <w:rPr>
          <w:rFonts w:asciiTheme="minorHAnsi" w:hAnsiTheme="minorHAnsi" w:cstheme="minorHAnsi"/>
        </w:rPr>
        <w:t>Fundholders should use existing mechanisms and build new partnerships to inform needs assessment.</w:t>
      </w:r>
    </w:p>
    <w:p w14:paraId="16943CC6" w14:textId="77777777" w:rsidR="00BC508E" w:rsidRPr="0008002F" w:rsidRDefault="00BC508E" w:rsidP="00BC508E">
      <w:pPr>
        <w:rPr>
          <w:rFonts w:asciiTheme="minorHAnsi" w:hAnsiTheme="minorHAnsi" w:cstheme="minorHAnsi"/>
        </w:rPr>
      </w:pPr>
      <w:r w:rsidRPr="0008002F">
        <w:rPr>
          <w:rFonts w:asciiTheme="minorHAnsi" w:hAnsiTheme="minorHAnsi" w:cstheme="minorHAnsi"/>
        </w:rPr>
        <w:t>The following groups must be consulted as part of the Needs Assessment / health service planning:</w:t>
      </w:r>
    </w:p>
    <w:p w14:paraId="666EAD46" w14:textId="59E8FC25" w:rsidR="00770199" w:rsidRPr="00260274" w:rsidRDefault="00000000" w:rsidP="00260274">
      <w:pPr>
        <w:pStyle w:val="ListBullet"/>
      </w:pPr>
      <w:hyperlink r:id="rId15" w:history="1">
        <w:r w:rsidR="00770199" w:rsidRPr="00A20A6B">
          <w:rPr>
            <w:rStyle w:val="Hyperlink"/>
            <w:rFonts w:asciiTheme="minorHAnsi" w:hAnsiTheme="minorHAnsi" w:cstheme="minorHAnsi"/>
          </w:rPr>
          <w:t xml:space="preserve">First Nations </w:t>
        </w:r>
        <w:r w:rsidR="00263995" w:rsidRPr="00263995">
          <w:rPr>
            <w:rStyle w:val="Hyperlink"/>
            <w:rFonts w:asciiTheme="minorHAnsi" w:hAnsiTheme="minorHAnsi" w:cstheme="minorHAnsi"/>
          </w:rPr>
          <w:t xml:space="preserve">Health </w:t>
        </w:r>
        <w:r w:rsidR="00770199" w:rsidRPr="00A20A6B">
          <w:rPr>
            <w:rStyle w:val="Hyperlink"/>
            <w:rFonts w:asciiTheme="minorHAnsi" w:hAnsiTheme="minorHAnsi" w:cstheme="minorHAnsi"/>
          </w:rPr>
          <w:t>Peak Organisations</w:t>
        </w:r>
      </w:hyperlink>
      <w:r w:rsidR="00770199" w:rsidRPr="00260274">
        <w:t>;</w:t>
      </w:r>
    </w:p>
    <w:p w14:paraId="34BCAA43" w14:textId="4E75BB1E" w:rsidR="00BC508E" w:rsidRPr="00770199" w:rsidRDefault="00BC508E" w:rsidP="00B65018">
      <w:pPr>
        <w:pStyle w:val="ListBullet"/>
      </w:pPr>
      <w:r w:rsidRPr="00770199">
        <w:t xml:space="preserve">Aboriginal Community Controlled Health </w:t>
      </w:r>
      <w:r w:rsidR="00C7539A" w:rsidRPr="00770199">
        <w:t>Services.</w:t>
      </w:r>
    </w:p>
    <w:p w14:paraId="44DC95B2" w14:textId="0F2FE1E3" w:rsidR="00BC508E" w:rsidRPr="00770199" w:rsidRDefault="00BC508E" w:rsidP="00B65018">
      <w:pPr>
        <w:pStyle w:val="ListBullet"/>
      </w:pPr>
      <w:r w:rsidRPr="00770199">
        <w:t xml:space="preserve">Aboriginal Medical </w:t>
      </w:r>
      <w:r w:rsidR="00C7539A" w:rsidRPr="00770199">
        <w:t>Services.</w:t>
      </w:r>
    </w:p>
    <w:p w14:paraId="5D67A0D5" w14:textId="0DF9DF62" w:rsidR="00BC508E" w:rsidRPr="00770199" w:rsidRDefault="00BC508E" w:rsidP="00B65018">
      <w:pPr>
        <w:pStyle w:val="ListBullet"/>
      </w:pPr>
      <w:r w:rsidRPr="00770199">
        <w:t xml:space="preserve">Primary Health </w:t>
      </w:r>
      <w:r w:rsidR="00C7539A" w:rsidRPr="00770199">
        <w:t>Networks.</w:t>
      </w:r>
    </w:p>
    <w:p w14:paraId="6B91FD0B" w14:textId="77777777" w:rsidR="00BC508E" w:rsidRPr="00770199" w:rsidRDefault="00BC508E" w:rsidP="00B65018">
      <w:pPr>
        <w:pStyle w:val="ListBullet"/>
      </w:pPr>
      <w:r w:rsidRPr="0008002F">
        <w:t>hospitals and mainstream health services; and</w:t>
      </w:r>
    </w:p>
    <w:p w14:paraId="5AA57DE3" w14:textId="77777777" w:rsidR="00BC508E" w:rsidRPr="00770199" w:rsidRDefault="00BC508E" w:rsidP="00B65018">
      <w:pPr>
        <w:pStyle w:val="ListBullet"/>
      </w:pPr>
      <w:r w:rsidRPr="0008002F">
        <w:t>community-based services.</w:t>
      </w:r>
    </w:p>
    <w:p w14:paraId="19DB6713" w14:textId="77777777" w:rsidR="00BC508E" w:rsidRPr="0008002F" w:rsidRDefault="00BC508E" w:rsidP="00BC508E">
      <w:pPr>
        <w:rPr>
          <w:rFonts w:asciiTheme="minorHAnsi" w:hAnsiTheme="minorHAnsi" w:cstheme="minorHAnsi"/>
        </w:rPr>
      </w:pPr>
      <w:r w:rsidRPr="0008002F">
        <w:rPr>
          <w:rFonts w:asciiTheme="minorHAnsi" w:hAnsiTheme="minorHAnsi" w:cstheme="minorHAnsi"/>
        </w:rPr>
        <w:t>Fundholders must also:</w:t>
      </w:r>
    </w:p>
    <w:p w14:paraId="110E162D" w14:textId="2BD421ED" w:rsidR="00BC508E" w:rsidRPr="00770199" w:rsidRDefault="00BC508E" w:rsidP="00B65018">
      <w:pPr>
        <w:pStyle w:val="ListBullet"/>
      </w:pPr>
      <w:r w:rsidRPr="00770199">
        <w:t xml:space="preserve">create a mechanism where health services and communities can propose required </w:t>
      </w:r>
      <w:r w:rsidR="00C7539A" w:rsidRPr="00770199">
        <w:t>services.</w:t>
      </w:r>
    </w:p>
    <w:p w14:paraId="647580C1" w14:textId="77777777" w:rsidR="00BC508E" w:rsidRPr="00770199" w:rsidRDefault="00BC508E" w:rsidP="00B65018">
      <w:pPr>
        <w:pStyle w:val="ListBullet"/>
      </w:pPr>
      <w:r w:rsidRPr="00770199">
        <w:t xml:space="preserve">promote the availability of outreach services broadly within their jurisdiction; and </w:t>
      </w:r>
    </w:p>
    <w:p w14:paraId="0E76357B" w14:textId="346C0F86" w:rsidR="00A8544B" w:rsidRPr="00770199" w:rsidRDefault="00BC508E" w:rsidP="00B65018">
      <w:pPr>
        <w:pStyle w:val="ListBullet"/>
      </w:pPr>
      <w:r w:rsidRPr="00770199">
        <w:t xml:space="preserve">make publicly available the outcomes of the Needs Assessment. </w:t>
      </w:r>
      <w:bookmarkStart w:id="10" w:name="_Toc49331726"/>
    </w:p>
    <w:p w14:paraId="420D33DC" w14:textId="7239044F" w:rsidR="00955DAB" w:rsidRPr="00B8406B" w:rsidRDefault="00955DAB" w:rsidP="003B7C78">
      <w:pPr>
        <w:pStyle w:val="Heading2"/>
      </w:pPr>
      <w:bookmarkStart w:id="11" w:name="_Toc164328317"/>
      <w:bookmarkStart w:id="12" w:name="_Toc164328419"/>
      <w:r w:rsidRPr="00B8406B">
        <w:t>Reporting</w:t>
      </w:r>
      <w:bookmarkEnd w:id="11"/>
      <w:bookmarkEnd w:id="12"/>
    </w:p>
    <w:p w14:paraId="112DCFA0" w14:textId="6151CF12" w:rsidR="00445E54" w:rsidRPr="00260274" w:rsidRDefault="00445E54" w:rsidP="00260274">
      <w:r w:rsidRPr="00260274">
        <w:t xml:space="preserve">Fundholders </w:t>
      </w:r>
      <w:r w:rsidR="00A83A15" w:rsidRPr="00260274">
        <w:t>should</w:t>
      </w:r>
      <w:r w:rsidRPr="00260274">
        <w:t xml:space="preserve"> provide host organisations, communities, </w:t>
      </w:r>
      <w:hyperlink r:id="rId16" w:history="1">
        <w:r w:rsidR="004A4D56" w:rsidRPr="00260274">
          <w:rPr>
            <w:rStyle w:val="Hyperlink"/>
          </w:rPr>
          <w:t xml:space="preserve">First Nations </w:t>
        </w:r>
        <w:r w:rsidR="00263995" w:rsidRPr="00260274">
          <w:rPr>
            <w:rStyle w:val="Hyperlink"/>
          </w:rPr>
          <w:t xml:space="preserve">Health </w:t>
        </w:r>
        <w:r w:rsidR="004A4D56" w:rsidRPr="00260274">
          <w:rPr>
            <w:rStyle w:val="Hyperlink"/>
          </w:rPr>
          <w:t>Peak Organisations</w:t>
        </w:r>
      </w:hyperlink>
      <w:r w:rsidR="004A4D56" w:rsidRPr="00260274">
        <w:t xml:space="preserve">, and other </w:t>
      </w:r>
      <w:r w:rsidR="00615D87" w:rsidRPr="00260274">
        <w:t>ke</w:t>
      </w:r>
      <w:r w:rsidR="009658A1" w:rsidRPr="00260274">
        <w:t>y stakeholders</w:t>
      </w:r>
      <w:r w:rsidR="00E36C03" w:rsidRPr="00260274">
        <w:t xml:space="preserve"> via the Advisory Fora</w:t>
      </w:r>
      <w:r w:rsidR="009658A1" w:rsidRPr="00260274">
        <w:t xml:space="preserve"> </w:t>
      </w:r>
      <w:r w:rsidRPr="00260274">
        <w:t>with an annual report of systems level insight into the outreach services provided in their jurisdictions.</w:t>
      </w:r>
      <w:r w:rsidR="00E222EB" w:rsidRPr="00260274">
        <w:t xml:space="preserve"> </w:t>
      </w:r>
      <w:r w:rsidRPr="00260274">
        <w:t>The annual report can include, but is not limited to:</w:t>
      </w:r>
    </w:p>
    <w:p w14:paraId="15293145" w14:textId="6CE008EC" w:rsidR="00445E54" w:rsidRPr="00770199" w:rsidRDefault="00EF555C" w:rsidP="00B65018">
      <w:pPr>
        <w:pStyle w:val="ListBullet"/>
      </w:pPr>
      <w:r w:rsidRPr="00770199">
        <w:t>u</w:t>
      </w:r>
      <w:r w:rsidR="00445E54" w:rsidRPr="00770199">
        <w:t xml:space="preserve">tilisation of </w:t>
      </w:r>
      <w:r w:rsidR="00C7539A" w:rsidRPr="00770199">
        <w:t>funds.</w:t>
      </w:r>
    </w:p>
    <w:p w14:paraId="32E0A773" w14:textId="01876F26" w:rsidR="00445E54" w:rsidRPr="00770199" w:rsidRDefault="00EF555C" w:rsidP="00B65018">
      <w:pPr>
        <w:pStyle w:val="ListBullet"/>
      </w:pPr>
      <w:r w:rsidRPr="00770199">
        <w:t>n</w:t>
      </w:r>
      <w:r w:rsidR="00445E54" w:rsidRPr="00770199">
        <w:t xml:space="preserve">umber of First Nations people who received outreach services for that reporting </w:t>
      </w:r>
      <w:r w:rsidR="00C7539A" w:rsidRPr="00770199">
        <w:t>period.</w:t>
      </w:r>
    </w:p>
    <w:p w14:paraId="6DA96017" w14:textId="74E1138B" w:rsidR="00445E54" w:rsidRPr="00770199" w:rsidRDefault="00EF555C" w:rsidP="00B65018">
      <w:pPr>
        <w:pStyle w:val="ListBullet"/>
      </w:pPr>
      <w:r w:rsidRPr="00770199">
        <w:t>f</w:t>
      </w:r>
      <w:r w:rsidR="00445E54" w:rsidRPr="00770199">
        <w:t>eedback received from consumers and practitioners on the outreach services; and</w:t>
      </w:r>
    </w:p>
    <w:p w14:paraId="7AAC3E06" w14:textId="616985DD" w:rsidR="007D47C6" w:rsidRPr="00770199" w:rsidRDefault="00EF555C" w:rsidP="00B65018">
      <w:pPr>
        <w:pStyle w:val="ListBullet"/>
      </w:pPr>
      <w:r w:rsidRPr="00770199">
        <w:t>a</w:t>
      </w:r>
      <w:r w:rsidR="00445E54" w:rsidRPr="00770199">
        <w:t>ny sensitivities/issues experienced during the reporting period (including risk management, if appropriate)</w:t>
      </w:r>
      <w:r w:rsidR="00E222EB" w:rsidRPr="00770199">
        <w:t>.</w:t>
      </w:r>
    </w:p>
    <w:p w14:paraId="718F76C8" w14:textId="43C05B0B" w:rsidR="00C7539A" w:rsidRDefault="00344D69" w:rsidP="00B65018">
      <w:r w:rsidRPr="00B65018">
        <w:t xml:space="preserve">Annual reports will provide host organisations and communities with greater data transparency and information sharing capability to enable rigorous review and program improvement. </w:t>
      </w:r>
      <w:r w:rsidR="004B77F8" w:rsidRPr="00B65018">
        <w:t xml:space="preserve">These reports </w:t>
      </w:r>
      <w:r w:rsidRPr="00B65018">
        <w:t xml:space="preserve">should be </w:t>
      </w:r>
      <w:r w:rsidR="004B77F8" w:rsidRPr="00B65018">
        <w:t xml:space="preserve">made </w:t>
      </w:r>
      <w:r w:rsidR="00516D83" w:rsidRPr="00B65018">
        <w:t>publicly</w:t>
      </w:r>
      <w:r w:rsidR="004B77F8" w:rsidRPr="00B65018">
        <w:t xml:space="preserve"> available</w:t>
      </w:r>
      <w:r w:rsidRPr="00B65018">
        <w:t xml:space="preserve"> as electronic versions.</w:t>
      </w:r>
    </w:p>
    <w:p w14:paraId="45718AF0" w14:textId="77777777" w:rsidR="00C7539A" w:rsidRPr="00C7539A" w:rsidRDefault="00C7539A" w:rsidP="00C7539A">
      <w:r w:rsidRPr="00C7539A">
        <w:br w:type="page"/>
      </w:r>
    </w:p>
    <w:p w14:paraId="512E9BD5" w14:textId="4906B2E5" w:rsidR="00BC508E" w:rsidRPr="00CE4B75" w:rsidRDefault="00BC508E" w:rsidP="003B7C78">
      <w:pPr>
        <w:pStyle w:val="Heading1"/>
      </w:pPr>
      <w:bookmarkStart w:id="13" w:name="_Toc164328318"/>
      <w:bookmarkStart w:id="14" w:name="_Toc164328420"/>
      <w:r w:rsidRPr="00CE4B75">
        <w:lastRenderedPageBreak/>
        <w:t>Governance</w:t>
      </w:r>
      <w:bookmarkEnd w:id="10"/>
      <w:bookmarkEnd w:id="13"/>
      <w:bookmarkEnd w:id="14"/>
    </w:p>
    <w:p w14:paraId="041D108D" w14:textId="1B531A19" w:rsidR="00BC508E" w:rsidRPr="00B8406B" w:rsidRDefault="00BC508E" w:rsidP="003B7C78">
      <w:pPr>
        <w:pStyle w:val="Heading2"/>
      </w:pPr>
      <w:bookmarkStart w:id="15" w:name="_Toc49331727"/>
      <w:bookmarkStart w:id="16" w:name="_Toc164328319"/>
      <w:bookmarkStart w:id="17" w:name="_Toc164328421"/>
      <w:r w:rsidRPr="00B8406B">
        <w:t>Outreach Advisory Forum</w:t>
      </w:r>
      <w:bookmarkEnd w:id="15"/>
      <w:bookmarkEnd w:id="16"/>
      <w:bookmarkEnd w:id="17"/>
    </w:p>
    <w:p w14:paraId="6A10A05A" w14:textId="77777777" w:rsidR="00BC508E" w:rsidRPr="00260274" w:rsidRDefault="00BC508E" w:rsidP="00260274">
      <w:r w:rsidRPr="00260274">
        <w:t xml:space="preserve">Each Fundholder must establish a jurisdictionally based consultative committee known as the Outreach Advisory Forum. </w:t>
      </w:r>
    </w:p>
    <w:p w14:paraId="1AE48034" w14:textId="77777777" w:rsidR="00BC508E" w:rsidRPr="00260274" w:rsidRDefault="00BC508E" w:rsidP="00260274">
      <w:r w:rsidRPr="00260274">
        <w:t>The principal role for each Advisory Forum is to:</w:t>
      </w:r>
    </w:p>
    <w:p w14:paraId="4B1706C2" w14:textId="61783736" w:rsidR="00BC508E" w:rsidRPr="00770199" w:rsidRDefault="00BC508E" w:rsidP="00B65018">
      <w:pPr>
        <w:pStyle w:val="ListBullet"/>
      </w:pPr>
      <w:r w:rsidRPr="00770199">
        <w:t>provide feedback on the Needs Assessment process and whether it has adequately consulted with key stakeholders in the jurisdiction</w:t>
      </w:r>
      <w:r w:rsidR="00C7539A">
        <w:t>.</w:t>
      </w:r>
    </w:p>
    <w:p w14:paraId="4D6B1F56" w14:textId="5EBAC201" w:rsidR="00BC508E" w:rsidRPr="00770199" w:rsidRDefault="00BC508E" w:rsidP="00B65018">
      <w:pPr>
        <w:pStyle w:val="ListBullet"/>
      </w:pPr>
      <w:r w:rsidRPr="00770199">
        <w:t>provide advice on the annual Needs Assessment and health service planning models proposed by the Fundholder</w:t>
      </w:r>
      <w:r w:rsidR="00C7539A">
        <w:t>.</w:t>
      </w:r>
    </w:p>
    <w:p w14:paraId="219DFE6F" w14:textId="3BCC1115" w:rsidR="00BC508E" w:rsidRPr="00770199" w:rsidRDefault="00BC508E" w:rsidP="00B65018">
      <w:pPr>
        <w:pStyle w:val="ListBullet"/>
      </w:pPr>
      <w:r w:rsidRPr="00770199">
        <w:t>identify linkages with the planning mechanisms of other programs within the jurisdiction to explore possibilities for integrated program implementation, including a focus on linkages with tertiary services</w:t>
      </w:r>
      <w:r w:rsidR="00C7539A">
        <w:t>.</w:t>
      </w:r>
    </w:p>
    <w:p w14:paraId="4536BA25" w14:textId="77777777" w:rsidR="00BC508E" w:rsidRPr="00770199" w:rsidRDefault="00BC508E" w:rsidP="00B65018">
      <w:pPr>
        <w:pStyle w:val="ListBullet"/>
      </w:pPr>
      <w:r w:rsidRPr="00770199">
        <w:t>advise whether the proposed priority locations identified by the Fundholder have the capacity and infrastructure to support the proposed service; and</w:t>
      </w:r>
    </w:p>
    <w:p w14:paraId="5F9004C4" w14:textId="1F22F8EE" w:rsidR="00BC508E" w:rsidRPr="00770199" w:rsidRDefault="00BC508E" w:rsidP="00B65018">
      <w:pPr>
        <w:pStyle w:val="ListBullet"/>
      </w:pPr>
      <w:r w:rsidRPr="00770199">
        <w:t>advise if service proposals deliver value</w:t>
      </w:r>
      <w:r w:rsidR="00871505" w:rsidRPr="00770199">
        <w:t xml:space="preserve"> for money</w:t>
      </w:r>
      <w:r w:rsidR="004E4EEC" w:rsidRPr="00770199">
        <w:t>.</w:t>
      </w:r>
    </w:p>
    <w:p w14:paraId="7958F91A" w14:textId="7216BF8E" w:rsidR="004E4EEC" w:rsidRPr="00B65018" w:rsidRDefault="00BC508E" w:rsidP="00B65018">
      <w:r w:rsidRPr="00B65018">
        <w:t>While the Fundholder is the final decision maker on which services to prioritise in its Service Delivery Plan, recommendations and advice from Advisory Forum members must be considered.</w:t>
      </w:r>
    </w:p>
    <w:p w14:paraId="6270E961" w14:textId="229EC964" w:rsidR="008049C7" w:rsidRPr="00B65018" w:rsidRDefault="00BC508E" w:rsidP="00BC508E">
      <w:r w:rsidRPr="00B65018">
        <w:t>Where Advisory Forum members do not agree with decisions made by the Fundholder</w:t>
      </w:r>
      <w:r w:rsidR="0030747F" w:rsidRPr="00B65018">
        <w:t>,</w:t>
      </w:r>
      <w:r w:rsidRPr="00B65018">
        <w:t xml:space="preserve"> the differences of opinion must be documented and presented to the Department with justification for the decision taken.</w:t>
      </w:r>
    </w:p>
    <w:p w14:paraId="364DC2CA" w14:textId="0F16637E" w:rsidR="00315F3A" w:rsidRDefault="00BC508E" w:rsidP="00B65018">
      <w:pPr>
        <w:rPr>
          <w:rFonts w:asciiTheme="minorHAnsi" w:hAnsiTheme="minorHAnsi" w:cstheme="minorHAnsi"/>
          <w:szCs w:val="22"/>
        </w:rPr>
      </w:pPr>
      <w:r w:rsidRPr="008049C7">
        <w:rPr>
          <w:rFonts w:asciiTheme="minorHAnsi" w:hAnsiTheme="minorHAnsi" w:cstheme="minorHAnsi"/>
          <w:szCs w:val="22"/>
        </w:rPr>
        <w:t>Advisory Forum membership and decisions of the Advisory Forum must be made public.</w:t>
      </w:r>
    </w:p>
    <w:p w14:paraId="48A17A25" w14:textId="4E1D2752" w:rsidR="00315F3A" w:rsidRPr="00FB23AB" w:rsidRDefault="00315F3A" w:rsidP="00BC508E">
      <w:pPr>
        <w:rPr>
          <w:rFonts w:asciiTheme="minorHAnsi" w:hAnsiTheme="minorHAnsi" w:cstheme="minorHAnsi"/>
          <w:szCs w:val="22"/>
        </w:rPr>
      </w:pPr>
      <w:r w:rsidRPr="00556AC6">
        <w:rPr>
          <w:rFonts w:asciiTheme="minorHAnsi" w:hAnsiTheme="minorHAnsi" w:cstheme="minorHAnsi"/>
          <w:szCs w:val="22"/>
        </w:rPr>
        <w:t xml:space="preserve">Information about other known Fundholders and relevant contacts should be made available </w:t>
      </w:r>
      <w:r w:rsidR="004A4D56">
        <w:rPr>
          <w:rFonts w:asciiTheme="minorHAnsi" w:hAnsiTheme="minorHAnsi" w:cstheme="minorHAnsi"/>
          <w:szCs w:val="22"/>
        </w:rPr>
        <w:t>upon request</w:t>
      </w:r>
      <w:r w:rsidRPr="00556AC6">
        <w:rPr>
          <w:rFonts w:asciiTheme="minorHAnsi" w:hAnsiTheme="minorHAnsi" w:cstheme="minorHAnsi"/>
          <w:szCs w:val="22"/>
        </w:rPr>
        <w:t>,</w:t>
      </w:r>
      <w:r w:rsidR="00A0490C" w:rsidRPr="00556AC6">
        <w:rPr>
          <w:rFonts w:asciiTheme="minorHAnsi" w:hAnsiTheme="minorHAnsi" w:cstheme="minorHAnsi"/>
          <w:szCs w:val="22"/>
        </w:rPr>
        <w:t xml:space="preserve"> particularly</w:t>
      </w:r>
      <w:r w:rsidRPr="00556AC6">
        <w:rPr>
          <w:rFonts w:asciiTheme="minorHAnsi" w:hAnsiTheme="minorHAnsi" w:cstheme="minorHAnsi"/>
          <w:szCs w:val="22"/>
        </w:rPr>
        <w:t xml:space="preserve"> where more than </w:t>
      </w:r>
      <w:r w:rsidR="004A4D56">
        <w:rPr>
          <w:rFonts w:asciiTheme="minorHAnsi" w:hAnsiTheme="minorHAnsi" w:cstheme="minorHAnsi"/>
          <w:szCs w:val="22"/>
        </w:rPr>
        <w:t xml:space="preserve">one organisation </w:t>
      </w:r>
      <w:r w:rsidR="004E4EEC">
        <w:rPr>
          <w:rFonts w:asciiTheme="minorHAnsi" w:hAnsiTheme="minorHAnsi" w:cstheme="minorHAnsi"/>
          <w:szCs w:val="22"/>
        </w:rPr>
        <w:t xml:space="preserve">is </w:t>
      </w:r>
      <w:r w:rsidR="004A4D56">
        <w:rPr>
          <w:rFonts w:asciiTheme="minorHAnsi" w:hAnsiTheme="minorHAnsi" w:cstheme="minorHAnsi"/>
          <w:szCs w:val="22"/>
        </w:rPr>
        <w:t xml:space="preserve">delivering </w:t>
      </w:r>
      <w:r w:rsidRPr="00556AC6">
        <w:rPr>
          <w:rFonts w:asciiTheme="minorHAnsi" w:hAnsiTheme="minorHAnsi" w:cstheme="minorHAnsi"/>
          <w:szCs w:val="22"/>
        </w:rPr>
        <w:t>grant-approved Outreach Programs in any state or territory.</w:t>
      </w:r>
      <w:r w:rsidR="008E12AD" w:rsidRPr="00556AC6">
        <w:rPr>
          <w:rFonts w:asciiTheme="minorHAnsi" w:hAnsiTheme="minorHAnsi" w:cstheme="minorHAnsi"/>
          <w:szCs w:val="22"/>
        </w:rPr>
        <w:t xml:space="preserve"> </w:t>
      </w:r>
    </w:p>
    <w:p w14:paraId="077296E7" w14:textId="7D28B098" w:rsidR="00BC508E" w:rsidRPr="00B8406B" w:rsidRDefault="00BC508E" w:rsidP="003B7C78">
      <w:pPr>
        <w:pStyle w:val="Heading2"/>
      </w:pPr>
      <w:bookmarkStart w:id="18" w:name="_Toc49331728"/>
      <w:bookmarkStart w:id="19" w:name="_Toc164328320"/>
      <w:bookmarkStart w:id="20" w:name="_Toc164328422"/>
      <w:r w:rsidRPr="00B8406B">
        <w:t xml:space="preserve">Outreach Advisory Forum </w:t>
      </w:r>
      <w:r w:rsidR="00DD1B7B" w:rsidRPr="00B8406B">
        <w:t>m</w:t>
      </w:r>
      <w:r w:rsidRPr="00B8406B">
        <w:t xml:space="preserve">embers and </w:t>
      </w:r>
      <w:r w:rsidR="00DD1B7B" w:rsidRPr="00B8406B">
        <w:t>o</w:t>
      </w:r>
      <w:r w:rsidRPr="00B8406B">
        <w:t>bservers</w:t>
      </w:r>
      <w:bookmarkEnd w:id="18"/>
      <w:bookmarkEnd w:id="19"/>
      <w:bookmarkEnd w:id="20"/>
    </w:p>
    <w:p w14:paraId="5213CDD2" w14:textId="0089DB85" w:rsidR="00BC508E" w:rsidRPr="00B65018" w:rsidRDefault="00BC508E" w:rsidP="00B65018">
      <w:r w:rsidRPr="00B65018">
        <w:t xml:space="preserve">The Advisory Forum must include appropriate representation of experienced people capable of giving advice, recommendations or counsel in connection with outreach health service delivery in their jurisdiction. This must include </w:t>
      </w:r>
      <w:r w:rsidR="00037993" w:rsidRPr="00B65018">
        <w:t>First Nations</w:t>
      </w:r>
      <w:r w:rsidRPr="00B65018">
        <w:t xml:space="preserve"> people.</w:t>
      </w:r>
    </w:p>
    <w:p w14:paraId="5CCBCA14" w14:textId="25A6838A" w:rsidR="00BC508E" w:rsidRPr="00B65018" w:rsidRDefault="00BC508E" w:rsidP="00BC508E">
      <w:r w:rsidRPr="0008002F">
        <w:rPr>
          <w:rFonts w:asciiTheme="minorHAnsi" w:hAnsiTheme="minorHAnsi" w:cstheme="minorHAnsi"/>
        </w:rPr>
        <w:t>Membership is facilitated by the Fundholder</w:t>
      </w:r>
      <w:r w:rsidR="00F3567C">
        <w:rPr>
          <w:rFonts w:asciiTheme="minorHAnsi" w:hAnsiTheme="minorHAnsi" w:cstheme="minorHAnsi"/>
        </w:rPr>
        <w:t>(s)</w:t>
      </w:r>
      <w:r w:rsidRPr="0008002F">
        <w:rPr>
          <w:rFonts w:asciiTheme="minorHAnsi" w:hAnsiTheme="minorHAnsi" w:cstheme="minorHAnsi"/>
        </w:rPr>
        <w:t xml:space="preserve"> and must include a range of stakeholders and representatives from:</w:t>
      </w:r>
    </w:p>
    <w:p w14:paraId="642C5454" w14:textId="712CCC65" w:rsidR="00247219" w:rsidRPr="00B65018" w:rsidRDefault="00000000" w:rsidP="00260274">
      <w:pPr>
        <w:pStyle w:val="ListBullet"/>
      </w:pPr>
      <w:hyperlink r:id="rId17" w:history="1">
        <w:r w:rsidR="00247219" w:rsidRPr="00A20A6B">
          <w:rPr>
            <w:rStyle w:val="Hyperlink"/>
            <w:rFonts w:asciiTheme="minorHAnsi" w:hAnsiTheme="minorHAnsi" w:cstheme="minorHAnsi"/>
          </w:rPr>
          <w:t>First Nations</w:t>
        </w:r>
        <w:r w:rsidR="00263995">
          <w:rPr>
            <w:rStyle w:val="Hyperlink"/>
            <w:rFonts w:asciiTheme="minorHAnsi" w:hAnsiTheme="minorHAnsi" w:cstheme="minorHAnsi"/>
          </w:rPr>
          <w:t xml:space="preserve"> Health</w:t>
        </w:r>
        <w:r w:rsidR="00247219" w:rsidRPr="00A20A6B">
          <w:rPr>
            <w:rStyle w:val="Hyperlink"/>
            <w:rFonts w:asciiTheme="minorHAnsi" w:hAnsiTheme="minorHAnsi" w:cstheme="minorHAnsi"/>
          </w:rPr>
          <w:t xml:space="preserve"> Peak Organisations</w:t>
        </w:r>
      </w:hyperlink>
    </w:p>
    <w:p w14:paraId="51939C50" w14:textId="662694F1" w:rsidR="00BC508E" w:rsidRPr="0008002F" w:rsidRDefault="00BC508E" w:rsidP="00B65018">
      <w:pPr>
        <w:pStyle w:val="ListBullet"/>
      </w:pPr>
      <w:r w:rsidRPr="0008002F">
        <w:t>State/Territory health authorities</w:t>
      </w:r>
    </w:p>
    <w:p w14:paraId="26E09868" w14:textId="77777777" w:rsidR="00BC508E" w:rsidRPr="0008002F" w:rsidRDefault="00BC508E" w:rsidP="00B65018">
      <w:pPr>
        <w:pStyle w:val="ListBullet"/>
      </w:pPr>
      <w:r w:rsidRPr="00247219">
        <w:t>State or Territory Optometry Australia representative</w:t>
      </w:r>
    </w:p>
    <w:p w14:paraId="1143A47A" w14:textId="77777777" w:rsidR="00BC508E" w:rsidRPr="0008002F" w:rsidRDefault="00BC508E" w:rsidP="00B65018">
      <w:pPr>
        <w:pStyle w:val="ListBullet"/>
      </w:pPr>
      <w:r w:rsidRPr="0008002F">
        <w:t>Primary Health Networks; and</w:t>
      </w:r>
    </w:p>
    <w:p w14:paraId="6B0995DD" w14:textId="271826D1" w:rsidR="00BC508E" w:rsidRPr="0008002F" w:rsidRDefault="00BC508E" w:rsidP="00B65018">
      <w:pPr>
        <w:pStyle w:val="ListBullet"/>
      </w:pPr>
      <w:r w:rsidRPr="0008002F">
        <w:t xml:space="preserve">other </w:t>
      </w:r>
      <w:r w:rsidR="00946664">
        <w:t>health services</w:t>
      </w:r>
      <w:r w:rsidRPr="0008002F">
        <w:t>, if relevant.</w:t>
      </w:r>
    </w:p>
    <w:p w14:paraId="69C72C4E" w14:textId="77777777" w:rsidR="00BC508E" w:rsidRDefault="00BC508E" w:rsidP="00BC508E">
      <w:pPr>
        <w:rPr>
          <w:rFonts w:asciiTheme="minorHAnsi" w:hAnsiTheme="minorHAnsi" w:cstheme="minorHAnsi"/>
          <w:bCs/>
          <w:iCs/>
        </w:rPr>
      </w:pPr>
      <w:r>
        <w:rPr>
          <w:rFonts w:asciiTheme="minorHAnsi" w:hAnsiTheme="minorHAnsi" w:cstheme="minorHAnsi"/>
          <w:bCs/>
          <w:iCs/>
        </w:rPr>
        <w:t>Where expertise from specific Health Professionals would enhance decision making, consideration should be given to mechanisms to include input from that profession.</w:t>
      </w:r>
    </w:p>
    <w:p w14:paraId="18FB9144" w14:textId="2F15A3E5" w:rsidR="00BC508E" w:rsidRDefault="00BC508E" w:rsidP="00BC508E">
      <w:pPr>
        <w:rPr>
          <w:rFonts w:asciiTheme="minorHAnsi" w:hAnsiTheme="minorHAnsi" w:cstheme="minorHAnsi"/>
        </w:rPr>
      </w:pPr>
      <w:r w:rsidRPr="0008002F">
        <w:rPr>
          <w:rFonts w:asciiTheme="minorHAnsi" w:hAnsiTheme="minorHAnsi" w:cstheme="minorHAnsi"/>
          <w:bCs/>
          <w:iCs/>
        </w:rPr>
        <w:t>A representative/s of the Department</w:t>
      </w:r>
      <w:r w:rsidR="004E4EEC">
        <w:rPr>
          <w:rFonts w:asciiTheme="minorHAnsi" w:hAnsiTheme="minorHAnsi" w:cstheme="minorHAnsi"/>
          <w:bCs/>
          <w:iCs/>
        </w:rPr>
        <w:t xml:space="preserve"> </w:t>
      </w:r>
      <w:r w:rsidRPr="0008002F">
        <w:rPr>
          <w:rFonts w:asciiTheme="minorHAnsi" w:hAnsiTheme="minorHAnsi" w:cstheme="minorHAnsi"/>
          <w:bCs/>
          <w:iCs/>
        </w:rPr>
        <w:t xml:space="preserve">and/or Funding </w:t>
      </w:r>
      <w:r w:rsidRPr="0008002F">
        <w:rPr>
          <w:rFonts w:asciiTheme="minorHAnsi" w:hAnsiTheme="minorHAnsi" w:cstheme="minorHAnsi"/>
        </w:rPr>
        <w:t>Arrangement Managers (FAMs) from the Community Grants Hub may attend meetings of the Advisory Forum as observers or invited guests of the Fundholder to provide a Commonwealth perspective.</w:t>
      </w:r>
    </w:p>
    <w:p w14:paraId="68856EA1" w14:textId="5DE65D62" w:rsidR="00FD77C4" w:rsidRPr="00B65018" w:rsidRDefault="00B6134E" w:rsidP="00BC508E">
      <w:bookmarkStart w:id="21" w:name="_Hlk146092433"/>
      <w:r>
        <w:rPr>
          <w:rFonts w:asciiTheme="minorHAnsi" w:hAnsiTheme="minorHAnsi" w:cstheme="minorHAnsi"/>
        </w:rPr>
        <w:lastRenderedPageBreak/>
        <w:t xml:space="preserve">In jurisdictions with multiple </w:t>
      </w:r>
      <w:r w:rsidR="00EE26E2">
        <w:rPr>
          <w:rFonts w:asciiTheme="minorHAnsi" w:hAnsiTheme="minorHAnsi" w:cstheme="minorHAnsi"/>
        </w:rPr>
        <w:t>F</w:t>
      </w:r>
      <w:r>
        <w:rPr>
          <w:rFonts w:asciiTheme="minorHAnsi" w:hAnsiTheme="minorHAnsi" w:cstheme="minorHAnsi"/>
        </w:rPr>
        <w:t>undholders</w:t>
      </w:r>
      <w:r w:rsidR="00D124A9">
        <w:rPr>
          <w:rFonts w:asciiTheme="minorHAnsi" w:hAnsiTheme="minorHAnsi" w:cstheme="minorHAnsi"/>
        </w:rPr>
        <w:t xml:space="preserve"> for the </w:t>
      </w:r>
      <w:r w:rsidR="004E4EEC">
        <w:rPr>
          <w:rFonts w:asciiTheme="minorHAnsi" w:hAnsiTheme="minorHAnsi" w:cstheme="minorHAnsi"/>
        </w:rPr>
        <w:t>O</w:t>
      </w:r>
      <w:r w:rsidR="00D124A9">
        <w:rPr>
          <w:rFonts w:asciiTheme="minorHAnsi" w:hAnsiTheme="minorHAnsi" w:cstheme="minorHAnsi"/>
        </w:rPr>
        <w:t xml:space="preserve">utreach </w:t>
      </w:r>
      <w:r w:rsidR="004E4EEC">
        <w:rPr>
          <w:rFonts w:asciiTheme="minorHAnsi" w:hAnsiTheme="minorHAnsi" w:cstheme="minorHAnsi"/>
        </w:rPr>
        <w:t>P</w:t>
      </w:r>
      <w:r w:rsidR="00D124A9">
        <w:rPr>
          <w:rFonts w:asciiTheme="minorHAnsi" w:hAnsiTheme="minorHAnsi" w:cstheme="minorHAnsi"/>
        </w:rPr>
        <w:t>rograms</w:t>
      </w:r>
      <w:r>
        <w:rPr>
          <w:rFonts w:asciiTheme="minorHAnsi" w:hAnsiTheme="minorHAnsi" w:cstheme="minorHAnsi"/>
        </w:rPr>
        <w:t xml:space="preserve">, </w:t>
      </w:r>
      <w:r w:rsidR="00EE26E2">
        <w:rPr>
          <w:rFonts w:asciiTheme="minorHAnsi" w:hAnsiTheme="minorHAnsi" w:cstheme="minorHAnsi"/>
        </w:rPr>
        <w:t>F</w:t>
      </w:r>
      <w:r>
        <w:rPr>
          <w:rFonts w:asciiTheme="minorHAnsi" w:hAnsiTheme="minorHAnsi" w:cstheme="minorHAnsi"/>
        </w:rPr>
        <w:t xml:space="preserve">undholders should consider </w:t>
      </w:r>
      <w:r w:rsidR="00D124A9">
        <w:rPr>
          <w:rFonts w:asciiTheme="minorHAnsi" w:hAnsiTheme="minorHAnsi" w:cstheme="minorHAnsi"/>
        </w:rPr>
        <w:t>establishing</w:t>
      </w:r>
      <w:r>
        <w:rPr>
          <w:rFonts w:asciiTheme="minorHAnsi" w:hAnsiTheme="minorHAnsi" w:cstheme="minorHAnsi"/>
        </w:rPr>
        <w:t xml:space="preserve"> a single shared Advisory Forum to assist with coordinating needs assessments and service planning</w:t>
      </w:r>
      <w:r w:rsidR="00AA22D9">
        <w:rPr>
          <w:rFonts w:asciiTheme="minorHAnsi" w:hAnsiTheme="minorHAnsi" w:cstheme="minorHAnsi"/>
        </w:rPr>
        <w:t xml:space="preserve"> across the jurisdiction</w:t>
      </w:r>
      <w:r w:rsidR="00FD77C4">
        <w:rPr>
          <w:rFonts w:asciiTheme="minorHAnsi" w:hAnsiTheme="minorHAnsi" w:cstheme="minorHAnsi"/>
        </w:rPr>
        <w:t>.</w:t>
      </w:r>
    </w:p>
    <w:p w14:paraId="0600AAE2" w14:textId="52A3E9FE" w:rsidR="00BC508E" w:rsidRPr="00B8406B" w:rsidRDefault="00BC508E" w:rsidP="003B7C78">
      <w:pPr>
        <w:pStyle w:val="Heading2"/>
      </w:pPr>
      <w:bookmarkStart w:id="22" w:name="_Toc49331729"/>
      <w:bookmarkStart w:id="23" w:name="_Toc164328321"/>
      <w:bookmarkStart w:id="24" w:name="_Toc164328423"/>
      <w:bookmarkEnd w:id="21"/>
      <w:r w:rsidRPr="00B8406B">
        <w:t>Outreach Advisory Forum Chair</w:t>
      </w:r>
      <w:bookmarkEnd w:id="22"/>
      <w:bookmarkEnd w:id="23"/>
      <w:bookmarkEnd w:id="24"/>
    </w:p>
    <w:p w14:paraId="0EA1DF54" w14:textId="77777777" w:rsidR="002E6ABB" w:rsidRPr="00B65018" w:rsidRDefault="00FF2729" w:rsidP="00B65018">
      <w:bookmarkStart w:id="25" w:name="_Hlk146092456"/>
      <w:r w:rsidRPr="00B65018">
        <w:t>An independent Chair and t</w:t>
      </w:r>
      <w:r w:rsidR="00946664" w:rsidRPr="00B65018">
        <w:t xml:space="preserve">he relevant </w:t>
      </w:r>
      <w:r w:rsidR="00037993" w:rsidRPr="00B65018">
        <w:t>First Nations</w:t>
      </w:r>
      <w:r w:rsidR="00946664" w:rsidRPr="00B65018">
        <w:t xml:space="preserve"> health peak body for the jurisdiction should be invited to co-chair the Outreach Advisory Forum.</w:t>
      </w:r>
      <w:r w:rsidR="002E6ABB" w:rsidRPr="00B65018">
        <w:t xml:space="preserve"> </w:t>
      </w:r>
    </w:p>
    <w:p w14:paraId="62A85706" w14:textId="4B916DF8" w:rsidR="00BC508E" w:rsidRPr="00260274" w:rsidRDefault="002E6ABB" w:rsidP="00B65018">
      <w:r w:rsidRPr="00B65018">
        <w:t>State or territory Fundholders may choose not to nominate a specified chairperson where arrangements for a shared advisory forum exist to coordinate fair and reciprocal decision making</w:t>
      </w:r>
      <w:r w:rsidR="00AC58BC" w:rsidRPr="00B65018">
        <w:t>.</w:t>
      </w:r>
      <w:r w:rsidR="009D349C" w:rsidRPr="00B65018">
        <w:t xml:space="preserve"> </w:t>
      </w:r>
      <w:r w:rsidR="001012B4" w:rsidRPr="00B65018">
        <w:t>The</w:t>
      </w:r>
      <w:r w:rsidR="0009681A" w:rsidRPr="00B65018">
        <w:t xml:space="preserve"> objectives</w:t>
      </w:r>
      <w:r w:rsidR="001012B4" w:rsidRPr="00B65018">
        <w:t xml:space="preserve"> </w:t>
      </w:r>
      <w:r w:rsidR="0009681A" w:rsidRPr="00B65018">
        <w:t xml:space="preserve">of the </w:t>
      </w:r>
      <w:r w:rsidR="00AC6EA7" w:rsidRPr="00B65018">
        <w:t xml:space="preserve">Outreach Advisory Forum </w:t>
      </w:r>
      <w:r w:rsidR="0009681A" w:rsidRPr="00B65018">
        <w:t>should be consistent with the points of reference</w:t>
      </w:r>
      <w:r w:rsidR="001012B4" w:rsidRPr="00B65018">
        <w:t xml:space="preserve"> described in</w:t>
      </w:r>
      <w:r w:rsidR="00A04342" w:rsidRPr="00B65018">
        <w:t xml:space="preserve"> Section</w:t>
      </w:r>
      <w:r w:rsidR="001012B4" w:rsidRPr="00B65018">
        <w:t xml:space="preserve"> 3.1.</w:t>
      </w:r>
    </w:p>
    <w:p w14:paraId="6F1F607C" w14:textId="30846273" w:rsidR="00BC508E" w:rsidRPr="00B8406B" w:rsidRDefault="00BC508E" w:rsidP="003B7C78">
      <w:pPr>
        <w:pStyle w:val="Heading2"/>
      </w:pPr>
      <w:bookmarkStart w:id="26" w:name="_Toc49331730"/>
      <w:bookmarkStart w:id="27" w:name="_Toc164328322"/>
      <w:bookmarkStart w:id="28" w:name="_Toc164328424"/>
      <w:bookmarkEnd w:id="25"/>
      <w:r w:rsidRPr="00B8406B">
        <w:t>Administration of the Outreach Advisory Forum</w:t>
      </w:r>
      <w:bookmarkEnd w:id="26"/>
      <w:bookmarkEnd w:id="27"/>
      <w:bookmarkEnd w:id="28"/>
    </w:p>
    <w:p w14:paraId="21C5770D" w14:textId="7BBF08B7" w:rsidR="00BC508E" w:rsidRPr="00B65018" w:rsidRDefault="00BC508E" w:rsidP="00B65018">
      <w:r w:rsidRPr="00B65018">
        <w:t>The Advisory Forum/s must meet at least annually, with additional meetings held as needed.  Alternative meeting arrangements, such as by video/teleconference, are acceptable.</w:t>
      </w:r>
    </w:p>
    <w:p w14:paraId="2F74E6E5" w14:textId="77777777" w:rsidR="00BC508E" w:rsidRPr="0008002F" w:rsidRDefault="00BC508E" w:rsidP="00BC508E">
      <w:pPr>
        <w:rPr>
          <w:rFonts w:asciiTheme="minorHAnsi" w:hAnsiTheme="minorHAnsi" w:cstheme="minorHAnsi"/>
        </w:rPr>
      </w:pPr>
      <w:r w:rsidRPr="0008002F">
        <w:rPr>
          <w:rFonts w:asciiTheme="minorHAnsi" w:hAnsiTheme="minorHAnsi" w:cstheme="minorHAnsi"/>
        </w:rPr>
        <w:t>The Fundholder will provide secretariat support. Responsibilities include:</w:t>
      </w:r>
    </w:p>
    <w:p w14:paraId="32CAA95F" w14:textId="77777777" w:rsidR="00BC508E" w:rsidRPr="0008002F" w:rsidRDefault="00BC508E" w:rsidP="00B65018">
      <w:pPr>
        <w:pStyle w:val="ListBullet"/>
      </w:pPr>
      <w:r w:rsidRPr="0008002F">
        <w:t>establishment of the committee, ensuring an appropriate mix of key stakeholders;</w:t>
      </w:r>
    </w:p>
    <w:p w14:paraId="23D0749C" w14:textId="078E6811" w:rsidR="00BC508E" w:rsidRPr="00247219" w:rsidRDefault="00BC508E" w:rsidP="00B65018">
      <w:pPr>
        <w:pStyle w:val="ListBullet"/>
      </w:pPr>
      <w:r w:rsidRPr="00247219">
        <w:t>providing support for the nominated</w:t>
      </w:r>
      <w:r w:rsidR="00FF2729" w:rsidRPr="00247219">
        <w:t xml:space="preserve"> co-chairs</w:t>
      </w:r>
      <w:r w:rsidRPr="00247219">
        <w:t>;</w:t>
      </w:r>
    </w:p>
    <w:p w14:paraId="0F164903" w14:textId="4883C793" w:rsidR="00BC508E" w:rsidRPr="00247219" w:rsidRDefault="00BC508E" w:rsidP="00B65018">
      <w:pPr>
        <w:pStyle w:val="ListBullet"/>
      </w:pPr>
      <w:r w:rsidRPr="00CE4B75">
        <w:t>organising and documenting meetings;</w:t>
      </w:r>
    </w:p>
    <w:p w14:paraId="64FB9E60" w14:textId="39C5A247" w:rsidR="00BC508E" w:rsidRPr="00247219" w:rsidRDefault="00BC508E" w:rsidP="00B65018">
      <w:pPr>
        <w:pStyle w:val="ListBullet"/>
      </w:pPr>
      <w:r w:rsidRPr="00CE4B75">
        <w:t>managing any follow up activities.</w:t>
      </w:r>
    </w:p>
    <w:p w14:paraId="23F7C21C" w14:textId="77777777" w:rsidR="00BC508E" w:rsidRPr="00864560" w:rsidRDefault="00BC508E" w:rsidP="003B7C78">
      <w:pPr>
        <w:pStyle w:val="Heading1"/>
      </w:pPr>
      <w:bookmarkStart w:id="29" w:name="_Toc49331731"/>
      <w:bookmarkStart w:id="30" w:name="_Toc164328323"/>
      <w:bookmarkStart w:id="31" w:name="_Toc164328425"/>
      <w:r w:rsidRPr="00864560">
        <w:t>Service Eligibility</w:t>
      </w:r>
      <w:bookmarkEnd w:id="29"/>
      <w:bookmarkEnd w:id="30"/>
      <w:bookmarkEnd w:id="31"/>
      <w:r w:rsidRPr="00864560">
        <w:t xml:space="preserve"> </w:t>
      </w:r>
    </w:p>
    <w:p w14:paraId="72DE81F6" w14:textId="364DE289" w:rsidR="00BC508E" w:rsidRPr="00B8406B" w:rsidRDefault="00BC508E" w:rsidP="003B7C78">
      <w:pPr>
        <w:pStyle w:val="Heading2"/>
      </w:pPr>
      <w:bookmarkStart w:id="32" w:name="_Toc49331732"/>
      <w:bookmarkStart w:id="33" w:name="_Toc164328324"/>
      <w:bookmarkStart w:id="34" w:name="_Toc164328426"/>
      <w:r w:rsidRPr="00B8406B">
        <w:t>Culturally appropriate service delivery</w:t>
      </w:r>
      <w:bookmarkEnd w:id="32"/>
      <w:bookmarkEnd w:id="33"/>
      <w:bookmarkEnd w:id="34"/>
      <w:r w:rsidRPr="00B8406B">
        <w:t xml:space="preserve"> </w:t>
      </w:r>
    </w:p>
    <w:p w14:paraId="147E9A74" w14:textId="5970155B" w:rsidR="008049C7" w:rsidRPr="00260274" w:rsidRDefault="00BC508E" w:rsidP="00472715">
      <w:pPr>
        <w:rPr>
          <w:rStyle w:val="Strong"/>
        </w:rPr>
      </w:pPr>
      <w:r w:rsidRPr="00260274">
        <w:rPr>
          <w:rStyle w:val="Strong"/>
        </w:rPr>
        <w:t>Cultural Awareness and Safety Training</w:t>
      </w:r>
      <w:r>
        <w:rPr>
          <w:rFonts w:asciiTheme="minorHAnsi" w:hAnsiTheme="minorHAnsi" w:cstheme="minorHAnsi"/>
        </w:rPr>
        <w:t xml:space="preserve">: </w:t>
      </w:r>
      <w:r w:rsidRPr="0008002F">
        <w:rPr>
          <w:rFonts w:asciiTheme="minorHAnsi" w:hAnsiTheme="minorHAnsi" w:cstheme="minorHAnsi"/>
        </w:rPr>
        <w:t xml:space="preserve">All </w:t>
      </w:r>
      <w:r>
        <w:rPr>
          <w:rFonts w:asciiTheme="minorHAnsi" w:hAnsiTheme="minorHAnsi" w:cstheme="minorHAnsi"/>
        </w:rPr>
        <w:t>Health Professional</w:t>
      </w:r>
      <w:r w:rsidRPr="0008002F">
        <w:rPr>
          <w:rFonts w:asciiTheme="minorHAnsi" w:hAnsiTheme="minorHAnsi" w:cstheme="minorHAnsi"/>
        </w:rPr>
        <w:t xml:space="preserve">s providing services to </w:t>
      </w:r>
      <w:r w:rsidR="000A1526">
        <w:rPr>
          <w:rFonts w:asciiTheme="minorHAnsi" w:hAnsiTheme="minorHAnsi" w:cstheme="minorHAnsi"/>
        </w:rPr>
        <w:t>First Nations</w:t>
      </w:r>
      <w:r w:rsidRPr="0008002F">
        <w:rPr>
          <w:rFonts w:asciiTheme="minorHAnsi" w:hAnsiTheme="minorHAnsi" w:cstheme="minorHAnsi"/>
        </w:rPr>
        <w:t xml:space="preserve"> patients through Outreach Programs must verify that they have undertaken appropriate Cultural Awareness and Safety Training prior to commencing service delivery. The Fundholder will be responsible for verifying and/or arranging this training</w:t>
      </w:r>
      <w:r>
        <w:rPr>
          <w:rFonts w:asciiTheme="minorHAnsi" w:hAnsiTheme="minorHAnsi" w:cstheme="minorHAnsi"/>
        </w:rPr>
        <w:t xml:space="preserve"> and ensure it is acceptable to organisations receiving outreach services</w:t>
      </w:r>
      <w:r w:rsidRPr="0008002F">
        <w:rPr>
          <w:rFonts w:asciiTheme="minorHAnsi" w:hAnsiTheme="minorHAnsi" w:cstheme="minorHAnsi"/>
        </w:rPr>
        <w:t xml:space="preserve">. </w:t>
      </w:r>
    </w:p>
    <w:p w14:paraId="17DEA623" w14:textId="35C41AEA" w:rsidR="00BC508E" w:rsidRPr="0008002F" w:rsidRDefault="00BC508E" w:rsidP="00BC508E">
      <w:pPr>
        <w:rPr>
          <w:rFonts w:asciiTheme="minorHAnsi" w:hAnsiTheme="minorHAnsi" w:cstheme="minorHAnsi"/>
        </w:rPr>
      </w:pPr>
      <w:r w:rsidRPr="0008002F">
        <w:rPr>
          <w:rFonts w:asciiTheme="minorHAnsi" w:hAnsiTheme="minorHAnsi" w:cstheme="minorHAnsi"/>
        </w:rPr>
        <w:t xml:space="preserve">Fundholders will consult with the relevant </w:t>
      </w:r>
      <w:hyperlink r:id="rId18" w:history="1">
        <w:r w:rsidR="00037993">
          <w:rPr>
            <w:rStyle w:val="Hyperlink"/>
            <w:rFonts w:asciiTheme="minorHAnsi" w:hAnsiTheme="minorHAnsi" w:cstheme="minorHAnsi"/>
            <w:bCs/>
          </w:rPr>
          <w:t>First Nations</w:t>
        </w:r>
        <w:r w:rsidRPr="00087F55">
          <w:rPr>
            <w:rStyle w:val="Hyperlink"/>
            <w:rFonts w:asciiTheme="minorHAnsi" w:hAnsiTheme="minorHAnsi" w:cstheme="minorHAnsi"/>
            <w:bCs/>
          </w:rPr>
          <w:t xml:space="preserve"> </w:t>
        </w:r>
        <w:r w:rsidR="00263995">
          <w:rPr>
            <w:rStyle w:val="Hyperlink"/>
            <w:rFonts w:asciiTheme="minorHAnsi" w:hAnsiTheme="minorHAnsi" w:cstheme="minorHAnsi"/>
            <w:bCs/>
          </w:rPr>
          <w:t xml:space="preserve">Health </w:t>
        </w:r>
        <w:r w:rsidRPr="00087F55">
          <w:rPr>
            <w:rStyle w:val="Hyperlink"/>
            <w:rFonts w:asciiTheme="minorHAnsi" w:hAnsiTheme="minorHAnsi" w:cstheme="minorHAnsi"/>
            <w:bCs/>
          </w:rPr>
          <w:t>Peak Organisation</w:t>
        </w:r>
      </w:hyperlink>
      <w:r w:rsidRPr="00087F55">
        <w:t xml:space="preserve"> </w:t>
      </w:r>
      <w:r w:rsidRPr="0008002F">
        <w:rPr>
          <w:rFonts w:asciiTheme="minorHAnsi" w:hAnsiTheme="minorHAnsi" w:cstheme="minorHAnsi"/>
        </w:rPr>
        <w:t xml:space="preserve">to identify appropriate cultural awareness training for locations within the jurisdiction and consider the development of </w:t>
      </w:r>
      <w:r w:rsidR="004E4EEC">
        <w:rPr>
          <w:rFonts w:asciiTheme="minorHAnsi" w:hAnsiTheme="minorHAnsi" w:cstheme="minorHAnsi"/>
        </w:rPr>
        <w:t>R</w:t>
      </w:r>
      <w:r w:rsidRPr="0008002F">
        <w:rPr>
          <w:rFonts w:asciiTheme="minorHAnsi" w:hAnsiTheme="minorHAnsi" w:cstheme="minorHAnsi"/>
        </w:rPr>
        <w:t xml:space="preserve">econciliation </w:t>
      </w:r>
      <w:r w:rsidR="004E4EEC">
        <w:rPr>
          <w:rFonts w:asciiTheme="minorHAnsi" w:hAnsiTheme="minorHAnsi" w:cstheme="minorHAnsi"/>
        </w:rPr>
        <w:t>A</w:t>
      </w:r>
      <w:r w:rsidRPr="0008002F">
        <w:rPr>
          <w:rFonts w:asciiTheme="minorHAnsi" w:hAnsiTheme="minorHAnsi" w:cstheme="minorHAnsi"/>
        </w:rPr>
        <w:t xml:space="preserve">ction </w:t>
      </w:r>
      <w:r w:rsidR="004E4EEC">
        <w:rPr>
          <w:rFonts w:asciiTheme="minorHAnsi" w:hAnsiTheme="minorHAnsi" w:cstheme="minorHAnsi"/>
        </w:rPr>
        <w:t>P</w:t>
      </w:r>
      <w:r w:rsidRPr="0008002F">
        <w:rPr>
          <w:rFonts w:asciiTheme="minorHAnsi" w:hAnsiTheme="minorHAnsi" w:cstheme="minorHAnsi"/>
        </w:rPr>
        <w:t xml:space="preserve">lans and formal partnerships, agreements, or MOUs with </w:t>
      </w:r>
      <w:r w:rsidR="00037993">
        <w:rPr>
          <w:rFonts w:asciiTheme="minorHAnsi" w:hAnsiTheme="minorHAnsi" w:cstheme="minorHAnsi"/>
        </w:rPr>
        <w:t>First Nations</w:t>
      </w:r>
      <w:r w:rsidRPr="0008002F">
        <w:rPr>
          <w:rFonts w:asciiTheme="minorHAnsi" w:hAnsiTheme="minorHAnsi" w:cstheme="minorHAnsi"/>
        </w:rPr>
        <w:t xml:space="preserve"> organisations. </w:t>
      </w:r>
    </w:p>
    <w:p w14:paraId="539846B5" w14:textId="6008C95B" w:rsidR="00BC508E" w:rsidRDefault="00BC508E" w:rsidP="00BC508E">
      <w:pPr>
        <w:rPr>
          <w:rFonts w:asciiTheme="minorHAnsi" w:hAnsiTheme="minorHAnsi" w:cstheme="minorHAnsi"/>
        </w:rPr>
      </w:pPr>
      <w:r w:rsidRPr="0008002F">
        <w:rPr>
          <w:rFonts w:asciiTheme="minorHAnsi" w:hAnsiTheme="minorHAnsi" w:cstheme="minorHAnsi"/>
        </w:rPr>
        <w:t xml:space="preserve">Fundholders must embed culturally appropriate practices in </w:t>
      </w:r>
      <w:r>
        <w:rPr>
          <w:rFonts w:asciiTheme="minorHAnsi" w:hAnsiTheme="minorHAnsi" w:cstheme="minorHAnsi"/>
        </w:rPr>
        <w:t>their delivery of outreach services</w:t>
      </w:r>
      <w:r w:rsidRPr="0008002F">
        <w:rPr>
          <w:rFonts w:asciiTheme="minorHAnsi" w:hAnsiTheme="minorHAnsi" w:cstheme="minorHAnsi"/>
        </w:rPr>
        <w:t xml:space="preserve"> to </w:t>
      </w:r>
      <w:r w:rsidR="00037993">
        <w:rPr>
          <w:rFonts w:asciiTheme="minorHAnsi" w:hAnsiTheme="minorHAnsi" w:cstheme="minorHAnsi"/>
        </w:rPr>
        <w:t>First Nations</w:t>
      </w:r>
      <w:r w:rsidRPr="0008002F">
        <w:rPr>
          <w:rFonts w:asciiTheme="minorHAnsi" w:hAnsiTheme="minorHAnsi" w:cstheme="minorHAnsi"/>
        </w:rPr>
        <w:t xml:space="preserve"> people. </w:t>
      </w:r>
      <w:r>
        <w:rPr>
          <w:rFonts w:asciiTheme="minorHAnsi" w:hAnsiTheme="minorHAnsi" w:cstheme="minorHAnsi"/>
        </w:rPr>
        <w:t>This includes</w:t>
      </w:r>
      <w:r w:rsidRPr="0008002F">
        <w:rPr>
          <w:rFonts w:asciiTheme="minorHAnsi" w:hAnsiTheme="minorHAnsi" w:cstheme="minorHAnsi"/>
        </w:rPr>
        <w:t xml:space="preserve"> cultura</w:t>
      </w:r>
      <w:r>
        <w:rPr>
          <w:rFonts w:asciiTheme="minorHAnsi" w:hAnsiTheme="minorHAnsi" w:cstheme="minorHAnsi"/>
        </w:rPr>
        <w:t>ll</w:t>
      </w:r>
      <w:r w:rsidRPr="0008002F">
        <w:rPr>
          <w:rFonts w:asciiTheme="minorHAnsi" w:hAnsiTheme="minorHAnsi" w:cstheme="minorHAnsi"/>
        </w:rPr>
        <w:t>y appropriate information given to patients</w:t>
      </w:r>
      <w:r>
        <w:rPr>
          <w:rFonts w:asciiTheme="minorHAnsi" w:hAnsiTheme="minorHAnsi" w:cstheme="minorHAnsi"/>
        </w:rPr>
        <w:t xml:space="preserve"> about the health service being provided</w:t>
      </w:r>
      <w:r w:rsidR="00363182">
        <w:rPr>
          <w:rFonts w:asciiTheme="minorHAnsi" w:hAnsiTheme="minorHAnsi" w:cstheme="minorHAnsi"/>
        </w:rPr>
        <w:t>, including</w:t>
      </w:r>
      <w:r>
        <w:rPr>
          <w:rFonts w:asciiTheme="minorHAnsi" w:hAnsiTheme="minorHAnsi" w:cstheme="minorHAnsi"/>
        </w:rPr>
        <w:t xml:space="preserve"> </w:t>
      </w:r>
      <w:r w:rsidRPr="0008002F">
        <w:rPr>
          <w:rFonts w:asciiTheme="minorHAnsi" w:hAnsiTheme="minorHAnsi" w:cstheme="minorHAnsi"/>
        </w:rPr>
        <w:t>choices/options of care and financial implications of any agreement (</w:t>
      </w:r>
      <w:r w:rsidR="00C7539A" w:rsidRPr="0008002F">
        <w:rPr>
          <w:rFonts w:asciiTheme="minorHAnsi" w:hAnsiTheme="minorHAnsi" w:cstheme="minorHAnsi"/>
        </w:rPr>
        <w:t>e.g.,</w:t>
      </w:r>
      <w:r w:rsidRPr="0008002F">
        <w:rPr>
          <w:rFonts w:asciiTheme="minorHAnsi" w:hAnsiTheme="minorHAnsi" w:cstheme="minorHAnsi"/>
        </w:rPr>
        <w:t xml:space="preserve"> costs attributed to the Low Cost Spectacle Scheme).</w:t>
      </w:r>
    </w:p>
    <w:p w14:paraId="71A298F6" w14:textId="1A7090EB" w:rsidR="00FE5FD2" w:rsidRPr="0008002F" w:rsidRDefault="00EE26E2" w:rsidP="00BC508E">
      <w:pPr>
        <w:rPr>
          <w:rFonts w:asciiTheme="minorHAnsi" w:hAnsiTheme="minorHAnsi" w:cstheme="minorHAnsi"/>
        </w:rPr>
      </w:pPr>
      <w:r>
        <w:rPr>
          <w:rFonts w:asciiTheme="minorHAnsi" w:hAnsiTheme="minorHAnsi" w:cstheme="minorHAnsi"/>
        </w:rPr>
        <w:t xml:space="preserve">Under the National Agreement on Closing the Gap, Australian Governments have acknowledged that </w:t>
      </w:r>
      <w:r w:rsidR="00FE5FD2" w:rsidRPr="00FE5FD2">
        <w:rPr>
          <w:rFonts w:asciiTheme="minorHAnsi" w:hAnsiTheme="minorHAnsi" w:cstheme="minorHAnsi"/>
        </w:rPr>
        <w:t xml:space="preserve">Aboriginal Community Controlled Health Services (ACCHS) are </w:t>
      </w:r>
      <w:r>
        <w:rPr>
          <w:rFonts w:asciiTheme="minorHAnsi" w:hAnsiTheme="minorHAnsi" w:cstheme="minorHAnsi"/>
        </w:rPr>
        <w:t>often</w:t>
      </w:r>
      <w:r w:rsidR="00FE5FD2">
        <w:rPr>
          <w:rFonts w:asciiTheme="minorHAnsi" w:hAnsiTheme="minorHAnsi" w:cstheme="minorHAnsi"/>
        </w:rPr>
        <w:t xml:space="preserve"> </w:t>
      </w:r>
      <w:r w:rsidR="00FE5FD2" w:rsidRPr="00FE5FD2">
        <w:rPr>
          <w:rFonts w:asciiTheme="minorHAnsi" w:hAnsiTheme="minorHAnsi" w:cstheme="minorHAnsi"/>
        </w:rPr>
        <w:t>preferred providers of primary health care for Aboriginal and Torres Strait Islander communities. As such, where capacity allows, ACCHSs should be seen as preferred providers of Outreach Programs.</w:t>
      </w:r>
    </w:p>
    <w:p w14:paraId="13DD7E39" w14:textId="005D9C49" w:rsidR="00BC508E" w:rsidRPr="00B8406B" w:rsidRDefault="00BC508E" w:rsidP="003B7C78">
      <w:pPr>
        <w:pStyle w:val="Heading2"/>
      </w:pPr>
      <w:bookmarkStart w:id="35" w:name="_Toc49331733"/>
      <w:bookmarkStart w:id="36" w:name="_Toc164328325"/>
      <w:bookmarkStart w:id="37" w:name="_Toc164328427"/>
      <w:r w:rsidRPr="00B8406B">
        <w:t>Services to be provided under Outreach Programs</w:t>
      </w:r>
      <w:bookmarkEnd w:id="35"/>
      <w:bookmarkEnd w:id="36"/>
      <w:bookmarkEnd w:id="37"/>
      <w:r w:rsidRPr="00B8406B">
        <w:t xml:space="preserve"> </w:t>
      </w:r>
    </w:p>
    <w:p w14:paraId="33401CD6" w14:textId="64B4CBFE" w:rsidR="00BC508E" w:rsidRPr="0008002F" w:rsidRDefault="00BC508E" w:rsidP="00BC508E">
      <w:pPr>
        <w:rPr>
          <w:rFonts w:asciiTheme="minorHAnsi" w:hAnsiTheme="minorHAnsi" w:cstheme="minorHAnsi"/>
        </w:rPr>
      </w:pPr>
      <w:r w:rsidRPr="0008002F">
        <w:rPr>
          <w:rFonts w:asciiTheme="minorHAnsi" w:hAnsiTheme="minorHAnsi" w:cstheme="minorHAnsi"/>
        </w:rPr>
        <w:t>Effective health service planning is required to ensure the objectives of the programs are met.</w:t>
      </w:r>
      <w:r>
        <w:rPr>
          <w:rFonts w:asciiTheme="minorHAnsi" w:hAnsiTheme="minorHAnsi" w:cstheme="minorHAnsi"/>
        </w:rPr>
        <w:t xml:space="preserve"> </w:t>
      </w:r>
      <w:r w:rsidRPr="0008002F">
        <w:rPr>
          <w:rFonts w:asciiTheme="minorHAnsi" w:hAnsiTheme="minorHAnsi" w:cstheme="minorHAnsi"/>
        </w:rPr>
        <w:t xml:space="preserve">The Outreach Programs will build on existing services and establish new services in locations of greatest need, consistent with the aims of individual </w:t>
      </w:r>
      <w:r w:rsidR="00EE26E2">
        <w:rPr>
          <w:rFonts w:asciiTheme="minorHAnsi" w:hAnsiTheme="minorHAnsi" w:cstheme="minorHAnsi"/>
        </w:rPr>
        <w:t>p</w:t>
      </w:r>
      <w:r w:rsidRPr="0008002F">
        <w:rPr>
          <w:rFonts w:asciiTheme="minorHAnsi" w:hAnsiTheme="minorHAnsi" w:cstheme="minorHAnsi"/>
        </w:rPr>
        <w:t xml:space="preserve">rograms. Service types of greatest need will be prioritised. </w:t>
      </w:r>
    </w:p>
    <w:p w14:paraId="3D9F0633" w14:textId="3074F781" w:rsidR="00BC508E" w:rsidRPr="00EA107E" w:rsidRDefault="00BC508E" w:rsidP="00BC508E">
      <w:pPr>
        <w:rPr>
          <w:rFonts w:asciiTheme="minorHAnsi" w:hAnsiTheme="minorHAnsi" w:cstheme="minorHAnsi"/>
        </w:rPr>
      </w:pPr>
      <w:r w:rsidRPr="00EA107E">
        <w:rPr>
          <w:rFonts w:asciiTheme="minorHAnsi" w:hAnsiTheme="minorHAnsi" w:cstheme="minorHAnsi"/>
        </w:rPr>
        <w:lastRenderedPageBreak/>
        <w:t xml:space="preserve">Outreach Programs should complement services provided by State and Territory governments or other providers/ funders. Fundholders must work with </w:t>
      </w:r>
      <w:r w:rsidR="007D37B1">
        <w:rPr>
          <w:rFonts w:asciiTheme="minorHAnsi" w:hAnsiTheme="minorHAnsi" w:cstheme="minorHAnsi"/>
        </w:rPr>
        <w:t>host</w:t>
      </w:r>
      <w:r w:rsidR="007D37B1" w:rsidRPr="00EA107E">
        <w:rPr>
          <w:rFonts w:asciiTheme="minorHAnsi" w:hAnsiTheme="minorHAnsi" w:cstheme="minorHAnsi"/>
        </w:rPr>
        <w:t xml:space="preserve"> </w:t>
      </w:r>
      <w:r w:rsidRPr="00EA107E">
        <w:rPr>
          <w:rFonts w:asciiTheme="minorHAnsi" w:hAnsiTheme="minorHAnsi" w:cstheme="minorHAnsi"/>
        </w:rPr>
        <w:t>organisations when scheduling outreach visits to ensure convenient timing of visits, seek synergies with existing services to maximise the benefit of the outreach visit</w:t>
      </w:r>
      <w:r>
        <w:rPr>
          <w:rFonts w:asciiTheme="minorHAnsi" w:hAnsiTheme="minorHAnsi" w:cstheme="minorHAnsi"/>
        </w:rPr>
        <w:t>,</w:t>
      </w:r>
      <w:r w:rsidRPr="00EA107E">
        <w:rPr>
          <w:rFonts w:asciiTheme="minorHAnsi" w:hAnsiTheme="minorHAnsi" w:cstheme="minorHAnsi"/>
        </w:rPr>
        <w:t xml:space="preserve"> and limit overlap/duplication of services being provided in communities.</w:t>
      </w:r>
    </w:p>
    <w:p w14:paraId="18BD9ECF" w14:textId="4839AB6A" w:rsidR="00BC508E" w:rsidRPr="00B8406B" w:rsidRDefault="00BC508E" w:rsidP="003B7C78">
      <w:pPr>
        <w:pStyle w:val="Heading2"/>
      </w:pPr>
      <w:bookmarkStart w:id="38" w:name="_Toc49331734"/>
      <w:bookmarkStart w:id="39" w:name="_Toc164328326"/>
      <w:bookmarkStart w:id="40" w:name="_Toc164328428"/>
      <w:r w:rsidRPr="00B8406B">
        <w:t xml:space="preserve">Health Professionals supported by the </w:t>
      </w:r>
      <w:r w:rsidR="003C1885" w:rsidRPr="00B8406B">
        <w:t xml:space="preserve">Outreach </w:t>
      </w:r>
      <w:r w:rsidRPr="00B8406B">
        <w:t>Programs</w:t>
      </w:r>
      <w:bookmarkEnd w:id="38"/>
      <w:bookmarkEnd w:id="39"/>
      <w:bookmarkEnd w:id="40"/>
    </w:p>
    <w:p w14:paraId="3D821B3B" w14:textId="77777777" w:rsidR="00BC508E" w:rsidRPr="0008002F" w:rsidRDefault="00BC508E" w:rsidP="00BC508E">
      <w:pPr>
        <w:rPr>
          <w:rFonts w:asciiTheme="minorHAnsi" w:hAnsiTheme="minorHAnsi" w:cstheme="minorHAnsi"/>
        </w:rPr>
      </w:pPr>
      <w:bookmarkStart w:id="41" w:name="_Toc517355942"/>
      <w:bookmarkStart w:id="42" w:name="_Toc517357257"/>
      <w:r w:rsidRPr="0008002F">
        <w:rPr>
          <w:rFonts w:asciiTheme="minorHAnsi" w:hAnsiTheme="minorHAnsi" w:cstheme="minorHAnsi"/>
        </w:rPr>
        <w:t xml:space="preserve">Funding for Outreach Programs can be used to support a range of appropriately qualified </w:t>
      </w:r>
      <w:r>
        <w:rPr>
          <w:rFonts w:asciiTheme="minorHAnsi" w:hAnsiTheme="minorHAnsi" w:cstheme="minorHAnsi"/>
        </w:rPr>
        <w:t>Health Professional</w:t>
      </w:r>
      <w:r w:rsidRPr="0008002F">
        <w:rPr>
          <w:rFonts w:asciiTheme="minorHAnsi" w:hAnsiTheme="minorHAnsi" w:cstheme="minorHAnsi"/>
        </w:rPr>
        <w:t xml:space="preserve">s. </w:t>
      </w:r>
      <w:r>
        <w:rPr>
          <w:rFonts w:asciiTheme="minorHAnsi" w:hAnsiTheme="minorHAnsi" w:cstheme="minorHAnsi"/>
        </w:rPr>
        <w:t>Health Professional</w:t>
      </w:r>
      <w:r w:rsidRPr="0008002F">
        <w:rPr>
          <w:rFonts w:asciiTheme="minorHAnsi" w:hAnsiTheme="minorHAnsi" w:cstheme="minorHAnsi"/>
        </w:rPr>
        <w:t>s include those working in primary, secondary and tertiary health (refer to glossary).</w:t>
      </w:r>
    </w:p>
    <w:p w14:paraId="435B6A78" w14:textId="77777777" w:rsidR="00BC508E" w:rsidRPr="0008002F" w:rsidRDefault="00BC508E" w:rsidP="00BC508E">
      <w:pPr>
        <w:rPr>
          <w:rFonts w:asciiTheme="minorHAnsi" w:hAnsiTheme="minorHAnsi" w:cstheme="minorHAnsi"/>
        </w:rPr>
      </w:pPr>
      <w:r w:rsidRPr="0008002F">
        <w:rPr>
          <w:rFonts w:asciiTheme="minorHAnsi" w:hAnsiTheme="minorHAnsi" w:cstheme="minorHAnsi"/>
        </w:rPr>
        <w:t xml:space="preserve">All </w:t>
      </w:r>
      <w:r>
        <w:rPr>
          <w:rFonts w:asciiTheme="minorHAnsi" w:hAnsiTheme="minorHAnsi" w:cstheme="minorHAnsi"/>
        </w:rPr>
        <w:t>Health Professional</w:t>
      </w:r>
      <w:r w:rsidRPr="0008002F">
        <w:rPr>
          <w:rFonts w:asciiTheme="minorHAnsi" w:hAnsiTheme="minorHAnsi" w:cstheme="minorHAnsi"/>
        </w:rPr>
        <w:t>s providing services through the Outreach Programs must maintain the following:</w:t>
      </w:r>
    </w:p>
    <w:p w14:paraId="251054BD" w14:textId="17998441" w:rsidR="00BC508E" w:rsidRPr="00247219" w:rsidRDefault="00BC508E" w:rsidP="00B65018">
      <w:pPr>
        <w:pStyle w:val="ListBullet"/>
      </w:pPr>
      <w:r w:rsidRPr="00247219">
        <w:t>appropriate qualifications, registration and/or license and insurance to practise in their profession both individually and in their area of speciality, if appropriate</w:t>
      </w:r>
    </w:p>
    <w:p w14:paraId="7E8F93A6" w14:textId="6771E636" w:rsidR="00BC508E" w:rsidRPr="00247219" w:rsidRDefault="00BC508E" w:rsidP="00B65018">
      <w:pPr>
        <w:pStyle w:val="ListBullet"/>
      </w:pPr>
      <w:r w:rsidRPr="00247219">
        <w:t>unique Medicare provider numbers that will enable them to claim under the Medicare Benefits Schedule</w:t>
      </w:r>
    </w:p>
    <w:p w14:paraId="652041F6" w14:textId="777374E5" w:rsidR="00BC508E" w:rsidRPr="00247219" w:rsidRDefault="00BC508E" w:rsidP="00B65018">
      <w:pPr>
        <w:pStyle w:val="ListBullet"/>
      </w:pPr>
      <w:r w:rsidRPr="00247219">
        <w:t xml:space="preserve">cultural awareness and safety training that is locally relevant, as specified at </w:t>
      </w:r>
      <w:r w:rsidR="00EE26E2" w:rsidRPr="00247219">
        <w:t xml:space="preserve">section </w:t>
      </w:r>
      <w:r w:rsidRPr="00247219">
        <w:t>4.1</w:t>
      </w:r>
    </w:p>
    <w:p w14:paraId="218F618C" w14:textId="14432DF1" w:rsidR="00BC508E" w:rsidRPr="00247219" w:rsidRDefault="00BC508E" w:rsidP="00B65018">
      <w:pPr>
        <w:pStyle w:val="ListBullet"/>
      </w:pPr>
      <w:r w:rsidRPr="00247219">
        <w:t>Working with Children check [where applicable]</w:t>
      </w:r>
    </w:p>
    <w:p w14:paraId="149DEFE9" w14:textId="3AEFB988" w:rsidR="00BC508E" w:rsidRPr="00247219" w:rsidRDefault="00BC508E" w:rsidP="00B65018">
      <w:pPr>
        <w:pStyle w:val="ListBullet"/>
      </w:pPr>
      <w:r w:rsidRPr="00247219">
        <w:t xml:space="preserve">Working With Vulnerable People registration for the jurisdiction in which services are delivered; </w:t>
      </w:r>
      <w:r w:rsidR="00EE26E2" w:rsidRPr="00247219">
        <w:t>and</w:t>
      </w:r>
    </w:p>
    <w:p w14:paraId="0A096C07" w14:textId="4858FD5F" w:rsidR="00BC508E" w:rsidRPr="00247219" w:rsidRDefault="00BC508E" w:rsidP="00B65018">
      <w:pPr>
        <w:pStyle w:val="ListBullet"/>
      </w:pPr>
      <w:r w:rsidRPr="00247219">
        <w:t>compliance with child safety requirements consistent with the Commonwealth Child Safe Framework</w:t>
      </w:r>
      <w:r w:rsidR="00EE26E2" w:rsidRPr="00247219">
        <w:t>.</w:t>
      </w:r>
    </w:p>
    <w:p w14:paraId="26820CBB" w14:textId="60EC282B" w:rsidR="00BC508E" w:rsidRPr="00B65018" w:rsidRDefault="007D2536" w:rsidP="00B65018">
      <w:r w:rsidRPr="00B65018">
        <w:t>T</w:t>
      </w:r>
      <w:r w:rsidR="00BC508E" w:rsidRPr="00B65018">
        <w:t>he activity delivered must be directly related to outreach health services, and not be for research or other purposes.</w:t>
      </w:r>
    </w:p>
    <w:p w14:paraId="662F20A6" w14:textId="0C08AEF6" w:rsidR="00BC508E" w:rsidRPr="0008002F" w:rsidRDefault="00BC508E" w:rsidP="00BC508E">
      <w:pPr>
        <w:rPr>
          <w:rFonts w:asciiTheme="minorHAnsi" w:hAnsiTheme="minorHAnsi" w:cstheme="minorHAnsi"/>
        </w:rPr>
      </w:pPr>
      <w:r w:rsidRPr="0008002F">
        <w:rPr>
          <w:rFonts w:asciiTheme="minorHAnsi" w:hAnsiTheme="minorHAnsi" w:cstheme="minorHAnsi"/>
        </w:rPr>
        <w:t xml:space="preserve">On request, evidence of the above must be made available to host </w:t>
      </w:r>
      <w:r w:rsidR="004A3A3E">
        <w:rPr>
          <w:rFonts w:asciiTheme="minorHAnsi" w:hAnsiTheme="minorHAnsi" w:cstheme="minorHAnsi"/>
        </w:rPr>
        <w:t>facility</w:t>
      </w:r>
      <w:r w:rsidR="004A3A3E" w:rsidRPr="0008002F">
        <w:rPr>
          <w:rFonts w:asciiTheme="minorHAnsi" w:hAnsiTheme="minorHAnsi" w:cstheme="minorHAnsi"/>
        </w:rPr>
        <w:t xml:space="preserve"> </w:t>
      </w:r>
      <w:r w:rsidRPr="0008002F">
        <w:rPr>
          <w:rFonts w:asciiTheme="minorHAnsi" w:hAnsiTheme="minorHAnsi" w:cstheme="minorHAnsi"/>
        </w:rPr>
        <w:t>before outreach health services are provided.</w:t>
      </w:r>
    </w:p>
    <w:p w14:paraId="39045B6B" w14:textId="55B0724E" w:rsidR="00BC508E" w:rsidRPr="008E2684" w:rsidRDefault="00BC508E" w:rsidP="00BC508E">
      <w:pPr>
        <w:rPr>
          <w:rFonts w:asciiTheme="minorHAnsi" w:hAnsiTheme="minorHAnsi" w:cstheme="minorHAnsi"/>
        </w:rPr>
      </w:pPr>
      <w:r w:rsidRPr="0008002F">
        <w:rPr>
          <w:rFonts w:asciiTheme="minorHAnsi" w:hAnsiTheme="minorHAnsi" w:cstheme="minorHAnsi"/>
        </w:rPr>
        <w:t xml:space="preserve">Services should be delivered in accordance with relevant clinical guidelines.  For example, the </w:t>
      </w:r>
      <w:bookmarkStart w:id="43" w:name="_Hlk144976809"/>
      <w:r w:rsidRPr="008E2684">
        <w:rPr>
          <w:rFonts w:asciiTheme="minorHAnsi" w:hAnsiTheme="minorHAnsi" w:cstheme="minorHAnsi"/>
        </w:rPr>
        <w:t>2020</w:t>
      </w:r>
      <w:r w:rsidR="008E2684" w:rsidRPr="00B65018">
        <w:t xml:space="preserve"> </w:t>
      </w:r>
      <w:hyperlink r:id="rId19" w:history="1">
        <w:r w:rsidR="008E2684" w:rsidRPr="00EE26E2">
          <w:rPr>
            <w:rStyle w:val="Hyperlink"/>
            <w:rFonts w:asciiTheme="minorHAnsi" w:hAnsiTheme="minorHAnsi" w:cstheme="minorHAnsi"/>
            <w:iCs/>
          </w:rPr>
          <w:t>Otitis Media Guidelines</w:t>
        </w:r>
        <w:r w:rsidR="00EE26E2" w:rsidRPr="00EE26E2">
          <w:rPr>
            <w:rStyle w:val="Hyperlink"/>
            <w:rFonts w:asciiTheme="minorHAnsi" w:hAnsiTheme="minorHAnsi" w:cstheme="minorHAnsi"/>
            <w:iCs/>
          </w:rPr>
          <w:t xml:space="preserve"> for Aboriginal and Torres Strait Islander Children</w:t>
        </w:r>
      </w:hyperlink>
      <w:r w:rsidR="00EE26E2" w:rsidRPr="00B65018">
        <w:t>.</w:t>
      </w:r>
      <w:r w:rsidRPr="008E2684">
        <w:rPr>
          <w:rFonts w:asciiTheme="minorHAnsi" w:hAnsiTheme="minorHAnsi" w:cstheme="minorHAnsi"/>
        </w:rPr>
        <w:t xml:space="preserve"> </w:t>
      </w:r>
    </w:p>
    <w:p w14:paraId="7733ECE9" w14:textId="69EBAF52" w:rsidR="00BC508E" w:rsidRPr="00B8406B" w:rsidRDefault="00BC508E" w:rsidP="003B7C78">
      <w:pPr>
        <w:pStyle w:val="Heading2"/>
      </w:pPr>
      <w:bookmarkStart w:id="44" w:name="_Toc49331735"/>
      <w:bookmarkStart w:id="45" w:name="_Toc164328327"/>
      <w:bookmarkStart w:id="46" w:name="_Toc164328429"/>
      <w:bookmarkEnd w:id="41"/>
      <w:bookmarkEnd w:id="42"/>
      <w:bookmarkEnd w:id="43"/>
      <w:r w:rsidRPr="00B8406B">
        <w:t xml:space="preserve">Who </w:t>
      </w:r>
      <w:r w:rsidR="00DC13D3" w:rsidRPr="00B8406B">
        <w:t>c</w:t>
      </w:r>
      <w:r w:rsidRPr="00B8406B">
        <w:t xml:space="preserve">an </w:t>
      </w:r>
      <w:r w:rsidR="00DC13D3" w:rsidRPr="00B8406B">
        <w:t>p</w:t>
      </w:r>
      <w:r w:rsidRPr="00B8406B">
        <w:t xml:space="preserve">ropose a </w:t>
      </w:r>
      <w:r w:rsidR="00DC13D3" w:rsidRPr="00B8406B">
        <w:t>s</w:t>
      </w:r>
      <w:r w:rsidRPr="00B8406B">
        <w:t>ervice?</w:t>
      </w:r>
      <w:bookmarkEnd w:id="44"/>
      <w:bookmarkEnd w:id="45"/>
      <w:bookmarkEnd w:id="46"/>
      <w:r w:rsidRPr="00B8406B">
        <w:t xml:space="preserve"> </w:t>
      </w:r>
    </w:p>
    <w:p w14:paraId="1E14AD11" w14:textId="77777777" w:rsidR="00BC508E" w:rsidRPr="0008002F" w:rsidRDefault="00BC508E" w:rsidP="00BC508E">
      <w:pPr>
        <w:rPr>
          <w:rFonts w:asciiTheme="minorHAnsi" w:hAnsiTheme="minorHAnsi" w:cstheme="minorHAnsi"/>
        </w:rPr>
      </w:pPr>
      <w:r w:rsidRPr="0008002F">
        <w:rPr>
          <w:rFonts w:asciiTheme="minorHAnsi" w:hAnsiTheme="minorHAnsi" w:cstheme="minorHAnsi"/>
        </w:rPr>
        <w:t xml:space="preserve">Service proposals will be considered by the Fundholder in line with the outcomes of the Needs Assessment and advice from the Advisory Forum. Any interested </w:t>
      </w:r>
      <w:r>
        <w:rPr>
          <w:rFonts w:asciiTheme="minorHAnsi" w:hAnsiTheme="minorHAnsi" w:cstheme="minorHAnsi"/>
        </w:rPr>
        <w:t>Health Professional</w:t>
      </w:r>
      <w:r w:rsidRPr="0008002F">
        <w:rPr>
          <w:rFonts w:asciiTheme="minorHAnsi" w:hAnsiTheme="minorHAnsi" w:cstheme="minorHAnsi"/>
        </w:rPr>
        <w:t xml:space="preserve"> can submit a proposal for the delivery of outreach health services in areas of need identified by the Fundholder.  </w:t>
      </w:r>
    </w:p>
    <w:p w14:paraId="1A4039EC" w14:textId="3482ED9C" w:rsidR="00BC508E" w:rsidRPr="0008002F" w:rsidRDefault="00BC508E" w:rsidP="00BC508E">
      <w:pPr>
        <w:rPr>
          <w:rFonts w:asciiTheme="minorHAnsi" w:hAnsiTheme="minorHAnsi" w:cstheme="minorHAnsi"/>
        </w:rPr>
      </w:pPr>
      <w:r w:rsidRPr="0008002F">
        <w:rPr>
          <w:rFonts w:asciiTheme="minorHAnsi" w:hAnsiTheme="minorHAnsi" w:cstheme="minorHAnsi"/>
        </w:rPr>
        <w:t xml:space="preserve">In areas where workforce availability is limited, </w:t>
      </w:r>
      <w:r w:rsidR="00EE26E2">
        <w:rPr>
          <w:rFonts w:asciiTheme="minorHAnsi" w:hAnsiTheme="minorHAnsi" w:cstheme="minorHAnsi"/>
        </w:rPr>
        <w:t>F</w:t>
      </w:r>
      <w:r w:rsidRPr="0008002F">
        <w:rPr>
          <w:rFonts w:asciiTheme="minorHAnsi" w:hAnsiTheme="minorHAnsi" w:cstheme="minorHAnsi"/>
        </w:rPr>
        <w:t xml:space="preserve">undholders should seek workforce from outside their jurisdiction. </w:t>
      </w:r>
    </w:p>
    <w:p w14:paraId="2CFAD6EC" w14:textId="48782CC5" w:rsidR="00BC508E" w:rsidRPr="0008002F" w:rsidRDefault="00BC508E" w:rsidP="00BC508E">
      <w:pPr>
        <w:rPr>
          <w:rFonts w:asciiTheme="minorHAnsi" w:hAnsiTheme="minorHAnsi" w:cstheme="minorHAnsi"/>
        </w:rPr>
      </w:pPr>
      <w:r w:rsidRPr="0008002F">
        <w:rPr>
          <w:rFonts w:asciiTheme="minorHAnsi" w:hAnsiTheme="minorHAnsi" w:cstheme="minorHAnsi"/>
        </w:rPr>
        <w:t xml:space="preserve">Fundholders are responsible </w:t>
      </w:r>
      <w:r>
        <w:rPr>
          <w:rFonts w:asciiTheme="minorHAnsi" w:hAnsiTheme="minorHAnsi" w:cstheme="minorHAnsi"/>
        </w:rPr>
        <w:t xml:space="preserve">for </w:t>
      </w:r>
      <w:r w:rsidRPr="0008002F">
        <w:rPr>
          <w:rFonts w:asciiTheme="minorHAnsi" w:hAnsiTheme="minorHAnsi" w:cstheme="minorHAnsi"/>
        </w:rPr>
        <w:t xml:space="preserve">promoting </w:t>
      </w:r>
      <w:r w:rsidR="00EE26E2">
        <w:rPr>
          <w:rFonts w:asciiTheme="minorHAnsi" w:hAnsiTheme="minorHAnsi" w:cstheme="minorHAnsi"/>
        </w:rPr>
        <w:t>O</w:t>
      </w:r>
      <w:r w:rsidRPr="0008002F">
        <w:rPr>
          <w:rFonts w:asciiTheme="minorHAnsi" w:hAnsiTheme="minorHAnsi" w:cstheme="minorHAnsi"/>
        </w:rPr>
        <w:t xml:space="preserve">utreach </w:t>
      </w:r>
      <w:r w:rsidR="00EE26E2">
        <w:rPr>
          <w:rFonts w:asciiTheme="minorHAnsi" w:hAnsiTheme="minorHAnsi" w:cstheme="minorHAnsi"/>
        </w:rPr>
        <w:t>P</w:t>
      </w:r>
      <w:r w:rsidRPr="0008002F">
        <w:rPr>
          <w:rFonts w:asciiTheme="minorHAnsi" w:hAnsiTheme="minorHAnsi" w:cstheme="minorHAnsi"/>
        </w:rPr>
        <w:t>rograms, seeking proposals</w:t>
      </w:r>
      <w:r>
        <w:rPr>
          <w:rFonts w:asciiTheme="minorHAnsi" w:hAnsiTheme="minorHAnsi" w:cstheme="minorHAnsi"/>
        </w:rPr>
        <w:t>,</w:t>
      </w:r>
      <w:r w:rsidRPr="0008002F">
        <w:rPr>
          <w:rFonts w:asciiTheme="minorHAnsi" w:hAnsiTheme="minorHAnsi" w:cstheme="minorHAnsi"/>
        </w:rPr>
        <w:t xml:space="preserve"> and informing applicants of the outcome of their proposal. </w:t>
      </w:r>
    </w:p>
    <w:p w14:paraId="2E13DA73" w14:textId="1142BBC1" w:rsidR="00BC508E" w:rsidRPr="00B8406B" w:rsidRDefault="00BC508E" w:rsidP="003B7C78">
      <w:pPr>
        <w:pStyle w:val="Heading2"/>
      </w:pPr>
      <w:bookmarkStart w:id="47" w:name="_Toc49331736"/>
      <w:bookmarkStart w:id="48" w:name="_Toc164328328"/>
      <w:bookmarkStart w:id="49" w:name="_Toc164328430"/>
      <w:r w:rsidRPr="00B8406B">
        <w:t>How proposals should be assessed</w:t>
      </w:r>
      <w:bookmarkEnd w:id="47"/>
      <w:bookmarkEnd w:id="48"/>
      <w:bookmarkEnd w:id="49"/>
      <w:r w:rsidRPr="00B8406B">
        <w:t xml:space="preserve"> </w:t>
      </w:r>
    </w:p>
    <w:p w14:paraId="4AB048E4" w14:textId="77777777" w:rsidR="00BC508E" w:rsidRPr="0008002F" w:rsidRDefault="00BC508E" w:rsidP="00BC508E">
      <w:pPr>
        <w:rPr>
          <w:rFonts w:asciiTheme="minorHAnsi" w:hAnsiTheme="minorHAnsi" w:cstheme="minorHAnsi"/>
        </w:rPr>
      </w:pPr>
      <w:r w:rsidRPr="0008002F">
        <w:rPr>
          <w:rFonts w:asciiTheme="minorHAnsi" w:hAnsiTheme="minorHAnsi" w:cstheme="minorHAnsi"/>
        </w:rPr>
        <w:t xml:space="preserve">The Service Matrix scorecard at Attachment </w:t>
      </w:r>
      <w:r>
        <w:rPr>
          <w:rFonts w:asciiTheme="minorHAnsi" w:hAnsiTheme="minorHAnsi" w:cstheme="minorHAnsi"/>
        </w:rPr>
        <w:t>A</w:t>
      </w:r>
      <w:r w:rsidRPr="0008002F">
        <w:rPr>
          <w:rFonts w:asciiTheme="minorHAnsi" w:hAnsiTheme="minorHAnsi" w:cstheme="minorHAnsi"/>
        </w:rPr>
        <w:t xml:space="preserve"> can be used as a guide to identify service proposals that address areas of greatest need. Key considerations include that the service proposal:</w:t>
      </w:r>
    </w:p>
    <w:p w14:paraId="67E927DF" w14:textId="03EA80C7" w:rsidR="00BC508E" w:rsidRPr="00095DBD" w:rsidRDefault="00BC508E" w:rsidP="00B65018">
      <w:pPr>
        <w:pStyle w:val="ListBullet"/>
      </w:pPr>
      <w:r w:rsidRPr="00095DBD">
        <w:t>is in line with the aim and objectives of the relevant Outreach Program</w:t>
      </w:r>
      <w:r w:rsidR="002149C0">
        <w:t>;</w:t>
      </w:r>
    </w:p>
    <w:p w14:paraId="76AB7611" w14:textId="565B0BFD" w:rsidR="00BC508E" w:rsidRPr="00095DBD" w:rsidRDefault="00BC508E" w:rsidP="00B65018">
      <w:pPr>
        <w:pStyle w:val="ListBullet"/>
      </w:pPr>
      <w:r w:rsidRPr="00095DBD">
        <w:t>addresses high community need for the service</w:t>
      </w:r>
      <w:r w:rsidR="002149C0">
        <w:t>;</w:t>
      </w:r>
    </w:p>
    <w:p w14:paraId="51B9973B" w14:textId="793C1B27" w:rsidR="00F56747" w:rsidRPr="00095DBD" w:rsidRDefault="00F56747" w:rsidP="00B65018">
      <w:pPr>
        <w:pStyle w:val="ListBullet"/>
      </w:pPr>
      <w:r w:rsidRPr="00095DBD">
        <w:t>demonstrates cultural appropriateness</w:t>
      </w:r>
      <w:r w:rsidR="002149C0">
        <w:t>;</w:t>
      </w:r>
    </w:p>
    <w:p w14:paraId="2ADD6522" w14:textId="11EAA99F" w:rsidR="00BC508E" w:rsidRPr="00095DBD" w:rsidRDefault="00BC508E" w:rsidP="00B65018">
      <w:pPr>
        <w:pStyle w:val="ListBullet"/>
      </w:pPr>
      <w:r>
        <w:t>complement</w:t>
      </w:r>
      <w:r w:rsidR="008049C7">
        <w:t>s</w:t>
      </w:r>
      <w:r>
        <w:t xml:space="preserve"> existing service levels or </w:t>
      </w:r>
      <w:r w:rsidRPr="00095DBD">
        <w:t>addresses a shortfall or gap within the community</w:t>
      </w:r>
      <w:r w:rsidR="002149C0">
        <w:t>;</w:t>
      </w:r>
    </w:p>
    <w:p w14:paraId="0A7DA60B" w14:textId="7279F560" w:rsidR="00BC508E" w:rsidRPr="00095DBD" w:rsidRDefault="00BC508E" w:rsidP="00B65018">
      <w:pPr>
        <w:pStyle w:val="ListBullet"/>
      </w:pPr>
      <w:r>
        <w:t>take</w:t>
      </w:r>
      <w:r w:rsidR="008049C7">
        <w:t>s</w:t>
      </w:r>
      <w:r>
        <w:t xml:space="preserve"> account of</w:t>
      </w:r>
      <w:r w:rsidRPr="00095DBD">
        <w:t xml:space="preserve"> local workforce and infrastructure that will support the service</w:t>
      </w:r>
      <w:r w:rsidR="002149C0">
        <w:t>;</w:t>
      </w:r>
    </w:p>
    <w:p w14:paraId="11579B90" w14:textId="4BC7620E" w:rsidR="00BC508E" w:rsidRPr="00095DBD" w:rsidRDefault="00BC508E" w:rsidP="00B65018">
      <w:pPr>
        <w:pStyle w:val="ListBullet"/>
      </w:pPr>
      <w:r w:rsidRPr="00095DBD">
        <w:lastRenderedPageBreak/>
        <w:t>links with other State, Territory or Australian Government health programs</w:t>
      </w:r>
      <w:r w:rsidR="002149C0">
        <w:t>;</w:t>
      </w:r>
    </w:p>
    <w:p w14:paraId="68F79331" w14:textId="3B09886E" w:rsidR="00BC508E" w:rsidRPr="00095DBD" w:rsidRDefault="00BC508E" w:rsidP="00B65018">
      <w:pPr>
        <w:pStyle w:val="ListBullet"/>
      </w:pPr>
      <w:r w:rsidRPr="00095DBD">
        <w:t>offers bulk billing</w:t>
      </w:r>
      <w:r w:rsidR="002149C0">
        <w:t>;</w:t>
      </w:r>
    </w:p>
    <w:p w14:paraId="500F38B9" w14:textId="77C3B987" w:rsidR="00BC508E" w:rsidRPr="00095DBD" w:rsidRDefault="00BC508E" w:rsidP="00B65018">
      <w:pPr>
        <w:pStyle w:val="ListBullet"/>
      </w:pPr>
      <w:r w:rsidRPr="00095DBD">
        <w:t>demonstrates value for money when compared with other potential similar services</w:t>
      </w:r>
      <w:r w:rsidR="002149C0">
        <w:t>.</w:t>
      </w:r>
    </w:p>
    <w:p w14:paraId="72FFF3E3" w14:textId="0BF7D383" w:rsidR="00BC508E" w:rsidRPr="00B8406B" w:rsidRDefault="00BC508E" w:rsidP="003B7C78">
      <w:pPr>
        <w:pStyle w:val="Heading2"/>
      </w:pPr>
      <w:bookmarkStart w:id="50" w:name="_Toc49331737"/>
      <w:bookmarkStart w:id="51" w:name="_Toc164328329"/>
      <w:bookmarkStart w:id="52" w:name="_Toc164328431"/>
      <w:r w:rsidRPr="00B8406B">
        <w:t>Models of care</w:t>
      </w:r>
      <w:bookmarkEnd w:id="50"/>
      <w:bookmarkEnd w:id="51"/>
      <w:bookmarkEnd w:id="52"/>
      <w:r w:rsidRPr="00B8406B">
        <w:t xml:space="preserve"> </w:t>
      </w:r>
    </w:p>
    <w:p w14:paraId="603C2DC5" w14:textId="18B86422" w:rsidR="00BC508E" w:rsidRPr="0008002F" w:rsidRDefault="00BC508E" w:rsidP="00BC508E">
      <w:pPr>
        <w:rPr>
          <w:rFonts w:asciiTheme="minorHAnsi" w:hAnsiTheme="minorHAnsi" w:cstheme="minorHAnsi"/>
        </w:rPr>
      </w:pPr>
      <w:r w:rsidRPr="0008002F">
        <w:rPr>
          <w:rFonts w:asciiTheme="minorHAnsi" w:hAnsiTheme="minorHAnsi" w:cstheme="minorHAnsi"/>
        </w:rPr>
        <w:t>A range of flexible outreach service delivery models may be used, such as</w:t>
      </w:r>
      <w:r w:rsidR="00E53738">
        <w:rPr>
          <w:rFonts w:asciiTheme="minorHAnsi" w:hAnsiTheme="minorHAnsi" w:cstheme="minorHAnsi"/>
        </w:rPr>
        <w:t>:</w:t>
      </w:r>
    </w:p>
    <w:p w14:paraId="7FB4C464" w14:textId="77777777" w:rsidR="00BC508E" w:rsidRPr="0008002F" w:rsidRDefault="00BC508E" w:rsidP="00BC508E">
      <w:pPr>
        <w:rPr>
          <w:rFonts w:asciiTheme="minorHAnsi" w:hAnsiTheme="minorHAnsi" w:cstheme="minorHAnsi"/>
        </w:rPr>
      </w:pPr>
      <w:bookmarkStart w:id="53" w:name="_Toc244322158"/>
      <w:bookmarkStart w:id="54" w:name="_Toc246999941"/>
      <w:bookmarkStart w:id="55" w:name="_Toc247353966"/>
      <w:r w:rsidRPr="00260274">
        <w:rPr>
          <w:rStyle w:val="Strong"/>
        </w:rPr>
        <w:t>Individual Outreach</w:t>
      </w:r>
      <w:bookmarkEnd w:id="53"/>
      <w:bookmarkEnd w:id="54"/>
      <w:bookmarkEnd w:id="55"/>
      <w:r w:rsidRPr="0008002F">
        <w:rPr>
          <w:rFonts w:asciiTheme="minorHAnsi" w:hAnsiTheme="minorHAnsi" w:cstheme="minorHAnsi"/>
        </w:rPr>
        <w:t xml:space="preserve">: service provision provided to eligible communities by </w:t>
      </w:r>
      <w:r>
        <w:rPr>
          <w:rFonts w:asciiTheme="minorHAnsi" w:hAnsiTheme="minorHAnsi" w:cstheme="minorHAnsi"/>
        </w:rPr>
        <w:t xml:space="preserve">Health Professionals </w:t>
      </w:r>
      <w:r w:rsidRPr="0008002F">
        <w:rPr>
          <w:rFonts w:asciiTheme="minorHAnsi" w:hAnsiTheme="minorHAnsi" w:cstheme="minorHAnsi"/>
        </w:rPr>
        <w:t>travelling to these locations from a larger town/city.</w:t>
      </w:r>
    </w:p>
    <w:p w14:paraId="54DF2AC3" w14:textId="2AB15A85" w:rsidR="00BC508E" w:rsidRPr="0008002F" w:rsidRDefault="00BC508E" w:rsidP="00BC508E">
      <w:pPr>
        <w:rPr>
          <w:rFonts w:asciiTheme="minorHAnsi" w:hAnsiTheme="minorHAnsi" w:cstheme="minorHAnsi"/>
        </w:rPr>
      </w:pPr>
      <w:bookmarkStart w:id="56" w:name="_Toc244322159"/>
      <w:bookmarkStart w:id="57" w:name="_Toc246999942"/>
      <w:bookmarkStart w:id="58" w:name="_Toc247353967"/>
      <w:r w:rsidRPr="00260274">
        <w:rPr>
          <w:rStyle w:val="Strong"/>
        </w:rPr>
        <w:t>Cluster</w:t>
      </w:r>
      <w:bookmarkEnd w:id="56"/>
      <w:bookmarkEnd w:id="57"/>
      <w:bookmarkEnd w:id="58"/>
      <w:r w:rsidRPr="0008002F">
        <w:rPr>
          <w:rFonts w:asciiTheme="minorHAnsi" w:hAnsiTheme="minorHAnsi" w:cstheme="minorHAnsi"/>
        </w:rPr>
        <w:t xml:space="preserve">: service provision to multiple communities from a variety of </w:t>
      </w:r>
      <w:r>
        <w:rPr>
          <w:rFonts w:asciiTheme="minorHAnsi" w:hAnsiTheme="minorHAnsi" w:cstheme="minorHAnsi"/>
        </w:rPr>
        <w:t>Health Professional</w:t>
      </w:r>
      <w:r w:rsidRPr="0008002F">
        <w:rPr>
          <w:rFonts w:asciiTheme="minorHAnsi" w:hAnsiTheme="minorHAnsi" w:cstheme="minorHAnsi"/>
        </w:rPr>
        <w:t>s located in different communities within the cluster. Coordination is paramount in this model to ensure a united approach to care.</w:t>
      </w:r>
    </w:p>
    <w:p w14:paraId="10784D30" w14:textId="69441CEA" w:rsidR="00BC508E" w:rsidRPr="0008002F" w:rsidRDefault="00BC508E" w:rsidP="00BC508E">
      <w:pPr>
        <w:rPr>
          <w:rFonts w:asciiTheme="minorHAnsi" w:hAnsiTheme="minorHAnsi" w:cstheme="minorHAnsi"/>
        </w:rPr>
      </w:pPr>
      <w:bookmarkStart w:id="59" w:name="_Toc244322160"/>
      <w:bookmarkStart w:id="60" w:name="_Toc246999943"/>
      <w:bookmarkStart w:id="61" w:name="_Toc247353968"/>
      <w:r w:rsidRPr="00260274">
        <w:rPr>
          <w:rStyle w:val="Strong"/>
        </w:rPr>
        <w:t>Hub and spoke</w:t>
      </w:r>
      <w:bookmarkEnd w:id="59"/>
      <w:bookmarkEnd w:id="60"/>
      <w:bookmarkEnd w:id="61"/>
      <w:r w:rsidRPr="0008002F">
        <w:rPr>
          <w:rFonts w:asciiTheme="minorHAnsi" w:hAnsiTheme="minorHAnsi" w:cstheme="minorHAnsi"/>
        </w:rPr>
        <w:t xml:space="preserve">: service provision provided both in a central town and the </w:t>
      </w:r>
      <w:r>
        <w:rPr>
          <w:rFonts w:asciiTheme="minorHAnsi" w:hAnsiTheme="minorHAnsi" w:cstheme="minorHAnsi"/>
        </w:rPr>
        <w:t>Health Professional</w:t>
      </w:r>
      <w:r w:rsidRPr="0008002F">
        <w:rPr>
          <w:rFonts w:asciiTheme="minorHAnsi" w:hAnsiTheme="minorHAnsi" w:cstheme="minorHAnsi"/>
        </w:rPr>
        <w:t>s travelling to remote communities.</w:t>
      </w:r>
    </w:p>
    <w:p w14:paraId="7235F5D0" w14:textId="77777777" w:rsidR="00BC508E" w:rsidRDefault="00BC508E" w:rsidP="00BC508E">
      <w:pPr>
        <w:rPr>
          <w:rFonts w:asciiTheme="minorHAnsi" w:hAnsiTheme="minorHAnsi" w:cstheme="minorHAnsi"/>
        </w:rPr>
      </w:pPr>
      <w:r w:rsidRPr="00260274">
        <w:rPr>
          <w:rStyle w:val="Strong"/>
        </w:rPr>
        <w:t>Telehealth</w:t>
      </w:r>
      <w:r w:rsidRPr="00010A2E">
        <w:rPr>
          <w:rFonts w:asciiTheme="minorHAnsi" w:hAnsiTheme="minorHAnsi" w:cstheme="minorHAnsi"/>
        </w:rPr>
        <w:t xml:space="preserve">: </w:t>
      </w:r>
      <w:r w:rsidRPr="0008002F">
        <w:rPr>
          <w:rFonts w:asciiTheme="minorHAnsi" w:hAnsiTheme="minorHAnsi" w:cstheme="minorHAnsi"/>
        </w:rPr>
        <w:t xml:space="preserve">service provision provided </w:t>
      </w:r>
      <w:r>
        <w:rPr>
          <w:rFonts w:asciiTheme="minorHAnsi" w:hAnsiTheme="minorHAnsi" w:cstheme="minorHAnsi"/>
        </w:rPr>
        <w:t xml:space="preserve">through </w:t>
      </w:r>
      <w:r w:rsidRPr="002A1DB9">
        <w:rPr>
          <w:rFonts w:asciiTheme="minorHAnsi" w:hAnsiTheme="minorHAnsi" w:cstheme="minorHAnsi"/>
        </w:rPr>
        <w:t xml:space="preserve">telecommunication technologies to exchange health information and provide health care services across geographic, time, social and cultural barriers. </w:t>
      </w:r>
    </w:p>
    <w:p w14:paraId="5B70EBDC" w14:textId="482995DB" w:rsidR="00C669B8" w:rsidRPr="00D818B5" w:rsidRDefault="00BC508E" w:rsidP="00BC508E">
      <w:pPr>
        <w:rPr>
          <w:rFonts w:asciiTheme="minorHAnsi" w:hAnsiTheme="minorHAnsi" w:cstheme="minorHAnsi"/>
        </w:rPr>
      </w:pPr>
      <w:r w:rsidRPr="00D818B5">
        <w:rPr>
          <w:rFonts w:asciiTheme="minorHAnsi" w:hAnsiTheme="minorHAnsi" w:cstheme="minorHAnsi"/>
        </w:rPr>
        <w:t>Where feasible, a multidisciplinary team approach is the recommended service model to increase efficiencies. All services should be coordinated to ensure effective care pathways for patients.</w:t>
      </w:r>
    </w:p>
    <w:p w14:paraId="229231BA" w14:textId="1BFE797D" w:rsidR="00BC508E" w:rsidRPr="00D818B5" w:rsidRDefault="00BC508E" w:rsidP="00BC508E">
      <w:pPr>
        <w:rPr>
          <w:rFonts w:asciiTheme="minorHAnsi" w:hAnsiTheme="minorHAnsi" w:cstheme="minorHAnsi"/>
        </w:rPr>
      </w:pPr>
      <w:r w:rsidRPr="00D818B5">
        <w:rPr>
          <w:rFonts w:asciiTheme="minorHAnsi" w:hAnsiTheme="minorHAnsi" w:cstheme="minorHAnsi"/>
        </w:rPr>
        <w:t xml:space="preserve">Outreach </w:t>
      </w:r>
      <w:r>
        <w:rPr>
          <w:rFonts w:asciiTheme="minorHAnsi" w:hAnsiTheme="minorHAnsi" w:cstheme="minorHAnsi"/>
        </w:rPr>
        <w:t>Health Professional</w:t>
      </w:r>
      <w:r w:rsidRPr="00D818B5">
        <w:rPr>
          <w:rFonts w:asciiTheme="minorHAnsi" w:hAnsiTheme="minorHAnsi" w:cstheme="minorHAnsi"/>
        </w:rPr>
        <w:t xml:space="preserve">s must work with the local health service to embed their service delivery in existing structures including, but not limited to, the patient information and recall system used by the </w:t>
      </w:r>
      <w:r w:rsidR="00F56747">
        <w:rPr>
          <w:rFonts w:asciiTheme="minorHAnsi" w:hAnsiTheme="minorHAnsi" w:cstheme="minorHAnsi"/>
        </w:rPr>
        <w:t>health service</w:t>
      </w:r>
      <w:r w:rsidRPr="00D818B5">
        <w:rPr>
          <w:rFonts w:asciiTheme="minorHAnsi" w:hAnsiTheme="minorHAnsi" w:cstheme="minorHAnsi"/>
        </w:rPr>
        <w:t>.</w:t>
      </w:r>
    </w:p>
    <w:p w14:paraId="5D8A6956" w14:textId="77777777" w:rsidR="00BC508E" w:rsidRPr="0008002F" w:rsidRDefault="00BC508E" w:rsidP="00BC508E">
      <w:pPr>
        <w:rPr>
          <w:rFonts w:asciiTheme="minorHAnsi" w:hAnsiTheme="minorHAnsi" w:cstheme="minorHAnsi"/>
        </w:rPr>
      </w:pPr>
      <w:r w:rsidRPr="0008002F">
        <w:rPr>
          <w:rFonts w:asciiTheme="minorHAnsi" w:hAnsiTheme="minorHAnsi" w:cstheme="minorHAnsi"/>
        </w:rPr>
        <w:t xml:space="preserve">Issues relating to the coordination and continuity of care of patients, sequencing of visits, managing the impact on the community and costs related to travel must be considered when planning services. </w:t>
      </w:r>
    </w:p>
    <w:p w14:paraId="21F7EDFF" w14:textId="0DA51462" w:rsidR="00BC508E" w:rsidRPr="00B8406B" w:rsidRDefault="00BC508E" w:rsidP="003B7C78">
      <w:pPr>
        <w:pStyle w:val="Heading2"/>
      </w:pPr>
      <w:bookmarkStart w:id="62" w:name="_Toc49331738"/>
      <w:bookmarkStart w:id="63" w:name="_Toc164328330"/>
      <w:bookmarkStart w:id="64" w:name="_Toc164328432"/>
      <w:r w:rsidRPr="00B8406B">
        <w:t xml:space="preserve">Eligible </w:t>
      </w:r>
      <w:r w:rsidR="00DC13D3" w:rsidRPr="00B8406B">
        <w:t>l</w:t>
      </w:r>
      <w:r w:rsidRPr="00B8406B">
        <w:t>ocations</w:t>
      </w:r>
      <w:bookmarkEnd w:id="62"/>
      <w:bookmarkEnd w:id="63"/>
      <w:bookmarkEnd w:id="64"/>
    </w:p>
    <w:p w14:paraId="3F721CBD" w14:textId="4D05E0A2" w:rsidR="00BC508E" w:rsidRPr="0008002F" w:rsidRDefault="00BC508E" w:rsidP="00BC508E">
      <w:pPr>
        <w:rPr>
          <w:rFonts w:asciiTheme="minorHAnsi" w:hAnsiTheme="minorHAnsi" w:cstheme="minorHAnsi"/>
        </w:rPr>
      </w:pPr>
      <w:r w:rsidRPr="0008002F">
        <w:rPr>
          <w:rFonts w:asciiTheme="minorHAnsi" w:hAnsiTheme="minorHAnsi" w:cstheme="minorHAnsi"/>
        </w:rPr>
        <w:t>The Department uses the Modified Monash</w:t>
      </w:r>
      <w:r w:rsidR="00A439F1">
        <w:rPr>
          <w:rFonts w:asciiTheme="minorHAnsi" w:hAnsiTheme="minorHAnsi" w:cstheme="minorHAnsi"/>
        </w:rPr>
        <w:t xml:space="preserve"> (MM)</w:t>
      </w:r>
      <w:r w:rsidRPr="0008002F">
        <w:rPr>
          <w:rFonts w:asciiTheme="minorHAnsi" w:hAnsiTheme="minorHAnsi" w:cstheme="minorHAnsi"/>
        </w:rPr>
        <w:t xml:space="preserve"> Model classification system for service locations across Australia. A map detailing the different MM classifications can be found on the </w:t>
      </w:r>
      <w:hyperlink r:id="rId20" w:history="1">
        <w:r w:rsidRPr="0008002F">
          <w:rPr>
            <w:rStyle w:val="Hyperlink"/>
            <w:rFonts w:asciiTheme="minorHAnsi" w:hAnsiTheme="minorHAnsi" w:cstheme="minorHAnsi"/>
          </w:rPr>
          <w:t>Doctor Connect website</w:t>
        </w:r>
      </w:hyperlink>
      <w:r w:rsidRPr="00260274">
        <w:rPr>
          <w:rStyle w:val="Emphasis"/>
        </w:rPr>
        <w:t xml:space="preserve">. </w:t>
      </w:r>
      <w:r w:rsidRPr="0008002F">
        <w:rPr>
          <w:rFonts w:asciiTheme="minorHAnsi" w:hAnsiTheme="minorHAnsi" w:cstheme="minorHAnsi"/>
        </w:rPr>
        <w:t xml:space="preserve">Whilst MM3 - MM7 locations are to be prioritised </w:t>
      </w:r>
      <w:r>
        <w:rPr>
          <w:rFonts w:asciiTheme="minorHAnsi" w:hAnsiTheme="minorHAnsi" w:cstheme="minorHAnsi"/>
        </w:rPr>
        <w:t>for</w:t>
      </w:r>
      <w:r w:rsidRPr="0008002F">
        <w:rPr>
          <w:rFonts w:asciiTheme="minorHAnsi" w:hAnsiTheme="minorHAnsi" w:cstheme="minorHAnsi"/>
        </w:rPr>
        <w:t xml:space="preserve"> some Outreach Programs, others allow for services in MM1 and MM2 locations. </w:t>
      </w:r>
      <w:r w:rsidR="00AF73C6">
        <w:rPr>
          <w:rFonts w:asciiTheme="minorHAnsi" w:hAnsiTheme="minorHAnsi" w:cstheme="minorHAnsi"/>
        </w:rPr>
        <w:t xml:space="preserve">Please refer to Section 1 of this document </w:t>
      </w:r>
      <w:r w:rsidRPr="0008002F">
        <w:rPr>
          <w:rFonts w:asciiTheme="minorHAnsi" w:hAnsiTheme="minorHAnsi" w:cstheme="minorHAnsi"/>
        </w:rPr>
        <w:t>for individual program specifications.</w:t>
      </w:r>
    </w:p>
    <w:p w14:paraId="679CA9B6" w14:textId="376D372B" w:rsidR="00512E81" w:rsidRDefault="00BC508E" w:rsidP="00BC508E">
      <w:pPr>
        <w:rPr>
          <w:rFonts w:asciiTheme="minorHAnsi" w:hAnsiTheme="minorHAnsi" w:cstheme="minorHAnsi"/>
        </w:rPr>
      </w:pPr>
      <w:r w:rsidRPr="0008002F">
        <w:rPr>
          <w:rFonts w:asciiTheme="minorHAnsi" w:hAnsiTheme="minorHAnsi" w:cstheme="minorHAnsi"/>
        </w:rPr>
        <w:t>Fundholders from different jurisdictions may work together to fund and provide services across State and Territory boundaries</w:t>
      </w:r>
      <w:r w:rsidR="00F951D8">
        <w:rPr>
          <w:rFonts w:asciiTheme="minorHAnsi" w:hAnsiTheme="minorHAnsi" w:cstheme="minorHAnsi"/>
        </w:rPr>
        <w:t>, where appropriate</w:t>
      </w:r>
      <w:r>
        <w:rPr>
          <w:rFonts w:asciiTheme="minorHAnsi" w:hAnsiTheme="minorHAnsi" w:cstheme="minorHAnsi"/>
        </w:rPr>
        <w:t>.</w:t>
      </w:r>
    </w:p>
    <w:p w14:paraId="1023986A" w14:textId="77653B1B" w:rsidR="00512E81" w:rsidRPr="005308FB" w:rsidRDefault="005308FB" w:rsidP="00C7539A">
      <w:pPr>
        <w:pStyle w:val="Heading3"/>
      </w:pPr>
      <w:bookmarkStart w:id="65" w:name="_Toc164328331"/>
      <w:bookmarkStart w:id="66" w:name="_Toc164328433"/>
      <w:r>
        <w:t xml:space="preserve">VOS </w:t>
      </w:r>
      <w:r w:rsidR="00DC13D3">
        <w:t>p</w:t>
      </w:r>
      <w:r w:rsidRPr="005308FB">
        <w:t>atients in MM1</w:t>
      </w:r>
      <w:r w:rsidR="00512E81" w:rsidRPr="005308FB">
        <w:t xml:space="preserve"> </w:t>
      </w:r>
      <w:r w:rsidR="00DC13D3">
        <w:t>l</w:t>
      </w:r>
      <w:r w:rsidR="00512E81" w:rsidRPr="005308FB">
        <w:t>ocations</w:t>
      </w:r>
      <w:bookmarkEnd w:id="65"/>
      <w:bookmarkEnd w:id="66"/>
      <w:r w:rsidR="00512E81" w:rsidRPr="005308FB">
        <w:t xml:space="preserve"> </w:t>
      </w:r>
    </w:p>
    <w:p w14:paraId="1104C9E2" w14:textId="0199856E" w:rsidR="00512E81" w:rsidRPr="00B65018" w:rsidRDefault="00512E81" w:rsidP="00B65018">
      <w:r w:rsidRPr="00B65018">
        <w:t xml:space="preserve">In recognition of the need for culturally </w:t>
      </w:r>
      <w:r w:rsidR="000F4D9D" w:rsidRPr="00B65018">
        <w:t xml:space="preserve">safe </w:t>
      </w:r>
      <w:r w:rsidR="006F1434" w:rsidRPr="00B65018">
        <w:t xml:space="preserve">and responsive health care </w:t>
      </w:r>
      <w:r w:rsidRPr="00B65018">
        <w:t xml:space="preserve">services for </w:t>
      </w:r>
      <w:r w:rsidR="00037993" w:rsidRPr="00B65018">
        <w:t>First Nations</w:t>
      </w:r>
      <w:r w:rsidRPr="00B65018">
        <w:t xml:space="preserve"> people, VOS</w:t>
      </w:r>
      <w:r w:rsidR="00097922" w:rsidRPr="00B65018">
        <w:t xml:space="preserve"> </w:t>
      </w:r>
      <w:r w:rsidRPr="00B65018">
        <w:t xml:space="preserve">funded outreach services may be provided in major cities (MM1), provided that the service is delivered in an Aboriginal Medical Service, Aboriginal Community Controlled Health Organisation or other culturally safe/appropriate host organisation. </w:t>
      </w:r>
    </w:p>
    <w:p w14:paraId="7FC18F02" w14:textId="6E2F7084" w:rsidR="00512E81" w:rsidRPr="00B65018" w:rsidRDefault="00512E81" w:rsidP="00B65018">
      <w:r w:rsidRPr="00B65018">
        <w:t xml:space="preserve">Fundholders should also consider other options for providing culturally </w:t>
      </w:r>
      <w:r w:rsidR="006F1434" w:rsidRPr="00B65018">
        <w:t xml:space="preserve">safe and responsive health care </w:t>
      </w:r>
      <w:r w:rsidRPr="00B65018">
        <w:t xml:space="preserve">services for </w:t>
      </w:r>
      <w:r w:rsidR="00037993" w:rsidRPr="00B65018">
        <w:t>First Nations</w:t>
      </w:r>
      <w:r w:rsidRPr="00B65018">
        <w:t xml:space="preserve"> patients in MM1 locations. </w:t>
      </w:r>
    </w:p>
    <w:p w14:paraId="0859DE41" w14:textId="7AA82DEC" w:rsidR="00BC508E" w:rsidRPr="00B8406B" w:rsidRDefault="00BC508E" w:rsidP="003B7C78">
      <w:pPr>
        <w:pStyle w:val="Heading2"/>
      </w:pPr>
      <w:bookmarkStart w:id="67" w:name="_Toc164328332"/>
      <w:bookmarkStart w:id="68" w:name="_Toc164328434"/>
      <w:bookmarkStart w:id="69" w:name="_Toc49331739"/>
      <w:r w:rsidRPr="00B8406B">
        <w:t>Eligible Activities</w:t>
      </w:r>
      <w:bookmarkEnd w:id="67"/>
      <w:bookmarkEnd w:id="68"/>
      <w:r w:rsidRPr="00B8406B">
        <w:t xml:space="preserve"> </w:t>
      </w:r>
      <w:bookmarkEnd w:id="69"/>
    </w:p>
    <w:p w14:paraId="7AB01882" w14:textId="77777777" w:rsidR="00BC508E" w:rsidRPr="0008002F" w:rsidRDefault="00BC508E" w:rsidP="00BC508E">
      <w:pPr>
        <w:rPr>
          <w:rFonts w:asciiTheme="minorHAnsi" w:hAnsiTheme="minorHAnsi" w:cstheme="minorHAnsi"/>
        </w:rPr>
      </w:pPr>
      <w:r w:rsidRPr="0008002F">
        <w:rPr>
          <w:rFonts w:asciiTheme="minorHAnsi" w:hAnsiTheme="minorHAnsi" w:cstheme="minorHAnsi"/>
        </w:rPr>
        <w:t>In addition to provision of clinical services for patients, funding can be used for:</w:t>
      </w:r>
    </w:p>
    <w:p w14:paraId="50A93C92" w14:textId="4B27FF8F" w:rsidR="00BC508E" w:rsidRPr="00247219" w:rsidRDefault="00BC508E" w:rsidP="00B65018">
      <w:pPr>
        <w:pStyle w:val="ListBullet"/>
      </w:pPr>
      <w:r w:rsidRPr="0008002F">
        <w:t>coordination and administration of these services</w:t>
      </w:r>
    </w:p>
    <w:p w14:paraId="078584EF" w14:textId="5883E28C" w:rsidR="00BC508E" w:rsidRPr="00247219" w:rsidRDefault="00BC508E" w:rsidP="00B65018">
      <w:pPr>
        <w:pStyle w:val="ListBullet"/>
      </w:pPr>
      <w:r w:rsidRPr="0008002F">
        <w:t xml:space="preserve">travel costs, accommodation and meals/incidentals for visiting </w:t>
      </w:r>
      <w:r>
        <w:t>Health Professional</w:t>
      </w:r>
      <w:r w:rsidRPr="0008002F">
        <w:t>s</w:t>
      </w:r>
    </w:p>
    <w:p w14:paraId="28497AC6" w14:textId="5A70667F" w:rsidR="00BC508E" w:rsidRPr="00247219" w:rsidRDefault="00BC508E" w:rsidP="00B65018">
      <w:pPr>
        <w:pStyle w:val="ListBullet"/>
      </w:pPr>
      <w:r w:rsidRPr="0008002F">
        <w:t>equipment lease</w:t>
      </w:r>
    </w:p>
    <w:p w14:paraId="25F7CF61" w14:textId="2519002A" w:rsidR="00BC508E" w:rsidRPr="00247219" w:rsidRDefault="008049C7" w:rsidP="00B65018">
      <w:pPr>
        <w:pStyle w:val="ListBullet"/>
      </w:pPr>
      <w:r>
        <w:lastRenderedPageBreak/>
        <w:t xml:space="preserve">host </w:t>
      </w:r>
      <w:r w:rsidR="00BC508E" w:rsidRPr="0008002F">
        <w:t>facility fees</w:t>
      </w:r>
    </w:p>
    <w:p w14:paraId="2EDB80B9" w14:textId="5696E748" w:rsidR="00BC508E" w:rsidRPr="00247219" w:rsidRDefault="00BC508E" w:rsidP="00B65018">
      <w:pPr>
        <w:pStyle w:val="ListBullet"/>
      </w:pPr>
      <w:r w:rsidRPr="0008002F">
        <w:t>upskilling / training associated with the outreach visit</w:t>
      </w:r>
    </w:p>
    <w:p w14:paraId="35E613CC" w14:textId="76338780" w:rsidR="00BC508E" w:rsidRPr="00247219" w:rsidRDefault="00BC508E" w:rsidP="00B65018">
      <w:pPr>
        <w:pStyle w:val="ListBullet"/>
      </w:pPr>
      <w:r w:rsidRPr="0008002F">
        <w:t>cultural awareness training for non-salaried private providers</w:t>
      </w:r>
    </w:p>
    <w:p w14:paraId="569243BD" w14:textId="7349AA0B" w:rsidR="00BC508E" w:rsidRPr="00247219" w:rsidRDefault="00BC508E" w:rsidP="00B65018">
      <w:pPr>
        <w:pStyle w:val="ListBullet"/>
      </w:pPr>
      <w:r w:rsidRPr="0008002F">
        <w:t>orientation to communities</w:t>
      </w:r>
    </w:p>
    <w:p w14:paraId="443D8034" w14:textId="4CA1B92C" w:rsidR="00BC508E" w:rsidRPr="00247219" w:rsidRDefault="00BC508E" w:rsidP="00B65018">
      <w:pPr>
        <w:pStyle w:val="ListBullet"/>
      </w:pPr>
      <w:r w:rsidRPr="00737CD7">
        <w:t>professional support associated with outreach services</w:t>
      </w:r>
    </w:p>
    <w:p w14:paraId="46CF01A3" w14:textId="571318EA" w:rsidR="00F4524D" w:rsidRPr="00737CD7" w:rsidRDefault="00BC508E" w:rsidP="00B65018">
      <w:pPr>
        <w:pStyle w:val="ListBullet"/>
      </w:pPr>
      <w:r w:rsidRPr="00737CD7">
        <w:t>program administration costs for Fundholders</w:t>
      </w:r>
      <w:bookmarkStart w:id="70" w:name="_Toc247358241"/>
      <w:r w:rsidR="002149C0">
        <w:t xml:space="preserve"> (s</w:t>
      </w:r>
      <w:r w:rsidR="00737CD7" w:rsidRPr="00247219">
        <w:t>ee</w:t>
      </w:r>
      <w:r w:rsidR="00737CD7">
        <w:t xml:space="preserve"> </w:t>
      </w:r>
      <w:r w:rsidR="00737CD7" w:rsidRPr="008028FE">
        <w:t>Section 4.</w:t>
      </w:r>
      <w:r w:rsidR="007D37B1">
        <w:t>9</w:t>
      </w:r>
      <w:r w:rsidR="002149C0">
        <w:t>)</w:t>
      </w:r>
    </w:p>
    <w:p w14:paraId="7C9C192E" w14:textId="78C1DC96" w:rsidR="00BC508E" w:rsidRPr="0008002F" w:rsidRDefault="00BC508E" w:rsidP="00B65018">
      <w:pPr>
        <w:pStyle w:val="ListBullet"/>
      </w:pPr>
      <w:r w:rsidRPr="0008002F">
        <w:t>marketing</w:t>
      </w:r>
      <w:r w:rsidR="00BA6628">
        <w:t>, health promotion</w:t>
      </w:r>
      <w:r w:rsidRPr="0008002F">
        <w:t xml:space="preserve"> and activities to raise public awareness of outreach services</w:t>
      </w:r>
    </w:p>
    <w:p w14:paraId="0B7F042F" w14:textId="28A1FF8E" w:rsidR="00BC508E" w:rsidRPr="00247219" w:rsidRDefault="00BC508E" w:rsidP="00B65018">
      <w:pPr>
        <w:pStyle w:val="ListBullet"/>
      </w:pPr>
      <w:bookmarkStart w:id="71" w:name="_Toc517355951"/>
      <w:bookmarkStart w:id="72" w:name="_Toc517356658"/>
      <w:bookmarkStart w:id="73" w:name="_Toc517357266"/>
      <w:r w:rsidRPr="0008002F">
        <w:t xml:space="preserve">hospital services limited to surgical support services provided under the </w:t>
      </w:r>
      <w:bookmarkEnd w:id="71"/>
      <w:bookmarkEnd w:id="72"/>
      <w:bookmarkEnd w:id="73"/>
      <w:r w:rsidRPr="0008002F">
        <w:t>EESS program only</w:t>
      </w:r>
      <w:r w:rsidR="002149C0">
        <w:t xml:space="preserve"> (</w:t>
      </w:r>
      <w:r w:rsidRPr="0008002F">
        <w:t xml:space="preserve">Fundholders </w:t>
      </w:r>
      <w:r w:rsidR="00E22887">
        <w:t xml:space="preserve">should </w:t>
      </w:r>
      <w:r w:rsidRPr="0008002F">
        <w:t xml:space="preserve">refer to </w:t>
      </w:r>
      <w:r w:rsidR="00E22887">
        <w:t xml:space="preserve">their </w:t>
      </w:r>
      <w:r w:rsidRPr="0008002F">
        <w:t>Standard Grant Agreement for additional information on eligible EESS expenditure</w:t>
      </w:r>
      <w:r w:rsidR="002149C0">
        <w:t>)</w:t>
      </w:r>
    </w:p>
    <w:p w14:paraId="130FEFC7" w14:textId="4038516A" w:rsidR="00E06241" w:rsidRPr="00247219" w:rsidRDefault="009B4415" w:rsidP="00B65018">
      <w:pPr>
        <w:pStyle w:val="ListBullet"/>
      </w:pPr>
      <w:r w:rsidRPr="00247219">
        <w:t>insurance for Health Professionals to provide the outreach services</w:t>
      </w:r>
    </w:p>
    <w:p w14:paraId="0518B330" w14:textId="71285DBB" w:rsidR="00C16E25" w:rsidRPr="00247219" w:rsidRDefault="00C16E25" w:rsidP="00B65018">
      <w:pPr>
        <w:pStyle w:val="ListBullet"/>
      </w:pPr>
      <w:r w:rsidRPr="00247219">
        <w:t>development and implementation of patient experience markers, engagement (</w:t>
      </w:r>
      <w:r w:rsidR="00C7539A" w:rsidRPr="00247219">
        <w:t>e.g.,</w:t>
      </w:r>
      <w:r w:rsidRPr="00247219">
        <w:t xml:space="preserve"> infrastructure, yarning circles, outreach forums) and outcome measures (e</w:t>
      </w:r>
      <w:r w:rsidR="00C235E6" w:rsidRPr="00247219">
        <w:t>.g. surveys, focus groups, interviews)</w:t>
      </w:r>
      <w:r w:rsidR="009B4415" w:rsidRPr="00247219">
        <w:t>.</w:t>
      </w:r>
    </w:p>
    <w:p w14:paraId="360D3CCC" w14:textId="614DB586" w:rsidR="00F951D8" w:rsidRPr="00B65018" w:rsidRDefault="00F951D8" w:rsidP="00B65018">
      <w:r w:rsidRPr="00B65018">
        <w:t>Section 5 provides details on the types of expenses supported in these categories.</w:t>
      </w:r>
    </w:p>
    <w:p w14:paraId="7D39B3A3" w14:textId="44DB0C27" w:rsidR="00737CD7" w:rsidRPr="00B8406B" w:rsidRDefault="00737CD7" w:rsidP="003B7C78">
      <w:pPr>
        <w:pStyle w:val="Heading2"/>
      </w:pPr>
      <w:bookmarkStart w:id="74" w:name="_Toc164328333"/>
      <w:bookmarkStart w:id="75" w:name="_Toc164328435"/>
      <w:r w:rsidRPr="00B8406B">
        <w:t>Program administration costs for Fundholders</w:t>
      </w:r>
      <w:bookmarkEnd w:id="74"/>
      <w:bookmarkEnd w:id="75"/>
    </w:p>
    <w:p w14:paraId="1D2678AA" w14:textId="397E4C87" w:rsidR="00737CD7" w:rsidRPr="00260274" w:rsidRDefault="00737CD7" w:rsidP="00260274">
      <w:r w:rsidRPr="00260274">
        <w:t>The maximum allowable administration cost is 15% of the annual funding allocation. This can include, but is not limited to:</w:t>
      </w:r>
    </w:p>
    <w:p w14:paraId="5512D8BD" w14:textId="73447296" w:rsidR="006E0717" w:rsidRPr="00247219" w:rsidRDefault="006E0717" w:rsidP="00B65018">
      <w:pPr>
        <w:pStyle w:val="ListBullet"/>
      </w:pPr>
      <w:r w:rsidRPr="00247219">
        <w:t>salaries/wages and on-costs for administrative staff</w:t>
      </w:r>
    </w:p>
    <w:p w14:paraId="6BA83E0D" w14:textId="226E0F0F" w:rsidR="006E0717" w:rsidRPr="00247219" w:rsidRDefault="006E0717" w:rsidP="00B65018">
      <w:pPr>
        <w:pStyle w:val="ListBullet"/>
      </w:pPr>
      <w:r w:rsidRPr="00247219">
        <w:t>accounting/auditing fees</w:t>
      </w:r>
    </w:p>
    <w:p w14:paraId="6BA2B34F" w14:textId="23ECD0EA" w:rsidR="006E0717" w:rsidRPr="00247219" w:rsidRDefault="006E0717" w:rsidP="00B65018">
      <w:pPr>
        <w:pStyle w:val="ListBullet"/>
      </w:pPr>
      <w:r w:rsidRPr="00247219">
        <w:t>communications and IT</w:t>
      </w:r>
    </w:p>
    <w:p w14:paraId="52447C18" w14:textId="4F17748D" w:rsidR="006E0717" w:rsidRPr="00247219" w:rsidRDefault="006E0717" w:rsidP="00B65018">
      <w:pPr>
        <w:pStyle w:val="ListBullet"/>
      </w:pPr>
      <w:r w:rsidRPr="00247219">
        <w:t>utilities</w:t>
      </w:r>
    </w:p>
    <w:p w14:paraId="39F25862" w14:textId="51DF335E" w:rsidR="00737CD7" w:rsidRPr="00247219" w:rsidRDefault="00737CD7" w:rsidP="00B65018">
      <w:pPr>
        <w:pStyle w:val="ListBullet"/>
      </w:pPr>
      <w:r w:rsidRPr="00247219">
        <w:t>online planning</w:t>
      </w:r>
      <w:r w:rsidR="00EB600D" w:rsidRPr="00247219">
        <w:t>/administration</w:t>
      </w:r>
      <w:r w:rsidRPr="00247219">
        <w:t xml:space="preserve"> tools</w:t>
      </w:r>
    </w:p>
    <w:p w14:paraId="4C08F37B" w14:textId="7AC2776F" w:rsidR="004F3D53" w:rsidRPr="00247219" w:rsidRDefault="00D95B4A" w:rsidP="00B65018">
      <w:pPr>
        <w:pStyle w:val="ListBullet"/>
      </w:pPr>
      <w:r w:rsidRPr="00247219">
        <w:t>l</w:t>
      </w:r>
      <w:r w:rsidR="004F3D53" w:rsidRPr="00247219">
        <w:t xml:space="preserve">ogistics, practice management and scheduling software for the purpose of </w:t>
      </w:r>
      <w:r w:rsidR="00EE26E2" w:rsidRPr="00247219">
        <w:t>o</w:t>
      </w:r>
      <w:r w:rsidR="004F3D53" w:rsidRPr="00247219">
        <w:t>utreach services</w:t>
      </w:r>
    </w:p>
    <w:p w14:paraId="7B75F6A5" w14:textId="46EDFE15" w:rsidR="00742F12" w:rsidRPr="00247219" w:rsidRDefault="00742F12" w:rsidP="00B65018">
      <w:pPr>
        <w:pStyle w:val="ListBullet"/>
      </w:pPr>
      <w:r w:rsidRPr="00247219">
        <w:t xml:space="preserve">venue/room hire for education and upskilling events related to </w:t>
      </w:r>
      <w:r w:rsidR="00EE26E2" w:rsidRPr="00247219">
        <w:t>o</w:t>
      </w:r>
      <w:r w:rsidRPr="00247219">
        <w:t>utreach services.</w:t>
      </w:r>
    </w:p>
    <w:p w14:paraId="15B7F561" w14:textId="4CA5EFBA" w:rsidR="00CA69AE" w:rsidRPr="00260274" w:rsidRDefault="00EB758F" w:rsidP="00260274">
      <w:r w:rsidRPr="00260274">
        <w:t xml:space="preserve">This list is not exhaustive but aims to provide guidance around eligible administration costs. </w:t>
      </w:r>
      <w:r w:rsidR="00A260DA" w:rsidRPr="00260274">
        <w:t>Any queries should be directed to the Department.</w:t>
      </w:r>
    </w:p>
    <w:p w14:paraId="22D025F7" w14:textId="49DF7479" w:rsidR="00BC508E" w:rsidRPr="00B8406B" w:rsidRDefault="00BC508E" w:rsidP="003B7C78">
      <w:pPr>
        <w:pStyle w:val="Heading2"/>
      </w:pPr>
      <w:bookmarkStart w:id="76" w:name="_Toc49331740"/>
      <w:bookmarkStart w:id="77" w:name="_Toc164328334"/>
      <w:bookmarkStart w:id="78" w:name="_Toc164328436"/>
      <w:bookmarkEnd w:id="70"/>
      <w:r w:rsidRPr="00B8406B">
        <w:t xml:space="preserve">Ineligible </w:t>
      </w:r>
      <w:r w:rsidR="00DC13D3" w:rsidRPr="00B8406B">
        <w:t>a</w:t>
      </w:r>
      <w:r w:rsidRPr="00B8406B">
        <w:t>ctivities</w:t>
      </w:r>
      <w:bookmarkEnd w:id="76"/>
      <w:bookmarkEnd w:id="77"/>
      <w:bookmarkEnd w:id="78"/>
    </w:p>
    <w:p w14:paraId="264D32A0" w14:textId="26FAF1B6" w:rsidR="00BC508E" w:rsidRPr="0008002F" w:rsidRDefault="00BC508E" w:rsidP="00BC508E">
      <w:pPr>
        <w:rPr>
          <w:rFonts w:asciiTheme="minorHAnsi" w:hAnsiTheme="minorHAnsi" w:cstheme="minorHAnsi"/>
        </w:rPr>
      </w:pPr>
      <w:r w:rsidRPr="0008002F">
        <w:rPr>
          <w:rFonts w:asciiTheme="minorHAnsi" w:hAnsiTheme="minorHAnsi" w:cstheme="minorHAnsi"/>
        </w:rPr>
        <w:t xml:space="preserve">Funding </w:t>
      </w:r>
      <w:r w:rsidR="00F951D8">
        <w:rPr>
          <w:rFonts w:asciiTheme="minorHAnsi" w:hAnsiTheme="minorHAnsi" w:cstheme="minorHAnsi"/>
        </w:rPr>
        <w:t xml:space="preserve">may not be used </w:t>
      </w:r>
      <w:r w:rsidRPr="0008002F">
        <w:rPr>
          <w:rFonts w:asciiTheme="minorHAnsi" w:hAnsiTheme="minorHAnsi" w:cstheme="minorHAnsi"/>
        </w:rPr>
        <w:t>to support:</w:t>
      </w:r>
    </w:p>
    <w:p w14:paraId="7A9BD8F2" w14:textId="116CD8CF" w:rsidR="00BC508E" w:rsidRPr="0008002F" w:rsidRDefault="00BC508E" w:rsidP="00B65018">
      <w:pPr>
        <w:pStyle w:val="ListBullet"/>
      </w:pPr>
      <w:bookmarkStart w:id="79" w:name="_Toc517355943"/>
      <w:bookmarkStart w:id="80" w:name="_Toc517356650"/>
      <w:bookmarkStart w:id="81" w:name="_Toc517357258"/>
      <w:r w:rsidRPr="0008002F">
        <w:t xml:space="preserve">hospital services outside of those listed at </w:t>
      </w:r>
      <w:r w:rsidR="00F951D8" w:rsidRPr="008028FE">
        <w:t xml:space="preserve">Section </w:t>
      </w:r>
      <w:r w:rsidRPr="008028FE">
        <w:t>5.7</w:t>
      </w:r>
    </w:p>
    <w:p w14:paraId="47DEBE4A" w14:textId="17C63DDD" w:rsidR="00BC508E" w:rsidRPr="0008002F" w:rsidRDefault="00BC508E" w:rsidP="00B65018">
      <w:pPr>
        <w:pStyle w:val="ListBullet"/>
      </w:pPr>
      <w:bookmarkStart w:id="82" w:name="_Toc517355950"/>
      <w:bookmarkStart w:id="83" w:name="_Toc517356657"/>
      <w:bookmarkStart w:id="84" w:name="_Toc517357265"/>
      <w:r w:rsidRPr="0008002F">
        <w:t xml:space="preserve">salaries for </w:t>
      </w:r>
      <w:r>
        <w:t xml:space="preserve">Health </w:t>
      </w:r>
      <w:r w:rsidRPr="00B53F8F">
        <w:t>Professionals</w:t>
      </w:r>
      <w:bookmarkEnd w:id="82"/>
      <w:bookmarkEnd w:id="83"/>
      <w:bookmarkEnd w:id="84"/>
      <w:r w:rsidRPr="00B53F8F">
        <w:t xml:space="preserve"> (other than </w:t>
      </w:r>
      <w:r>
        <w:t xml:space="preserve">the </w:t>
      </w:r>
      <w:r w:rsidRPr="00B53F8F">
        <w:t xml:space="preserve">support payment arrangements outlined at </w:t>
      </w:r>
      <w:r w:rsidRPr="00247219">
        <w:t>Section</w:t>
      </w:r>
      <w:r w:rsidR="00F951D8" w:rsidRPr="00247219">
        <w:t> </w:t>
      </w:r>
      <w:r w:rsidRPr="00247219">
        <w:t>5</w:t>
      </w:r>
      <w:r w:rsidR="00F951D8" w:rsidRPr="00247219">
        <w:t>.8</w:t>
      </w:r>
      <w:r w:rsidRPr="00B53F8F">
        <w:t>)</w:t>
      </w:r>
    </w:p>
    <w:p w14:paraId="4736F8D2" w14:textId="2B4017C2" w:rsidR="00BC508E" w:rsidRPr="0008002F" w:rsidRDefault="00BC508E" w:rsidP="00B65018">
      <w:pPr>
        <w:pStyle w:val="ListBullet"/>
      </w:pPr>
      <w:r w:rsidRPr="0008002F">
        <w:t>elective cosmetic surgery</w:t>
      </w:r>
      <w:bookmarkEnd w:id="79"/>
      <w:bookmarkEnd w:id="80"/>
      <w:bookmarkEnd w:id="81"/>
    </w:p>
    <w:p w14:paraId="22F46543" w14:textId="7F799B67" w:rsidR="00BC508E" w:rsidRPr="0008002F" w:rsidRDefault="00BC508E" w:rsidP="00B65018">
      <w:pPr>
        <w:pStyle w:val="ListBullet"/>
      </w:pPr>
      <w:bookmarkStart w:id="85" w:name="_Toc517355944"/>
      <w:bookmarkStart w:id="86" w:name="_Toc517356651"/>
      <w:bookmarkStart w:id="87" w:name="_Toc517357259"/>
      <w:r w:rsidRPr="0008002F">
        <w:t>dental treatment/s</w:t>
      </w:r>
    </w:p>
    <w:p w14:paraId="14DD6E12" w14:textId="228911B9" w:rsidR="00BC508E" w:rsidRPr="0008002F" w:rsidRDefault="00BC508E" w:rsidP="00B65018">
      <w:pPr>
        <w:pStyle w:val="ListBullet"/>
      </w:pPr>
      <w:r w:rsidRPr="0008002F">
        <w:t>stand-alone training</w:t>
      </w:r>
      <w:bookmarkEnd w:id="85"/>
      <w:bookmarkEnd w:id="86"/>
      <w:bookmarkEnd w:id="87"/>
    </w:p>
    <w:p w14:paraId="0DD45AE5" w14:textId="177FF28F" w:rsidR="00BC508E" w:rsidRPr="0008002F" w:rsidRDefault="00BC508E" w:rsidP="00B65018">
      <w:pPr>
        <w:pStyle w:val="ListBullet"/>
      </w:pPr>
      <w:bookmarkStart w:id="88" w:name="_Toc517355945"/>
      <w:bookmarkStart w:id="89" w:name="_Toc517356652"/>
      <w:bookmarkStart w:id="90" w:name="_Toc517357260"/>
      <w:r w:rsidRPr="0008002F">
        <w:t>research activities</w:t>
      </w:r>
      <w:bookmarkEnd w:id="88"/>
      <w:bookmarkEnd w:id="89"/>
      <w:bookmarkEnd w:id="90"/>
    </w:p>
    <w:p w14:paraId="26AFB911" w14:textId="665C88A0" w:rsidR="00BC508E" w:rsidRPr="0008002F" w:rsidRDefault="00BC508E" w:rsidP="00B65018">
      <w:pPr>
        <w:pStyle w:val="ListBullet"/>
      </w:pPr>
      <w:bookmarkStart w:id="91" w:name="_Toc517355946"/>
      <w:bookmarkStart w:id="92" w:name="_Toc517356653"/>
      <w:bookmarkStart w:id="93" w:name="_Toc517357261"/>
      <w:r w:rsidRPr="0008002F">
        <w:t>alternative/complementary health services – for example Chinese Medicine, reflexology</w:t>
      </w:r>
      <w:bookmarkEnd w:id="91"/>
      <w:bookmarkEnd w:id="92"/>
      <w:bookmarkEnd w:id="93"/>
    </w:p>
    <w:p w14:paraId="3E5B8BA8" w14:textId="06F2464F" w:rsidR="00BC508E" w:rsidRPr="0008002F" w:rsidRDefault="00BC508E" w:rsidP="00B65018">
      <w:pPr>
        <w:pStyle w:val="ListBullet"/>
      </w:pPr>
      <w:bookmarkStart w:id="94" w:name="_Toc517355947"/>
      <w:bookmarkStart w:id="95" w:name="_Toc517356654"/>
      <w:bookmarkStart w:id="96" w:name="_Toc517357262"/>
      <w:r w:rsidRPr="0008002F">
        <w:t>capital expenditure</w:t>
      </w:r>
      <w:bookmarkEnd w:id="94"/>
      <w:bookmarkEnd w:id="95"/>
      <w:bookmarkEnd w:id="96"/>
    </w:p>
    <w:p w14:paraId="590974A3" w14:textId="42AF053A" w:rsidR="00BC508E" w:rsidRPr="0008002F" w:rsidRDefault="00BC508E" w:rsidP="00B65018">
      <w:pPr>
        <w:pStyle w:val="ListBullet"/>
      </w:pPr>
      <w:r w:rsidRPr="0008002F">
        <w:lastRenderedPageBreak/>
        <w:t>the covering of retrospective costs</w:t>
      </w:r>
    </w:p>
    <w:p w14:paraId="5ACC6B6D" w14:textId="1651296D" w:rsidR="00BC508E" w:rsidRPr="0008002F" w:rsidRDefault="00BC508E" w:rsidP="00B65018">
      <w:pPr>
        <w:pStyle w:val="ListBullet"/>
      </w:pPr>
      <w:r w:rsidRPr="0008002F">
        <w:t>purchase of land</w:t>
      </w:r>
    </w:p>
    <w:p w14:paraId="6F42291C" w14:textId="1C8430CF" w:rsidR="00BC508E" w:rsidRPr="0008002F" w:rsidRDefault="00BC508E" w:rsidP="00B65018">
      <w:pPr>
        <w:pStyle w:val="ListBullet"/>
      </w:pPr>
      <w:r w:rsidRPr="0008002F">
        <w:t>overseas travel</w:t>
      </w:r>
    </w:p>
    <w:p w14:paraId="58300251" w14:textId="424C2010" w:rsidR="00BC508E" w:rsidRPr="0008002F" w:rsidRDefault="00BC508E" w:rsidP="00B65018">
      <w:pPr>
        <w:pStyle w:val="ListBullet"/>
      </w:pPr>
      <w:bookmarkStart w:id="97" w:name="_Toc517355948"/>
      <w:bookmarkStart w:id="98" w:name="_Toc517356655"/>
      <w:bookmarkStart w:id="99" w:name="_Toc517357263"/>
      <w:r w:rsidRPr="0008002F">
        <w:t>purchase of medical equipment outside of</w:t>
      </w:r>
      <w:r w:rsidR="00F951D8">
        <w:t xml:space="preserve"> the</w:t>
      </w:r>
      <w:r w:rsidRPr="0008002F">
        <w:t xml:space="preserve"> VOS exemption </w:t>
      </w:r>
      <w:r>
        <w:t>at</w:t>
      </w:r>
      <w:r w:rsidR="00F951D8">
        <w:t xml:space="preserve"> Section</w:t>
      </w:r>
      <w:r>
        <w:t xml:space="preserve"> 5.5</w:t>
      </w:r>
      <w:r w:rsidRPr="0008002F">
        <w:t>;</w:t>
      </w:r>
      <w:bookmarkEnd w:id="97"/>
      <w:bookmarkEnd w:id="98"/>
      <w:bookmarkEnd w:id="99"/>
      <w:r w:rsidRPr="0008002F">
        <w:t xml:space="preserve"> and</w:t>
      </w:r>
    </w:p>
    <w:p w14:paraId="44D5D40A" w14:textId="5309F104" w:rsidR="00BC508E" w:rsidRPr="0008002F" w:rsidRDefault="00BC508E" w:rsidP="00B65018">
      <w:pPr>
        <w:pStyle w:val="ListBullet"/>
      </w:pPr>
      <w:bookmarkStart w:id="100" w:name="_Toc517355949"/>
      <w:bookmarkStart w:id="101" w:name="_Toc517356656"/>
      <w:bookmarkStart w:id="102" w:name="_Toc517357264"/>
      <w:r w:rsidRPr="0008002F">
        <w:t>purchase or leasing of a motor vehicle</w:t>
      </w:r>
      <w:bookmarkEnd w:id="100"/>
      <w:bookmarkEnd w:id="101"/>
      <w:bookmarkEnd w:id="102"/>
      <w:r w:rsidRPr="0008002F">
        <w:t>.</w:t>
      </w:r>
    </w:p>
    <w:p w14:paraId="5528E214" w14:textId="17E6163D" w:rsidR="00D617D4" w:rsidRDefault="00BC508E" w:rsidP="003B7C78">
      <w:pPr>
        <w:pStyle w:val="Heading1"/>
      </w:pPr>
      <w:bookmarkStart w:id="103" w:name="_Toc85256763"/>
      <w:bookmarkStart w:id="104" w:name="_Toc49331741"/>
      <w:bookmarkStart w:id="105" w:name="_Toc164328335"/>
      <w:bookmarkStart w:id="106" w:name="_Toc164328437"/>
      <w:bookmarkEnd w:id="103"/>
      <w:r w:rsidRPr="00864560">
        <w:t>Expenses Supported by Outreach Programs</w:t>
      </w:r>
      <w:bookmarkEnd w:id="104"/>
      <w:bookmarkEnd w:id="105"/>
      <w:bookmarkEnd w:id="106"/>
    </w:p>
    <w:p w14:paraId="437CCB2F" w14:textId="43D85646" w:rsidR="00D617D4" w:rsidRPr="00260274" w:rsidRDefault="00D617D4" w:rsidP="00260274">
      <w:r w:rsidRPr="00260274">
        <w:t xml:space="preserve">The </w:t>
      </w:r>
      <w:r w:rsidR="00770199" w:rsidRPr="00260274">
        <w:t>F</w:t>
      </w:r>
      <w:r w:rsidRPr="00260274">
        <w:t xml:space="preserve">undholder will determine which expenses will be paid, using these Service Delivery Standards as </w:t>
      </w:r>
      <w:r w:rsidR="00B82A74" w:rsidRPr="00260274">
        <w:t xml:space="preserve">a </w:t>
      </w:r>
      <w:r w:rsidRPr="00260274">
        <w:t>guid</w:t>
      </w:r>
      <w:r w:rsidR="00B82A74" w:rsidRPr="00260274">
        <w:t>e</w:t>
      </w:r>
      <w:r w:rsidRPr="00260274">
        <w:t>.</w:t>
      </w:r>
    </w:p>
    <w:p w14:paraId="23497B48" w14:textId="1B8CD2D2" w:rsidR="00BC508E" w:rsidRPr="00B8406B" w:rsidRDefault="00BC508E" w:rsidP="003B7C78">
      <w:pPr>
        <w:pStyle w:val="Heading2"/>
      </w:pPr>
      <w:bookmarkStart w:id="107" w:name="_Toc49331742"/>
      <w:bookmarkStart w:id="108" w:name="_Toc164328336"/>
      <w:bookmarkStart w:id="109" w:name="_Toc164328438"/>
      <w:bookmarkStart w:id="110" w:name="_Toc196798965"/>
      <w:bookmarkStart w:id="111" w:name="_Toc260815309"/>
      <w:bookmarkStart w:id="112" w:name="_Toc42328811"/>
      <w:bookmarkStart w:id="113" w:name="_Toc42330090"/>
      <w:bookmarkStart w:id="114" w:name="_Toc44226344"/>
      <w:r w:rsidRPr="00B8406B">
        <w:t>Orientation to the outreach location</w:t>
      </w:r>
      <w:bookmarkEnd w:id="107"/>
      <w:bookmarkEnd w:id="108"/>
      <w:bookmarkEnd w:id="109"/>
    </w:p>
    <w:p w14:paraId="550B3DCA" w14:textId="643E118D" w:rsidR="00BC508E" w:rsidRPr="0008002F" w:rsidRDefault="00BC508E" w:rsidP="00BC508E">
      <w:pPr>
        <w:rPr>
          <w:rFonts w:asciiTheme="minorHAnsi" w:hAnsiTheme="minorHAnsi" w:cstheme="minorHAnsi"/>
          <w:bCs/>
        </w:rPr>
      </w:pPr>
      <w:r>
        <w:rPr>
          <w:rFonts w:asciiTheme="minorHAnsi" w:hAnsiTheme="minorHAnsi" w:cstheme="minorHAnsi"/>
          <w:bCs/>
        </w:rPr>
        <w:t xml:space="preserve">Orientation to the outreach location is an essential element of Outreach Programs. </w:t>
      </w:r>
      <w:r w:rsidRPr="0008002F">
        <w:rPr>
          <w:rFonts w:asciiTheme="minorHAnsi" w:hAnsiTheme="minorHAnsi" w:cstheme="minorHAnsi"/>
          <w:bCs/>
        </w:rPr>
        <w:t xml:space="preserve">Orientation visits to each new location for each new health provider (excluding students) </w:t>
      </w:r>
      <w:r>
        <w:rPr>
          <w:rFonts w:asciiTheme="minorHAnsi" w:hAnsiTheme="minorHAnsi" w:cstheme="minorHAnsi"/>
          <w:bCs/>
        </w:rPr>
        <w:t>will</w:t>
      </w:r>
      <w:r w:rsidRPr="0008002F">
        <w:rPr>
          <w:rFonts w:asciiTheme="minorHAnsi" w:hAnsiTheme="minorHAnsi" w:cstheme="minorHAnsi"/>
          <w:bCs/>
        </w:rPr>
        <w:t xml:space="preserve"> be supported under Outreach </w:t>
      </w:r>
      <w:r w:rsidRPr="0008002F">
        <w:rPr>
          <w:rFonts w:asciiTheme="minorHAnsi" w:hAnsiTheme="minorHAnsi" w:cstheme="minorHAnsi"/>
        </w:rPr>
        <w:t>Programs. Orientation visits should</w:t>
      </w:r>
      <w:r w:rsidRPr="0008002F">
        <w:rPr>
          <w:rFonts w:asciiTheme="minorHAnsi" w:hAnsiTheme="minorHAnsi" w:cstheme="minorHAnsi"/>
          <w:bCs/>
        </w:rPr>
        <w:t xml:space="preserve"> include a briefing on cultural protocols specific to the community. </w:t>
      </w:r>
      <w:r w:rsidRPr="00DB4CD0">
        <w:rPr>
          <w:rFonts w:asciiTheme="minorHAnsi" w:hAnsiTheme="minorHAnsi" w:cstheme="minorHAnsi"/>
          <w:bCs/>
        </w:rPr>
        <w:t xml:space="preserve">Travel and </w:t>
      </w:r>
      <w:r w:rsidR="007C6CBA">
        <w:rPr>
          <w:rFonts w:asciiTheme="minorHAnsi" w:hAnsiTheme="minorHAnsi" w:cstheme="minorHAnsi"/>
        </w:rPr>
        <w:t>T</w:t>
      </w:r>
      <w:r w:rsidRPr="00DB4CD0">
        <w:rPr>
          <w:rFonts w:asciiTheme="minorHAnsi" w:hAnsiTheme="minorHAnsi" w:cstheme="minorHAnsi"/>
        </w:rPr>
        <w:t xml:space="preserve">ravel </w:t>
      </w:r>
      <w:r w:rsidR="007C6CBA">
        <w:rPr>
          <w:rFonts w:asciiTheme="minorHAnsi" w:hAnsiTheme="minorHAnsi" w:cstheme="minorHAnsi"/>
        </w:rPr>
        <w:t>T</w:t>
      </w:r>
      <w:r w:rsidRPr="00DB4CD0">
        <w:rPr>
          <w:rFonts w:asciiTheme="minorHAnsi" w:hAnsiTheme="minorHAnsi" w:cstheme="minorHAnsi"/>
        </w:rPr>
        <w:t xml:space="preserve">ime </w:t>
      </w:r>
      <w:r w:rsidR="007C6CBA">
        <w:rPr>
          <w:rFonts w:asciiTheme="minorHAnsi" w:hAnsiTheme="minorHAnsi" w:cstheme="minorHAnsi"/>
        </w:rPr>
        <w:t>A</w:t>
      </w:r>
      <w:r w:rsidRPr="00DB4CD0">
        <w:rPr>
          <w:rFonts w:asciiTheme="minorHAnsi" w:hAnsiTheme="minorHAnsi" w:cstheme="minorHAnsi"/>
        </w:rPr>
        <w:t xml:space="preserve">llowance payments will be available </w:t>
      </w:r>
      <w:r w:rsidRPr="00DB4CD0">
        <w:rPr>
          <w:rFonts w:asciiTheme="minorHAnsi" w:hAnsiTheme="minorHAnsi" w:cstheme="minorHAnsi"/>
          <w:bCs/>
        </w:rPr>
        <w:t>for orientation visits.</w:t>
      </w:r>
    </w:p>
    <w:p w14:paraId="2B4E56E9" w14:textId="45DABBE5" w:rsidR="00BC508E" w:rsidRPr="00B8406B" w:rsidRDefault="00BC508E" w:rsidP="003B7C78">
      <w:pPr>
        <w:pStyle w:val="Heading2"/>
      </w:pPr>
      <w:bookmarkStart w:id="115" w:name="_Toc260815311"/>
      <w:bookmarkStart w:id="116" w:name="_Toc49331743"/>
      <w:bookmarkStart w:id="117" w:name="_Toc164328337"/>
      <w:bookmarkStart w:id="118" w:name="_Toc164328439"/>
      <w:bookmarkEnd w:id="110"/>
      <w:bookmarkEnd w:id="111"/>
      <w:r w:rsidRPr="00B8406B">
        <w:t xml:space="preserve">Travel, </w:t>
      </w:r>
      <w:r w:rsidR="00DC13D3" w:rsidRPr="00B8406B">
        <w:t>m</w:t>
      </w:r>
      <w:r w:rsidRPr="00B8406B">
        <w:t xml:space="preserve">eals and </w:t>
      </w:r>
      <w:r w:rsidR="00DC13D3" w:rsidRPr="00B8406B">
        <w:t>a</w:t>
      </w:r>
      <w:r w:rsidRPr="00B8406B">
        <w:t xml:space="preserve">ccommodation </w:t>
      </w:r>
      <w:r w:rsidR="00DC13D3" w:rsidRPr="00B8406B">
        <w:t>c</w:t>
      </w:r>
      <w:r w:rsidRPr="00B8406B">
        <w:t>osts</w:t>
      </w:r>
      <w:bookmarkEnd w:id="112"/>
      <w:bookmarkEnd w:id="113"/>
      <w:bookmarkEnd w:id="114"/>
      <w:bookmarkEnd w:id="115"/>
      <w:r w:rsidRPr="00B8406B">
        <w:t xml:space="preserve"> for visiting Health Professionals</w:t>
      </w:r>
      <w:bookmarkEnd w:id="116"/>
      <w:bookmarkEnd w:id="117"/>
      <w:bookmarkEnd w:id="118"/>
    </w:p>
    <w:p w14:paraId="7768EB07" w14:textId="396518B9" w:rsidR="00BC508E" w:rsidRPr="0008002F" w:rsidRDefault="00BC508E" w:rsidP="00BC508E">
      <w:pPr>
        <w:rPr>
          <w:rFonts w:asciiTheme="minorHAnsi" w:hAnsiTheme="minorHAnsi" w:cstheme="minorHAnsi"/>
        </w:rPr>
      </w:pPr>
      <w:bookmarkStart w:id="119" w:name="_Toc520265334"/>
      <w:bookmarkStart w:id="120" w:name="_Toc520265437"/>
      <w:bookmarkStart w:id="121" w:name="_Toc520514062"/>
      <w:bookmarkStart w:id="122" w:name="_Toc39283657"/>
      <w:bookmarkStart w:id="123" w:name="_Toc42328812"/>
      <w:bookmarkStart w:id="124" w:name="_Toc42330091"/>
      <w:bookmarkStart w:id="125" w:name="_Toc44226345"/>
      <w:bookmarkStart w:id="126" w:name="_Toc260815312"/>
      <w:r w:rsidRPr="0008002F">
        <w:rPr>
          <w:rFonts w:asciiTheme="minorHAnsi" w:hAnsiTheme="minorHAnsi" w:cstheme="minorHAnsi"/>
        </w:rPr>
        <w:t>Outreach Programs will cover the cost of travel by the most efficient and cost</w:t>
      </w:r>
      <w:r w:rsidR="005C6643">
        <w:rPr>
          <w:rFonts w:asciiTheme="minorHAnsi" w:hAnsiTheme="minorHAnsi" w:cstheme="minorHAnsi"/>
        </w:rPr>
        <w:t>-</w:t>
      </w:r>
      <w:r w:rsidRPr="0008002F">
        <w:rPr>
          <w:rFonts w:asciiTheme="minorHAnsi" w:hAnsiTheme="minorHAnsi" w:cstheme="minorHAnsi"/>
        </w:rPr>
        <w:t>effective means to and from the outreach service location.  This may include commercial air, bus or train fares, charter flights, and/or expenses</w:t>
      </w:r>
      <w:r w:rsidR="000304D2">
        <w:rPr>
          <w:rFonts w:asciiTheme="minorHAnsi" w:hAnsiTheme="minorHAnsi" w:cstheme="minorHAnsi"/>
        </w:rPr>
        <w:t xml:space="preserve"> personally incurred by a Health Professional</w:t>
      </w:r>
      <w:r w:rsidRPr="0008002F">
        <w:rPr>
          <w:rFonts w:asciiTheme="minorHAnsi" w:hAnsiTheme="minorHAnsi" w:cstheme="minorHAnsi"/>
        </w:rPr>
        <w:t xml:space="preserve"> associated with the use of a private </w:t>
      </w:r>
      <w:r w:rsidRPr="00C04913">
        <w:rPr>
          <w:rFonts w:asciiTheme="minorHAnsi" w:hAnsiTheme="minorHAnsi" w:cstheme="minorHAnsi"/>
        </w:rPr>
        <w:t xml:space="preserve">vehicle </w:t>
      </w:r>
      <w:r w:rsidRPr="00D96DE9">
        <w:rPr>
          <w:rFonts w:asciiTheme="minorHAnsi" w:hAnsiTheme="minorHAnsi" w:cstheme="minorHAnsi"/>
        </w:rPr>
        <w:t>as per the national rates accepted by the Australian Taxation Office (ATO).</w:t>
      </w:r>
      <w:r w:rsidRPr="00C04913">
        <w:rPr>
          <w:rFonts w:asciiTheme="minorHAnsi" w:hAnsiTheme="minorHAnsi" w:cstheme="minorHAnsi"/>
        </w:rPr>
        <w:t xml:space="preserve"> </w:t>
      </w:r>
    </w:p>
    <w:p w14:paraId="0F0D6933" w14:textId="72DA48AE" w:rsidR="00BC508E" w:rsidRPr="006C32F5" w:rsidRDefault="00BC508E" w:rsidP="00C7539A">
      <w:pPr>
        <w:pStyle w:val="Heading3"/>
      </w:pPr>
      <w:bookmarkStart w:id="127" w:name="_Toc164328338"/>
      <w:bookmarkStart w:id="128" w:name="_Toc164328440"/>
      <w:r w:rsidRPr="006C32F5">
        <w:t>Air</w:t>
      </w:r>
      <w:bookmarkEnd w:id="127"/>
      <w:bookmarkEnd w:id="128"/>
      <w:r w:rsidRPr="006C32F5">
        <w:t xml:space="preserve"> </w:t>
      </w:r>
    </w:p>
    <w:p w14:paraId="10899489" w14:textId="7B5CF5AD" w:rsidR="00BC508E" w:rsidRPr="0008002F" w:rsidRDefault="00BC508E" w:rsidP="00BC508E">
      <w:pPr>
        <w:rPr>
          <w:rFonts w:asciiTheme="minorHAnsi" w:hAnsiTheme="minorHAnsi" w:cstheme="minorHAnsi"/>
        </w:rPr>
      </w:pPr>
      <w:r w:rsidRPr="0008002F">
        <w:rPr>
          <w:rFonts w:asciiTheme="minorHAnsi" w:hAnsiTheme="minorHAnsi" w:cstheme="minorHAnsi"/>
        </w:rPr>
        <w:t xml:space="preserve">Flights will be </w:t>
      </w:r>
      <w:r w:rsidR="008C3CB7">
        <w:rPr>
          <w:rFonts w:asciiTheme="minorHAnsi" w:hAnsiTheme="minorHAnsi" w:cstheme="minorHAnsi"/>
        </w:rPr>
        <w:t>paid</w:t>
      </w:r>
      <w:r w:rsidRPr="0008002F">
        <w:rPr>
          <w:rFonts w:asciiTheme="minorHAnsi" w:hAnsiTheme="minorHAnsi" w:cstheme="minorHAnsi"/>
        </w:rPr>
        <w:t xml:space="preserve"> at the economy class level.  Use of private aircraft will be considered. However, if a commercial flight services the location, reimbursement will be capped at the economy flight cost, whichever is the lesser.  </w:t>
      </w:r>
    </w:p>
    <w:p w14:paraId="0913F86E" w14:textId="3185CDE4" w:rsidR="00BC508E" w:rsidRPr="0008002F" w:rsidRDefault="00BC508E" w:rsidP="00C7539A">
      <w:pPr>
        <w:pStyle w:val="Heading3"/>
      </w:pPr>
      <w:bookmarkStart w:id="129" w:name="_Toc164328339"/>
      <w:bookmarkStart w:id="130" w:name="_Toc164328441"/>
      <w:r w:rsidRPr="0008002F">
        <w:t>Hire car</w:t>
      </w:r>
      <w:bookmarkEnd w:id="129"/>
      <w:bookmarkEnd w:id="130"/>
      <w:r w:rsidRPr="0008002F">
        <w:t xml:space="preserve"> </w:t>
      </w:r>
    </w:p>
    <w:p w14:paraId="31F2D44A" w14:textId="64B2E58A" w:rsidR="00BC508E" w:rsidRPr="0008002F" w:rsidRDefault="00BC508E" w:rsidP="00BC508E">
      <w:pPr>
        <w:rPr>
          <w:rFonts w:asciiTheme="minorHAnsi" w:hAnsiTheme="minorHAnsi" w:cstheme="minorHAnsi"/>
        </w:rPr>
      </w:pPr>
      <w:r w:rsidRPr="000C1794">
        <w:rPr>
          <w:rFonts w:asciiTheme="minorHAnsi" w:hAnsiTheme="minorHAnsi" w:cstheme="minorHAnsi"/>
        </w:rPr>
        <w:t>If road travel is the most cost</w:t>
      </w:r>
      <w:r w:rsidR="00B220DB" w:rsidRPr="000C1794">
        <w:rPr>
          <w:rFonts w:asciiTheme="minorHAnsi" w:hAnsiTheme="minorHAnsi" w:cstheme="minorHAnsi"/>
        </w:rPr>
        <w:t>-</w:t>
      </w:r>
      <w:r w:rsidRPr="000C1794">
        <w:rPr>
          <w:rFonts w:asciiTheme="minorHAnsi" w:hAnsiTheme="minorHAnsi" w:cstheme="minorHAnsi"/>
        </w:rPr>
        <w:t xml:space="preserve">effective option, the </w:t>
      </w:r>
      <w:r w:rsidRPr="00270F29">
        <w:rPr>
          <w:rFonts w:asciiTheme="minorHAnsi" w:hAnsiTheme="minorHAnsi" w:cstheme="minorHAnsi"/>
        </w:rPr>
        <w:t>visiting Health Professional may elect to travel to</w:t>
      </w:r>
      <w:r w:rsidR="00957D1F" w:rsidRPr="00270F29">
        <w:rPr>
          <w:rFonts w:asciiTheme="minorHAnsi" w:hAnsiTheme="minorHAnsi" w:cstheme="minorHAnsi"/>
        </w:rPr>
        <w:t xml:space="preserve"> and </w:t>
      </w:r>
      <w:r w:rsidRPr="00270F29">
        <w:rPr>
          <w:rFonts w:asciiTheme="minorHAnsi" w:hAnsiTheme="minorHAnsi" w:cstheme="minorHAnsi"/>
        </w:rPr>
        <w:t xml:space="preserve">from the outreach location by a self-drive hire car.  </w:t>
      </w:r>
      <w:r w:rsidR="00512E69" w:rsidRPr="00270F29">
        <w:rPr>
          <w:rFonts w:asciiTheme="minorHAnsi" w:hAnsiTheme="minorHAnsi" w:cstheme="minorHAnsi"/>
        </w:rPr>
        <w:t xml:space="preserve">Fuel </w:t>
      </w:r>
      <w:r w:rsidR="00EA5C68" w:rsidRPr="00270F29">
        <w:rPr>
          <w:rFonts w:asciiTheme="minorHAnsi" w:hAnsiTheme="minorHAnsi" w:cstheme="minorHAnsi"/>
        </w:rPr>
        <w:t>costs</w:t>
      </w:r>
      <w:r w:rsidR="00512E69" w:rsidRPr="00270F29">
        <w:rPr>
          <w:rFonts w:asciiTheme="minorHAnsi" w:hAnsiTheme="minorHAnsi" w:cstheme="minorHAnsi"/>
        </w:rPr>
        <w:t xml:space="preserve"> for a hire car, p</w:t>
      </w:r>
      <w:r w:rsidRPr="00270F29">
        <w:rPr>
          <w:rFonts w:asciiTheme="minorHAnsi" w:hAnsiTheme="minorHAnsi" w:cstheme="minorHAnsi"/>
        </w:rPr>
        <w:t xml:space="preserve">arking and taxi fares </w:t>
      </w:r>
      <w:r w:rsidR="00512E69" w:rsidRPr="00270F29">
        <w:rPr>
          <w:rFonts w:asciiTheme="minorHAnsi" w:hAnsiTheme="minorHAnsi" w:cstheme="minorHAnsi"/>
        </w:rPr>
        <w:t xml:space="preserve">should be </w:t>
      </w:r>
      <w:r w:rsidRPr="00270F29">
        <w:rPr>
          <w:rFonts w:asciiTheme="minorHAnsi" w:hAnsiTheme="minorHAnsi" w:cstheme="minorHAnsi"/>
        </w:rPr>
        <w:t>paid on a cost recovery basis</w:t>
      </w:r>
      <w:r w:rsidR="00A04342">
        <w:rPr>
          <w:rFonts w:asciiTheme="minorHAnsi" w:hAnsiTheme="minorHAnsi" w:cstheme="minorHAnsi"/>
        </w:rPr>
        <w:t xml:space="preserve"> where appropriate</w:t>
      </w:r>
      <w:r w:rsidRPr="00270F29">
        <w:rPr>
          <w:rFonts w:asciiTheme="minorHAnsi" w:hAnsiTheme="minorHAnsi" w:cstheme="minorHAnsi"/>
        </w:rPr>
        <w:t>.</w:t>
      </w:r>
      <w:r w:rsidRPr="0008002F">
        <w:rPr>
          <w:rFonts w:asciiTheme="minorHAnsi" w:hAnsiTheme="minorHAnsi" w:cstheme="minorHAnsi"/>
        </w:rPr>
        <w:t xml:space="preserve">   </w:t>
      </w:r>
    </w:p>
    <w:p w14:paraId="298D7B8E" w14:textId="26359A6E" w:rsidR="00BC508E" w:rsidRPr="006C32F5" w:rsidRDefault="00BC508E" w:rsidP="00C7539A">
      <w:pPr>
        <w:pStyle w:val="Heading3"/>
      </w:pPr>
      <w:bookmarkStart w:id="131" w:name="_Toc164328340"/>
      <w:bookmarkStart w:id="132" w:name="_Toc164328442"/>
      <w:bookmarkStart w:id="133" w:name="_Toc520265335"/>
      <w:bookmarkStart w:id="134" w:name="_Toc520265438"/>
      <w:bookmarkStart w:id="135" w:name="_Toc520514063"/>
      <w:bookmarkStart w:id="136" w:name="_Toc39283658"/>
      <w:bookmarkStart w:id="137" w:name="_Toc42328814"/>
      <w:bookmarkStart w:id="138" w:name="_Toc42330092"/>
      <w:bookmarkStart w:id="139" w:name="_Toc44226346"/>
      <w:bookmarkStart w:id="140" w:name="_Toc260815313"/>
      <w:bookmarkEnd w:id="119"/>
      <w:bookmarkEnd w:id="120"/>
      <w:bookmarkEnd w:id="121"/>
      <w:bookmarkEnd w:id="122"/>
      <w:bookmarkEnd w:id="123"/>
      <w:bookmarkEnd w:id="124"/>
      <w:bookmarkEnd w:id="125"/>
      <w:bookmarkEnd w:id="126"/>
      <w:r w:rsidRPr="006C32F5">
        <w:t>Accommodation</w:t>
      </w:r>
      <w:bookmarkEnd w:id="131"/>
      <w:bookmarkEnd w:id="132"/>
      <w:r w:rsidRPr="006C32F5">
        <w:t xml:space="preserve"> </w:t>
      </w:r>
    </w:p>
    <w:p w14:paraId="33C9BDD8" w14:textId="3B8A756D" w:rsidR="00BC508E" w:rsidRPr="0008002F" w:rsidRDefault="00BC508E" w:rsidP="00BC508E">
      <w:pPr>
        <w:rPr>
          <w:rFonts w:asciiTheme="minorHAnsi" w:hAnsiTheme="minorHAnsi" w:cstheme="minorHAnsi"/>
        </w:rPr>
      </w:pPr>
      <w:r w:rsidRPr="0008002F">
        <w:rPr>
          <w:rFonts w:asciiTheme="minorHAnsi" w:hAnsiTheme="minorHAnsi" w:cstheme="minorHAnsi"/>
        </w:rPr>
        <w:t xml:space="preserve">Accommodation will be paid in accordance with the rates </w:t>
      </w:r>
      <w:r w:rsidR="008C3CB7">
        <w:rPr>
          <w:rFonts w:asciiTheme="minorHAnsi" w:hAnsiTheme="minorHAnsi" w:cstheme="minorHAnsi"/>
        </w:rPr>
        <w:t xml:space="preserve">considered reasonable and </w:t>
      </w:r>
      <w:r w:rsidRPr="0008002F">
        <w:rPr>
          <w:rFonts w:asciiTheme="minorHAnsi" w:hAnsiTheme="minorHAnsi" w:cstheme="minorHAnsi"/>
        </w:rPr>
        <w:t xml:space="preserve">published </w:t>
      </w:r>
      <w:r w:rsidR="008C3CB7">
        <w:rPr>
          <w:rFonts w:asciiTheme="minorHAnsi" w:hAnsiTheme="minorHAnsi" w:cstheme="minorHAnsi"/>
        </w:rPr>
        <w:t xml:space="preserve">annually by the </w:t>
      </w:r>
      <w:r w:rsidRPr="0008002F">
        <w:rPr>
          <w:rFonts w:asciiTheme="minorHAnsi" w:hAnsiTheme="minorHAnsi" w:cstheme="minorHAnsi"/>
        </w:rPr>
        <w:t xml:space="preserve">ATO </w:t>
      </w:r>
      <w:r w:rsidR="008C3CB7">
        <w:rPr>
          <w:rFonts w:asciiTheme="minorHAnsi" w:hAnsiTheme="minorHAnsi" w:cstheme="minorHAnsi"/>
        </w:rPr>
        <w:t>in a Taxation D</w:t>
      </w:r>
      <w:r w:rsidRPr="0008002F">
        <w:rPr>
          <w:rFonts w:asciiTheme="minorHAnsi" w:hAnsiTheme="minorHAnsi" w:cstheme="minorHAnsi"/>
        </w:rPr>
        <w:t xml:space="preserve">etermination.  As accommodation in some locations may be more expensive due to seasonal variations, or if suitable accommodation is scarce, consideration </w:t>
      </w:r>
      <w:r w:rsidR="008C3CB7">
        <w:rPr>
          <w:rFonts w:asciiTheme="minorHAnsi" w:hAnsiTheme="minorHAnsi" w:cstheme="minorHAnsi"/>
        </w:rPr>
        <w:t>should</w:t>
      </w:r>
      <w:r w:rsidRPr="0008002F">
        <w:rPr>
          <w:rFonts w:asciiTheme="minorHAnsi" w:hAnsiTheme="minorHAnsi" w:cstheme="minorHAnsi"/>
        </w:rPr>
        <w:t xml:space="preserve"> be given to paying higher rates on a </w:t>
      </w:r>
      <w:r w:rsidR="008C3CB7" w:rsidRPr="0008002F">
        <w:rPr>
          <w:rFonts w:asciiTheme="minorHAnsi" w:hAnsiTheme="minorHAnsi" w:cstheme="minorHAnsi"/>
        </w:rPr>
        <w:t>case-by-case</w:t>
      </w:r>
      <w:r w:rsidRPr="0008002F">
        <w:rPr>
          <w:rFonts w:asciiTheme="minorHAnsi" w:hAnsiTheme="minorHAnsi" w:cstheme="minorHAnsi"/>
        </w:rPr>
        <w:t xml:space="preserve"> basis.  Accommodation rates can be accessed via the ATO website at:  </w:t>
      </w:r>
      <w:hyperlink r:id="rId21" w:history="1">
        <w:r w:rsidRPr="0008002F">
          <w:rPr>
            <w:rStyle w:val="Hyperlink"/>
            <w:rFonts w:asciiTheme="minorHAnsi" w:hAnsiTheme="minorHAnsi" w:cstheme="minorHAnsi"/>
          </w:rPr>
          <w:t>https://www.ato.gov.au/</w:t>
        </w:r>
      </w:hyperlink>
      <w:r w:rsidRPr="0008002F">
        <w:rPr>
          <w:rFonts w:asciiTheme="minorHAnsi" w:hAnsiTheme="minorHAnsi" w:cstheme="minorHAnsi"/>
        </w:rPr>
        <w:t xml:space="preserve"> </w:t>
      </w:r>
    </w:p>
    <w:p w14:paraId="5D84D757" w14:textId="77777777" w:rsidR="00BC508E" w:rsidRPr="0008002F" w:rsidRDefault="00BC508E" w:rsidP="00C7539A">
      <w:pPr>
        <w:pStyle w:val="Heading3"/>
      </w:pPr>
      <w:bookmarkStart w:id="141" w:name="_Toc164328341"/>
      <w:bookmarkStart w:id="142" w:name="_Toc164328443"/>
      <w:bookmarkEnd w:id="133"/>
      <w:bookmarkEnd w:id="134"/>
      <w:bookmarkEnd w:id="135"/>
      <w:bookmarkEnd w:id="136"/>
      <w:bookmarkEnd w:id="137"/>
      <w:bookmarkEnd w:id="138"/>
      <w:bookmarkEnd w:id="139"/>
      <w:bookmarkEnd w:id="140"/>
      <w:r w:rsidRPr="0008002F">
        <w:t>Meals and Incidentals</w:t>
      </w:r>
      <w:bookmarkEnd w:id="141"/>
      <w:bookmarkEnd w:id="142"/>
      <w:r w:rsidRPr="0008002F">
        <w:t xml:space="preserve"> </w:t>
      </w:r>
    </w:p>
    <w:p w14:paraId="39FBC8B6" w14:textId="4F6BFD93" w:rsidR="008C3CB7" w:rsidRPr="00260274" w:rsidRDefault="00BC508E" w:rsidP="00260274">
      <w:r w:rsidRPr="00260274">
        <w:t xml:space="preserve">Meals and incidentals for visiting Health Professionals and approved accompanying staff may be paid in accordance with the rates </w:t>
      </w:r>
      <w:r w:rsidR="008C3CB7" w:rsidRPr="00260274">
        <w:t>considered reasonable and published annually by the ATO in a Taxation Determination</w:t>
      </w:r>
      <w:r w:rsidRPr="00260274">
        <w:t xml:space="preserve">. Rates can be accessed via the ATO website at:  </w:t>
      </w:r>
      <w:hyperlink r:id="rId22" w:history="1">
        <w:r w:rsidRPr="0008002F">
          <w:rPr>
            <w:rStyle w:val="Hyperlink"/>
            <w:rFonts w:asciiTheme="minorHAnsi" w:hAnsiTheme="minorHAnsi" w:cstheme="minorHAnsi"/>
          </w:rPr>
          <w:t>https://www.ato.gov.au/</w:t>
        </w:r>
      </w:hyperlink>
      <w:r w:rsidRPr="00260274">
        <w:t xml:space="preserve"> </w:t>
      </w:r>
    </w:p>
    <w:p w14:paraId="4C461692" w14:textId="1209F1F8" w:rsidR="00BC508E" w:rsidRPr="00260274" w:rsidRDefault="00BC508E" w:rsidP="00260274">
      <w:r w:rsidRPr="00260274">
        <w:t xml:space="preserve">Please note the incidental allowance payments are only payable for the second and any subsequent days of a visit at the outreach location. Breakfast on the first day and dinner on the last day of outreach visits are not payable.  The meals and incidental allowances payable can be accessed via the ATO website at: </w:t>
      </w:r>
      <w:hyperlink r:id="rId23" w:history="1">
        <w:r w:rsidRPr="0099553E">
          <w:rPr>
            <w:rStyle w:val="Hyperlink"/>
            <w:rFonts w:asciiTheme="minorHAnsi" w:hAnsiTheme="minorHAnsi" w:cstheme="minorHAnsi"/>
          </w:rPr>
          <w:t>https://www.ato.gov.au/</w:t>
        </w:r>
      </w:hyperlink>
      <w:r w:rsidR="0099553E" w:rsidRPr="00B65018">
        <w:t>.</w:t>
      </w:r>
      <w:r w:rsidRPr="00260274">
        <w:t xml:space="preserve"> </w:t>
      </w:r>
    </w:p>
    <w:p w14:paraId="37DCC372" w14:textId="0DEADB5F" w:rsidR="00BC508E" w:rsidRPr="00B8406B" w:rsidRDefault="00BC508E" w:rsidP="003B7C78">
      <w:pPr>
        <w:pStyle w:val="Heading2"/>
      </w:pPr>
      <w:bookmarkStart w:id="143" w:name="_Toc49331744"/>
      <w:bookmarkStart w:id="144" w:name="_Toc164328342"/>
      <w:bookmarkStart w:id="145" w:name="_Toc164328444"/>
      <w:bookmarkStart w:id="146" w:name="_Toc39283659"/>
      <w:bookmarkStart w:id="147" w:name="_Toc42328815"/>
      <w:bookmarkStart w:id="148" w:name="_Toc42330093"/>
      <w:bookmarkStart w:id="149" w:name="_Toc44226347"/>
      <w:bookmarkStart w:id="150" w:name="_Toc260815314"/>
      <w:r w:rsidRPr="00B8406B">
        <w:lastRenderedPageBreak/>
        <w:t xml:space="preserve">Travel, </w:t>
      </w:r>
      <w:r w:rsidR="00DC13D3" w:rsidRPr="00B8406B">
        <w:t>m</w:t>
      </w:r>
      <w:r w:rsidRPr="00B8406B">
        <w:t xml:space="preserve">eals and </w:t>
      </w:r>
      <w:r w:rsidR="00DC13D3" w:rsidRPr="00B8406B">
        <w:t>a</w:t>
      </w:r>
      <w:r w:rsidRPr="00B8406B">
        <w:t xml:space="preserve">ccommodation costs associated with </w:t>
      </w:r>
      <w:r w:rsidR="00A8544B" w:rsidRPr="00B8406B">
        <w:t xml:space="preserve">the EESS </w:t>
      </w:r>
      <w:r w:rsidRPr="00B8406B">
        <w:t>program</w:t>
      </w:r>
      <w:bookmarkEnd w:id="143"/>
      <w:bookmarkEnd w:id="144"/>
      <w:bookmarkEnd w:id="145"/>
    </w:p>
    <w:p w14:paraId="2B42AF2D" w14:textId="77777777" w:rsidR="00BC508E" w:rsidRPr="0008002F" w:rsidRDefault="00BC508E" w:rsidP="00BC508E">
      <w:pPr>
        <w:autoSpaceDE w:val="0"/>
        <w:autoSpaceDN w:val="0"/>
        <w:adjustRightInd w:val="0"/>
        <w:rPr>
          <w:rFonts w:asciiTheme="minorHAnsi" w:hAnsiTheme="minorHAnsi" w:cstheme="minorHAnsi"/>
          <w:iCs/>
        </w:rPr>
      </w:pPr>
      <w:r w:rsidRPr="0008002F">
        <w:rPr>
          <w:rFonts w:asciiTheme="minorHAnsi" w:hAnsiTheme="minorHAnsi" w:cstheme="minorHAnsi"/>
          <w:iCs/>
        </w:rPr>
        <w:t>EESS program funding can be used to support the transport of the patient and one carer from MM3 to MM7 locations into regional/ metropolitan centres for eye or ear surgical treatment. The cost of meals and accommodation for the patient and their carer will also be supported.</w:t>
      </w:r>
    </w:p>
    <w:p w14:paraId="3847251E" w14:textId="67E9DA4F" w:rsidR="00BC508E" w:rsidRPr="0008002F" w:rsidRDefault="00BC508E" w:rsidP="00BC508E">
      <w:pPr>
        <w:autoSpaceDE w:val="0"/>
        <w:autoSpaceDN w:val="0"/>
        <w:adjustRightInd w:val="0"/>
        <w:rPr>
          <w:rFonts w:asciiTheme="minorHAnsi" w:hAnsiTheme="minorHAnsi" w:cstheme="minorHAnsi"/>
        </w:rPr>
      </w:pPr>
      <w:r w:rsidRPr="0008002F">
        <w:rPr>
          <w:rFonts w:asciiTheme="minorHAnsi" w:hAnsiTheme="minorHAnsi" w:cstheme="minorHAnsi"/>
        </w:rPr>
        <w:t xml:space="preserve">Where possible, transport should be provided for multiple patients and carers </w:t>
      </w:r>
      <w:r w:rsidR="006250E1">
        <w:rPr>
          <w:rFonts w:asciiTheme="minorHAnsi" w:hAnsiTheme="minorHAnsi" w:cstheme="minorHAnsi"/>
        </w:rPr>
        <w:t>collectively</w:t>
      </w:r>
      <w:r w:rsidRPr="0008002F">
        <w:rPr>
          <w:rFonts w:asciiTheme="minorHAnsi" w:hAnsiTheme="minorHAnsi" w:cstheme="minorHAnsi"/>
        </w:rPr>
        <w:t xml:space="preserve">. </w:t>
      </w:r>
      <w:bookmarkStart w:id="151" w:name="_Toc39283661"/>
      <w:bookmarkStart w:id="152" w:name="_Toc42328817"/>
      <w:bookmarkStart w:id="153" w:name="_Toc42330095"/>
      <w:bookmarkStart w:id="154" w:name="_Toc44226350"/>
      <w:bookmarkStart w:id="155" w:name="_Toc260815316"/>
      <w:bookmarkEnd w:id="146"/>
      <w:bookmarkEnd w:id="147"/>
      <w:bookmarkEnd w:id="148"/>
      <w:bookmarkEnd w:id="149"/>
      <w:bookmarkEnd w:id="150"/>
    </w:p>
    <w:p w14:paraId="1C67CC96" w14:textId="77A7009A" w:rsidR="00BC508E" w:rsidRPr="00B8406B" w:rsidRDefault="00BC508E" w:rsidP="003B7C78">
      <w:pPr>
        <w:pStyle w:val="Heading2"/>
      </w:pPr>
      <w:bookmarkStart w:id="156" w:name="_Toc49331745"/>
      <w:bookmarkStart w:id="157" w:name="_Toc164328343"/>
      <w:bookmarkStart w:id="158" w:name="_Toc164328445"/>
      <w:r w:rsidRPr="00B8406B">
        <w:t xml:space="preserve">Equipment </w:t>
      </w:r>
      <w:r w:rsidR="00DC13D3" w:rsidRPr="00B8406B">
        <w:t>l</w:t>
      </w:r>
      <w:r w:rsidRPr="00B8406B">
        <w:t>ease</w:t>
      </w:r>
      <w:bookmarkEnd w:id="156"/>
      <w:bookmarkEnd w:id="157"/>
      <w:bookmarkEnd w:id="158"/>
    </w:p>
    <w:p w14:paraId="2A3BAC03" w14:textId="1B38CF1F" w:rsidR="0096468D" w:rsidRDefault="00A04342" w:rsidP="0096468D">
      <w:pPr>
        <w:rPr>
          <w:rFonts w:asciiTheme="minorHAnsi" w:hAnsiTheme="minorHAnsi" w:cstheme="minorHAnsi"/>
        </w:rPr>
      </w:pPr>
      <w:r>
        <w:rPr>
          <w:rFonts w:asciiTheme="minorHAnsi" w:hAnsiTheme="minorHAnsi" w:cstheme="minorHAnsi"/>
        </w:rPr>
        <w:t>Fundholders may consider</w:t>
      </w:r>
      <w:r w:rsidR="00BC508E" w:rsidRPr="00C669B8">
        <w:rPr>
          <w:rFonts w:asciiTheme="minorHAnsi" w:hAnsiTheme="minorHAnsi" w:cstheme="minorHAnsi"/>
        </w:rPr>
        <w:t xml:space="preserve"> equipment lease arrangements</w:t>
      </w:r>
      <w:r>
        <w:rPr>
          <w:rFonts w:asciiTheme="minorHAnsi" w:hAnsiTheme="minorHAnsi" w:cstheme="minorHAnsi"/>
        </w:rPr>
        <w:t xml:space="preserve"> for the delivery of outreach services</w:t>
      </w:r>
      <w:r w:rsidR="00BC508E" w:rsidRPr="00C669B8">
        <w:rPr>
          <w:rFonts w:asciiTheme="minorHAnsi" w:hAnsiTheme="minorHAnsi" w:cstheme="minorHAnsi"/>
        </w:rPr>
        <w:t xml:space="preserve">. All lease </w:t>
      </w:r>
      <w:r w:rsidR="0096468D">
        <w:rPr>
          <w:rFonts w:asciiTheme="minorHAnsi" w:hAnsiTheme="minorHAnsi" w:cstheme="minorHAnsi"/>
        </w:rPr>
        <w:t>arrangements</w:t>
      </w:r>
      <w:r w:rsidR="00BC508E" w:rsidRPr="00C669B8">
        <w:rPr>
          <w:rFonts w:asciiTheme="minorHAnsi" w:hAnsiTheme="minorHAnsi" w:cstheme="minorHAnsi"/>
        </w:rPr>
        <w:t xml:space="preserve"> must include a budget for replacement parts and maintenance to ensure equipment meets required standards. The period of the lease may not exceed the end date of the contract the Fundholder has with the Health Professional.</w:t>
      </w:r>
      <w:r w:rsidR="0096468D">
        <w:rPr>
          <w:rFonts w:asciiTheme="minorHAnsi" w:hAnsiTheme="minorHAnsi" w:cstheme="minorHAnsi"/>
        </w:rPr>
        <w:t xml:space="preserve"> Fundholders should consider the following when</w:t>
      </w:r>
      <w:r w:rsidR="001D7FEE">
        <w:rPr>
          <w:rFonts w:asciiTheme="minorHAnsi" w:hAnsiTheme="minorHAnsi" w:cstheme="minorHAnsi"/>
        </w:rPr>
        <w:t xml:space="preserve"> </w:t>
      </w:r>
      <w:r w:rsidR="00B90A9D">
        <w:rPr>
          <w:rFonts w:asciiTheme="minorHAnsi" w:hAnsiTheme="minorHAnsi" w:cstheme="minorHAnsi"/>
        </w:rPr>
        <w:t>assessing</w:t>
      </w:r>
      <w:r w:rsidR="001D7FEE">
        <w:rPr>
          <w:rFonts w:asciiTheme="minorHAnsi" w:hAnsiTheme="minorHAnsi" w:cstheme="minorHAnsi"/>
        </w:rPr>
        <w:t xml:space="preserve"> requests to lease</w:t>
      </w:r>
      <w:r w:rsidR="0096468D">
        <w:rPr>
          <w:rFonts w:asciiTheme="minorHAnsi" w:hAnsiTheme="minorHAnsi" w:cstheme="minorHAnsi"/>
        </w:rPr>
        <w:t xml:space="preserve"> equipment:</w:t>
      </w:r>
      <w:r w:rsidR="0096468D" w:rsidDel="00A00487">
        <w:rPr>
          <w:rFonts w:asciiTheme="minorHAnsi" w:hAnsiTheme="minorHAnsi" w:cstheme="minorHAnsi"/>
        </w:rPr>
        <w:t xml:space="preserve"> </w:t>
      </w:r>
    </w:p>
    <w:p w14:paraId="4E42B42C" w14:textId="1B9AE8A4" w:rsidR="0096468D" w:rsidRPr="00247219" w:rsidRDefault="0096468D" w:rsidP="00B65018">
      <w:pPr>
        <w:pStyle w:val="ListBullet"/>
      </w:pPr>
      <w:r w:rsidRPr="00247219">
        <w:t>type of equipment</w:t>
      </w:r>
    </w:p>
    <w:p w14:paraId="7006E7F4" w14:textId="20DB94C0" w:rsidR="0096468D" w:rsidRPr="00247219" w:rsidRDefault="0096468D" w:rsidP="00B65018">
      <w:pPr>
        <w:pStyle w:val="ListBullet"/>
      </w:pPr>
      <w:r w:rsidRPr="00247219">
        <w:t>availability of equipment in the area to receive</w:t>
      </w:r>
      <w:r w:rsidR="00B90A9D" w:rsidRPr="00247219">
        <w:t xml:space="preserve"> the</w:t>
      </w:r>
      <w:r w:rsidRPr="00247219">
        <w:t xml:space="preserve"> services</w:t>
      </w:r>
    </w:p>
    <w:p w14:paraId="3D0C5015" w14:textId="22E653EE" w:rsidR="0096468D" w:rsidRPr="00247219" w:rsidRDefault="0096468D" w:rsidP="00B65018">
      <w:pPr>
        <w:pStyle w:val="ListBullet"/>
      </w:pPr>
      <w:r w:rsidRPr="00247219">
        <w:t>how often services are to be provided</w:t>
      </w:r>
    </w:p>
    <w:p w14:paraId="5520646B" w14:textId="0A13AD3B" w:rsidR="00BC508E" w:rsidRPr="00247219" w:rsidRDefault="0096468D" w:rsidP="00B65018">
      <w:pPr>
        <w:pStyle w:val="ListBullet"/>
      </w:pPr>
      <w:r w:rsidRPr="00247219">
        <w:t>impact on the relevant Outreach Program budget.</w:t>
      </w:r>
    </w:p>
    <w:p w14:paraId="56B9331D" w14:textId="5036D30C" w:rsidR="00BC508E" w:rsidRPr="00B8406B" w:rsidRDefault="00BC508E" w:rsidP="003B7C78">
      <w:pPr>
        <w:pStyle w:val="Heading2"/>
      </w:pPr>
      <w:bookmarkStart w:id="159" w:name="_Toc49331746"/>
      <w:bookmarkStart w:id="160" w:name="_Toc164328344"/>
      <w:bookmarkStart w:id="161" w:name="_Toc164328446"/>
      <w:r w:rsidRPr="00B8406B">
        <w:t xml:space="preserve">Equipment </w:t>
      </w:r>
      <w:r w:rsidR="00DC13D3" w:rsidRPr="00B8406B">
        <w:t>p</w:t>
      </w:r>
      <w:r w:rsidRPr="00B8406B">
        <w:t>urchase</w:t>
      </w:r>
      <w:bookmarkEnd w:id="159"/>
      <w:bookmarkEnd w:id="160"/>
      <w:bookmarkEnd w:id="161"/>
    </w:p>
    <w:p w14:paraId="663CB64B" w14:textId="6181625B" w:rsidR="008049C7" w:rsidRDefault="00FD1C4C" w:rsidP="00BC508E">
      <w:pPr>
        <w:rPr>
          <w:rFonts w:asciiTheme="minorHAnsi" w:hAnsiTheme="minorHAnsi" w:cstheme="minorHAnsi"/>
        </w:rPr>
      </w:pPr>
      <w:r>
        <w:rPr>
          <w:rFonts w:asciiTheme="minorHAnsi" w:hAnsiTheme="minorHAnsi" w:cstheme="minorHAnsi"/>
        </w:rPr>
        <w:t>Fundholders may consider t</w:t>
      </w:r>
      <w:r w:rsidR="00BC508E" w:rsidRPr="0008002F">
        <w:rPr>
          <w:rFonts w:asciiTheme="minorHAnsi" w:hAnsiTheme="minorHAnsi" w:cstheme="minorHAnsi"/>
        </w:rPr>
        <w:t>he purchase and maintenance of equipment</w:t>
      </w:r>
      <w:r w:rsidR="00BC508E">
        <w:rPr>
          <w:rFonts w:asciiTheme="minorHAnsi" w:hAnsiTheme="minorHAnsi" w:cstheme="minorHAnsi"/>
        </w:rPr>
        <w:t xml:space="preserve"> </w:t>
      </w:r>
      <w:r w:rsidR="00BC508E" w:rsidRPr="00260274">
        <w:t>under the VOS only</w:t>
      </w:r>
      <w:r w:rsidR="00BC508E" w:rsidRPr="0008002F">
        <w:rPr>
          <w:rFonts w:asciiTheme="minorHAnsi" w:hAnsiTheme="minorHAnsi" w:cstheme="minorHAnsi"/>
        </w:rPr>
        <w:t xml:space="preserve">. </w:t>
      </w:r>
      <w:r w:rsidR="00A00487">
        <w:rPr>
          <w:rFonts w:asciiTheme="minorHAnsi" w:hAnsiTheme="minorHAnsi" w:cstheme="minorHAnsi"/>
        </w:rPr>
        <w:t xml:space="preserve">Fundholders should consider the following when </w:t>
      </w:r>
      <w:r w:rsidR="00791924">
        <w:rPr>
          <w:rFonts w:asciiTheme="minorHAnsi" w:hAnsiTheme="minorHAnsi" w:cstheme="minorHAnsi"/>
        </w:rPr>
        <w:t xml:space="preserve">assessing requests for </w:t>
      </w:r>
      <w:r w:rsidR="00A00487">
        <w:rPr>
          <w:rFonts w:asciiTheme="minorHAnsi" w:hAnsiTheme="minorHAnsi" w:cstheme="minorHAnsi"/>
        </w:rPr>
        <w:t xml:space="preserve">purchasing </w:t>
      </w:r>
      <w:r w:rsidR="00791924">
        <w:rPr>
          <w:rFonts w:asciiTheme="minorHAnsi" w:hAnsiTheme="minorHAnsi" w:cstheme="minorHAnsi"/>
        </w:rPr>
        <w:t>(</w:t>
      </w:r>
      <w:r w:rsidR="00A00487">
        <w:rPr>
          <w:rFonts w:asciiTheme="minorHAnsi" w:hAnsiTheme="minorHAnsi" w:cstheme="minorHAnsi"/>
        </w:rPr>
        <w:t>and maintaining</w:t>
      </w:r>
      <w:r w:rsidR="00791924">
        <w:rPr>
          <w:rFonts w:asciiTheme="minorHAnsi" w:hAnsiTheme="minorHAnsi" w:cstheme="minorHAnsi"/>
        </w:rPr>
        <w:t>)</w:t>
      </w:r>
      <w:r w:rsidR="00A00487">
        <w:rPr>
          <w:rFonts w:asciiTheme="minorHAnsi" w:hAnsiTheme="minorHAnsi" w:cstheme="minorHAnsi"/>
        </w:rPr>
        <w:t xml:space="preserve"> equipment:</w:t>
      </w:r>
      <w:r w:rsidR="00A00487" w:rsidDel="00A00487">
        <w:rPr>
          <w:rFonts w:asciiTheme="minorHAnsi" w:hAnsiTheme="minorHAnsi" w:cstheme="minorHAnsi"/>
        </w:rPr>
        <w:t xml:space="preserve"> </w:t>
      </w:r>
    </w:p>
    <w:p w14:paraId="2097D4F5" w14:textId="792EA48E" w:rsidR="008049C7" w:rsidRPr="00247219" w:rsidRDefault="008049C7" w:rsidP="00B65018">
      <w:pPr>
        <w:pStyle w:val="ListBullet"/>
      </w:pPr>
      <w:r w:rsidRPr="00247219">
        <w:t>type of equipment</w:t>
      </w:r>
    </w:p>
    <w:p w14:paraId="19EABC00" w14:textId="0D6BC64A" w:rsidR="00BC508E" w:rsidRPr="00247219" w:rsidRDefault="008049C7" w:rsidP="00B65018">
      <w:pPr>
        <w:pStyle w:val="ListBullet"/>
      </w:pPr>
      <w:r w:rsidRPr="00247219">
        <w:t>availability of equipment in the area to receive services</w:t>
      </w:r>
    </w:p>
    <w:p w14:paraId="582E5B4A" w14:textId="7AA2AB2B" w:rsidR="008049C7" w:rsidRPr="00247219" w:rsidRDefault="008049C7" w:rsidP="00B65018">
      <w:pPr>
        <w:pStyle w:val="ListBullet"/>
      </w:pPr>
      <w:r w:rsidRPr="00247219">
        <w:t>ability to lease equipment</w:t>
      </w:r>
    </w:p>
    <w:p w14:paraId="27C9C929" w14:textId="4D8D89DB" w:rsidR="008049C7" w:rsidRPr="00247219" w:rsidRDefault="008049C7" w:rsidP="00B65018">
      <w:pPr>
        <w:pStyle w:val="ListBullet"/>
      </w:pPr>
      <w:r w:rsidRPr="00247219">
        <w:t>how often services are to be provided</w:t>
      </w:r>
    </w:p>
    <w:p w14:paraId="7E649F07" w14:textId="166CE57A" w:rsidR="002231BA" w:rsidRPr="00247219" w:rsidRDefault="002231BA" w:rsidP="00B65018">
      <w:pPr>
        <w:pStyle w:val="ListBullet"/>
      </w:pPr>
      <w:r w:rsidRPr="00247219">
        <w:t>ability for the equipment to be maintained</w:t>
      </w:r>
    </w:p>
    <w:p w14:paraId="2F64D2FE" w14:textId="453C0DD8" w:rsidR="00A00487" w:rsidRPr="00247219" w:rsidRDefault="00A00487" w:rsidP="00B65018">
      <w:pPr>
        <w:pStyle w:val="ListBullet"/>
      </w:pPr>
      <w:r w:rsidRPr="00247219">
        <w:t>impact on the overall VOS budget</w:t>
      </w:r>
      <w:r w:rsidR="00D45513" w:rsidRPr="00247219">
        <w:t>.</w:t>
      </w:r>
    </w:p>
    <w:p w14:paraId="3C3C736C" w14:textId="77777777" w:rsidR="00BC508E" w:rsidRPr="00B65018" w:rsidRDefault="00BC508E" w:rsidP="00B65018">
      <w:r w:rsidRPr="00B65018">
        <w:t xml:space="preserve">The cost of transportation of equipment (on commercial transport) for use by the Health Professionals delivering services through other Outreach Programs may be considered. </w:t>
      </w:r>
    </w:p>
    <w:p w14:paraId="7624D192" w14:textId="48FFBFC6" w:rsidR="00BC508E" w:rsidRPr="00B8406B" w:rsidRDefault="00BC508E" w:rsidP="003B7C78">
      <w:pPr>
        <w:pStyle w:val="Heading2"/>
      </w:pPr>
      <w:bookmarkStart w:id="162" w:name="_Toc49331747"/>
      <w:bookmarkStart w:id="163" w:name="_Toc164328345"/>
      <w:bookmarkStart w:id="164" w:name="_Toc164328447"/>
      <w:r w:rsidRPr="00B8406B">
        <w:t xml:space="preserve">Host </w:t>
      </w:r>
      <w:r w:rsidR="00DC13D3" w:rsidRPr="00B8406B">
        <w:t>f</w:t>
      </w:r>
      <w:r w:rsidRPr="00B8406B">
        <w:t xml:space="preserve">acility </w:t>
      </w:r>
      <w:r w:rsidR="00DC13D3" w:rsidRPr="00B8406B">
        <w:t>f</w:t>
      </w:r>
      <w:r w:rsidRPr="00B8406B">
        <w:t>ees</w:t>
      </w:r>
      <w:bookmarkEnd w:id="162"/>
      <w:bookmarkEnd w:id="163"/>
      <w:bookmarkEnd w:id="164"/>
    </w:p>
    <w:p w14:paraId="7D88B7FC" w14:textId="2FB8CDA2" w:rsidR="00BC508E" w:rsidRPr="00B65018" w:rsidRDefault="00BC508E" w:rsidP="00B65018">
      <w:r w:rsidRPr="00B65018">
        <w:t xml:space="preserve">Fees incurred in hiring appropriate venues or facilities to support either outreach service provision or upskilling activities will be paid as appropriate. The suggested maximum facility fee payable for any venue is $200 per day (GST exclusive). However, as suitable facilities in some locations may be more expensive due to seasonal variations, or availability, consideration </w:t>
      </w:r>
      <w:r w:rsidR="005A61D0" w:rsidRPr="00B65018">
        <w:t xml:space="preserve">can </w:t>
      </w:r>
      <w:r w:rsidRPr="00B65018">
        <w:t xml:space="preserve">be given by the </w:t>
      </w:r>
      <w:r w:rsidR="00247219" w:rsidRPr="00B65018">
        <w:t>F</w:t>
      </w:r>
      <w:r w:rsidR="005A61D0" w:rsidRPr="00B65018">
        <w:t xml:space="preserve">undholder </w:t>
      </w:r>
      <w:r w:rsidRPr="00B65018">
        <w:t xml:space="preserve">to paying </w:t>
      </w:r>
      <w:r w:rsidR="00EA5C68" w:rsidRPr="00B65018">
        <w:t xml:space="preserve">a </w:t>
      </w:r>
      <w:r w:rsidRPr="00B65018">
        <w:t xml:space="preserve">higher rate on a </w:t>
      </w:r>
      <w:r w:rsidR="00E22887" w:rsidRPr="00B65018">
        <w:t>case-by-case</w:t>
      </w:r>
      <w:r w:rsidRPr="00B65018">
        <w:t xml:space="preserve"> basis.</w:t>
      </w:r>
      <w:r w:rsidR="002D19A0" w:rsidRPr="00B65018">
        <w:t xml:space="preserve"> </w:t>
      </w:r>
    </w:p>
    <w:p w14:paraId="584A483B" w14:textId="7E431D54" w:rsidR="001368B0" w:rsidRPr="00B65018" w:rsidRDefault="001368B0" w:rsidP="00B65018">
      <w:r w:rsidRPr="00B65018">
        <w:t xml:space="preserve">To be eligible for Host Facility Fees, the venue or facility used to support outreach service provision must be separate to an organisation engaged to deliver outreach services. </w:t>
      </w:r>
    </w:p>
    <w:p w14:paraId="010738C2" w14:textId="1060964C" w:rsidR="00BC508E" w:rsidRPr="00B8406B" w:rsidRDefault="00BC508E" w:rsidP="003B7C78">
      <w:pPr>
        <w:pStyle w:val="Heading2"/>
      </w:pPr>
      <w:bookmarkStart w:id="165" w:name="_Toc85256746"/>
      <w:bookmarkStart w:id="166" w:name="_Toc85256751"/>
      <w:bookmarkStart w:id="167" w:name="_Toc85256753"/>
      <w:bookmarkStart w:id="168" w:name="_Toc49331748"/>
      <w:bookmarkStart w:id="169" w:name="_Toc164328346"/>
      <w:bookmarkStart w:id="170" w:name="_Toc164328448"/>
      <w:bookmarkEnd w:id="1"/>
      <w:bookmarkEnd w:id="151"/>
      <w:bookmarkEnd w:id="152"/>
      <w:bookmarkEnd w:id="153"/>
      <w:bookmarkEnd w:id="154"/>
      <w:bookmarkEnd w:id="155"/>
      <w:bookmarkEnd w:id="165"/>
      <w:bookmarkEnd w:id="166"/>
      <w:bookmarkEnd w:id="167"/>
      <w:r w:rsidRPr="00B8406B">
        <w:t xml:space="preserve">Hospital </w:t>
      </w:r>
      <w:r w:rsidR="00DC13D3" w:rsidRPr="00B8406B">
        <w:t>s</w:t>
      </w:r>
      <w:r w:rsidRPr="00B8406B">
        <w:t>ervices</w:t>
      </w:r>
      <w:bookmarkEnd w:id="168"/>
      <w:bookmarkEnd w:id="169"/>
      <w:bookmarkEnd w:id="170"/>
    </w:p>
    <w:p w14:paraId="0D1927D9" w14:textId="3BE093EF" w:rsidR="00BC508E" w:rsidRPr="00B65018" w:rsidRDefault="00BC508E" w:rsidP="00B65018">
      <w:r w:rsidRPr="00B65018">
        <w:t>Hospital services</w:t>
      </w:r>
      <w:r w:rsidR="00C157DF" w:rsidRPr="00B65018">
        <w:t xml:space="preserve"> are limited to surgical support services provided under the EESS program only and </w:t>
      </w:r>
      <w:r w:rsidRPr="00B65018">
        <w:t xml:space="preserve">refer to clinical services that take place in a hospital. </w:t>
      </w:r>
      <w:r w:rsidR="00C157DF" w:rsidRPr="00B65018">
        <w:t xml:space="preserve">Additional information on eligible EESS expenditure </w:t>
      </w:r>
      <w:r w:rsidR="00C157DF" w:rsidRPr="00B65018">
        <w:lastRenderedPageBreak/>
        <w:t xml:space="preserve">can be found at </w:t>
      </w:r>
      <w:r w:rsidR="00E22887" w:rsidRPr="00B65018">
        <w:t xml:space="preserve">Section </w:t>
      </w:r>
      <w:r w:rsidR="00C157DF" w:rsidRPr="00B65018">
        <w:t xml:space="preserve">5.3 and in </w:t>
      </w:r>
      <w:r w:rsidR="00E22887" w:rsidRPr="00B65018">
        <w:t xml:space="preserve">the </w:t>
      </w:r>
      <w:r w:rsidR="00C157DF" w:rsidRPr="00B65018">
        <w:t xml:space="preserve">Standard Grant Agreement. </w:t>
      </w:r>
      <w:r w:rsidRPr="00B65018">
        <w:t xml:space="preserve">Funding cannot be used to cover the cost of surgery. Health Professionals must bill Medicare. </w:t>
      </w:r>
    </w:p>
    <w:p w14:paraId="191A5A3F" w14:textId="77777777" w:rsidR="00BC508E" w:rsidRPr="00B65018" w:rsidRDefault="00BC508E" w:rsidP="00B65018">
      <w:r w:rsidRPr="00B65018">
        <w:t>The provision of all other hospital services to public patients is the responsibility of State/Territory governments under the Australian Health Care Agreements and will not be met through the Outreach Programs.</w:t>
      </w:r>
    </w:p>
    <w:p w14:paraId="2304DA86" w14:textId="77777777" w:rsidR="00BC508E" w:rsidRPr="00B65018" w:rsidRDefault="00BC508E" w:rsidP="00B65018">
      <w:r w:rsidRPr="00B65018">
        <w:t>Any proposed arrangement outside of these parameters must be approved by the Department in line with Special Arrangements, as outlined below.</w:t>
      </w:r>
    </w:p>
    <w:p w14:paraId="0C400848" w14:textId="0474E138" w:rsidR="00BC508E" w:rsidRPr="00B8406B" w:rsidRDefault="00BC508E" w:rsidP="003B7C78">
      <w:pPr>
        <w:pStyle w:val="Heading2"/>
      </w:pPr>
      <w:bookmarkStart w:id="171" w:name="_Toc49331749"/>
      <w:bookmarkStart w:id="172" w:name="_Toc164328347"/>
      <w:bookmarkStart w:id="173" w:name="_Toc164328449"/>
      <w:r w:rsidRPr="00B8406B">
        <w:t>Support payments for visiting Health Professionals</w:t>
      </w:r>
      <w:bookmarkEnd w:id="171"/>
      <w:bookmarkEnd w:id="172"/>
      <w:bookmarkEnd w:id="173"/>
      <w:r w:rsidRPr="00B8406B">
        <w:t xml:space="preserve"> </w:t>
      </w:r>
    </w:p>
    <w:p w14:paraId="0F8A79D4" w14:textId="59603680" w:rsidR="00BC508E" w:rsidRPr="006C32F5" w:rsidRDefault="00BC508E" w:rsidP="00C7539A">
      <w:pPr>
        <w:pStyle w:val="Heading3"/>
      </w:pPr>
      <w:bookmarkStart w:id="174" w:name="_Toc49331750"/>
      <w:bookmarkStart w:id="175" w:name="_Toc164328348"/>
      <w:bookmarkStart w:id="176" w:name="_Toc164328450"/>
      <w:r w:rsidRPr="006C32F5">
        <w:t xml:space="preserve">Administrative </w:t>
      </w:r>
      <w:r w:rsidR="00DC13D3" w:rsidRPr="006C32F5">
        <w:t>s</w:t>
      </w:r>
      <w:r w:rsidRPr="006C32F5">
        <w:t>upport</w:t>
      </w:r>
      <w:bookmarkEnd w:id="174"/>
      <w:bookmarkEnd w:id="175"/>
      <w:bookmarkEnd w:id="176"/>
    </w:p>
    <w:p w14:paraId="4E7076AB" w14:textId="77777777" w:rsidR="00BC508E" w:rsidRPr="00B65018" w:rsidRDefault="00BC508E" w:rsidP="00B65018">
      <w:r w:rsidRPr="00B65018">
        <w:t>Participating Health Professionals may receive funding for administrative costs associated with the delivery of outreach services, such as the organisation of appointments, processing of correspondence and follow up with patients.</w:t>
      </w:r>
    </w:p>
    <w:p w14:paraId="4B856C9A" w14:textId="4AF65EB2" w:rsidR="00BC508E" w:rsidRPr="00B65018" w:rsidRDefault="00BC508E" w:rsidP="00B65018">
      <w:r w:rsidRPr="00B65018">
        <w:t xml:space="preserve">Outreach Programs may cover the cost of administrative support for </w:t>
      </w:r>
      <w:r w:rsidR="000572C4" w:rsidRPr="00B65018">
        <w:t xml:space="preserve">the number of hours </w:t>
      </w:r>
      <w:r w:rsidRPr="00B65018">
        <w:t xml:space="preserve">up to </w:t>
      </w:r>
      <w:r w:rsidR="000572C4" w:rsidRPr="00B65018">
        <w:t xml:space="preserve">the number </w:t>
      </w:r>
      <w:r w:rsidRPr="00B65018">
        <w:t>work</w:t>
      </w:r>
      <w:r w:rsidR="000572C4" w:rsidRPr="00B65018">
        <w:t>ed</w:t>
      </w:r>
      <w:r w:rsidRPr="00B65018">
        <w:t xml:space="preserve"> by the Health Professional</w:t>
      </w:r>
      <w:r w:rsidR="000572C4" w:rsidRPr="00B65018">
        <w:t xml:space="preserve"> for consultations/treatments</w:t>
      </w:r>
      <w:r w:rsidRPr="00B65018">
        <w:t>. The rate payable for administrative support should be equivalent to the hourly rate paid for administrative support in the State or Territory of the service at a grade 2 or 3 level depending on the complexity of the work.</w:t>
      </w:r>
      <w:r w:rsidR="006B3C37" w:rsidRPr="00B65018">
        <w:t xml:space="preserve"> </w:t>
      </w:r>
    </w:p>
    <w:p w14:paraId="58A43672" w14:textId="77777777" w:rsidR="00BC508E" w:rsidRPr="00B65018" w:rsidRDefault="00BC508E" w:rsidP="00B65018">
      <w:r w:rsidRPr="00B65018">
        <w:t>Administrative support staff will not be funded during the time the visiting Health Professional provides upskilling to local Health Professionals.</w:t>
      </w:r>
    </w:p>
    <w:p w14:paraId="2EC99FD6" w14:textId="77777777" w:rsidR="00BC508E" w:rsidRPr="00B65018" w:rsidRDefault="00BC508E" w:rsidP="00B65018">
      <w:r w:rsidRPr="00B65018">
        <w:t>Any person providing assistance to visiting Health Professionals is engaged under an arrangement with the Fundholder, host service, or visiting service provider, and has no claim as an employee of the Australian Government.  The Australian Government will not cover any costs associated with employment and/ or termination of administrative support staff.</w:t>
      </w:r>
    </w:p>
    <w:p w14:paraId="0805A837" w14:textId="16AADD8A" w:rsidR="00BC508E" w:rsidRPr="006C32F5" w:rsidRDefault="00BC508E" w:rsidP="00C7539A">
      <w:pPr>
        <w:pStyle w:val="Heading3"/>
      </w:pPr>
      <w:bookmarkStart w:id="177" w:name="_Toc49331751"/>
      <w:bookmarkStart w:id="178" w:name="_Toc164328349"/>
      <w:bookmarkStart w:id="179" w:name="_Toc164328451"/>
      <w:r w:rsidRPr="006C32F5">
        <w:t xml:space="preserve">Registrars, </w:t>
      </w:r>
      <w:r w:rsidR="00DC13D3" w:rsidRPr="006C32F5">
        <w:t>t</w:t>
      </w:r>
      <w:r w:rsidRPr="006C32F5">
        <w:t xml:space="preserve">echnical </w:t>
      </w:r>
      <w:r w:rsidR="00DC13D3" w:rsidRPr="006C32F5">
        <w:t>s</w:t>
      </w:r>
      <w:r w:rsidRPr="006C32F5">
        <w:t xml:space="preserve">taff and accompanying Health Professionals’ </w:t>
      </w:r>
      <w:r w:rsidR="00DC13D3" w:rsidRPr="006C32F5">
        <w:t>a</w:t>
      </w:r>
      <w:r w:rsidRPr="006C32F5">
        <w:t>ssistants</w:t>
      </w:r>
      <w:bookmarkEnd w:id="177"/>
      <w:bookmarkEnd w:id="178"/>
      <w:bookmarkEnd w:id="179"/>
    </w:p>
    <w:p w14:paraId="5C1306CB" w14:textId="77777777" w:rsidR="00BC508E" w:rsidRPr="00C669B8" w:rsidRDefault="00BC508E" w:rsidP="00BC508E">
      <w:pPr>
        <w:rPr>
          <w:rFonts w:asciiTheme="minorHAnsi" w:hAnsiTheme="minorHAnsi" w:cstheme="minorHAnsi"/>
        </w:rPr>
      </w:pPr>
      <w:r w:rsidRPr="00C669B8">
        <w:rPr>
          <w:rFonts w:asciiTheme="minorHAnsi" w:hAnsiTheme="minorHAnsi" w:cstheme="minorHAnsi"/>
        </w:rPr>
        <w:t>Backfilling, travel costs, accommodation, meals and incidentals, for accompanying staff with specific technical skills/qualifications required to assist with procedures will be considered only where such personnel are not available locally.</w:t>
      </w:r>
    </w:p>
    <w:p w14:paraId="60F87827" w14:textId="3BA723B6" w:rsidR="00BC508E" w:rsidRPr="00C669B8" w:rsidRDefault="00BC508E" w:rsidP="00BC508E">
      <w:pPr>
        <w:rPr>
          <w:rFonts w:asciiTheme="minorHAnsi" w:hAnsiTheme="minorHAnsi" w:cstheme="minorHAnsi"/>
        </w:rPr>
      </w:pPr>
      <w:r w:rsidRPr="00C669B8">
        <w:rPr>
          <w:rFonts w:asciiTheme="minorHAnsi" w:hAnsiTheme="minorHAnsi" w:cstheme="minorHAnsi"/>
        </w:rPr>
        <w:t xml:space="preserve">It is preferred that, where possible, staff are recruited locally and upskilled if needed. </w:t>
      </w:r>
    </w:p>
    <w:p w14:paraId="37266B47" w14:textId="3401B433" w:rsidR="00BC508E" w:rsidRPr="006C32F5" w:rsidRDefault="00BC508E" w:rsidP="00C7539A">
      <w:pPr>
        <w:pStyle w:val="Heading3"/>
      </w:pPr>
      <w:bookmarkStart w:id="180" w:name="_Toc49331752"/>
      <w:bookmarkStart w:id="181" w:name="_Toc164328350"/>
      <w:bookmarkStart w:id="182" w:name="_Toc164328452"/>
      <w:r w:rsidRPr="006C32F5">
        <w:t xml:space="preserve">Allied health </w:t>
      </w:r>
      <w:r w:rsidR="008049C7" w:rsidRPr="006C32F5">
        <w:t xml:space="preserve">and optometry </w:t>
      </w:r>
      <w:r w:rsidRPr="006C32F5">
        <w:t>students</w:t>
      </w:r>
      <w:bookmarkEnd w:id="180"/>
      <w:bookmarkEnd w:id="181"/>
      <w:bookmarkEnd w:id="182"/>
    </w:p>
    <w:p w14:paraId="547AEB31" w14:textId="7A3D81C5" w:rsidR="006C177A" w:rsidRPr="00260274" w:rsidRDefault="00BC508E" w:rsidP="00260274">
      <w:r w:rsidRPr="00260274">
        <w:t xml:space="preserve">To support sustainable rural and remote allied health </w:t>
      </w:r>
      <w:r w:rsidR="008049C7" w:rsidRPr="00260274">
        <w:t xml:space="preserve">and optometry </w:t>
      </w:r>
      <w:r w:rsidRPr="00260274">
        <w:t xml:space="preserve">services, travel costs, accommodation, meals and incidentals can be provided for students wishing to gain exposure to outreach service provision by accompanying outreach funded </w:t>
      </w:r>
      <w:r w:rsidR="00F34C3F" w:rsidRPr="00260274">
        <w:t>Health Professionals</w:t>
      </w:r>
      <w:r w:rsidRPr="00260274">
        <w:t xml:space="preserve"> during visits.</w:t>
      </w:r>
    </w:p>
    <w:p w14:paraId="57EE46FA" w14:textId="0ADCD242" w:rsidR="00BC508E" w:rsidRPr="00260274" w:rsidRDefault="000B7703" w:rsidP="00260274">
      <w:r w:rsidRPr="00260274">
        <w:t xml:space="preserve">Learning objectives must be clearly defined. </w:t>
      </w:r>
      <w:r w:rsidR="00BC508E" w:rsidRPr="00260274">
        <w:t xml:space="preserve">The Fundholder will negotiate arrangements with the principal outreach provider prior to undertaking services, taking account of efficient use of overall program funds. </w:t>
      </w:r>
    </w:p>
    <w:p w14:paraId="6B25C9E5" w14:textId="406AE3CA" w:rsidR="00BC508E" w:rsidRPr="006C32F5" w:rsidRDefault="00BC508E" w:rsidP="00C7539A">
      <w:pPr>
        <w:pStyle w:val="Heading3"/>
      </w:pPr>
      <w:bookmarkStart w:id="183" w:name="_Toc49331753"/>
      <w:bookmarkStart w:id="184" w:name="_Toc164328351"/>
      <w:bookmarkStart w:id="185" w:name="_Toc164328453"/>
      <w:r w:rsidRPr="006C32F5">
        <w:t xml:space="preserve">Cultural </w:t>
      </w:r>
      <w:r w:rsidR="00DC13D3" w:rsidRPr="006C32F5">
        <w:t>t</w:t>
      </w:r>
      <w:r w:rsidRPr="006C32F5">
        <w:t xml:space="preserve">raining and </w:t>
      </w:r>
      <w:r w:rsidR="00DC13D3" w:rsidRPr="006C32F5">
        <w:t>o</w:t>
      </w:r>
      <w:r w:rsidRPr="006C32F5">
        <w:t>rientation</w:t>
      </w:r>
      <w:bookmarkEnd w:id="183"/>
      <w:bookmarkEnd w:id="184"/>
      <w:bookmarkEnd w:id="185"/>
    </w:p>
    <w:p w14:paraId="23BF57AB" w14:textId="77777777" w:rsidR="00BC508E" w:rsidRPr="00260274" w:rsidRDefault="00BC508E" w:rsidP="00260274">
      <w:r w:rsidRPr="00260274">
        <w:t>In recognition of the diverse cultural environments in which visiting Health Professionals may be required to work, the Outreach Programs may provide funding for cultural training and orientation for Health Professionals who provide outreach services.  The method of delivery is flexible and may take the form of a formal cultural awareness course provided by facilitators/presenters and/or self-learning cultural awareness education program.</w:t>
      </w:r>
    </w:p>
    <w:p w14:paraId="7E931029" w14:textId="77777777" w:rsidR="00BC508E" w:rsidRPr="00260274" w:rsidRDefault="00BC508E" w:rsidP="00260274">
      <w:r w:rsidRPr="00260274">
        <w:t>Non</w:t>
      </w:r>
      <w:r w:rsidRPr="00260274">
        <w:noBreakHyphen/>
        <w:t>salaried private Health Professionals providing outreach services may claim Travel Time Allowance for the time they attend cultural training and orientation.</w:t>
      </w:r>
    </w:p>
    <w:p w14:paraId="6ADFFB50" w14:textId="5FB19F5D" w:rsidR="00BC508E" w:rsidRPr="006C32F5" w:rsidRDefault="00BC508E" w:rsidP="00C7539A">
      <w:pPr>
        <w:pStyle w:val="Heading3"/>
      </w:pPr>
      <w:bookmarkStart w:id="186" w:name="_Toc49331754"/>
      <w:bookmarkStart w:id="187" w:name="_Toc164328352"/>
      <w:bookmarkStart w:id="188" w:name="_Toc164328454"/>
      <w:r w:rsidRPr="006C32F5">
        <w:lastRenderedPageBreak/>
        <w:t xml:space="preserve">Travel Time </w:t>
      </w:r>
      <w:r w:rsidR="007C6CBA" w:rsidRPr="006C32F5">
        <w:t>A</w:t>
      </w:r>
      <w:r w:rsidRPr="006C32F5">
        <w:t>llowance</w:t>
      </w:r>
      <w:bookmarkEnd w:id="186"/>
      <w:bookmarkEnd w:id="187"/>
      <w:bookmarkEnd w:id="188"/>
    </w:p>
    <w:p w14:paraId="2DB9272C" w14:textId="77777777" w:rsidR="00BC508E" w:rsidRPr="00B65018" w:rsidRDefault="00BC508E" w:rsidP="00B65018">
      <w:r w:rsidRPr="00B65018">
        <w:t xml:space="preserve">An allowance is payable to non-salaried private Health Professionals and accompanying registrars to compensate for loss of business opportunity due to the time spent travelling to and from a location where they are delivering an outreach service and/or upskilling.  </w:t>
      </w:r>
    </w:p>
    <w:p w14:paraId="3320873F" w14:textId="0200FCAE" w:rsidR="00BC508E" w:rsidRPr="00B65018" w:rsidRDefault="00BC508E" w:rsidP="00B65018">
      <w:r w:rsidRPr="00B65018">
        <w:t xml:space="preserve">The hourly rate payable is consistent with the fee-for-service hourly rates paid by the relevant State/Territory government, area health service or local hospital (depending on the organisational level at which these payments are established in the State/Territory). </w:t>
      </w:r>
    </w:p>
    <w:p w14:paraId="2FFF1BC6" w14:textId="3C3B8A9A" w:rsidR="008D102E" w:rsidRPr="006C32F5" w:rsidRDefault="008D102E" w:rsidP="00C7539A">
      <w:pPr>
        <w:pStyle w:val="Heading3"/>
      </w:pPr>
      <w:bookmarkStart w:id="189" w:name="_Toc164328353"/>
      <w:bookmarkStart w:id="190" w:name="_Toc164328455"/>
      <w:r w:rsidRPr="006C32F5">
        <w:t xml:space="preserve">Travel Time </w:t>
      </w:r>
      <w:r w:rsidR="007C6CBA" w:rsidRPr="006C32F5">
        <w:t>A</w:t>
      </w:r>
      <w:r w:rsidRPr="006C32F5">
        <w:t>llowance under the VOS</w:t>
      </w:r>
      <w:bookmarkEnd w:id="189"/>
      <w:bookmarkEnd w:id="190"/>
    </w:p>
    <w:p w14:paraId="3F0C1029" w14:textId="0A6E0111" w:rsidR="00296499" w:rsidRPr="009977B5" w:rsidRDefault="00296499" w:rsidP="009977B5">
      <w:pPr>
        <w:rPr>
          <w:rFonts w:asciiTheme="minorHAnsi" w:hAnsiTheme="minorHAnsi" w:cstheme="minorHAnsi"/>
        </w:rPr>
      </w:pPr>
      <w:bookmarkStart w:id="191" w:name="_Toc49331755"/>
      <w:r w:rsidRPr="009977B5">
        <w:rPr>
          <w:rFonts w:asciiTheme="minorHAnsi" w:hAnsiTheme="minorHAnsi" w:cstheme="minorHAnsi"/>
        </w:rPr>
        <w:t>To compensate for time spent travelling to and from an outreach location to deliver VOS supported services, an allowance is payable for salaried optometrists employed by private/non-government organisations delivering VOS services.</w:t>
      </w:r>
    </w:p>
    <w:p w14:paraId="29BCC5DE" w14:textId="6514D503" w:rsidR="00296499" w:rsidRPr="009977B5" w:rsidRDefault="00296499" w:rsidP="009977B5">
      <w:pPr>
        <w:rPr>
          <w:rFonts w:asciiTheme="minorHAnsi" w:hAnsiTheme="minorHAnsi" w:cstheme="minorHAnsi"/>
        </w:rPr>
      </w:pPr>
      <w:r w:rsidRPr="009977B5">
        <w:rPr>
          <w:rFonts w:asciiTheme="minorHAnsi" w:hAnsiTheme="minorHAnsi" w:cstheme="minorHAnsi"/>
        </w:rPr>
        <w:t xml:space="preserve">The </w:t>
      </w:r>
      <w:r w:rsidR="00AA0E9E" w:rsidRPr="009977B5">
        <w:rPr>
          <w:rFonts w:asciiTheme="minorHAnsi" w:hAnsiTheme="minorHAnsi" w:cstheme="minorHAnsi"/>
        </w:rPr>
        <w:t xml:space="preserve">suggested </w:t>
      </w:r>
      <w:r w:rsidRPr="009977B5">
        <w:rPr>
          <w:rFonts w:asciiTheme="minorHAnsi" w:hAnsiTheme="minorHAnsi" w:cstheme="minorHAnsi"/>
        </w:rPr>
        <w:t xml:space="preserve">hourly rate payable is </w:t>
      </w:r>
      <w:r w:rsidR="00D0495C" w:rsidRPr="009977B5">
        <w:rPr>
          <w:rFonts w:asciiTheme="minorHAnsi" w:hAnsiTheme="minorHAnsi" w:cstheme="minorHAnsi"/>
        </w:rPr>
        <w:t>three</w:t>
      </w:r>
      <w:r w:rsidRPr="009977B5">
        <w:rPr>
          <w:rFonts w:asciiTheme="minorHAnsi" w:hAnsiTheme="minorHAnsi" w:cstheme="minorHAnsi"/>
        </w:rPr>
        <w:t xml:space="preserve"> times the current rate paid for Medical Benefits Schedule Item 10910 </w:t>
      </w:r>
      <w:r w:rsidR="00D279E8">
        <w:rPr>
          <w:rFonts w:asciiTheme="minorHAnsi" w:hAnsiTheme="minorHAnsi" w:cstheme="minorHAnsi"/>
        </w:rPr>
        <w:t>(</w:t>
      </w:r>
      <w:r w:rsidRPr="009977B5">
        <w:rPr>
          <w:rFonts w:asciiTheme="minorHAnsi" w:hAnsiTheme="minorHAnsi" w:cstheme="minorHAnsi"/>
        </w:rPr>
        <w:t>Initial consultation</w:t>
      </w:r>
      <w:r w:rsidR="00D279E8">
        <w:rPr>
          <w:rFonts w:asciiTheme="minorHAnsi" w:hAnsiTheme="minorHAnsi" w:cstheme="minorHAnsi"/>
        </w:rPr>
        <w:t>)</w:t>
      </w:r>
      <w:r w:rsidR="00AA0E9E" w:rsidRPr="009977B5">
        <w:rPr>
          <w:rFonts w:asciiTheme="minorHAnsi" w:hAnsiTheme="minorHAnsi" w:cstheme="minorHAnsi"/>
        </w:rPr>
        <w:t xml:space="preserve">, but </w:t>
      </w:r>
      <w:r w:rsidR="00EE26E2">
        <w:rPr>
          <w:rFonts w:asciiTheme="minorHAnsi" w:hAnsiTheme="minorHAnsi" w:cstheme="minorHAnsi"/>
        </w:rPr>
        <w:t>F</w:t>
      </w:r>
      <w:r w:rsidR="00AA0E9E" w:rsidRPr="009977B5">
        <w:rPr>
          <w:rFonts w:asciiTheme="minorHAnsi" w:hAnsiTheme="minorHAnsi" w:cstheme="minorHAnsi"/>
        </w:rPr>
        <w:t>undholders have discretion to determine the rate they pay. Value for money must be considered</w:t>
      </w:r>
      <w:r w:rsidRPr="009977B5">
        <w:rPr>
          <w:rFonts w:asciiTheme="minorHAnsi" w:hAnsiTheme="minorHAnsi" w:cstheme="minorHAnsi"/>
        </w:rPr>
        <w:t>.</w:t>
      </w:r>
      <w:r w:rsidR="00DC0FC7" w:rsidRPr="009977B5">
        <w:rPr>
          <w:rFonts w:asciiTheme="minorHAnsi" w:hAnsiTheme="minorHAnsi" w:cstheme="minorHAnsi"/>
        </w:rPr>
        <w:t xml:space="preserve"> </w:t>
      </w:r>
    </w:p>
    <w:p w14:paraId="01F14193" w14:textId="53410B4A" w:rsidR="00BC508E" w:rsidRPr="006C32F5" w:rsidRDefault="00BC508E" w:rsidP="00C7539A">
      <w:pPr>
        <w:pStyle w:val="Heading3"/>
      </w:pPr>
      <w:bookmarkStart w:id="192" w:name="_Toc164328354"/>
      <w:bookmarkStart w:id="193" w:name="_Toc164328456"/>
      <w:r w:rsidRPr="006C32F5">
        <w:t xml:space="preserve">Workforce </w:t>
      </w:r>
      <w:r w:rsidR="00DC13D3" w:rsidRPr="006C32F5">
        <w:t>s</w:t>
      </w:r>
      <w:r w:rsidRPr="006C32F5">
        <w:t>upport</w:t>
      </w:r>
      <w:bookmarkEnd w:id="191"/>
      <w:bookmarkEnd w:id="192"/>
      <w:bookmarkEnd w:id="193"/>
      <w:r w:rsidRPr="006C32F5">
        <w:t xml:space="preserve"> </w:t>
      </w:r>
    </w:p>
    <w:p w14:paraId="1F6D5508" w14:textId="3F2D9C28" w:rsidR="00BC508E" w:rsidRPr="00C669B8" w:rsidRDefault="00BC508E" w:rsidP="00BC508E">
      <w:pPr>
        <w:rPr>
          <w:rFonts w:asciiTheme="minorHAnsi" w:hAnsiTheme="minorHAnsi" w:cstheme="minorHAnsi"/>
        </w:rPr>
      </w:pPr>
      <w:r w:rsidRPr="00C669B8">
        <w:rPr>
          <w:rFonts w:asciiTheme="minorHAnsi" w:hAnsiTheme="minorHAnsi" w:cstheme="minorHAnsi"/>
        </w:rPr>
        <w:t xml:space="preserve">Under exceptional circumstances, financial support (at sessional rates) may be available to private Health Professionals </w:t>
      </w:r>
      <w:r w:rsidR="002D5EC1">
        <w:rPr>
          <w:rFonts w:asciiTheme="minorHAnsi" w:hAnsiTheme="minorHAnsi" w:cstheme="minorHAnsi"/>
        </w:rPr>
        <w:t xml:space="preserve">(including </w:t>
      </w:r>
      <w:r w:rsidRPr="00C669B8">
        <w:rPr>
          <w:rFonts w:asciiTheme="minorHAnsi" w:hAnsiTheme="minorHAnsi" w:cstheme="minorHAnsi"/>
        </w:rPr>
        <w:t>allied Health Professionals</w:t>
      </w:r>
      <w:r w:rsidR="002D5EC1">
        <w:rPr>
          <w:rFonts w:asciiTheme="minorHAnsi" w:hAnsiTheme="minorHAnsi" w:cstheme="minorHAnsi"/>
        </w:rPr>
        <w:t>)</w:t>
      </w:r>
      <w:r w:rsidR="008D4383">
        <w:rPr>
          <w:rFonts w:asciiTheme="minorHAnsi" w:hAnsiTheme="minorHAnsi" w:cstheme="minorHAnsi"/>
        </w:rPr>
        <w:t>.</w:t>
      </w:r>
      <w:r w:rsidRPr="00C669B8">
        <w:rPr>
          <w:rFonts w:asciiTheme="minorHAnsi" w:hAnsiTheme="minorHAnsi" w:cstheme="minorHAnsi"/>
        </w:rPr>
        <w:t xml:space="preserve"> </w:t>
      </w:r>
      <w:r w:rsidR="002D19A0">
        <w:rPr>
          <w:rFonts w:asciiTheme="minorHAnsi" w:hAnsiTheme="minorHAnsi" w:cstheme="minorHAnsi"/>
        </w:rPr>
        <w:t xml:space="preserve">Workforce support payments should be prioritised in MMM3 to MMM7 locations and </w:t>
      </w:r>
      <w:r w:rsidR="008D4383">
        <w:rPr>
          <w:rFonts w:asciiTheme="minorHAnsi" w:hAnsiTheme="minorHAnsi" w:cstheme="minorHAnsi"/>
        </w:rPr>
        <w:t>must only be used as a last resort where services would otherwise not be provided.</w:t>
      </w:r>
    </w:p>
    <w:p w14:paraId="4063E954" w14:textId="38C1D381" w:rsidR="00BC508E" w:rsidRPr="00C669B8" w:rsidRDefault="00BC508E" w:rsidP="00BC508E">
      <w:pPr>
        <w:rPr>
          <w:rFonts w:asciiTheme="minorHAnsi" w:hAnsiTheme="minorHAnsi" w:cstheme="minorHAnsi"/>
        </w:rPr>
      </w:pPr>
      <w:r w:rsidRPr="00C669B8">
        <w:rPr>
          <w:rFonts w:asciiTheme="minorHAnsi" w:hAnsiTheme="minorHAnsi" w:cstheme="minorHAnsi"/>
        </w:rPr>
        <w:t>A workforce support payment may be paid in circumstances where access to Medical Benefits Schedule (MBS) payments are not assured or patient attendance at appointments is uncertain.</w:t>
      </w:r>
    </w:p>
    <w:p w14:paraId="53FB08B1" w14:textId="77777777" w:rsidR="00BC508E" w:rsidRPr="00C669B8" w:rsidRDefault="00BC508E" w:rsidP="00BC508E">
      <w:pPr>
        <w:rPr>
          <w:rFonts w:asciiTheme="minorHAnsi" w:hAnsiTheme="minorHAnsi" w:cstheme="minorHAnsi"/>
        </w:rPr>
      </w:pPr>
      <w:r w:rsidRPr="00C669B8">
        <w:rPr>
          <w:rFonts w:asciiTheme="minorHAnsi" w:hAnsiTheme="minorHAnsi" w:cstheme="minorHAnsi"/>
        </w:rPr>
        <w:t xml:space="preserve">Medical professionals who receive a workforce support payment are also eligible to receive payments such as the Travel Time Allowance.  </w:t>
      </w:r>
    </w:p>
    <w:p w14:paraId="0E2598CE" w14:textId="10AD7E11" w:rsidR="00BC508E" w:rsidRDefault="00BC508E" w:rsidP="00BC508E">
      <w:pPr>
        <w:rPr>
          <w:rFonts w:asciiTheme="minorHAnsi" w:hAnsiTheme="minorHAnsi" w:cstheme="minorHAnsi"/>
        </w:rPr>
      </w:pPr>
      <w:r w:rsidRPr="00C669B8">
        <w:rPr>
          <w:rFonts w:asciiTheme="minorHAnsi" w:hAnsiTheme="minorHAnsi" w:cstheme="minorHAnsi"/>
        </w:rPr>
        <w:t xml:space="preserve">Visiting Health Professionals who accept a workforce support payment will </w:t>
      </w:r>
      <w:r w:rsidR="00D279E8">
        <w:rPr>
          <w:rFonts w:asciiTheme="minorHAnsi" w:hAnsiTheme="minorHAnsi" w:cstheme="minorHAnsi"/>
        </w:rPr>
        <w:t xml:space="preserve">generally </w:t>
      </w:r>
      <w:r w:rsidRPr="00C669B8">
        <w:rPr>
          <w:rFonts w:asciiTheme="minorHAnsi" w:hAnsiTheme="minorHAnsi" w:cstheme="minorHAnsi"/>
        </w:rPr>
        <w:t>be precluded from claiming MBS payment for the delivery of services for the same clinical session.</w:t>
      </w:r>
      <w:r w:rsidR="00D279E8">
        <w:rPr>
          <w:rFonts w:asciiTheme="minorHAnsi" w:hAnsiTheme="minorHAnsi" w:cstheme="minorHAnsi"/>
        </w:rPr>
        <w:t xml:space="preserve"> </w:t>
      </w:r>
      <w:r w:rsidR="00D279E8" w:rsidRPr="00C669B8">
        <w:rPr>
          <w:rFonts w:asciiTheme="minorHAnsi" w:hAnsiTheme="minorHAnsi" w:cstheme="minorHAnsi"/>
        </w:rPr>
        <w:t>Any proposed arrangement outside of these parameters must be approved by the Department</w:t>
      </w:r>
      <w:r w:rsidR="00D279E8">
        <w:rPr>
          <w:rFonts w:asciiTheme="minorHAnsi" w:hAnsiTheme="minorHAnsi" w:cstheme="minorHAnsi"/>
        </w:rPr>
        <w:t>.</w:t>
      </w:r>
    </w:p>
    <w:p w14:paraId="5390C0C9" w14:textId="370C6787" w:rsidR="005B52CD" w:rsidRPr="00C669B8" w:rsidRDefault="005B52CD" w:rsidP="00BC508E">
      <w:pPr>
        <w:rPr>
          <w:rFonts w:asciiTheme="minorHAnsi" w:hAnsiTheme="minorHAnsi" w:cstheme="minorHAnsi"/>
        </w:rPr>
      </w:pPr>
      <w:r>
        <w:rPr>
          <w:rFonts w:asciiTheme="minorHAnsi" w:hAnsiTheme="minorHAnsi" w:cstheme="minorHAnsi"/>
        </w:rPr>
        <w:t>Fundholders must consider the impact on</w:t>
      </w:r>
      <w:r w:rsidR="00875231">
        <w:rPr>
          <w:rFonts w:asciiTheme="minorHAnsi" w:hAnsiTheme="minorHAnsi" w:cstheme="minorHAnsi"/>
        </w:rPr>
        <w:t xml:space="preserve"> the relevant Outreach Program budget when assessing the use of workforce support payments in lieu of usual MBS payments for </w:t>
      </w:r>
      <w:r w:rsidR="009D209C">
        <w:rPr>
          <w:rFonts w:asciiTheme="minorHAnsi" w:hAnsiTheme="minorHAnsi" w:cstheme="minorHAnsi"/>
        </w:rPr>
        <w:t>Health Pro</w:t>
      </w:r>
      <w:r w:rsidR="001F517B">
        <w:rPr>
          <w:rFonts w:asciiTheme="minorHAnsi" w:hAnsiTheme="minorHAnsi" w:cstheme="minorHAnsi"/>
        </w:rPr>
        <w:t>fessionals</w:t>
      </w:r>
      <w:r w:rsidR="00875231">
        <w:rPr>
          <w:rFonts w:asciiTheme="minorHAnsi" w:hAnsiTheme="minorHAnsi" w:cstheme="minorHAnsi"/>
        </w:rPr>
        <w:t>.</w:t>
      </w:r>
    </w:p>
    <w:p w14:paraId="5363CC1C" w14:textId="015AEB74" w:rsidR="00BC508E" w:rsidRPr="006C32F5" w:rsidRDefault="00BC508E" w:rsidP="00C7539A">
      <w:pPr>
        <w:pStyle w:val="Heading3"/>
      </w:pPr>
      <w:bookmarkStart w:id="194" w:name="_Toc49331756"/>
      <w:bookmarkStart w:id="195" w:name="_Toc164328355"/>
      <w:bookmarkStart w:id="196" w:name="_Toc164328457"/>
      <w:r w:rsidRPr="006C32F5">
        <w:t xml:space="preserve">Backfilling and </w:t>
      </w:r>
      <w:r w:rsidR="00DC13D3" w:rsidRPr="006C32F5">
        <w:t>l</w:t>
      </w:r>
      <w:r w:rsidRPr="006C32F5">
        <w:t xml:space="preserve">ocum </w:t>
      </w:r>
      <w:r w:rsidR="00DC13D3" w:rsidRPr="006C32F5">
        <w:t>s</w:t>
      </w:r>
      <w:r w:rsidRPr="006C32F5">
        <w:t xml:space="preserve">upport for </w:t>
      </w:r>
      <w:r w:rsidR="00DC13D3" w:rsidRPr="006C32F5">
        <w:t>s</w:t>
      </w:r>
      <w:r w:rsidRPr="006C32F5">
        <w:t>alaried Health Professionals</w:t>
      </w:r>
      <w:bookmarkEnd w:id="194"/>
      <w:bookmarkEnd w:id="195"/>
      <w:bookmarkEnd w:id="196"/>
    </w:p>
    <w:p w14:paraId="369A2DA2" w14:textId="1D4C653F" w:rsidR="00BC508E" w:rsidRPr="00B65018" w:rsidRDefault="00BC508E" w:rsidP="00B65018">
      <w:r w:rsidRPr="00B65018">
        <w:t>The cost of backfilling salaried Health Professionals who provide outreach services may be covered</w:t>
      </w:r>
      <w:r w:rsidR="002D5EC1" w:rsidRPr="00B65018">
        <w:t>,</w:t>
      </w:r>
      <w:r w:rsidRPr="00B65018">
        <w:t xml:space="preserve"> however</w:t>
      </w:r>
      <w:r w:rsidR="00D0779D" w:rsidRPr="00B65018">
        <w:t>,</w:t>
      </w:r>
      <w:r w:rsidRPr="00B65018">
        <w:t xml:space="preserve"> any claims made against the MBS by salaried Health Professionals for outreach services would render void any claim to cover backfilling costs.</w:t>
      </w:r>
    </w:p>
    <w:p w14:paraId="3E15349C" w14:textId="35B9886B" w:rsidR="000B7703" w:rsidRPr="00B65018" w:rsidRDefault="000B7703" w:rsidP="00B65018">
      <w:r w:rsidRPr="00B65018">
        <w:t>An optometrist providing outreach services may be eligible to receive locum support for the principal practice</w:t>
      </w:r>
      <w:r w:rsidR="00DB46D3" w:rsidRPr="00B65018">
        <w:t xml:space="preserve"> to a maximum of 600 hours annually. Locum support will be based on evidence of costs incurred.</w:t>
      </w:r>
    </w:p>
    <w:p w14:paraId="53D56310" w14:textId="18078541" w:rsidR="00BC508E" w:rsidRPr="006C32F5" w:rsidRDefault="00BC508E" w:rsidP="00C7539A">
      <w:pPr>
        <w:pStyle w:val="Heading3"/>
      </w:pPr>
      <w:bookmarkStart w:id="197" w:name="_Toc49331757"/>
      <w:bookmarkStart w:id="198" w:name="_Toc164328356"/>
      <w:bookmarkStart w:id="199" w:name="_Toc164328458"/>
      <w:r w:rsidRPr="006C32F5">
        <w:t>Upskilling</w:t>
      </w:r>
      <w:bookmarkEnd w:id="197"/>
      <w:bookmarkEnd w:id="198"/>
      <w:bookmarkEnd w:id="199"/>
    </w:p>
    <w:p w14:paraId="3C463408" w14:textId="77777777" w:rsidR="00BC508E" w:rsidRPr="00B65018" w:rsidRDefault="00BC508E" w:rsidP="00B65018">
      <w:r w:rsidRPr="00B65018">
        <w:t xml:space="preserve">Upskilling supports building a sustainable health workforce in regional, rural and remote locations and improves health outcomes in those communities. </w:t>
      </w:r>
    </w:p>
    <w:p w14:paraId="6C46DADD" w14:textId="77777777" w:rsidR="00BC508E" w:rsidRPr="00B65018" w:rsidRDefault="00BC508E" w:rsidP="00B65018">
      <w:r w:rsidRPr="00B65018">
        <w:t xml:space="preserve">Where possible and appropriate, outreach Health Professionals should provide educational and upskilling activities, of either a theoretical or clinical nature, to local medical and Health Professionals and, where appropriate, other members of the public (such as carers). Arrangements for formal upskilling activities must be developed in consultation with local Health Professionals and aim to complement existing training arrangements within the area.  </w:t>
      </w:r>
    </w:p>
    <w:p w14:paraId="754746D2" w14:textId="77777777" w:rsidR="00BC508E" w:rsidRPr="00C669B8" w:rsidRDefault="00BC508E" w:rsidP="00BC508E">
      <w:pPr>
        <w:rPr>
          <w:rFonts w:asciiTheme="minorHAnsi" w:hAnsiTheme="minorHAnsi" w:cstheme="minorHAnsi"/>
        </w:rPr>
      </w:pPr>
      <w:r w:rsidRPr="00C669B8">
        <w:rPr>
          <w:rFonts w:asciiTheme="minorHAnsi" w:hAnsiTheme="minorHAnsi" w:cstheme="minorHAnsi"/>
        </w:rPr>
        <w:t>Funding may be provided for supported procedural and non</w:t>
      </w:r>
      <w:r w:rsidRPr="00C669B8">
        <w:rPr>
          <w:rFonts w:asciiTheme="minorHAnsi" w:hAnsiTheme="minorHAnsi" w:cstheme="minorHAnsi"/>
        </w:rPr>
        <w:noBreakHyphen/>
        <w:t xml:space="preserve">procedural upskilling. The cost of the venue/facility/room hire can also be covered.  </w:t>
      </w:r>
    </w:p>
    <w:p w14:paraId="4A74CDEA" w14:textId="77777777" w:rsidR="00BC508E" w:rsidRPr="00B65018" w:rsidRDefault="00BC508E" w:rsidP="00B65018">
      <w:r w:rsidRPr="00B65018">
        <w:lastRenderedPageBreak/>
        <w:t xml:space="preserve">Outreach Programs will not cover the cost of allocation of points for Continuing Professional Development.  </w:t>
      </w:r>
    </w:p>
    <w:p w14:paraId="7E0C6BF0" w14:textId="77777777" w:rsidR="00BC508E" w:rsidRPr="00B65018" w:rsidRDefault="00BC508E" w:rsidP="00B65018">
      <w:r w:rsidRPr="00B65018">
        <w:t xml:space="preserve">In addition, non-salaried private Health Professionals may claim an hourly rate which is consistent with the applicable fee-for-service rates for the time required to present the agreed upskilling activity.  </w:t>
      </w:r>
    </w:p>
    <w:p w14:paraId="3D95BF8A" w14:textId="738FC65C" w:rsidR="00BC508E" w:rsidRPr="006C32F5" w:rsidRDefault="00BC508E" w:rsidP="00C7539A">
      <w:pPr>
        <w:pStyle w:val="Heading3"/>
      </w:pPr>
      <w:bookmarkStart w:id="200" w:name="_Toc49331758"/>
      <w:bookmarkStart w:id="201" w:name="_Toc164328357"/>
      <w:bookmarkStart w:id="202" w:name="_Toc164328459"/>
      <w:r w:rsidRPr="006C32F5">
        <w:t>Professional Support</w:t>
      </w:r>
      <w:bookmarkEnd w:id="200"/>
      <w:bookmarkEnd w:id="201"/>
      <w:bookmarkEnd w:id="202"/>
    </w:p>
    <w:p w14:paraId="34E1D398" w14:textId="77777777" w:rsidR="00BC508E" w:rsidRPr="00B65018" w:rsidRDefault="00BC508E" w:rsidP="00B65018">
      <w:r w:rsidRPr="00B65018">
        <w:t xml:space="preserve">Professional support means the informal support provided by the visiting Health Professionals to local medical and Health Professionals through, for example, lunchtime meetings and/or telephone/email support once the Health Professional has returned to their principal practice.  </w:t>
      </w:r>
    </w:p>
    <w:p w14:paraId="567F4C7A" w14:textId="10B1505B" w:rsidR="00BC508E" w:rsidRPr="00B65018" w:rsidRDefault="00BC508E" w:rsidP="00B65018">
      <w:r w:rsidRPr="00B65018">
        <w:t xml:space="preserve">Non salaried private Health Professionals may claim an hourly rate for providing professional support which is consistent with the fee-for-service rates paid by the relevant State/Territory government, area health service or local hospital (depending on the organisational level at which these payments are established in the State/Territory). </w:t>
      </w:r>
    </w:p>
    <w:p w14:paraId="6CA5D17D" w14:textId="6DB9A228" w:rsidR="00BC508E" w:rsidRPr="006C32F5" w:rsidRDefault="00BC508E" w:rsidP="00C7539A">
      <w:pPr>
        <w:pStyle w:val="Heading3"/>
      </w:pPr>
      <w:bookmarkStart w:id="203" w:name="_Toc49331759"/>
      <w:bookmarkStart w:id="204" w:name="_Toc164328358"/>
      <w:bookmarkStart w:id="205" w:name="_Toc164328460"/>
      <w:r w:rsidRPr="006C32F5">
        <w:t>Telemedicine and eHealth</w:t>
      </w:r>
      <w:bookmarkEnd w:id="203"/>
      <w:bookmarkEnd w:id="204"/>
      <w:bookmarkEnd w:id="205"/>
      <w:r w:rsidRPr="006C32F5">
        <w:t xml:space="preserve"> </w:t>
      </w:r>
    </w:p>
    <w:p w14:paraId="30629B34" w14:textId="77777777" w:rsidR="00BC508E" w:rsidRPr="00B65018" w:rsidRDefault="00BC508E" w:rsidP="00B65018">
      <w:r w:rsidRPr="00B65018">
        <w:t>The use of telemedicine services as a supplement to usual face-to-face consultations between patients and Health Professionals is supported through Outreach Programs. This includes the cost of venue and equipment hire associated with consultations using this medium.</w:t>
      </w:r>
    </w:p>
    <w:p w14:paraId="51E8D7DB" w14:textId="369A78B2" w:rsidR="00BC508E" w:rsidRPr="00B65018" w:rsidRDefault="00BC508E" w:rsidP="00B65018">
      <w:r w:rsidRPr="00B65018">
        <w:t xml:space="preserve">Other telehealth service costs will be considered by the </w:t>
      </w:r>
      <w:r w:rsidR="00D0779D" w:rsidRPr="00B65018">
        <w:t>D</w:t>
      </w:r>
      <w:r w:rsidRPr="00B65018">
        <w:t>epartment on a case-by-case basis in line with Special Arrangements, as outlined below.</w:t>
      </w:r>
    </w:p>
    <w:p w14:paraId="6CADCEB6" w14:textId="058EBBF7" w:rsidR="00BC508E" w:rsidRPr="006C32F5" w:rsidRDefault="00BC508E" w:rsidP="00C7539A">
      <w:pPr>
        <w:pStyle w:val="Heading3"/>
      </w:pPr>
      <w:bookmarkStart w:id="206" w:name="_Toc49331760"/>
      <w:bookmarkStart w:id="207" w:name="_Toc164328359"/>
      <w:bookmarkStart w:id="208" w:name="_Toc164328461"/>
      <w:r w:rsidRPr="006C32F5">
        <w:t xml:space="preserve">Special </w:t>
      </w:r>
      <w:r w:rsidR="00DC13D3" w:rsidRPr="006C32F5">
        <w:t>a</w:t>
      </w:r>
      <w:r w:rsidRPr="006C32F5">
        <w:t>rrangements</w:t>
      </w:r>
      <w:bookmarkEnd w:id="206"/>
      <w:bookmarkEnd w:id="207"/>
      <w:bookmarkEnd w:id="208"/>
      <w:r w:rsidRPr="006C32F5">
        <w:t xml:space="preserve"> </w:t>
      </w:r>
    </w:p>
    <w:p w14:paraId="62E01A5F" w14:textId="7BD2C5DB" w:rsidR="00BC508E" w:rsidRPr="00B65018" w:rsidRDefault="00BC508E" w:rsidP="00B65018">
      <w:r w:rsidRPr="00B65018">
        <w:t xml:space="preserve">Fundholders may negotiate with the Department for funding to be provided under special arrangements to guarantee service delivery in priority locations. These special arrangements may include costs that fall outside allowances included in these Outreach Programs Service Delivery Standards, but that are required to ensure service delivery to </w:t>
      </w:r>
      <w:r w:rsidR="00037993" w:rsidRPr="00B65018">
        <w:t>First Nations</w:t>
      </w:r>
      <w:r w:rsidRPr="00B65018">
        <w:t xml:space="preserve"> people. </w:t>
      </w:r>
    </w:p>
    <w:p w14:paraId="0EE49428" w14:textId="2D80401E" w:rsidR="001133D0" w:rsidRPr="00B65018" w:rsidRDefault="00BC508E" w:rsidP="00B65018">
      <w:r w:rsidRPr="00B65018">
        <w:t>All requests to use special arrangements payments must be submitted to the Department</w:t>
      </w:r>
      <w:r w:rsidR="00C669B8" w:rsidRPr="00B65018">
        <w:t xml:space="preserve"> for </w:t>
      </w:r>
      <w:r w:rsidRPr="00B65018">
        <w:t xml:space="preserve">approval. They will be considered on a </w:t>
      </w:r>
      <w:r w:rsidR="00D0779D" w:rsidRPr="00B65018">
        <w:t>case-by-case</w:t>
      </w:r>
      <w:r w:rsidRPr="00B65018">
        <w:t xml:space="preserve"> basis</w:t>
      </w:r>
      <w:r w:rsidR="00D0779D" w:rsidRPr="00B65018">
        <w:t>.</w:t>
      </w:r>
    </w:p>
    <w:p w14:paraId="0EEC1BFE" w14:textId="77777777" w:rsidR="005C4A44" w:rsidRPr="00260274" w:rsidRDefault="005C4A44" w:rsidP="00260274">
      <w:pPr>
        <w:sectPr w:rsidR="005C4A44" w:rsidRPr="00260274" w:rsidSect="00042A06">
          <w:headerReference w:type="even" r:id="rId24"/>
          <w:headerReference w:type="default" r:id="rId25"/>
          <w:footerReference w:type="even" r:id="rId26"/>
          <w:footerReference w:type="default" r:id="rId27"/>
          <w:headerReference w:type="first" r:id="rId28"/>
          <w:footerReference w:type="first" r:id="rId29"/>
          <w:type w:val="oddPage"/>
          <w:pgSz w:w="11906" w:h="16838"/>
          <w:pgMar w:top="567" w:right="1274" w:bottom="709" w:left="1276" w:header="709" w:footer="439" w:gutter="0"/>
          <w:pgNumType w:start="1"/>
          <w:cols w:space="708"/>
          <w:docGrid w:linePitch="360"/>
        </w:sectPr>
      </w:pPr>
    </w:p>
    <w:p w14:paraId="48AC894B" w14:textId="79FA00E3" w:rsidR="00C669B8" w:rsidRPr="00B65018" w:rsidRDefault="009D209C" w:rsidP="00B8406B">
      <w:pPr>
        <w:pStyle w:val="Headingnonumbering"/>
      </w:pPr>
      <w:bookmarkStart w:id="209" w:name="_Toc164328360"/>
      <w:bookmarkStart w:id="210" w:name="_Toc164328462"/>
      <w:r>
        <w:lastRenderedPageBreak/>
        <w:t>Attachment</w:t>
      </w:r>
      <w:r w:rsidR="004E5D09">
        <w:t xml:space="preserve"> A</w:t>
      </w:r>
      <w:bookmarkStart w:id="211" w:name="_Toc260815345"/>
      <w:bookmarkStart w:id="212" w:name="_Toc451241243"/>
      <w:r w:rsidR="00B65018">
        <w:t xml:space="preserve"> – </w:t>
      </w:r>
      <w:r w:rsidR="00C669B8" w:rsidRPr="00B65018">
        <w:t xml:space="preserve">The </w:t>
      </w:r>
      <w:r w:rsidR="00C669B8" w:rsidRPr="00B8406B">
        <w:t>Service</w:t>
      </w:r>
      <w:r w:rsidR="00C669B8" w:rsidRPr="00B65018">
        <w:t xml:space="preserve"> </w:t>
      </w:r>
      <w:r w:rsidR="00C669B8" w:rsidRPr="005D0E99">
        <w:t>Matrix</w:t>
      </w:r>
      <w:bookmarkEnd w:id="209"/>
      <w:bookmarkEnd w:id="210"/>
      <w:bookmarkEnd w:id="211"/>
      <w:bookmarkEnd w:id="212"/>
    </w:p>
    <w:p w14:paraId="1E1BE1DB" w14:textId="2F3F4308" w:rsidR="00C669B8" w:rsidRPr="0008002F" w:rsidRDefault="00C669B8" w:rsidP="00C669B8">
      <w:pPr>
        <w:rPr>
          <w:rFonts w:asciiTheme="minorHAnsi" w:hAnsiTheme="minorHAnsi" w:cstheme="minorHAnsi"/>
        </w:rPr>
      </w:pPr>
      <w:r w:rsidRPr="0008002F">
        <w:rPr>
          <w:rFonts w:asciiTheme="minorHAnsi" w:hAnsiTheme="minorHAnsi" w:cstheme="minorHAnsi"/>
        </w:rPr>
        <w:t>Service Proposed</w:t>
      </w:r>
      <w:r w:rsidR="00B65018">
        <w:rPr>
          <w:rFonts w:asciiTheme="minorHAnsi" w:hAnsiTheme="minorHAnsi" w:cstheme="minorHAnsi"/>
        </w:rPr>
        <w:fldChar w:fldCharType="begin">
          <w:ffData>
            <w:name w:val="Text3"/>
            <w:enabled/>
            <w:calcOnExit w:val="0"/>
            <w:textInput/>
          </w:ffData>
        </w:fldChar>
      </w:r>
      <w:bookmarkStart w:id="213" w:name="Text3"/>
      <w:r w:rsidR="00B65018">
        <w:rPr>
          <w:rFonts w:asciiTheme="minorHAnsi" w:hAnsiTheme="minorHAnsi" w:cstheme="minorHAnsi"/>
        </w:rPr>
        <w:instrText xml:space="preserve"> FORMTEXT </w:instrText>
      </w:r>
      <w:r w:rsidR="00B65018">
        <w:rPr>
          <w:rFonts w:asciiTheme="minorHAnsi" w:hAnsiTheme="minorHAnsi" w:cstheme="minorHAnsi"/>
        </w:rPr>
      </w:r>
      <w:r w:rsidR="00B65018">
        <w:rPr>
          <w:rFonts w:asciiTheme="minorHAnsi" w:hAnsiTheme="minorHAnsi" w:cstheme="minorHAnsi"/>
        </w:rPr>
        <w:fldChar w:fldCharType="separate"/>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rPr>
        <w:fldChar w:fldCharType="end"/>
      </w:r>
      <w:bookmarkEnd w:id="213"/>
    </w:p>
    <w:p w14:paraId="2EB45FB5" w14:textId="0B96A1BC" w:rsidR="00C669B8" w:rsidRPr="0008002F" w:rsidRDefault="00C669B8" w:rsidP="00C669B8">
      <w:pPr>
        <w:rPr>
          <w:rFonts w:asciiTheme="minorHAnsi" w:hAnsiTheme="minorHAnsi" w:cstheme="minorHAnsi"/>
        </w:rPr>
      </w:pPr>
      <w:r w:rsidRPr="0008002F">
        <w:rPr>
          <w:rFonts w:asciiTheme="minorHAnsi" w:hAnsiTheme="minorHAnsi" w:cstheme="minorHAnsi"/>
        </w:rPr>
        <w:t>Service Location</w:t>
      </w:r>
      <w:r w:rsidR="00B65018">
        <w:rPr>
          <w:rFonts w:asciiTheme="minorHAnsi" w:hAnsiTheme="minorHAnsi" w:cstheme="minorHAnsi"/>
        </w:rPr>
        <w:fldChar w:fldCharType="begin">
          <w:ffData>
            <w:name w:val="Text2"/>
            <w:enabled/>
            <w:calcOnExit w:val="0"/>
            <w:textInput/>
          </w:ffData>
        </w:fldChar>
      </w:r>
      <w:bookmarkStart w:id="214" w:name="Text2"/>
      <w:r w:rsidR="00B65018">
        <w:rPr>
          <w:rFonts w:asciiTheme="minorHAnsi" w:hAnsiTheme="minorHAnsi" w:cstheme="minorHAnsi"/>
        </w:rPr>
        <w:instrText xml:space="preserve"> FORMTEXT </w:instrText>
      </w:r>
      <w:r w:rsidR="00B65018">
        <w:rPr>
          <w:rFonts w:asciiTheme="minorHAnsi" w:hAnsiTheme="minorHAnsi" w:cstheme="minorHAnsi"/>
        </w:rPr>
      </w:r>
      <w:r w:rsidR="00B65018">
        <w:rPr>
          <w:rFonts w:asciiTheme="minorHAnsi" w:hAnsiTheme="minorHAnsi" w:cstheme="minorHAnsi"/>
        </w:rPr>
        <w:fldChar w:fldCharType="separate"/>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rPr>
        <w:fldChar w:fldCharType="end"/>
      </w:r>
      <w:bookmarkEnd w:id="214"/>
    </w:p>
    <w:p w14:paraId="58C871BA" w14:textId="0B5DB162" w:rsidR="00C669B8" w:rsidRPr="0008002F" w:rsidRDefault="00C669B8" w:rsidP="00C669B8">
      <w:pPr>
        <w:rPr>
          <w:rFonts w:asciiTheme="minorHAnsi" w:hAnsiTheme="minorHAnsi" w:cstheme="minorHAnsi"/>
        </w:rPr>
      </w:pPr>
      <w:r w:rsidRPr="0008002F">
        <w:rPr>
          <w:rFonts w:asciiTheme="minorHAnsi" w:hAnsiTheme="minorHAnsi" w:cstheme="minorHAnsi"/>
        </w:rPr>
        <w:t>Outreach Program</w:t>
      </w:r>
      <w:r w:rsidR="00B65018">
        <w:rPr>
          <w:rFonts w:asciiTheme="minorHAnsi" w:hAnsiTheme="minorHAnsi" w:cstheme="minorHAnsi"/>
        </w:rPr>
        <w:fldChar w:fldCharType="begin">
          <w:ffData>
            <w:name w:val="Text1"/>
            <w:enabled/>
            <w:calcOnExit w:val="0"/>
            <w:textInput/>
          </w:ffData>
        </w:fldChar>
      </w:r>
      <w:bookmarkStart w:id="215" w:name="Text1"/>
      <w:r w:rsidR="00B65018">
        <w:rPr>
          <w:rFonts w:asciiTheme="minorHAnsi" w:hAnsiTheme="minorHAnsi" w:cstheme="minorHAnsi"/>
        </w:rPr>
        <w:instrText xml:space="preserve"> FORMTEXT </w:instrText>
      </w:r>
      <w:r w:rsidR="00B65018">
        <w:rPr>
          <w:rFonts w:asciiTheme="minorHAnsi" w:hAnsiTheme="minorHAnsi" w:cstheme="minorHAnsi"/>
        </w:rPr>
      </w:r>
      <w:r w:rsidR="00B65018">
        <w:rPr>
          <w:rFonts w:asciiTheme="minorHAnsi" w:hAnsiTheme="minorHAnsi" w:cstheme="minorHAnsi"/>
        </w:rPr>
        <w:fldChar w:fldCharType="separate"/>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rPr>
        <w:fldChar w:fldCharType="end"/>
      </w:r>
      <w:bookmarkEnd w:id="215"/>
    </w:p>
    <w:p w14:paraId="1CBFD7A5" w14:textId="2A78B5EA" w:rsidR="00C669B8" w:rsidRPr="0008002F" w:rsidRDefault="00C669B8" w:rsidP="00C669B8">
      <w:pPr>
        <w:rPr>
          <w:rFonts w:asciiTheme="minorHAnsi" w:hAnsiTheme="minorHAnsi" w:cstheme="minorHAnsi"/>
        </w:rPr>
      </w:pPr>
      <w:r w:rsidRPr="0008002F">
        <w:rPr>
          <w:rFonts w:asciiTheme="minorHAnsi" w:hAnsiTheme="minorHAnsi" w:cstheme="minorHAnsi"/>
        </w:rPr>
        <w:t>Date of Consideration</w:t>
      </w:r>
      <w:sdt>
        <w:sdtPr>
          <w:rPr>
            <w:rFonts w:asciiTheme="minorHAnsi" w:hAnsiTheme="minorHAnsi" w:cstheme="minorHAnsi"/>
          </w:rPr>
          <w:id w:val="-546068526"/>
          <w:placeholder>
            <w:docPart w:val="DefaultPlaceholder_-1854013437"/>
          </w:placeholder>
          <w:showingPlcHdr/>
          <w:date>
            <w:dateFormat w:val="d/MM/yyyy"/>
            <w:lid w:val="en-AU"/>
            <w:storeMappedDataAs w:val="dateTime"/>
            <w:calendar w:val="gregorian"/>
          </w:date>
        </w:sdtPr>
        <w:sdtContent>
          <w:r w:rsidR="00B65018" w:rsidRPr="00D01487">
            <w:rPr>
              <w:rStyle w:val="PlaceholderText"/>
            </w:rPr>
            <w:t>Click or tap to enter a date.</w:t>
          </w:r>
        </w:sdtContent>
      </w:sdt>
    </w:p>
    <w:p w14:paraId="267CFD2B" w14:textId="3CFD30E2" w:rsidR="00C669B8" w:rsidRPr="00260274" w:rsidRDefault="00C669B8" w:rsidP="00C669B8">
      <w:r w:rsidRPr="0008002F">
        <w:rPr>
          <w:rFonts w:asciiTheme="minorHAnsi" w:hAnsiTheme="minorHAnsi" w:cstheme="minorHAnsi"/>
        </w:rPr>
        <w:t>Score</w:t>
      </w:r>
      <w:r w:rsidRPr="0008002F">
        <w:rPr>
          <w:rFonts w:asciiTheme="minorHAnsi" w:hAnsiTheme="minorHAnsi" w:cstheme="minorHAnsi"/>
        </w:rPr>
        <w:tab/>
      </w:r>
      <w:r w:rsidR="00B65018">
        <w:rPr>
          <w:rFonts w:asciiTheme="minorHAnsi" w:hAnsiTheme="minorHAnsi" w:cstheme="minorHAnsi"/>
        </w:rPr>
        <w:fldChar w:fldCharType="begin">
          <w:ffData>
            <w:name w:val="Text4"/>
            <w:enabled/>
            <w:calcOnExit w:val="0"/>
            <w:textInput/>
          </w:ffData>
        </w:fldChar>
      </w:r>
      <w:bookmarkStart w:id="216" w:name="Text4"/>
      <w:r w:rsidR="00B65018">
        <w:rPr>
          <w:rFonts w:asciiTheme="minorHAnsi" w:hAnsiTheme="minorHAnsi" w:cstheme="minorHAnsi"/>
        </w:rPr>
        <w:instrText xml:space="preserve"> FORMTEXT </w:instrText>
      </w:r>
      <w:r w:rsidR="00B65018">
        <w:rPr>
          <w:rFonts w:asciiTheme="minorHAnsi" w:hAnsiTheme="minorHAnsi" w:cstheme="minorHAnsi"/>
        </w:rPr>
      </w:r>
      <w:r w:rsidR="00B65018">
        <w:rPr>
          <w:rFonts w:asciiTheme="minorHAnsi" w:hAnsiTheme="minorHAnsi" w:cstheme="minorHAnsi"/>
        </w:rPr>
        <w:fldChar w:fldCharType="separate"/>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noProof/>
        </w:rPr>
        <w:t> </w:t>
      </w:r>
      <w:r w:rsidR="00B65018">
        <w:rPr>
          <w:rFonts w:asciiTheme="minorHAnsi" w:hAnsiTheme="minorHAnsi" w:cstheme="minorHAnsi"/>
        </w:rPr>
        <w:fldChar w:fldCharType="end"/>
      </w:r>
      <w:bookmarkEnd w:id="216"/>
      <w:r w:rsidRPr="0008002F">
        <w:rPr>
          <w:rFonts w:asciiTheme="minorHAnsi" w:hAnsiTheme="minorHAnsi" w:cstheme="minorHAnsi"/>
        </w:rPr>
        <w:tab/>
        <w:t xml:space="preserve">Recommendation: </w:t>
      </w:r>
      <w:r w:rsidRPr="00260274">
        <w:t>Service Supported / Not supported</w:t>
      </w:r>
    </w:p>
    <w:tbl>
      <w:tblPr>
        <w:tblStyle w:val="TableGrid"/>
        <w:tblW w:w="5000" w:type="pct"/>
        <w:tblLook w:val="00E0" w:firstRow="1" w:lastRow="1" w:firstColumn="1" w:lastColumn="0" w:noHBand="0" w:noVBand="0"/>
      </w:tblPr>
      <w:tblGrid>
        <w:gridCol w:w="418"/>
        <w:gridCol w:w="4025"/>
        <w:gridCol w:w="972"/>
        <w:gridCol w:w="1943"/>
        <w:gridCol w:w="1942"/>
        <w:gridCol w:w="1942"/>
        <w:gridCol w:w="2081"/>
        <w:gridCol w:w="1803"/>
      </w:tblGrid>
      <w:tr w:rsidR="00C669B8" w:rsidRPr="00C669B8" w14:paraId="0D6EEF83" w14:textId="77777777" w:rsidTr="00C7539A">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138" w:type="pct"/>
          </w:tcPr>
          <w:p w14:paraId="0FDB084B" w14:textId="77777777" w:rsidR="00C669B8" w:rsidRPr="00C669B8" w:rsidRDefault="00C669B8" w:rsidP="00C669B8">
            <w:pPr>
              <w:rPr>
                <w:rFonts w:asciiTheme="minorHAnsi" w:hAnsiTheme="minorHAnsi" w:cstheme="minorHAnsi"/>
                <w:b w:val="0"/>
                <w:bCs/>
                <w:sz w:val="20"/>
              </w:rPr>
            </w:pPr>
          </w:p>
        </w:tc>
        <w:tc>
          <w:tcPr>
            <w:tcW w:w="1330" w:type="pct"/>
          </w:tcPr>
          <w:p w14:paraId="60D9DCB1" w14:textId="77777777" w:rsidR="00C669B8" w:rsidRPr="00B65018" w:rsidRDefault="00C669B8" w:rsidP="00B65018">
            <w:pPr>
              <w:cnfStyle w:val="100000000000" w:firstRow="1" w:lastRow="0" w:firstColumn="0" w:lastColumn="0" w:oddVBand="0" w:evenVBand="0" w:oddHBand="0" w:evenHBand="0" w:firstRowFirstColumn="0" w:firstRowLastColumn="0" w:lastRowFirstColumn="0" w:lastRowLastColumn="0"/>
            </w:pPr>
            <w:r w:rsidRPr="00B65018">
              <w:t>Criterion</w:t>
            </w:r>
          </w:p>
        </w:tc>
        <w:tc>
          <w:tcPr>
            <w:tcW w:w="321" w:type="pct"/>
          </w:tcPr>
          <w:p w14:paraId="20F45C07" w14:textId="77777777" w:rsidR="00C669B8" w:rsidRPr="00B65018" w:rsidRDefault="00C669B8" w:rsidP="00B65018">
            <w:pPr>
              <w:cnfStyle w:val="100000000000" w:firstRow="1" w:lastRow="0" w:firstColumn="0" w:lastColumn="0" w:oddVBand="0" w:evenVBand="0" w:oddHBand="0" w:evenHBand="0" w:firstRowFirstColumn="0" w:firstRowLastColumn="0" w:lastRowFirstColumn="0" w:lastRowLastColumn="0"/>
            </w:pPr>
            <w:r w:rsidRPr="00B65018">
              <w:t>Score</w:t>
            </w:r>
          </w:p>
        </w:tc>
        <w:tc>
          <w:tcPr>
            <w:tcW w:w="642" w:type="pct"/>
          </w:tcPr>
          <w:p w14:paraId="597B3755" w14:textId="77777777" w:rsidR="00C669B8" w:rsidRPr="00B65018" w:rsidRDefault="00C669B8" w:rsidP="00B65018">
            <w:pPr>
              <w:cnfStyle w:val="100000000000" w:firstRow="1" w:lastRow="0" w:firstColumn="0" w:lastColumn="0" w:oddVBand="0" w:evenVBand="0" w:oddHBand="0" w:evenHBand="0" w:firstRowFirstColumn="0" w:firstRowLastColumn="0" w:lastRowFirstColumn="0" w:lastRowLastColumn="0"/>
            </w:pPr>
            <w:r w:rsidRPr="00B65018">
              <w:t>5 Excellent</w:t>
            </w:r>
          </w:p>
        </w:tc>
        <w:tc>
          <w:tcPr>
            <w:tcW w:w="642" w:type="pct"/>
          </w:tcPr>
          <w:p w14:paraId="670699F5" w14:textId="77777777" w:rsidR="00C669B8" w:rsidRPr="00B65018" w:rsidRDefault="00C669B8" w:rsidP="00B65018">
            <w:pPr>
              <w:cnfStyle w:val="100000000000" w:firstRow="1" w:lastRow="0" w:firstColumn="0" w:lastColumn="0" w:oddVBand="0" w:evenVBand="0" w:oddHBand="0" w:evenHBand="0" w:firstRowFirstColumn="0" w:firstRowLastColumn="0" w:lastRowFirstColumn="0" w:lastRowLastColumn="0"/>
            </w:pPr>
            <w:r w:rsidRPr="00B65018">
              <w:t>4 Very Good</w:t>
            </w:r>
          </w:p>
        </w:tc>
        <w:tc>
          <w:tcPr>
            <w:tcW w:w="642" w:type="pct"/>
          </w:tcPr>
          <w:p w14:paraId="034D434B" w14:textId="77777777" w:rsidR="00C669B8" w:rsidRPr="00B65018" w:rsidRDefault="00C669B8" w:rsidP="00B65018">
            <w:pPr>
              <w:cnfStyle w:val="100000000000" w:firstRow="1" w:lastRow="0" w:firstColumn="0" w:lastColumn="0" w:oddVBand="0" w:evenVBand="0" w:oddHBand="0" w:evenHBand="0" w:firstRowFirstColumn="0" w:firstRowLastColumn="0" w:lastRowFirstColumn="0" w:lastRowLastColumn="0"/>
            </w:pPr>
            <w:r w:rsidRPr="00B65018">
              <w:t>3 Acceptable</w:t>
            </w:r>
          </w:p>
        </w:tc>
        <w:tc>
          <w:tcPr>
            <w:tcW w:w="688" w:type="pct"/>
          </w:tcPr>
          <w:p w14:paraId="461B4E51" w14:textId="77777777" w:rsidR="00C669B8" w:rsidRPr="00B65018" w:rsidRDefault="00C669B8" w:rsidP="00B65018">
            <w:pPr>
              <w:cnfStyle w:val="100000000000" w:firstRow="1" w:lastRow="0" w:firstColumn="0" w:lastColumn="0" w:oddVBand="0" w:evenVBand="0" w:oddHBand="0" w:evenHBand="0" w:firstRowFirstColumn="0" w:firstRowLastColumn="0" w:lastRowFirstColumn="0" w:lastRowLastColumn="0"/>
            </w:pPr>
            <w:r w:rsidRPr="00B65018">
              <w:t>2 Marginal</w:t>
            </w:r>
          </w:p>
        </w:tc>
        <w:tc>
          <w:tcPr>
            <w:tcW w:w="596" w:type="pct"/>
          </w:tcPr>
          <w:p w14:paraId="20984A81" w14:textId="77777777" w:rsidR="00C669B8" w:rsidRPr="00B65018" w:rsidRDefault="00C669B8" w:rsidP="00B65018">
            <w:pPr>
              <w:cnfStyle w:val="100000000000" w:firstRow="1" w:lastRow="0" w:firstColumn="0" w:lastColumn="0" w:oddVBand="0" w:evenVBand="0" w:oddHBand="0" w:evenHBand="0" w:firstRowFirstColumn="0" w:firstRowLastColumn="0" w:lastRowFirstColumn="0" w:lastRowLastColumn="0"/>
            </w:pPr>
            <w:r w:rsidRPr="00B65018">
              <w:t>0 Not acceptable</w:t>
            </w:r>
          </w:p>
        </w:tc>
      </w:tr>
      <w:tr w:rsidR="00C669B8" w:rsidRPr="00C669B8" w14:paraId="6ACF0644" w14:textId="77777777" w:rsidTr="00C7539A">
        <w:trPr>
          <w:trHeight w:val="57"/>
        </w:trPr>
        <w:tc>
          <w:tcPr>
            <w:cnfStyle w:val="001000000000" w:firstRow="0" w:lastRow="0" w:firstColumn="1" w:lastColumn="0" w:oddVBand="0" w:evenVBand="0" w:oddHBand="0" w:evenHBand="0" w:firstRowFirstColumn="0" w:firstRowLastColumn="0" w:lastRowFirstColumn="0" w:lastRowLastColumn="0"/>
            <w:tcW w:w="138" w:type="pct"/>
          </w:tcPr>
          <w:p w14:paraId="73E7345A" w14:textId="77777777" w:rsidR="00C669B8" w:rsidRPr="00B65018" w:rsidRDefault="00C669B8" w:rsidP="00B65018">
            <w:r w:rsidRPr="00B65018">
              <w:t>1</w:t>
            </w:r>
          </w:p>
        </w:tc>
        <w:tc>
          <w:tcPr>
            <w:tcW w:w="1330" w:type="pct"/>
          </w:tcPr>
          <w:p w14:paraId="07D050A4" w14:textId="046E8A0D"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Is identified as high medical need in the community</w:t>
            </w:r>
          </w:p>
        </w:tc>
        <w:tc>
          <w:tcPr>
            <w:tcW w:w="321" w:type="pct"/>
          </w:tcPr>
          <w:p w14:paraId="5DB26570" w14:textId="77777777" w:rsidR="00C669B8" w:rsidRPr="00C669B8" w:rsidRDefault="00C669B8" w:rsidP="00C669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642" w:type="pct"/>
          </w:tcPr>
          <w:p w14:paraId="1FEA6CEE"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High need</w:t>
            </w:r>
          </w:p>
        </w:tc>
        <w:tc>
          <w:tcPr>
            <w:tcW w:w="642" w:type="pct"/>
          </w:tcPr>
          <w:p w14:paraId="7F61A7DF" w14:textId="18C6553F" w:rsidR="00C669B8" w:rsidRPr="00B65018" w:rsidRDefault="00D0779D" w:rsidP="00B65018">
            <w:pPr>
              <w:cnfStyle w:val="000000000000" w:firstRow="0" w:lastRow="0" w:firstColumn="0" w:lastColumn="0" w:oddVBand="0" w:evenVBand="0" w:oddHBand="0" w:evenHBand="0" w:firstRowFirstColumn="0" w:firstRowLastColumn="0" w:lastRowFirstColumn="0" w:lastRowLastColumn="0"/>
            </w:pPr>
            <w:r w:rsidRPr="00B65018">
              <w:t>High to m</w:t>
            </w:r>
            <w:r w:rsidR="00C669B8" w:rsidRPr="00B65018">
              <w:t>edium need</w:t>
            </w:r>
          </w:p>
        </w:tc>
        <w:tc>
          <w:tcPr>
            <w:tcW w:w="642" w:type="pct"/>
          </w:tcPr>
          <w:p w14:paraId="607205CE"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Medium to low need</w:t>
            </w:r>
          </w:p>
        </w:tc>
        <w:tc>
          <w:tcPr>
            <w:tcW w:w="688" w:type="pct"/>
          </w:tcPr>
          <w:p w14:paraId="115589FA"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Low need</w:t>
            </w:r>
          </w:p>
        </w:tc>
        <w:tc>
          <w:tcPr>
            <w:tcW w:w="596" w:type="pct"/>
          </w:tcPr>
          <w:p w14:paraId="199B0301"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Not required</w:t>
            </w:r>
          </w:p>
        </w:tc>
      </w:tr>
      <w:tr w:rsidR="00C669B8" w:rsidRPr="00C669B8" w14:paraId="1D3505A0" w14:textId="77777777" w:rsidTr="00C7539A">
        <w:trPr>
          <w:trHeight w:val="57"/>
        </w:trPr>
        <w:tc>
          <w:tcPr>
            <w:cnfStyle w:val="001000000000" w:firstRow="0" w:lastRow="0" w:firstColumn="1" w:lastColumn="0" w:oddVBand="0" w:evenVBand="0" w:oddHBand="0" w:evenHBand="0" w:firstRowFirstColumn="0" w:firstRowLastColumn="0" w:lastRowFirstColumn="0" w:lastRowLastColumn="0"/>
            <w:tcW w:w="138" w:type="pct"/>
          </w:tcPr>
          <w:p w14:paraId="233054CB" w14:textId="77777777" w:rsidR="00C669B8" w:rsidRPr="00B65018" w:rsidRDefault="00C669B8" w:rsidP="00B65018">
            <w:r w:rsidRPr="00B65018">
              <w:t>2</w:t>
            </w:r>
          </w:p>
        </w:tc>
        <w:tc>
          <w:tcPr>
            <w:tcW w:w="1330" w:type="pct"/>
          </w:tcPr>
          <w:p w14:paraId="1031AD6A"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Local workforce and facilities can support any treatment performed / provided</w:t>
            </w:r>
          </w:p>
        </w:tc>
        <w:tc>
          <w:tcPr>
            <w:tcW w:w="321" w:type="pct"/>
          </w:tcPr>
          <w:p w14:paraId="5CD681CA" w14:textId="77777777" w:rsidR="00C669B8" w:rsidRPr="00C669B8" w:rsidRDefault="00C669B8" w:rsidP="00C669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642" w:type="pct"/>
          </w:tcPr>
          <w:p w14:paraId="2C3E0AC2" w14:textId="0060743A"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 xml:space="preserve">Highly </w:t>
            </w:r>
            <w:r w:rsidR="00D0779D" w:rsidRPr="00B65018">
              <w:t xml:space="preserve">able to be </w:t>
            </w:r>
            <w:r w:rsidRPr="00B65018">
              <w:t>supported</w:t>
            </w:r>
          </w:p>
        </w:tc>
        <w:tc>
          <w:tcPr>
            <w:tcW w:w="642" w:type="pct"/>
          </w:tcPr>
          <w:p w14:paraId="632F8F4A"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Mostly able to be supported</w:t>
            </w:r>
          </w:p>
        </w:tc>
        <w:tc>
          <w:tcPr>
            <w:tcW w:w="642" w:type="pct"/>
          </w:tcPr>
          <w:p w14:paraId="3298E96B"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Some capacity to be supported</w:t>
            </w:r>
          </w:p>
        </w:tc>
        <w:tc>
          <w:tcPr>
            <w:tcW w:w="688" w:type="pct"/>
          </w:tcPr>
          <w:p w14:paraId="2F3F780D"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Low capacity to be supported</w:t>
            </w:r>
          </w:p>
        </w:tc>
        <w:tc>
          <w:tcPr>
            <w:tcW w:w="596" w:type="pct"/>
          </w:tcPr>
          <w:p w14:paraId="30ED5DD2"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Not able to be supported</w:t>
            </w:r>
          </w:p>
        </w:tc>
      </w:tr>
      <w:tr w:rsidR="00C669B8" w:rsidRPr="00C669B8" w14:paraId="25353F8D" w14:textId="77777777" w:rsidTr="00C7539A">
        <w:trPr>
          <w:trHeight w:val="57"/>
        </w:trPr>
        <w:tc>
          <w:tcPr>
            <w:cnfStyle w:val="001000000000" w:firstRow="0" w:lastRow="0" w:firstColumn="1" w:lastColumn="0" w:oddVBand="0" w:evenVBand="0" w:oddHBand="0" w:evenHBand="0" w:firstRowFirstColumn="0" w:firstRowLastColumn="0" w:lastRowFirstColumn="0" w:lastRowLastColumn="0"/>
            <w:tcW w:w="138" w:type="pct"/>
          </w:tcPr>
          <w:p w14:paraId="162597C8" w14:textId="77777777" w:rsidR="00C669B8" w:rsidRPr="00B65018" w:rsidRDefault="00C669B8" w:rsidP="00B65018">
            <w:r w:rsidRPr="00B65018">
              <w:t>3</w:t>
            </w:r>
          </w:p>
        </w:tc>
        <w:tc>
          <w:tcPr>
            <w:tcW w:w="1330" w:type="pct"/>
          </w:tcPr>
          <w:p w14:paraId="3B3C802A"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Increases access to Health Professionals for local and regional residents</w:t>
            </w:r>
          </w:p>
        </w:tc>
        <w:tc>
          <w:tcPr>
            <w:tcW w:w="321" w:type="pct"/>
          </w:tcPr>
          <w:p w14:paraId="1B0DA10E" w14:textId="77777777" w:rsidR="00C669B8" w:rsidRPr="00C669B8" w:rsidRDefault="00C669B8" w:rsidP="00C669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642" w:type="pct"/>
          </w:tcPr>
          <w:p w14:paraId="74E848BC"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Maximum increase in access</w:t>
            </w:r>
          </w:p>
        </w:tc>
        <w:tc>
          <w:tcPr>
            <w:tcW w:w="642" w:type="pct"/>
          </w:tcPr>
          <w:p w14:paraId="0E3B4C69"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High increase in access</w:t>
            </w:r>
          </w:p>
        </w:tc>
        <w:tc>
          <w:tcPr>
            <w:tcW w:w="642" w:type="pct"/>
          </w:tcPr>
          <w:p w14:paraId="13EF1238"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Medium increase in access</w:t>
            </w:r>
          </w:p>
        </w:tc>
        <w:tc>
          <w:tcPr>
            <w:tcW w:w="688" w:type="pct"/>
          </w:tcPr>
          <w:p w14:paraId="559A990D"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Some increase in access</w:t>
            </w:r>
          </w:p>
        </w:tc>
        <w:tc>
          <w:tcPr>
            <w:tcW w:w="596" w:type="pct"/>
          </w:tcPr>
          <w:p w14:paraId="26EE7618" w14:textId="27280D43" w:rsidR="00C669B8" w:rsidRPr="00B65018" w:rsidRDefault="00D0779D" w:rsidP="00B65018">
            <w:pPr>
              <w:cnfStyle w:val="000000000000" w:firstRow="0" w:lastRow="0" w:firstColumn="0" w:lastColumn="0" w:oddVBand="0" w:evenVBand="0" w:oddHBand="0" w:evenHBand="0" w:firstRowFirstColumn="0" w:firstRowLastColumn="0" w:lastRowFirstColumn="0" w:lastRowLastColumn="0"/>
            </w:pPr>
            <w:r w:rsidRPr="00B65018">
              <w:t>No</w:t>
            </w:r>
            <w:r w:rsidR="00C669B8" w:rsidRPr="00B65018">
              <w:t xml:space="preserve"> increase in access</w:t>
            </w:r>
          </w:p>
        </w:tc>
      </w:tr>
      <w:tr w:rsidR="00C669B8" w:rsidRPr="00C669B8" w14:paraId="6D7A4294" w14:textId="77777777" w:rsidTr="00C7539A">
        <w:trPr>
          <w:trHeight w:val="57"/>
        </w:trPr>
        <w:tc>
          <w:tcPr>
            <w:cnfStyle w:val="001000000000" w:firstRow="0" w:lastRow="0" w:firstColumn="1" w:lastColumn="0" w:oddVBand="0" w:evenVBand="0" w:oddHBand="0" w:evenHBand="0" w:firstRowFirstColumn="0" w:firstRowLastColumn="0" w:lastRowFirstColumn="0" w:lastRowLastColumn="0"/>
            <w:tcW w:w="138" w:type="pct"/>
          </w:tcPr>
          <w:p w14:paraId="06D3CCFB" w14:textId="77777777" w:rsidR="00C669B8" w:rsidRPr="00B65018" w:rsidRDefault="00C669B8" w:rsidP="00B65018">
            <w:r w:rsidRPr="00B65018">
              <w:t>4</w:t>
            </w:r>
          </w:p>
        </w:tc>
        <w:tc>
          <w:tcPr>
            <w:tcW w:w="1330" w:type="pct"/>
          </w:tcPr>
          <w:p w14:paraId="066B7AF9" w14:textId="6DBA1223"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 xml:space="preserve">Has linkages with other state/ territory and Australian Government health service </w:t>
            </w:r>
            <w:r w:rsidR="00D0779D" w:rsidRPr="00B65018">
              <w:t>p</w:t>
            </w:r>
            <w:r w:rsidRPr="00B65018">
              <w:t>rograms in the region</w:t>
            </w:r>
          </w:p>
        </w:tc>
        <w:tc>
          <w:tcPr>
            <w:tcW w:w="321" w:type="pct"/>
          </w:tcPr>
          <w:p w14:paraId="6459685D" w14:textId="77777777" w:rsidR="00C669B8" w:rsidRPr="00C669B8" w:rsidRDefault="00C669B8" w:rsidP="00C669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642" w:type="pct"/>
          </w:tcPr>
          <w:p w14:paraId="5505A3AE"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Multiple linkages</w:t>
            </w:r>
          </w:p>
        </w:tc>
        <w:tc>
          <w:tcPr>
            <w:tcW w:w="642" w:type="pct"/>
          </w:tcPr>
          <w:p w14:paraId="546539A1"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Many linkages</w:t>
            </w:r>
          </w:p>
        </w:tc>
        <w:tc>
          <w:tcPr>
            <w:tcW w:w="642" w:type="pct"/>
          </w:tcPr>
          <w:p w14:paraId="4A60B326"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Some linkages</w:t>
            </w:r>
          </w:p>
        </w:tc>
        <w:tc>
          <w:tcPr>
            <w:tcW w:w="688" w:type="pct"/>
          </w:tcPr>
          <w:p w14:paraId="7AC59497"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Few linkages</w:t>
            </w:r>
          </w:p>
        </w:tc>
        <w:tc>
          <w:tcPr>
            <w:tcW w:w="596" w:type="pct"/>
          </w:tcPr>
          <w:p w14:paraId="08E25241"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No linkages</w:t>
            </w:r>
          </w:p>
        </w:tc>
      </w:tr>
      <w:tr w:rsidR="00C669B8" w:rsidRPr="00C669B8" w14:paraId="481B104B" w14:textId="77777777" w:rsidTr="00C7539A">
        <w:trPr>
          <w:trHeight w:val="57"/>
        </w:trPr>
        <w:tc>
          <w:tcPr>
            <w:cnfStyle w:val="001000000000" w:firstRow="0" w:lastRow="0" w:firstColumn="1" w:lastColumn="0" w:oddVBand="0" w:evenVBand="0" w:oddHBand="0" w:evenHBand="0" w:firstRowFirstColumn="0" w:firstRowLastColumn="0" w:lastRowFirstColumn="0" w:lastRowLastColumn="0"/>
            <w:tcW w:w="138" w:type="pct"/>
          </w:tcPr>
          <w:p w14:paraId="06592619" w14:textId="77777777" w:rsidR="00C669B8" w:rsidRPr="00B65018" w:rsidRDefault="00C669B8" w:rsidP="00B65018">
            <w:r w:rsidRPr="00B65018">
              <w:t>5</w:t>
            </w:r>
          </w:p>
        </w:tc>
        <w:tc>
          <w:tcPr>
            <w:tcW w:w="1330" w:type="pct"/>
          </w:tcPr>
          <w:p w14:paraId="25174A27"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Service provider identified</w:t>
            </w:r>
          </w:p>
        </w:tc>
        <w:tc>
          <w:tcPr>
            <w:tcW w:w="321" w:type="pct"/>
          </w:tcPr>
          <w:p w14:paraId="09846F12" w14:textId="77777777" w:rsidR="00C669B8" w:rsidRPr="00C669B8" w:rsidRDefault="00C669B8" w:rsidP="00C669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642" w:type="pct"/>
          </w:tcPr>
          <w:p w14:paraId="38A5C228"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Provider identified and agreed to commence</w:t>
            </w:r>
          </w:p>
        </w:tc>
        <w:tc>
          <w:tcPr>
            <w:tcW w:w="642" w:type="pct"/>
          </w:tcPr>
          <w:p w14:paraId="4A165059"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Provider approached</w:t>
            </w:r>
          </w:p>
        </w:tc>
        <w:tc>
          <w:tcPr>
            <w:tcW w:w="642" w:type="pct"/>
          </w:tcPr>
          <w:p w14:paraId="55153BAD"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Provider targeted</w:t>
            </w:r>
          </w:p>
        </w:tc>
        <w:tc>
          <w:tcPr>
            <w:tcW w:w="688" w:type="pct"/>
          </w:tcPr>
          <w:p w14:paraId="2A9F316B"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Search commenced</w:t>
            </w:r>
          </w:p>
        </w:tc>
        <w:tc>
          <w:tcPr>
            <w:tcW w:w="596" w:type="pct"/>
          </w:tcPr>
          <w:p w14:paraId="383799FB"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No search commenced</w:t>
            </w:r>
          </w:p>
        </w:tc>
      </w:tr>
      <w:tr w:rsidR="00C669B8" w:rsidRPr="00C669B8" w14:paraId="50759AE8" w14:textId="77777777" w:rsidTr="00C7539A">
        <w:trPr>
          <w:trHeight w:val="57"/>
        </w:trPr>
        <w:tc>
          <w:tcPr>
            <w:cnfStyle w:val="001000000000" w:firstRow="0" w:lastRow="0" w:firstColumn="1" w:lastColumn="0" w:oddVBand="0" w:evenVBand="0" w:oddHBand="0" w:evenHBand="0" w:firstRowFirstColumn="0" w:firstRowLastColumn="0" w:lastRowFirstColumn="0" w:lastRowLastColumn="0"/>
            <w:tcW w:w="138" w:type="pct"/>
          </w:tcPr>
          <w:p w14:paraId="514CEC7B" w14:textId="77777777" w:rsidR="00C669B8" w:rsidRPr="00B65018" w:rsidRDefault="00C669B8" w:rsidP="00B65018">
            <w:r w:rsidRPr="00B65018">
              <w:t>6</w:t>
            </w:r>
          </w:p>
        </w:tc>
        <w:tc>
          <w:tcPr>
            <w:tcW w:w="1330" w:type="pct"/>
          </w:tcPr>
          <w:p w14:paraId="0F18FF5B"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Support from all medical professionals in the region</w:t>
            </w:r>
          </w:p>
        </w:tc>
        <w:tc>
          <w:tcPr>
            <w:tcW w:w="321" w:type="pct"/>
          </w:tcPr>
          <w:p w14:paraId="4D090346" w14:textId="77777777" w:rsidR="00C669B8" w:rsidRPr="00C669B8" w:rsidRDefault="00C669B8" w:rsidP="00C669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642" w:type="pct"/>
          </w:tcPr>
          <w:p w14:paraId="6DCF7DA0"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 xml:space="preserve">Fully supported </w:t>
            </w:r>
          </w:p>
        </w:tc>
        <w:tc>
          <w:tcPr>
            <w:tcW w:w="642" w:type="pct"/>
          </w:tcPr>
          <w:p w14:paraId="4C13643A"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Mostly supported</w:t>
            </w:r>
          </w:p>
        </w:tc>
        <w:tc>
          <w:tcPr>
            <w:tcW w:w="642" w:type="pct"/>
          </w:tcPr>
          <w:p w14:paraId="1EF8DDB6"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Under negotiation</w:t>
            </w:r>
          </w:p>
        </w:tc>
        <w:tc>
          <w:tcPr>
            <w:tcW w:w="688" w:type="pct"/>
          </w:tcPr>
          <w:p w14:paraId="4C5E6463"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Not really supported</w:t>
            </w:r>
          </w:p>
        </w:tc>
        <w:tc>
          <w:tcPr>
            <w:tcW w:w="596" w:type="pct"/>
          </w:tcPr>
          <w:p w14:paraId="5C3DF890" w14:textId="5DC2C098"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 xml:space="preserve">No </w:t>
            </w:r>
            <w:r w:rsidR="00D0779D" w:rsidRPr="00B65018">
              <w:t>s</w:t>
            </w:r>
            <w:r w:rsidRPr="00B65018">
              <w:t>upport apparent</w:t>
            </w:r>
          </w:p>
        </w:tc>
      </w:tr>
      <w:tr w:rsidR="00C669B8" w:rsidRPr="00C669B8" w14:paraId="644F8050" w14:textId="77777777" w:rsidTr="00C7539A">
        <w:trPr>
          <w:trHeight w:val="57"/>
        </w:trPr>
        <w:tc>
          <w:tcPr>
            <w:cnfStyle w:val="001000000000" w:firstRow="0" w:lastRow="0" w:firstColumn="1" w:lastColumn="0" w:oddVBand="0" w:evenVBand="0" w:oddHBand="0" w:evenHBand="0" w:firstRowFirstColumn="0" w:firstRowLastColumn="0" w:lastRowFirstColumn="0" w:lastRowLastColumn="0"/>
            <w:tcW w:w="138" w:type="pct"/>
          </w:tcPr>
          <w:p w14:paraId="4AC49404" w14:textId="77777777" w:rsidR="00C669B8" w:rsidRPr="00B65018" w:rsidRDefault="00C669B8" w:rsidP="00B65018">
            <w:r w:rsidRPr="00B65018">
              <w:t>7</w:t>
            </w:r>
          </w:p>
        </w:tc>
        <w:tc>
          <w:tcPr>
            <w:tcW w:w="1330" w:type="pct"/>
          </w:tcPr>
          <w:p w14:paraId="726F4035"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 xml:space="preserve">Provider has capacity to meet the requirements of the Outreach Program </w:t>
            </w:r>
          </w:p>
        </w:tc>
        <w:tc>
          <w:tcPr>
            <w:tcW w:w="321" w:type="pct"/>
          </w:tcPr>
          <w:p w14:paraId="30FF1A88" w14:textId="77777777" w:rsidR="00C669B8" w:rsidRPr="00C669B8" w:rsidRDefault="00C669B8" w:rsidP="00C669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642" w:type="pct"/>
          </w:tcPr>
          <w:p w14:paraId="45A98ED3" w14:textId="0E94301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 xml:space="preserve">Full </w:t>
            </w:r>
            <w:r w:rsidR="00D0779D" w:rsidRPr="00B65018">
              <w:t>c</w:t>
            </w:r>
            <w:r w:rsidRPr="00B65018">
              <w:t>apacity</w:t>
            </w:r>
          </w:p>
        </w:tc>
        <w:tc>
          <w:tcPr>
            <w:tcW w:w="642" w:type="pct"/>
          </w:tcPr>
          <w:p w14:paraId="14D91011"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Full capacity but may need assistance</w:t>
            </w:r>
          </w:p>
        </w:tc>
        <w:tc>
          <w:tcPr>
            <w:tcW w:w="642" w:type="pct"/>
          </w:tcPr>
          <w:p w14:paraId="664A26BA"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Some capacity</w:t>
            </w:r>
          </w:p>
        </w:tc>
        <w:tc>
          <w:tcPr>
            <w:tcW w:w="688" w:type="pct"/>
          </w:tcPr>
          <w:p w14:paraId="45BCA382"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Partial capacity</w:t>
            </w:r>
          </w:p>
        </w:tc>
        <w:tc>
          <w:tcPr>
            <w:tcW w:w="596" w:type="pct"/>
          </w:tcPr>
          <w:p w14:paraId="70D98851"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No capacity</w:t>
            </w:r>
          </w:p>
        </w:tc>
      </w:tr>
      <w:tr w:rsidR="00C669B8" w:rsidRPr="00C669B8" w14:paraId="522ECEC7" w14:textId="77777777" w:rsidTr="00C7539A">
        <w:trPr>
          <w:trHeight w:val="57"/>
        </w:trPr>
        <w:tc>
          <w:tcPr>
            <w:cnfStyle w:val="001000000000" w:firstRow="0" w:lastRow="0" w:firstColumn="1" w:lastColumn="0" w:oddVBand="0" w:evenVBand="0" w:oddHBand="0" w:evenHBand="0" w:firstRowFirstColumn="0" w:firstRowLastColumn="0" w:lastRowFirstColumn="0" w:lastRowLastColumn="0"/>
            <w:tcW w:w="138" w:type="pct"/>
          </w:tcPr>
          <w:p w14:paraId="58FA64B0" w14:textId="77777777" w:rsidR="00C669B8" w:rsidRPr="00B65018" w:rsidRDefault="00C669B8" w:rsidP="00B65018">
            <w:r w:rsidRPr="00B65018">
              <w:t>8</w:t>
            </w:r>
          </w:p>
        </w:tc>
        <w:tc>
          <w:tcPr>
            <w:tcW w:w="1330" w:type="pct"/>
          </w:tcPr>
          <w:p w14:paraId="18F595CC"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Provides value for money</w:t>
            </w:r>
          </w:p>
        </w:tc>
        <w:tc>
          <w:tcPr>
            <w:tcW w:w="321" w:type="pct"/>
          </w:tcPr>
          <w:p w14:paraId="20806F21" w14:textId="77777777" w:rsidR="00C669B8" w:rsidRPr="00C669B8" w:rsidRDefault="00C669B8" w:rsidP="00C669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642" w:type="pct"/>
          </w:tcPr>
          <w:p w14:paraId="7A340B6B"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Outstanding in all respects</w:t>
            </w:r>
          </w:p>
        </w:tc>
        <w:tc>
          <w:tcPr>
            <w:tcW w:w="642" w:type="pct"/>
          </w:tcPr>
          <w:p w14:paraId="39A6FE2F"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Well met and has additional factors that set it apart</w:t>
            </w:r>
          </w:p>
        </w:tc>
        <w:tc>
          <w:tcPr>
            <w:tcW w:w="642" w:type="pct"/>
          </w:tcPr>
          <w:p w14:paraId="567223B8"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Well met</w:t>
            </w:r>
          </w:p>
        </w:tc>
        <w:tc>
          <w:tcPr>
            <w:tcW w:w="688" w:type="pct"/>
          </w:tcPr>
          <w:p w14:paraId="73D13118"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Partially met</w:t>
            </w:r>
          </w:p>
        </w:tc>
        <w:tc>
          <w:tcPr>
            <w:tcW w:w="596" w:type="pct"/>
          </w:tcPr>
          <w:p w14:paraId="3B554B19"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Not met</w:t>
            </w:r>
          </w:p>
        </w:tc>
      </w:tr>
      <w:tr w:rsidR="00C669B8" w:rsidRPr="00C669B8" w14:paraId="5683988E" w14:textId="77777777" w:rsidTr="00C7539A">
        <w:trPr>
          <w:trHeight w:val="57"/>
        </w:trPr>
        <w:tc>
          <w:tcPr>
            <w:cnfStyle w:val="001000000000" w:firstRow="0" w:lastRow="0" w:firstColumn="1" w:lastColumn="0" w:oddVBand="0" w:evenVBand="0" w:oddHBand="0" w:evenHBand="0" w:firstRowFirstColumn="0" w:firstRowLastColumn="0" w:lastRowFirstColumn="0" w:lastRowLastColumn="0"/>
            <w:tcW w:w="138" w:type="pct"/>
          </w:tcPr>
          <w:p w14:paraId="68BF9A2F" w14:textId="77777777" w:rsidR="00C669B8" w:rsidRPr="00B65018" w:rsidRDefault="00C669B8" w:rsidP="00B65018">
            <w:r w:rsidRPr="00B65018">
              <w:t>9</w:t>
            </w:r>
          </w:p>
        </w:tc>
        <w:tc>
          <w:tcPr>
            <w:tcW w:w="1330" w:type="pct"/>
          </w:tcPr>
          <w:p w14:paraId="198ADA83" w14:textId="651D42E4"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Demonstrates cultural</w:t>
            </w:r>
            <w:r w:rsidR="009D209C" w:rsidRPr="00B65018">
              <w:t xml:space="preserve"> safety and</w:t>
            </w:r>
            <w:r w:rsidRPr="00B65018">
              <w:t xml:space="preserve"> appropriateness </w:t>
            </w:r>
            <w:r w:rsidR="00C7539A" w:rsidRPr="00B65018">
              <w:t>e.g.,</w:t>
            </w:r>
            <w:r w:rsidRPr="00B65018">
              <w:t xml:space="preserve"> embedded effective health literacy practices into service delivery</w:t>
            </w:r>
          </w:p>
        </w:tc>
        <w:tc>
          <w:tcPr>
            <w:tcW w:w="321" w:type="pct"/>
          </w:tcPr>
          <w:p w14:paraId="7EED9A78" w14:textId="77777777" w:rsidR="00C669B8" w:rsidRPr="00C669B8" w:rsidRDefault="00C669B8" w:rsidP="00C669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642" w:type="pct"/>
          </w:tcPr>
          <w:p w14:paraId="7C4BE759"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Highly engaged</w:t>
            </w:r>
          </w:p>
        </w:tc>
        <w:tc>
          <w:tcPr>
            <w:tcW w:w="642" w:type="pct"/>
          </w:tcPr>
          <w:p w14:paraId="06F747FB"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Local linkages and sound strategies</w:t>
            </w:r>
          </w:p>
        </w:tc>
        <w:tc>
          <w:tcPr>
            <w:tcW w:w="642" w:type="pct"/>
          </w:tcPr>
          <w:p w14:paraId="57912B65"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Some linkages and specified strategies</w:t>
            </w:r>
          </w:p>
        </w:tc>
        <w:tc>
          <w:tcPr>
            <w:tcW w:w="688" w:type="pct"/>
          </w:tcPr>
          <w:p w14:paraId="773A98E8" w14:textId="567B64BD"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A few cultural</w:t>
            </w:r>
            <w:r w:rsidR="00D0779D" w:rsidRPr="00B65018">
              <w:t xml:space="preserve">ly </w:t>
            </w:r>
            <w:r w:rsidRPr="00B65018">
              <w:t>appropriate materials and linkages</w:t>
            </w:r>
          </w:p>
        </w:tc>
        <w:tc>
          <w:tcPr>
            <w:tcW w:w="596" w:type="pct"/>
          </w:tcPr>
          <w:p w14:paraId="1E08E69B" w14:textId="77777777" w:rsidR="00C669B8" w:rsidRPr="00B65018" w:rsidRDefault="00C669B8" w:rsidP="00B65018">
            <w:pPr>
              <w:cnfStyle w:val="000000000000" w:firstRow="0" w:lastRow="0" w:firstColumn="0" w:lastColumn="0" w:oddVBand="0" w:evenVBand="0" w:oddHBand="0" w:evenHBand="0" w:firstRowFirstColumn="0" w:firstRowLastColumn="0" w:lastRowFirstColumn="0" w:lastRowLastColumn="0"/>
            </w:pPr>
            <w:r w:rsidRPr="00B65018">
              <w:t>Not met</w:t>
            </w:r>
          </w:p>
        </w:tc>
      </w:tr>
      <w:tr w:rsidR="00C669B8" w:rsidRPr="00C669B8" w14:paraId="30E6D461" w14:textId="77777777" w:rsidTr="00C7539A">
        <w:trPr>
          <w:cnfStyle w:val="010000000000" w:firstRow="0" w:lastRow="1"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38" w:type="pct"/>
          </w:tcPr>
          <w:p w14:paraId="11806E09" w14:textId="77777777" w:rsidR="00C669B8" w:rsidRPr="00C669B8" w:rsidRDefault="00C669B8" w:rsidP="00C669B8">
            <w:pPr>
              <w:rPr>
                <w:rFonts w:asciiTheme="minorHAnsi" w:hAnsiTheme="minorHAnsi" w:cstheme="minorHAnsi"/>
                <w:b w:val="0"/>
                <w:bCs/>
                <w:sz w:val="20"/>
              </w:rPr>
            </w:pPr>
          </w:p>
        </w:tc>
        <w:tc>
          <w:tcPr>
            <w:tcW w:w="1330" w:type="pct"/>
          </w:tcPr>
          <w:p w14:paraId="0709F8B5" w14:textId="1D9427CF" w:rsidR="00C669B8" w:rsidRPr="00B65018" w:rsidRDefault="00C669B8" w:rsidP="00B65018">
            <w:pPr>
              <w:cnfStyle w:val="010000000000" w:firstRow="0" w:lastRow="1" w:firstColumn="0" w:lastColumn="0" w:oddVBand="0" w:evenVBand="0" w:oddHBand="0" w:evenHBand="0" w:firstRowFirstColumn="0" w:firstRowLastColumn="0" w:lastRowFirstColumn="0" w:lastRowLastColumn="0"/>
            </w:pPr>
            <w:r w:rsidRPr="00B65018">
              <w:t>Total</w:t>
            </w:r>
          </w:p>
        </w:tc>
        <w:tc>
          <w:tcPr>
            <w:tcW w:w="321" w:type="pct"/>
          </w:tcPr>
          <w:p w14:paraId="2496FC64" w14:textId="77777777" w:rsidR="00C669B8" w:rsidRPr="00C669B8" w:rsidRDefault="00C669B8" w:rsidP="00C669B8">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sz w:val="20"/>
              </w:rPr>
            </w:pPr>
          </w:p>
        </w:tc>
        <w:tc>
          <w:tcPr>
            <w:tcW w:w="642" w:type="pct"/>
            <w:shd w:val="clear" w:color="auto" w:fill="D9D9D9" w:themeFill="background1" w:themeFillShade="D9"/>
          </w:tcPr>
          <w:p w14:paraId="4F5D4A7D" w14:textId="77777777" w:rsidR="00C669B8" w:rsidRPr="00C669B8" w:rsidRDefault="00C669B8" w:rsidP="00C669B8">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sz w:val="20"/>
              </w:rPr>
            </w:pPr>
          </w:p>
        </w:tc>
        <w:tc>
          <w:tcPr>
            <w:tcW w:w="642" w:type="pct"/>
            <w:shd w:val="clear" w:color="auto" w:fill="D9D9D9" w:themeFill="background1" w:themeFillShade="D9"/>
          </w:tcPr>
          <w:p w14:paraId="48FF8629" w14:textId="77777777" w:rsidR="00C669B8" w:rsidRPr="00C669B8" w:rsidRDefault="00C669B8" w:rsidP="00C669B8">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sz w:val="20"/>
              </w:rPr>
            </w:pPr>
          </w:p>
        </w:tc>
        <w:tc>
          <w:tcPr>
            <w:tcW w:w="642" w:type="pct"/>
            <w:shd w:val="clear" w:color="auto" w:fill="D9D9D9" w:themeFill="background1" w:themeFillShade="D9"/>
          </w:tcPr>
          <w:p w14:paraId="0DCAAA30" w14:textId="77777777" w:rsidR="00C669B8" w:rsidRPr="00C669B8" w:rsidRDefault="00C669B8" w:rsidP="00C669B8">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sz w:val="20"/>
              </w:rPr>
            </w:pPr>
          </w:p>
        </w:tc>
        <w:tc>
          <w:tcPr>
            <w:tcW w:w="688" w:type="pct"/>
            <w:shd w:val="clear" w:color="auto" w:fill="D9D9D9" w:themeFill="background1" w:themeFillShade="D9"/>
          </w:tcPr>
          <w:p w14:paraId="32EFBE5E" w14:textId="77777777" w:rsidR="00C669B8" w:rsidRPr="00C669B8" w:rsidRDefault="00C669B8" w:rsidP="00C669B8">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sz w:val="20"/>
              </w:rPr>
            </w:pPr>
          </w:p>
        </w:tc>
        <w:tc>
          <w:tcPr>
            <w:tcW w:w="596" w:type="pct"/>
            <w:shd w:val="clear" w:color="auto" w:fill="D9D9D9" w:themeFill="background1" w:themeFillShade="D9"/>
          </w:tcPr>
          <w:p w14:paraId="3266E834" w14:textId="77777777" w:rsidR="00C669B8" w:rsidRPr="00C669B8" w:rsidRDefault="00C669B8" w:rsidP="00C669B8">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sz w:val="20"/>
              </w:rPr>
            </w:pPr>
          </w:p>
        </w:tc>
      </w:tr>
    </w:tbl>
    <w:p w14:paraId="09A09712" w14:textId="467E9292" w:rsidR="00C669B8" w:rsidRPr="00866E7B" w:rsidRDefault="00C669B8" w:rsidP="00866E7B">
      <w:pPr>
        <w:rPr>
          <w:rFonts w:asciiTheme="minorHAnsi" w:hAnsiTheme="minorHAnsi" w:cstheme="minorHAnsi"/>
        </w:rPr>
        <w:sectPr w:rsidR="00C669B8" w:rsidRPr="00866E7B" w:rsidSect="00866E7B">
          <w:pgSz w:w="16838" w:h="11906" w:orient="landscape" w:code="9"/>
          <w:pgMar w:top="851" w:right="851" w:bottom="709" w:left="851" w:header="284" w:footer="185" w:gutter="0"/>
          <w:cols w:space="720"/>
          <w:docGrid w:linePitch="326"/>
        </w:sectPr>
      </w:pPr>
    </w:p>
    <w:p w14:paraId="3DC63D7D" w14:textId="7458DDCC" w:rsidR="00205A93" w:rsidRPr="00B65018" w:rsidRDefault="00205A93" w:rsidP="001D6018">
      <w:pPr>
        <w:pStyle w:val="Headingnonumbering"/>
      </w:pPr>
      <w:bookmarkStart w:id="217" w:name="_Toc164328361"/>
      <w:bookmarkStart w:id="218" w:name="_Toc164328463"/>
      <w:r w:rsidRPr="00B65018">
        <w:lastRenderedPageBreak/>
        <w:t>Glossary</w:t>
      </w:r>
      <w:bookmarkEnd w:id="217"/>
      <w:bookmarkEnd w:id="218"/>
    </w:p>
    <w:p w14:paraId="238A4A4D" w14:textId="1B4C6009" w:rsidR="00866E7B" w:rsidRPr="00260274" w:rsidRDefault="00866E7B" w:rsidP="00260274">
      <w:pPr>
        <w:rPr>
          <w:rStyle w:val="Emphasis"/>
        </w:rPr>
      </w:pPr>
      <w:r w:rsidRPr="00260274">
        <w:rPr>
          <w:rStyle w:val="Emphasis"/>
        </w:rPr>
        <w:t>Th</w:t>
      </w:r>
      <w:r w:rsidR="00C3221F" w:rsidRPr="00260274">
        <w:rPr>
          <w:rStyle w:val="Emphasis"/>
        </w:rPr>
        <w:t xml:space="preserve">is table provides a definition of </w:t>
      </w:r>
      <w:r w:rsidRPr="00260274">
        <w:rPr>
          <w:rStyle w:val="Emphasis"/>
        </w:rPr>
        <w:t>terms appl</w:t>
      </w:r>
      <w:r w:rsidR="00C3221F" w:rsidRPr="00260274">
        <w:rPr>
          <w:rStyle w:val="Emphasis"/>
        </w:rPr>
        <w:t>icable</w:t>
      </w:r>
      <w:r w:rsidRPr="00260274">
        <w:rPr>
          <w:rStyle w:val="Emphasis"/>
        </w:rPr>
        <w:t xml:space="preserve"> to any document associated with the administration of the relevant Outreach Program.</w:t>
      </w:r>
    </w:p>
    <w:tbl>
      <w:tblPr>
        <w:tblStyle w:val="TableGrid"/>
        <w:tblW w:w="10299" w:type="dxa"/>
        <w:tblLayout w:type="fixed"/>
        <w:tblLook w:val="04A0" w:firstRow="1" w:lastRow="0" w:firstColumn="1" w:lastColumn="0" w:noHBand="0" w:noVBand="1"/>
      </w:tblPr>
      <w:tblGrid>
        <w:gridCol w:w="1985"/>
        <w:gridCol w:w="8314"/>
      </w:tblGrid>
      <w:tr w:rsidR="00C7539A" w:rsidRPr="001F532D" w14:paraId="20293C6A" w14:textId="77777777" w:rsidTr="00C7539A">
        <w:trPr>
          <w:cnfStyle w:val="100000000000" w:firstRow="1" w:lastRow="0" w:firstColumn="0" w:lastColumn="0" w:oddVBand="0" w:evenVBand="0" w:oddHBand="0" w:evenHBand="0" w:firstRowFirstColumn="0" w:firstRowLastColumn="0" w:lastRowFirstColumn="0" w:lastRowLastColumn="0"/>
          <w:trHeight w:val="422"/>
          <w:tblHeader/>
        </w:trPr>
        <w:tc>
          <w:tcPr>
            <w:cnfStyle w:val="001000000000" w:firstRow="0" w:lastRow="0" w:firstColumn="1" w:lastColumn="0" w:oddVBand="0" w:evenVBand="0" w:oddHBand="0" w:evenHBand="0" w:firstRowFirstColumn="0" w:firstRowLastColumn="0" w:lastRowFirstColumn="0" w:lastRowLastColumn="0"/>
            <w:tcW w:w="1985" w:type="dxa"/>
          </w:tcPr>
          <w:p w14:paraId="467B1DF1" w14:textId="5EBAD686" w:rsidR="00C7539A" w:rsidRPr="00B65018" w:rsidRDefault="00C7539A" w:rsidP="00B65018">
            <w:r>
              <w:t>Terms</w:t>
            </w:r>
          </w:p>
        </w:tc>
        <w:tc>
          <w:tcPr>
            <w:tcW w:w="8314" w:type="dxa"/>
          </w:tcPr>
          <w:p w14:paraId="7C388A94" w14:textId="6B2C6C23" w:rsidR="00C7539A" w:rsidRPr="00260274" w:rsidRDefault="00C7539A" w:rsidP="00260274">
            <w:pPr>
              <w:cnfStyle w:val="100000000000" w:firstRow="1" w:lastRow="0" w:firstColumn="0" w:lastColumn="0" w:oddVBand="0" w:evenVBand="0" w:oddHBand="0" w:evenHBand="0" w:firstRowFirstColumn="0" w:firstRowLastColumn="0" w:lastRowFirstColumn="0" w:lastRowLastColumn="0"/>
            </w:pPr>
            <w:r>
              <w:t>D</w:t>
            </w:r>
            <w:r w:rsidRPr="00C7539A">
              <w:t>efinition of term</w:t>
            </w:r>
          </w:p>
        </w:tc>
      </w:tr>
      <w:tr w:rsidR="00866E7B" w:rsidRPr="001F532D" w14:paraId="23AE9456" w14:textId="77777777" w:rsidTr="00C7539A">
        <w:trPr>
          <w:trHeight w:val="988"/>
        </w:trPr>
        <w:tc>
          <w:tcPr>
            <w:cnfStyle w:val="001000000000" w:firstRow="0" w:lastRow="0" w:firstColumn="1" w:lastColumn="0" w:oddVBand="0" w:evenVBand="0" w:oddHBand="0" w:evenHBand="0" w:firstRowFirstColumn="0" w:firstRowLastColumn="0" w:lastRowFirstColumn="0" w:lastRowLastColumn="0"/>
            <w:tcW w:w="1985" w:type="dxa"/>
          </w:tcPr>
          <w:p w14:paraId="64074355" w14:textId="77777777" w:rsidR="00866E7B" w:rsidRPr="00B65018" w:rsidRDefault="00866E7B" w:rsidP="00B65018">
            <w:r w:rsidRPr="00B65018">
              <w:t>Administration costs</w:t>
            </w:r>
          </w:p>
        </w:tc>
        <w:tc>
          <w:tcPr>
            <w:tcW w:w="8314" w:type="dxa"/>
          </w:tcPr>
          <w:p w14:paraId="05AEF30B" w14:textId="77777777" w:rsidR="00866E7B" w:rsidRPr="00260274" w:rsidRDefault="00866E7B" w:rsidP="00260274">
            <w:pPr>
              <w:cnfStyle w:val="000000000000" w:firstRow="0" w:lastRow="0" w:firstColumn="0" w:lastColumn="0" w:oddVBand="0" w:evenVBand="0" w:oddHBand="0" w:evenHBand="0" w:firstRowFirstColumn="0" w:firstRowLastColumn="0" w:lastRowFirstColumn="0" w:lastRowLastColumn="0"/>
            </w:pPr>
            <w:r w:rsidRPr="00260274">
              <w:t>Payments to cover the costs of administration directly related to the provision of patient services including reception duties, organising appointments, processing of correspondence, typing of referral letters and making hospital bookings etc.</w:t>
            </w:r>
          </w:p>
        </w:tc>
      </w:tr>
      <w:tr w:rsidR="00866E7B" w:rsidRPr="001F532D" w14:paraId="4F652531"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7B7D6894" w14:textId="77777777" w:rsidR="00866E7B" w:rsidRPr="00260274" w:rsidRDefault="00866E7B" w:rsidP="00260274">
            <w:r w:rsidRPr="00260274">
              <w:t>Advisory Forum</w:t>
            </w:r>
          </w:p>
        </w:tc>
        <w:tc>
          <w:tcPr>
            <w:tcW w:w="8314" w:type="dxa"/>
          </w:tcPr>
          <w:p w14:paraId="1521DE98" w14:textId="77777777"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F532D">
              <w:rPr>
                <w:rFonts w:asciiTheme="minorHAnsi" w:hAnsiTheme="minorHAnsi" w:cstheme="minorHAnsi"/>
                <w:szCs w:val="22"/>
              </w:rPr>
              <w:t xml:space="preserve">State/Territory based committee that provides advice to the Fundholder on how best to deploy resources, determine priorities in project plans, and the suitability of services being proposed for funding under the Outreach Programs.  </w:t>
            </w:r>
          </w:p>
        </w:tc>
      </w:tr>
      <w:tr w:rsidR="00866E7B" w:rsidRPr="001F532D" w14:paraId="754ABB51"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76509693" w14:textId="77777777" w:rsidR="00866E7B" w:rsidRPr="00260274" w:rsidRDefault="00866E7B" w:rsidP="00260274">
            <w:r w:rsidRPr="00260274">
              <w:t>Backfilling</w:t>
            </w:r>
          </w:p>
        </w:tc>
        <w:tc>
          <w:tcPr>
            <w:tcW w:w="8314" w:type="dxa"/>
          </w:tcPr>
          <w:p w14:paraId="0CAD7413" w14:textId="1611D11D"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F532D">
              <w:rPr>
                <w:rFonts w:asciiTheme="minorHAnsi" w:hAnsiTheme="minorHAnsi" w:cstheme="minorHAnsi"/>
                <w:szCs w:val="22"/>
              </w:rPr>
              <w:t xml:space="preserve">Short-term relief of a position vacated by a </w:t>
            </w:r>
            <w:r w:rsidR="002D19A0">
              <w:rPr>
                <w:rFonts w:asciiTheme="minorHAnsi" w:hAnsiTheme="minorHAnsi" w:cstheme="minorHAnsi"/>
                <w:szCs w:val="22"/>
              </w:rPr>
              <w:t xml:space="preserve">Health Professional </w:t>
            </w:r>
            <w:r w:rsidRPr="001F532D">
              <w:rPr>
                <w:rFonts w:asciiTheme="minorHAnsi" w:hAnsiTheme="minorHAnsi" w:cstheme="minorHAnsi"/>
                <w:szCs w:val="22"/>
              </w:rPr>
              <w:t>who is providing approved outreach services.</w:t>
            </w:r>
          </w:p>
        </w:tc>
      </w:tr>
      <w:tr w:rsidR="00866E7B" w:rsidRPr="001F532D" w14:paraId="47E73319"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4F00F807" w14:textId="419EFF29" w:rsidR="00866E7B" w:rsidRPr="00260274" w:rsidRDefault="00866E7B" w:rsidP="00260274">
            <w:r w:rsidRPr="00260274">
              <w:t xml:space="preserve">Chronic </w:t>
            </w:r>
            <w:r w:rsidR="001F517B" w:rsidRPr="00260274">
              <w:t>d</w:t>
            </w:r>
            <w:r w:rsidRPr="00260274">
              <w:t>isease</w:t>
            </w:r>
          </w:p>
        </w:tc>
        <w:tc>
          <w:tcPr>
            <w:tcW w:w="8314" w:type="dxa"/>
          </w:tcPr>
          <w:p w14:paraId="73380A11" w14:textId="77777777"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F532D">
              <w:rPr>
                <w:rFonts w:asciiTheme="minorHAnsi" w:hAnsiTheme="minorHAnsi" w:cstheme="minorHAnsi"/>
                <w:szCs w:val="22"/>
              </w:rPr>
              <w:t>Chronic disease is defined as ‘a condition that has been (or is likely to be) present for six months or longer’.</w:t>
            </w:r>
          </w:p>
        </w:tc>
      </w:tr>
      <w:tr w:rsidR="00866E7B" w:rsidRPr="001F532D" w14:paraId="4C347C0D"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0BA028EA" w14:textId="1E8B4E89" w:rsidR="00866E7B" w:rsidRPr="00260274" w:rsidRDefault="00866E7B" w:rsidP="00260274">
            <w:r w:rsidRPr="00260274">
              <w:t xml:space="preserve">General </w:t>
            </w:r>
            <w:r w:rsidR="001F517B" w:rsidRPr="00260274">
              <w:t>p</w:t>
            </w:r>
            <w:r w:rsidRPr="00260274">
              <w:t>ractitioner</w:t>
            </w:r>
          </w:p>
        </w:tc>
        <w:tc>
          <w:tcPr>
            <w:tcW w:w="8314" w:type="dxa"/>
          </w:tcPr>
          <w:p w14:paraId="1A4E62E4" w14:textId="44482F40"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F532D">
              <w:rPr>
                <w:rFonts w:asciiTheme="minorHAnsi" w:hAnsiTheme="minorHAnsi" w:cstheme="minorHAnsi"/>
                <w:szCs w:val="22"/>
              </w:rPr>
              <w:t>A duly licensed medically qualified person. This term is used interchangeably with Medical Practitioner.</w:t>
            </w:r>
          </w:p>
        </w:tc>
      </w:tr>
      <w:tr w:rsidR="00866E7B" w:rsidRPr="001F532D" w14:paraId="46622F43"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1487D38B" w14:textId="77777777" w:rsidR="00866E7B" w:rsidRPr="00260274" w:rsidRDefault="00866E7B" w:rsidP="00260274">
            <w:r w:rsidRPr="00260274">
              <w:t>Health Professional</w:t>
            </w:r>
          </w:p>
        </w:tc>
        <w:tc>
          <w:tcPr>
            <w:tcW w:w="8314" w:type="dxa"/>
          </w:tcPr>
          <w:p w14:paraId="39CB46A6" w14:textId="6AF15691"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F532D">
              <w:rPr>
                <w:rFonts w:asciiTheme="minorHAnsi" w:hAnsiTheme="minorHAnsi" w:cstheme="minorHAnsi"/>
                <w:szCs w:val="22"/>
              </w:rPr>
              <w:t xml:space="preserve">A general term for a person with tertiary qualifications </w:t>
            </w:r>
            <w:r>
              <w:rPr>
                <w:rFonts w:asciiTheme="minorHAnsi" w:hAnsiTheme="minorHAnsi" w:cstheme="minorHAnsi"/>
                <w:szCs w:val="22"/>
              </w:rPr>
              <w:t xml:space="preserve">working </w:t>
            </w:r>
            <w:r w:rsidRPr="001F532D">
              <w:rPr>
                <w:rFonts w:asciiTheme="minorHAnsi" w:hAnsiTheme="minorHAnsi" w:cstheme="minorHAnsi"/>
                <w:szCs w:val="22"/>
              </w:rPr>
              <w:t xml:space="preserve">in </w:t>
            </w:r>
            <w:r>
              <w:rPr>
                <w:rFonts w:asciiTheme="minorHAnsi" w:hAnsiTheme="minorHAnsi" w:cstheme="minorHAnsi"/>
                <w:szCs w:val="22"/>
              </w:rPr>
              <w:t>primary, secondary or tertiary care.</w:t>
            </w:r>
            <w:r w:rsidRPr="001F532D">
              <w:rPr>
                <w:rFonts w:asciiTheme="minorHAnsi" w:hAnsiTheme="minorHAnsi" w:cstheme="minorHAnsi"/>
                <w:szCs w:val="22"/>
              </w:rPr>
              <w:t xml:space="preserve"> </w:t>
            </w:r>
            <w:r w:rsidR="00C7539A" w:rsidRPr="001F532D">
              <w:rPr>
                <w:rFonts w:asciiTheme="minorHAnsi" w:hAnsiTheme="minorHAnsi" w:cstheme="minorHAnsi"/>
                <w:szCs w:val="22"/>
              </w:rPr>
              <w:t>e.g.,</w:t>
            </w:r>
            <w:r w:rsidRPr="001F532D">
              <w:rPr>
                <w:rFonts w:asciiTheme="minorHAnsi" w:hAnsiTheme="minorHAnsi" w:cstheme="minorHAnsi"/>
                <w:szCs w:val="22"/>
              </w:rPr>
              <w:t xml:space="preserve"> doctor, dietician, nurse, pharmacist, physiotherapist, psychologist</w:t>
            </w:r>
            <w:r>
              <w:rPr>
                <w:rFonts w:asciiTheme="minorHAnsi" w:hAnsiTheme="minorHAnsi" w:cstheme="minorHAnsi"/>
                <w:szCs w:val="22"/>
              </w:rPr>
              <w:t>, surgeon etc.</w:t>
            </w:r>
          </w:p>
        </w:tc>
      </w:tr>
      <w:tr w:rsidR="00866E7B" w:rsidRPr="001F532D" w14:paraId="213EE2EB" w14:textId="77777777" w:rsidTr="00C7539A">
        <w:trPr>
          <w:trHeight w:val="546"/>
        </w:trPr>
        <w:tc>
          <w:tcPr>
            <w:cnfStyle w:val="001000000000" w:firstRow="0" w:lastRow="0" w:firstColumn="1" w:lastColumn="0" w:oddVBand="0" w:evenVBand="0" w:oddHBand="0" w:evenHBand="0" w:firstRowFirstColumn="0" w:firstRowLastColumn="0" w:lastRowFirstColumn="0" w:lastRowLastColumn="0"/>
            <w:tcW w:w="1985" w:type="dxa"/>
          </w:tcPr>
          <w:p w14:paraId="3FBBF8D4" w14:textId="6EA78549" w:rsidR="00866E7B" w:rsidRPr="00260274" w:rsidRDefault="00866E7B" w:rsidP="00260274">
            <w:r w:rsidRPr="00260274">
              <w:t xml:space="preserve">Hospital </w:t>
            </w:r>
            <w:r w:rsidR="007C6CBA" w:rsidRPr="00260274">
              <w:t>s</w:t>
            </w:r>
            <w:r w:rsidRPr="00260274">
              <w:t>ervices</w:t>
            </w:r>
          </w:p>
        </w:tc>
        <w:tc>
          <w:tcPr>
            <w:tcW w:w="8314" w:type="dxa"/>
          </w:tcPr>
          <w:p w14:paraId="4FF91246" w14:textId="59C41271" w:rsidR="00866E7B" w:rsidRPr="001F532D" w:rsidRDefault="00866E7B" w:rsidP="00A23F8F">
            <w:pPr>
              <w:cnfStyle w:val="000000000000" w:firstRow="0" w:lastRow="0" w:firstColumn="0" w:lastColumn="0" w:oddVBand="0" w:evenVBand="0" w:oddHBand="0" w:evenHBand="0" w:firstRowFirstColumn="0" w:firstRowLastColumn="0" w:lastRowFirstColumn="0" w:lastRowLastColumn="0"/>
            </w:pPr>
            <w:r w:rsidRPr="006D06AE">
              <w:rPr>
                <w:rFonts w:asciiTheme="minorHAnsi" w:hAnsiTheme="minorHAnsi" w:cstheme="minorHAnsi"/>
                <w:szCs w:val="22"/>
              </w:rPr>
              <w:t xml:space="preserve">Applies to clinical services provided in a hospital. </w:t>
            </w:r>
            <w:r w:rsidR="006D06AE">
              <w:rPr>
                <w:rFonts w:asciiTheme="minorHAnsi" w:hAnsiTheme="minorHAnsi" w:cstheme="minorHAnsi"/>
                <w:szCs w:val="22"/>
              </w:rPr>
              <w:t>See</w:t>
            </w:r>
            <w:r w:rsidR="0029683D" w:rsidRPr="006D06AE">
              <w:rPr>
                <w:rFonts w:asciiTheme="minorHAnsi" w:hAnsiTheme="minorHAnsi" w:cstheme="minorHAnsi"/>
                <w:szCs w:val="22"/>
                <w:lang w:val="en"/>
              </w:rPr>
              <w:t xml:space="preserve"> MBS online</w:t>
            </w:r>
            <w:r w:rsidRPr="006D06AE">
              <w:rPr>
                <w:rFonts w:asciiTheme="minorHAnsi" w:hAnsiTheme="minorHAnsi" w:cstheme="minorHAnsi"/>
                <w:szCs w:val="22"/>
                <w:lang w:val="en"/>
              </w:rPr>
              <w:t xml:space="preserve">: </w:t>
            </w:r>
            <w:hyperlink r:id="rId30" w:history="1">
              <w:r w:rsidR="006D06AE" w:rsidRPr="0053024B">
                <w:rPr>
                  <w:rStyle w:val="Hyperlink"/>
                  <w:rFonts w:asciiTheme="minorHAnsi" w:hAnsiTheme="minorHAnsi" w:cstheme="minorHAnsi"/>
                  <w:szCs w:val="22"/>
                  <w:lang w:val="en"/>
                </w:rPr>
                <w:t>http://www.mbsonline.gov.au/internet/mbsonline/publishing.nsf/Content/Home</w:t>
              </w:r>
            </w:hyperlink>
          </w:p>
        </w:tc>
      </w:tr>
      <w:tr w:rsidR="00866E7B" w:rsidRPr="001F532D" w14:paraId="4CD36E68"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049422E6" w14:textId="77777777" w:rsidR="00866E7B" w:rsidRPr="00260274" w:rsidRDefault="00866E7B" w:rsidP="00260274">
            <w:r w:rsidRPr="00260274">
              <w:t>Modified Monash Model</w:t>
            </w:r>
          </w:p>
        </w:tc>
        <w:tc>
          <w:tcPr>
            <w:tcW w:w="8314" w:type="dxa"/>
          </w:tcPr>
          <w:p w14:paraId="420B76A5" w14:textId="0094AFC7"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F532D">
              <w:rPr>
                <w:rFonts w:asciiTheme="minorHAnsi" w:hAnsiTheme="minorHAnsi" w:cstheme="minorHAnsi"/>
                <w:szCs w:val="22"/>
                <w:lang w:val="en"/>
              </w:rPr>
              <w:t>The Modified Monash Model (MMM) defines an area according to geographical remoteness and town size. The model measures on a scale of Modified Monash (MM) category MM1 to MM7. MM1 is a major city and MM7 is very remote.</w:t>
            </w:r>
          </w:p>
        </w:tc>
      </w:tr>
      <w:tr w:rsidR="00866E7B" w:rsidRPr="001F532D" w14:paraId="1AA09B62"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663F7D25" w14:textId="77777777" w:rsidR="00866E7B" w:rsidRPr="00260274" w:rsidRDefault="00866E7B" w:rsidP="00260274">
            <w:r w:rsidRPr="00260274">
              <w:t>Multidisciplinary teams</w:t>
            </w:r>
          </w:p>
        </w:tc>
        <w:tc>
          <w:tcPr>
            <w:tcW w:w="8314" w:type="dxa"/>
          </w:tcPr>
          <w:p w14:paraId="2CB0EDD4" w14:textId="32D087B9" w:rsidR="00866E7B" w:rsidRPr="00260274" w:rsidRDefault="00866E7B" w:rsidP="00260274">
            <w:pPr>
              <w:cnfStyle w:val="000000000000" w:firstRow="0" w:lastRow="0" w:firstColumn="0" w:lastColumn="0" w:oddVBand="0" w:evenVBand="0" w:oddHBand="0" w:evenHBand="0" w:firstRowFirstColumn="0" w:firstRowLastColumn="0" w:lastRowFirstColumn="0" w:lastRowLastColumn="0"/>
            </w:pPr>
            <w:r w:rsidRPr="00260274">
              <w:t xml:space="preserve">A team of Health Professionals from a range of disciplines in primary, secondary and tertiary care working together to deliver comprehensive health care. Commonly includes medical, nursing and allied health professionals. The composition of multidisciplinary teams will vary depending on the health and treatment needs of communities and individual patients. </w:t>
            </w:r>
          </w:p>
        </w:tc>
      </w:tr>
      <w:tr w:rsidR="00866E7B" w:rsidRPr="001F532D" w14:paraId="532DDDD3"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1E75CF60" w14:textId="77777777" w:rsidR="00866E7B" w:rsidRPr="00260274" w:rsidRDefault="00866E7B" w:rsidP="00260274">
            <w:r w:rsidRPr="00260274">
              <w:t>Need</w:t>
            </w:r>
          </w:p>
        </w:tc>
        <w:tc>
          <w:tcPr>
            <w:tcW w:w="8314" w:type="dxa"/>
          </w:tcPr>
          <w:p w14:paraId="28A1685F" w14:textId="77777777"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1F532D">
              <w:rPr>
                <w:rFonts w:asciiTheme="minorHAnsi" w:hAnsiTheme="minorHAnsi" w:cstheme="minorHAnsi"/>
                <w:szCs w:val="22"/>
              </w:rPr>
              <w:t>Need includes consideration of issues such as the burden of disease, level of disadvantage, services currently available locally, linkages and integration with other services and effect on local planning and initiatives.</w:t>
            </w:r>
          </w:p>
        </w:tc>
      </w:tr>
      <w:tr w:rsidR="00866E7B" w:rsidRPr="001F532D" w14:paraId="30E0B1F1"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21A3D546" w14:textId="77777777" w:rsidR="00866E7B" w:rsidRPr="00260274" w:rsidRDefault="00866E7B" w:rsidP="00260274">
            <w:r w:rsidRPr="00260274">
              <w:t>Outreach service</w:t>
            </w:r>
          </w:p>
        </w:tc>
        <w:tc>
          <w:tcPr>
            <w:tcW w:w="8314" w:type="dxa"/>
          </w:tcPr>
          <w:p w14:paraId="2539AE4E" w14:textId="77777777"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1F532D">
              <w:rPr>
                <w:rFonts w:asciiTheme="minorHAnsi" w:hAnsiTheme="minorHAnsi" w:cstheme="minorHAnsi"/>
                <w:szCs w:val="22"/>
                <w:lang w:val="en"/>
              </w:rPr>
              <w:t xml:space="preserve">Where a </w:t>
            </w:r>
            <w:r>
              <w:rPr>
                <w:rFonts w:asciiTheme="minorHAnsi" w:hAnsiTheme="minorHAnsi" w:cstheme="minorHAnsi"/>
                <w:szCs w:val="22"/>
                <w:lang w:val="en"/>
              </w:rPr>
              <w:t>Health Professional</w:t>
            </w:r>
            <w:r w:rsidRPr="001F532D">
              <w:rPr>
                <w:rFonts w:asciiTheme="minorHAnsi" w:hAnsiTheme="minorHAnsi" w:cstheme="minorHAnsi"/>
                <w:szCs w:val="22"/>
                <w:lang w:val="en"/>
              </w:rPr>
              <w:t xml:space="preserve"> provides services in a location that is not the location of their principal practice.</w:t>
            </w:r>
          </w:p>
        </w:tc>
      </w:tr>
      <w:tr w:rsidR="00866E7B" w:rsidRPr="001F532D" w14:paraId="6F279DF3"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37172898" w14:textId="25FF1C3C" w:rsidR="00866E7B" w:rsidRPr="00260274" w:rsidRDefault="00866E7B" w:rsidP="00260274">
            <w:r w:rsidRPr="00260274">
              <w:t xml:space="preserve">Primary </w:t>
            </w:r>
            <w:r w:rsidR="007C6CBA" w:rsidRPr="00260274">
              <w:t>c</w:t>
            </w:r>
            <w:r w:rsidRPr="00260274">
              <w:t>are</w:t>
            </w:r>
          </w:p>
        </w:tc>
        <w:tc>
          <w:tcPr>
            <w:tcW w:w="8314" w:type="dxa"/>
          </w:tcPr>
          <w:p w14:paraId="0E7D11FC" w14:textId="76A52DAD"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1F532D">
              <w:rPr>
                <w:rFonts w:asciiTheme="minorHAnsi" w:hAnsiTheme="minorHAnsi" w:cstheme="minorHAnsi"/>
                <w:szCs w:val="22"/>
              </w:rPr>
              <w:t xml:space="preserve">The primary care </w:t>
            </w:r>
            <w:r>
              <w:rPr>
                <w:rFonts w:asciiTheme="minorHAnsi" w:hAnsiTheme="minorHAnsi" w:cstheme="minorHAnsi"/>
                <w:szCs w:val="22"/>
              </w:rPr>
              <w:t>Health Professional</w:t>
            </w:r>
            <w:r w:rsidRPr="001F532D">
              <w:rPr>
                <w:rFonts w:asciiTheme="minorHAnsi" w:hAnsiTheme="minorHAnsi" w:cstheme="minorHAnsi"/>
                <w:szCs w:val="22"/>
              </w:rPr>
              <w:t xml:space="preserve"> is usually the first point of medical consultation. This includes general practitioners, family physician</w:t>
            </w:r>
            <w:r w:rsidR="00C3221F">
              <w:rPr>
                <w:rFonts w:asciiTheme="minorHAnsi" w:hAnsiTheme="minorHAnsi" w:cstheme="minorHAnsi"/>
                <w:szCs w:val="22"/>
              </w:rPr>
              <w:t>s</w:t>
            </w:r>
            <w:r w:rsidRPr="001F532D">
              <w:rPr>
                <w:rFonts w:asciiTheme="minorHAnsi" w:hAnsiTheme="minorHAnsi" w:cstheme="minorHAnsi"/>
                <w:szCs w:val="22"/>
              </w:rPr>
              <w:t xml:space="preserve">, nurse practitioners, Aboriginal </w:t>
            </w:r>
            <w:r w:rsidR="00C3221F">
              <w:rPr>
                <w:rFonts w:asciiTheme="minorHAnsi" w:hAnsiTheme="minorHAnsi" w:cstheme="minorHAnsi"/>
                <w:szCs w:val="22"/>
              </w:rPr>
              <w:t>H</w:t>
            </w:r>
            <w:r w:rsidRPr="001F532D">
              <w:rPr>
                <w:rFonts w:asciiTheme="minorHAnsi" w:hAnsiTheme="minorHAnsi" w:cstheme="minorHAnsi"/>
                <w:szCs w:val="22"/>
              </w:rPr>
              <w:t xml:space="preserve">ealth </w:t>
            </w:r>
            <w:r w:rsidR="00C3221F">
              <w:rPr>
                <w:rFonts w:asciiTheme="minorHAnsi" w:hAnsiTheme="minorHAnsi" w:cstheme="minorHAnsi"/>
                <w:szCs w:val="22"/>
              </w:rPr>
              <w:t>W</w:t>
            </w:r>
            <w:r w:rsidRPr="001F532D">
              <w:rPr>
                <w:rFonts w:asciiTheme="minorHAnsi" w:hAnsiTheme="minorHAnsi" w:cstheme="minorHAnsi"/>
                <w:szCs w:val="22"/>
              </w:rPr>
              <w:t>orkers and physician assistants.</w:t>
            </w:r>
          </w:p>
        </w:tc>
      </w:tr>
      <w:tr w:rsidR="002D19A0" w:rsidRPr="001F532D" w14:paraId="4131F9CC"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51DF2592" w14:textId="789F87BA" w:rsidR="002D19A0" w:rsidRPr="00260274" w:rsidRDefault="002D19A0" w:rsidP="00260274">
            <w:r w:rsidRPr="00260274">
              <w:t xml:space="preserve">Private </w:t>
            </w:r>
            <w:r w:rsidR="007C6CBA" w:rsidRPr="00260274">
              <w:t>c</w:t>
            </w:r>
            <w:r w:rsidRPr="00260274">
              <w:t>ar</w:t>
            </w:r>
          </w:p>
        </w:tc>
        <w:tc>
          <w:tcPr>
            <w:tcW w:w="8314" w:type="dxa"/>
          </w:tcPr>
          <w:p w14:paraId="78B13458" w14:textId="31FE2B88" w:rsidR="002D19A0" w:rsidRPr="001F532D" w:rsidRDefault="002D19A0"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rPr>
              <w:t xml:space="preserve">Any private vehicle used by a Health Professional to deliver outreach services. A private vehicle may include a company car provided by a Health Professional’s workplace. </w:t>
            </w:r>
          </w:p>
        </w:tc>
      </w:tr>
      <w:tr w:rsidR="00866E7B" w:rsidRPr="001F532D" w14:paraId="7E885B56"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5DE37653" w14:textId="77777777" w:rsidR="00866E7B" w:rsidRPr="00260274" w:rsidRDefault="00866E7B" w:rsidP="00260274">
            <w:r w:rsidRPr="00260274">
              <w:t>Professional support</w:t>
            </w:r>
          </w:p>
        </w:tc>
        <w:tc>
          <w:tcPr>
            <w:tcW w:w="8314" w:type="dxa"/>
          </w:tcPr>
          <w:p w14:paraId="7A3F4283" w14:textId="77777777"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1F532D">
              <w:rPr>
                <w:rFonts w:asciiTheme="minorHAnsi" w:hAnsiTheme="minorHAnsi" w:cstheme="minorHAnsi"/>
                <w:szCs w:val="22"/>
                <w:lang w:val="en"/>
              </w:rPr>
              <w:t xml:space="preserve">Informal support provided by the visiting </w:t>
            </w:r>
            <w:r>
              <w:rPr>
                <w:rFonts w:asciiTheme="minorHAnsi" w:hAnsiTheme="minorHAnsi" w:cstheme="minorHAnsi"/>
                <w:szCs w:val="22"/>
                <w:lang w:val="en"/>
              </w:rPr>
              <w:t>Health Professional</w:t>
            </w:r>
            <w:r w:rsidRPr="001F532D">
              <w:rPr>
                <w:rFonts w:asciiTheme="minorHAnsi" w:hAnsiTheme="minorHAnsi" w:cstheme="minorHAnsi"/>
                <w:szCs w:val="22"/>
                <w:lang w:val="en"/>
              </w:rPr>
              <w:t xml:space="preserve"> once the </w:t>
            </w:r>
            <w:r>
              <w:rPr>
                <w:rFonts w:asciiTheme="minorHAnsi" w:hAnsiTheme="minorHAnsi" w:cstheme="minorHAnsi"/>
                <w:szCs w:val="22"/>
                <w:lang w:val="en"/>
              </w:rPr>
              <w:t>Health Professional</w:t>
            </w:r>
            <w:r w:rsidRPr="001F532D">
              <w:rPr>
                <w:rFonts w:asciiTheme="minorHAnsi" w:hAnsiTheme="minorHAnsi" w:cstheme="minorHAnsi"/>
                <w:szCs w:val="22"/>
                <w:lang w:val="en"/>
              </w:rPr>
              <w:t xml:space="preserve"> has returned to their main practice.  For example:</w:t>
            </w:r>
          </w:p>
          <w:p w14:paraId="67E79F29" w14:textId="77777777" w:rsidR="00866E7B" w:rsidRPr="00260274" w:rsidRDefault="00866E7B" w:rsidP="00260274">
            <w:pPr>
              <w:pStyle w:val="ListBullet"/>
              <w:cnfStyle w:val="000000000000" w:firstRow="0" w:lastRow="0" w:firstColumn="0" w:lastColumn="0" w:oddVBand="0" w:evenVBand="0" w:oddHBand="0" w:evenHBand="0" w:firstRowFirstColumn="0" w:firstRowLastColumn="0" w:lastRowFirstColumn="0" w:lastRowLastColumn="0"/>
            </w:pPr>
            <w:r w:rsidRPr="00260274">
              <w:t>informal discussions/telephone conversations/meetings with general practitioners for specific patient management; or</w:t>
            </w:r>
          </w:p>
          <w:p w14:paraId="3BD1E699" w14:textId="449010C3" w:rsidR="00866E7B" w:rsidRPr="00260274" w:rsidRDefault="00C3221F" w:rsidP="00260274">
            <w:pPr>
              <w:pStyle w:val="ListBullet"/>
              <w:cnfStyle w:val="000000000000" w:firstRow="0" w:lastRow="0" w:firstColumn="0" w:lastColumn="0" w:oddVBand="0" w:evenVBand="0" w:oddHBand="0" w:evenHBand="0" w:firstRowFirstColumn="0" w:firstRowLastColumn="0" w:lastRowFirstColumn="0" w:lastRowLastColumn="0"/>
            </w:pPr>
            <w:r w:rsidRPr="00260274">
              <w:t xml:space="preserve">support for the </w:t>
            </w:r>
            <w:r w:rsidR="00866E7B" w:rsidRPr="00260274">
              <w:t xml:space="preserve">general practitioner and specialist </w:t>
            </w:r>
            <w:r w:rsidRPr="00260274">
              <w:t>e</w:t>
            </w:r>
            <w:r w:rsidR="00BC555C" w:rsidRPr="00260274">
              <w:t>.</w:t>
            </w:r>
            <w:r w:rsidRPr="00260274">
              <w:t xml:space="preserve">g. </w:t>
            </w:r>
            <w:r w:rsidR="00D928A4" w:rsidRPr="00260274">
              <w:t>s</w:t>
            </w:r>
            <w:r w:rsidR="00866E7B" w:rsidRPr="00260274">
              <w:t>ee</w:t>
            </w:r>
            <w:r w:rsidRPr="00260274">
              <w:t>ing</w:t>
            </w:r>
            <w:r w:rsidR="00866E7B" w:rsidRPr="00260274">
              <w:t xml:space="preserve"> the patient together.</w:t>
            </w:r>
          </w:p>
        </w:tc>
      </w:tr>
      <w:tr w:rsidR="00866E7B" w:rsidRPr="001F532D" w14:paraId="4E26E699"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5024F7B0" w14:textId="77777777" w:rsidR="00866E7B" w:rsidRPr="00260274" w:rsidRDefault="00866E7B" w:rsidP="00260274">
            <w:r w:rsidRPr="00260274">
              <w:t>Registrar</w:t>
            </w:r>
          </w:p>
        </w:tc>
        <w:tc>
          <w:tcPr>
            <w:tcW w:w="8314" w:type="dxa"/>
          </w:tcPr>
          <w:p w14:paraId="353F081C" w14:textId="27460FA8"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1F532D">
              <w:rPr>
                <w:rFonts w:asciiTheme="minorHAnsi" w:hAnsiTheme="minorHAnsi" w:cstheme="minorHAnsi"/>
                <w:szCs w:val="22"/>
              </w:rPr>
              <w:t xml:space="preserve">Medical registrars are either </w:t>
            </w:r>
            <w:r w:rsidR="00C3221F">
              <w:rPr>
                <w:rFonts w:asciiTheme="minorHAnsi" w:hAnsiTheme="minorHAnsi" w:cstheme="minorHAnsi"/>
                <w:szCs w:val="22"/>
              </w:rPr>
              <w:t>“</w:t>
            </w:r>
            <w:r w:rsidRPr="001F532D">
              <w:rPr>
                <w:rFonts w:asciiTheme="minorHAnsi" w:hAnsiTheme="minorHAnsi" w:cstheme="minorHAnsi"/>
                <w:szCs w:val="22"/>
              </w:rPr>
              <w:t>basic trainees</w:t>
            </w:r>
            <w:r w:rsidR="00C3221F">
              <w:rPr>
                <w:rFonts w:asciiTheme="minorHAnsi" w:hAnsiTheme="minorHAnsi" w:cstheme="minorHAnsi"/>
                <w:szCs w:val="22"/>
              </w:rPr>
              <w:t>”</w:t>
            </w:r>
            <w:r w:rsidRPr="001F532D">
              <w:rPr>
                <w:rFonts w:asciiTheme="minorHAnsi" w:hAnsiTheme="minorHAnsi" w:cstheme="minorHAnsi"/>
                <w:szCs w:val="22"/>
              </w:rPr>
              <w:t xml:space="preserve"> or </w:t>
            </w:r>
            <w:r w:rsidR="00C3221F">
              <w:rPr>
                <w:rFonts w:asciiTheme="minorHAnsi" w:hAnsiTheme="minorHAnsi" w:cstheme="minorHAnsi"/>
                <w:szCs w:val="22"/>
              </w:rPr>
              <w:t>“</w:t>
            </w:r>
            <w:r w:rsidRPr="001F532D">
              <w:rPr>
                <w:rFonts w:asciiTheme="minorHAnsi" w:hAnsiTheme="minorHAnsi" w:cstheme="minorHAnsi"/>
                <w:szCs w:val="22"/>
              </w:rPr>
              <w:t>advanced trainees</w:t>
            </w:r>
            <w:r w:rsidR="00C3221F">
              <w:rPr>
                <w:rFonts w:asciiTheme="minorHAnsi" w:hAnsiTheme="minorHAnsi" w:cstheme="minorHAnsi"/>
                <w:szCs w:val="22"/>
              </w:rPr>
              <w:t>”</w:t>
            </w:r>
            <w:r w:rsidRPr="001F532D">
              <w:rPr>
                <w:rFonts w:asciiTheme="minorHAnsi" w:hAnsiTheme="minorHAnsi" w:cstheme="minorHAnsi"/>
                <w:szCs w:val="22"/>
              </w:rPr>
              <w:t xml:space="preserve">.  Basic trainees have generally completed at least two post-graduate years in hospital practice (usually more), but have not completed any specialty exams.  Advanced trainees have completed at least four post-graduate years (usually more), and are undertaking advanced training in general </w:t>
            </w:r>
            <w:r w:rsidRPr="001F532D">
              <w:rPr>
                <w:rFonts w:asciiTheme="minorHAnsi" w:hAnsiTheme="minorHAnsi" w:cstheme="minorHAnsi"/>
                <w:szCs w:val="22"/>
              </w:rPr>
              <w:lastRenderedPageBreak/>
              <w:t>medicine (internal) or in a particular sub-specialty.  On the successful completion of their training, they will have met the requirements for fellowship of the relevant specialist college.  All registrars require support/supervision from an appropriately qualified supervisor.</w:t>
            </w:r>
          </w:p>
        </w:tc>
      </w:tr>
      <w:tr w:rsidR="00866E7B" w:rsidRPr="001F532D" w14:paraId="3FAF435D"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45695FE9" w14:textId="69A8524F" w:rsidR="00866E7B" w:rsidRPr="00260274" w:rsidRDefault="00866E7B" w:rsidP="00260274">
            <w:r w:rsidRPr="00260274">
              <w:lastRenderedPageBreak/>
              <w:t xml:space="preserve">Secondary </w:t>
            </w:r>
            <w:r w:rsidR="007C6CBA" w:rsidRPr="00260274">
              <w:t>c</w:t>
            </w:r>
            <w:r w:rsidRPr="00260274">
              <w:t>are</w:t>
            </w:r>
          </w:p>
        </w:tc>
        <w:tc>
          <w:tcPr>
            <w:tcW w:w="8314" w:type="dxa"/>
          </w:tcPr>
          <w:p w14:paraId="76914FCC" w14:textId="42F7490A"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F532D">
              <w:rPr>
                <w:rFonts w:asciiTheme="minorHAnsi" w:hAnsiTheme="minorHAnsi" w:cstheme="minorHAnsi"/>
                <w:szCs w:val="22"/>
              </w:rPr>
              <w:t>Care provided by medical specialists</w:t>
            </w:r>
            <w:r w:rsidR="00C3221F">
              <w:rPr>
                <w:rFonts w:asciiTheme="minorHAnsi" w:hAnsiTheme="minorHAnsi" w:cstheme="minorHAnsi"/>
                <w:szCs w:val="22"/>
              </w:rPr>
              <w:t>,</w:t>
            </w:r>
            <w:r w:rsidRPr="001F532D">
              <w:rPr>
                <w:rFonts w:asciiTheme="minorHAnsi" w:hAnsiTheme="minorHAnsi" w:cstheme="minorHAnsi"/>
                <w:szCs w:val="22"/>
              </w:rPr>
              <w:t xml:space="preserve"> for example, cardiologist, rheumatologist, urologist or other specialty physician. Also includes care provided by physical therapists, respiratory therapists, speech therapists, occupational therapists and other allied </w:t>
            </w:r>
            <w:r>
              <w:rPr>
                <w:rFonts w:asciiTheme="minorHAnsi" w:hAnsiTheme="minorHAnsi" w:cstheme="minorHAnsi"/>
                <w:szCs w:val="22"/>
              </w:rPr>
              <w:t>Health Professional</w:t>
            </w:r>
            <w:r w:rsidRPr="001F532D">
              <w:rPr>
                <w:rFonts w:asciiTheme="minorHAnsi" w:hAnsiTheme="minorHAnsi" w:cstheme="minorHAnsi"/>
                <w:szCs w:val="22"/>
              </w:rPr>
              <w:t>s.</w:t>
            </w:r>
          </w:p>
        </w:tc>
      </w:tr>
      <w:tr w:rsidR="00866E7B" w:rsidRPr="001F532D" w14:paraId="7C365AC7"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41B8232C" w14:textId="77777777" w:rsidR="00866E7B" w:rsidRPr="00260274" w:rsidRDefault="00866E7B" w:rsidP="00260274">
            <w:r w:rsidRPr="00260274">
              <w:t>Service/location</w:t>
            </w:r>
          </w:p>
        </w:tc>
        <w:tc>
          <w:tcPr>
            <w:tcW w:w="8314" w:type="dxa"/>
          </w:tcPr>
          <w:p w14:paraId="502A2766" w14:textId="77777777"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F532D">
              <w:rPr>
                <w:rFonts w:asciiTheme="minorHAnsi" w:hAnsiTheme="minorHAnsi" w:cstheme="minorHAnsi"/>
                <w:szCs w:val="22"/>
              </w:rPr>
              <w:t xml:space="preserve">A single town or community where a </w:t>
            </w:r>
            <w:r>
              <w:rPr>
                <w:rFonts w:asciiTheme="minorHAnsi" w:hAnsiTheme="minorHAnsi" w:cstheme="minorHAnsi"/>
                <w:szCs w:val="22"/>
              </w:rPr>
              <w:t>Health Professional</w:t>
            </w:r>
            <w:r w:rsidRPr="001F532D">
              <w:rPr>
                <w:rFonts w:asciiTheme="minorHAnsi" w:hAnsiTheme="minorHAnsi" w:cstheme="minorHAnsi"/>
                <w:szCs w:val="22"/>
              </w:rPr>
              <w:t xml:space="preserve"> (i.e. any individual medical specialist, GP, nurse and/or allied </w:t>
            </w:r>
            <w:r>
              <w:rPr>
                <w:rFonts w:asciiTheme="minorHAnsi" w:hAnsiTheme="minorHAnsi" w:cstheme="minorHAnsi"/>
                <w:szCs w:val="22"/>
              </w:rPr>
              <w:t>Health Professional</w:t>
            </w:r>
            <w:r w:rsidRPr="001F532D">
              <w:rPr>
                <w:rFonts w:asciiTheme="minorHAnsi" w:hAnsiTheme="minorHAnsi" w:cstheme="minorHAnsi"/>
                <w:szCs w:val="22"/>
              </w:rPr>
              <w:t xml:space="preserve">) provides a consultation at an approved location.  </w:t>
            </w:r>
          </w:p>
        </w:tc>
      </w:tr>
      <w:tr w:rsidR="00866E7B" w:rsidRPr="001F532D" w14:paraId="57224BB0"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4C45859E" w14:textId="77777777" w:rsidR="00866E7B" w:rsidRPr="00260274" w:rsidRDefault="00866E7B" w:rsidP="00260274">
            <w:r w:rsidRPr="00260274">
              <w:t>Session</w:t>
            </w:r>
          </w:p>
        </w:tc>
        <w:tc>
          <w:tcPr>
            <w:tcW w:w="8314" w:type="dxa"/>
          </w:tcPr>
          <w:p w14:paraId="2223EC05" w14:textId="77777777"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F532D">
              <w:rPr>
                <w:rFonts w:asciiTheme="minorHAnsi" w:hAnsiTheme="minorHAnsi" w:cstheme="minorHAnsi"/>
                <w:szCs w:val="22"/>
              </w:rPr>
              <w:t xml:space="preserve">A period of time, usually 3.5 – 4.0 hours.  </w:t>
            </w:r>
          </w:p>
        </w:tc>
      </w:tr>
      <w:tr w:rsidR="00866E7B" w:rsidRPr="001F532D" w14:paraId="708C7B26"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59BE90E7" w14:textId="77777777" w:rsidR="00866E7B" w:rsidRPr="00260274" w:rsidRDefault="00866E7B" w:rsidP="00260274">
            <w:r w:rsidRPr="00260274">
              <w:t>Specialist</w:t>
            </w:r>
          </w:p>
        </w:tc>
        <w:tc>
          <w:tcPr>
            <w:tcW w:w="8314" w:type="dxa"/>
          </w:tcPr>
          <w:p w14:paraId="7EC9D252" w14:textId="77777777"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1F532D">
              <w:rPr>
                <w:rFonts w:asciiTheme="minorHAnsi" w:hAnsiTheme="minorHAnsi" w:cstheme="minorHAnsi"/>
                <w:szCs w:val="22"/>
                <w:lang w:val="en"/>
              </w:rPr>
              <w:t>A medical practitioner who:</w:t>
            </w:r>
          </w:p>
          <w:p w14:paraId="1F967CEA" w14:textId="77777777" w:rsidR="00866E7B" w:rsidRPr="00260274" w:rsidRDefault="00866E7B" w:rsidP="00260274">
            <w:pPr>
              <w:pStyle w:val="ListBullet"/>
              <w:cnfStyle w:val="000000000000" w:firstRow="0" w:lastRow="0" w:firstColumn="0" w:lastColumn="0" w:oddVBand="0" w:evenVBand="0" w:oddHBand="0" w:evenHBand="0" w:firstRowFirstColumn="0" w:firstRowLastColumn="0" w:lastRowFirstColumn="0" w:lastRowLastColumn="0"/>
            </w:pPr>
            <w:r w:rsidRPr="00260274">
              <w:t>is registered as a specialist under national law; or</w:t>
            </w:r>
          </w:p>
          <w:p w14:paraId="6B42F0DA" w14:textId="77777777" w:rsidR="00866E7B" w:rsidRPr="00260274" w:rsidRDefault="00866E7B" w:rsidP="00260274">
            <w:pPr>
              <w:pStyle w:val="ListBullet"/>
              <w:cnfStyle w:val="000000000000" w:firstRow="0" w:lastRow="0" w:firstColumn="0" w:lastColumn="0" w:oddVBand="0" w:evenVBand="0" w:oddHBand="0" w:evenHBand="0" w:firstRowFirstColumn="0" w:firstRowLastColumn="0" w:lastRowFirstColumn="0" w:lastRowLastColumn="0"/>
            </w:pPr>
            <w:r w:rsidRPr="00260274">
              <w:t>holds a fellowship of a recognised specialist college; or</w:t>
            </w:r>
          </w:p>
          <w:p w14:paraId="021EBEDB" w14:textId="77777777" w:rsidR="00866E7B" w:rsidRPr="00260274" w:rsidRDefault="00866E7B" w:rsidP="00260274">
            <w:pPr>
              <w:pStyle w:val="ListBullet"/>
              <w:cnfStyle w:val="000000000000" w:firstRow="0" w:lastRow="0" w:firstColumn="0" w:lastColumn="0" w:oddVBand="0" w:evenVBand="0" w:oddHBand="0" w:evenHBand="0" w:firstRowFirstColumn="0" w:firstRowLastColumn="0" w:lastRowFirstColumn="0" w:lastRowLastColumn="0"/>
            </w:pPr>
            <w:r w:rsidRPr="00260274">
              <w:t>is considered eligible for recognition as a specialist or consultant physician by a specialist recognition advisory committee.</w:t>
            </w:r>
          </w:p>
        </w:tc>
      </w:tr>
      <w:tr w:rsidR="00866E7B" w:rsidRPr="001F532D" w14:paraId="2238E7F6"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585D455C" w14:textId="5E19AE3D" w:rsidR="00866E7B" w:rsidRPr="00260274" w:rsidRDefault="00866E7B" w:rsidP="00260274">
            <w:r w:rsidRPr="00260274">
              <w:t xml:space="preserve">Tertiary </w:t>
            </w:r>
            <w:r w:rsidR="007C6CBA" w:rsidRPr="00260274">
              <w:t>c</w:t>
            </w:r>
            <w:r w:rsidRPr="00260274">
              <w:t>are</w:t>
            </w:r>
          </w:p>
        </w:tc>
        <w:tc>
          <w:tcPr>
            <w:tcW w:w="8314" w:type="dxa"/>
          </w:tcPr>
          <w:p w14:paraId="0D3AC233" w14:textId="3CE594EF"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F532D">
              <w:rPr>
                <w:rFonts w:asciiTheme="minorHAnsi" w:hAnsiTheme="minorHAnsi" w:cstheme="minorHAnsi"/>
                <w:szCs w:val="22"/>
              </w:rPr>
              <w:t>Treatment requiring a higher level of specialised care</w:t>
            </w:r>
            <w:r w:rsidR="00694C6A">
              <w:rPr>
                <w:rFonts w:asciiTheme="minorHAnsi" w:hAnsiTheme="minorHAnsi" w:cstheme="minorHAnsi"/>
                <w:szCs w:val="22"/>
              </w:rPr>
              <w:t>,</w:t>
            </w:r>
            <w:r w:rsidRPr="001F532D">
              <w:rPr>
                <w:rFonts w:asciiTheme="minorHAnsi" w:hAnsiTheme="minorHAnsi" w:cstheme="minorHAnsi"/>
                <w:szCs w:val="22"/>
              </w:rPr>
              <w:t xml:space="preserve"> usually in a hospital.  For example, </w:t>
            </w:r>
            <w:r w:rsidR="00694C6A">
              <w:rPr>
                <w:rFonts w:asciiTheme="minorHAnsi" w:hAnsiTheme="minorHAnsi" w:cstheme="minorHAnsi"/>
                <w:szCs w:val="22"/>
              </w:rPr>
              <w:t>care</w:t>
            </w:r>
            <w:r w:rsidRPr="001F532D">
              <w:rPr>
                <w:rFonts w:asciiTheme="minorHAnsi" w:hAnsiTheme="minorHAnsi" w:cstheme="minorHAnsi"/>
                <w:szCs w:val="22"/>
              </w:rPr>
              <w:t xml:space="preserve"> provided by surgeons.</w:t>
            </w:r>
          </w:p>
        </w:tc>
      </w:tr>
      <w:tr w:rsidR="00866E7B" w:rsidRPr="001F532D" w14:paraId="4E84E92E"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7C277C24" w14:textId="77777777" w:rsidR="00866E7B" w:rsidRPr="00260274" w:rsidRDefault="00866E7B" w:rsidP="00260274">
            <w:r w:rsidRPr="00260274">
              <w:t>Travel Time Allowance</w:t>
            </w:r>
          </w:p>
        </w:tc>
        <w:tc>
          <w:tcPr>
            <w:tcW w:w="8314" w:type="dxa"/>
          </w:tcPr>
          <w:p w14:paraId="11D25EA0" w14:textId="77777777" w:rsidR="00866E7B" w:rsidRPr="001F532D" w:rsidRDefault="00866E7B" w:rsidP="0080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F532D">
              <w:rPr>
                <w:rFonts w:asciiTheme="minorHAnsi" w:hAnsiTheme="minorHAnsi" w:cstheme="minorHAnsi"/>
                <w:szCs w:val="22"/>
              </w:rPr>
              <w:t xml:space="preserve">A payment made to a non-salaried private </w:t>
            </w:r>
            <w:r>
              <w:rPr>
                <w:rFonts w:asciiTheme="minorHAnsi" w:hAnsiTheme="minorHAnsi" w:cstheme="minorHAnsi"/>
                <w:szCs w:val="22"/>
              </w:rPr>
              <w:t xml:space="preserve">Health Professionals </w:t>
            </w:r>
            <w:r w:rsidRPr="001F532D">
              <w:rPr>
                <w:rFonts w:asciiTheme="minorHAnsi" w:hAnsiTheme="minorHAnsi" w:cstheme="minorHAnsi"/>
                <w:szCs w:val="22"/>
              </w:rPr>
              <w:t>for the time spent travelling to and from a location where they are providing approved outreach services and/or upskilling.</w:t>
            </w:r>
          </w:p>
        </w:tc>
      </w:tr>
      <w:tr w:rsidR="00866E7B" w:rsidRPr="001F532D" w14:paraId="6115DEA3"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5BF2675F" w14:textId="77777777" w:rsidR="00866E7B" w:rsidRPr="00260274" w:rsidRDefault="00866E7B" w:rsidP="00260274">
            <w:r w:rsidRPr="00260274">
              <w:t>Upskilling</w:t>
            </w:r>
          </w:p>
        </w:tc>
        <w:tc>
          <w:tcPr>
            <w:tcW w:w="8314" w:type="dxa"/>
          </w:tcPr>
          <w:p w14:paraId="7D74834C" w14:textId="4E8F582F" w:rsidR="00866E7B" w:rsidRPr="00B65018" w:rsidRDefault="00866E7B" w:rsidP="00B65018">
            <w:pPr>
              <w:cnfStyle w:val="000000000000" w:firstRow="0" w:lastRow="0" w:firstColumn="0" w:lastColumn="0" w:oddVBand="0" w:evenVBand="0" w:oddHBand="0" w:evenHBand="0" w:firstRowFirstColumn="0" w:firstRowLastColumn="0" w:lastRowFirstColumn="0" w:lastRowLastColumn="0"/>
            </w:pPr>
            <w:r w:rsidRPr="00B65018">
              <w:t xml:space="preserve">Training in a clinical or practical context. Upskilling is provided by the visiting Health Professional and may be structured or unstructured.  </w:t>
            </w:r>
            <w:r w:rsidRPr="00B65018">
              <w:br/>
              <w:t>Examples include:</w:t>
            </w:r>
          </w:p>
          <w:p w14:paraId="79DDE800" w14:textId="64E98185" w:rsidR="00866E7B" w:rsidRPr="00260274" w:rsidRDefault="00866E7B" w:rsidP="00260274">
            <w:pPr>
              <w:pStyle w:val="ListBullet"/>
              <w:cnfStyle w:val="000000000000" w:firstRow="0" w:lastRow="0" w:firstColumn="0" w:lastColumn="0" w:oddVBand="0" w:evenVBand="0" w:oddHBand="0" w:evenHBand="0" w:firstRowFirstColumn="0" w:firstRowLastColumn="0" w:lastRowFirstColumn="0" w:lastRowLastColumn="0"/>
            </w:pPr>
            <w:r w:rsidRPr="00260274">
              <w:t>state wide programs for both procedural and non-procedural training in a clinical or practical context</w:t>
            </w:r>
            <w:r w:rsidR="00694C6A" w:rsidRPr="00260274">
              <w:t>;</w:t>
            </w:r>
            <w:r w:rsidRPr="00260274">
              <w:t xml:space="preserve"> </w:t>
            </w:r>
          </w:p>
          <w:p w14:paraId="797037B4" w14:textId="34E1CD51" w:rsidR="00866E7B" w:rsidRPr="00260274" w:rsidRDefault="00866E7B" w:rsidP="00260274">
            <w:pPr>
              <w:pStyle w:val="ListBullet"/>
              <w:cnfStyle w:val="000000000000" w:firstRow="0" w:lastRow="0" w:firstColumn="0" w:lastColumn="0" w:oddVBand="0" w:evenVBand="0" w:oddHBand="0" w:evenHBand="0" w:firstRowFirstColumn="0" w:firstRowLastColumn="0" w:lastRowFirstColumn="0" w:lastRowLastColumn="0"/>
            </w:pPr>
            <w:r w:rsidRPr="00260274">
              <w:t>after hours meeting where the Health Professional</w:t>
            </w:r>
            <w:r w:rsidR="00694C6A" w:rsidRPr="00260274">
              <w:t>’</w:t>
            </w:r>
            <w:r w:rsidRPr="00260274">
              <w:t>s knowledge is shared with general practitioners, other Health Professionals and carers/community members where appropriate.</w:t>
            </w:r>
          </w:p>
        </w:tc>
      </w:tr>
      <w:tr w:rsidR="00EA738E" w:rsidRPr="001F532D" w14:paraId="691CB7C7" w14:textId="77777777" w:rsidTr="00C7539A">
        <w:tc>
          <w:tcPr>
            <w:cnfStyle w:val="001000000000" w:firstRow="0" w:lastRow="0" w:firstColumn="1" w:lastColumn="0" w:oddVBand="0" w:evenVBand="0" w:oddHBand="0" w:evenHBand="0" w:firstRowFirstColumn="0" w:firstRowLastColumn="0" w:lastRowFirstColumn="0" w:lastRowLastColumn="0"/>
            <w:tcW w:w="1985" w:type="dxa"/>
          </w:tcPr>
          <w:p w14:paraId="32654B39" w14:textId="6447AF75" w:rsidR="00EA738E" w:rsidRPr="00260274" w:rsidRDefault="00EA738E" w:rsidP="00260274">
            <w:r w:rsidRPr="00260274">
              <w:t>Value for money</w:t>
            </w:r>
          </w:p>
        </w:tc>
        <w:tc>
          <w:tcPr>
            <w:tcW w:w="8314" w:type="dxa"/>
          </w:tcPr>
          <w:p w14:paraId="73038546" w14:textId="5237FACE" w:rsidR="00EA738E" w:rsidRPr="00B65018" w:rsidRDefault="000B0525" w:rsidP="00B65018">
            <w:pPr>
              <w:cnfStyle w:val="000000000000" w:firstRow="0" w:lastRow="0" w:firstColumn="0" w:lastColumn="0" w:oddVBand="0" w:evenVBand="0" w:oddHBand="0" w:evenHBand="0" w:firstRowFirstColumn="0" w:firstRowLastColumn="0" w:lastRowFirstColumn="0" w:lastRowLastColumn="0"/>
            </w:pPr>
            <w:r w:rsidRPr="00B65018">
              <w:t>A measure that evaluates an investment (</w:t>
            </w:r>
            <w:r w:rsidR="00F90648" w:rsidRPr="00B65018">
              <w:t xml:space="preserve">of </w:t>
            </w:r>
            <w:r w:rsidR="00401D11" w:rsidRPr="00B65018">
              <w:t>monetary value</w:t>
            </w:r>
            <w:r w:rsidR="00F90648" w:rsidRPr="00B65018">
              <w:t>, time or resources)</w:t>
            </w:r>
            <w:r w:rsidR="00705584" w:rsidRPr="00B65018">
              <w:t xml:space="preserve"> </w:t>
            </w:r>
            <w:r w:rsidR="00B710FB" w:rsidRPr="00B65018">
              <w:t>to be</w:t>
            </w:r>
            <w:r w:rsidR="009F41CC" w:rsidRPr="00B65018">
              <w:t xml:space="preserve"> of</w:t>
            </w:r>
            <w:r w:rsidR="001A3AAF" w:rsidRPr="00B65018">
              <w:t xml:space="preserve"> good value</w:t>
            </w:r>
            <w:r w:rsidR="009F41CC" w:rsidRPr="00B65018">
              <w:t xml:space="preserve"> </w:t>
            </w:r>
            <w:r w:rsidR="008E4A06" w:rsidRPr="00B65018">
              <w:t xml:space="preserve">to the program. Fundholders should </w:t>
            </w:r>
            <w:r w:rsidR="00B710FB" w:rsidRPr="00B65018">
              <w:t>weigh</w:t>
            </w:r>
            <w:r w:rsidR="00A7565A" w:rsidRPr="00B65018">
              <w:t xml:space="preserve"> </w:t>
            </w:r>
            <w:r w:rsidR="008E4A06" w:rsidRPr="00B65018">
              <w:t>an</w:t>
            </w:r>
            <w:r w:rsidR="003912C1" w:rsidRPr="00B65018">
              <w:t xml:space="preserve"> assessment of costs </w:t>
            </w:r>
            <w:r w:rsidR="00A7565A" w:rsidRPr="00B65018">
              <w:t>a</w:t>
            </w:r>
            <w:r w:rsidR="00B710FB" w:rsidRPr="00B65018">
              <w:t xml:space="preserve">gainst an </w:t>
            </w:r>
            <w:r w:rsidR="003912C1" w:rsidRPr="00B65018">
              <w:t>assessment of outcomes</w:t>
            </w:r>
            <w:r w:rsidR="008E4A06" w:rsidRPr="00B65018">
              <w:t xml:space="preserve"> for each investment</w:t>
            </w:r>
            <w:r w:rsidR="001A3AAF" w:rsidRPr="00B65018">
              <w:t xml:space="preserve">. </w:t>
            </w:r>
          </w:p>
        </w:tc>
      </w:tr>
    </w:tbl>
    <w:p w14:paraId="0C843CEE" w14:textId="03309BD8" w:rsidR="00FD1C4C" w:rsidRPr="00FD1C4C" w:rsidRDefault="00FD1C4C" w:rsidP="00FD1C4C">
      <w:pPr>
        <w:tabs>
          <w:tab w:val="left" w:pos="840"/>
        </w:tabs>
        <w:sectPr w:rsidR="00FD1C4C" w:rsidRPr="00FD1C4C" w:rsidSect="00866E7B">
          <w:pgSz w:w="11906" w:h="16838"/>
          <w:pgMar w:top="993" w:right="1418" w:bottom="1418" w:left="993" w:header="709" w:footer="709" w:gutter="0"/>
          <w:cols w:space="708"/>
          <w:docGrid w:linePitch="360"/>
        </w:sectPr>
      </w:pPr>
    </w:p>
    <w:p w14:paraId="0DFD4392" w14:textId="1F86C621" w:rsidR="00866E7B" w:rsidRDefault="00D4187F" w:rsidP="00D4187F">
      <w:pPr>
        <w:pStyle w:val="URL"/>
      </w:pPr>
      <w:r w:rsidRPr="00205A93">
        <w:lastRenderedPageBreak/>
        <w:t>Health.gov.au</w:t>
      </w:r>
    </w:p>
    <w:p w14:paraId="17FF98FE" w14:textId="1DF5E52C" w:rsidR="00205A93" w:rsidRPr="00260274" w:rsidRDefault="00205A93" w:rsidP="00260274"/>
    <w:sectPr w:rsidR="00205A93" w:rsidRPr="00260274" w:rsidSect="00205A93">
      <w:headerReference w:type="even" r:id="rId31"/>
      <w:headerReference w:type="default" r:id="rId32"/>
      <w:footerReference w:type="default" r:id="rId33"/>
      <w:headerReference w:type="first" r:id="rId34"/>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9822" w14:textId="77777777" w:rsidR="007A4CC2" w:rsidRDefault="007A4CC2" w:rsidP="006B56BB">
      <w:r>
        <w:separator/>
      </w:r>
    </w:p>
    <w:p w14:paraId="34B3432E" w14:textId="77777777" w:rsidR="007A4CC2" w:rsidRDefault="007A4CC2"/>
  </w:endnote>
  <w:endnote w:type="continuationSeparator" w:id="0">
    <w:p w14:paraId="14F51CB1" w14:textId="77777777" w:rsidR="007A4CC2" w:rsidRDefault="007A4CC2" w:rsidP="006B56BB">
      <w:r>
        <w:continuationSeparator/>
      </w:r>
    </w:p>
    <w:p w14:paraId="1A5A7105" w14:textId="77777777" w:rsidR="007A4CC2" w:rsidRDefault="007A4CC2"/>
  </w:endnote>
  <w:endnote w:type="continuationNotice" w:id="1">
    <w:p w14:paraId="33AD6CB8" w14:textId="77777777" w:rsidR="007A4CC2" w:rsidRDefault="007A4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CBA" w14:textId="6FA7E4E5" w:rsidR="00DF02C4" w:rsidRDefault="00DF02C4" w:rsidP="00841111">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2288"/>
      <w:docPartObj>
        <w:docPartGallery w:val="Page Numbers (Bottom of Page)"/>
        <w:docPartUnique/>
      </w:docPartObj>
    </w:sdtPr>
    <w:sdtEndPr>
      <w:rPr>
        <w:noProof/>
      </w:rPr>
    </w:sdtEndPr>
    <w:sdtContent>
      <w:p w14:paraId="2DAF6284" w14:textId="388D0710" w:rsidR="00DF02C4" w:rsidRDefault="00DF02C4" w:rsidP="000D56E4">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3030A8DE" w14:textId="64E54264" w:rsidR="00DF02C4" w:rsidRDefault="00DF02C4"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95D6" w14:textId="553859B8" w:rsidR="00DF02C4" w:rsidRDefault="00DF02C4"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5F5C" w14:textId="77777777" w:rsidR="007A4CC2" w:rsidRDefault="007A4CC2" w:rsidP="006B56BB">
      <w:r>
        <w:separator/>
      </w:r>
    </w:p>
    <w:p w14:paraId="04C55193" w14:textId="77777777" w:rsidR="007A4CC2" w:rsidRDefault="007A4CC2"/>
  </w:footnote>
  <w:footnote w:type="continuationSeparator" w:id="0">
    <w:p w14:paraId="77DA0326" w14:textId="77777777" w:rsidR="007A4CC2" w:rsidRDefault="007A4CC2" w:rsidP="006B56BB">
      <w:r>
        <w:continuationSeparator/>
      </w:r>
    </w:p>
    <w:p w14:paraId="01B7D201" w14:textId="77777777" w:rsidR="007A4CC2" w:rsidRDefault="007A4CC2"/>
  </w:footnote>
  <w:footnote w:type="continuationNotice" w:id="1">
    <w:p w14:paraId="120A5C33" w14:textId="77777777" w:rsidR="007A4CC2" w:rsidRDefault="007A4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77C5" w14:textId="09746E31" w:rsidR="005E6A4B" w:rsidRDefault="005E6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52B3FC2E" w:rsidR="00DF02C4" w:rsidRDefault="00DF02C4" w:rsidP="008E0C77">
    <w:pPr>
      <w:pStyle w:val="Headertext"/>
      <w:spacing w:after="180"/>
      <w:jc w:val="left"/>
    </w:pPr>
    <w:r>
      <w:rPr>
        <w:noProof/>
        <w:lang w:eastAsia="en-AU"/>
      </w:rPr>
      <w:drawing>
        <wp:inline distT="0" distB="0" distL="0" distR="0" wp14:anchorId="52C11533" wp14:editId="69F29477">
          <wp:extent cx="7560000" cy="10692000"/>
          <wp:effectExtent l="0" t="0" r="3175" b="0"/>
          <wp:docPr id="8" name="Picture 8"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9A1B" w14:textId="73226472" w:rsidR="00DF02C4" w:rsidRDefault="00336B8B"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59F0DF2E" wp14:editId="10C8EBEE">
          <wp:simplePos x="0" y="0"/>
          <wp:positionH relativeFrom="page">
            <wp:align>center</wp:align>
          </wp:positionH>
          <wp:positionV relativeFrom="page">
            <wp:align>center</wp:align>
          </wp:positionV>
          <wp:extent cx="7559675" cy="10691495"/>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00DF02C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10FF" w14:textId="365FD80E" w:rsidR="00DF02C4" w:rsidRDefault="00DF02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A932" w14:textId="15F06C34" w:rsidR="00DF02C4" w:rsidRPr="00C669B8" w:rsidRDefault="00DF02C4" w:rsidP="00C669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CA6F" w14:textId="5DDE5B42" w:rsidR="00DF02C4" w:rsidRDefault="00DF02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0BE0" w14:textId="49098219" w:rsidR="005E6A4B" w:rsidRDefault="005E6A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720" w14:textId="0CD0CDAE" w:rsidR="00DF02C4" w:rsidRDefault="00DF02C4" w:rsidP="008E0C77">
    <w:pPr>
      <w:pStyle w:val="Headertext"/>
      <w:spacing w:after="180"/>
      <w:jc w:val="left"/>
    </w:pPr>
    <w:r>
      <w:rPr>
        <w:noProof/>
        <w:lang w:eastAsia="en-AU"/>
      </w:rPr>
      <w:drawing>
        <wp:anchor distT="0" distB="0" distL="114300" distR="114300" simplePos="0" relativeHeight="251663360" behindDoc="1" locked="0" layoutInCell="1" allowOverlap="1" wp14:anchorId="10BC2585" wp14:editId="545D42E3">
          <wp:simplePos x="0" y="0"/>
          <wp:positionH relativeFrom="page">
            <wp:posOffset>0</wp:posOffset>
          </wp:positionH>
          <wp:positionV relativeFrom="page">
            <wp:posOffset>3458210</wp:posOffset>
          </wp:positionV>
          <wp:extent cx="7559040" cy="7232650"/>
          <wp:effectExtent l="0" t="0" r="3810" b="6350"/>
          <wp:wrapNone/>
          <wp:docPr id="7" name="Picture 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DA79" w14:textId="4373B592" w:rsidR="005E6A4B" w:rsidRDefault="005E6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FD6A6B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7E0FF3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A4254E"/>
    <w:multiLevelType w:val="hybridMultilevel"/>
    <w:tmpl w:val="5CC8D7EC"/>
    <w:lvl w:ilvl="0" w:tplc="FAE6EF9C">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C815F6"/>
    <w:multiLevelType w:val="hybridMultilevel"/>
    <w:tmpl w:val="F86CC920"/>
    <w:lvl w:ilvl="0" w:tplc="B46C49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A4738C"/>
    <w:multiLevelType w:val="hybridMultilevel"/>
    <w:tmpl w:val="F5AC58B8"/>
    <w:lvl w:ilvl="0" w:tplc="0C090001">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A23612"/>
    <w:multiLevelType w:val="hybridMultilevel"/>
    <w:tmpl w:val="3828B440"/>
    <w:lvl w:ilvl="0" w:tplc="0C090001">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610882"/>
    <w:multiLevelType w:val="hybridMultilevel"/>
    <w:tmpl w:val="A61C09D4"/>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8D63F2"/>
    <w:multiLevelType w:val="hybridMultilevel"/>
    <w:tmpl w:val="F3186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4F1856"/>
    <w:multiLevelType w:val="hybridMultilevel"/>
    <w:tmpl w:val="B83A2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DF7F05"/>
    <w:multiLevelType w:val="hybridMultilevel"/>
    <w:tmpl w:val="FE62852E"/>
    <w:lvl w:ilvl="0" w:tplc="C04257D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037F7C"/>
    <w:multiLevelType w:val="hybridMultilevel"/>
    <w:tmpl w:val="FF7619D4"/>
    <w:lvl w:ilvl="0" w:tplc="125A44B4">
      <w:numFmt w:val="bullet"/>
      <w:lvlText w:val="-"/>
      <w:lvlJc w:val="left"/>
      <w:pPr>
        <w:ind w:left="720" w:hanging="360"/>
      </w:pPr>
      <w:rPr>
        <w:rFonts w:ascii="Arial" w:eastAsia="Times New Roman" w:hAnsi="Arial" w:cs="Aria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EA7FEA"/>
    <w:multiLevelType w:val="hybridMultilevel"/>
    <w:tmpl w:val="F9108C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91683E"/>
    <w:multiLevelType w:val="multilevel"/>
    <w:tmpl w:val="C36E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4A3121"/>
    <w:multiLevelType w:val="hybridMultilevel"/>
    <w:tmpl w:val="F1D62C94"/>
    <w:lvl w:ilvl="0" w:tplc="73A88628">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910EF5"/>
    <w:multiLevelType w:val="hybridMultilevel"/>
    <w:tmpl w:val="1CBA7F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EB75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5A18F3"/>
    <w:multiLevelType w:val="multilevel"/>
    <w:tmpl w:val="BE0C795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BF2241"/>
    <w:multiLevelType w:val="hybridMultilevel"/>
    <w:tmpl w:val="82462FFC"/>
    <w:lvl w:ilvl="0" w:tplc="40D6B79C">
      <w:start w:val="1"/>
      <w:numFmt w:val="bullet"/>
      <w:lvlText w:val=""/>
      <w:lvlJc w:val="left"/>
      <w:pPr>
        <w:ind w:left="720" w:hanging="360"/>
      </w:pPr>
      <w:rPr>
        <w:rFonts w:ascii="Symbol" w:hAnsi="Symbol"/>
      </w:rPr>
    </w:lvl>
    <w:lvl w:ilvl="1" w:tplc="5F9C36A8">
      <w:start w:val="1"/>
      <w:numFmt w:val="bullet"/>
      <w:lvlText w:val=""/>
      <w:lvlJc w:val="left"/>
      <w:pPr>
        <w:ind w:left="720" w:hanging="360"/>
      </w:pPr>
      <w:rPr>
        <w:rFonts w:ascii="Symbol" w:hAnsi="Symbol"/>
      </w:rPr>
    </w:lvl>
    <w:lvl w:ilvl="2" w:tplc="3A6C8FD6">
      <w:start w:val="1"/>
      <w:numFmt w:val="bullet"/>
      <w:lvlText w:val=""/>
      <w:lvlJc w:val="left"/>
      <w:pPr>
        <w:ind w:left="720" w:hanging="360"/>
      </w:pPr>
      <w:rPr>
        <w:rFonts w:ascii="Symbol" w:hAnsi="Symbol"/>
      </w:rPr>
    </w:lvl>
    <w:lvl w:ilvl="3" w:tplc="84B8081A">
      <w:start w:val="1"/>
      <w:numFmt w:val="bullet"/>
      <w:lvlText w:val=""/>
      <w:lvlJc w:val="left"/>
      <w:pPr>
        <w:ind w:left="720" w:hanging="360"/>
      </w:pPr>
      <w:rPr>
        <w:rFonts w:ascii="Symbol" w:hAnsi="Symbol"/>
      </w:rPr>
    </w:lvl>
    <w:lvl w:ilvl="4" w:tplc="19728A58">
      <w:start w:val="1"/>
      <w:numFmt w:val="bullet"/>
      <w:lvlText w:val=""/>
      <w:lvlJc w:val="left"/>
      <w:pPr>
        <w:ind w:left="720" w:hanging="360"/>
      </w:pPr>
      <w:rPr>
        <w:rFonts w:ascii="Symbol" w:hAnsi="Symbol"/>
      </w:rPr>
    </w:lvl>
    <w:lvl w:ilvl="5" w:tplc="C7E41B08">
      <w:start w:val="1"/>
      <w:numFmt w:val="bullet"/>
      <w:lvlText w:val=""/>
      <w:lvlJc w:val="left"/>
      <w:pPr>
        <w:ind w:left="720" w:hanging="360"/>
      </w:pPr>
      <w:rPr>
        <w:rFonts w:ascii="Symbol" w:hAnsi="Symbol"/>
      </w:rPr>
    </w:lvl>
    <w:lvl w:ilvl="6" w:tplc="518A83CC">
      <w:start w:val="1"/>
      <w:numFmt w:val="bullet"/>
      <w:lvlText w:val=""/>
      <w:lvlJc w:val="left"/>
      <w:pPr>
        <w:ind w:left="720" w:hanging="360"/>
      </w:pPr>
      <w:rPr>
        <w:rFonts w:ascii="Symbol" w:hAnsi="Symbol"/>
      </w:rPr>
    </w:lvl>
    <w:lvl w:ilvl="7" w:tplc="893AE7B2">
      <w:start w:val="1"/>
      <w:numFmt w:val="bullet"/>
      <w:lvlText w:val=""/>
      <w:lvlJc w:val="left"/>
      <w:pPr>
        <w:ind w:left="720" w:hanging="360"/>
      </w:pPr>
      <w:rPr>
        <w:rFonts w:ascii="Symbol" w:hAnsi="Symbol"/>
      </w:rPr>
    </w:lvl>
    <w:lvl w:ilvl="8" w:tplc="2D5A3A26">
      <w:start w:val="1"/>
      <w:numFmt w:val="bullet"/>
      <w:lvlText w:val=""/>
      <w:lvlJc w:val="left"/>
      <w:pPr>
        <w:ind w:left="720" w:hanging="360"/>
      </w:pPr>
      <w:rPr>
        <w:rFonts w:ascii="Symbol" w:hAnsi="Symbol"/>
      </w:rPr>
    </w:lvl>
  </w:abstractNum>
  <w:abstractNum w:abstractNumId="28" w15:restartNumberingAfterBreak="0">
    <w:nsid w:val="26C75291"/>
    <w:multiLevelType w:val="multilevel"/>
    <w:tmpl w:val="3B744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387B04"/>
    <w:multiLevelType w:val="multilevel"/>
    <w:tmpl w:val="0292D5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430B368E"/>
    <w:multiLevelType w:val="singleLevel"/>
    <w:tmpl w:val="73A88628"/>
    <w:lvl w:ilvl="0">
      <w:start w:val="1"/>
      <w:numFmt w:val="bullet"/>
      <w:lvlText w:val=""/>
      <w:lvlJc w:val="left"/>
      <w:pPr>
        <w:tabs>
          <w:tab w:val="num" w:pos="360"/>
        </w:tabs>
        <w:ind w:left="360" w:hanging="360"/>
      </w:pPr>
      <w:rPr>
        <w:rFonts w:ascii="Symbol" w:hAnsi="Symbol" w:hint="default"/>
        <w:sz w:val="22"/>
      </w:rPr>
    </w:lvl>
  </w:abstractNum>
  <w:abstractNum w:abstractNumId="3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448B3CCD"/>
    <w:multiLevelType w:val="multilevel"/>
    <w:tmpl w:val="8210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5E634B"/>
    <w:multiLevelType w:val="hybridMultilevel"/>
    <w:tmpl w:val="115C37F0"/>
    <w:lvl w:ilvl="0" w:tplc="73A88628">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A6F5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1D17B1A"/>
    <w:multiLevelType w:val="multilevel"/>
    <w:tmpl w:val="BA54A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6D60D69"/>
    <w:multiLevelType w:val="hybridMultilevel"/>
    <w:tmpl w:val="61D0C4AE"/>
    <w:lvl w:ilvl="0" w:tplc="F22291F4">
      <w:start w:val="1"/>
      <w:numFmt w:val="bullet"/>
      <w:lvlText w:val=""/>
      <w:lvlJc w:val="left"/>
      <w:pPr>
        <w:ind w:left="720" w:hanging="360"/>
      </w:pPr>
      <w:rPr>
        <w:rFonts w:ascii="Symbol" w:hAnsi="Symbol"/>
      </w:rPr>
    </w:lvl>
    <w:lvl w:ilvl="1" w:tplc="B07617BA">
      <w:start w:val="1"/>
      <w:numFmt w:val="bullet"/>
      <w:lvlText w:val=""/>
      <w:lvlJc w:val="left"/>
      <w:pPr>
        <w:ind w:left="720" w:hanging="360"/>
      </w:pPr>
      <w:rPr>
        <w:rFonts w:ascii="Symbol" w:hAnsi="Symbol"/>
      </w:rPr>
    </w:lvl>
    <w:lvl w:ilvl="2" w:tplc="7E225236">
      <w:start w:val="1"/>
      <w:numFmt w:val="bullet"/>
      <w:lvlText w:val=""/>
      <w:lvlJc w:val="left"/>
      <w:pPr>
        <w:ind w:left="720" w:hanging="360"/>
      </w:pPr>
      <w:rPr>
        <w:rFonts w:ascii="Symbol" w:hAnsi="Symbol"/>
      </w:rPr>
    </w:lvl>
    <w:lvl w:ilvl="3" w:tplc="447EF148">
      <w:start w:val="1"/>
      <w:numFmt w:val="bullet"/>
      <w:lvlText w:val=""/>
      <w:lvlJc w:val="left"/>
      <w:pPr>
        <w:ind w:left="720" w:hanging="360"/>
      </w:pPr>
      <w:rPr>
        <w:rFonts w:ascii="Symbol" w:hAnsi="Symbol"/>
      </w:rPr>
    </w:lvl>
    <w:lvl w:ilvl="4" w:tplc="E10AD580">
      <w:start w:val="1"/>
      <w:numFmt w:val="bullet"/>
      <w:lvlText w:val=""/>
      <w:lvlJc w:val="left"/>
      <w:pPr>
        <w:ind w:left="720" w:hanging="360"/>
      </w:pPr>
      <w:rPr>
        <w:rFonts w:ascii="Symbol" w:hAnsi="Symbol"/>
      </w:rPr>
    </w:lvl>
    <w:lvl w:ilvl="5" w:tplc="3DDA609E">
      <w:start w:val="1"/>
      <w:numFmt w:val="bullet"/>
      <w:lvlText w:val=""/>
      <w:lvlJc w:val="left"/>
      <w:pPr>
        <w:ind w:left="720" w:hanging="360"/>
      </w:pPr>
      <w:rPr>
        <w:rFonts w:ascii="Symbol" w:hAnsi="Symbol"/>
      </w:rPr>
    </w:lvl>
    <w:lvl w:ilvl="6" w:tplc="08A05E14">
      <w:start w:val="1"/>
      <w:numFmt w:val="bullet"/>
      <w:lvlText w:val=""/>
      <w:lvlJc w:val="left"/>
      <w:pPr>
        <w:ind w:left="720" w:hanging="360"/>
      </w:pPr>
      <w:rPr>
        <w:rFonts w:ascii="Symbol" w:hAnsi="Symbol"/>
      </w:rPr>
    </w:lvl>
    <w:lvl w:ilvl="7" w:tplc="A31605D6">
      <w:start w:val="1"/>
      <w:numFmt w:val="bullet"/>
      <w:lvlText w:val=""/>
      <w:lvlJc w:val="left"/>
      <w:pPr>
        <w:ind w:left="720" w:hanging="360"/>
      </w:pPr>
      <w:rPr>
        <w:rFonts w:ascii="Symbol" w:hAnsi="Symbol"/>
      </w:rPr>
    </w:lvl>
    <w:lvl w:ilvl="8" w:tplc="3F2871B0">
      <w:start w:val="1"/>
      <w:numFmt w:val="bullet"/>
      <w:lvlText w:val=""/>
      <w:lvlJc w:val="left"/>
      <w:pPr>
        <w:ind w:left="720" w:hanging="360"/>
      </w:pPr>
      <w:rPr>
        <w:rFonts w:ascii="Symbol" w:hAnsi="Symbol"/>
      </w:rPr>
    </w:lvl>
  </w:abstractNum>
  <w:abstractNum w:abstractNumId="39" w15:restartNumberingAfterBreak="0">
    <w:nsid w:val="5E4E251F"/>
    <w:multiLevelType w:val="hybridMultilevel"/>
    <w:tmpl w:val="C49C308C"/>
    <w:lvl w:ilvl="0" w:tplc="C87A6DFC">
      <w:start w:val="1"/>
      <w:numFmt w:val="bullet"/>
      <w:lvlText w:val=""/>
      <w:lvlJc w:val="left"/>
      <w:pPr>
        <w:ind w:left="720" w:hanging="360"/>
      </w:pPr>
      <w:rPr>
        <w:rFonts w:ascii="Symbol" w:hAnsi="Symbol"/>
      </w:rPr>
    </w:lvl>
    <w:lvl w:ilvl="1" w:tplc="F5E29C7A">
      <w:start w:val="1"/>
      <w:numFmt w:val="bullet"/>
      <w:lvlText w:val=""/>
      <w:lvlJc w:val="left"/>
      <w:pPr>
        <w:ind w:left="720" w:hanging="360"/>
      </w:pPr>
      <w:rPr>
        <w:rFonts w:ascii="Symbol" w:hAnsi="Symbol"/>
      </w:rPr>
    </w:lvl>
    <w:lvl w:ilvl="2" w:tplc="7EFADAA4">
      <w:start w:val="1"/>
      <w:numFmt w:val="bullet"/>
      <w:lvlText w:val=""/>
      <w:lvlJc w:val="left"/>
      <w:pPr>
        <w:ind w:left="720" w:hanging="360"/>
      </w:pPr>
      <w:rPr>
        <w:rFonts w:ascii="Symbol" w:hAnsi="Symbol"/>
      </w:rPr>
    </w:lvl>
    <w:lvl w:ilvl="3" w:tplc="7510654A">
      <w:start w:val="1"/>
      <w:numFmt w:val="bullet"/>
      <w:lvlText w:val=""/>
      <w:lvlJc w:val="left"/>
      <w:pPr>
        <w:ind w:left="720" w:hanging="360"/>
      </w:pPr>
      <w:rPr>
        <w:rFonts w:ascii="Symbol" w:hAnsi="Symbol"/>
      </w:rPr>
    </w:lvl>
    <w:lvl w:ilvl="4" w:tplc="335CC33E">
      <w:start w:val="1"/>
      <w:numFmt w:val="bullet"/>
      <w:lvlText w:val=""/>
      <w:lvlJc w:val="left"/>
      <w:pPr>
        <w:ind w:left="720" w:hanging="360"/>
      </w:pPr>
      <w:rPr>
        <w:rFonts w:ascii="Symbol" w:hAnsi="Symbol"/>
      </w:rPr>
    </w:lvl>
    <w:lvl w:ilvl="5" w:tplc="9A821078">
      <w:start w:val="1"/>
      <w:numFmt w:val="bullet"/>
      <w:lvlText w:val=""/>
      <w:lvlJc w:val="left"/>
      <w:pPr>
        <w:ind w:left="720" w:hanging="360"/>
      </w:pPr>
      <w:rPr>
        <w:rFonts w:ascii="Symbol" w:hAnsi="Symbol"/>
      </w:rPr>
    </w:lvl>
    <w:lvl w:ilvl="6" w:tplc="17B26150">
      <w:start w:val="1"/>
      <w:numFmt w:val="bullet"/>
      <w:lvlText w:val=""/>
      <w:lvlJc w:val="left"/>
      <w:pPr>
        <w:ind w:left="720" w:hanging="360"/>
      </w:pPr>
      <w:rPr>
        <w:rFonts w:ascii="Symbol" w:hAnsi="Symbol"/>
      </w:rPr>
    </w:lvl>
    <w:lvl w:ilvl="7" w:tplc="993CFB8A">
      <w:start w:val="1"/>
      <w:numFmt w:val="bullet"/>
      <w:lvlText w:val=""/>
      <w:lvlJc w:val="left"/>
      <w:pPr>
        <w:ind w:left="720" w:hanging="360"/>
      </w:pPr>
      <w:rPr>
        <w:rFonts w:ascii="Symbol" w:hAnsi="Symbol"/>
      </w:rPr>
    </w:lvl>
    <w:lvl w:ilvl="8" w:tplc="9CA6F1F6">
      <w:start w:val="1"/>
      <w:numFmt w:val="bullet"/>
      <w:lvlText w:val=""/>
      <w:lvlJc w:val="left"/>
      <w:pPr>
        <w:ind w:left="720" w:hanging="360"/>
      </w:pPr>
      <w:rPr>
        <w:rFonts w:ascii="Symbol" w:hAnsi="Symbol"/>
      </w:rPr>
    </w:lvl>
  </w:abstractNum>
  <w:abstractNum w:abstractNumId="40" w15:restartNumberingAfterBreak="0">
    <w:nsid w:val="66627E4A"/>
    <w:multiLevelType w:val="hybridMultilevel"/>
    <w:tmpl w:val="E4C05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ABA3303"/>
    <w:multiLevelType w:val="multilevel"/>
    <w:tmpl w:val="CB561D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6B1D7EA2"/>
    <w:multiLevelType w:val="hybridMultilevel"/>
    <w:tmpl w:val="C756CBFC"/>
    <w:lvl w:ilvl="0" w:tplc="F6445850">
      <w:start w:val="1"/>
      <w:numFmt w:val="bullet"/>
      <w:lvlText w:val=""/>
      <w:lvlJc w:val="left"/>
      <w:pPr>
        <w:ind w:left="720" w:hanging="360"/>
      </w:pPr>
      <w:rPr>
        <w:rFonts w:ascii="Symbol" w:hAnsi="Symbol"/>
      </w:rPr>
    </w:lvl>
    <w:lvl w:ilvl="1" w:tplc="64466C16">
      <w:start w:val="1"/>
      <w:numFmt w:val="bullet"/>
      <w:lvlText w:val=""/>
      <w:lvlJc w:val="left"/>
      <w:pPr>
        <w:ind w:left="720" w:hanging="360"/>
      </w:pPr>
      <w:rPr>
        <w:rFonts w:ascii="Symbol" w:hAnsi="Symbol"/>
      </w:rPr>
    </w:lvl>
    <w:lvl w:ilvl="2" w:tplc="23BE992C">
      <w:start w:val="1"/>
      <w:numFmt w:val="bullet"/>
      <w:lvlText w:val=""/>
      <w:lvlJc w:val="left"/>
      <w:pPr>
        <w:ind w:left="720" w:hanging="360"/>
      </w:pPr>
      <w:rPr>
        <w:rFonts w:ascii="Symbol" w:hAnsi="Symbol"/>
      </w:rPr>
    </w:lvl>
    <w:lvl w:ilvl="3" w:tplc="C6007932">
      <w:start w:val="1"/>
      <w:numFmt w:val="bullet"/>
      <w:lvlText w:val=""/>
      <w:lvlJc w:val="left"/>
      <w:pPr>
        <w:ind w:left="720" w:hanging="360"/>
      </w:pPr>
      <w:rPr>
        <w:rFonts w:ascii="Symbol" w:hAnsi="Symbol"/>
      </w:rPr>
    </w:lvl>
    <w:lvl w:ilvl="4" w:tplc="12827AF4">
      <w:start w:val="1"/>
      <w:numFmt w:val="bullet"/>
      <w:lvlText w:val=""/>
      <w:lvlJc w:val="left"/>
      <w:pPr>
        <w:ind w:left="720" w:hanging="360"/>
      </w:pPr>
      <w:rPr>
        <w:rFonts w:ascii="Symbol" w:hAnsi="Symbol"/>
      </w:rPr>
    </w:lvl>
    <w:lvl w:ilvl="5" w:tplc="42D44488">
      <w:start w:val="1"/>
      <w:numFmt w:val="bullet"/>
      <w:lvlText w:val=""/>
      <w:lvlJc w:val="left"/>
      <w:pPr>
        <w:ind w:left="720" w:hanging="360"/>
      </w:pPr>
      <w:rPr>
        <w:rFonts w:ascii="Symbol" w:hAnsi="Symbol"/>
      </w:rPr>
    </w:lvl>
    <w:lvl w:ilvl="6" w:tplc="8FC03884">
      <w:start w:val="1"/>
      <w:numFmt w:val="bullet"/>
      <w:lvlText w:val=""/>
      <w:lvlJc w:val="left"/>
      <w:pPr>
        <w:ind w:left="720" w:hanging="360"/>
      </w:pPr>
      <w:rPr>
        <w:rFonts w:ascii="Symbol" w:hAnsi="Symbol"/>
      </w:rPr>
    </w:lvl>
    <w:lvl w:ilvl="7" w:tplc="AD3ED5A4">
      <w:start w:val="1"/>
      <w:numFmt w:val="bullet"/>
      <w:lvlText w:val=""/>
      <w:lvlJc w:val="left"/>
      <w:pPr>
        <w:ind w:left="720" w:hanging="360"/>
      </w:pPr>
      <w:rPr>
        <w:rFonts w:ascii="Symbol" w:hAnsi="Symbol"/>
      </w:rPr>
    </w:lvl>
    <w:lvl w:ilvl="8" w:tplc="87E860C0">
      <w:start w:val="1"/>
      <w:numFmt w:val="bullet"/>
      <w:lvlText w:val=""/>
      <w:lvlJc w:val="left"/>
      <w:pPr>
        <w:ind w:left="720" w:hanging="360"/>
      </w:pPr>
      <w:rPr>
        <w:rFonts w:ascii="Symbol" w:hAnsi="Symbol"/>
      </w:rPr>
    </w:lvl>
  </w:abstractNum>
  <w:abstractNum w:abstractNumId="4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634056"/>
    <w:multiLevelType w:val="hybridMultilevel"/>
    <w:tmpl w:val="EBD4ED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6F473D54"/>
    <w:multiLevelType w:val="hybridMultilevel"/>
    <w:tmpl w:val="13982446"/>
    <w:lvl w:ilvl="0" w:tplc="D42C1B68">
      <w:start w:val="1"/>
      <w:numFmt w:val="bullet"/>
      <w:lvlText w:val=""/>
      <w:lvlJc w:val="left"/>
      <w:pPr>
        <w:ind w:left="720" w:hanging="360"/>
      </w:pPr>
      <w:rPr>
        <w:rFonts w:ascii="Symbol" w:hAnsi="Symbol"/>
      </w:rPr>
    </w:lvl>
    <w:lvl w:ilvl="1" w:tplc="EBA844E8">
      <w:start w:val="1"/>
      <w:numFmt w:val="bullet"/>
      <w:lvlText w:val=""/>
      <w:lvlJc w:val="left"/>
      <w:pPr>
        <w:ind w:left="720" w:hanging="360"/>
      </w:pPr>
      <w:rPr>
        <w:rFonts w:ascii="Symbol" w:hAnsi="Symbol"/>
      </w:rPr>
    </w:lvl>
    <w:lvl w:ilvl="2" w:tplc="03309CD8">
      <w:start w:val="1"/>
      <w:numFmt w:val="bullet"/>
      <w:lvlText w:val=""/>
      <w:lvlJc w:val="left"/>
      <w:pPr>
        <w:ind w:left="720" w:hanging="360"/>
      </w:pPr>
      <w:rPr>
        <w:rFonts w:ascii="Symbol" w:hAnsi="Symbol"/>
      </w:rPr>
    </w:lvl>
    <w:lvl w:ilvl="3" w:tplc="A09CFF00">
      <w:start w:val="1"/>
      <w:numFmt w:val="bullet"/>
      <w:lvlText w:val=""/>
      <w:lvlJc w:val="left"/>
      <w:pPr>
        <w:ind w:left="720" w:hanging="360"/>
      </w:pPr>
      <w:rPr>
        <w:rFonts w:ascii="Symbol" w:hAnsi="Symbol"/>
      </w:rPr>
    </w:lvl>
    <w:lvl w:ilvl="4" w:tplc="2F346850">
      <w:start w:val="1"/>
      <w:numFmt w:val="bullet"/>
      <w:lvlText w:val=""/>
      <w:lvlJc w:val="left"/>
      <w:pPr>
        <w:ind w:left="720" w:hanging="360"/>
      </w:pPr>
      <w:rPr>
        <w:rFonts w:ascii="Symbol" w:hAnsi="Symbol"/>
      </w:rPr>
    </w:lvl>
    <w:lvl w:ilvl="5" w:tplc="664E1D7E">
      <w:start w:val="1"/>
      <w:numFmt w:val="bullet"/>
      <w:lvlText w:val=""/>
      <w:lvlJc w:val="left"/>
      <w:pPr>
        <w:ind w:left="720" w:hanging="360"/>
      </w:pPr>
      <w:rPr>
        <w:rFonts w:ascii="Symbol" w:hAnsi="Symbol"/>
      </w:rPr>
    </w:lvl>
    <w:lvl w:ilvl="6" w:tplc="EEB2CC5A">
      <w:start w:val="1"/>
      <w:numFmt w:val="bullet"/>
      <w:lvlText w:val=""/>
      <w:lvlJc w:val="left"/>
      <w:pPr>
        <w:ind w:left="720" w:hanging="360"/>
      </w:pPr>
      <w:rPr>
        <w:rFonts w:ascii="Symbol" w:hAnsi="Symbol"/>
      </w:rPr>
    </w:lvl>
    <w:lvl w:ilvl="7" w:tplc="54EA1778">
      <w:start w:val="1"/>
      <w:numFmt w:val="bullet"/>
      <w:lvlText w:val=""/>
      <w:lvlJc w:val="left"/>
      <w:pPr>
        <w:ind w:left="720" w:hanging="360"/>
      </w:pPr>
      <w:rPr>
        <w:rFonts w:ascii="Symbol" w:hAnsi="Symbol"/>
      </w:rPr>
    </w:lvl>
    <w:lvl w:ilvl="8" w:tplc="C4F69B62">
      <w:start w:val="1"/>
      <w:numFmt w:val="bullet"/>
      <w:lvlText w:val=""/>
      <w:lvlJc w:val="left"/>
      <w:pPr>
        <w:ind w:left="720" w:hanging="360"/>
      </w:pPr>
      <w:rPr>
        <w:rFonts w:ascii="Symbol" w:hAnsi="Symbol"/>
      </w:rPr>
    </w:lvl>
  </w:abstractNum>
  <w:abstractNum w:abstractNumId="47" w15:restartNumberingAfterBreak="0">
    <w:nsid w:val="6FFA125F"/>
    <w:multiLevelType w:val="hybridMultilevel"/>
    <w:tmpl w:val="F7FA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2E6A83"/>
    <w:multiLevelType w:val="hybridMultilevel"/>
    <w:tmpl w:val="2860576A"/>
    <w:lvl w:ilvl="0" w:tplc="4440B556">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391716"/>
    <w:multiLevelType w:val="hybridMultilevel"/>
    <w:tmpl w:val="ACA82896"/>
    <w:lvl w:ilvl="0" w:tplc="99F85F48">
      <w:start w:val="1"/>
      <w:numFmt w:val="bullet"/>
      <w:pStyle w:val="ListBullet2"/>
      <w:lvlText w:val="-"/>
      <w:lvlJc w:val="left"/>
      <w:pPr>
        <w:ind w:left="644" w:hanging="360"/>
      </w:pPr>
      <w:rPr>
        <w:rFonts w:ascii="Courier New" w:hAnsi="Courier New" w:hint="default"/>
        <w:u w:color="9E4C6E" w:themeColor="accent4"/>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5950515">
    <w:abstractNumId w:val="7"/>
  </w:num>
  <w:num w:numId="2" w16cid:durableId="1682851270">
    <w:abstractNumId w:val="37"/>
  </w:num>
  <w:num w:numId="3" w16cid:durableId="733117960">
    <w:abstractNumId w:val="44"/>
  </w:num>
  <w:num w:numId="4" w16cid:durableId="1753118461">
    <w:abstractNumId w:val="9"/>
  </w:num>
  <w:num w:numId="5" w16cid:durableId="877548777">
    <w:abstractNumId w:val="9"/>
    <w:lvlOverride w:ilvl="0">
      <w:startOverride w:val="1"/>
    </w:lvlOverride>
  </w:num>
  <w:num w:numId="6" w16cid:durableId="964625273">
    <w:abstractNumId w:val="13"/>
  </w:num>
  <w:num w:numId="7" w16cid:durableId="1006403262">
    <w:abstractNumId w:val="32"/>
  </w:num>
  <w:num w:numId="8" w16cid:durableId="2070612612">
    <w:abstractNumId w:val="41"/>
  </w:num>
  <w:num w:numId="9" w16cid:durableId="2041780248">
    <w:abstractNumId w:val="5"/>
  </w:num>
  <w:num w:numId="10" w16cid:durableId="1330519707">
    <w:abstractNumId w:val="4"/>
  </w:num>
  <w:num w:numId="11" w16cid:durableId="1663043273">
    <w:abstractNumId w:val="3"/>
  </w:num>
  <w:num w:numId="12" w16cid:durableId="1805614689">
    <w:abstractNumId w:val="2"/>
  </w:num>
  <w:num w:numId="13" w16cid:durableId="1456605454">
    <w:abstractNumId w:val="6"/>
  </w:num>
  <w:num w:numId="14" w16cid:durableId="46152517">
    <w:abstractNumId w:val="1"/>
  </w:num>
  <w:num w:numId="15" w16cid:durableId="826484597">
    <w:abstractNumId w:val="0"/>
  </w:num>
  <w:num w:numId="16" w16cid:durableId="132523374">
    <w:abstractNumId w:val="49"/>
  </w:num>
  <w:num w:numId="17" w16cid:durableId="1272471507">
    <w:abstractNumId w:val="15"/>
  </w:num>
  <w:num w:numId="18" w16cid:durableId="19011983">
    <w:abstractNumId w:val="23"/>
  </w:num>
  <w:num w:numId="19" w16cid:durableId="1401292010">
    <w:abstractNumId w:val="30"/>
  </w:num>
  <w:num w:numId="20" w16cid:durableId="2081175368">
    <w:abstractNumId w:val="33"/>
  </w:num>
  <w:num w:numId="21" w16cid:durableId="366756966">
    <w:abstractNumId w:val="28"/>
  </w:num>
  <w:num w:numId="22" w16cid:durableId="965892996">
    <w:abstractNumId w:val="36"/>
  </w:num>
  <w:num w:numId="23" w16cid:durableId="563836975">
    <w:abstractNumId w:val="26"/>
  </w:num>
  <w:num w:numId="24" w16cid:durableId="921838715">
    <w:abstractNumId w:val="21"/>
  </w:num>
  <w:num w:numId="25" w16cid:durableId="896279400">
    <w:abstractNumId w:val="10"/>
  </w:num>
  <w:num w:numId="26" w16cid:durableId="335889380">
    <w:abstractNumId w:val="15"/>
  </w:num>
  <w:num w:numId="27" w16cid:durableId="2092963926">
    <w:abstractNumId w:val="24"/>
  </w:num>
  <w:num w:numId="28" w16cid:durableId="1326468838">
    <w:abstractNumId w:val="20"/>
  </w:num>
  <w:num w:numId="29" w16cid:durableId="823356113">
    <w:abstractNumId w:val="15"/>
  </w:num>
  <w:num w:numId="30" w16cid:durableId="1614050692">
    <w:abstractNumId w:val="31"/>
  </w:num>
  <w:num w:numId="31" w16cid:durableId="1009789618">
    <w:abstractNumId w:val="8"/>
  </w:num>
  <w:num w:numId="32" w16cid:durableId="1490974101">
    <w:abstractNumId w:val="45"/>
  </w:num>
  <w:num w:numId="33" w16cid:durableId="30768488">
    <w:abstractNumId w:val="40"/>
  </w:num>
  <w:num w:numId="34" w16cid:durableId="500433903">
    <w:abstractNumId w:val="16"/>
  </w:num>
  <w:num w:numId="35" w16cid:durableId="797652627">
    <w:abstractNumId w:val="22"/>
  </w:num>
  <w:num w:numId="36" w16cid:durableId="924458698">
    <w:abstractNumId w:val="34"/>
  </w:num>
  <w:num w:numId="37" w16cid:durableId="1505826305">
    <w:abstractNumId w:val="18"/>
  </w:num>
  <w:num w:numId="38" w16cid:durableId="1706370086">
    <w:abstractNumId w:val="12"/>
  </w:num>
  <w:num w:numId="39" w16cid:durableId="1763182338">
    <w:abstractNumId w:val="14"/>
  </w:num>
  <w:num w:numId="40" w16cid:durableId="1454447984">
    <w:abstractNumId w:val="35"/>
  </w:num>
  <w:num w:numId="41" w16cid:durableId="650140667">
    <w:abstractNumId w:val="17"/>
  </w:num>
  <w:num w:numId="42" w16cid:durableId="884370660">
    <w:abstractNumId w:val="47"/>
  </w:num>
  <w:num w:numId="43" w16cid:durableId="1510753051">
    <w:abstractNumId w:val="19"/>
  </w:num>
  <w:num w:numId="44" w16cid:durableId="1145852776">
    <w:abstractNumId w:val="11"/>
  </w:num>
  <w:num w:numId="45" w16cid:durableId="1212040362">
    <w:abstractNumId w:val="48"/>
  </w:num>
  <w:num w:numId="46" w16cid:durableId="684409101">
    <w:abstractNumId w:val="27"/>
  </w:num>
  <w:num w:numId="47" w16cid:durableId="993527080">
    <w:abstractNumId w:val="46"/>
  </w:num>
  <w:num w:numId="48" w16cid:durableId="252125314">
    <w:abstractNumId w:val="39"/>
  </w:num>
  <w:num w:numId="49" w16cid:durableId="60640578">
    <w:abstractNumId w:val="38"/>
  </w:num>
  <w:num w:numId="50" w16cid:durableId="22177596">
    <w:abstractNumId w:val="43"/>
  </w:num>
  <w:num w:numId="51" w16cid:durableId="1519539021">
    <w:abstractNumId w:val="6"/>
  </w:num>
  <w:num w:numId="52" w16cid:durableId="856432258">
    <w:abstractNumId w:val="25"/>
  </w:num>
  <w:num w:numId="53" w16cid:durableId="673999015">
    <w:abstractNumId w:val="29"/>
  </w:num>
  <w:num w:numId="54" w16cid:durableId="1385442849">
    <w:abstractNumId w:val="42"/>
  </w:num>
  <w:num w:numId="55" w16cid:durableId="910164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22425"/>
    <w:rsid w:val="00026139"/>
    <w:rsid w:val="00027071"/>
    <w:rsid w:val="00027551"/>
    <w:rsid w:val="00027601"/>
    <w:rsid w:val="000304D2"/>
    <w:rsid w:val="00033321"/>
    <w:rsid w:val="000338E5"/>
    <w:rsid w:val="00033ECC"/>
    <w:rsid w:val="0003422F"/>
    <w:rsid w:val="00037988"/>
    <w:rsid w:val="00037993"/>
    <w:rsid w:val="00041C84"/>
    <w:rsid w:val="00042857"/>
    <w:rsid w:val="00042A06"/>
    <w:rsid w:val="00043AC8"/>
    <w:rsid w:val="00046FF0"/>
    <w:rsid w:val="00050176"/>
    <w:rsid w:val="00053C07"/>
    <w:rsid w:val="000572C4"/>
    <w:rsid w:val="00061064"/>
    <w:rsid w:val="00062B65"/>
    <w:rsid w:val="00064610"/>
    <w:rsid w:val="00067456"/>
    <w:rsid w:val="00071506"/>
    <w:rsid w:val="0007154F"/>
    <w:rsid w:val="0008053F"/>
    <w:rsid w:val="00081AB1"/>
    <w:rsid w:val="0008361F"/>
    <w:rsid w:val="00085402"/>
    <w:rsid w:val="0009026A"/>
    <w:rsid w:val="00090316"/>
    <w:rsid w:val="00093981"/>
    <w:rsid w:val="00093CD9"/>
    <w:rsid w:val="0009681A"/>
    <w:rsid w:val="00097922"/>
    <w:rsid w:val="000A05F2"/>
    <w:rsid w:val="000A1526"/>
    <w:rsid w:val="000A19A8"/>
    <w:rsid w:val="000A44F0"/>
    <w:rsid w:val="000B0525"/>
    <w:rsid w:val="000B067A"/>
    <w:rsid w:val="000B1540"/>
    <w:rsid w:val="000B33FD"/>
    <w:rsid w:val="000B4ABA"/>
    <w:rsid w:val="000B732D"/>
    <w:rsid w:val="000B7703"/>
    <w:rsid w:val="000C1794"/>
    <w:rsid w:val="000C4B16"/>
    <w:rsid w:val="000C50C3"/>
    <w:rsid w:val="000C6C83"/>
    <w:rsid w:val="000D21F6"/>
    <w:rsid w:val="000D42C3"/>
    <w:rsid w:val="000D4500"/>
    <w:rsid w:val="000D56E4"/>
    <w:rsid w:val="000D7AEA"/>
    <w:rsid w:val="000E01A9"/>
    <w:rsid w:val="000E2C66"/>
    <w:rsid w:val="000E6708"/>
    <w:rsid w:val="000E6E7D"/>
    <w:rsid w:val="000F123C"/>
    <w:rsid w:val="000F2FED"/>
    <w:rsid w:val="000F4D9D"/>
    <w:rsid w:val="00100F6D"/>
    <w:rsid w:val="001012B4"/>
    <w:rsid w:val="001016C2"/>
    <w:rsid w:val="0010616D"/>
    <w:rsid w:val="00110478"/>
    <w:rsid w:val="001133D0"/>
    <w:rsid w:val="0011711B"/>
    <w:rsid w:val="00117F8A"/>
    <w:rsid w:val="00121B9B"/>
    <w:rsid w:val="00122ADC"/>
    <w:rsid w:val="00130F59"/>
    <w:rsid w:val="00133EC0"/>
    <w:rsid w:val="001368B0"/>
    <w:rsid w:val="00137FA9"/>
    <w:rsid w:val="00141CE5"/>
    <w:rsid w:val="00144908"/>
    <w:rsid w:val="001518F9"/>
    <w:rsid w:val="001525FC"/>
    <w:rsid w:val="001571C7"/>
    <w:rsid w:val="00161094"/>
    <w:rsid w:val="00172A55"/>
    <w:rsid w:val="00172EE1"/>
    <w:rsid w:val="00173D79"/>
    <w:rsid w:val="001758CD"/>
    <w:rsid w:val="0017665C"/>
    <w:rsid w:val="00177AD2"/>
    <w:rsid w:val="001812C8"/>
    <w:rsid w:val="001815A8"/>
    <w:rsid w:val="001840FA"/>
    <w:rsid w:val="00190079"/>
    <w:rsid w:val="00194381"/>
    <w:rsid w:val="0019622E"/>
    <w:rsid w:val="001966A7"/>
    <w:rsid w:val="001A3AAF"/>
    <w:rsid w:val="001A4627"/>
    <w:rsid w:val="001A4979"/>
    <w:rsid w:val="001A6847"/>
    <w:rsid w:val="001A7569"/>
    <w:rsid w:val="001B15D3"/>
    <w:rsid w:val="001B3443"/>
    <w:rsid w:val="001C0326"/>
    <w:rsid w:val="001C192F"/>
    <w:rsid w:val="001C3C42"/>
    <w:rsid w:val="001C5D1B"/>
    <w:rsid w:val="001C75BF"/>
    <w:rsid w:val="001D6018"/>
    <w:rsid w:val="001D7869"/>
    <w:rsid w:val="001D7FEE"/>
    <w:rsid w:val="001F2F78"/>
    <w:rsid w:val="001F517B"/>
    <w:rsid w:val="002026CD"/>
    <w:rsid w:val="002033FC"/>
    <w:rsid w:val="002044BB"/>
    <w:rsid w:val="00205A93"/>
    <w:rsid w:val="00210B09"/>
    <w:rsid w:val="00210C9E"/>
    <w:rsid w:val="00211840"/>
    <w:rsid w:val="00212EE3"/>
    <w:rsid w:val="002149C0"/>
    <w:rsid w:val="00220E5F"/>
    <w:rsid w:val="002212B5"/>
    <w:rsid w:val="002231BA"/>
    <w:rsid w:val="002242C9"/>
    <w:rsid w:val="00226668"/>
    <w:rsid w:val="00233809"/>
    <w:rsid w:val="00236073"/>
    <w:rsid w:val="00240046"/>
    <w:rsid w:val="002419AC"/>
    <w:rsid w:val="00247219"/>
    <w:rsid w:val="0024797F"/>
    <w:rsid w:val="0025119E"/>
    <w:rsid w:val="00251269"/>
    <w:rsid w:val="00251C03"/>
    <w:rsid w:val="002535C0"/>
    <w:rsid w:val="002579FE"/>
    <w:rsid w:val="00260274"/>
    <w:rsid w:val="00260381"/>
    <w:rsid w:val="0026311C"/>
    <w:rsid w:val="00263995"/>
    <w:rsid w:val="0026633C"/>
    <w:rsid w:val="0026668C"/>
    <w:rsid w:val="00266AC1"/>
    <w:rsid w:val="00267600"/>
    <w:rsid w:val="00270F29"/>
    <w:rsid w:val="0027178C"/>
    <w:rsid w:val="002719FA"/>
    <w:rsid w:val="00272668"/>
    <w:rsid w:val="002731D1"/>
    <w:rsid w:val="0027330B"/>
    <w:rsid w:val="002803AD"/>
    <w:rsid w:val="00282052"/>
    <w:rsid w:val="0028318C"/>
    <w:rsid w:val="0028519E"/>
    <w:rsid w:val="002856A5"/>
    <w:rsid w:val="002872ED"/>
    <w:rsid w:val="002905C2"/>
    <w:rsid w:val="002938EA"/>
    <w:rsid w:val="00295AF2"/>
    <w:rsid w:val="00295C91"/>
    <w:rsid w:val="00296499"/>
    <w:rsid w:val="0029683D"/>
    <w:rsid w:val="00297151"/>
    <w:rsid w:val="002A12CA"/>
    <w:rsid w:val="002B20E6"/>
    <w:rsid w:val="002B42A3"/>
    <w:rsid w:val="002C0CDD"/>
    <w:rsid w:val="002C32E2"/>
    <w:rsid w:val="002C778A"/>
    <w:rsid w:val="002D16BC"/>
    <w:rsid w:val="002D19A0"/>
    <w:rsid w:val="002D5EC1"/>
    <w:rsid w:val="002D60B7"/>
    <w:rsid w:val="002E139E"/>
    <w:rsid w:val="002E1A1D"/>
    <w:rsid w:val="002E4081"/>
    <w:rsid w:val="002E5B78"/>
    <w:rsid w:val="002E6ABB"/>
    <w:rsid w:val="002F0CBC"/>
    <w:rsid w:val="002F3AE3"/>
    <w:rsid w:val="003006D3"/>
    <w:rsid w:val="00301310"/>
    <w:rsid w:val="00303571"/>
    <w:rsid w:val="0030464B"/>
    <w:rsid w:val="0030747F"/>
    <w:rsid w:val="0030786C"/>
    <w:rsid w:val="003111D7"/>
    <w:rsid w:val="00314C3D"/>
    <w:rsid w:val="00315F3A"/>
    <w:rsid w:val="003233DE"/>
    <w:rsid w:val="00323B0A"/>
    <w:rsid w:val="0032466B"/>
    <w:rsid w:val="00327B44"/>
    <w:rsid w:val="00330C04"/>
    <w:rsid w:val="003330EB"/>
    <w:rsid w:val="00336605"/>
    <w:rsid w:val="00336B8B"/>
    <w:rsid w:val="003415FD"/>
    <w:rsid w:val="003429F0"/>
    <w:rsid w:val="00344D69"/>
    <w:rsid w:val="0035097A"/>
    <w:rsid w:val="003538F7"/>
    <w:rsid w:val="003540A4"/>
    <w:rsid w:val="00360CCD"/>
    <w:rsid w:val="00360E4E"/>
    <w:rsid w:val="00363182"/>
    <w:rsid w:val="00370822"/>
    <w:rsid w:val="00370AAA"/>
    <w:rsid w:val="00370F26"/>
    <w:rsid w:val="00375F77"/>
    <w:rsid w:val="00376922"/>
    <w:rsid w:val="00377A78"/>
    <w:rsid w:val="00381BBE"/>
    <w:rsid w:val="00382903"/>
    <w:rsid w:val="00383BB2"/>
    <w:rsid w:val="003846FF"/>
    <w:rsid w:val="00385AD4"/>
    <w:rsid w:val="00386281"/>
    <w:rsid w:val="00387924"/>
    <w:rsid w:val="003912C1"/>
    <w:rsid w:val="0039384D"/>
    <w:rsid w:val="00395A81"/>
    <w:rsid w:val="00395C23"/>
    <w:rsid w:val="003A2E4F"/>
    <w:rsid w:val="003A4438"/>
    <w:rsid w:val="003A5013"/>
    <w:rsid w:val="003A5078"/>
    <w:rsid w:val="003A62DD"/>
    <w:rsid w:val="003A775A"/>
    <w:rsid w:val="003B0DAB"/>
    <w:rsid w:val="003B213A"/>
    <w:rsid w:val="003B2B9C"/>
    <w:rsid w:val="003B43AD"/>
    <w:rsid w:val="003B7C78"/>
    <w:rsid w:val="003C0FEC"/>
    <w:rsid w:val="003C15B8"/>
    <w:rsid w:val="003C1885"/>
    <w:rsid w:val="003C2AC8"/>
    <w:rsid w:val="003D17F9"/>
    <w:rsid w:val="003D2D88"/>
    <w:rsid w:val="003D41EA"/>
    <w:rsid w:val="003D4850"/>
    <w:rsid w:val="003D535A"/>
    <w:rsid w:val="003E0FBA"/>
    <w:rsid w:val="003E10B8"/>
    <w:rsid w:val="003E5265"/>
    <w:rsid w:val="003F0955"/>
    <w:rsid w:val="003F36A2"/>
    <w:rsid w:val="003F6FE1"/>
    <w:rsid w:val="00400F00"/>
    <w:rsid w:val="00401D11"/>
    <w:rsid w:val="00404B44"/>
    <w:rsid w:val="00404F8B"/>
    <w:rsid w:val="00405256"/>
    <w:rsid w:val="00407998"/>
    <w:rsid w:val="00410031"/>
    <w:rsid w:val="004115A2"/>
    <w:rsid w:val="00413BC8"/>
    <w:rsid w:val="00415C81"/>
    <w:rsid w:val="00416731"/>
    <w:rsid w:val="0041712A"/>
    <w:rsid w:val="004232F8"/>
    <w:rsid w:val="004235FB"/>
    <w:rsid w:val="00425276"/>
    <w:rsid w:val="00425FAB"/>
    <w:rsid w:val="00432378"/>
    <w:rsid w:val="00440D65"/>
    <w:rsid w:val="004435E6"/>
    <w:rsid w:val="00445E54"/>
    <w:rsid w:val="00447E31"/>
    <w:rsid w:val="004521C3"/>
    <w:rsid w:val="00453923"/>
    <w:rsid w:val="00454084"/>
    <w:rsid w:val="00454281"/>
    <w:rsid w:val="00454B9B"/>
    <w:rsid w:val="00456374"/>
    <w:rsid w:val="00457858"/>
    <w:rsid w:val="00460B0B"/>
    <w:rsid w:val="00461023"/>
    <w:rsid w:val="00462FAC"/>
    <w:rsid w:val="00464631"/>
    <w:rsid w:val="00464B79"/>
    <w:rsid w:val="00467BBF"/>
    <w:rsid w:val="00472715"/>
    <w:rsid w:val="00473D13"/>
    <w:rsid w:val="004867E2"/>
    <w:rsid w:val="00487000"/>
    <w:rsid w:val="004929A9"/>
    <w:rsid w:val="00497848"/>
    <w:rsid w:val="004A3A3E"/>
    <w:rsid w:val="004A4D56"/>
    <w:rsid w:val="004B754A"/>
    <w:rsid w:val="004B77F8"/>
    <w:rsid w:val="004C2FEC"/>
    <w:rsid w:val="004C3828"/>
    <w:rsid w:val="004C4AAC"/>
    <w:rsid w:val="004C50E2"/>
    <w:rsid w:val="004C6BCF"/>
    <w:rsid w:val="004D1EE2"/>
    <w:rsid w:val="004D58BF"/>
    <w:rsid w:val="004D6AB3"/>
    <w:rsid w:val="004E05AC"/>
    <w:rsid w:val="004E2866"/>
    <w:rsid w:val="004E4335"/>
    <w:rsid w:val="004E4EEC"/>
    <w:rsid w:val="004E5ACF"/>
    <w:rsid w:val="004E5D09"/>
    <w:rsid w:val="004E6ECF"/>
    <w:rsid w:val="004F13EE"/>
    <w:rsid w:val="004F2022"/>
    <w:rsid w:val="004F3D53"/>
    <w:rsid w:val="004F7C05"/>
    <w:rsid w:val="00501C94"/>
    <w:rsid w:val="005037BF"/>
    <w:rsid w:val="005053FC"/>
    <w:rsid w:val="00506432"/>
    <w:rsid w:val="0051242B"/>
    <w:rsid w:val="00512E69"/>
    <w:rsid w:val="00512E81"/>
    <w:rsid w:val="00516D83"/>
    <w:rsid w:val="0052051D"/>
    <w:rsid w:val="005210EF"/>
    <w:rsid w:val="005222AB"/>
    <w:rsid w:val="00522F64"/>
    <w:rsid w:val="00525A05"/>
    <w:rsid w:val="00525EE5"/>
    <w:rsid w:val="005308FB"/>
    <w:rsid w:val="0053366C"/>
    <w:rsid w:val="00536AAB"/>
    <w:rsid w:val="00540D03"/>
    <w:rsid w:val="00544A4D"/>
    <w:rsid w:val="00545EE6"/>
    <w:rsid w:val="005550E7"/>
    <w:rsid w:val="005564FB"/>
    <w:rsid w:val="00556AC6"/>
    <w:rsid w:val="005572C7"/>
    <w:rsid w:val="00557D5A"/>
    <w:rsid w:val="0056486D"/>
    <w:rsid w:val="005650ED"/>
    <w:rsid w:val="00570D6B"/>
    <w:rsid w:val="00575754"/>
    <w:rsid w:val="00587CE6"/>
    <w:rsid w:val="00591E20"/>
    <w:rsid w:val="00595408"/>
    <w:rsid w:val="00595E84"/>
    <w:rsid w:val="00596F07"/>
    <w:rsid w:val="005A0C59"/>
    <w:rsid w:val="005A48EB"/>
    <w:rsid w:val="005A5382"/>
    <w:rsid w:val="005A61D0"/>
    <w:rsid w:val="005A6CFB"/>
    <w:rsid w:val="005B3B1D"/>
    <w:rsid w:val="005B52CD"/>
    <w:rsid w:val="005C2FE0"/>
    <w:rsid w:val="005C4A44"/>
    <w:rsid w:val="005C57C9"/>
    <w:rsid w:val="005C5AEB"/>
    <w:rsid w:val="005C6643"/>
    <w:rsid w:val="005D0E99"/>
    <w:rsid w:val="005D4986"/>
    <w:rsid w:val="005D598D"/>
    <w:rsid w:val="005D785D"/>
    <w:rsid w:val="005E0A3F"/>
    <w:rsid w:val="005E6883"/>
    <w:rsid w:val="005E6A4B"/>
    <w:rsid w:val="005E772F"/>
    <w:rsid w:val="005F03A1"/>
    <w:rsid w:val="005F4ECA"/>
    <w:rsid w:val="005F7F9F"/>
    <w:rsid w:val="00600006"/>
    <w:rsid w:val="006041BE"/>
    <w:rsid w:val="006043C7"/>
    <w:rsid w:val="0060665A"/>
    <w:rsid w:val="00610D1F"/>
    <w:rsid w:val="00612C26"/>
    <w:rsid w:val="00615D87"/>
    <w:rsid w:val="00616982"/>
    <w:rsid w:val="00621C05"/>
    <w:rsid w:val="00624B52"/>
    <w:rsid w:val="006250E1"/>
    <w:rsid w:val="006300B1"/>
    <w:rsid w:val="00631DF4"/>
    <w:rsid w:val="006323EF"/>
    <w:rsid w:val="00632A97"/>
    <w:rsid w:val="00634175"/>
    <w:rsid w:val="006408AC"/>
    <w:rsid w:val="00645563"/>
    <w:rsid w:val="006511B6"/>
    <w:rsid w:val="00652742"/>
    <w:rsid w:val="00657898"/>
    <w:rsid w:val="00657FF8"/>
    <w:rsid w:val="00670D99"/>
    <w:rsid w:val="00670E2B"/>
    <w:rsid w:val="006734BB"/>
    <w:rsid w:val="006757C6"/>
    <w:rsid w:val="00681A34"/>
    <w:rsid w:val="006821EB"/>
    <w:rsid w:val="00684943"/>
    <w:rsid w:val="0069136E"/>
    <w:rsid w:val="00691DEA"/>
    <w:rsid w:val="00694C6A"/>
    <w:rsid w:val="006A0D74"/>
    <w:rsid w:val="006B2286"/>
    <w:rsid w:val="006B3C37"/>
    <w:rsid w:val="006B56BB"/>
    <w:rsid w:val="006C177A"/>
    <w:rsid w:val="006C32F5"/>
    <w:rsid w:val="006C66E1"/>
    <w:rsid w:val="006C77A8"/>
    <w:rsid w:val="006D06AE"/>
    <w:rsid w:val="006D4098"/>
    <w:rsid w:val="006D41AF"/>
    <w:rsid w:val="006D61C5"/>
    <w:rsid w:val="006D7681"/>
    <w:rsid w:val="006D77A5"/>
    <w:rsid w:val="006D7B2E"/>
    <w:rsid w:val="006E02EA"/>
    <w:rsid w:val="006E0717"/>
    <w:rsid w:val="006E0968"/>
    <w:rsid w:val="006E2AF6"/>
    <w:rsid w:val="006F0C43"/>
    <w:rsid w:val="006F1434"/>
    <w:rsid w:val="00701275"/>
    <w:rsid w:val="0070405B"/>
    <w:rsid w:val="00705379"/>
    <w:rsid w:val="00705584"/>
    <w:rsid w:val="00705E8E"/>
    <w:rsid w:val="00707F56"/>
    <w:rsid w:val="00711C0D"/>
    <w:rsid w:val="00713558"/>
    <w:rsid w:val="007155AA"/>
    <w:rsid w:val="00720D08"/>
    <w:rsid w:val="00721555"/>
    <w:rsid w:val="007263B9"/>
    <w:rsid w:val="007334F8"/>
    <w:rsid w:val="007339CD"/>
    <w:rsid w:val="007359D8"/>
    <w:rsid w:val="007362D4"/>
    <w:rsid w:val="007369D0"/>
    <w:rsid w:val="00737CD7"/>
    <w:rsid w:val="00737FCE"/>
    <w:rsid w:val="00742CAB"/>
    <w:rsid w:val="00742F12"/>
    <w:rsid w:val="00744555"/>
    <w:rsid w:val="007453D4"/>
    <w:rsid w:val="00751A23"/>
    <w:rsid w:val="007551C8"/>
    <w:rsid w:val="0075774A"/>
    <w:rsid w:val="007578C3"/>
    <w:rsid w:val="0076672A"/>
    <w:rsid w:val="00770199"/>
    <w:rsid w:val="00774A75"/>
    <w:rsid w:val="00775E45"/>
    <w:rsid w:val="00776E74"/>
    <w:rsid w:val="00783D81"/>
    <w:rsid w:val="00784574"/>
    <w:rsid w:val="00785169"/>
    <w:rsid w:val="007867C3"/>
    <w:rsid w:val="00791924"/>
    <w:rsid w:val="007954AB"/>
    <w:rsid w:val="00795CFA"/>
    <w:rsid w:val="007A14C5"/>
    <w:rsid w:val="007A27C4"/>
    <w:rsid w:val="007A2E03"/>
    <w:rsid w:val="007A3E12"/>
    <w:rsid w:val="007A3E38"/>
    <w:rsid w:val="007A4A10"/>
    <w:rsid w:val="007A4CC2"/>
    <w:rsid w:val="007A739F"/>
    <w:rsid w:val="007B1760"/>
    <w:rsid w:val="007C4469"/>
    <w:rsid w:val="007C6CBA"/>
    <w:rsid w:val="007C6D9C"/>
    <w:rsid w:val="007C7DDB"/>
    <w:rsid w:val="007D2536"/>
    <w:rsid w:val="007D2CC7"/>
    <w:rsid w:val="007D37B1"/>
    <w:rsid w:val="007D47C6"/>
    <w:rsid w:val="007D625D"/>
    <w:rsid w:val="007D673D"/>
    <w:rsid w:val="007E37B2"/>
    <w:rsid w:val="007F2220"/>
    <w:rsid w:val="007F3D1E"/>
    <w:rsid w:val="007F4B3E"/>
    <w:rsid w:val="007F588A"/>
    <w:rsid w:val="007F68AE"/>
    <w:rsid w:val="007F79FE"/>
    <w:rsid w:val="008028FE"/>
    <w:rsid w:val="008039E3"/>
    <w:rsid w:val="008049C7"/>
    <w:rsid w:val="008079A3"/>
    <w:rsid w:val="008127AF"/>
    <w:rsid w:val="00812B46"/>
    <w:rsid w:val="008155E1"/>
    <w:rsid w:val="00815700"/>
    <w:rsid w:val="00816999"/>
    <w:rsid w:val="00817B70"/>
    <w:rsid w:val="00820E8D"/>
    <w:rsid w:val="00823A9D"/>
    <w:rsid w:val="008264EB"/>
    <w:rsid w:val="00826B8F"/>
    <w:rsid w:val="0083126B"/>
    <w:rsid w:val="00831E8A"/>
    <w:rsid w:val="00833EEE"/>
    <w:rsid w:val="00835C76"/>
    <w:rsid w:val="00836735"/>
    <w:rsid w:val="00841111"/>
    <w:rsid w:val="00841D68"/>
    <w:rsid w:val="00843049"/>
    <w:rsid w:val="0084319E"/>
    <w:rsid w:val="00844A37"/>
    <w:rsid w:val="008456D2"/>
    <w:rsid w:val="0085209B"/>
    <w:rsid w:val="00856B66"/>
    <w:rsid w:val="00861410"/>
    <w:rsid w:val="00861A5F"/>
    <w:rsid w:val="008644AD"/>
    <w:rsid w:val="00865735"/>
    <w:rsid w:val="00865DDB"/>
    <w:rsid w:val="00866E7B"/>
    <w:rsid w:val="00867538"/>
    <w:rsid w:val="00871505"/>
    <w:rsid w:val="00873D90"/>
    <w:rsid w:val="00873FC8"/>
    <w:rsid w:val="00874F0A"/>
    <w:rsid w:val="00875231"/>
    <w:rsid w:val="00884C63"/>
    <w:rsid w:val="00885908"/>
    <w:rsid w:val="008864B7"/>
    <w:rsid w:val="008873AC"/>
    <w:rsid w:val="0089677E"/>
    <w:rsid w:val="00896E8C"/>
    <w:rsid w:val="008A21E1"/>
    <w:rsid w:val="008A45F0"/>
    <w:rsid w:val="008A7438"/>
    <w:rsid w:val="008A76A5"/>
    <w:rsid w:val="008B1334"/>
    <w:rsid w:val="008B6A47"/>
    <w:rsid w:val="008C0278"/>
    <w:rsid w:val="008C16F2"/>
    <w:rsid w:val="008C24E9"/>
    <w:rsid w:val="008C3CB7"/>
    <w:rsid w:val="008C503B"/>
    <w:rsid w:val="008D0533"/>
    <w:rsid w:val="008D102E"/>
    <w:rsid w:val="008D42CB"/>
    <w:rsid w:val="008D4383"/>
    <w:rsid w:val="008D48C9"/>
    <w:rsid w:val="008D5B79"/>
    <w:rsid w:val="008D6381"/>
    <w:rsid w:val="008E0C77"/>
    <w:rsid w:val="008E12AD"/>
    <w:rsid w:val="008E2684"/>
    <w:rsid w:val="008E4A06"/>
    <w:rsid w:val="008E625F"/>
    <w:rsid w:val="008F1A6D"/>
    <w:rsid w:val="008F264D"/>
    <w:rsid w:val="00900021"/>
    <w:rsid w:val="00905562"/>
    <w:rsid w:val="009074E1"/>
    <w:rsid w:val="009112F7"/>
    <w:rsid w:val="009122AF"/>
    <w:rsid w:val="009127BC"/>
    <w:rsid w:val="00912D54"/>
    <w:rsid w:val="0091389F"/>
    <w:rsid w:val="009153C4"/>
    <w:rsid w:val="009208F7"/>
    <w:rsid w:val="00922517"/>
    <w:rsid w:val="00922722"/>
    <w:rsid w:val="009261E6"/>
    <w:rsid w:val="009268E1"/>
    <w:rsid w:val="00932B1F"/>
    <w:rsid w:val="00935744"/>
    <w:rsid w:val="00945E7F"/>
    <w:rsid w:val="00946664"/>
    <w:rsid w:val="0095405B"/>
    <w:rsid w:val="009557C1"/>
    <w:rsid w:val="00955DAB"/>
    <w:rsid w:val="0095707D"/>
    <w:rsid w:val="00957D1F"/>
    <w:rsid w:val="00960D6E"/>
    <w:rsid w:val="0096468D"/>
    <w:rsid w:val="00964A86"/>
    <w:rsid w:val="009658A1"/>
    <w:rsid w:val="0096625D"/>
    <w:rsid w:val="00972BC1"/>
    <w:rsid w:val="009732E9"/>
    <w:rsid w:val="00974B59"/>
    <w:rsid w:val="00981394"/>
    <w:rsid w:val="0098340B"/>
    <w:rsid w:val="00986830"/>
    <w:rsid w:val="00986AA4"/>
    <w:rsid w:val="00987944"/>
    <w:rsid w:val="009905AE"/>
    <w:rsid w:val="00990F2F"/>
    <w:rsid w:val="009924C3"/>
    <w:rsid w:val="00993102"/>
    <w:rsid w:val="00994DC9"/>
    <w:rsid w:val="0099553E"/>
    <w:rsid w:val="009977B5"/>
    <w:rsid w:val="009A6190"/>
    <w:rsid w:val="009B4415"/>
    <w:rsid w:val="009C0D75"/>
    <w:rsid w:val="009C4A39"/>
    <w:rsid w:val="009C6F10"/>
    <w:rsid w:val="009C75FC"/>
    <w:rsid w:val="009D148F"/>
    <w:rsid w:val="009D209C"/>
    <w:rsid w:val="009D349C"/>
    <w:rsid w:val="009D3D70"/>
    <w:rsid w:val="009D6E4A"/>
    <w:rsid w:val="009E382C"/>
    <w:rsid w:val="009E3E98"/>
    <w:rsid w:val="009E6F7E"/>
    <w:rsid w:val="009E7A57"/>
    <w:rsid w:val="009E7C47"/>
    <w:rsid w:val="009F0DCA"/>
    <w:rsid w:val="009F41CC"/>
    <w:rsid w:val="009F4F6A"/>
    <w:rsid w:val="00A00487"/>
    <w:rsid w:val="00A04084"/>
    <w:rsid w:val="00A04342"/>
    <w:rsid w:val="00A0490C"/>
    <w:rsid w:val="00A072D8"/>
    <w:rsid w:val="00A11D47"/>
    <w:rsid w:val="00A16E36"/>
    <w:rsid w:val="00A20A6B"/>
    <w:rsid w:val="00A23F8F"/>
    <w:rsid w:val="00A24961"/>
    <w:rsid w:val="00A24B10"/>
    <w:rsid w:val="00A25CE3"/>
    <w:rsid w:val="00A260DA"/>
    <w:rsid w:val="00A272A5"/>
    <w:rsid w:val="00A30E9B"/>
    <w:rsid w:val="00A416E6"/>
    <w:rsid w:val="00A439F1"/>
    <w:rsid w:val="00A4512D"/>
    <w:rsid w:val="00A50244"/>
    <w:rsid w:val="00A56F17"/>
    <w:rsid w:val="00A627D7"/>
    <w:rsid w:val="00A656C7"/>
    <w:rsid w:val="00A70598"/>
    <w:rsid w:val="00A705AF"/>
    <w:rsid w:val="00A72454"/>
    <w:rsid w:val="00A7565A"/>
    <w:rsid w:val="00A77696"/>
    <w:rsid w:val="00A80557"/>
    <w:rsid w:val="00A81D33"/>
    <w:rsid w:val="00A83A15"/>
    <w:rsid w:val="00A8544B"/>
    <w:rsid w:val="00A906F4"/>
    <w:rsid w:val="00A930AE"/>
    <w:rsid w:val="00AA0E9E"/>
    <w:rsid w:val="00AA1A95"/>
    <w:rsid w:val="00AA22D9"/>
    <w:rsid w:val="00AA260F"/>
    <w:rsid w:val="00AA2C1D"/>
    <w:rsid w:val="00AB1EE7"/>
    <w:rsid w:val="00AB46D5"/>
    <w:rsid w:val="00AB4B37"/>
    <w:rsid w:val="00AB5762"/>
    <w:rsid w:val="00AC0C70"/>
    <w:rsid w:val="00AC2679"/>
    <w:rsid w:val="00AC4BE4"/>
    <w:rsid w:val="00AC58BC"/>
    <w:rsid w:val="00AC6BF9"/>
    <w:rsid w:val="00AC6EA7"/>
    <w:rsid w:val="00AD05E6"/>
    <w:rsid w:val="00AD0D3F"/>
    <w:rsid w:val="00AD231F"/>
    <w:rsid w:val="00AD3952"/>
    <w:rsid w:val="00AD6DAE"/>
    <w:rsid w:val="00AE1D7D"/>
    <w:rsid w:val="00AE2A8B"/>
    <w:rsid w:val="00AE352F"/>
    <w:rsid w:val="00AE3997"/>
    <w:rsid w:val="00AE3F64"/>
    <w:rsid w:val="00AF7386"/>
    <w:rsid w:val="00AF73C6"/>
    <w:rsid w:val="00AF7934"/>
    <w:rsid w:val="00AF79B4"/>
    <w:rsid w:val="00B00B81"/>
    <w:rsid w:val="00B04580"/>
    <w:rsid w:val="00B04B09"/>
    <w:rsid w:val="00B111CA"/>
    <w:rsid w:val="00B15BD5"/>
    <w:rsid w:val="00B16A51"/>
    <w:rsid w:val="00B20A80"/>
    <w:rsid w:val="00B220DB"/>
    <w:rsid w:val="00B25440"/>
    <w:rsid w:val="00B32222"/>
    <w:rsid w:val="00B35F6E"/>
    <w:rsid w:val="00B3618D"/>
    <w:rsid w:val="00B36233"/>
    <w:rsid w:val="00B419FB"/>
    <w:rsid w:val="00B42851"/>
    <w:rsid w:val="00B45AC7"/>
    <w:rsid w:val="00B469BB"/>
    <w:rsid w:val="00B4738C"/>
    <w:rsid w:val="00B523C4"/>
    <w:rsid w:val="00B5372F"/>
    <w:rsid w:val="00B5649F"/>
    <w:rsid w:val="00B57E0C"/>
    <w:rsid w:val="00B61129"/>
    <w:rsid w:val="00B6134E"/>
    <w:rsid w:val="00B62BBB"/>
    <w:rsid w:val="00B64B40"/>
    <w:rsid w:val="00B65018"/>
    <w:rsid w:val="00B65641"/>
    <w:rsid w:val="00B67E7F"/>
    <w:rsid w:val="00B710FB"/>
    <w:rsid w:val="00B75A04"/>
    <w:rsid w:val="00B82870"/>
    <w:rsid w:val="00B82A74"/>
    <w:rsid w:val="00B839B2"/>
    <w:rsid w:val="00B8406B"/>
    <w:rsid w:val="00B846D0"/>
    <w:rsid w:val="00B90A9D"/>
    <w:rsid w:val="00B94252"/>
    <w:rsid w:val="00B94828"/>
    <w:rsid w:val="00B95CD0"/>
    <w:rsid w:val="00B9715A"/>
    <w:rsid w:val="00BA14BE"/>
    <w:rsid w:val="00BA2732"/>
    <w:rsid w:val="00BA293D"/>
    <w:rsid w:val="00BA49BC"/>
    <w:rsid w:val="00BA529F"/>
    <w:rsid w:val="00BA56B7"/>
    <w:rsid w:val="00BA6628"/>
    <w:rsid w:val="00BA7A1E"/>
    <w:rsid w:val="00BA7CA9"/>
    <w:rsid w:val="00BB2F6C"/>
    <w:rsid w:val="00BB3875"/>
    <w:rsid w:val="00BB5860"/>
    <w:rsid w:val="00BB6AAD"/>
    <w:rsid w:val="00BC1011"/>
    <w:rsid w:val="00BC39F9"/>
    <w:rsid w:val="00BC4A19"/>
    <w:rsid w:val="00BC4E6D"/>
    <w:rsid w:val="00BC508E"/>
    <w:rsid w:val="00BC555C"/>
    <w:rsid w:val="00BD0617"/>
    <w:rsid w:val="00BD0D0D"/>
    <w:rsid w:val="00BD25ED"/>
    <w:rsid w:val="00BD2E9B"/>
    <w:rsid w:val="00BE3A24"/>
    <w:rsid w:val="00BE5F7A"/>
    <w:rsid w:val="00C00930"/>
    <w:rsid w:val="00C04913"/>
    <w:rsid w:val="00C050ED"/>
    <w:rsid w:val="00C060AD"/>
    <w:rsid w:val="00C0670D"/>
    <w:rsid w:val="00C074E3"/>
    <w:rsid w:val="00C113BF"/>
    <w:rsid w:val="00C12CD9"/>
    <w:rsid w:val="00C157DF"/>
    <w:rsid w:val="00C15E43"/>
    <w:rsid w:val="00C16E25"/>
    <w:rsid w:val="00C2176E"/>
    <w:rsid w:val="00C23430"/>
    <w:rsid w:val="00C235E6"/>
    <w:rsid w:val="00C238D6"/>
    <w:rsid w:val="00C26D06"/>
    <w:rsid w:val="00C27D67"/>
    <w:rsid w:val="00C3221F"/>
    <w:rsid w:val="00C3282B"/>
    <w:rsid w:val="00C37ECC"/>
    <w:rsid w:val="00C4631F"/>
    <w:rsid w:val="00C46A02"/>
    <w:rsid w:val="00C50E16"/>
    <w:rsid w:val="00C55258"/>
    <w:rsid w:val="00C57788"/>
    <w:rsid w:val="00C669B8"/>
    <w:rsid w:val="00C7539A"/>
    <w:rsid w:val="00C82EEB"/>
    <w:rsid w:val="00C9000C"/>
    <w:rsid w:val="00C9079B"/>
    <w:rsid w:val="00C95736"/>
    <w:rsid w:val="00C971DC"/>
    <w:rsid w:val="00CA16B7"/>
    <w:rsid w:val="00CA4BE3"/>
    <w:rsid w:val="00CA62AE"/>
    <w:rsid w:val="00CA69AE"/>
    <w:rsid w:val="00CA79CF"/>
    <w:rsid w:val="00CB0A1E"/>
    <w:rsid w:val="00CB5B1A"/>
    <w:rsid w:val="00CC0A9E"/>
    <w:rsid w:val="00CC220B"/>
    <w:rsid w:val="00CC4410"/>
    <w:rsid w:val="00CC5C43"/>
    <w:rsid w:val="00CC794E"/>
    <w:rsid w:val="00CD02AE"/>
    <w:rsid w:val="00CD2A4F"/>
    <w:rsid w:val="00CE03CA"/>
    <w:rsid w:val="00CE22F1"/>
    <w:rsid w:val="00CE48DF"/>
    <w:rsid w:val="00CE50F2"/>
    <w:rsid w:val="00CE6502"/>
    <w:rsid w:val="00CF14A6"/>
    <w:rsid w:val="00CF2E6B"/>
    <w:rsid w:val="00CF7D3C"/>
    <w:rsid w:val="00D0495C"/>
    <w:rsid w:val="00D0779D"/>
    <w:rsid w:val="00D124A9"/>
    <w:rsid w:val="00D13C5B"/>
    <w:rsid w:val="00D147EB"/>
    <w:rsid w:val="00D168D9"/>
    <w:rsid w:val="00D222E2"/>
    <w:rsid w:val="00D22953"/>
    <w:rsid w:val="00D279E8"/>
    <w:rsid w:val="00D34667"/>
    <w:rsid w:val="00D401E1"/>
    <w:rsid w:val="00D408B4"/>
    <w:rsid w:val="00D4187F"/>
    <w:rsid w:val="00D45513"/>
    <w:rsid w:val="00D4568B"/>
    <w:rsid w:val="00D45D94"/>
    <w:rsid w:val="00D524C8"/>
    <w:rsid w:val="00D57044"/>
    <w:rsid w:val="00D60E25"/>
    <w:rsid w:val="00D617D4"/>
    <w:rsid w:val="00D64491"/>
    <w:rsid w:val="00D66563"/>
    <w:rsid w:val="00D70E24"/>
    <w:rsid w:val="00D716B3"/>
    <w:rsid w:val="00D72B61"/>
    <w:rsid w:val="00D928A4"/>
    <w:rsid w:val="00D934EA"/>
    <w:rsid w:val="00D95B4A"/>
    <w:rsid w:val="00D967F7"/>
    <w:rsid w:val="00D96DE9"/>
    <w:rsid w:val="00DA2EF9"/>
    <w:rsid w:val="00DA3D1D"/>
    <w:rsid w:val="00DB0138"/>
    <w:rsid w:val="00DB1028"/>
    <w:rsid w:val="00DB4147"/>
    <w:rsid w:val="00DB46D3"/>
    <w:rsid w:val="00DB6286"/>
    <w:rsid w:val="00DB645F"/>
    <w:rsid w:val="00DB76E9"/>
    <w:rsid w:val="00DC0A67"/>
    <w:rsid w:val="00DC0FC7"/>
    <w:rsid w:val="00DC13D3"/>
    <w:rsid w:val="00DC1D5E"/>
    <w:rsid w:val="00DC2313"/>
    <w:rsid w:val="00DC261C"/>
    <w:rsid w:val="00DC5220"/>
    <w:rsid w:val="00DC6397"/>
    <w:rsid w:val="00DC7910"/>
    <w:rsid w:val="00DD1B7B"/>
    <w:rsid w:val="00DD2061"/>
    <w:rsid w:val="00DD7DAB"/>
    <w:rsid w:val="00DE3355"/>
    <w:rsid w:val="00DE5919"/>
    <w:rsid w:val="00DF02C4"/>
    <w:rsid w:val="00DF486F"/>
    <w:rsid w:val="00DF5B5B"/>
    <w:rsid w:val="00DF7619"/>
    <w:rsid w:val="00E042D8"/>
    <w:rsid w:val="00E06241"/>
    <w:rsid w:val="00E06C3F"/>
    <w:rsid w:val="00E0796C"/>
    <w:rsid w:val="00E07EE7"/>
    <w:rsid w:val="00E1103B"/>
    <w:rsid w:val="00E155E0"/>
    <w:rsid w:val="00E17B44"/>
    <w:rsid w:val="00E222EB"/>
    <w:rsid w:val="00E22887"/>
    <w:rsid w:val="00E25015"/>
    <w:rsid w:val="00E27FEA"/>
    <w:rsid w:val="00E33B02"/>
    <w:rsid w:val="00E34D63"/>
    <w:rsid w:val="00E36C03"/>
    <w:rsid w:val="00E4086F"/>
    <w:rsid w:val="00E43B3C"/>
    <w:rsid w:val="00E50188"/>
    <w:rsid w:val="00E515CB"/>
    <w:rsid w:val="00E51901"/>
    <w:rsid w:val="00E52260"/>
    <w:rsid w:val="00E53738"/>
    <w:rsid w:val="00E5590C"/>
    <w:rsid w:val="00E6011C"/>
    <w:rsid w:val="00E639B6"/>
    <w:rsid w:val="00E6434B"/>
    <w:rsid w:val="00E6463D"/>
    <w:rsid w:val="00E723F5"/>
    <w:rsid w:val="00E72E9B"/>
    <w:rsid w:val="00E82694"/>
    <w:rsid w:val="00E849DA"/>
    <w:rsid w:val="00E911F2"/>
    <w:rsid w:val="00E943A7"/>
    <w:rsid w:val="00E9462E"/>
    <w:rsid w:val="00EA470E"/>
    <w:rsid w:val="00EA47A7"/>
    <w:rsid w:val="00EA57EB"/>
    <w:rsid w:val="00EA5C68"/>
    <w:rsid w:val="00EA738E"/>
    <w:rsid w:val="00EB083C"/>
    <w:rsid w:val="00EB3226"/>
    <w:rsid w:val="00EB600D"/>
    <w:rsid w:val="00EB758F"/>
    <w:rsid w:val="00EC0C3A"/>
    <w:rsid w:val="00EC213A"/>
    <w:rsid w:val="00EC6603"/>
    <w:rsid w:val="00EC7744"/>
    <w:rsid w:val="00ED0DAD"/>
    <w:rsid w:val="00ED0F46"/>
    <w:rsid w:val="00ED2373"/>
    <w:rsid w:val="00EE26E2"/>
    <w:rsid w:val="00EE3E8A"/>
    <w:rsid w:val="00EF555C"/>
    <w:rsid w:val="00EF6ECA"/>
    <w:rsid w:val="00F024E1"/>
    <w:rsid w:val="00F04F07"/>
    <w:rsid w:val="00F06C10"/>
    <w:rsid w:val="00F1096F"/>
    <w:rsid w:val="00F12589"/>
    <w:rsid w:val="00F12595"/>
    <w:rsid w:val="00F12651"/>
    <w:rsid w:val="00F134D9"/>
    <w:rsid w:val="00F1403D"/>
    <w:rsid w:val="00F1463F"/>
    <w:rsid w:val="00F21302"/>
    <w:rsid w:val="00F233A8"/>
    <w:rsid w:val="00F251D9"/>
    <w:rsid w:val="00F258F2"/>
    <w:rsid w:val="00F321DE"/>
    <w:rsid w:val="00F33777"/>
    <w:rsid w:val="00F34C3F"/>
    <w:rsid w:val="00F3567C"/>
    <w:rsid w:val="00F40648"/>
    <w:rsid w:val="00F42F2F"/>
    <w:rsid w:val="00F4524D"/>
    <w:rsid w:val="00F457F8"/>
    <w:rsid w:val="00F47DA2"/>
    <w:rsid w:val="00F519FC"/>
    <w:rsid w:val="00F520F4"/>
    <w:rsid w:val="00F53E0D"/>
    <w:rsid w:val="00F56747"/>
    <w:rsid w:val="00F56D0E"/>
    <w:rsid w:val="00F60A6A"/>
    <w:rsid w:val="00F6239D"/>
    <w:rsid w:val="00F64532"/>
    <w:rsid w:val="00F64715"/>
    <w:rsid w:val="00F677D8"/>
    <w:rsid w:val="00F715D2"/>
    <w:rsid w:val="00F721C8"/>
    <w:rsid w:val="00F7274F"/>
    <w:rsid w:val="00F738E3"/>
    <w:rsid w:val="00F76FA8"/>
    <w:rsid w:val="00F81A64"/>
    <w:rsid w:val="00F863F5"/>
    <w:rsid w:val="00F90648"/>
    <w:rsid w:val="00F93F08"/>
    <w:rsid w:val="00F94CED"/>
    <w:rsid w:val="00F951D8"/>
    <w:rsid w:val="00FA2CEE"/>
    <w:rsid w:val="00FA318C"/>
    <w:rsid w:val="00FA6B1C"/>
    <w:rsid w:val="00FA6C8A"/>
    <w:rsid w:val="00FB23AB"/>
    <w:rsid w:val="00FB6F92"/>
    <w:rsid w:val="00FB7967"/>
    <w:rsid w:val="00FC026E"/>
    <w:rsid w:val="00FC5124"/>
    <w:rsid w:val="00FD1C4C"/>
    <w:rsid w:val="00FD4731"/>
    <w:rsid w:val="00FD5154"/>
    <w:rsid w:val="00FD77C4"/>
    <w:rsid w:val="00FE098C"/>
    <w:rsid w:val="00FE1107"/>
    <w:rsid w:val="00FE5FD2"/>
    <w:rsid w:val="00FE75C2"/>
    <w:rsid w:val="00FF0AB0"/>
    <w:rsid w:val="00FF16CE"/>
    <w:rsid w:val="00FF2729"/>
    <w:rsid w:val="00FF28AC"/>
    <w:rsid w:val="00FF398E"/>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D0E99"/>
    <w:pPr>
      <w:spacing w:before="120" w:after="120"/>
    </w:pPr>
    <w:rPr>
      <w:rFonts w:ascii="Calibri" w:hAnsi="Calibri"/>
      <w:sz w:val="22"/>
      <w:szCs w:val="24"/>
      <w:lang w:eastAsia="en-US"/>
    </w:rPr>
  </w:style>
  <w:style w:type="paragraph" w:styleId="Heading1">
    <w:name w:val="heading 1"/>
    <w:basedOn w:val="Normal"/>
    <w:next w:val="Paragraphtext"/>
    <w:link w:val="Heading1Char"/>
    <w:qFormat/>
    <w:rsid w:val="003B7C78"/>
    <w:pPr>
      <w:keepNext/>
      <w:numPr>
        <w:numId w:val="54"/>
      </w:numPr>
      <w:spacing w:before="240" w:after="60"/>
      <w:outlineLvl w:val="0"/>
    </w:pPr>
    <w:rPr>
      <w:rFonts w:cs="Arial"/>
      <w:bCs/>
      <w:color w:val="3F4A75"/>
      <w:kern w:val="28"/>
      <w:sz w:val="36"/>
      <w:szCs w:val="36"/>
    </w:rPr>
  </w:style>
  <w:style w:type="paragraph" w:styleId="Heading2">
    <w:name w:val="heading 2"/>
    <w:basedOn w:val="Heading1"/>
    <w:next w:val="Paragraphtext"/>
    <w:link w:val="Heading2Char"/>
    <w:qFormat/>
    <w:rsid w:val="009127BC"/>
    <w:pPr>
      <w:numPr>
        <w:ilvl w:val="1"/>
      </w:numPr>
      <w:outlineLvl w:val="1"/>
    </w:pPr>
    <w:rPr>
      <w:rFonts w:ascii="Arial" w:hAnsi="Arial"/>
      <w:bCs w:val="0"/>
      <w:iCs/>
      <w:color w:val="358189"/>
      <w:sz w:val="32"/>
      <w:szCs w:val="28"/>
    </w:rPr>
  </w:style>
  <w:style w:type="paragraph" w:styleId="Heading3">
    <w:name w:val="heading 3"/>
    <w:basedOn w:val="Heading2"/>
    <w:next w:val="Normal"/>
    <w:qFormat/>
    <w:rsid w:val="00C7539A"/>
    <w:pPr>
      <w:numPr>
        <w:ilvl w:val="2"/>
      </w:numPr>
      <w:spacing w:before="180"/>
      <w:ind w:left="993" w:hanging="993"/>
      <w:outlineLvl w:val="2"/>
    </w:pPr>
    <w:rPr>
      <w:bCs/>
      <w:sz w:val="24"/>
      <w:szCs w:val="26"/>
    </w:rPr>
  </w:style>
  <w:style w:type="paragraph" w:styleId="Heading4">
    <w:name w:val="heading 4"/>
    <w:basedOn w:val="Normal"/>
    <w:next w:val="Normal"/>
    <w:qFormat/>
    <w:rsid w:val="00027071"/>
    <w:pPr>
      <w:keepNext/>
      <w:numPr>
        <w:ilvl w:val="3"/>
        <w:numId w:val="54"/>
      </w:numPr>
      <w:spacing w:before="240" w:after="60"/>
      <w:outlineLvl w:val="3"/>
    </w:pPr>
    <w:rPr>
      <w:b/>
      <w:bCs/>
      <w:i/>
      <w:color w:val="414141"/>
      <w:sz w:val="24"/>
      <w:szCs w:val="28"/>
    </w:rPr>
  </w:style>
  <w:style w:type="paragraph" w:styleId="Heading5">
    <w:name w:val="heading 5"/>
    <w:basedOn w:val="Normal"/>
    <w:next w:val="Normal"/>
    <w:rsid w:val="00A705AF"/>
    <w:pPr>
      <w:keepNext/>
      <w:numPr>
        <w:ilvl w:val="4"/>
        <w:numId w:val="54"/>
      </w:numPr>
      <w:spacing w:before="240" w:after="60"/>
      <w:outlineLvl w:val="4"/>
    </w:pPr>
    <w:rPr>
      <w:b/>
      <w:bCs/>
      <w:iCs/>
      <w:szCs w:val="26"/>
    </w:rPr>
  </w:style>
  <w:style w:type="paragraph" w:styleId="Heading6">
    <w:name w:val="heading 6"/>
    <w:basedOn w:val="Normal"/>
    <w:next w:val="Normal"/>
    <w:rsid w:val="00A705AF"/>
    <w:pPr>
      <w:keepNext/>
      <w:numPr>
        <w:ilvl w:val="5"/>
        <w:numId w:val="54"/>
      </w:numPr>
      <w:spacing w:before="240" w:after="60"/>
      <w:outlineLvl w:val="5"/>
    </w:pPr>
    <w:rPr>
      <w:b/>
      <w:bCs/>
      <w:i/>
      <w:szCs w:val="22"/>
    </w:rPr>
  </w:style>
  <w:style w:type="paragraph" w:styleId="Heading7">
    <w:name w:val="heading 7"/>
    <w:basedOn w:val="Normal"/>
    <w:next w:val="Normal"/>
    <w:link w:val="Heading7Char"/>
    <w:semiHidden/>
    <w:unhideWhenUsed/>
    <w:rsid w:val="003B7C78"/>
    <w:pPr>
      <w:keepNext/>
      <w:keepLines/>
      <w:numPr>
        <w:ilvl w:val="6"/>
        <w:numId w:val="54"/>
      </w:numPr>
      <w:spacing w:before="40" w:after="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semiHidden/>
    <w:unhideWhenUsed/>
    <w:qFormat/>
    <w:rsid w:val="00BC508E"/>
    <w:pPr>
      <w:keepNext/>
      <w:keepLines/>
      <w:numPr>
        <w:ilvl w:val="7"/>
        <w:numId w:val="5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7C78"/>
    <w:pPr>
      <w:keepNext/>
      <w:keepLines/>
      <w:numPr>
        <w:ilvl w:val="8"/>
        <w:numId w:val="5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3B7C78"/>
    <w:pPr>
      <w:contextualSpacing/>
      <w:jc w:val="center"/>
    </w:pPr>
    <w:rPr>
      <w:rFonts w:eastAsiaTheme="majorEastAsia" w:cstheme="majorBidi"/>
      <w:b/>
      <w:color w:val="3F4A75"/>
      <w:kern w:val="28"/>
      <w:sz w:val="48"/>
      <w:szCs w:val="52"/>
    </w:rPr>
  </w:style>
  <w:style w:type="character" w:customStyle="1" w:styleId="TitleChar">
    <w:name w:val="Title Char"/>
    <w:basedOn w:val="DefaultParagraphFont"/>
    <w:link w:val="Title"/>
    <w:rsid w:val="003B7C78"/>
    <w:rPr>
      <w:rFonts w:ascii="Calibri" w:eastAsiaTheme="majorEastAsia" w:hAnsi="Calibri" w:cstheme="majorBidi"/>
      <w:b/>
      <w:color w:val="3F4A75"/>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B65018"/>
    <w:pPr>
      <w:numPr>
        <w:numId w:val="16"/>
      </w:numPr>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C7539A"/>
    <w:pPr>
      <w:numPr>
        <w:numId w:val="17"/>
      </w:numPr>
      <w:spacing w:after="60"/>
      <w:ind w:left="527" w:hanging="357"/>
    </w:pPr>
    <w:rPr>
      <w:color w:val="000000" w:themeColor="text1"/>
    </w:rPr>
  </w:style>
  <w:style w:type="paragraph" w:customStyle="1" w:styleId="Headingnonumbering">
    <w:name w:val="Heading (no numbering)"/>
    <w:link w:val="HeadingnonumberingChar"/>
    <w:qFormat/>
    <w:rsid w:val="001D6018"/>
    <w:pPr>
      <w:outlineLvl w:val="0"/>
    </w:pPr>
    <w:rPr>
      <w:rFonts w:ascii="Calibri" w:hAnsi="Calibri"/>
      <w:color w:val="3F4A75" w:themeColor="text2"/>
      <w:sz w:val="36"/>
      <w:szCs w:val="24"/>
      <w:lang w:eastAsia="en-US"/>
    </w:r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C7539A"/>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StylePr>
    <w:tblStylePr w:type="lastRow">
      <w:rPr>
        <w:b/>
      </w:rPr>
    </w:tblStylePr>
    <w:tblStylePr w:type="firstCol">
      <w:rPr>
        <w:rFonts w:ascii="Calibri" w:hAnsi="Calibri"/>
        <w:b/>
        <w:sz w:val="22"/>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B65018"/>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styleId="FollowedHyperlink">
    <w:name w:val="FollowedHyperlink"/>
    <w:basedOn w:val="DefaultParagraphFont"/>
    <w:semiHidden/>
    <w:unhideWhenUsed/>
    <w:rsid w:val="006D77A5"/>
    <w:rPr>
      <w:color w:val="800080" w:themeColor="followedHyperlink"/>
      <w:u w:val="single"/>
    </w:rPr>
  </w:style>
  <w:style w:type="paragraph" w:customStyle="1" w:styleId="DefaultText">
    <w:name w:val="Default Text"/>
    <w:basedOn w:val="Normal"/>
    <w:rsid w:val="00041C84"/>
    <w:pPr>
      <w:autoSpaceDE w:val="0"/>
      <w:autoSpaceDN w:val="0"/>
      <w:adjustRightInd w:val="0"/>
    </w:pPr>
    <w:rPr>
      <w:rFonts w:ascii="Times New Roman" w:hAnsi="Times New Roman"/>
      <w:sz w:val="24"/>
    </w:rPr>
  </w:style>
  <w:style w:type="paragraph" w:styleId="TOCHeading">
    <w:name w:val="TOC Heading"/>
    <w:next w:val="Normal"/>
    <w:uiPriority w:val="39"/>
    <w:unhideWhenUsed/>
    <w:qFormat/>
    <w:rsid w:val="001D6018"/>
    <w:pPr>
      <w:keepLines/>
      <w:spacing w:line="259" w:lineRule="auto"/>
    </w:pPr>
    <w:rPr>
      <w:rFonts w:ascii="Calibri" w:eastAsiaTheme="majorEastAsia" w:hAnsi="Calibri" w:cstheme="majorBidi"/>
      <w:color w:val="2F3757" w:themeColor="accent1" w:themeShade="BF"/>
      <w:sz w:val="32"/>
      <w:szCs w:val="32"/>
      <w:lang w:val="en-US" w:eastAsia="en-US"/>
    </w:rPr>
  </w:style>
  <w:style w:type="paragraph" w:styleId="TOC1">
    <w:name w:val="toc 1"/>
    <w:basedOn w:val="Normal"/>
    <w:next w:val="Normal"/>
    <w:autoRedefine/>
    <w:uiPriority w:val="39"/>
    <w:unhideWhenUsed/>
    <w:rsid w:val="001D6018"/>
    <w:pPr>
      <w:tabs>
        <w:tab w:val="left" w:pos="440"/>
        <w:tab w:val="right" w:leader="dot" w:pos="9346"/>
      </w:tabs>
      <w:spacing w:after="100"/>
    </w:pPr>
  </w:style>
  <w:style w:type="paragraph" w:styleId="TOC3">
    <w:name w:val="toc 3"/>
    <w:basedOn w:val="Normal"/>
    <w:next w:val="Normal"/>
    <w:autoRedefine/>
    <w:uiPriority w:val="39"/>
    <w:unhideWhenUsed/>
    <w:rsid w:val="008155E1"/>
    <w:pPr>
      <w:tabs>
        <w:tab w:val="right" w:leader="dot" w:pos="9346"/>
      </w:tabs>
      <w:spacing w:after="100"/>
      <w:ind w:left="440"/>
    </w:pPr>
  </w:style>
  <w:style w:type="character" w:customStyle="1" w:styleId="HeadingnonumberingChar">
    <w:name w:val="Heading (no numbering) Char"/>
    <w:basedOn w:val="DefaultParagraphFont"/>
    <w:link w:val="Headingnonumbering"/>
    <w:rsid w:val="001D6018"/>
    <w:rPr>
      <w:rFonts w:ascii="Calibri" w:hAnsi="Calibri"/>
      <w:color w:val="3F4A75" w:themeColor="text2"/>
      <w:sz w:val="36"/>
      <w:szCs w:val="24"/>
      <w:lang w:eastAsia="en-US"/>
    </w:rPr>
  </w:style>
  <w:style w:type="character" w:customStyle="1" w:styleId="Heading1Char">
    <w:name w:val="Heading 1 Char"/>
    <w:link w:val="Heading1"/>
    <w:rsid w:val="003B7C78"/>
    <w:rPr>
      <w:rFonts w:ascii="Calibri" w:hAnsi="Calibri" w:cs="Arial"/>
      <w:bCs/>
      <w:color w:val="3F4A75"/>
      <w:kern w:val="28"/>
      <w:sz w:val="36"/>
      <w:szCs w:val="36"/>
      <w:lang w:eastAsia="en-US"/>
    </w:rPr>
  </w:style>
  <w:style w:type="character" w:customStyle="1" w:styleId="Heading8Char">
    <w:name w:val="Heading 8 Char"/>
    <w:basedOn w:val="DefaultParagraphFont"/>
    <w:link w:val="Heading8"/>
    <w:rsid w:val="00BC508E"/>
    <w:rPr>
      <w:rFonts w:asciiTheme="majorHAnsi" w:eastAsiaTheme="majorEastAsia" w:hAnsiTheme="majorHAnsi" w:cstheme="majorBidi"/>
      <w:color w:val="272727" w:themeColor="text1" w:themeTint="D8"/>
      <w:sz w:val="21"/>
      <w:szCs w:val="21"/>
      <w:lang w:eastAsia="en-US"/>
    </w:rPr>
  </w:style>
  <w:style w:type="paragraph" w:customStyle="1" w:styleId="DepartmentalNormal">
    <w:name w:val="Departmental Normal"/>
    <w:basedOn w:val="Normal"/>
    <w:rsid w:val="00BC508E"/>
    <w:rPr>
      <w:rFonts w:ascii="Times New Roman" w:hAnsi="Times New Roman"/>
      <w:sz w:val="24"/>
      <w:szCs w:val="20"/>
      <w:lang w:eastAsia="en-AU"/>
    </w:rPr>
  </w:style>
  <w:style w:type="paragraph" w:styleId="TOC2">
    <w:name w:val="toc 2"/>
    <w:basedOn w:val="Normal"/>
    <w:next w:val="Normal"/>
    <w:autoRedefine/>
    <w:uiPriority w:val="39"/>
    <w:unhideWhenUsed/>
    <w:rsid w:val="0053366C"/>
    <w:pPr>
      <w:tabs>
        <w:tab w:val="right" w:leader="dot" w:pos="9346"/>
      </w:tabs>
      <w:spacing w:after="100"/>
      <w:ind w:left="220"/>
    </w:pPr>
  </w:style>
  <w:style w:type="character" w:styleId="CommentReference">
    <w:name w:val="annotation reference"/>
    <w:basedOn w:val="DefaultParagraphFont"/>
    <w:semiHidden/>
    <w:unhideWhenUsed/>
    <w:rsid w:val="00B6134E"/>
    <w:rPr>
      <w:sz w:val="16"/>
      <w:szCs w:val="16"/>
    </w:rPr>
  </w:style>
  <w:style w:type="paragraph" w:styleId="CommentText">
    <w:name w:val="annotation text"/>
    <w:basedOn w:val="Normal"/>
    <w:link w:val="CommentTextChar"/>
    <w:unhideWhenUsed/>
    <w:rsid w:val="00B6134E"/>
    <w:rPr>
      <w:sz w:val="20"/>
      <w:szCs w:val="20"/>
    </w:rPr>
  </w:style>
  <w:style w:type="character" w:customStyle="1" w:styleId="CommentTextChar">
    <w:name w:val="Comment Text Char"/>
    <w:basedOn w:val="DefaultParagraphFont"/>
    <w:link w:val="CommentText"/>
    <w:rsid w:val="00B6134E"/>
    <w:rPr>
      <w:rFonts w:ascii="Arial" w:hAnsi="Arial"/>
      <w:lang w:eastAsia="en-US"/>
    </w:rPr>
  </w:style>
  <w:style w:type="paragraph" w:styleId="CommentSubject">
    <w:name w:val="annotation subject"/>
    <w:basedOn w:val="CommentText"/>
    <w:next w:val="CommentText"/>
    <w:link w:val="CommentSubjectChar"/>
    <w:semiHidden/>
    <w:unhideWhenUsed/>
    <w:rsid w:val="00B6134E"/>
    <w:rPr>
      <w:b/>
      <w:bCs/>
    </w:rPr>
  </w:style>
  <w:style w:type="character" w:customStyle="1" w:styleId="CommentSubjectChar">
    <w:name w:val="Comment Subject Char"/>
    <w:basedOn w:val="CommentTextChar"/>
    <w:link w:val="CommentSubject"/>
    <w:semiHidden/>
    <w:rsid w:val="00B6134E"/>
    <w:rPr>
      <w:rFonts w:ascii="Arial" w:hAnsi="Arial"/>
      <w:b/>
      <w:bCs/>
      <w:lang w:eastAsia="en-US"/>
    </w:rPr>
  </w:style>
  <w:style w:type="paragraph" w:styleId="Revision">
    <w:name w:val="Revision"/>
    <w:hidden/>
    <w:uiPriority w:val="99"/>
    <w:semiHidden/>
    <w:rsid w:val="00E5590C"/>
    <w:rPr>
      <w:rFonts w:ascii="Arial" w:hAnsi="Arial"/>
      <w:sz w:val="22"/>
      <w:szCs w:val="24"/>
      <w:lang w:eastAsia="en-US"/>
    </w:rPr>
  </w:style>
  <w:style w:type="character" w:styleId="UnresolvedMention">
    <w:name w:val="Unresolved Mention"/>
    <w:basedOn w:val="DefaultParagraphFont"/>
    <w:uiPriority w:val="99"/>
    <w:semiHidden/>
    <w:unhideWhenUsed/>
    <w:rsid w:val="00E53738"/>
    <w:rPr>
      <w:color w:val="605E5C"/>
      <w:shd w:val="clear" w:color="auto" w:fill="E1DFDD"/>
    </w:rPr>
  </w:style>
  <w:style w:type="character" w:styleId="PlaceholderText">
    <w:name w:val="Placeholder Text"/>
    <w:basedOn w:val="DefaultParagraphFont"/>
    <w:uiPriority w:val="99"/>
    <w:semiHidden/>
    <w:rsid w:val="00B65018"/>
    <w:rPr>
      <w:color w:val="808080"/>
    </w:rPr>
  </w:style>
  <w:style w:type="paragraph" w:styleId="ListNumber">
    <w:name w:val="List Number"/>
    <w:basedOn w:val="Normal"/>
    <w:rsid w:val="003B7C78"/>
    <w:pPr>
      <w:numPr>
        <w:numId w:val="51"/>
      </w:numPr>
      <w:ind w:left="357" w:hanging="357"/>
    </w:pPr>
  </w:style>
  <w:style w:type="paragraph" w:customStyle="1" w:styleId="Heading2nonumbering">
    <w:name w:val="Heading 2 (no numbering)"/>
    <w:basedOn w:val="Headingnonumbering"/>
    <w:link w:val="Heading2nonumberingChar"/>
    <w:qFormat/>
    <w:rsid w:val="00B8406B"/>
    <w:rPr>
      <w:b/>
      <w:sz w:val="24"/>
    </w:rPr>
  </w:style>
  <w:style w:type="character" w:customStyle="1" w:styleId="Heading2Char">
    <w:name w:val="Heading 2 Char"/>
    <w:basedOn w:val="DefaultParagraphFont"/>
    <w:link w:val="Heading2"/>
    <w:rsid w:val="00B8406B"/>
    <w:rPr>
      <w:rFonts w:ascii="Arial" w:hAnsi="Arial" w:cs="Arial"/>
      <w:iCs/>
      <w:color w:val="358189"/>
      <w:kern w:val="28"/>
      <w:sz w:val="32"/>
      <w:szCs w:val="28"/>
      <w:lang w:eastAsia="en-US"/>
    </w:rPr>
  </w:style>
  <w:style w:type="character" w:customStyle="1" w:styleId="Heading2nonumberingChar">
    <w:name w:val="Heading 2 (no numbering) Char"/>
    <w:basedOn w:val="Heading2Char"/>
    <w:link w:val="Heading2nonumbering"/>
    <w:rsid w:val="00B8406B"/>
    <w:rPr>
      <w:rFonts w:ascii="Calibri" w:hAnsi="Calibri" w:cs="Arial"/>
      <w:b/>
      <w:bCs/>
      <w:iCs w:val="0"/>
      <w:color w:val="3F4A75" w:themeColor="text2"/>
      <w:kern w:val="28"/>
      <w:sz w:val="24"/>
      <w:szCs w:val="24"/>
      <w:lang w:eastAsia="en-US"/>
    </w:rPr>
  </w:style>
  <w:style w:type="character" w:customStyle="1" w:styleId="Heading7Char">
    <w:name w:val="Heading 7 Char"/>
    <w:basedOn w:val="DefaultParagraphFont"/>
    <w:link w:val="Heading7"/>
    <w:semiHidden/>
    <w:rsid w:val="003B7C78"/>
    <w:rPr>
      <w:rFonts w:asciiTheme="majorHAnsi" w:eastAsiaTheme="majorEastAsia" w:hAnsiTheme="majorHAnsi" w:cstheme="majorBidi"/>
      <w:i/>
      <w:iCs/>
      <w:color w:val="1F243A" w:themeColor="accent1" w:themeShade="7F"/>
      <w:sz w:val="22"/>
      <w:szCs w:val="24"/>
      <w:lang w:eastAsia="en-US"/>
    </w:rPr>
  </w:style>
  <w:style w:type="character" w:customStyle="1" w:styleId="Heading9Char">
    <w:name w:val="Heading 9 Char"/>
    <w:basedOn w:val="DefaultParagraphFont"/>
    <w:link w:val="Heading9"/>
    <w:semiHidden/>
    <w:rsid w:val="003B7C78"/>
    <w:rPr>
      <w:rFonts w:asciiTheme="majorHAnsi" w:eastAsiaTheme="majorEastAsia" w:hAnsiTheme="majorHAnsi" w:cstheme="majorBidi"/>
      <w:i/>
      <w:iCs/>
      <w:color w:val="272727" w:themeColor="text1" w:themeTint="D8"/>
      <w:sz w:val="21"/>
      <w:szCs w:val="21"/>
      <w:lang w:eastAsia="en-US"/>
    </w:rPr>
  </w:style>
  <w:style w:type="paragraph" w:styleId="ListBullet3">
    <w:name w:val="List Bullet 3"/>
    <w:basedOn w:val="ListBullet"/>
    <w:unhideWhenUsed/>
    <w:rsid w:val="003B7C78"/>
    <w:pPr>
      <w:numPr>
        <w:numId w:val="55"/>
      </w:numPr>
      <w:spacing w:after="120"/>
      <w:ind w:left="357" w:hanging="357"/>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naccho.org.au/about/naccho-affiliat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to.gov.au/" TargetMode="Externa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accho.org.au/about/naccho-affiliates/" TargetMode="External"/><Relationship Id="rId25" Type="http://schemas.openxmlformats.org/officeDocument/2006/relationships/header" Target="header5.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naccho.org.au/about/naccho-affiliates/" TargetMode="External"/><Relationship Id="rId20" Type="http://schemas.openxmlformats.org/officeDocument/2006/relationships/hyperlink" Target="http://www.doctorconnect.gov.au/locato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ccho.org.au/about/naccho-affiliates/" TargetMode="External"/><Relationship Id="rId23" Type="http://schemas.openxmlformats.org/officeDocument/2006/relationships/hyperlink" Target="https://www.ato.gov.au/" TargetMode="External"/><Relationship Id="rId28" Type="http://schemas.openxmlformats.org/officeDocument/2006/relationships/header" Target="header6.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otitismediaguidelines.com/resources/Guideline/OtitisMediaGuidelinesforAboriginalchildren_2020.pdf"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osingthegap.gov.au/national-agreement-closing-gap-glance" TargetMode="External"/><Relationship Id="rId22" Type="http://schemas.openxmlformats.org/officeDocument/2006/relationships/hyperlink" Target="https://www.ato.gov.au/" TargetMode="External"/><Relationship Id="rId27" Type="http://schemas.openxmlformats.org/officeDocument/2006/relationships/footer" Target="footer2.xml"/><Relationship Id="rId30" Type="http://schemas.openxmlformats.org/officeDocument/2006/relationships/hyperlink" Target="http://www.mbsonline.gov.au/internet/mbsonline/publishing.nsf/Content/Home"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DEAFD9C-F3AC-4FEF-99AE-BB56895734DB}"/>
      </w:docPartPr>
      <w:docPartBody>
        <w:p w:rsidR="00C44E37" w:rsidRDefault="00F0342F">
          <w:r w:rsidRPr="00D0148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2F"/>
    <w:rsid w:val="003029B2"/>
    <w:rsid w:val="00827290"/>
    <w:rsid w:val="00C44E37"/>
    <w:rsid w:val="00F03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4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Props1.xml><?xml version="1.0" encoding="utf-8"?>
<ds:datastoreItem xmlns:ds="http://schemas.openxmlformats.org/officeDocument/2006/customXml" ds:itemID="{DD262754-3E29-4635-9660-4CE288036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D1C1C-F920-490D-96C7-79FB195FD559}">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6850</Words>
  <Characters>41243</Characters>
  <Application>Microsoft Office Word</Application>
  <DocSecurity>0</DocSecurity>
  <Lines>877</Lines>
  <Paragraphs>586</Paragraphs>
  <ScaleCrop>false</ScaleCrop>
  <HeadingPairs>
    <vt:vector size="2" baseType="variant">
      <vt:variant>
        <vt:lpstr>Title</vt:lpstr>
      </vt:variant>
      <vt:variant>
        <vt:i4>1</vt:i4>
      </vt:variant>
    </vt:vector>
  </HeadingPairs>
  <TitlesOfParts>
    <vt:vector size="1" baseType="lpstr">
      <vt:lpstr>Outreach Service Delivery Standards - consultation draft November 2023</vt:lpstr>
    </vt:vector>
  </TitlesOfParts>
  <Company/>
  <LinksUpToDate>false</LinksUpToDate>
  <CharactersWithSpaces>47507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Programs Service Delivery Standards</dc:title>
  <dc:subject>Aboriginal and Torres Strait Islander health </dc:subject>
  <dc:creator>Australian Government Department of Health and Aged Care</dc:creator>
  <cp:keywords>Indigenous Australians' Health Programme</cp:keywords>
  <cp:lastModifiedBy>Australian Government Department of Health and Aged </cp:lastModifiedBy>
  <cp:revision>7</cp:revision>
  <cp:lastPrinted>2024-04-16T22:19:00Z</cp:lastPrinted>
  <dcterms:created xsi:type="dcterms:W3CDTF">2024-04-18T00:01:00Z</dcterms:created>
  <dcterms:modified xsi:type="dcterms:W3CDTF">2024-04-18T00:28:00Z</dcterms:modified>
</cp:coreProperties>
</file>