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85AF" w14:textId="155C87EA" w:rsidR="00762BD6" w:rsidRDefault="005E7AEE" w:rsidP="004F15D2">
      <w:pPr>
        <w:pStyle w:val="Heading4"/>
        <w:rPr>
          <w:rFonts w:ascii="Calibri" w:hAnsi="Calibri" w:cs="Calibri"/>
          <w:b w:val="0"/>
          <w:i w:val="0"/>
          <w:iCs/>
          <w:color w:val="4472C4"/>
          <w:sz w:val="32"/>
          <w:szCs w:val="32"/>
          <w14:textFill>
            <w14:solidFill>
              <w14:srgbClr w14:val="4472C4">
                <w14:lumMod w14:val="75000"/>
              </w14:srgbClr>
            </w14:solidFill>
          </w14:textFill>
        </w:rPr>
      </w:pPr>
      <w:r>
        <w:rPr>
          <w:rFonts w:ascii="Calibri" w:hAnsi="Calibri" w:cs="Calibri"/>
          <w:b w:val="0"/>
          <w:i w:val="0"/>
          <w:iCs/>
          <w:color w:val="4472C4"/>
          <w:sz w:val="32"/>
          <w:szCs w:val="32"/>
          <w14:textFill>
            <w14:solidFill>
              <w14:srgbClr w14:val="4472C4">
                <w14:lumMod w14:val="75000"/>
              </w14:srgbClr>
            </w14:solidFill>
          </w14:textFill>
        </w:rPr>
        <w:t xml:space="preserve">Section 19AB - </w:t>
      </w:r>
      <w:r w:rsidR="004F15D2">
        <w:rPr>
          <w:rFonts w:ascii="Calibri" w:hAnsi="Calibri" w:cs="Calibri"/>
          <w:b w:val="0"/>
          <w:i w:val="0"/>
          <w:iCs/>
          <w:color w:val="4472C4"/>
          <w:sz w:val="32"/>
          <w:szCs w:val="32"/>
          <w14:textFill>
            <w14:solidFill>
              <w14:srgbClr w14:val="4472C4">
                <w14:lumMod w14:val="75000"/>
              </w14:srgbClr>
            </w14:solidFill>
          </w14:textFill>
        </w:rPr>
        <w:t xml:space="preserve">Access to Medicare </w:t>
      </w:r>
      <w:r w:rsidR="00466E37">
        <w:rPr>
          <w:rFonts w:ascii="Calibri" w:hAnsi="Calibri" w:cs="Calibri"/>
          <w:b w:val="0"/>
          <w:i w:val="0"/>
          <w:iCs/>
          <w:color w:val="4472C4"/>
          <w:sz w:val="32"/>
          <w:szCs w:val="32"/>
          <w14:textFill>
            <w14:solidFill>
              <w14:srgbClr w14:val="4472C4">
                <w14:lumMod w14:val="75000"/>
              </w14:srgbClr>
            </w14:solidFill>
          </w14:textFill>
        </w:rPr>
        <w:t>Provider Numbers for Overseas Trained Doctors</w:t>
      </w:r>
      <w:r w:rsidR="00762BD6">
        <w:rPr>
          <w:rFonts w:ascii="Calibri" w:hAnsi="Calibri" w:cs="Calibri"/>
          <w:b w:val="0"/>
          <w:i w:val="0"/>
          <w:iCs/>
          <w:color w:val="4472C4"/>
          <w:sz w:val="32"/>
          <w:szCs w:val="32"/>
          <w14:textFill>
            <w14:solidFill>
              <w14:srgbClr w14:val="4472C4">
                <w14:lumMod w14:val="75000"/>
              </w14:srgbClr>
            </w14:solidFill>
          </w14:textFill>
        </w:rPr>
        <w:t xml:space="preserve">   </w:t>
      </w:r>
      <w:bookmarkStart w:id="0" w:name="_Hlk80365607"/>
    </w:p>
    <w:p w14:paraId="705F7A78" w14:textId="463F49DD" w:rsidR="004F15D2" w:rsidRPr="004F15D2" w:rsidRDefault="004F15D2" w:rsidP="004F15D2">
      <w:pPr>
        <w:pStyle w:val="Heading4"/>
        <w:rPr>
          <w:b w:val="0"/>
          <w:i w:val="0"/>
          <w:iCs/>
          <w:color w:val="0078BF" w:themeColor="accent3"/>
        </w:rPr>
      </w:pPr>
      <w:r w:rsidRPr="004F15D2">
        <w:rPr>
          <w:rFonts w:ascii="Calibri" w:hAnsi="Calibri" w:cs="Calibri"/>
          <w:b w:val="0"/>
          <w:i w:val="0"/>
          <w:iCs/>
          <w:color w:val="4472C4"/>
          <w:sz w:val="26"/>
          <w:szCs w:val="26"/>
          <w14:textFill>
            <w14:solidFill>
              <w14:srgbClr w14:val="4472C4">
                <w14:lumMod w14:val="75000"/>
              </w14:srgbClr>
            </w14:solidFill>
          </w14:textFill>
        </w:rPr>
        <w:t>What is section 19AB</w:t>
      </w:r>
      <w:r w:rsidR="00533004">
        <w:rPr>
          <w:rFonts w:ascii="Calibri" w:hAnsi="Calibri" w:cs="Calibri"/>
          <w:b w:val="0"/>
          <w:i w:val="0"/>
          <w:iCs/>
          <w:color w:val="4472C4"/>
          <w:sz w:val="26"/>
          <w:szCs w:val="26"/>
          <w14:textFill>
            <w14:solidFill>
              <w14:srgbClr w14:val="4472C4">
                <w14:lumMod w14:val="75000"/>
              </w14:srgbClr>
            </w14:solidFill>
          </w14:textFill>
        </w:rPr>
        <w:t>?</w:t>
      </w:r>
    </w:p>
    <w:bookmarkEnd w:id="0"/>
    <w:p w14:paraId="30198934" w14:textId="0036D3F7" w:rsidR="00957C87" w:rsidRDefault="00762BD6" w:rsidP="00600AC9">
      <w:r>
        <w:t xml:space="preserve">Section </w:t>
      </w:r>
      <w:r w:rsidR="00600AC9" w:rsidRPr="00600AC9">
        <w:t xml:space="preserve">19AB(1) </w:t>
      </w:r>
      <w:r w:rsidR="00187FB8" w:rsidRPr="006A6DD5">
        <w:t xml:space="preserve">of </w:t>
      </w:r>
      <w:r w:rsidR="00187FB8">
        <w:t>the</w:t>
      </w:r>
      <w:r w:rsidR="009E381B">
        <w:t xml:space="preserve"> </w:t>
      </w:r>
      <w:hyperlink r:id="rId11" w:history="1">
        <w:r w:rsidR="00187FB8" w:rsidRPr="009E381B">
          <w:rPr>
            <w:rStyle w:val="Hyperlink"/>
            <w:i/>
            <w:iCs/>
            <w:color w:val="4472C4"/>
          </w:rPr>
          <w:t>Health Insurance Act 1973</w:t>
        </w:r>
      </w:hyperlink>
      <w:r w:rsidR="00187FB8">
        <w:t xml:space="preserve"> </w:t>
      </w:r>
      <w:r>
        <w:t xml:space="preserve">(Act) </w:t>
      </w:r>
      <w:r w:rsidR="00600AC9" w:rsidRPr="00600AC9">
        <w:t xml:space="preserve">is one of the </w:t>
      </w:r>
      <w:r w:rsidR="009657D6">
        <w:t xml:space="preserve">Australian </w:t>
      </w:r>
      <w:r w:rsidR="00600AC9" w:rsidRPr="00600AC9">
        <w:t xml:space="preserve">Government’s key levers </w:t>
      </w:r>
      <w:r w:rsidR="00957C87">
        <w:t>supporting</w:t>
      </w:r>
      <w:r>
        <w:t xml:space="preserve"> the</w:t>
      </w:r>
      <w:r w:rsidR="00600AC9" w:rsidRPr="00600AC9">
        <w:t xml:space="preserve"> distribution of medical services into rural and remote areas. </w:t>
      </w:r>
    </w:p>
    <w:p w14:paraId="7A7E080E" w14:textId="4A3E2695" w:rsidR="00600AC9" w:rsidRPr="009657D6" w:rsidRDefault="00600AC9" w:rsidP="00957C87">
      <w:r w:rsidRPr="00600AC9">
        <w:t xml:space="preserve">It does this by preventing the payment of Medicare benefits to overseas trained doctors (OTDs) and foreign graduates of an accredited medical school (FGAMS) for a minimum period of ten years </w:t>
      </w:r>
      <w:r w:rsidR="00C53252">
        <w:t xml:space="preserve">(the ten year moratorium) </w:t>
      </w:r>
      <w:r w:rsidRPr="00600AC9">
        <w:t>from the date of their first registration as a medical practitioner in Australia</w:t>
      </w:r>
      <w:r w:rsidR="00957C87">
        <w:t xml:space="preserve">. Access to Medicare benefits is </w:t>
      </w:r>
      <w:r w:rsidRPr="009657D6">
        <w:t xml:space="preserve">granted to doctors who seek to practise within a </w:t>
      </w:r>
      <w:r w:rsidR="009657D6">
        <w:t xml:space="preserve">Distribution </w:t>
      </w:r>
      <w:r w:rsidR="00C53252">
        <w:t xml:space="preserve">Priority </w:t>
      </w:r>
      <w:r w:rsidR="009657D6">
        <w:t>Area (</w:t>
      </w:r>
      <w:r w:rsidRPr="009657D6">
        <w:t>DPA</w:t>
      </w:r>
      <w:r w:rsidR="00C53252">
        <w:t xml:space="preserve">) </w:t>
      </w:r>
      <w:r w:rsidR="009657D6">
        <w:t xml:space="preserve">for GPs </w:t>
      </w:r>
      <w:r w:rsidRPr="009657D6">
        <w:t xml:space="preserve">or </w:t>
      </w:r>
      <w:r w:rsidR="009657D6">
        <w:t>a District of Workforce Shortage (</w:t>
      </w:r>
      <w:r w:rsidRPr="009657D6">
        <w:t>DWS</w:t>
      </w:r>
      <w:r w:rsidR="00C53252">
        <w:t>)</w:t>
      </w:r>
      <w:r w:rsidRPr="009657D6">
        <w:t xml:space="preserve"> </w:t>
      </w:r>
      <w:r w:rsidR="009657D6">
        <w:t>for other specialties</w:t>
      </w:r>
      <w:r w:rsidRPr="009657D6">
        <w:t>.</w:t>
      </w:r>
    </w:p>
    <w:p w14:paraId="34797305" w14:textId="09870A10" w:rsidR="006A6DD5" w:rsidRPr="009E381B" w:rsidRDefault="006A6DD5" w:rsidP="00600AC9">
      <w:pPr>
        <w:rPr>
          <w:color w:val="4472C4"/>
        </w:rPr>
      </w:pPr>
      <w:r w:rsidRPr="006A6DD5">
        <w:t>Section 1</w:t>
      </w:r>
      <w:r w:rsidR="00187FB8">
        <w:t>9AB of t</w:t>
      </w:r>
      <w:r w:rsidR="003541C0">
        <w:t xml:space="preserve">he Act </w:t>
      </w:r>
      <w:r w:rsidRPr="006A6DD5">
        <w:t>sets out the rules for international medical graduates and these restrictions</w:t>
      </w:r>
      <w:r>
        <w:t xml:space="preserve">. The Department of Health administers section 19AB in line with the </w:t>
      </w:r>
      <w:hyperlink r:id="rId12" w:anchor=":~:text=%20Health%20Insurance%20%28Section%2019AB%20Exemptions%20Guidelines%29%20Determination,Minister%20may%20make%20an%20exemption%20subject.%20More%20" w:history="1">
        <w:r w:rsidRPr="009E381B">
          <w:rPr>
            <w:rStyle w:val="Hyperlink"/>
            <w:color w:val="4472C4"/>
          </w:rPr>
          <w:t>Health Insurance (Section 19AB Exemptions) Guidelines 2019 (Guidelines)</w:t>
        </w:r>
      </w:hyperlink>
      <w:r w:rsidRPr="009E381B">
        <w:rPr>
          <w:color w:val="4472C4"/>
        </w:rPr>
        <w:t>.</w:t>
      </w:r>
    </w:p>
    <w:p w14:paraId="53C6C4C1" w14:textId="40F47141" w:rsidR="004F15D2" w:rsidRPr="004F15D2" w:rsidRDefault="004F15D2" w:rsidP="004F15D2">
      <w:pPr>
        <w:pStyle w:val="Heading4"/>
        <w:rPr>
          <w:b w:val="0"/>
          <w:i w:val="0"/>
          <w:iCs/>
          <w:color w:val="0078BF" w:themeColor="accent3"/>
        </w:rPr>
      </w:pPr>
      <w:bookmarkStart w:id="1" w:name="_Hlk80366061"/>
      <w:r w:rsidRPr="004F15D2">
        <w:rPr>
          <w:rFonts w:ascii="Calibri" w:hAnsi="Calibri" w:cs="Calibri"/>
          <w:b w:val="0"/>
          <w:i w:val="0"/>
          <w:iCs/>
          <w:color w:val="4472C4"/>
          <w:sz w:val="26"/>
          <w:szCs w:val="26"/>
          <w14:textFill>
            <w14:solidFill>
              <w14:srgbClr w14:val="4472C4">
                <w14:lumMod w14:val="75000"/>
              </w14:srgbClr>
            </w14:solidFill>
          </w14:textFill>
        </w:rPr>
        <w:t>Wh</w:t>
      </w:r>
      <w:r>
        <w:rPr>
          <w:rFonts w:ascii="Calibri" w:hAnsi="Calibri" w:cs="Calibri"/>
          <w:b w:val="0"/>
          <w:i w:val="0"/>
          <w:iCs/>
          <w:color w:val="4472C4"/>
          <w:sz w:val="26"/>
          <w:szCs w:val="26"/>
          <w14:textFill>
            <w14:solidFill>
              <w14:srgbClr w14:val="4472C4">
                <w14:lumMod w14:val="75000"/>
              </w14:srgbClr>
            </w14:solidFill>
          </w14:textFill>
        </w:rPr>
        <w:t xml:space="preserve">ere can I </w:t>
      </w:r>
      <w:r w:rsidRPr="004F15D2">
        <w:rPr>
          <w:rFonts w:ascii="Calibri" w:hAnsi="Calibri" w:cs="Calibri"/>
          <w:b w:val="0"/>
          <w:i w:val="0"/>
          <w:iCs/>
          <w:color w:val="4472C4"/>
          <w:sz w:val="26"/>
          <w:szCs w:val="26"/>
          <w14:textFill>
            <w14:solidFill>
              <w14:srgbClr w14:val="4472C4">
                <w14:lumMod w14:val="75000"/>
              </w14:srgbClr>
            </w14:solidFill>
          </w14:textFill>
        </w:rPr>
        <w:t>work</w:t>
      </w:r>
      <w:r>
        <w:rPr>
          <w:rFonts w:ascii="Calibri" w:hAnsi="Calibri" w:cs="Calibri"/>
          <w:b w:val="0"/>
          <w:i w:val="0"/>
          <w:iCs/>
          <w:color w:val="4472C4"/>
          <w:sz w:val="26"/>
          <w:szCs w:val="26"/>
          <w14:textFill>
            <w14:solidFill>
              <w14:srgbClr w14:val="4472C4">
                <w14:lumMod w14:val="75000"/>
              </w14:srgbClr>
            </w14:solidFill>
          </w14:textFill>
        </w:rPr>
        <w:t xml:space="preserve"> if I am an </w:t>
      </w:r>
      <w:bookmarkEnd w:id="1"/>
      <w:r>
        <w:rPr>
          <w:rFonts w:ascii="Calibri" w:hAnsi="Calibri" w:cs="Calibri"/>
          <w:b w:val="0"/>
          <w:i w:val="0"/>
          <w:iCs/>
          <w:color w:val="4472C4"/>
          <w:sz w:val="26"/>
          <w:szCs w:val="26"/>
          <w14:textFill>
            <w14:solidFill>
              <w14:srgbClr w14:val="4472C4">
                <w14:lumMod w14:val="75000"/>
              </w14:srgbClr>
            </w14:solidFill>
          </w14:textFill>
        </w:rPr>
        <w:t xml:space="preserve">OTD/FGAMS subject to </w:t>
      </w:r>
      <w:r w:rsidRPr="004F15D2">
        <w:rPr>
          <w:rFonts w:ascii="Calibri" w:hAnsi="Calibri" w:cs="Calibri"/>
          <w:b w:val="0"/>
          <w:i w:val="0"/>
          <w:iCs/>
          <w:color w:val="4472C4"/>
          <w:sz w:val="26"/>
          <w:szCs w:val="26"/>
          <w14:textFill>
            <w14:solidFill>
              <w14:srgbClr w14:val="4472C4">
                <w14:lumMod w14:val="75000"/>
              </w14:srgbClr>
            </w14:solidFill>
          </w14:textFill>
        </w:rPr>
        <w:t>section 19AB</w:t>
      </w:r>
      <w:r>
        <w:rPr>
          <w:rFonts w:ascii="Calibri" w:hAnsi="Calibri" w:cs="Calibri"/>
          <w:b w:val="0"/>
          <w:i w:val="0"/>
          <w:iCs/>
          <w:color w:val="4472C4"/>
          <w:sz w:val="26"/>
          <w:szCs w:val="26"/>
          <w14:textFill>
            <w14:solidFill>
              <w14:srgbClr w14:val="4472C4">
                <w14:lumMod w14:val="75000"/>
              </w14:srgbClr>
            </w14:solidFill>
          </w14:textFill>
        </w:rPr>
        <w:t>?</w:t>
      </w:r>
    </w:p>
    <w:p w14:paraId="147E1908" w14:textId="4D5B0DE0" w:rsidR="006A6DD5" w:rsidRDefault="009657D6" w:rsidP="009657D6">
      <w:r w:rsidRPr="009657D6">
        <w:t xml:space="preserve">The Government uses the </w:t>
      </w:r>
      <w:hyperlink r:id="rId13" w:anchor=":~:text=Distribution%20Priority%20Area%20%28DPA%29%20identifies%20areas%20where%20people,socio-economic%20status%20of%20patients%20living%20in%20an%20area." w:history="1">
        <w:r w:rsidRPr="009E381B">
          <w:rPr>
            <w:rStyle w:val="Hyperlink"/>
            <w:color w:val="4472C4"/>
          </w:rPr>
          <w:t>DPA</w:t>
        </w:r>
      </w:hyperlink>
      <w:r w:rsidRPr="009657D6">
        <w:t xml:space="preserve"> </w:t>
      </w:r>
      <w:r>
        <w:t xml:space="preserve">and </w:t>
      </w:r>
      <w:hyperlink r:id="rId14" w:anchor=":~:text=What%20is%20a%20District%20of%20Workforce%20Shortage%3F%20A,to%20population%20in%20each%20geographical%20area%20in%20Australia." w:history="1">
        <w:r w:rsidRPr="009E381B">
          <w:rPr>
            <w:rStyle w:val="Hyperlink"/>
            <w:color w:val="4472C4"/>
          </w:rPr>
          <w:t>DWS</w:t>
        </w:r>
      </w:hyperlink>
      <w:r>
        <w:t xml:space="preserve"> </w:t>
      </w:r>
      <w:r w:rsidR="00187FB8">
        <w:t>classifications</w:t>
      </w:r>
      <w:r w:rsidRPr="009657D6">
        <w:t xml:space="preserve"> to identify maldistribution of the medical workforce in Australia.</w:t>
      </w:r>
      <w:r w:rsidR="002B3443" w:rsidRPr="002B3443">
        <w:t xml:space="preserve"> </w:t>
      </w:r>
      <w:r w:rsidR="006A6DD5">
        <w:t xml:space="preserve">You can use the </w:t>
      </w:r>
      <w:hyperlink r:id="rId15" w:history="1">
        <w:r w:rsidR="006A6DD5" w:rsidRPr="006A6DD5">
          <w:rPr>
            <w:rStyle w:val="Hyperlink"/>
          </w:rPr>
          <w:t>Health Workforce Locator</w:t>
        </w:r>
      </w:hyperlink>
      <w:r w:rsidR="006A6DD5">
        <w:t xml:space="preserve"> to identify whether a practice or region is currently a DPA or DWS for you</w:t>
      </w:r>
      <w:r w:rsidR="00187FB8">
        <w:t>r</w:t>
      </w:r>
      <w:r w:rsidR="006A6DD5">
        <w:t xml:space="preserve"> specialty.</w:t>
      </w:r>
    </w:p>
    <w:p w14:paraId="76F89C62" w14:textId="18EE767F" w:rsidR="002B3443" w:rsidRDefault="002B3443" w:rsidP="009657D6">
      <w:r>
        <w:t xml:space="preserve">DPA and DWS classifications are updated every year and information is available </w:t>
      </w:r>
      <w:hyperlink r:id="rId16" w:history="1">
        <w:r w:rsidRPr="009E381B">
          <w:rPr>
            <w:rStyle w:val="Hyperlink"/>
            <w:color w:val="4472C4"/>
          </w:rPr>
          <w:t>here</w:t>
        </w:r>
      </w:hyperlink>
      <w:r>
        <w:t xml:space="preserve"> about how the update happens, which locations have changed status and the assessment of each GP </w:t>
      </w:r>
      <w:r w:rsidR="00F9173A">
        <w:t>catchment</w:t>
      </w:r>
      <w:r>
        <w:t xml:space="preserve">. </w:t>
      </w:r>
    </w:p>
    <w:p w14:paraId="0F44A395" w14:textId="3C906288" w:rsidR="00187FB8" w:rsidRPr="009657D6" w:rsidRDefault="00187FB8" w:rsidP="009657D6">
      <w:r>
        <w:t xml:space="preserve">The Government also funds a number of </w:t>
      </w:r>
      <w:hyperlink r:id="rId17" w:history="1">
        <w:r w:rsidRPr="009E381B">
          <w:rPr>
            <w:rStyle w:val="Hyperlink"/>
            <w:color w:val="4472C4"/>
          </w:rPr>
          <w:t>incentives and supports</w:t>
        </w:r>
      </w:hyperlink>
      <w:r>
        <w:t xml:space="preserve"> to encourage doctors to move to, and remain working in, regional, rural and remote Australia.</w:t>
      </w:r>
    </w:p>
    <w:p w14:paraId="2B3A6C30" w14:textId="032440E5" w:rsidR="0081410A" w:rsidRPr="004F15D2" w:rsidRDefault="004F15D2" w:rsidP="0081410A">
      <w:pPr>
        <w:pStyle w:val="Heading4"/>
        <w:rPr>
          <w:b w:val="0"/>
          <w:bCs w:val="0"/>
          <w:i w:val="0"/>
          <w:iCs/>
          <w:color w:val="002060"/>
          <w:sz w:val="26"/>
          <w:szCs w:val="26"/>
        </w:rPr>
      </w:pPr>
      <w:bookmarkStart w:id="2" w:name="_Hlk80366102"/>
      <w:bookmarkStart w:id="3" w:name="_Hlk80259202"/>
      <w:r>
        <w:rPr>
          <w:rFonts w:ascii="Calibri" w:hAnsi="Calibri" w:cs="Calibri"/>
          <w:b w:val="0"/>
          <w:i w:val="0"/>
          <w:iCs/>
          <w:color w:val="4472C4"/>
          <w:sz w:val="26"/>
          <w:szCs w:val="26"/>
          <w14:textFill>
            <w14:solidFill>
              <w14:srgbClr w14:val="4472C4">
                <w14:lumMod w14:val="75000"/>
              </w14:srgbClr>
            </w14:solidFill>
          </w14:textFill>
        </w:rPr>
        <w:t xml:space="preserve">Can I </w:t>
      </w:r>
      <w:r w:rsidRPr="004F15D2">
        <w:rPr>
          <w:rFonts w:ascii="Calibri" w:hAnsi="Calibri" w:cs="Calibri"/>
          <w:b w:val="0"/>
          <w:i w:val="0"/>
          <w:iCs/>
          <w:color w:val="4472C4"/>
          <w:sz w:val="26"/>
          <w:szCs w:val="26"/>
          <w14:textFill>
            <w14:solidFill>
              <w14:srgbClr w14:val="4472C4">
                <w14:lumMod w14:val="75000"/>
              </w14:srgbClr>
            </w14:solidFill>
          </w14:textFill>
        </w:rPr>
        <w:t>work</w:t>
      </w:r>
      <w:r>
        <w:rPr>
          <w:rFonts w:ascii="Calibri" w:hAnsi="Calibri" w:cs="Calibri"/>
          <w:b w:val="0"/>
          <w:i w:val="0"/>
          <w:iCs/>
          <w:color w:val="4472C4"/>
          <w:sz w:val="26"/>
          <w:szCs w:val="26"/>
          <w14:textFill>
            <w14:solidFill>
              <w14:srgbClr w14:val="4472C4">
                <w14:lumMod w14:val="75000"/>
              </w14:srgbClr>
            </w14:solidFill>
          </w14:textFill>
        </w:rPr>
        <w:t xml:space="preserve"> in a </w:t>
      </w:r>
      <w:bookmarkEnd w:id="2"/>
      <w:r>
        <w:rPr>
          <w:rFonts w:ascii="Calibri" w:hAnsi="Calibri" w:cs="Calibri"/>
          <w:b w:val="0"/>
          <w:i w:val="0"/>
          <w:iCs/>
          <w:color w:val="4472C4"/>
          <w:sz w:val="26"/>
          <w:szCs w:val="26"/>
          <w14:textFill>
            <w14:solidFill>
              <w14:srgbClr w14:val="4472C4">
                <w14:lumMod w14:val="75000"/>
              </w14:srgbClr>
            </w14:solidFill>
          </w14:textFill>
        </w:rPr>
        <w:t>non-DPA/DWS?</w:t>
      </w:r>
      <w:bookmarkEnd w:id="3"/>
    </w:p>
    <w:p w14:paraId="32F25C27" w14:textId="36EC76D7" w:rsidR="00F9173A" w:rsidRPr="00C53252" w:rsidRDefault="00957C87" w:rsidP="00C53252">
      <w:r>
        <w:t>T</w:t>
      </w:r>
      <w:r w:rsidR="00C53252" w:rsidRPr="009657D6">
        <w:t xml:space="preserve">here are </w:t>
      </w:r>
      <w:r>
        <w:t>certain</w:t>
      </w:r>
      <w:r w:rsidR="00C53252" w:rsidRPr="009657D6">
        <w:t xml:space="preserve"> circumstances that </w:t>
      </w:r>
      <w:r w:rsidR="00C53252">
        <w:t>a doctor can gain an</w:t>
      </w:r>
      <w:r w:rsidR="00C53252" w:rsidRPr="009657D6">
        <w:t xml:space="preserve"> exemption to work outside a DPA/DWS.</w:t>
      </w:r>
      <w:r>
        <w:t xml:space="preserve"> </w:t>
      </w:r>
      <w:r w:rsidR="00F9173A">
        <w:t xml:space="preserve">More information about </w:t>
      </w:r>
      <w:r w:rsidR="00187FB8">
        <w:t xml:space="preserve">these </w:t>
      </w:r>
      <w:r w:rsidR="00F9173A">
        <w:t>exemption</w:t>
      </w:r>
      <w:r w:rsidR="00187FB8">
        <w:t>s</w:t>
      </w:r>
      <w:r w:rsidR="0060315D">
        <w:t xml:space="preserve"> </w:t>
      </w:r>
      <w:r w:rsidR="00F9173A">
        <w:t>are available in the table below.</w:t>
      </w:r>
    </w:p>
    <w:p w14:paraId="26898E0A" w14:textId="4B182B27" w:rsidR="0081410A" w:rsidRDefault="004F15D2" w:rsidP="0081410A">
      <w:pPr>
        <w:pStyle w:val="Heading4"/>
        <w:rPr>
          <w:i w:val="0"/>
          <w:iCs/>
          <w:color w:val="auto"/>
        </w:rPr>
      </w:pPr>
      <w:r>
        <w:rPr>
          <w:rFonts w:ascii="Calibri" w:hAnsi="Calibri" w:cs="Calibri"/>
          <w:b w:val="0"/>
          <w:i w:val="0"/>
          <w:iCs/>
          <w:color w:val="4472C4"/>
          <w:sz w:val="26"/>
          <w:szCs w:val="26"/>
          <w14:textFill>
            <w14:solidFill>
              <w14:srgbClr w14:val="4472C4">
                <w14:lumMod w14:val="75000"/>
              </w14:srgbClr>
            </w14:solidFill>
          </w14:textFill>
        </w:rPr>
        <w:t>How do I apply for a section 19AB exemption?</w:t>
      </w:r>
    </w:p>
    <w:p w14:paraId="4D13F175" w14:textId="6EA2A7FB" w:rsidR="00F9173A" w:rsidRDefault="00187FB8" w:rsidP="00F9173A">
      <w:r>
        <w:t xml:space="preserve">A </w:t>
      </w:r>
      <w:r w:rsidR="00F9173A">
        <w:t>doctor</w:t>
      </w:r>
      <w:r w:rsidR="00F9173A" w:rsidRPr="00F9173A">
        <w:t xml:space="preserve"> </w:t>
      </w:r>
      <w:r w:rsidR="00F9173A">
        <w:t xml:space="preserve">must </w:t>
      </w:r>
      <w:r w:rsidR="00F9173A" w:rsidRPr="00F9173A">
        <w:t xml:space="preserve">submit a completed </w:t>
      </w:r>
      <w:hyperlink r:id="rId18" w:history="1">
        <w:r w:rsidR="00F9173A" w:rsidRPr="009E381B">
          <w:rPr>
            <w:rStyle w:val="Hyperlink"/>
            <w:color w:val="4472C4"/>
          </w:rPr>
          <w:t>Medicare provider number application</w:t>
        </w:r>
      </w:hyperlink>
      <w:r w:rsidR="00F9173A" w:rsidRPr="00F9173A">
        <w:t xml:space="preserve"> to Services Australia (Medicare)</w:t>
      </w:r>
      <w:r w:rsidR="00F9173A">
        <w:t>, who</w:t>
      </w:r>
      <w:r w:rsidR="00F9173A" w:rsidRPr="00F9173A">
        <w:t xml:space="preserve"> will determine whether the applicant doctor is subject to section 19AB</w:t>
      </w:r>
      <w:r w:rsidR="00957C87">
        <w:t>. I</w:t>
      </w:r>
      <w:r w:rsidR="00F9173A" w:rsidRPr="00F9173A">
        <w:t xml:space="preserve">f required, </w:t>
      </w:r>
      <w:r w:rsidR="00957C87">
        <w:t>Medicare w</w:t>
      </w:r>
      <w:r w:rsidR="00F9173A" w:rsidRPr="00F9173A">
        <w:t xml:space="preserve">ill submit </w:t>
      </w:r>
      <w:r w:rsidR="00F9173A">
        <w:t>the</w:t>
      </w:r>
      <w:r w:rsidR="00F9173A" w:rsidRPr="00F9173A">
        <w:t xml:space="preserve"> </w:t>
      </w:r>
      <w:r w:rsidR="00F9173A">
        <w:t xml:space="preserve">section </w:t>
      </w:r>
      <w:r w:rsidR="00F9173A" w:rsidRPr="00F9173A">
        <w:t xml:space="preserve">19AB exemption application to </w:t>
      </w:r>
      <w:r w:rsidR="00F9173A">
        <w:t>the Department of Health</w:t>
      </w:r>
      <w:r w:rsidR="00F9173A" w:rsidRPr="00F9173A">
        <w:t xml:space="preserve"> for assessment on the applicant doctor</w:t>
      </w:r>
      <w:r>
        <w:t>’</w:t>
      </w:r>
      <w:r w:rsidR="00F9173A" w:rsidRPr="00F9173A">
        <w:t>s behalf.</w:t>
      </w:r>
    </w:p>
    <w:p w14:paraId="6CD65A66" w14:textId="7E0BE6F2" w:rsidR="00957C87" w:rsidRDefault="00F9173A" w:rsidP="00F9173A">
      <w:r w:rsidRPr="00466E37">
        <w:t xml:space="preserve">The Department of Health must </w:t>
      </w:r>
      <w:r w:rsidR="00187FB8" w:rsidRPr="00466E37">
        <w:t>decide</w:t>
      </w:r>
      <w:r w:rsidRPr="00466E37">
        <w:t xml:space="preserve"> on a section 19AB application within 28 calendar days</w:t>
      </w:r>
      <w:r w:rsidR="00957C87" w:rsidRPr="00466E37">
        <w:t xml:space="preserve"> of </w:t>
      </w:r>
      <w:r w:rsidR="00466E37" w:rsidRPr="00466E37">
        <w:t>receipt</w:t>
      </w:r>
      <w:r w:rsidRPr="00466E37">
        <w:t>.</w:t>
      </w:r>
      <w:r w:rsidR="003541C0">
        <w:t xml:space="preserve"> The section 19AB decision is returned to </w:t>
      </w:r>
      <w:r w:rsidR="003541C0" w:rsidRPr="00F9173A">
        <w:t>Services Australia (Medicare)</w:t>
      </w:r>
      <w:r w:rsidR="003541C0">
        <w:t xml:space="preserve"> who will notify the applicant of the decision and, if approved, issue a Medicare provider number.</w:t>
      </w:r>
      <w:r w:rsidR="001F1F97">
        <w:t xml:space="preserve"> </w:t>
      </w:r>
    </w:p>
    <w:p w14:paraId="233D2996" w14:textId="16AB1402" w:rsidR="00F9173A" w:rsidRPr="00F9173A" w:rsidRDefault="001F1F97" w:rsidP="00F9173A">
      <w:r>
        <w:t>A</w:t>
      </w:r>
      <w:r w:rsidRPr="001F1F97">
        <w:t>pplications are assessed in order of receipt to ensure procedural fairness to all applicants</w:t>
      </w:r>
      <w:r>
        <w:t>.</w:t>
      </w:r>
      <w:r w:rsidR="00957C87">
        <w:t xml:space="preserve"> High volumes of applications are received at certain times of year and applications may take time when this occurs (e.g. start of each calendar year). </w:t>
      </w:r>
    </w:p>
    <w:p w14:paraId="1122ECCC" w14:textId="5810CCB5" w:rsidR="00F9173A" w:rsidRPr="009E381B" w:rsidRDefault="00F9173A" w:rsidP="00F9173A">
      <w:pPr>
        <w:rPr>
          <w:color w:val="4472C4"/>
        </w:rPr>
      </w:pPr>
      <w:r w:rsidRPr="00F9173A">
        <w:t>Medicare provider number applications can be submitted via email</w:t>
      </w:r>
      <w:r w:rsidR="00CF431D">
        <w:t>. T</w:t>
      </w:r>
      <w:r w:rsidRPr="00F9173A">
        <w:t>he application</w:t>
      </w:r>
      <w:r w:rsidR="00CF431D">
        <w:t xml:space="preserve"> form</w:t>
      </w:r>
      <w:r w:rsidRPr="00F9173A">
        <w:t xml:space="preserve">, along with </w:t>
      </w:r>
      <w:r w:rsidR="00957C87">
        <w:t>the</w:t>
      </w:r>
      <w:r w:rsidR="00701979">
        <w:t xml:space="preserve"> </w:t>
      </w:r>
      <w:r w:rsidRPr="00F9173A">
        <w:t>re</w:t>
      </w:r>
      <w:r w:rsidR="00CF431D">
        <w:t>quired documents</w:t>
      </w:r>
      <w:r w:rsidRPr="00F9173A">
        <w:t>, can be submitted to</w:t>
      </w:r>
      <w:r>
        <w:t xml:space="preserve"> </w:t>
      </w:r>
      <w:hyperlink r:id="rId19" w:history="1">
        <w:r w:rsidRPr="009E381B">
          <w:rPr>
            <w:rStyle w:val="Hyperlink"/>
            <w:color w:val="4472C4"/>
          </w:rPr>
          <w:t>provider.registration@servicesaustralia.gov.au</w:t>
        </w:r>
      </w:hyperlink>
      <w:r w:rsidRPr="009E381B">
        <w:rPr>
          <w:color w:val="4472C4"/>
        </w:rPr>
        <w:t>.</w:t>
      </w:r>
    </w:p>
    <w:p w14:paraId="3E0718F6" w14:textId="0E5CE78F" w:rsidR="0081410A" w:rsidRDefault="00396E94" w:rsidP="0081410A">
      <w:pPr>
        <w:pStyle w:val="Heading4"/>
        <w:rPr>
          <w:i w:val="0"/>
          <w:iCs/>
          <w:color w:val="auto"/>
        </w:rPr>
      </w:pPr>
      <w:bookmarkStart w:id="4" w:name="_Hlk80366189"/>
      <w:r>
        <w:rPr>
          <w:rFonts w:ascii="Calibri" w:hAnsi="Calibri" w:cs="Calibri"/>
          <w:b w:val="0"/>
          <w:i w:val="0"/>
          <w:iCs/>
          <w:color w:val="4472C4"/>
          <w:sz w:val="26"/>
          <w:szCs w:val="26"/>
          <w14:textFill>
            <w14:solidFill>
              <w14:srgbClr w14:val="4472C4">
                <w14:lumMod w14:val="75000"/>
              </w14:srgbClr>
            </w14:solidFill>
          </w14:textFill>
        </w:rPr>
        <w:lastRenderedPageBreak/>
        <w:t xml:space="preserve">What if I disagree with a decision? </w:t>
      </w:r>
    </w:p>
    <w:bookmarkEnd w:id="4"/>
    <w:p w14:paraId="7B1ECFD8" w14:textId="77777777" w:rsidR="00957C87" w:rsidRDefault="003541C0" w:rsidP="003541C0">
      <w:r w:rsidRPr="003541C0">
        <w:t>If</w:t>
      </w:r>
      <w:r w:rsidR="00957C87">
        <w:t xml:space="preserve"> </w:t>
      </w:r>
      <w:r w:rsidR="00CF431D">
        <w:t>your exemption</w:t>
      </w:r>
      <w:r w:rsidR="00957C87">
        <w:t xml:space="preserve"> request does not meet the criteria and you disagree with the outcome</w:t>
      </w:r>
      <w:r w:rsidR="00CF431D">
        <w:t xml:space="preserve">, </w:t>
      </w:r>
      <w:r w:rsidRPr="003541C0">
        <w:t xml:space="preserve">you may make a formal request </w:t>
      </w:r>
      <w:r>
        <w:t xml:space="preserve">for reconsideration </w:t>
      </w:r>
      <w:r w:rsidRPr="003541C0">
        <w:t>under the provisions of s</w:t>
      </w:r>
      <w:r>
        <w:t xml:space="preserve">ection </w:t>
      </w:r>
      <w:r w:rsidRPr="003541C0">
        <w:t xml:space="preserve">19AC of the Act. </w:t>
      </w:r>
    </w:p>
    <w:p w14:paraId="598F015E" w14:textId="5CBC4D1F" w:rsidR="003541C0" w:rsidRDefault="003541C0" w:rsidP="003541C0">
      <w:r w:rsidRPr="003541C0">
        <w:t xml:space="preserve">To do this, </w:t>
      </w:r>
      <w:r w:rsidR="00CF431D">
        <w:t>you should send an e</w:t>
      </w:r>
      <w:r w:rsidRPr="003541C0">
        <w:t>mail with supporting documents to: </w:t>
      </w:r>
      <w:hyperlink r:id="rId20" w:history="1">
        <w:r w:rsidRPr="009E381B">
          <w:rPr>
            <w:rStyle w:val="Hyperlink"/>
            <w:color w:val="4472C4"/>
          </w:rPr>
          <w:t>19AC@health.gov.au</w:t>
        </w:r>
      </w:hyperlink>
      <w:r w:rsidRPr="009E381B">
        <w:rPr>
          <w:color w:val="4472C4"/>
        </w:rPr>
        <w:t>.</w:t>
      </w:r>
      <w:r w:rsidRPr="003541C0">
        <w:t> </w:t>
      </w:r>
      <w:r w:rsidR="00CF431D">
        <w:t xml:space="preserve">You should include the basis for your request for reconsideration, including new information or documents that </w:t>
      </w:r>
      <w:r w:rsidR="00957C87">
        <w:t xml:space="preserve">may further </w:t>
      </w:r>
      <w:r w:rsidR="00CF431D">
        <w:t xml:space="preserve">demonstrate your case. </w:t>
      </w:r>
      <w:r w:rsidR="00957C87">
        <w:t>Resubmitting</w:t>
      </w:r>
      <w:r w:rsidRPr="003541C0">
        <w:t xml:space="preserve"> the same information as your original application </w:t>
      </w:r>
      <w:r w:rsidR="00957C87">
        <w:t>will not impact on the initial decision</w:t>
      </w:r>
      <w:r w:rsidRPr="003541C0">
        <w:t>. </w:t>
      </w:r>
    </w:p>
    <w:p w14:paraId="35C67B66" w14:textId="37332652" w:rsidR="003541C0" w:rsidRPr="003541C0" w:rsidRDefault="003541C0" w:rsidP="003541C0">
      <w:r w:rsidRPr="003541C0">
        <w:t>You have 90 days to make a request under s</w:t>
      </w:r>
      <w:r>
        <w:t xml:space="preserve">ection </w:t>
      </w:r>
      <w:r w:rsidRPr="003541C0">
        <w:t>19AC</w:t>
      </w:r>
      <w:r w:rsidR="00957C87">
        <w:t>. A</w:t>
      </w:r>
      <w:r w:rsidRPr="003541C0">
        <w:t xml:space="preserve">ll review requests are actioned by </w:t>
      </w:r>
      <w:r w:rsidR="008B51AF">
        <w:t xml:space="preserve">the Department of </w:t>
      </w:r>
      <w:r w:rsidRPr="003541C0">
        <w:t xml:space="preserve">Health within 28 </w:t>
      </w:r>
      <w:r>
        <w:t xml:space="preserve">calendar </w:t>
      </w:r>
      <w:r w:rsidRPr="003541C0">
        <w:t>days of receipt.</w:t>
      </w:r>
    </w:p>
    <w:p w14:paraId="2EA19AFF" w14:textId="7E5FC153" w:rsidR="0081410A" w:rsidRPr="0081410A" w:rsidRDefault="00396E94" w:rsidP="0081410A">
      <w:pPr>
        <w:pStyle w:val="Heading4"/>
        <w:rPr>
          <w:i w:val="0"/>
          <w:iCs/>
          <w:color w:val="auto"/>
        </w:rPr>
      </w:pPr>
      <w:bookmarkStart w:id="5" w:name="_Hlk80336415"/>
      <w:r>
        <w:rPr>
          <w:rFonts w:ascii="Calibri" w:hAnsi="Calibri" w:cs="Calibri"/>
          <w:b w:val="0"/>
          <w:i w:val="0"/>
          <w:iCs/>
          <w:color w:val="4472C4"/>
          <w:sz w:val="26"/>
          <w:szCs w:val="26"/>
          <w14:textFill>
            <w14:solidFill>
              <w14:srgbClr w14:val="4472C4">
                <w14:lumMod w14:val="75000"/>
              </w14:srgbClr>
            </w14:solidFill>
          </w14:textFill>
        </w:rPr>
        <w:t xml:space="preserve">Are there any special arrangements during the COVID-19 pandemic? </w:t>
      </w:r>
      <w:bookmarkEnd w:id="5"/>
    </w:p>
    <w:p w14:paraId="342D247F" w14:textId="49664860" w:rsidR="00500238" w:rsidRDefault="00C94EA8" w:rsidP="005A7CBB">
      <w:r w:rsidRPr="00C94EA8">
        <w:t xml:space="preserve">As the COVID-19 pandemic continues to evolve, one of the main priorities of the Government is to ensure workforce distribution measures are not impacted </w:t>
      </w:r>
      <w:r>
        <w:t>and</w:t>
      </w:r>
      <w:r w:rsidRPr="00C94EA8">
        <w:t xml:space="preserve"> to maintain workforce in communities most in need, particularly in rural and remote areas. This includes legislative requirements under </w:t>
      </w:r>
      <w:r>
        <w:t xml:space="preserve">section 19AB of </w:t>
      </w:r>
      <w:r w:rsidRPr="00C94EA8">
        <w:t>Act. </w:t>
      </w:r>
    </w:p>
    <w:p w14:paraId="38155783" w14:textId="6901E241" w:rsidR="00C94EA8" w:rsidRDefault="00C94EA8" w:rsidP="005A7CBB">
      <w:r w:rsidRPr="00C94EA8">
        <w:t xml:space="preserve">However, the Department </w:t>
      </w:r>
      <w:r>
        <w:t xml:space="preserve">of Health </w:t>
      </w:r>
      <w:r w:rsidRPr="00C94EA8">
        <w:t xml:space="preserve">will consider exemptions on a case by case basis </w:t>
      </w:r>
      <w:r>
        <w:t>based on</w:t>
      </w:r>
      <w:r w:rsidRPr="00C94EA8">
        <w:t xml:space="preserve"> the effects of the COVID-19 pandemic on an individual doctor's circumstances. Doctors are required to undertake the usual application process</w:t>
      </w:r>
      <w:r>
        <w:t xml:space="preserve"> (see above)</w:t>
      </w:r>
      <w:r w:rsidR="00957C87">
        <w:t xml:space="preserve">. The application </w:t>
      </w:r>
      <w:r w:rsidRPr="00C94EA8">
        <w:t xml:space="preserve">should </w:t>
      </w:r>
      <w:r w:rsidR="00957C87">
        <w:t xml:space="preserve">also </w:t>
      </w:r>
      <w:r w:rsidRPr="00C94EA8">
        <w:t xml:space="preserve">include a letter to outline the exceptional circumstances they consider to be relevant, and what extension or consideration is being requested. </w:t>
      </w:r>
    </w:p>
    <w:p w14:paraId="1FD7F165" w14:textId="460807A6" w:rsidR="00DC33FB" w:rsidRDefault="00C94EA8" w:rsidP="0060315D">
      <w:r>
        <w:t>The doctor must provide e</w:t>
      </w:r>
      <w:r w:rsidRPr="00C94EA8">
        <w:t>vidence showing how the COVID-19 pandemic has affected the</w:t>
      </w:r>
      <w:r>
        <w:t>ir</w:t>
      </w:r>
      <w:r w:rsidRPr="00C94EA8">
        <w:t xml:space="preserve"> ability to meet responsibilities under section 19AB.</w:t>
      </w:r>
      <w:r w:rsidR="00957C87">
        <w:t xml:space="preserve"> </w:t>
      </w:r>
      <w:r w:rsidR="00DC33FB">
        <w:t>These short-term arrangements may result in a time-limited exemption, with usual program rules applying after the exemption has finished.</w:t>
      </w:r>
    </w:p>
    <w:p w14:paraId="63E0154C" w14:textId="03140648" w:rsidR="0060315D" w:rsidRDefault="00396E94" w:rsidP="0060315D">
      <w:pPr>
        <w:pStyle w:val="Heading4"/>
        <w:rPr>
          <w:i w:val="0"/>
          <w:iCs/>
          <w:color w:val="auto"/>
        </w:rPr>
      </w:pPr>
      <w:r>
        <w:rPr>
          <w:rFonts w:ascii="Calibri" w:hAnsi="Calibri" w:cs="Calibri"/>
          <w:b w:val="0"/>
          <w:i w:val="0"/>
          <w:iCs/>
          <w:color w:val="4472C4"/>
          <w:sz w:val="26"/>
          <w:szCs w:val="26"/>
          <w14:textFill>
            <w14:solidFill>
              <w14:srgbClr w14:val="4472C4">
                <w14:lumMod w14:val="75000"/>
              </w14:srgbClr>
            </w14:solidFill>
          </w14:textFill>
        </w:rPr>
        <w:t>More information and support?</w:t>
      </w:r>
    </w:p>
    <w:p w14:paraId="4B532A94" w14:textId="1C59C7F6" w:rsidR="00DC33FB" w:rsidRPr="00DC33FB" w:rsidRDefault="00DC33FB" w:rsidP="00DC33FB">
      <w:r>
        <w:t xml:space="preserve">Please visit the Department of Health </w:t>
      </w:r>
      <w:hyperlink r:id="rId21" w:history="1">
        <w:r w:rsidRPr="009E381B">
          <w:rPr>
            <w:rStyle w:val="Hyperlink"/>
            <w:color w:val="4472C4"/>
          </w:rPr>
          <w:t>website</w:t>
        </w:r>
      </w:hyperlink>
      <w:r>
        <w:t xml:space="preserve"> for more information. If you have specific questions about the exemptions in the table below, please contact the Department of Health at: </w:t>
      </w:r>
      <w:hyperlink r:id="rId22" w:history="1">
        <w:r w:rsidRPr="009E381B">
          <w:rPr>
            <w:rStyle w:val="Hyperlink"/>
            <w:color w:val="4472C4"/>
          </w:rPr>
          <w:t>19AB@health.gov.au</w:t>
        </w:r>
      </w:hyperlink>
      <w:r w:rsidRPr="009E381B">
        <w:rPr>
          <w:color w:val="4472C4"/>
        </w:rPr>
        <w:t xml:space="preserve">. </w:t>
      </w:r>
    </w:p>
    <w:p w14:paraId="6585AE8A" w14:textId="77777777" w:rsidR="0060315D" w:rsidRPr="0060315D" w:rsidRDefault="0060315D" w:rsidP="0060315D"/>
    <w:p w14:paraId="35BEFF70" w14:textId="77777777" w:rsidR="0060315D" w:rsidRDefault="0060315D" w:rsidP="00C94EA8">
      <w:pPr>
        <w:pStyle w:val="Heading4"/>
        <w:rPr>
          <w:i w:val="0"/>
          <w:iCs/>
          <w:color w:val="auto"/>
        </w:rPr>
        <w:sectPr w:rsidR="0060315D" w:rsidSect="00B91D58">
          <w:headerReference w:type="default" r:id="rId23"/>
          <w:footerReference w:type="default" r:id="rId24"/>
          <w:type w:val="continuous"/>
          <w:pgSz w:w="11906" w:h="16838"/>
          <w:pgMar w:top="851" w:right="1077" w:bottom="1440" w:left="1077" w:header="709" w:footer="709" w:gutter="0"/>
          <w:cols w:space="708"/>
          <w:docGrid w:linePitch="360"/>
        </w:sectPr>
      </w:pPr>
    </w:p>
    <w:p w14:paraId="7F44809A" w14:textId="004404EF" w:rsidR="00C94EA8" w:rsidRDefault="00957C87" w:rsidP="00C94EA8">
      <w:pPr>
        <w:pStyle w:val="Heading4"/>
        <w:rPr>
          <w:i w:val="0"/>
          <w:iCs/>
          <w:color w:val="auto"/>
        </w:rPr>
      </w:pPr>
      <w:r>
        <w:rPr>
          <w:rFonts w:ascii="Calibri" w:hAnsi="Calibri" w:cs="Calibri"/>
          <w:b w:val="0"/>
          <w:i w:val="0"/>
          <w:iCs/>
          <w:color w:val="4472C4"/>
          <w:sz w:val="26"/>
          <w:szCs w:val="26"/>
          <w14:textFill>
            <w14:solidFill>
              <w14:srgbClr w14:val="4472C4">
                <w14:lumMod w14:val="75000"/>
              </w14:srgbClr>
            </w14:solidFill>
          </w14:textFill>
        </w:rPr>
        <w:lastRenderedPageBreak/>
        <w:t>E</w:t>
      </w:r>
      <w:r w:rsidR="00396E94">
        <w:rPr>
          <w:rFonts w:ascii="Calibri" w:hAnsi="Calibri" w:cs="Calibri"/>
          <w:b w:val="0"/>
          <w:i w:val="0"/>
          <w:iCs/>
          <w:color w:val="4472C4"/>
          <w:sz w:val="26"/>
          <w:szCs w:val="26"/>
          <w14:textFill>
            <w14:solidFill>
              <w14:srgbClr w14:val="4472C4">
                <w14:lumMod w14:val="75000"/>
              </w14:srgbClr>
            </w14:solidFill>
          </w14:textFill>
        </w:rPr>
        <w:t>xemption</w:t>
      </w:r>
      <w:r>
        <w:rPr>
          <w:rFonts w:ascii="Calibri" w:hAnsi="Calibri" w:cs="Calibri"/>
          <w:b w:val="0"/>
          <w:i w:val="0"/>
          <w:iCs/>
          <w:color w:val="4472C4"/>
          <w:sz w:val="26"/>
          <w:szCs w:val="26"/>
          <w14:textFill>
            <w14:solidFill>
              <w14:srgbClr w14:val="4472C4">
                <w14:lumMod w14:val="75000"/>
              </w14:srgbClr>
            </w14:solidFill>
          </w14:textFill>
        </w:rPr>
        <w:t xml:space="preserve"> types and Criteria assessed</w:t>
      </w:r>
    </w:p>
    <w:tbl>
      <w:tblPr>
        <w:tblStyle w:val="ListTable3-Accent2"/>
        <w:tblW w:w="5272" w:type="pct"/>
        <w:tblInd w:w="-431" w:type="dxa"/>
        <w:tblLook w:val="04A0" w:firstRow="1" w:lastRow="0" w:firstColumn="1" w:lastColumn="0" w:noHBand="0" w:noVBand="1"/>
        <w:tblDescription w:val="This table is a list of Modified Monash (MM) 3 locations.  This table contains 3 heading rows: 1. Name, 2. Description and 3. Incentives"/>
      </w:tblPr>
      <w:tblGrid>
        <w:gridCol w:w="2547"/>
        <w:gridCol w:w="5250"/>
        <w:gridCol w:w="6658"/>
      </w:tblGrid>
      <w:tr w:rsidR="00E060F1" w:rsidRPr="00CF431D" w14:paraId="218E6C59" w14:textId="77777777" w:rsidTr="00762B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1" w:type="pct"/>
            <w:tcBorders>
              <w:top w:val="single" w:sz="4" w:space="0" w:color="358189" w:themeColor="accent2"/>
              <w:bottom w:val="single" w:sz="4" w:space="0" w:color="358189" w:themeColor="accent2"/>
              <w:right w:val="single" w:sz="4" w:space="0" w:color="auto"/>
            </w:tcBorders>
            <w:shd w:val="clear" w:color="auto" w:fill="00598F" w:themeFill="accent3" w:themeFillShade="BF"/>
          </w:tcPr>
          <w:p w14:paraId="5715B64B" w14:textId="77777777" w:rsidR="00E060F1" w:rsidRPr="00CF431D" w:rsidRDefault="00E060F1" w:rsidP="00585F0E">
            <w:pPr>
              <w:pStyle w:val="Tableheader0"/>
              <w:rPr>
                <w:rFonts w:cstheme="minorHAnsi"/>
                <w:szCs w:val="22"/>
              </w:rPr>
            </w:pPr>
            <w:r w:rsidRPr="00CF431D">
              <w:rPr>
                <w:rFonts w:cstheme="minorHAnsi"/>
                <w:szCs w:val="22"/>
              </w:rPr>
              <w:t>Name</w:t>
            </w:r>
          </w:p>
        </w:tc>
        <w:tc>
          <w:tcPr>
            <w:tcW w:w="1816" w:type="pct"/>
            <w:tcBorders>
              <w:top w:val="single" w:sz="4" w:space="0" w:color="358189" w:themeColor="accent2"/>
              <w:left w:val="single" w:sz="4" w:space="0" w:color="auto"/>
              <w:bottom w:val="single" w:sz="4" w:space="0" w:color="358189" w:themeColor="accent2"/>
              <w:right w:val="single" w:sz="4" w:space="0" w:color="auto"/>
            </w:tcBorders>
            <w:shd w:val="clear" w:color="auto" w:fill="00598F" w:themeFill="accent3" w:themeFillShade="BF"/>
          </w:tcPr>
          <w:p w14:paraId="76FF4CFC" w14:textId="77777777" w:rsidR="00E060F1" w:rsidRPr="00CF431D" w:rsidRDefault="00E060F1" w:rsidP="00585F0E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CF431D">
              <w:rPr>
                <w:rFonts w:cstheme="minorHAnsi"/>
                <w:szCs w:val="22"/>
              </w:rPr>
              <w:t>Description</w:t>
            </w:r>
          </w:p>
        </w:tc>
        <w:tc>
          <w:tcPr>
            <w:tcW w:w="2303" w:type="pct"/>
            <w:tcBorders>
              <w:left w:val="single" w:sz="4" w:space="0" w:color="auto"/>
            </w:tcBorders>
            <w:shd w:val="clear" w:color="auto" w:fill="00598F" w:themeFill="accent3" w:themeFillShade="BF"/>
          </w:tcPr>
          <w:p w14:paraId="3B395569" w14:textId="13E6AC5C" w:rsidR="00E060F1" w:rsidRPr="00CF431D" w:rsidRDefault="00957C87" w:rsidP="00585F0E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Assessed c</w:t>
            </w:r>
            <w:r w:rsidR="00C53252" w:rsidRPr="00CF431D">
              <w:rPr>
                <w:rFonts w:cstheme="minorHAnsi"/>
                <w:szCs w:val="22"/>
              </w:rPr>
              <w:t>riteria</w:t>
            </w:r>
          </w:p>
        </w:tc>
      </w:tr>
      <w:tr w:rsidR="00C94EA8" w:rsidRPr="00CF431D" w14:paraId="4F46A05E" w14:textId="77777777" w:rsidTr="00762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tcBorders>
              <w:right w:val="single" w:sz="4" w:space="0" w:color="auto"/>
            </w:tcBorders>
          </w:tcPr>
          <w:p w14:paraId="6FDF4595" w14:textId="3BC7C966" w:rsidR="00C94EA8" w:rsidRPr="00CF431D" w:rsidRDefault="00C94EA8" w:rsidP="0060315D">
            <w:pPr>
              <w:pStyle w:val="Tabletextleft"/>
              <w:spacing w:before="0"/>
              <w:rPr>
                <w:rFonts w:cstheme="minorHAnsi"/>
                <w:sz w:val="22"/>
                <w:szCs w:val="22"/>
              </w:rPr>
            </w:pPr>
            <w:r w:rsidRPr="00CF431D">
              <w:rPr>
                <w:rFonts w:cstheme="minorHAnsi"/>
                <w:sz w:val="22"/>
                <w:szCs w:val="22"/>
              </w:rPr>
              <w:t xml:space="preserve">Locum </w:t>
            </w:r>
          </w:p>
        </w:tc>
        <w:tc>
          <w:tcPr>
            <w:tcW w:w="1816" w:type="pct"/>
            <w:tcBorders>
              <w:left w:val="single" w:sz="4" w:space="0" w:color="auto"/>
              <w:right w:val="single" w:sz="4" w:space="0" w:color="auto"/>
            </w:tcBorders>
          </w:tcPr>
          <w:p w14:paraId="637D4842" w14:textId="2125958E" w:rsidR="00C94EA8" w:rsidRPr="00CF431D" w:rsidRDefault="00C94EA8" w:rsidP="0060315D">
            <w:pPr>
              <w:pStyle w:val="Tabletextleft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CF431D">
              <w:rPr>
                <w:rFonts w:cstheme="minorHAnsi"/>
                <w:sz w:val="22"/>
                <w:szCs w:val="22"/>
              </w:rPr>
              <w:t xml:space="preserve">Practise at a non-DPA/DWS location for their medical specialty for a one-off period of up to six months </w:t>
            </w:r>
            <w:r w:rsidR="00957C87">
              <w:rPr>
                <w:rFonts w:cstheme="minorHAnsi"/>
                <w:sz w:val="22"/>
                <w:szCs w:val="22"/>
              </w:rPr>
              <w:t>at each</w:t>
            </w:r>
            <w:r w:rsidRPr="00CF431D">
              <w:rPr>
                <w:rFonts w:cstheme="minorHAnsi"/>
                <w:sz w:val="22"/>
                <w:szCs w:val="22"/>
              </w:rPr>
              <w:t xml:space="preserve"> practice location.</w:t>
            </w:r>
          </w:p>
        </w:tc>
        <w:tc>
          <w:tcPr>
            <w:tcW w:w="2303" w:type="pct"/>
            <w:tcBorders>
              <w:left w:val="single" w:sz="4" w:space="0" w:color="auto"/>
            </w:tcBorders>
          </w:tcPr>
          <w:p w14:paraId="121F2121" w14:textId="2B427626" w:rsidR="00C94EA8" w:rsidRPr="00CF431D" w:rsidRDefault="00C94EA8" w:rsidP="0060315D">
            <w:pPr>
              <w:pStyle w:val="Tabletextleft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  <w:r w:rsidRPr="00CF431D">
              <w:rPr>
                <w:rFonts w:cstheme="minorHAnsi"/>
                <w:sz w:val="22"/>
                <w:szCs w:val="22"/>
              </w:rPr>
              <w:t>Must not have had a locum exemption at the requested location</w:t>
            </w:r>
            <w:r w:rsidR="00957C87">
              <w:rPr>
                <w:rFonts w:cstheme="minorHAnsi"/>
                <w:sz w:val="22"/>
                <w:szCs w:val="22"/>
              </w:rPr>
              <w:t xml:space="preserve"> previously approved</w:t>
            </w:r>
            <w:r w:rsidRPr="00CF431D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C94EA8" w:rsidRPr="00CF431D" w14:paraId="1CC136ED" w14:textId="77777777" w:rsidTr="00762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tcBorders>
              <w:top w:val="single" w:sz="4" w:space="0" w:color="358189" w:themeColor="accent2"/>
              <w:bottom w:val="single" w:sz="4" w:space="0" w:color="358189" w:themeColor="accent2"/>
              <w:right w:val="single" w:sz="4" w:space="0" w:color="auto"/>
            </w:tcBorders>
          </w:tcPr>
          <w:p w14:paraId="63830486" w14:textId="7C435DC6" w:rsidR="00C94EA8" w:rsidRPr="00CF431D" w:rsidRDefault="00C94EA8" w:rsidP="0060315D">
            <w:pPr>
              <w:pStyle w:val="Tabletextleft"/>
              <w:spacing w:before="0"/>
              <w:rPr>
                <w:rFonts w:cstheme="minorHAnsi"/>
                <w:sz w:val="22"/>
                <w:szCs w:val="22"/>
              </w:rPr>
            </w:pPr>
            <w:r w:rsidRPr="00CF431D">
              <w:rPr>
                <w:rFonts w:cstheme="minorHAnsi"/>
                <w:sz w:val="22"/>
                <w:szCs w:val="22"/>
              </w:rPr>
              <w:t>Assist at Operations</w:t>
            </w:r>
          </w:p>
        </w:tc>
        <w:tc>
          <w:tcPr>
            <w:tcW w:w="1816" w:type="pct"/>
            <w:tcBorders>
              <w:top w:val="single" w:sz="4" w:space="0" w:color="358189" w:themeColor="accent2"/>
              <w:left w:val="single" w:sz="4" w:space="0" w:color="auto"/>
              <w:bottom w:val="single" w:sz="4" w:space="0" w:color="358189" w:themeColor="accent2"/>
              <w:right w:val="single" w:sz="4" w:space="0" w:color="auto"/>
            </w:tcBorders>
          </w:tcPr>
          <w:p w14:paraId="31379A40" w14:textId="090AD68B" w:rsidR="00C94EA8" w:rsidRPr="00CF431D" w:rsidRDefault="00C94EA8" w:rsidP="00957C8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CF431D">
              <w:rPr>
                <w:rFonts w:cstheme="minorHAnsi"/>
                <w:szCs w:val="22"/>
              </w:rPr>
              <w:t>Grants access to a single set of Medicare items, which allows doctors to assist at an operation or an invasive specialist procedure under the supervision of a fully qualified surgeon</w:t>
            </w:r>
            <w:r w:rsidR="00957C87">
              <w:rPr>
                <w:rFonts w:cstheme="minorHAnsi"/>
                <w:szCs w:val="22"/>
              </w:rPr>
              <w:t xml:space="preserve"> in a non-DPA, non-DWS area.</w:t>
            </w:r>
          </w:p>
        </w:tc>
        <w:tc>
          <w:tcPr>
            <w:tcW w:w="2303" w:type="pct"/>
            <w:tcBorders>
              <w:left w:val="single" w:sz="4" w:space="0" w:color="auto"/>
            </w:tcBorders>
          </w:tcPr>
          <w:p w14:paraId="3BA75052" w14:textId="68AE6357" w:rsidR="00C94EA8" w:rsidRPr="00CF431D" w:rsidRDefault="00C94EA8" w:rsidP="0060315D">
            <w:pPr>
              <w:pStyle w:val="Tabletextleft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CF431D">
              <w:rPr>
                <w:rFonts w:cstheme="minorHAnsi"/>
                <w:sz w:val="22"/>
                <w:szCs w:val="22"/>
              </w:rPr>
              <w:t xml:space="preserve">Maximum exemption period </w:t>
            </w:r>
            <w:r w:rsidR="00957C87">
              <w:rPr>
                <w:rFonts w:cstheme="minorHAnsi"/>
                <w:sz w:val="22"/>
                <w:szCs w:val="22"/>
              </w:rPr>
              <w:t>is</w:t>
            </w:r>
            <w:r w:rsidRPr="00CF431D">
              <w:rPr>
                <w:rFonts w:cstheme="minorHAnsi"/>
                <w:sz w:val="22"/>
                <w:szCs w:val="22"/>
              </w:rPr>
              <w:t xml:space="preserve"> visa or medical registration expiry date.</w:t>
            </w:r>
          </w:p>
        </w:tc>
      </w:tr>
      <w:tr w:rsidR="00C94EA8" w:rsidRPr="00CF431D" w14:paraId="31399D48" w14:textId="77777777" w:rsidTr="00762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tcBorders>
              <w:right w:val="single" w:sz="4" w:space="0" w:color="auto"/>
            </w:tcBorders>
          </w:tcPr>
          <w:p w14:paraId="0F27F8DB" w14:textId="3BF42DA9" w:rsidR="00C94EA8" w:rsidRPr="00CF431D" w:rsidRDefault="00C94EA8" w:rsidP="0060315D">
            <w:pPr>
              <w:pStyle w:val="Tabletextleft"/>
              <w:spacing w:before="0"/>
              <w:rPr>
                <w:rFonts w:cstheme="minorHAnsi"/>
                <w:sz w:val="22"/>
                <w:szCs w:val="22"/>
              </w:rPr>
            </w:pPr>
            <w:r w:rsidRPr="00CF431D">
              <w:rPr>
                <w:rFonts w:cstheme="minorHAnsi"/>
                <w:sz w:val="22"/>
                <w:szCs w:val="22"/>
              </w:rPr>
              <w:t>Replacement</w:t>
            </w:r>
            <w:r w:rsidR="00957C87">
              <w:rPr>
                <w:rFonts w:cstheme="minorHAnsi"/>
                <w:sz w:val="22"/>
                <w:szCs w:val="22"/>
              </w:rPr>
              <w:t xml:space="preserve"> rules</w:t>
            </w:r>
          </w:p>
        </w:tc>
        <w:tc>
          <w:tcPr>
            <w:tcW w:w="1816" w:type="pct"/>
            <w:tcBorders>
              <w:left w:val="single" w:sz="4" w:space="0" w:color="auto"/>
              <w:right w:val="single" w:sz="4" w:space="0" w:color="auto"/>
            </w:tcBorders>
          </w:tcPr>
          <w:p w14:paraId="0B82B4CA" w14:textId="613C4465" w:rsidR="00C94EA8" w:rsidRPr="00CF431D" w:rsidRDefault="00C94EA8" w:rsidP="0060315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CF431D">
              <w:rPr>
                <w:rFonts w:cstheme="minorHAnsi"/>
                <w:szCs w:val="22"/>
              </w:rPr>
              <w:t xml:space="preserve">Practise at a non-DPA/DWS location </w:t>
            </w:r>
            <w:r w:rsidR="00957C87">
              <w:rPr>
                <w:rFonts w:cstheme="minorHAnsi"/>
                <w:szCs w:val="22"/>
              </w:rPr>
              <w:t>when a</w:t>
            </w:r>
            <w:r w:rsidRPr="00CF431D">
              <w:rPr>
                <w:rFonts w:cstheme="minorHAnsi"/>
                <w:szCs w:val="22"/>
              </w:rPr>
              <w:t>nother doctor subject to s19AB</w:t>
            </w:r>
            <w:r w:rsidR="00957C87">
              <w:rPr>
                <w:rFonts w:cstheme="minorHAnsi"/>
                <w:szCs w:val="22"/>
              </w:rPr>
              <w:t xml:space="preserve"> has left the practice and the area.</w:t>
            </w:r>
          </w:p>
        </w:tc>
        <w:tc>
          <w:tcPr>
            <w:tcW w:w="2303" w:type="pct"/>
            <w:tcBorders>
              <w:left w:val="single" w:sz="4" w:space="0" w:color="auto"/>
            </w:tcBorders>
          </w:tcPr>
          <w:p w14:paraId="16F364FE" w14:textId="77777777" w:rsidR="00C94EA8" w:rsidRPr="00CF431D" w:rsidRDefault="00C94EA8" w:rsidP="0060315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CF431D">
              <w:rPr>
                <w:rFonts w:cstheme="minorHAnsi"/>
                <w:szCs w:val="22"/>
              </w:rPr>
              <w:t xml:space="preserve">Seeking to replace </w:t>
            </w:r>
            <w:r w:rsidRPr="00CF431D">
              <w:rPr>
                <w:rFonts w:cstheme="minorHAnsi"/>
                <w:szCs w:val="22"/>
                <w:u w:val="single"/>
              </w:rPr>
              <w:t>another medical practitioner who</w:t>
            </w:r>
            <w:r w:rsidRPr="00CF431D">
              <w:rPr>
                <w:rFonts w:cstheme="minorHAnsi"/>
                <w:szCs w:val="22"/>
              </w:rPr>
              <w:t>:</w:t>
            </w:r>
          </w:p>
          <w:p w14:paraId="12761102" w14:textId="67D7CD32" w:rsidR="00C94EA8" w:rsidRPr="00CF431D" w:rsidRDefault="00C94EA8" w:rsidP="0060315D">
            <w:pPr>
              <w:pStyle w:val="ListParagraph"/>
              <w:numPr>
                <w:ilvl w:val="0"/>
                <w:numId w:val="29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CF431D">
              <w:rPr>
                <w:rFonts w:cstheme="minorHAnsi"/>
                <w:szCs w:val="22"/>
              </w:rPr>
              <w:t>held an indefinite s19AB(3) exemption that enabled unrestricted Medicare access at the medical practice</w:t>
            </w:r>
          </w:p>
          <w:p w14:paraId="56773E0F" w14:textId="77777777" w:rsidR="00C94EA8" w:rsidRPr="00CF431D" w:rsidRDefault="00C94EA8" w:rsidP="0060315D">
            <w:pPr>
              <w:pStyle w:val="ListParagraph"/>
              <w:numPr>
                <w:ilvl w:val="0"/>
                <w:numId w:val="29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CF431D">
              <w:rPr>
                <w:rFonts w:cstheme="minorHAnsi"/>
                <w:szCs w:val="22"/>
              </w:rPr>
              <w:t>provided consistent Medicare-subsidised services at the medical practice within the last 12 months</w:t>
            </w:r>
          </w:p>
          <w:p w14:paraId="3794B877" w14:textId="77777777" w:rsidR="00C94EA8" w:rsidRPr="00CF431D" w:rsidRDefault="00C94EA8" w:rsidP="0060315D">
            <w:pPr>
              <w:pStyle w:val="ListParagraph"/>
              <w:numPr>
                <w:ilvl w:val="0"/>
                <w:numId w:val="29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CF431D">
              <w:rPr>
                <w:rFonts w:cstheme="minorHAnsi"/>
                <w:szCs w:val="22"/>
              </w:rPr>
              <w:t>ceased practicing at all locations in the catchment area, having closed each of the related provider numbers</w:t>
            </w:r>
          </w:p>
          <w:p w14:paraId="305E6AF2" w14:textId="1681E7B3" w:rsidR="00C94EA8" w:rsidRPr="00CF431D" w:rsidRDefault="00C94EA8" w:rsidP="0060315D">
            <w:pPr>
              <w:pStyle w:val="ListParagraph"/>
              <w:numPr>
                <w:ilvl w:val="0"/>
                <w:numId w:val="29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CF431D">
              <w:rPr>
                <w:rFonts w:cstheme="minorHAnsi"/>
                <w:szCs w:val="22"/>
              </w:rPr>
              <w:t>provided a written statement to confirm that they have ceased, and have no intention of returning to, private practise within the catchment area. </w:t>
            </w:r>
          </w:p>
        </w:tc>
      </w:tr>
      <w:tr w:rsidR="0060315D" w:rsidRPr="00CF431D" w14:paraId="6493EF14" w14:textId="77777777" w:rsidTr="00762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tcBorders>
              <w:top w:val="single" w:sz="4" w:space="0" w:color="358189" w:themeColor="accent2"/>
              <w:bottom w:val="single" w:sz="4" w:space="0" w:color="358189" w:themeColor="accent2"/>
              <w:right w:val="single" w:sz="4" w:space="0" w:color="auto"/>
            </w:tcBorders>
          </w:tcPr>
          <w:p w14:paraId="45BBBCBE" w14:textId="12BC7C6A" w:rsidR="0060315D" w:rsidRPr="00CF431D" w:rsidRDefault="0060315D" w:rsidP="0060315D">
            <w:pPr>
              <w:pStyle w:val="Tabletextleft"/>
              <w:spacing w:before="0"/>
              <w:rPr>
                <w:rFonts w:cstheme="minorHAnsi"/>
                <w:sz w:val="22"/>
                <w:szCs w:val="22"/>
              </w:rPr>
            </w:pPr>
            <w:r w:rsidRPr="00CF431D">
              <w:rPr>
                <w:rFonts w:cstheme="minorHAnsi"/>
                <w:sz w:val="22"/>
                <w:szCs w:val="22"/>
              </w:rPr>
              <w:t>Spousal</w:t>
            </w:r>
          </w:p>
        </w:tc>
        <w:tc>
          <w:tcPr>
            <w:tcW w:w="1816" w:type="pct"/>
            <w:tcBorders>
              <w:top w:val="single" w:sz="4" w:space="0" w:color="358189" w:themeColor="accent2"/>
              <w:left w:val="single" w:sz="4" w:space="0" w:color="auto"/>
              <w:bottom w:val="single" w:sz="4" w:space="0" w:color="358189" w:themeColor="accent2"/>
              <w:right w:val="single" w:sz="4" w:space="0" w:color="auto"/>
            </w:tcBorders>
          </w:tcPr>
          <w:p w14:paraId="4E449AF7" w14:textId="5F0F8C7D" w:rsidR="0060315D" w:rsidRPr="00CF431D" w:rsidRDefault="0060315D" w:rsidP="0060315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CF431D">
              <w:rPr>
                <w:rFonts w:cstheme="minorHAnsi"/>
                <w:szCs w:val="22"/>
              </w:rPr>
              <w:t>Practise in a non-DPA/DWS</w:t>
            </w:r>
            <w:r w:rsidR="00957C87">
              <w:rPr>
                <w:rFonts w:cstheme="minorHAnsi"/>
                <w:szCs w:val="22"/>
              </w:rPr>
              <w:t xml:space="preserve"> area</w:t>
            </w:r>
            <w:r w:rsidRPr="00CF431D">
              <w:rPr>
                <w:rFonts w:cstheme="minorHAnsi"/>
                <w:szCs w:val="22"/>
              </w:rPr>
              <w:t xml:space="preserve"> within a reasonable distance of their spouse, who is a skilled migrant or doctor not prevented by s19AB from accessing Medicare.</w:t>
            </w:r>
          </w:p>
        </w:tc>
        <w:tc>
          <w:tcPr>
            <w:tcW w:w="2303" w:type="pct"/>
            <w:tcBorders>
              <w:left w:val="single" w:sz="4" w:space="0" w:color="auto"/>
            </w:tcBorders>
          </w:tcPr>
          <w:p w14:paraId="42B142EE" w14:textId="328009CB" w:rsidR="0060315D" w:rsidRPr="009E381B" w:rsidRDefault="0060315D" w:rsidP="0060315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72C4"/>
                <w:szCs w:val="22"/>
              </w:rPr>
            </w:pPr>
            <w:r w:rsidRPr="00CF431D">
              <w:rPr>
                <w:rFonts w:cstheme="minorHAnsi"/>
                <w:szCs w:val="22"/>
              </w:rPr>
              <w:t xml:space="preserve">The criteria and process are provided on the </w:t>
            </w:r>
            <w:hyperlink r:id="rId25" w:history="1">
              <w:r w:rsidRPr="009E381B">
                <w:rPr>
                  <w:rStyle w:val="Hyperlink"/>
                  <w:rFonts w:cstheme="minorHAnsi"/>
                  <w:color w:val="4472C4"/>
                  <w:szCs w:val="22"/>
                </w:rPr>
                <w:t>Spousal exemption information and application form</w:t>
              </w:r>
            </w:hyperlink>
          </w:p>
          <w:p w14:paraId="38F9DCAF" w14:textId="256174B6" w:rsidR="0060315D" w:rsidRPr="00CF431D" w:rsidRDefault="0060315D" w:rsidP="0060315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CF431D">
              <w:rPr>
                <w:rFonts w:cstheme="minorHAnsi"/>
                <w:szCs w:val="22"/>
              </w:rPr>
              <w:t xml:space="preserve"> </w:t>
            </w:r>
          </w:p>
        </w:tc>
      </w:tr>
      <w:tr w:rsidR="0060315D" w:rsidRPr="00CF431D" w14:paraId="098C95DE" w14:textId="77777777" w:rsidTr="00762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tcBorders>
              <w:right w:val="single" w:sz="4" w:space="0" w:color="auto"/>
            </w:tcBorders>
          </w:tcPr>
          <w:p w14:paraId="363413CC" w14:textId="5E178E98" w:rsidR="0060315D" w:rsidRPr="00CF431D" w:rsidRDefault="0060315D" w:rsidP="0060315D">
            <w:pPr>
              <w:pStyle w:val="Tabletextleft"/>
              <w:spacing w:before="0"/>
              <w:rPr>
                <w:rFonts w:cstheme="minorHAnsi"/>
                <w:sz w:val="22"/>
                <w:szCs w:val="22"/>
              </w:rPr>
            </w:pPr>
            <w:r w:rsidRPr="00CF431D">
              <w:rPr>
                <w:rFonts w:cstheme="minorHAnsi"/>
                <w:sz w:val="22"/>
                <w:szCs w:val="22"/>
              </w:rPr>
              <w:t>Prior employment negotiations</w:t>
            </w:r>
          </w:p>
        </w:tc>
        <w:tc>
          <w:tcPr>
            <w:tcW w:w="1816" w:type="pct"/>
            <w:tcBorders>
              <w:left w:val="single" w:sz="4" w:space="0" w:color="auto"/>
              <w:right w:val="single" w:sz="4" w:space="0" w:color="auto"/>
            </w:tcBorders>
          </w:tcPr>
          <w:p w14:paraId="06E8488A" w14:textId="48C64418" w:rsidR="0060315D" w:rsidRPr="00CF431D" w:rsidRDefault="0060315D" w:rsidP="0060315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CF431D">
              <w:rPr>
                <w:rFonts w:cstheme="minorHAnsi"/>
                <w:szCs w:val="22"/>
              </w:rPr>
              <w:t>Practise in a non-DPA/DWS location where the practice and applicant entered into employment negotiations when that location was a DPA/DWS.</w:t>
            </w:r>
          </w:p>
        </w:tc>
        <w:tc>
          <w:tcPr>
            <w:tcW w:w="2303" w:type="pct"/>
            <w:tcBorders>
              <w:left w:val="single" w:sz="4" w:space="0" w:color="auto"/>
            </w:tcBorders>
          </w:tcPr>
          <w:p w14:paraId="183377EE" w14:textId="040D7522" w:rsidR="0060315D" w:rsidRPr="00CF431D" w:rsidRDefault="0060315D" w:rsidP="0060315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CF431D">
              <w:rPr>
                <w:rFonts w:cstheme="minorHAnsi"/>
                <w:szCs w:val="22"/>
              </w:rPr>
              <w:t>Provide evidence that negotiations began when a location was a DPA/DWS</w:t>
            </w:r>
            <w:r w:rsidR="00396E94">
              <w:rPr>
                <w:rFonts w:cstheme="minorHAnsi"/>
                <w:szCs w:val="22"/>
              </w:rPr>
              <w:t>. Evidence could include emails negotiating start date, negotiating re: any delays etc, or copies of signed contracts</w:t>
            </w:r>
            <w:r w:rsidRPr="00CF431D">
              <w:rPr>
                <w:rFonts w:cstheme="minorHAnsi"/>
                <w:szCs w:val="22"/>
              </w:rPr>
              <w:t>.</w:t>
            </w:r>
          </w:p>
        </w:tc>
      </w:tr>
      <w:tr w:rsidR="0060315D" w:rsidRPr="00CF431D" w14:paraId="448220FE" w14:textId="77777777" w:rsidTr="00762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tcBorders>
              <w:top w:val="single" w:sz="4" w:space="0" w:color="358189" w:themeColor="accent2"/>
              <w:bottom w:val="single" w:sz="4" w:space="0" w:color="358189" w:themeColor="accent2"/>
              <w:right w:val="single" w:sz="4" w:space="0" w:color="auto"/>
            </w:tcBorders>
          </w:tcPr>
          <w:p w14:paraId="3C62FAB1" w14:textId="77777777" w:rsidR="0060315D" w:rsidRDefault="0060315D" w:rsidP="0060315D">
            <w:pPr>
              <w:pStyle w:val="Tabletextleft"/>
              <w:spacing w:before="0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CF431D">
              <w:rPr>
                <w:rFonts w:cstheme="minorHAnsi"/>
                <w:sz w:val="22"/>
                <w:szCs w:val="22"/>
              </w:rPr>
              <w:lastRenderedPageBreak/>
              <w:t xml:space="preserve">Commonwealth funded Aboriginal and Torres Strait Islander primary health care service </w:t>
            </w:r>
          </w:p>
          <w:p w14:paraId="2C45D5A7" w14:textId="728D9390" w:rsidR="00957C87" w:rsidRPr="00CF431D" w:rsidRDefault="00957C87" w:rsidP="0060315D">
            <w:pPr>
              <w:pStyle w:val="Tabletextleft"/>
              <w:spacing w:before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16" w:type="pct"/>
            <w:tcBorders>
              <w:top w:val="single" w:sz="4" w:space="0" w:color="358189" w:themeColor="accent2"/>
              <w:left w:val="single" w:sz="4" w:space="0" w:color="auto"/>
              <w:bottom w:val="single" w:sz="4" w:space="0" w:color="358189" w:themeColor="accent2"/>
              <w:right w:val="single" w:sz="4" w:space="0" w:color="auto"/>
            </w:tcBorders>
          </w:tcPr>
          <w:p w14:paraId="0E224389" w14:textId="1E9458C7" w:rsidR="0060315D" w:rsidRPr="00CF431D" w:rsidRDefault="0060315D" w:rsidP="0060315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CF431D">
              <w:rPr>
                <w:rFonts w:cstheme="minorHAnsi"/>
                <w:szCs w:val="22"/>
              </w:rPr>
              <w:t>Practise at an Aboriginal and Torres Strait Islander primary health service in non-DPA/DWS areas.</w:t>
            </w:r>
          </w:p>
        </w:tc>
        <w:tc>
          <w:tcPr>
            <w:tcW w:w="2303" w:type="pct"/>
            <w:tcBorders>
              <w:left w:val="single" w:sz="4" w:space="0" w:color="auto"/>
            </w:tcBorders>
          </w:tcPr>
          <w:p w14:paraId="53858668" w14:textId="7959BEA4" w:rsidR="0060315D" w:rsidRPr="00CF431D" w:rsidRDefault="0060315D" w:rsidP="0060315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CF431D">
              <w:rPr>
                <w:rFonts w:cstheme="minorHAnsi"/>
                <w:szCs w:val="22"/>
              </w:rPr>
              <w:t>A location that is approved under the class exemption must be listed on a direction under subsection 19(2) of the Health Insurance Act 1973</w:t>
            </w:r>
            <w:r w:rsidR="00E2330A" w:rsidRPr="00CF431D">
              <w:rPr>
                <w:rFonts w:cstheme="minorHAnsi"/>
                <w:szCs w:val="22"/>
              </w:rPr>
              <w:t xml:space="preserve"> or under the organisational umbrella of a location listed on the direction</w:t>
            </w:r>
            <w:r w:rsidRPr="00CF431D">
              <w:rPr>
                <w:rFonts w:cstheme="minorHAnsi"/>
                <w:szCs w:val="22"/>
              </w:rPr>
              <w:t>.</w:t>
            </w:r>
          </w:p>
        </w:tc>
      </w:tr>
      <w:tr w:rsidR="0060315D" w:rsidRPr="00CF431D" w14:paraId="3778A727" w14:textId="77777777" w:rsidTr="00762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tcBorders>
              <w:right w:val="single" w:sz="4" w:space="0" w:color="auto"/>
            </w:tcBorders>
          </w:tcPr>
          <w:p w14:paraId="7A20C119" w14:textId="51E21570" w:rsidR="0060315D" w:rsidRPr="00CF431D" w:rsidRDefault="0060315D" w:rsidP="0060315D">
            <w:pPr>
              <w:spacing w:before="0"/>
              <w:rPr>
                <w:rFonts w:cstheme="minorHAnsi"/>
                <w:szCs w:val="22"/>
              </w:rPr>
            </w:pPr>
            <w:r w:rsidRPr="00CF431D">
              <w:rPr>
                <w:rFonts w:cstheme="minorHAnsi"/>
                <w:szCs w:val="22"/>
              </w:rPr>
              <w:t>After-hours</w:t>
            </w:r>
          </w:p>
        </w:tc>
        <w:tc>
          <w:tcPr>
            <w:tcW w:w="1816" w:type="pct"/>
            <w:tcBorders>
              <w:left w:val="single" w:sz="4" w:space="0" w:color="auto"/>
              <w:right w:val="single" w:sz="4" w:space="0" w:color="auto"/>
            </w:tcBorders>
          </w:tcPr>
          <w:p w14:paraId="2384D747" w14:textId="77777777" w:rsidR="0060315D" w:rsidRPr="00CF431D" w:rsidRDefault="0060315D" w:rsidP="0060315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CF431D">
              <w:rPr>
                <w:rFonts w:cstheme="minorHAnsi"/>
                <w:szCs w:val="22"/>
              </w:rPr>
              <w:t xml:space="preserve">Accessing the Medicare benefits arrangements in an after-hours capacity is considered to meet DPA/DWS requirements across Australia for all medical specialties.  </w:t>
            </w:r>
          </w:p>
          <w:p w14:paraId="559CE8A6" w14:textId="7F81D2CE" w:rsidR="0060315D" w:rsidRPr="00CF431D" w:rsidRDefault="00762BD6" w:rsidP="0060315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</w:t>
            </w:r>
            <w:r w:rsidR="0060315D" w:rsidRPr="00CF431D">
              <w:rPr>
                <w:rFonts w:cstheme="minorHAnsi"/>
                <w:szCs w:val="22"/>
              </w:rPr>
              <w:t>fter-hours is defined as 6pm to 8am Monday to Friday and all day Saturday, Sunday and Public Holidays.</w:t>
            </w:r>
          </w:p>
        </w:tc>
        <w:tc>
          <w:tcPr>
            <w:tcW w:w="2303" w:type="pct"/>
            <w:tcBorders>
              <w:left w:val="single" w:sz="4" w:space="0" w:color="auto"/>
            </w:tcBorders>
          </w:tcPr>
          <w:p w14:paraId="7F95F8D9" w14:textId="157A6FB9" w:rsidR="0060315D" w:rsidRPr="00CF431D" w:rsidRDefault="00957C87" w:rsidP="0060315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E</w:t>
            </w:r>
            <w:r w:rsidR="0060315D" w:rsidRPr="00CF431D">
              <w:rPr>
                <w:rFonts w:cstheme="minorHAnsi"/>
                <w:szCs w:val="22"/>
              </w:rPr>
              <w:t>xemption</w:t>
            </w:r>
            <w:r>
              <w:rPr>
                <w:rFonts w:cstheme="minorHAnsi"/>
                <w:szCs w:val="22"/>
              </w:rPr>
              <w:t xml:space="preserve"> provided</w:t>
            </w:r>
            <w:r w:rsidR="0060315D" w:rsidRPr="00CF431D">
              <w:rPr>
                <w:rFonts w:cstheme="minorHAnsi"/>
                <w:szCs w:val="22"/>
              </w:rPr>
              <w:t xml:space="preserve"> for after-hours </w:t>
            </w:r>
            <w:r w:rsidR="00396E94">
              <w:rPr>
                <w:rFonts w:cstheme="minorHAnsi"/>
                <w:szCs w:val="22"/>
              </w:rPr>
              <w:t xml:space="preserve">services </w:t>
            </w:r>
            <w:r w:rsidR="0060315D" w:rsidRPr="00CF431D">
              <w:rPr>
                <w:rFonts w:cstheme="minorHAnsi"/>
                <w:szCs w:val="22"/>
              </w:rPr>
              <w:t>only.</w:t>
            </w:r>
          </w:p>
        </w:tc>
      </w:tr>
      <w:tr w:rsidR="00E2330A" w:rsidRPr="00CF431D" w14:paraId="61647E8B" w14:textId="77777777" w:rsidTr="00762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tcBorders>
              <w:top w:val="single" w:sz="4" w:space="0" w:color="358189" w:themeColor="accent2"/>
              <w:bottom w:val="single" w:sz="4" w:space="0" w:color="358189" w:themeColor="accent2"/>
              <w:right w:val="single" w:sz="4" w:space="0" w:color="auto"/>
            </w:tcBorders>
          </w:tcPr>
          <w:p w14:paraId="57F6BF9E" w14:textId="5D07B35C" w:rsidR="00E2330A" w:rsidRPr="00CF431D" w:rsidRDefault="00E2330A" w:rsidP="00E2330A">
            <w:pPr>
              <w:spacing w:before="0"/>
              <w:rPr>
                <w:rFonts w:cstheme="minorHAnsi"/>
                <w:szCs w:val="22"/>
              </w:rPr>
            </w:pPr>
            <w:r w:rsidRPr="00CF431D">
              <w:rPr>
                <w:rFonts w:cstheme="minorHAnsi"/>
                <w:szCs w:val="22"/>
              </w:rPr>
              <w:t xml:space="preserve">Discretionary </w:t>
            </w:r>
          </w:p>
        </w:tc>
        <w:tc>
          <w:tcPr>
            <w:tcW w:w="1816" w:type="pct"/>
            <w:tcBorders>
              <w:top w:val="single" w:sz="4" w:space="0" w:color="358189" w:themeColor="accent2"/>
              <w:left w:val="single" w:sz="4" w:space="0" w:color="auto"/>
              <w:bottom w:val="single" w:sz="4" w:space="0" w:color="358189" w:themeColor="accent2"/>
              <w:right w:val="single" w:sz="4" w:space="0" w:color="auto"/>
            </w:tcBorders>
          </w:tcPr>
          <w:p w14:paraId="3021FCE5" w14:textId="3D4917C1" w:rsidR="00E2330A" w:rsidRPr="00CF431D" w:rsidRDefault="00D92CCC" w:rsidP="00E2330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CF431D">
              <w:rPr>
                <w:rFonts w:cstheme="minorHAnsi"/>
                <w:szCs w:val="22"/>
              </w:rPr>
              <w:t>T</w:t>
            </w:r>
            <w:r w:rsidR="00E2330A" w:rsidRPr="00CF431D">
              <w:rPr>
                <w:rFonts w:cstheme="minorHAnsi"/>
                <w:szCs w:val="22"/>
              </w:rPr>
              <w:t>he Guidelines allow consideration of ‘any other matters the Minister considers relevant’ in granting an exemption to s19AB.</w:t>
            </w:r>
          </w:p>
        </w:tc>
        <w:tc>
          <w:tcPr>
            <w:tcW w:w="2303" w:type="pct"/>
            <w:tcBorders>
              <w:left w:val="single" w:sz="4" w:space="0" w:color="auto"/>
            </w:tcBorders>
          </w:tcPr>
          <w:p w14:paraId="3D7D24F5" w14:textId="1493FDDA" w:rsidR="00E2330A" w:rsidRPr="00CF431D" w:rsidRDefault="00396E94" w:rsidP="00762BD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</w:t>
            </w:r>
            <w:r w:rsidR="00E2330A" w:rsidRPr="00CF431D">
              <w:rPr>
                <w:rFonts w:cstheme="minorHAnsi"/>
                <w:szCs w:val="22"/>
              </w:rPr>
              <w:t xml:space="preserve"> discretionary exemption may be approved if:</w:t>
            </w:r>
          </w:p>
          <w:p w14:paraId="5B2953BE" w14:textId="0E9FAC43" w:rsidR="00E2330A" w:rsidRPr="00CF431D" w:rsidRDefault="00E2330A" w:rsidP="00762BD6">
            <w:pPr>
              <w:pStyle w:val="ListParagraph"/>
              <w:numPr>
                <w:ilvl w:val="0"/>
                <w:numId w:val="31"/>
              </w:numPr>
              <w:spacing w:before="0" w:after="0"/>
              <w:ind w:left="45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CF431D">
              <w:rPr>
                <w:rFonts w:cstheme="minorHAnsi"/>
                <w:szCs w:val="22"/>
              </w:rPr>
              <w:t>an applicant provides evidence of caring for an immediate family member with a medical condition (supported by independent medical evidence) requir</w:t>
            </w:r>
            <w:r w:rsidR="00762BD6">
              <w:rPr>
                <w:rFonts w:cstheme="minorHAnsi"/>
                <w:szCs w:val="22"/>
              </w:rPr>
              <w:t>ing</w:t>
            </w:r>
            <w:r w:rsidRPr="00CF431D">
              <w:rPr>
                <w:rFonts w:cstheme="minorHAnsi"/>
                <w:szCs w:val="22"/>
              </w:rPr>
              <w:t xml:space="preserve"> them to be in a metropolitan area.</w:t>
            </w:r>
          </w:p>
          <w:p w14:paraId="22EFB7A2" w14:textId="13EB95BB" w:rsidR="00E2330A" w:rsidRPr="00CF431D" w:rsidRDefault="00E2330A" w:rsidP="00762BD6">
            <w:pPr>
              <w:pStyle w:val="ListParagraph"/>
              <w:numPr>
                <w:ilvl w:val="0"/>
                <w:numId w:val="31"/>
              </w:numPr>
              <w:spacing w:before="0" w:after="0"/>
              <w:ind w:left="45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CF431D">
              <w:rPr>
                <w:rFonts w:cstheme="minorHAnsi"/>
                <w:szCs w:val="22"/>
              </w:rPr>
              <w:t>where evidence is provided that the COVID-19 pandemic has affected a doctor’s ability to meet section 19AB requirements</w:t>
            </w:r>
          </w:p>
        </w:tc>
      </w:tr>
      <w:tr w:rsidR="00D92CCC" w:rsidRPr="00CF431D" w14:paraId="6BCD1274" w14:textId="77777777" w:rsidTr="00762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tcBorders>
              <w:right w:val="single" w:sz="4" w:space="0" w:color="auto"/>
            </w:tcBorders>
          </w:tcPr>
          <w:p w14:paraId="05503C97" w14:textId="3A7E60C8" w:rsidR="00D92CCC" w:rsidRPr="00CF431D" w:rsidRDefault="00D92CCC" w:rsidP="00E2330A">
            <w:pPr>
              <w:spacing w:before="0"/>
              <w:rPr>
                <w:rFonts w:cstheme="minorHAnsi"/>
                <w:szCs w:val="22"/>
              </w:rPr>
            </w:pPr>
            <w:r w:rsidRPr="00CF431D">
              <w:rPr>
                <w:rFonts w:cstheme="minorHAnsi"/>
                <w:szCs w:val="22"/>
              </w:rPr>
              <w:t>Specialty in acute shortage</w:t>
            </w:r>
          </w:p>
        </w:tc>
        <w:tc>
          <w:tcPr>
            <w:tcW w:w="1816" w:type="pct"/>
            <w:tcBorders>
              <w:left w:val="single" w:sz="4" w:space="0" w:color="auto"/>
              <w:right w:val="single" w:sz="4" w:space="0" w:color="auto"/>
            </w:tcBorders>
          </w:tcPr>
          <w:p w14:paraId="72312F9D" w14:textId="55DA83AD" w:rsidR="00D92CCC" w:rsidRPr="00CF431D" w:rsidRDefault="00D92CCC" w:rsidP="00E2330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CF431D">
              <w:rPr>
                <w:rFonts w:cstheme="minorHAnsi"/>
                <w:szCs w:val="22"/>
              </w:rPr>
              <w:t>Practise in a specialty in acute shortage (per DWS classification) anywhere across Australia.</w:t>
            </w:r>
          </w:p>
        </w:tc>
        <w:tc>
          <w:tcPr>
            <w:tcW w:w="2303" w:type="pct"/>
            <w:tcBorders>
              <w:left w:val="single" w:sz="4" w:space="0" w:color="auto"/>
            </w:tcBorders>
          </w:tcPr>
          <w:p w14:paraId="63FC942B" w14:textId="40CAF53B" w:rsidR="00D92CCC" w:rsidRPr="00CF431D" w:rsidRDefault="00D92CCC" w:rsidP="00E2330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CF431D">
              <w:rPr>
                <w:rFonts w:cstheme="minorHAnsi"/>
                <w:szCs w:val="22"/>
              </w:rPr>
              <w:t xml:space="preserve">If a doctor’s specialty is on the </w:t>
            </w:r>
            <w:hyperlink r:id="rId26" w:history="1">
              <w:r w:rsidRPr="009E381B">
                <w:rPr>
                  <w:rStyle w:val="Hyperlink"/>
                  <w:rFonts w:cstheme="minorHAnsi"/>
                  <w:color w:val="4472C4"/>
                  <w:szCs w:val="22"/>
                </w:rPr>
                <w:t>acute shortage list</w:t>
              </w:r>
            </w:hyperlink>
            <w:r w:rsidRPr="00CF431D">
              <w:rPr>
                <w:rFonts w:cstheme="minorHAnsi"/>
                <w:szCs w:val="22"/>
              </w:rPr>
              <w:t xml:space="preserve"> they are eligible for an exemption at any location across Australia.</w:t>
            </w:r>
          </w:p>
        </w:tc>
      </w:tr>
      <w:tr w:rsidR="00DC33FB" w:rsidRPr="00CF431D" w14:paraId="2D45D629" w14:textId="77777777" w:rsidTr="00762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tcBorders>
              <w:top w:val="single" w:sz="4" w:space="0" w:color="358189" w:themeColor="accent2"/>
              <w:bottom w:val="single" w:sz="4" w:space="0" w:color="358189" w:themeColor="accent2"/>
              <w:right w:val="single" w:sz="4" w:space="0" w:color="auto"/>
            </w:tcBorders>
          </w:tcPr>
          <w:p w14:paraId="76E012C9" w14:textId="7C1149D9" w:rsidR="00DC33FB" w:rsidRPr="00CF431D" w:rsidRDefault="00DC33FB" w:rsidP="00E2330A">
            <w:pPr>
              <w:spacing w:before="0"/>
              <w:rPr>
                <w:rFonts w:cstheme="minorHAnsi"/>
                <w:szCs w:val="22"/>
              </w:rPr>
            </w:pPr>
            <w:r w:rsidRPr="00CF431D">
              <w:rPr>
                <w:rFonts w:cstheme="minorHAnsi"/>
                <w:szCs w:val="22"/>
              </w:rPr>
              <w:t>Placement on a workforce or training program</w:t>
            </w:r>
          </w:p>
        </w:tc>
        <w:tc>
          <w:tcPr>
            <w:tcW w:w="1816" w:type="pct"/>
            <w:tcBorders>
              <w:top w:val="single" w:sz="4" w:space="0" w:color="358189" w:themeColor="accent2"/>
              <w:left w:val="single" w:sz="4" w:space="0" w:color="auto"/>
              <w:bottom w:val="single" w:sz="4" w:space="0" w:color="358189" w:themeColor="accent2"/>
              <w:right w:val="single" w:sz="4" w:space="0" w:color="auto"/>
            </w:tcBorders>
          </w:tcPr>
          <w:p w14:paraId="0D3DB25E" w14:textId="4DAEFB91" w:rsidR="00DC33FB" w:rsidRPr="00CF431D" w:rsidRDefault="00DC33FB" w:rsidP="00E2330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CF431D">
              <w:rPr>
                <w:rFonts w:cstheme="minorHAnsi"/>
                <w:szCs w:val="22"/>
              </w:rPr>
              <w:t>A doctor has an approved placement on workforce or training program at a given location.</w:t>
            </w:r>
          </w:p>
        </w:tc>
        <w:tc>
          <w:tcPr>
            <w:tcW w:w="2303" w:type="pct"/>
            <w:tcBorders>
              <w:left w:val="single" w:sz="4" w:space="0" w:color="auto"/>
            </w:tcBorders>
          </w:tcPr>
          <w:p w14:paraId="12F071AE" w14:textId="5E17F4A2" w:rsidR="00DC33FB" w:rsidRPr="00CF431D" w:rsidRDefault="00DC33FB" w:rsidP="00E2330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CF431D">
              <w:rPr>
                <w:rFonts w:cstheme="minorHAnsi"/>
                <w:szCs w:val="22"/>
              </w:rPr>
              <w:t>A doctor may be eligible for an exemption if they have a placement at a location on</w:t>
            </w:r>
            <w:r w:rsidR="00701979">
              <w:rPr>
                <w:rFonts w:cstheme="minorHAnsi"/>
                <w:szCs w:val="22"/>
              </w:rPr>
              <w:t xml:space="preserve"> a</w:t>
            </w:r>
            <w:r w:rsidRPr="00CF431D">
              <w:rPr>
                <w:rFonts w:cstheme="minorHAnsi"/>
                <w:szCs w:val="22"/>
              </w:rPr>
              <w:t xml:space="preserve"> </w:t>
            </w:r>
            <w:hyperlink r:id="rId27" w:history="1">
              <w:r w:rsidRPr="009E381B">
                <w:rPr>
                  <w:rStyle w:val="Hyperlink"/>
                  <w:rFonts w:cstheme="minorHAnsi"/>
                  <w:color w:val="4472C4"/>
                  <w:szCs w:val="22"/>
                </w:rPr>
                <w:t>workforce or training program</w:t>
              </w:r>
            </w:hyperlink>
            <w:r w:rsidRPr="00CF431D">
              <w:rPr>
                <w:rFonts w:cstheme="minorHAnsi"/>
                <w:szCs w:val="22"/>
              </w:rPr>
              <w:t>. These programs have their own location restrictions.</w:t>
            </w:r>
          </w:p>
        </w:tc>
      </w:tr>
    </w:tbl>
    <w:p w14:paraId="0938C8CA" w14:textId="77777777" w:rsidR="008376E2" w:rsidRPr="005A7CBB" w:rsidRDefault="008376E2" w:rsidP="00D92CCC"/>
    <w:sectPr w:rsidR="008376E2" w:rsidRPr="005A7CBB" w:rsidSect="00B91D58">
      <w:pgSz w:w="16838" w:h="11906" w:orient="landscape"/>
      <w:pgMar w:top="851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755B7" w14:textId="77777777" w:rsidR="00B91D58" w:rsidRDefault="00B91D58" w:rsidP="006B56BB">
      <w:r>
        <w:separator/>
      </w:r>
    </w:p>
    <w:p w14:paraId="26B0071A" w14:textId="77777777" w:rsidR="00B91D58" w:rsidRDefault="00B91D58"/>
  </w:endnote>
  <w:endnote w:type="continuationSeparator" w:id="0">
    <w:p w14:paraId="79131945" w14:textId="77777777" w:rsidR="00B91D58" w:rsidRDefault="00B91D58" w:rsidP="006B56BB">
      <w:r>
        <w:continuationSeparator/>
      </w:r>
    </w:p>
    <w:p w14:paraId="6CBD5902" w14:textId="77777777" w:rsidR="00B91D58" w:rsidRDefault="00B91D58"/>
  </w:endnote>
  <w:endnote w:type="continuationNotice" w:id="1">
    <w:p w14:paraId="7B4DF1F6" w14:textId="77777777" w:rsidR="00B91D58" w:rsidRDefault="00B91D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B64BA" w14:textId="0333B98E" w:rsidR="00EE4299" w:rsidRDefault="00917ECC" w:rsidP="00EE4299">
    <w:pPr>
      <w:pStyle w:val="Footer"/>
      <w:tabs>
        <w:tab w:val="clear" w:pos="4513"/>
      </w:tabs>
    </w:pPr>
    <w:r>
      <w:rPr>
        <w:i/>
        <w:iCs/>
      </w:rPr>
      <w:t xml:space="preserve">Last updated: </w:t>
    </w:r>
    <w:r w:rsidR="00C94EA8">
      <w:rPr>
        <w:i/>
        <w:iCs/>
      </w:rPr>
      <w:t>August</w:t>
    </w:r>
    <w:r>
      <w:rPr>
        <w:i/>
        <w:iCs/>
      </w:rPr>
      <w:t xml:space="preserve"> 2021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EE4299">
          <w:tab/>
        </w:r>
        <w:r w:rsidR="00EE4299" w:rsidRPr="003D033A">
          <w:fldChar w:fldCharType="begin"/>
        </w:r>
        <w:r w:rsidR="00EE4299" w:rsidRPr="003D033A">
          <w:instrText xml:space="preserve"> PAGE   \* MERGEFORMAT </w:instrText>
        </w:r>
        <w:r w:rsidR="00EE4299" w:rsidRPr="003D033A">
          <w:fldChar w:fldCharType="separate"/>
        </w:r>
        <w:r w:rsidR="007C6484">
          <w:rPr>
            <w:noProof/>
          </w:rPr>
          <w:t>2</w:t>
        </w:r>
        <w:r w:rsidR="00EE4299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6238F" w14:textId="77777777" w:rsidR="00B91D58" w:rsidRDefault="00B91D58" w:rsidP="006B56BB">
      <w:r>
        <w:separator/>
      </w:r>
    </w:p>
    <w:p w14:paraId="7B8F2500" w14:textId="77777777" w:rsidR="00B91D58" w:rsidRDefault="00B91D58"/>
  </w:footnote>
  <w:footnote w:type="continuationSeparator" w:id="0">
    <w:p w14:paraId="26358FA9" w14:textId="77777777" w:rsidR="00B91D58" w:rsidRDefault="00B91D58" w:rsidP="006B56BB">
      <w:r>
        <w:continuationSeparator/>
      </w:r>
    </w:p>
    <w:p w14:paraId="6FD516B7" w14:textId="77777777" w:rsidR="00B91D58" w:rsidRDefault="00B91D58"/>
  </w:footnote>
  <w:footnote w:type="continuationNotice" w:id="1">
    <w:p w14:paraId="00CC9FF3" w14:textId="77777777" w:rsidR="00B91D58" w:rsidRDefault="00B91D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66F6A" w14:textId="0E32F427" w:rsidR="00701979" w:rsidRDefault="00701979">
    <w:pPr>
      <w:pStyle w:val="Header"/>
    </w:pPr>
    <w:r>
      <w:rPr>
        <w:noProof/>
        <w:lang w:eastAsia="en-AU"/>
      </w:rPr>
      <w:drawing>
        <wp:inline distT="0" distB="0" distL="0" distR="0" wp14:anchorId="53CD29CC" wp14:editId="00C968B4">
          <wp:extent cx="5759450" cy="942138"/>
          <wp:effectExtent l="0" t="0" r="0" b="0"/>
          <wp:docPr id="5" name="Picture 5" descr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v-logo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45"/>
                  <a:stretch/>
                </pic:blipFill>
                <pic:spPr bwMode="auto">
                  <a:xfrm>
                    <a:off x="0" y="0"/>
                    <a:ext cx="5759450" cy="9421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4E3B61"/>
    <w:multiLevelType w:val="hybridMultilevel"/>
    <w:tmpl w:val="4D1A44E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C18EA"/>
    <w:multiLevelType w:val="hybridMultilevel"/>
    <w:tmpl w:val="F07C589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20E39"/>
    <w:multiLevelType w:val="hybridMultilevel"/>
    <w:tmpl w:val="C49E6F0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03483"/>
    <w:multiLevelType w:val="multilevel"/>
    <w:tmpl w:val="24D8B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28657F"/>
    <w:multiLevelType w:val="hybridMultilevel"/>
    <w:tmpl w:val="5B60E05A"/>
    <w:lvl w:ilvl="0" w:tplc="8800EF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6675A18"/>
    <w:multiLevelType w:val="hybridMultilevel"/>
    <w:tmpl w:val="1A2C909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37B01"/>
    <w:multiLevelType w:val="hybridMultilevel"/>
    <w:tmpl w:val="FBF8E3E4"/>
    <w:lvl w:ilvl="0" w:tplc="D1E843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02D1A"/>
    <w:multiLevelType w:val="hybridMultilevel"/>
    <w:tmpl w:val="92FC5EC8"/>
    <w:lvl w:ilvl="0" w:tplc="0A885D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 w15:restartNumberingAfterBreak="0">
    <w:nsid w:val="4EB81B82"/>
    <w:multiLevelType w:val="hybridMultilevel"/>
    <w:tmpl w:val="DF6CB52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157D7"/>
    <w:multiLevelType w:val="hybridMultilevel"/>
    <w:tmpl w:val="4824043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C1BEA"/>
    <w:multiLevelType w:val="hybridMultilevel"/>
    <w:tmpl w:val="39C0DD40"/>
    <w:lvl w:ilvl="0" w:tplc="704ED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EA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E2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8AFC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D0C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B24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65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FCC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96D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B140CE7"/>
    <w:multiLevelType w:val="hybridMultilevel"/>
    <w:tmpl w:val="E9E0E6AC"/>
    <w:lvl w:ilvl="0" w:tplc="E81AC4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76380011">
    <w:abstractNumId w:val="7"/>
  </w:num>
  <w:num w:numId="2" w16cid:durableId="1995405460">
    <w:abstractNumId w:val="23"/>
  </w:num>
  <w:num w:numId="3" w16cid:durableId="509804972">
    <w:abstractNumId w:val="25"/>
  </w:num>
  <w:num w:numId="4" w16cid:durableId="1892615642">
    <w:abstractNumId w:val="8"/>
  </w:num>
  <w:num w:numId="5" w16cid:durableId="1309825133">
    <w:abstractNumId w:val="8"/>
    <w:lvlOverride w:ilvl="0">
      <w:startOverride w:val="1"/>
    </w:lvlOverride>
  </w:num>
  <w:num w:numId="6" w16cid:durableId="436101167">
    <w:abstractNumId w:val="9"/>
  </w:num>
  <w:num w:numId="7" w16cid:durableId="756824672">
    <w:abstractNumId w:val="21"/>
  </w:num>
  <w:num w:numId="8" w16cid:durableId="1170414588">
    <w:abstractNumId w:val="24"/>
  </w:num>
  <w:num w:numId="9" w16cid:durableId="875117756">
    <w:abstractNumId w:val="5"/>
  </w:num>
  <w:num w:numId="10" w16cid:durableId="1825195888">
    <w:abstractNumId w:val="4"/>
  </w:num>
  <w:num w:numId="11" w16cid:durableId="1045593624">
    <w:abstractNumId w:val="3"/>
  </w:num>
  <w:num w:numId="12" w16cid:durableId="263652776">
    <w:abstractNumId w:val="2"/>
  </w:num>
  <w:num w:numId="13" w16cid:durableId="1084257105">
    <w:abstractNumId w:val="6"/>
  </w:num>
  <w:num w:numId="14" w16cid:durableId="457528523">
    <w:abstractNumId w:val="1"/>
  </w:num>
  <w:num w:numId="15" w16cid:durableId="503860234">
    <w:abstractNumId w:val="0"/>
  </w:num>
  <w:num w:numId="16" w16cid:durableId="122770971">
    <w:abstractNumId w:val="29"/>
  </w:num>
  <w:num w:numId="17" w16cid:durableId="72288184">
    <w:abstractNumId w:val="10"/>
  </w:num>
  <w:num w:numId="18" w16cid:durableId="1793401632">
    <w:abstractNumId w:val="12"/>
  </w:num>
  <w:num w:numId="19" w16cid:durableId="390619552">
    <w:abstractNumId w:val="17"/>
  </w:num>
  <w:num w:numId="20" w16cid:durableId="206573206">
    <w:abstractNumId w:val="14"/>
  </w:num>
  <w:num w:numId="21" w16cid:durableId="1342313894">
    <w:abstractNumId w:val="28"/>
  </w:num>
  <w:num w:numId="22" w16cid:durableId="924805459">
    <w:abstractNumId w:val="18"/>
  </w:num>
  <w:num w:numId="23" w16cid:durableId="892035820">
    <w:abstractNumId w:val="19"/>
  </w:num>
  <w:num w:numId="24" w16cid:durableId="1341619545">
    <w:abstractNumId w:val="11"/>
  </w:num>
  <w:num w:numId="25" w16cid:durableId="746609743">
    <w:abstractNumId w:val="26"/>
  </w:num>
  <w:num w:numId="26" w16cid:durableId="1057507986">
    <w:abstractNumId w:val="20"/>
  </w:num>
  <w:num w:numId="27" w16cid:durableId="1115369278">
    <w:abstractNumId w:val="22"/>
  </w:num>
  <w:num w:numId="28" w16cid:durableId="758796418">
    <w:abstractNumId w:val="13"/>
  </w:num>
  <w:num w:numId="29" w16cid:durableId="242186152">
    <w:abstractNumId w:val="15"/>
  </w:num>
  <w:num w:numId="30" w16cid:durableId="1381788042">
    <w:abstractNumId w:val="27"/>
  </w:num>
  <w:num w:numId="31" w16cid:durableId="17828007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C2E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E63"/>
    <w:rsid w:val="00046FF0"/>
    <w:rsid w:val="00050176"/>
    <w:rsid w:val="00050342"/>
    <w:rsid w:val="00064A2A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2D37"/>
    <w:rsid w:val="001432A7"/>
    <w:rsid w:val="00144908"/>
    <w:rsid w:val="00154DA8"/>
    <w:rsid w:val="001571C7"/>
    <w:rsid w:val="00161094"/>
    <w:rsid w:val="0017665C"/>
    <w:rsid w:val="00177AD2"/>
    <w:rsid w:val="001801F9"/>
    <w:rsid w:val="001815A8"/>
    <w:rsid w:val="001840FA"/>
    <w:rsid w:val="00187FB8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571D"/>
    <w:rsid w:val="001D7869"/>
    <w:rsid w:val="001F1F97"/>
    <w:rsid w:val="00201C02"/>
    <w:rsid w:val="002026CD"/>
    <w:rsid w:val="002033FC"/>
    <w:rsid w:val="002044BB"/>
    <w:rsid w:val="00210B09"/>
    <w:rsid w:val="00210C9E"/>
    <w:rsid w:val="00211840"/>
    <w:rsid w:val="00220E5F"/>
    <w:rsid w:val="002212B5"/>
    <w:rsid w:val="002221EF"/>
    <w:rsid w:val="00226668"/>
    <w:rsid w:val="0023376D"/>
    <w:rsid w:val="00233809"/>
    <w:rsid w:val="002338D2"/>
    <w:rsid w:val="00240046"/>
    <w:rsid w:val="002400FC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35E4"/>
    <w:rsid w:val="0028519E"/>
    <w:rsid w:val="002856A5"/>
    <w:rsid w:val="002872ED"/>
    <w:rsid w:val="002905C2"/>
    <w:rsid w:val="00295AF2"/>
    <w:rsid w:val="00295C91"/>
    <w:rsid w:val="00297151"/>
    <w:rsid w:val="002B20E6"/>
    <w:rsid w:val="002B3443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41C0"/>
    <w:rsid w:val="00357BCC"/>
    <w:rsid w:val="00360E4E"/>
    <w:rsid w:val="00370AAA"/>
    <w:rsid w:val="00375F77"/>
    <w:rsid w:val="00381BBE"/>
    <w:rsid w:val="00382903"/>
    <w:rsid w:val="003846FF"/>
    <w:rsid w:val="00384C13"/>
    <w:rsid w:val="003857D4"/>
    <w:rsid w:val="00385AD4"/>
    <w:rsid w:val="00387924"/>
    <w:rsid w:val="0039384D"/>
    <w:rsid w:val="00395C23"/>
    <w:rsid w:val="00396E94"/>
    <w:rsid w:val="003A2E4F"/>
    <w:rsid w:val="003A4438"/>
    <w:rsid w:val="003A5013"/>
    <w:rsid w:val="003A5078"/>
    <w:rsid w:val="003A62DD"/>
    <w:rsid w:val="003A704C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45A4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6E37"/>
    <w:rsid w:val="00467BBF"/>
    <w:rsid w:val="0048593C"/>
    <w:rsid w:val="004867E2"/>
    <w:rsid w:val="004929A9"/>
    <w:rsid w:val="00494B2E"/>
    <w:rsid w:val="004A78D9"/>
    <w:rsid w:val="004C6BCF"/>
    <w:rsid w:val="004D0B04"/>
    <w:rsid w:val="004D58BF"/>
    <w:rsid w:val="004D6B6B"/>
    <w:rsid w:val="004E4335"/>
    <w:rsid w:val="004F13EE"/>
    <w:rsid w:val="004F15D2"/>
    <w:rsid w:val="004F2022"/>
    <w:rsid w:val="004F7C05"/>
    <w:rsid w:val="00500238"/>
    <w:rsid w:val="00501C94"/>
    <w:rsid w:val="00506432"/>
    <w:rsid w:val="0052051D"/>
    <w:rsid w:val="00533004"/>
    <w:rsid w:val="00542469"/>
    <w:rsid w:val="00545EE6"/>
    <w:rsid w:val="00545FC8"/>
    <w:rsid w:val="005550E7"/>
    <w:rsid w:val="005564FB"/>
    <w:rsid w:val="005572C7"/>
    <w:rsid w:val="005650ED"/>
    <w:rsid w:val="00574269"/>
    <w:rsid w:val="00575754"/>
    <w:rsid w:val="00581FBA"/>
    <w:rsid w:val="00585F0E"/>
    <w:rsid w:val="005911D6"/>
    <w:rsid w:val="00591E20"/>
    <w:rsid w:val="00595408"/>
    <w:rsid w:val="00595E84"/>
    <w:rsid w:val="005A0C59"/>
    <w:rsid w:val="005A48EB"/>
    <w:rsid w:val="005A6CFB"/>
    <w:rsid w:val="005A7CBB"/>
    <w:rsid w:val="005C5AEB"/>
    <w:rsid w:val="005E0A3F"/>
    <w:rsid w:val="005E6883"/>
    <w:rsid w:val="005E6D93"/>
    <w:rsid w:val="005E772F"/>
    <w:rsid w:val="005E7AEE"/>
    <w:rsid w:val="005F4ECA"/>
    <w:rsid w:val="00600AC9"/>
    <w:rsid w:val="0060315D"/>
    <w:rsid w:val="006041BE"/>
    <w:rsid w:val="006043C7"/>
    <w:rsid w:val="00624B52"/>
    <w:rsid w:val="00630794"/>
    <w:rsid w:val="00631DF4"/>
    <w:rsid w:val="00634175"/>
    <w:rsid w:val="0063429B"/>
    <w:rsid w:val="006408AC"/>
    <w:rsid w:val="006511B6"/>
    <w:rsid w:val="00657FF8"/>
    <w:rsid w:val="00660608"/>
    <w:rsid w:val="00670D99"/>
    <w:rsid w:val="00670E2B"/>
    <w:rsid w:val="006734BB"/>
    <w:rsid w:val="0067697A"/>
    <w:rsid w:val="006821EB"/>
    <w:rsid w:val="006A6DD5"/>
    <w:rsid w:val="006B2286"/>
    <w:rsid w:val="006B3938"/>
    <w:rsid w:val="006B56BB"/>
    <w:rsid w:val="006C77A8"/>
    <w:rsid w:val="006D4098"/>
    <w:rsid w:val="006D73AA"/>
    <w:rsid w:val="006D7681"/>
    <w:rsid w:val="006D7B2E"/>
    <w:rsid w:val="006E02EA"/>
    <w:rsid w:val="006E0968"/>
    <w:rsid w:val="006E2AF6"/>
    <w:rsid w:val="00701275"/>
    <w:rsid w:val="00701979"/>
    <w:rsid w:val="00707F56"/>
    <w:rsid w:val="00713558"/>
    <w:rsid w:val="00713754"/>
    <w:rsid w:val="00720D08"/>
    <w:rsid w:val="007263B9"/>
    <w:rsid w:val="00727AD8"/>
    <w:rsid w:val="007334F8"/>
    <w:rsid w:val="007339CD"/>
    <w:rsid w:val="007359D8"/>
    <w:rsid w:val="007362D4"/>
    <w:rsid w:val="007573BF"/>
    <w:rsid w:val="00762BD6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484"/>
    <w:rsid w:val="007C6D9C"/>
    <w:rsid w:val="007C7DDB"/>
    <w:rsid w:val="007D2CC7"/>
    <w:rsid w:val="007D673D"/>
    <w:rsid w:val="007E4D09"/>
    <w:rsid w:val="007F2220"/>
    <w:rsid w:val="007F4B3E"/>
    <w:rsid w:val="00811705"/>
    <w:rsid w:val="008127AF"/>
    <w:rsid w:val="00812B46"/>
    <w:rsid w:val="0081410A"/>
    <w:rsid w:val="00814F9F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470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B29D8"/>
    <w:rsid w:val="008B4FE2"/>
    <w:rsid w:val="008B51AF"/>
    <w:rsid w:val="008B5411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5B74"/>
    <w:rsid w:val="009074E1"/>
    <w:rsid w:val="009112F7"/>
    <w:rsid w:val="009122AF"/>
    <w:rsid w:val="00912D54"/>
    <w:rsid w:val="0091389F"/>
    <w:rsid w:val="00917337"/>
    <w:rsid w:val="00917ECC"/>
    <w:rsid w:val="009208F7"/>
    <w:rsid w:val="00921649"/>
    <w:rsid w:val="00922517"/>
    <w:rsid w:val="00922722"/>
    <w:rsid w:val="009240A5"/>
    <w:rsid w:val="009261E6"/>
    <w:rsid w:val="009268E1"/>
    <w:rsid w:val="009344DE"/>
    <w:rsid w:val="00941C1B"/>
    <w:rsid w:val="00945E7F"/>
    <w:rsid w:val="009557C1"/>
    <w:rsid w:val="00957C87"/>
    <w:rsid w:val="00960D6E"/>
    <w:rsid w:val="009657D6"/>
    <w:rsid w:val="00974B59"/>
    <w:rsid w:val="00980EE5"/>
    <w:rsid w:val="0098340B"/>
    <w:rsid w:val="00986830"/>
    <w:rsid w:val="009924C3"/>
    <w:rsid w:val="00993102"/>
    <w:rsid w:val="009B1570"/>
    <w:rsid w:val="009C6F10"/>
    <w:rsid w:val="009D148F"/>
    <w:rsid w:val="009D3D70"/>
    <w:rsid w:val="009E381B"/>
    <w:rsid w:val="009E4414"/>
    <w:rsid w:val="009E6F7E"/>
    <w:rsid w:val="009E7A57"/>
    <w:rsid w:val="009F4803"/>
    <w:rsid w:val="009F4F6A"/>
    <w:rsid w:val="00A05892"/>
    <w:rsid w:val="00A12C5E"/>
    <w:rsid w:val="00A13EB5"/>
    <w:rsid w:val="00A16E36"/>
    <w:rsid w:val="00A207D5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E739F"/>
    <w:rsid w:val="00AF7386"/>
    <w:rsid w:val="00AF7934"/>
    <w:rsid w:val="00B00B81"/>
    <w:rsid w:val="00B04580"/>
    <w:rsid w:val="00B04B09"/>
    <w:rsid w:val="00B16A51"/>
    <w:rsid w:val="00B17E07"/>
    <w:rsid w:val="00B32222"/>
    <w:rsid w:val="00B3618D"/>
    <w:rsid w:val="00B36233"/>
    <w:rsid w:val="00B42851"/>
    <w:rsid w:val="00B45AC7"/>
    <w:rsid w:val="00B5372F"/>
    <w:rsid w:val="00B61129"/>
    <w:rsid w:val="00B67E7F"/>
    <w:rsid w:val="00B7161E"/>
    <w:rsid w:val="00B839B2"/>
    <w:rsid w:val="00B91D58"/>
    <w:rsid w:val="00B94252"/>
    <w:rsid w:val="00B9715A"/>
    <w:rsid w:val="00B978D7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069F"/>
    <w:rsid w:val="00BC24DB"/>
    <w:rsid w:val="00BC4A19"/>
    <w:rsid w:val="00BC4E6D"/>
    <w:rsid w:val="00BD0617"/>
    <w:rsid w:val="00BD2E9B"/>
    <w:rsid w:val="00BD7FB2"/>
    <w:rsid w:val="00C00930"/>
    <w:rsid w:val="00C060AD"/>
    <w:rsid w:val="00C113BF"/>
    <w:rsid w:val="00C16451"/>
    <w:rsid w:val="00C2176E"/>
    <w:rsid w:val="00C23430"/>
    <w:rsid w:val="00C27D67"/>
    <w:rsid w:val="00C4631F"/>
    <w:rsid w:val="00C47CDE"/>
    <w:rsid w:val="00C50E16"/>
    <w:rsid w:val="00C53252"/>
    <w:rsid w:val="00C55258"/>
    <w:rsid w:val="00C82EEB"/>
    <w:rsid w:val="00C94EA8"/>
    <w:rsid w:val="00C971DC"/>
    <w:rsid w:val="00CA16B7"/>
    <w:rsid w:val="00CA62AE"/>
    <w:rsid w:val="00CB5B1A"/>
    <w:rsid w:val="00CC220B"/>
    <w:rsid w:val="00CC5C43"/>
    <w:rsid w:val="00CD02AE"/>
    <w:rsid w:val="00CD046A"/>
    <w:rsid w:val="00CD2A4F"/>
    <w:rsid w:val="00CE03CA"/>
    <w:rsid w:val="00CE22F1"/>
    <w:rsid w:val="00CE50F2"/>
    <w:rsid w:val="00CE6502"/>
    <w:rsid w:val="00CF431D"/>
    <w:rsid w:val="00CF7D3C"/>
    <w:rsid w:val="00D01F09"/>
    <w:rsid w:val="00D147EB"/>
    <w:rsid w:val="00D34667"/>
    <w:rsid w:val="00D401E1"/>
    <w:rsid w:val="00D408B4"/>
    <w:rsid w:val="00D47C90"/>
    <w:rsid w:val="00D524C8"/>
    <w:rsid w:val="00D6703D"/>
    <w:rsid w:val="00D70E24"/>
    <w:rsid w:val="00D72B61"/>
    <w:rsid w:val="00D92CCC"/>
    <w:rsid w:val="00DA2FCD"/>
    <w:rsid w:val="00DA3D1D"/>
    <w:rsid w:val="00DB6286"/>
    <w:rsid w:val="00DB645F"/>
    <w:rsid w:val="00DB76E9"/>
    <w:rsid w:val="00DC0A67"/>
    <w:rsid w:val="00DC1D5E"/>
    <w:rsid w:val="00DC33FB"/>
    <w:rsid w:val="00DC5220"/>
    <w:rsid w:val="00DD2061"/>
    <w:rsid w:val="00DD466E"/>
    <w:rsid w:val="00DD7DAB"/>
    <w:rsid w:val="00DE3355"/>
    <w:rsid w:val="00DF0C60"/>
    <w:rsid w:val="00DF3A3C"/>
    <w:rsid w:val="00DF486F"/>
    <w:rsid w:val="00DF5B5B"/>
    <w:rsid w:val="00DF7619"/>
    <w:rsid w:val="00E042D8"/>
    <w:rsid w:val="00E060F1"/>
    <w:rsid w:val="00E07EE7"/>
    <w:rsid w:val="00E1103B"/>
    <w:rsid w:val="00E17B44"/>
    <w:rsid w:val="00E20F27"/>
    <w:rsid w:val="00E22443"/>
    <w:rsid w:val="00E2330A"/>
    <w:rsid w:val="00E27FEA"/>
    <w:rsid w:val="00E4086F"/>
    <w:rsid w:val="00E43B3C"/>
    <w:rsid w:val="00E50188"/>
    <w:rsid w:val="00E50BB3"/>
    <w:rsid w:val="00E515CB"/>
    <w:rsid w:val="00E52260"/>
    <w:rsid w:val="00E539F1"/>
    <w:rsid w:val="00E639B6"/>
    <w:rsid w:val="00E6434B"/>
    <w:rsid w:val="00E6463D"/>
    <w:rsid w:val="00E700C3"/>
    <w:rsid w:val="00E71D41"/>
    <w:rsid w:val="00E72E9B"/>
    <w:rsid w:val="00E850C3"/>
    <w:rsid w:val="00E87DF2"/>
    <w:rsid w:val="00E9462E"/>
    <w:rsid w:val="00E94A4F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D5F3E"/>
    <w:rsid w:val="00ED6E24"/>
    <w:rsid w:val="00ED7CB9"/>
    <w:rsid w:val="00EE1876"/>
    <w:rsid w:val="00EE3E8A"/>
    <w:rsid w:val="00EE4299"/>
    <w:rsid w:val="00EF58B8"/>
    <w:rsid w:val="00EF6ECA"/>
    <w:rsid w:val="00F024E1"/>
    <w:rsid w:val="00F067B0"/>
    <w:rsid w:val="00F06C10"/>
    <w:rsid w:val="00F1096F"/>
    <w:rsid w:val="00F12589"/>
    <w:rsid w:val="00F12595"/>
    <w:rsid w:val="00F134D9"/>
    <w:rsid w:val="00F1403D"/>
    <w:rsid w:val="00F1463F"/>
    <w:rsid w:val="00F21302"/>
    <w:rsid w:val="00F301A7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173A"/>
    <w:rsid w:val="00F93F08"/>
    <w:rsid w:val="00F94CED"/>
    <w:rsid w:val="00FA02BB"/>
    <w:rsid w:val="00FA2CEE"/>
    <w:rsid w:val="00FA318C"/>
    <w:rsid w:val="00FA6368"/>
    <w:rsid w:val="00FB6F92"/>
    <w:rsid w:val="00FC026E"/>
    <w:rsid w:val="00FC3C2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70B91F"/>
  <w15:docId w15:val="{3EFC8269-1C14-4EB6-92CF-02EAB2F9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7CBB"/>
    <w:pPr>
      <w:spacing w:before="120" w:after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next w:val="Normal"/>
    <w:qFormat/>
    <w:rsid w:val="005A7CBB"/>
    <w:pPr>
      <w:spacing w:before="120" w:after="120"/>
      <w:jc w:val="center"/>
      <w:outlineLvl w:val="0"/>
    </w:pPr>
    <w:rPr>
      <w:rFonts w:asciiTheme="minorHAnsi" w:hAnsiTheme="minorHAnsi" w:cstheme="minorHAnsi"/>
      <w:b/>
      <w:sz w:val="28"/>
      <w:szCs w:val="24"/>
      <w:lang w:eastAsia="en-US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3F5F4D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564FB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564FB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8376E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376E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table" w:styleId="ListTable3-Accent2">
    <w:name w:val="List Table 3 Accent 2"/>
    <w:basedOn w:val="TableNormal"/>
    <w:uiPriority w:val="48"/>
    <w:rsid w:val="00DA2FCD"/>
    <w:tblPr>
      <w:tblStyleRowBandSize w:val="1"/>
      <w:tblStyleColBandSize w:val="1"/>
      <w:tblBorders>
        <w:top w:val="single" w:sz="4" w:space="0" w:color="358189" w:themeColor="accent2"/>
        <w:left w:val="single" w:sz="4" w:space="0" w:color="358189" w:themeColor="accent2"/>
        <w:bottom w:val="single" w:sz="4" w:space="0" w:color="358189" w:themeColor="accent2"/>
        <w:right w:val="single" w:sz="4" w:space="0" w:color="35818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58189" w:themeFill="accent2"/>
      </w:tcPr>
    </w:tblStylePr>
    <w:tblStylePr w:type="lastRow">
      <w:rPr>
        <w:b/>
        <w:bCs/>
      </w:rPr>
      <w:tblPr/>
      <w:tcPr>
        <w:tcBorders>
          <w:top w:val="double" w:sz="4" w:space="0" w:color="35818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58189" w:themeColor="accent2"/>
          <w:right w:val="single" w:sz="4" w:space="0" w:color="358189" w:themeColor="accent2"/>
        </w:tcBorders>
      </w:tcPr>
    </w:tblStylePr>
    <w:tblStylePr w:type="band1Horz">
      <w:tblPr/>
      <w:tcPr>
        <w:tcBorders>
          <w:top w:val="single" w:sz="4" w:space="0" w:color="358189" w:themeColor="accent2"/>
          <w:bottom w:val="single" w:sz="4" w:space="0" w:color="35818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58189" w:themeColor="accent2"/>
          <w:left w:val="nil"/>
        </w:tcBorders>
      </w:tcPr>
    </w:tblStylePr>
    <w:tblStylePr w:type="swCell">
      <w:tblPr/>
      <w:tcPr>
        <w:tcBorders>
          <w:top w:val="double" w:sz="4" w:space="0" w:color="358189" w:themeColor="accent2"/>
          <w:right w:val="nil"/>
        </w:tcBorders>
      </w:tcPr>
    </w:tblStyle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5A7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3998B5" w:themeFill="accent5"/>
      </w:tcPr>
    </w:tblStyle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A7CBB"/>
    <w:pPr>
      <w:numPr>
        <w:numId w:val="3"/>
      </w:numPr>
      <w:spacing w:before="0" w:after="0"/>
      <w:ind w:left="284" w:hanging="284"/>
      <w:contextualSpacing/>
    </w:pPr>
    <w:rPr>
      <w:rFonts w:asciiTheme="minorHAnsi" w:hAnsiTheme="minorHAnsi"/>
      <w:sz w:val="20"/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uiPriority w:val="99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87DF2"/>
    <w:pPr>
      <w:spacing w:after="240" w:line="400" w:lineRule="auto"/>
    </w:pPr>
    <w:rPr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585F0E"/>
    <w:pPr>
      <w:spacing w:before="0" w:after="0"/>
      <w:contextualSpacing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5A7CBB"/>
    <w:pPr>
      <w:spacing w:before="60" w:after="0"/>
    </w:pPr>
    <w:rPr>
      <w:color w:val="000000" w:themeColor="text1"/>
      <w:sz w:val="20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B71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7161E"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6B6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D46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801F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400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00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00FC"/>
    <w:rPr>
      <w:rFonts w:ascii="Arial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17ECC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6031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health-topics/health-workforce/health-workforce-classifications/distribution-priority-area" TargetMode="External"/><Relationship Id="rId18" Type="http://schemas.openxmlformats.org/officeDocument/2006/relationships/hyperlink" Target="https://www.servicesaustralia.gov.au/organisations/health-professionals/forms/hw019" TargetMode="External"/><Relationship Id="rId26" Type="http://schemas.openxmlformats.org/officeDocument/2006/relationships/hyperlink" Target="https://www.health.gov.au/health-topics/health-workforce/medicare-billing-restrictions/section-19ab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gov.au/health-topics/health-workforce/medicare-billing-restrictions/section-19ab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Details/F2019L00941" TargetMode="External"/><Relationship Id="rId17" Type="http://schemas.openxmlformats.org/officeDocument/2006/relationships/hyperlink" Target="https://www.health.gov.au/resources/collections/incentives-and-support-for-gps-and-general-practices-in-mm-locations" TargetMode="External"/><Relationship Id="rId25" Type="http://schemas.openxmlformats.org/officeDocument/2006/relationships/hyperlink" Target="https://www.health.gov.au/resources/publications/spousal-exemption-information-and-application-for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initiatives-and-programs/doctorconnect/about-working-in-australia/annual-update-of-distribution-priority-area-dpa-and-district-of-workforce-shortage-dws-classifications" TargetMode="External"/><Relationship Id="rId20" Type="http://schemas.openxmlformats.org/officeDocument/2006/relationships/hyperlink" Target="mailto:19AC@health.gov.a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Series/C2004A00101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apps-and-tools/health-workforce-locator/health-workforce-locator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provider.registration@servicesaustralia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health-topics/health-workforce/health-workforce-classifications/district-of-workforce-shortage" TargetMode="External"/><Relationship Id="rId22" Type="http://schemas.openxmlformats.org/officeDocument/2006/relationships/hyperlink" Target="mailto:19AB@health.gov.au" TargetMode="External"/><Relationship Id="rId27" Type="http://schemas.openxmlformats.org/officeDocument/2006/relationships/hyperlink" Target="https://www.health.gov.au/health-topics/health-workforce/medicare-billing-restrictions/section-19a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E5D55D2855249BDE6284DECF3A812" ma:contentTypeVersion="1" ma:contentTypeDescription="Create a new document." ma:contentTypeScope="" ma:versionID="9f8c2a13d8772c794cad9e180fc888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905017a9aa3b0c875ea481d4b6b51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BDF878-AE64-445F-9B6C-E53A910AC5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7EEC40-2461-4695-8FAE-E68076A48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1733</Words>
  <Characters>8926</Characters>
  <Application>Microsoft Office Word</Application>
  <DocSecurity>0</DocSecurity>
  <Lines>357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Incentives and support for GPs and general practices in MM 3 locations</vt:lpstr>
    </vt:vector>
  </TitlesOfParts>
  <Company/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19AB restricted doctors – Access to Medicare provider numbers</dc:title>
  <dc:subject>Rural health workforce</dc:subject>
  <dc:creator>Australian Government Department of Health</dc:creator>
  <cp:keywords>Rural health workforce; Modified Monash Model classification; General practice</cp:keywords>
  <cp:lastModifiedBy>ARNOLD, Max</cp:lastModifiedBy>
  <cp:revision>4</cp:revision>
  <cp:lastPrinted>2021-06-22T02:49:00Z</cp:lastPrinted>
  <dcterms:created xsi:type="dcterms:W3CDTF">2021-08-25T04:46:00Z</dcterms:created>
  <dcterms:modified xsi:type="dcterms:W3CDTF">2024-04-11T03:50:00Z</dcterms:modified>
</cp:coreProperties>
</file>