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10B6" w14:textId="6ACB4F1D" w:rsidR="00D525EE" w:rsidRDefault="007D5609" w:rsidP="00C26CDE">
      <w:pPr>
        <w:rPr>
          <w:rFonts w:eastAsiaTheme="majorEastAsia" w:cs="Arial"/>
          <w:b/>
          <w:bCs/>
          <w:color w:val="1E1544" w:themeColor="text1"/>
          <w:sz w:val="60"/>
          <w:szCs w:val="60"/>
        </w:rPr>
      </w:pPr>
      <w:r w:rsidRPr="00C32754">
        <w:rPr>
          <w:rFonts w:eastAsiaTheme="majorEastAsia" w:cs="Arial"/>
          <w:b/>
          <w:bCs/>
          <w:color w:val="1E1544" w:themeColor="text1"/>
          <w:sz w:val="60"/>
          <w:szCs w:val="60"/>
        </w:rPr>
        <w:t>Responses to questions from the Home Care Packages (HCP) program assurance reviews</w:t>
      </w:r>
    </w:p>
    <w:p w14:paraId="31E8DC00" w14:textId="1DBC2FF8" w:rsidR="003619F4" w:rsidRPr="00C32754" w:rsidRDefault="007D5609" w:rsidP="00D525EE">
      <w:pPr>
        <w:pStyle w:val="Introduction"/>
      </w:pPr>
      <w:r w:rsidRPr="00C32754">
        <w:t>Unspent funds and pricing transparency on My Aged Care</w:t>
      </w:r>
    </w:p>
    <w:p w14:paraId="54E2BEF7" w14:textId="349839CA" w:rsidR="00C068DC" w:rsidRPr="00D525EE" w:rsidRDefault="00CD111D" w:rsidP="00D525EE">
      <w:pPr>
        <w:pStyle w:val="Introduction"/>
      </w:pPr>
      <w:r w:rsidRPr="00D525EE">
        <w:t>March</w:t>
      </w:r>
      <w:r w:rsidR="007D5609" w:rsidRPr="00D525EE">
        <w:t xml:space="preserve"> 2024</w:t>
      </w:r>
    </w:p>
    <w:sdt>
      <w:sdtPr>
        <w:rPr>
          <w:rFonts w:ascii="Arial" w:eastAsiaTheme="minorEastAsia" w:hAnsi="Arial" w:cstheme="minorBidi"/>
          <w:color w:val="auto"/>
          <w:sz w:val="24"/>
          <w:szCs w:val="24"/>
          <w:lang w:val="en-AU"/>
        </w:rPr>
        <w:id w:val="403655902"/>
        <w:docPartObj>
          <w:docPartGallery w:val="Table of Contents"/>
          <w:docPartUnique/>
        </w:docPartObj>
      </w:sdtPr>
      <w:sdtEndPr>
        <w:rPr>
          <w:b/>
        </w:rPr>
      </w:sdtEndPr>
      <w:sdtContent>
        <w:p w14:paraId="1F7A05A4" w14:textId="14DA0BEB" w:rsidR="00787CE9" w:rsidRPr="00BC27D8" w:rsidRDefault="00787CE9">
          <w:pPr>
            <w:pStyle w:val="TOCHeading"/>
            <w:rPr>
              <w:rFonts w:ascii="Arial" w:hAnsi="Arial"/>
              <w:b/>
              <w:color w:val="1E1544" w:themeColor="text1"/>
              <w:szCs w:val="26"/>
              <w:lang w:val="en-AU"/>
            </w:rPr>
          </w:pPr>
          <w:r w:rsidRPr="00BC27D8">
            <w:rPr>
              <w:rFonts w:ascii="Arial" w:hAnsi="Arial"/>
              <w:b/>
              <w:color w:val="1E1544" w:themeColor="text1"/>
              <w:szCs w:val="26"/>
              <w:lang w:val="en-AU"/>
            </w:rPr>
            <w:t>Table of Contents</w:t>
          </w:r>
        </w:p>
        <w:p w14:paraId="2B57C022" w14:textId="6F346E3A" w:rsidR="00FB35F4" w:rsidRDefault="00787CE9">
          <w:pPr>
            <w:pStyle w:val="TOC2"/>
            <w:tabs>
              <w:tab w:val="right" w:leader="dot" w:pos="10194"/>
            </w:tabs>
            <w:rPr>
              <w:rFonts w:asciiTheme="minorHAnsi" w:eastAsiaTheme="minorEastAsia" w:hAnsiTheme="minorHAnsi"/>
              <w:noProof/>
              <w:kern w:val="2"/>
              <w:sz w:val="22"/>
              <w:szCs w:val="22"/>
              <w:lang w:eastAsia="en-AU"/>
              <w14:ligatures w14:val="standardContextual"/>
            </w:rPr>
          </w:pPr>
          <w:r>
            <w:fldChar w:fldCharType="begin"/>
          </w:r>
          <w:r>
            <w:instrText xml:space="preserve"> TOC \o "1-3" \h \z \u </w:instrText>
          </w:r>
          <w:r>
            <w:fldChar w:fldCharType="separate"/>
          </w:r>
          <w:hyperlink w:anchor="_Toc161734091" w:history="1">
            <w:r w:rsidR="00FB35F4" w:rsidRPr="00021891">
              <w:rPr>
                <w:rStyle w:val="Hyperlink"/>
                <w:noProof/>
              </w:rPr>
              <w:t>HCP program assurance reviews</w:t>
            </w:r>
            <w:r w:rsidR="00FB35F4">
              <w:rPr>
                <w:noProof/>
                <w:webHidden/>
              </w:rPr>
              <w:tab/>
            </w:r>
            <w:r w:rsidR="00FB35F4">
              <w:rPr>
                <w:noProof/>
                <w:webHidden/>
              </w:rPr>
              <w:fldChar w:fldCharType="begin"/>
            </w:r>
            <w:r w:rsidR="00FB35F4">
              <w:rPr>
                <w:noProof/>
                <w:webHidden/>
              </w:rPr>
              <w:instrText xml:space="preserve"> PAGEREF _Toc161734091 \h </w:instrText>
            </w:r>
            <w:r w:rsidR="00FB35F4">
              <w:rPr>
                <w:noProof/>
                <w:webHidden/>
              </w:rPr>
            </w:r>
            <w:r w:rsidR="00FB35F4">
              <w:rPr>
                <w:noProof/>
                <w:webHidden/>
              </w:rPr>
              <w:fldChar w:fldCharType="separate"/>
            </w:r>
            <w:r w:rsidR="0006004B">
              <w:rPr>
                <w:noProof/>
                <w:webHidden/>
              </w:rPr>
              <w:t>3</w:t>
            </w:r>
            <w:r w:rsidR="00FB35F4">
              <w:rPr>
                <w:noProof/>
                <w:webHidden/>
              </w:rPr>
              <w:fldChar w:fldCharType="end"/>
            </w:r>
          </w:hyperlink>
        </w:p>
        <w:p w14:paraId="60729E55" w14:textId="5915B3BD" w:rsidR="00FB35F4" w:rsidRDefault="00335B1F">
          <w:pPr>
            <w:pStyle w:val="TOC3"/>
            <w:tabs>
              <w:tab w:val="right" w:leader="dot" w:pos="10194"/>
            </w:tabs>
            <w:rPr>
              <w:rFonts w:asciiTheme="minorHAnsi" w:eastAsiaTheme="minorEastAsia" w:hAnsiTheme="minorHAnsi"/>
              <w:noProof/>
              <w:kern w:val="2"/>
              <w:sz w:val="22"/>
              <w:szCs w:val="22"/>
              <w:lang w:eastAsia="en-AU"/>
              <w14:ligatures w14:val="standardContextual"/>
            </w:rPr>
          </w:pPr>
          <w:hyperlink w:anchor="_Toc161734092" w:history="1">
            <w:r w:rsidR="00FB35F4" w:rsidRPr="00021891">
              <w:rPr>
                <w:rStyle w:val="Hyperlink"/>
                <w:noProof/>
              </w:rPr>
              <w:t>Unspent funds (Commonwealth portion) review</w:t>
            </w:r>
            <w:r w:rsidR="00FB35F4">
              <w:rPr>
                <w:noProof/>
                <w:webHidden/>
              </w:rPr>
              <w:tab/>
            </w:r>
            <w:r w:rsidR="00FB35F4">
              <w:rPr>
                <w:noProof/>
                <w:webHidden/>
              </w:rPr>
              <w:fldChar w:fldCharType="begin"/>
            </w:r>
            <w:r w:rsidR="00FB35F4">
              <w:rPr>
                <w:noProof/>
                <w:webHidden/>
              </w:rPr>
              <w:instrText xml:space="preserve"> PAGEREF _Toc161734092 \h </w:instrText>
            </w:r>
            <w:r w:rsidR="00FB35F4">
              <w:rPr>
                <w:noProof/>
                <w:webHidden/>
              </w:rPr>
            </w:r>
            <w:r w:rsidR="00FB35F4">
              <w:rPr>
                <w:noProof/>
                <w:webHidden/>
              </w:rPr>
              <w:fldChar w:fldCharType="separate"/>
            </w:r>
            <w:r w:rsidR="0006004B">
              <w:rPr>
                <w:noProof/>
                <w:webHidden/>
              </w:rPr>
              <w:t>3</w:t>
            </w:r>
            <w:r w:rsidR="00FB35F4">
              <w:rPr>
                <w:noProof/>
                <w:webHidden/>
              </w:rPr>
              <w:fldChar w:fldCharType="end"/>
            </w:r>
          </w:hyperlink>
        </w:p>
        <w:p w14:paraId="283115BF" w14:textId="63C742C2" w:rsidR="00FB35F4" w:rsidRDefault="00335B1F">
          <w:pPr>
            <w:pStyle w:val="TOC3"/>
            <w:tabs>
              <w:tab w:val="right" w:leader="dot" w:pos="10194"/>
            </w:tabs>
            <w:rPr>
              <w:rFonts w:asciiTheme="minorHAnsi" w:eastAsiaTheme="minorEastAsia" w:hAnsiTheme="minorHAnsi"/>
              <w:noProof/>
              <w:kern w:val="2"/>
              <w:sz w:val="22"/>
              <w:szCs w:val="22"/>
              <w:lang w:eastAsia="en-AU"/>
              <w14:ligatures w14:val="standardContextual"/>
            </w:rPr>
          </w:pPr>
          <w:hyperlink w:anchor="_Toc161734093" w:history="1">
            <w:r w:rsidR="00FB35F4" w:rsidRPr="00021891">
              <w:rPr>
                <w:rStyle w:val="Hyperlink"/>
                <w:noProof/>
              </w:rPr>
              <w:t>Pricing transparency on My Aged Care review</w:t>
            </w:r>
            <w:r w:rsidR="00FB35F4">
              <w:rPr>
                <w:noProof/>
                <w:webHidden/>
              </w:rPr>
              <w:tab/>
            </w:r>
            <w:r w:rsidR="00FB35F4">
              <w:rPr>
                <w:noProof/>
                <w:webHidden/>
              </w:rPr>
              <w:fldChar w:fldCharType="begin"/>
            </w:r>
            <w:r w:rsidR="00FB35F4">
              <w:rPr>
                <w:noProof/>
                <w:webHidden/>
              </w:rPr>
              <w:instrText xml:space="preserve"> PAGEREF _Toc161734093 \h </w:instrText>
            </w:r>
            <w:r w:rsidR="00FB35F4">
              <w:rPr>
                <w:noProof/>
                <w:webHidden/>
              </w:rPr>
            </w:r>
            <w:r w:rsidR="00FB35F4">
              <w:rPr>
                <w:noProof/>
                <w:webHidden/>
              </w:rPr>
              <w:fldChar w:fldCharType="separate"/>
            </w:r>
            <w:r w:rsidR="0006004B">
              <w:rPr>
                <w:noProof/>
                <w:webHidden/>
              </w:rPr>
              <w:t>3</w:t>
            </w:r>
            <w:r w:rsidR="00FB35F4">
              <w:rPr>
                <w:noProof/>
                <w:webHidden/>
              </w:rPr>
              <w:fldChar w:fldCharType="end"/>
            </w:r>
          </w:hyperlink>
        </w:p>
        <w:p w14:paraId="7E1C0551" w14:textId="259D53B3" w:rsidR="00FB35F4" w:rsidRDefault="00335B1F">
          <w:pPr>
            <w:pStyle w:val="TOC3"/>
            <w:tabs>
              <w:tab w:val="right" w:leader="dot" w:pos="10194"/>
            </w:tabs>
            <w:rPr>
              <w:rFonts w:asciiTheme="minorHAnsi" w:eastAsiaTheme="minorEastAsia" w:hAnsiTheme="minorHAnsi"/>
              <w:noProof/>
              <w:kern w:val="2"/>
              <w:sz w:val="22"/>
              <w:szCs w:val="22"/>
              <w:lang w:eastAsia="en-AU"/>
              <w14:ligatures w14:val="standardContextual"/>
            </w:rPr>
          </w:pPr>
          <w:hyperlink w:anchor="_Toc161734094" w:history="1">
            <w:r w:rsidR="00FB35F4" w:rsidRPr="00021891">
              <w:rPr>
                <w:rStyle w:val="Hyperlink"/>
                <w:noProof/>
                <w:lang w:val="en-GB"/>
              </w:rPr>
              <w:t>Excluded items review</w:t>
            </w:r>
            <w:r w:rsidR="00FB35F4">
              <w:rPr>
                <w:noProof/>
                <w:webHidden/>
              </w:rPr>
              <w:tab/>
            </w:r>
            <w:r w:rsidR="00FB35F4">
              <w:rPr>
                <w:noProof/>
                <w:webHidden/>
              </w:rPr>
              <w:fldChar w:fldCharType="begin"/>
            </w:r>
            <w:r w:rsidR="00FB35F4">
              <w:rPr>
                <w:noProof/>
                <w:webHidden/>
              </w:rPr>
              <w:instrText xml:space="preserve"> PAGEREF _Toc161734094 \h </w:instrText>
            </w:r>
            <w:r w:rsidR="00FB35F4">
              <w:rPr>
                <w:noProof/>
                <w:webHidden/>
              </w:rPr>
            </w:r>
            <w:r w:rsidR="00FB35F4">
              <w:rPr>
                <w:noProof/>
                <w:webHidden/>
              </w:rPr>
              <w:fldChar w:fldCharType="separate"/>
            </w:r>
            <w:r w:rsidR="0006004B">
              <w:rPr>
                <w:noProof/>
                <w:webHidden/>
              </w:rPr>
              <w:t>5</w:t>
            </w:r>
            <w:r w:rsidR="00FB35F4">
              <w:rPr>
                <w:noProof/>
                <w:webHidden/>
              </w:rPr>
              <w:fldChar w:fldCharType="end"/>
            </w:r>
          </w:hyperlink>
        </w:p>
        <w:p w14:paraId="1404F8D4" w14:textId="751014A6" w:rsidR="00FB35F4" w:rsidRDefault="00335B1F">
          <w:pPr>
            <w:pStyle w:val="TOC3"/>
            <w:tabs>
              <w:tab w:val="right" w:leader="dot" w:pos="10194"/>
            </w:tabs>
            <w:rPr>
              <w:rFonts w:asciiTheme="minorHAnsi" w:eastAsiaTheme="minorEastAsia" w:hAnsiTheme="minorHAnsi"/>
              <w:noProof/>
              <w:kern w:val="2"/>
              <w:sz w:val="22"/>
              <w:szCs w:val="22"/>
              <w:lang w:eastAsia="en-AU"/>
              <w14:ligatures w14:val="standardContextual"/>
            </w:rPr>
          </w:pPr>
          <w:hyperlink w:anchor="_Toc161734095" w:history="1">
            <w:r w:rsidR="00FB35F4" w:rsidRPr="00021891">
              <w:rPr>
                <w:rStyle w:val="Hyperlink"/>
                <w:noProof/>
                <w:lang w:val="en-GB"/>
              </w:rPr>
              <w:t>Provider reports</w:t>
            </w:r>
            <w:r w:rsidR="00FB35F4">
              <w:rPr>
                <w:noProof/>
                <w:webHidden/>
              </w:rPr>
              <w:tab/>
            </w:r>
            <w:r w:rsidR="00FB35F4">
              <w:rPr>
                <w:noProof/>
                <w:webHidden/>
              </w:rPr>
              <w:fldChar w:fldCharType="begin"/>
            </w:r>
            <w:r w:rsidR="00FB35F4">
              <w:rPr>
                <w:noProof/>
                <w:webHidden/>
              </w:rPr>
              <w:instrText xml:space="preserve"> PAGEREF _Toc161734095 \h </w:instrText>
            </w:r>
            <w:r w:rsidR="00FB35F4">
              <w:rPr>
                <w:noProof/>
                <w:webHidden/>
              </w:rPr>
            </w:r>
            <w:r w:rsidR="00FB35F4">
              <w:rPr>
                <w:noProof/>
                <w:webHidden/>
              </w:rPr>
              <w:fldChar w:fldCharType="separate"/>
            </w:r>
            <w:r w:rsidR="0006004B">
              <w:rPr>
                <w:noProof/>
                <w:webHidden/>
              </w:rPr>
              <w:t>5</w:t>
            </w:r>
            <w:r w:rsidR="00FB35F4">
              <w:rPr>
                <w:noProof/>
                <w:webHidden/>
              </w:rPr>
              <w:fldChar w:fldCharType="end"/>
            </w:r>
          </w:hyperlink>
        </w:p>
        <w:p w14:paraId="1DCA8EFF" w14:textId="55BAEBC3" w:rsidR="00FB35F4" w:rsidRDefault="00335B1F">
          <w:pPr>
            <w:pStyle w:val="TOC3"/>
            <w:tabs>
              <w:tab w:val="right" w:leader="dot" w:pos="10194"/>
            </w:tabs>
            <w:rPr>
              <w:rFonts w:asciiTheme="minorHAnsi" w:eastAsiaTheme="minorEastAsia" w:hAnsiTheme="minorHAnsi"/>
              <w:noProof/>
              <w:kern w:val="2"/>
              <w:sz w:val="22"/>
              <w:szCs w:val="22"/>
              <w:lang w:eastAsia="en-AU"/>
              <w14:ligatures w14:val="standardContextual"/>
            </w:rPr>
          </w:pPr>
          <w:hyperlink w:anchor="_Toc161734096" w:history="1">
            <w:r w:rsidR="00FB35F4" w:rsidRPr="00021891">
              <w:rPr>
                <w:rStyle w:val="Hyperlink"/>
                <w:noProof/>
              </w:rPr>
              <w:t>Compliance</w:t>
            </w:r>
            <w:r w:rsidR="00FB35F4">
              <w:rPr>
                <w:noProof/>
                <w:webHidden/>
              </w:rPr>
              <w:tab/>
            </w:r>
            <w:r w:rsidR="00FB35F4">
              <w:rPr>
                <w:noProof/>
                <w:webHidden/>
              </w:rPr>
              <w:fldChar w:fldCharType="begin"/>
            </w:r>
            <w:r w:rsidR="00FB35F4">
              <w:rPr>
                <w:noProof/>
                <w:webHidden/>
              </w:rPr>
              <w:instrText xml:space="preserve"> PAGEREF _Toc161734096 \h </w:instrText>
            </w:r>
            <w:r w:rsidR="00FB35F4">
              <w:rPr>
                <w:noProof/>
                <w:webHidden/>
              </w:rPr>
            </w:r>
            <w:r w:rsidR="00FB35F4">
              <w:rPr>
                <w:noProof/>
                <w:webHidden/>
              </w:rPr>
              <w:fldChar w:fldCharType="separate"/>
            </w:r>
            <w:r w:rsidR="0006004B">
              <w:rPr>
                <w:noProof/>
                <w:webHidden/>
              </w:rPr>
              <w:t>6</w:t>
            </w:r>
            <w:r w:rsidR="00FB35F4">
              <w:rPr>
                <w:noProof/>
                <w:webHidden/>
              </w:rPr>
              <w:fldChar w:fldCharType="end"/>
            </w:r>
          </w:hyperlink>
        </w:p>
        <w:p w14:paraId="7EDC8607" w14:textId="21DFF781" w:rsidR="00FB35F4" w:rsidRDefault="00335B1F">
          <w:pPr>
            <w:pStyle w:val="TOC3"/>
            <w:tabs>
              <w:tab w:val="right" w:leader="dot" w:pos="10194"/>
            </w:tabs>
            <w:rPr>
              <w:rFonts w:asciiTheme="minorHAnsi" w:eastAsiaTheme="minorEastAsia" w:hAnsiTheme="minorHAnsi"/>
              <w:noProof/>
              <w:kern w:val="2"/>
              <w:sz w:val="22"/>
              <w:szCs w:val="22"/>
              <w:lang w:eastAsia="en-AU"/>
              <w14:ligatures w14:val="standardContextual"/>
            </w:rPr>
          </w:pPr>
          <w:hyperlink w:anchor="_Toc161734097" w:history="1">
            <w:r w:rsidR="00FB35F4" w:rsidRPr="00021891">
              <w:rPr>
                <w:rStyle w:val="Hyperlink"/>
                <w:noProof/>
              </w:rPr>
              <w:t>Volunteering for next review</w:t>
            </w:r>
            <w:r w:rsidR="00FB35F4">
              <w:rPr>
                <w:noProof/>
                <w:webHidden/>
              </w:rPr>
              <w:tab/>
            </w:r>
            <w:r w:rsidR="00FB35F4">
              <w:rPr>
                <w:noProof/>
                <w:webHidden/>
              </w:rPr>
              <w:fldChar w:fldCharType="begin"/>
            </w:r>
            <w:r w:rsidR="00FB35F4">
              <w:rPr>
                <w:noProof/>
                <w:webHidden/>
              </w:rPr>
              <w:instrText xml:space="preserve"> PAGEREF _Toc161734097 \h </w:instrText>
            </w:r>
            <w:r w:rsidR="00FB35F4">
              <w:rPr>
                <w:noProof/>
                <w:webHidden/>
              </w:rPr>
            </w:r>
            <w:r w:rsidR="00FB35F4">
              <w:rPr>
                <w:noProof/>
                <w:webHidden/>
              </w:rPr>
              <w:fldChar w:fldCharType="separate"/>
            </w:r>
            <w:r w:rsidR="0006004B">
              <w:rPr>
                <w:noProof/>
                <w:webHidden/>
              </w:rPr>
              <w:t>6</w:t>
            </w:r>
            <w:r w:rsidR="00FB35F4">
              <w:rPr>
                <w:noProof/>
                <w:webHidden/>
              </w:rPr>
              <w:fldChar w:fldCharType="end"/>
            </w:r>
          </w:hyperlink>
        </w:p>
        <w:p w14:paraId="6D0EBFFD" w14:textId="128AC53A" w:rsidR="00FB35F4" w:rsidRDefault="00335B1F">
          <w:pPr>
            <w:pStyle w:val="TOC3"/>
            <w:tabs>
              <w:tab w:val="right" w:leader="dot" w:pos="10194"/>
            </w:tabs>
            <w:rPr>
              <w:rFonts w:asciiTheme="minorHAnsi" w:eastAsiaTheme="minorEastAsia" w:hAnsiTheme="minorHAnsi"/>
              <w:noProof/>
              <w:kern w:val="2"/>
              <w:sz w:val="22"/>
              <w:szCs w:val="22"/>
              <w:lang w:eastAsia="en-AU"/>
              <w14:ligatures w14:val="standardContextual"/>
            </w:rPr>
          </w:pPr>
          <w:hyperlink w:anchor="_Toc161734098" w:history="1">
            <w:r w:rsidR="00FB35F4" w:rsidRPr="00021891">
              <w:rPr>
                <w:rStyle w:val="Hyperlink"/>
                <w:noProof/>
              </w:rPr>
              <w:t>General</w:t>
            </w:r>
            <w:r w:rsidR="00FB35F4">
              <w:rPr>
                <w:noProof/>
                <w:webHidden/>
              </w:rPr>
              <w:tab/>
            </w:r>
            <w:r w:rsidR="00FB35F4">
              <w:rPr>
                <w:noProof/>
                <w:webHidden/>
              </w:rPr>
              <w:fldChar w:fldCharType="begin"/>
            </w:r>
            <w:r w:rsidR="00FB35F4">
              <w:rPr>
                <w:noProof/>
                <w:webHidden/>
              </w:rPr>
              <w:instrText xml:space="preserve"> PAGEREF _Toc161734098 \h </w:instrText>
            </w:r>
            <w:r w:rsidR="00FB35F4">
              <w:rPr>
                <w:noProof/>
                <w:webHidden/>
              </w:rPr>
            </w:r>
            <w:r w:rsidR="00FB35F4">
              <w:rPr>
                <w:noProof/>
                <w:webHidden/>
              </w:rPr>
              <w:fldChar w:fldCharType="separate"/>
            </w:r>
            <w:r w:rsidR="0006004B">
              <w:rPr>
                <w:noProof/>
                <w:webHidden/>
              </w:rPr>
              <w:t>6</w:t>
            </w:r>
            <w:r w:rsidR="00FB35F4">
              <w:rPr>
                <w:noProof/>
                <w:webHidden/>
              </w:rPr>
              <w:fldChar w:fldCharType="end"/>
            </w:r>
          </w:hyperlink>
        </w:p>
        <w:p w14:paraId="69E83A14" w14:textId="3C753153"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099" w:history="1">
            <w:r w:rsidR="00FB35F4" w:rsidRPr="00021891">
              <w:rPr>
                <w:rStyle w:val="Hyperlink"/>
                <w:noProof/>
              </w:rPr>
              <w:t>HCP Program Assurance Community of Practice</w:t>
            </w:r>
            <w:r w:rsidR="00FB35F4">
              <w:rPr>
                <w:noProof/>
                <w:webHidden/>
              </w:rPr>
              <w:tab/>
            </w:r>
            <w:r w:rsidR="00FB35F4">
              <w:rPr>
                <w:noProof/>
                <w:webHidden/>
              </w:rPr>
              <w:fldChar w:fldCharType="begin"/>
            </w:r>
            <w:r w:rsidR="00FB35F4">
              <w:rPr>
                <w:noProof/>
                <w:webHidden/>
              </w:rPr>
              <w:instrText xml:space="preserve"> PAGEREF _Toc161734099 \h </w:instrText>
            </w:r>
            <w:r w:rsidR="00FB35F4">
              <w:rPr>
                <w:noProof/>
                <w:webHidden/>
              </w:rPr>
            </w:r>
            <w:r w:rsidR="00FB35F4">
              <w:rPr>
                <w:noProof/>
                <w:webHidden/>
              </w:rPr>
              <w:fldChar w:fldCharType="separate"/>
            </w:r>
            <w:r w:rsidR="0006004B">
              <w:rPr>
                <w:noProof/>
                <w:webHidden/>
              </w:rPr>
              <w:t>7</w:t>
            </w:r>
            <w:r w:rsidR="00FB35F4">
              <w:rPr>
                <w:noProof/>
                <w:webHidden/>
              </w:rPr>
              <w:fldChar w:fldCharType="end"/>
            </w:r>
          </w:hyperlink>
        </w:p>
        <w:p w14:paraId="0D090422" w14:textId="62DBF1C4"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00" w:history="1">
            <w:r w:rsidR="00FB35F4" w:rsidRPr="00021891">
              <w:rPr>
                <w:rStyle w:val="Hyperlink"/>
                <w:noProof/>
              </w:rPr>
              <w:t>How to report suspected fraud</w:t>
            </w:r>
            <w:r w:rsidR="00FB35F4">
              <w:rPr>
                <w:noProof/>
                <w:webHidden/>
              </w:rPr>
              <w:tab/>
            </w:r>
            <w:r w:rsidR="00FB35F4">
              <w:rPr>
                <w:noProof/>
                <w:webHidden/>
              </w:rPr>
              <w:fldChar w:fldCharType="begin"/>
            </w:r>
            <w:r w:rsidR="00FB35F4">
              <w:rPr>
                <w:noProof/>
                <w:webHidden/>
              </w:rPr>
              <w:instrText xml:space="preserve"> PAGEREF _Toc161734100 \h </w:instrText>
            </w:r>
            <w:r w:rsidR="00FB35F4">
              <w:rPr>
                <w:noProof/>
                <w:webHidden/>
              </w:rPr>
            </w:r>
            <w:r w:rsidR="00FB35F4">
              <w:rPr>
                <w:noProof/>
                <w:webHidden/>
              </w:rPr>
              <w:fldChar w:fldCharType="separate"/>
            </w:r>
            <w:r w:rsidR="0006004B">
              <w:rPr>
                <w:noProof/>
                <w:webHidden/>
              </w:rPr>
              <w:t>7</w:t>
            </w:r>
            <w:r w:rsidR="00FB35F4">
              <w:rPr>
                <w:noProof/>
                <w:webHidden/>
              </w:rPr>
              <w:fldChar w:fldCharType="end"/>
            </w:r>
          </w:hyperlink>
        </w:p>
        <w:p w14:paraId="2DF05149" w14:textId="3B2A7114"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01" w:history="1">
            <w:r w:rsidR="00FB35F4" w:rsidRPr="00021891">
              <w:rPr>
                <w:rStyle w:val="Hyperlink"/>
                <w:noProof/>
              </w:rPr>
              <w:t>HCP provider registration</w:t>
            </w:r>
            <w:r w:rsidR="00FB35F4">
              <w:rPr>
                <w:noProof/>
                <w:webHidden/>
              </w:rPr>
              <w:tab/>
            </w:r>
            <w:r w:rsidR="00FB35F4">
              <w:rPr>
                <w:noProof/>
                <w:webHidden/>
              </w:rPr>
              <w:fldChar w:fldCharType="begin"/>
            </w:r>
            <w:r w:rsidR="00FB35F4">
              <w:rPr>
                <w:noProof/>
                <w:webHidden/>
              </w:rPr>
              <w:instrText xml:space="preserve"> PAGEREF _Toc161734101 \h </w:instrText>
            </w:r>
            <w:r w:rsidR="00FB35F4">
              <w:rPr>
                <w:noProof/>
                <w:webHidden/>
              </w:rPr>
            </w:r>
            <w:r w:rsidR="00FB35F4">
              <w:rPr>
                <w:noProof/>
                <w:webHidden/>
              </w:rPr>
              <w:fldChar w:fldCharType="separate"/>
            </w:r>
            <w:r w:rsidR="0006004B">
              <w:rPr>
                <w:noProof/>
                <w:webHidden/>
              </w:rPr>
              <w:t>8</w:t>
            </w:r>
            <w:r w:rsidR="00FB35F4">
              <w:rPr>
                <w:noProof/>
                <w:webHidden/>
              </w:rPr>
              <w:fldChar w:fldCharType="end"/>
            </w:r>
          </w:hyperlink>
        </w:p>
        <w:p w14:paraId="776B3B8D" w14:textId="68469150"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02" w:history="1">
            <w:r w:rsidR="00FB35F4" w:rsidRPr="00021891">
              <w:rPr>
                <w:rStyle w:val="Hyperlink"/>
                <w:noProof/>
              </w:rPr>
              <w:t>HCP assessments</w:t>
            </w:r>
            <w:r w:rsidR="00FB35F4">
              <w:rPr>
                <w:noProof/>
                <w:webHidden/>
              </w:rPr>
              <w:tab/>
            </w:r>
            <w:r w:rsidR="00FB35F4">
              <w:rPr>
                <w:noProof/>
                <w:webHidden/>
              </w:rPr>
              <w:fldChar w:fldCharType="begin"/>
            </w:r>
            <w:r w:rsidR="00FB35F4">
              <w:rPr>
                <w:noProof/>
                <w:webHidden/>
              </w:rPr>
              <w:instrText xml:space="preserve"> PAGEREF _Toc161734102 \h </w:instrText>
            </w:r>
            <w:r w:rsidR="00FB35F4">
              <w:rPr>
                <w:noProof/>
                <w:webHidden/>
              </w:rPr>
            </w:r>
            <w:r w:rsidR="00FB35F4">
              <w:rPr>
                <w:noProof/>
                <w:webHidden/>
              </w:rPr>
              <w:fldChar w:fldCharType="separate"/>
            </w:r>
            <w:r w:rsidR="0006004B">
              <w:rPr>
                <w:noProof/>
                <w:webHidden/>
              </w:rPr>
              <w:t>9</w:t>
            </w:r>
            <w:r w:rsidR="00FB35F4">
              <w:rPr>
                <w:noProof/>
                <w:webHidden/>
              </w:rPr>
              <w:fldChar w:fldCharType="end"/>
            </w:r>
          </w:hyperlink>
        </w:p>
        <w:p w14:paraId="67D88ED9" w14:textId="788C6EAB"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03" w:history="1">
            <w:r w:rsidR="00FB35F4" w:rsidRPr="00021891">
              <w:rPr>
                <w:rStyle w:val="Hyperlink"/>
                <w:noProof/>
              </w:rPr>
              <w:t>Eligibility for a HCP</w:t>
            </w:r>
            <w:r w:rsidR="00FB35F4">
              <w:rPr>
                <w:noProof/>
                <w:webHidden/>
              </w:rPr>
              <w:tab/>
            </w:r>
            <w:r w:rsidR="00FB35F4">
              <w:rPr>
                <w:noProof/>
                <w:webHidden/>
              </w:rPr>
              <w:fldChar w:fldCharType="begin"/>
            </w:r>
            <w:r w:rsidR="00FB35F4">
              <w:rPr>
                <w:noProof/>
                <w:webHidden/>
              </w:rPr>
              <w:instrText xml:space="preserve"> PAGEREF _Toc161734103 \h </w:instrText>
            </w:r>
            <w:r w:rsidR="00FB35F4">
              <w:rPr>
                <w:noProof/>
                <w:webHidden/>
              </w:rPr>
            </w:r>
            <w:r w:rsidR="00FB35F4">
              <w:rPr>
                <w:noProof/>
                <w:webHidden/>
              </w:rPr>
              <w:fldChar w:fldCharType="separate"/>
            </w:r>
            <w:r w:rsidR="0006004B">
              <w:rPr>
                <w:noProof/>
                <w:webHidden/>
              </w:rPr>
              <w:t>9</w:t>
            </w:r>
            <w:r w:rsidR="00FB35F4">
              <w:rPr>
                <w:noProof/>
                <w:webHidden/>
              </w:rPr>
              <w:fldChar w:fldCharType="end"/>
            </w:r>
          </w:hyperlink>
        </w:p>
        <w:p w14:paraId="79ED1A22" w14:textId="55F110B0"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04" w:history="1">
            <w:r w:rsidR="00FB35F4" w:rsidRPr="00021891">
              <w:rPr>
                <w:rStyle w:val="Hyperlink"/>
                <w:noProof/>
              </w:rPr>
              <w:t>HCP program waiting times</w:t>
            </w:r>
            <w:r w:rsidR="00FB35F4">
              <w:rPr>
                <w:noProof/>
                <w:webHidden/>
              </w:rPr>
              <w:tab/>
            </w:r>
            <w:r w:rsidR="00FB35F4">
              <w:rPr>
                <w:noProof/>
                <w:webHidden/>
              </w:rPr>
              <w:fldChar w:fldCharType="begin"/>
            </w:r>
            <w:r w:rsidR="00FB35F4">
              <w:rPr>
                <w:noProof/>
                <w:webHidden/>
              </w:rPr>
              <w:instrText xml:space="preserve"> PAGEREF _Toc161734104 \h </w:instrText>
            </w:r>
            <w:r w:rsidR="00FB35F4">
              <w:rPr>
                <w:noProof/>
                <w:webHidden/>
              </w:rPr>
            </w:r>
            <w:r w:rsidR="00FB35F4">
              <w:rPr>
                <w:noProof/>
                <w:webHidden/>
              </w:rPr>
              <w:fldChar w:fldCharType="separate"/>
            </w:r>
            <w:r w:rsidR="0006004B">
              <w:rPr>
                <w:noProof/>
                <w:webHidden/>
              </w:rPr>
              <w:t>9</w:t>
            </w:r>
            <w:r w:rsidR="00FB35F4">
              <w:rPr>
                <w:noProof/>
                <w:webHidden/>
              </w:rPr>
              <w:fldChar w:fldCharType="end"/>
            </w:r>
          </w:hyperlink>
        </w:p>
        <w:p w14:paraId="18107B7F" w14:textId="1A0B9449"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05" w:history="1">
            <w:r w:rsidR="00FB35F4" w:rsidRPr="00021891">
              <w:rPr>
                <w:rStyle w:val="Hyperlink"/>
                <w:noProof/>
              </w:rPr>
              <w:t>Publishing of pricing information</w:t>
            </w:r>
            <w:r w:rsidR="00FB35F4">
              <w:rPr>
                <w:noProof/>
                <w:webHidden/>
              </w:rPr>
              <w:tab/>
            </w:r>
            <w:r w:rsidR="00FB35F4">
              <w:rPr>
                <w:noProof/>
                <w:webHidden/>
              </w:rPr>
              <w:fldChar w:fldCharType="begin"/>
            </w:r>
            <w:r w:rsidR="00FB35F4">
              <w:rPr>
                <w:noProof/>
                <w:webHidden/>
              </w:rPr>
              <w:instrText xml:space="preserve"> PAGEREF _Toc161734105 \h </w:instrText>
            </w:r>
            <w:r w:rsidR="00FB35F4">
              <w:rPr>
                <w:noProof/>
                <w:webHidden/>
              </w:rPr>
            </w:r>
            <w:r w:rsidR="00FB35F4">
              <w:rPr>
                <w:noProof/>
                <w:webHidden/>
              </w:rPr>
              <w:fldChar w:fldCharType="separate"/>
            </w:r>
            <w:r w:rsidR="0006004B">
              <w:rPr>
                <w:noProof/>
                <w:webHidden/>
              </w:rPr>
              <w:t>10</w:t>
            </w:r>
            <w:r w:rsidR="00FB35F4">
              <w:rPr>
                <w:noProof/>
                <w:webHidden/>
              </w:rPr>
              <w:fldChar w:fldCharType="end"/>
            </w:r>
          </w:hyperlink>
        </w:p>
        <w:p w14:paraId="4B5E7567" w14:textId="2887B6CF"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06" w:history="1">
            <w:r w:rsidR="00FB35F4" w:rsidRPr="00021891">
              <w:rPr>
                <w:rStyle w:val="Hyperlink"/>
                <w:noProof/>
              </w:rPr>
              <w:t>HCP program unspent funds</w:t>
            </w:r>
            <w:r w:rsidR="00FB35F4">
              <w:rPr>
                <w:noProof/>
                <w:webHidden/>
              </w:rPr>
              <w:tab/>
            </w:r>
            <w:r w:rsidR="00FB35F4">
              <w:rPr>
                <w:noProof/>
                <w:webHidden/>
              </w:rPr>
              <w:fldChar w:fldCharType="begin"/>
            </w:r>
            <w:r w:rsidR="00FB35F4">
              <w:rPr>
                <w:noProof/>
                <w:webHidden/>
              </w:rPr>
              <w:instrText xml:space="preserve"> PAGEREF _Toc161734106 \h </w:instrText>
            </w:r>
            <w:r w:rsidR="00FB35F4">
              <w:rPr>
                <w:noProof/>
                <w:webHidden/>
              </w:rPr>
            </w:r>
            <w:r w:rsidR="00FB35F4">
              <w:rPr>
                <w:noProof/>
                <w:webHidden/>
              </w:rPr>
              <w:fldChar w:fldCharType="separate"/>
            </w:r>
            <w:r w:rsidR="0006004B">
              <w:rPr>
                <w:noProof/>
                <w:webHidden/>
              </w:rPr>
              <w:t>10</w:t>
            </w:r>
            <w:r w:rsidR="00FB35F4">
              <w:rPr>
                <w:noProof/>
                <w:webHidden/>
              </w:rPr>
              <w:fldChar w:fldCharType="end"/>
            </w:r>
          </w:hyperlink>
        </w:p>
        <w:p w14:paraId="01CAC817" w14:textId="16DEE0AB"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07" w:history="1">
            <w:r w:rsidR="00FB35F4" w:rsidRPr="00021891">
              <w:rPr>
                <w:rStyle w:val="Hyperlink"/>
                <w:noProof/>
              </w:rPr>
              <w:t>Self-managing a HCP</w:t>
            </w:r>
            <w:r w:rsidR="00FB35F4">
              <w:rPr>
                <w:noProof/>
                <w:webHidden/>
              </w:rPr>
              <w:tab/>
            </w:r>
            <w:r w:rsidR="00FB35F4">
              <w:rPr>
                <w:noProof/>
                <w:webHidden/>
              </w:rPr>
              <w:fldChar w:fldCharType="begin"/>
            </w:r>
            <w:r w:rsidR="00FB35F4">
              <w:rPr>
                <w:noProof/>
                <w:webHidden/>
              </w:rPr>
              <w:instrText xml:space="preserve"> PAGEREF _Toc161734107 \h </w:instrText>
            </w:r>
            <w:r w:rsidR="00FB35F4">
              <w:rPr>
                <w:noProof/>
                <w:webHidden/>
              </w:rPr>
            </w:r>
            <w:r w:rsidR="00FB35F4">
              <w:rPr>
                <w:noProof/>
                <w:webHidden/>
              </w:rPr>
              <w:fldChar w:fldCharType="separate"/>
            </w:r>
            <w:r w:rsidR="0006004B">
              <w:rPr>
                <w:noProof/>
                <w:webHidden/>
              </w:rPr>
              <w:t>12</w:t>
            </w:r>
            <w:r w:rsidR="00FB35F4">
              <w:rPr>
                <w:noProof/>
                <w:webHidden/>
              </w:rPr>
              <w:fldChar w:fldCharType="end"/>
            </w:r>
          </w:hyperlink>
        </w:p>
        <w:p w14:paraId="5B6ABB66" w14:textId="68D7901F"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08" w:history="1">
            <w:r w:rsidR="00FB35F4" w:rsidRPr="00021891">
              <w:rPr>
                <w:rStyle w:val="Hyperlink"/>
                <w:noProof/>
              </w:rPr>
              <w:t>Inclusions and exclusions of the HCP program</w:t>
            </w:r>
            <w:r w:rsidR="00FB35F4">
              <w:rPr>
                <w:noProof/>
                <w:webHidden/>
              </w:rPr>
              <w:tab/>
            </w:r>
            <w:r w:rsidR="00FB35F4">
              <w:rPr>
                <w:noProof/>
                <w:webHidden/>
              </w:rPr>
              <w:fldChar w:fldCharType="begin"/>
            </w:r>
            <w:r w:rsidR="00FB35F4">
              <w:rPr>
                <w:noProof/>
                <w:webHidden/>
              </w:rPr>
              <w:instrText xml:space="preserve"> PAGEREF _Toc161734108 \h </w:instrText>
            </w:r>
            <w:r w:rsidR="00FB35F4">
              <w:rPr>
                <w:noProof/>
                <w:webHidden/>
              </w:rPr>
            </w:r>
            <w:r w:rsidR="00FB35F4">
              <w:rPr>
                <w:noProof/>
                <w:webHidden/>
              </w:rPr>
              <w:fldChar w:fldCharType="separate"/>
            </w:r>
            <w:r w:rsidR="0006004B">
              <w:rPr>
                <w:noProof/>
                <w:webHidden/>
              </w:rPr>
              <w:t>12</w:t>
            </w:r>
            <w:r w:rsidR="00FB35F4">
              <w:rPr>
                <w:noProof/>
                <w:webHidden/>
              </w:rPr>
              <w:fldChar w:fldCharType="end"/>
            </w:r>
          </w:hyperlink>
        </w:p>
        <w:p w14:paraId="28A415DE" w14:textId="40CAD4D3"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09" w:history="1">
            <w:r w:rsidR="00FB35F4" w:rsidRPr="00021891">
              <w:rPr>
                <w:rStyle w:val="Hyperlink"/>
                <w:noProof/>
              </w:rPr>
              <w:t>Allied health charges</w:t>
            </w:r>
            <w:r w:rsidR="00FB35F4">
              <w:rPr>
                <w:noProof/>
                <w:webHidden/>
              </w:rPr>
              <w:tab/>
            </w:r>
            <w:r w:rsidR="00FB35F4">
              <w:rPr>
                <w:noProof/>
                <w:webHidden/>
              </w:rPr>
              <w:fldChar w:fldCharType="begin"/>
            </w:r>
            <w:r w:rsidR="00FB35F4">
              <w:rPr>
                <w:noProof/>
                <w:webHidden/>
              </w:rPr>
              <w:instrText xml:space="preserve"> PAGEREF _Toc161734109 \h </w:instrText>
            </w:r>
            <w:r w:rsidR="00FB35F4">
              <w:rPr>
                <w:noProof/>
                <w:webHidden/>
              </w:rPr>
            </w:r>
            <w:r w:rsidR="00FB35F4">
              <w:rPr>
                <w:noProof/>
                <w:webHidden/>
              </w:rPr>
              <w:fldChar w:fldCharType="separate"/>
            </w:r>
            <w:r w:rsidR="0006004B">
              <w:rPr>
                <w:noProof/>
                <w:webHidden/>
              </w:rPr>
              <w:t>17</w:t>
            </w:r>
            <w:r w:rsidR="00FB35F4">
              <w:rPr>
                <w:noProof/>
                <w:webHidden/>
              </w:rPr>
              <w:fldChar w:fldCharType="end"/>
            </w:r>
          </w:hyperlink>
        </w:p>
        <w:p w14:paraId="39E7C003" w14:textId="3D34B0BC"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10" w:history="1">
            <w:r w:rsidR="00FB35F4" w:rsidRPr="00021891">
              <w:rPr>
                <w:rStyle w:val="Hyperlink"/>
                <w:noProof/>
              </w:rPr>
              <w:t>Third party services charges</w:t>
            </w:r>
            <w:r w:rsidR="00FB35F4">
              <w:rPr>
                <w:noProof/>
                <w:webHidden/>
              </w:rPr>
              <w:tab/>
            </w:r>
            <w:r w:rsidR="00FB35F4">
              <w:rPr>
                <w:noProof/>
                <w:webHidden/>
              </w:rPr>
              <w:fldChar w:fldCharType="begin"/>
            </w:r>
            <w:r w:rsidR="00FB35F4">
              <w:rPr>
                <w:noProof/>
                <w:webHidden/>
              </w:rPr>
              <w:instrText xml:space="preserve"> PAGEREF _Toc161734110 \h </w:instrText>
            </w:r>
            <w:r w:rsidR="00FB35F4">
              <w:rPr>
                <w:noProof/>
                <w:webHidden/>
              </w:rPr>
            </w:r>
            <w:r w:rsidR="00FB35F4">
              <w:rPr>
                <w:noProof/>
                <w:webHidden/>
              </w:rPr>
              <w:fldChar w:fldCharType="separate"/>
            </w:r>
            <w:r w:rsidR="0006004B">
              <w:rPr>
                <w:noProof/>
                <w:webHidden/>
              </w:rPr>
              <w:t>18</w:t>
            </w:r>
            <w:r w:rsidR="00FB35F4">
              <w:rPr>
                <w:noProof/>
                <w:webHidden/>
              </w:rPr>
              <w:fldChar w:fldCharType="end"/>
            </w:r>
          </w:hyperlink>
        </w:p>
        <w:p w14:paraId="0ABE0F2E" w14:textId="3C787C8D"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11" w:history="1">
            <w:r w:rsidR="00FB35F4" w:rsidRPr="00021891">
              <w:rPr>
                <w:rStyle w:val="Hyperlink"/>
                <w:noProof/>
              </w:rPr>
              <w:t>Staff travel charges</w:t>
            </w:r>
            <w:r w:rsidR="00FB35F4">
              <w:rPr>
                <w:noProof/>
                <w:webHidden/>
              </w:rPr>
              <w:tab/>
            </w:r>
            <w:r w:rsidR="00FB35F4">
              <w:rPr>
                <w:noProof/>
                <w:webHidden/>
              </w:rPr>
              <w:fldChar w:fldCharType="begin"/>
            </w:r>
            <w:r w:rsidR="00FB35F4">
              <w:rPr>
                <w:noProof/>
                <w:webHidden/>
              </w:rPr>
              <w:instrText xml:space="preserve"> PAGEREF _Toc161734111 \h </w:instrText>
            </w:r>
            <w:r w:rsidR="00FB35F4">
              <w:rPr>
                <w:noProof/>
                <w:webHidden/>
              </w:rPr>
            </w:r>
            <w:r w:rsidR="00FB35F4">
              <w:rPr>
                <w:noProof/>
                <w:webHidden/>
              </w:rPr>
              <w:fldChar w:fldCharType="separate"/>
            </w:r>
            <w:r w:rsidR="0006004B">
              <w:rPr>
                <w:noProof/>
                <w:webHidden/>
              </w:rPr>
              <w:t>18</w:t>
            </w:r>
            <w:r w:rsidR="00FB35F4">
              <w:rPr>
                <w:noProof/>
                <w:webHidden/>
              </w:rPr>
              <w:fldChar w:fldCharType="end"/>
            </w:r>
          </w:hyperlink>
        </w:p>
        <w:p w14:paraId="38591441" w14:textId="6936E68B"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12" w:history="1">
            <w:r w:rsidR="00FB35F4" w:rsidRPr="00021891">
              <w:rPr>
                <w:rStyle w:val="Hyperlink"/>
                <w:noProof/>
              </w:rPr>
              <w:t>End of life care</w:t>
            </w:r>
            <w:r w:rsidR="00FB35F4">
              <w:rPr>
                <w:noProof/>
                <w:webHidden/>
              </w:rPr>
              <w:tab/>
            </w:r>
            <w:r w:rsidR="00FB35F4">
              <w:rPr>
                <w:noProof/>
                <w:webHidden/>
              </w:rPr>
              <w:fldChar w:fldCharType="begin"/>
            </w:r>
            <w:r w:rsidR="00FB35F4">
              <w:rPr>
                <w:noProof/>
                <w:webHidden/>
              </w:rPr>
              <w:instrText xml:space="preserve"> PAGEREF _Toc161734112 \h </w:instrText>
            </w:r>
            <w:r w:rsidR="00FB35F4">
              <w:rPr>
                <w:noProof/>
                <w:webHidden/>
              </w:rPr>
            </w:r>
            <w:r w:rsidR="00FB35F4">
              <w:rPr>
                <w:noProof/>
                <w:webHidden/>
              </w:rPr>
              <w:fldChar w:fldCharType="separate"/>
            </w:r>
            <w:r w:rsidR="0006004B">
              <w:rPr>
                <w:noProof/>
                <w:webHidden/>
              </w:rPr>
              <w:t>19</w:t>
            </w:r>
            <w:r w:rsidR="00FB35F4">
              <w:rPr>
                <w:noProof/>
                <w:webHidden/>
              </w:rPr>
              <w:fldChar w:fldCharType="end"/>
            </w:r>
          </w:hyperlink>
        </w:p>
        <w:p w14:paraId="4C6AD276" w14:textId="3E20FA05"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13" w:history="1">
            <w:r w:rsidR="00FB35F4" w:rsidRPr="00021891">
              <w:rPr>
                <w:rStyle w:val="Hyperlink"/>
                <w:noProof/>
              </w:rPr>
              <w:t>Palliative care</w:t>
            </w:r>
            <w:r w:rsidR="00FB35F4">
              <w:rPr>
                <w:noProof/>
                <w:webHidden/>
              </w:rPr>
              <w:tab/>
            </w:r>
            <w:r w:rsidR="00FB35F4">
              <w:rPr>
                <w:noProof/>
                <w:webHidden/>
              </w:rPr>
              <w:fldChar w:fldCharType="begin"/>
            </w:r>
            <w:r w:rsidR="00FB35F4">
              <w:rPr>
                <w:noProof/>
                <w:webHidden/>
              </w:rPr>
              <w:instrText xml:space="preserve"> PAGEREF _Toc161734113 \h </w:instrText>
            </w:r>
            <w:r w:rsidR="00FB35F4">
              <w:rPr>
                <w:noProof/>
                <w:webHidden/>
              </w:rPr>
            </w:r>
            <w:r w:rsidR="00FB35F4">
              <w:rPr>
                <w:noProof/>
                <w:webHidden/>
              </w:rPr>
              <w:fldChar w:fldCharType="separate"/>
            </w:r>
            <w:r w:rsidR="0006004B">
              <w:rPr>
                <w:noProof/>
                <w:webHidden/>
              </w:rPr>
              <w:t>19</w:t>
            </w:r>
            <w:r w:rsidR="00FB35F4">
              <w:rPr>
                <w:noProof/>
                <w:webHidden/>
              </w:rPr>
              <w:fldChar w:fldCharType="end"/>
            </w:r>
          </w:hyperlink>
        </w:p>
        <w:p w14:paraId="3918D255" w14:textId="4F3EB7D6"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14" w:history="1">
            <w:r w:rsidR="00FB35F4" w:rsidRPr="00021891">
              <w:rPr>
                <w:rStyle w:val="Hyperlink"/>
                <w:noProof/>
              </w:rPr>
              <w:t>Social, Community, Home Care and Disability Services (SCHADS) Award</w:t>
            </w:r>
            <w:r w:rsidR="00FB35F4">
              <w:rPr>
                <w:noProof/>
                <w:webHidden/>
              </w:rPr>
              <w:tab/>
            </w:r>
            <w:r w:rsidR="00FB35F4">
              <w:rPr>
                <w:noProof/>
                <w:webHidden/>
              </w:rPr>
              <w:fldChar w:fldCharType="begin"/>
            </w:r>
            <w:r w:rsidR="00FB35F4">
              <w:rPr>
                <w:noProof/>
                <w:webHidden/>
              </w:rPr>
              <w:instrText xml:space="preserve"> PAGEREF _Toc161734114 \h </w:instrText>
            </w:r>
            <w:r w:rsidR="00FB35F4">
              <w:rPr>
                <w:noProof/>
                <w:webHidden/>
              </w:rPr>
            </w:r>
            <w:r w:rsidR="00FB35F4">
              <w:rPr>
                <w:noProof/>
                <w:webHidden/>
              </w:rPr>
              <w:fldChar w:fldCharType="separate"/>
            </w:r>
            <w:r w:rsidR="0006004B">
              <w:rPr>
                <w:noProof/>
                <w:webHidden/>
              </w:rPr>
              <w:t>20</w:t>
            </w:r>
            <w:r w:rsidR="00FB35F4">
              <w:rPr>
                <w:noProof/>
                <w:webHidden/>
              </w:rPr>
              <w:fldChar w:fldCharType="end"/>
            </w:r>
          </w:hyperlink>
        </w:p>
        <w:p w14:paraId="0849DC13" w14:textId="176927B8"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15" w:history="1">
            <w:r w:rsidR="00FB35F4" w:rsidRPr="00021891">
              <w:rPr>
                <w:rStyle w:val="Hyperlink"/>
                <w:noProof/>
              </w:rPr>
              <w:t>National Aged Care Advisory Council</w:t>
            </w:r>
            <w:r w:rsidR="00FB35F4">
              <w:rPr>
                <w:noProof/>
                <w:webHidden/>
              </w:rPr>
              <w:tab/>
            </w:r>
            <w:r w:rsidR="00FB35F4">
              <w:rPr>
                <w:noProof/>
                <w:webHidden/>
              </w:rPr>
              <w:fldChar w:fldCharType="begin"/>
            </w:r>
            <w:r w:rsidR="00FB35F4">
              <w:rPr>
                <w:noProof/>
                <w:webHidden/>
              </w:rPr>
              <w:instrText xml:space="preserve"> PAGEREF _Toc161734115 \h </w:instrText>
            </w:r>
            <w:r w:rsidR="00FB35F4">
              <w:rPr>
                <w:noProof/>
                <w:webHidden/>
              </w:rPr>
            </w:r>
            <w:r w:rsidR="00FB35F4">
              <w:rPr>
                <w:noProof/>
                <w:webHidden/>
              </w:rPr>
              <w:fldChar w:fldCharType="separate"/>
            </w:r>
            <w:r w:rsidR="0006004B">
              <w:rPr>
                <w:noProof/>
                <w:webHidden/>
              </w:rPr>
              <w:t>21</w:t>
            </w:r>
            <w:r w:rsidR="00FB35F4">
              <w:rPr>
                <w:noProof/>
                <w:webHidden/>
              </w:rPr>
              <w:fldChar w:fldCharType="end"/>
            </w:r>
          </w:hyperlink>
        </w:p>
        <w:p w14:paraId="148C8C89" w14:textId="55F9A78C"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16" w:history="1">
            <w:r w:rsidR="00FB35F4" w:rsidRPr="00021891">
              <w:rPr>
                <w:rStyle w:val="Hyperlink"/>
                <w:noProof/>
              </w:rPr>
              <w:t>Support at Home questions</w:t>
            </w:r>
            <w:r w:rsidR="00FB35F4">
              <w:rPr>
                <w:noProof/>
                <w:webHidden/>
              </w:rPr>
              <w:tab/>
            </w:r>
            <w:r w:rsidR="00FB35F4">
              <w:rPr>
                <w:noProof/>
                <w:webHidden/>
              </w:rPr>
              <w:fldChar w:fldCharType="begin"/>
            </w:r>
            <w:r w:rsidR="00FB35F4">
              <w:rPr>
                <w:noProof/>
                <w:webHidden/>
              </w:rPr>
              <w:instrText xml:space="preserve"> PAGEREF _Toc161734116 \h </w:instrText>
            </w:r>
            <w:r w:rsidR="00FB35F4">
              <w:rPr>
                <w:noProof/>
                <w:webHidden/>
              </w:rPr>
            </w:r>
            <w:r w:rsidR="00FB35F4">
              <w:rPr>
                <w:noProof/>
                <w:webHidden/>
              </w:rPr>
              <w:fldChar w:fldCharType="separate"/>
            </w:r>
            <w:r w:rsidR="0006004B">
              <w:rPr>
                <w:noProof/>
                <w:webHidden/>
              </w:rPr>
              <w:t>21</w:t>
            </w:r>
            <w:r w:rsidR="00FB35F4">
              <w:rPr>
                <w:noProof/>
                <w:webHidden/>
              </w:rPr>
              <w:fldChar w:fldCharType="end"/>
            </w:r>
          </w:hyperlink>
        </w:p>
        <w:p w14:paraId="6EF8301E" w14:textId="14EBCAD6" w:rsidR="00FB35F4" w:rsidRDefault="00335B1F">
          <w:pPr>
            <w:pStyle w:val="TOC2"/>
            <w:tabs>
              <w:tab w:val="right" w:leader="dot" w:pos="10194"/>
            </w:tabs>
            <w:rPr>
              <w:rFonts w:asciiTheme="minorHAnsi" w:eastAsiaTheme="minorEastAsia" w:hAnsiTheme="minorHAnsi"/>
              <w:noProof/>
              <w:kern w:val="2"/>
              <w:sz w:val="22"/>
              <w:szCs w:val="22"/>
              <w:lang w:eastAsia="en-AU"/>
              <w14:ligatures w14:val="standardContextual"/>
            </w:rPr>
          </w:pPr>
          <w:hyperlink w:anchor="_Toc161734117" w:history="1">
            <w:r w:rsidR="00FB35F4" w:rsidRPr="00021891">
              <w:rPr>
                <w:rStyle w:val="Hyperlink"/>
                <w:noProof/>
              </w:rPr>
              <w:t>Masks in home care</w:t>
            </w:r>
            <w:r w:rsidR="00FB35F4">
              <w:rPr>
                <w:noProof/>
                <w:webHidden/>
              </w:rPr>
              <w:tab/>
            </w:r>
            <w:r w:rsidR="00FB35F4">
              <w:rPr>
                <w:noProof/>
                <w:webHidden/>
              </w:rPr>
              <w:fldChar w:fldCharType="begin"/>
            </w:r>
            <w:r w:rsidR="00FB35F4">
              <w:rPr>
                <w:noProof/>
                <w:webHidden/>
              </w:rPr>
              <w:instrText xml:space="preserve"> PAGEREF _Toc161734117 \h </w:instrText>
            </w:r>
            <w:r w:rsidR="00FB35F4">
              <w:rPr>
                <w:noProof/>
                <w:webHidden/>
              </w:rPr>
            </w:r>
            <w:r w:rsidR="00FB35F4">
              <w:rPr>
                <w:noProof/>
                <w:webHidden/>
              </w:rPr>
              <w:fldChar w:fldCharType="separate"/>
            </w:r>
            <w:r w:rsidR="0006004B">
              <w:rPr>
                <w:noProof/>
                <w:webHidden/>
              </w:rPr>
              <w:t>22</w:t>
            </w:r>
            <w:r w:rsidR="00FB35F4">
              <w:rPr>
                <w:noProof/>
                <w:webHidden/>
              </w:rPr>
              <w:fldChar w:fldCharType="end"/>
            </w:r>
          </w:hyperlink>
        </w:p>
        <w:p w14:paraId="18B8B4AA" w14:textId="77777777" w:rsidR="00D525EE" w:rsidRDefault="00787CE9" w:rsidP="00D525EE">
          <w:pPr>
            <w:rPr>
              <w:rFonts w:eastAsiaTheme="minorEastAsia"/>
              <w:b/>
            </w:rPr>
          </w:pPr>
          <w:r>
            <w:rPr>
              <w:b/>
              <w:bCs/>
              <w:noProof/>
            </w:rPr>
            <w:fldChar w:fldCharType="end"/>
          </w:r>
        </w:p>
      </w:sdtContent>
    </w:sdt>
    <w:p w14:paraId="5A75DC12" w14:textId="15271E0E" w:rsidR="00787CE9" w:rsidRDefault="00787CE9" w:rsidP="00D525EE">
      <w:r>
        <w:br w:type="page"/>
      </w:r>
    </w:p>
    <w:p w14:paraId="6D004D17" w14:textId="5AA14447" w:rsidR="00787CE9" w:rsidRDefault="00787CE9" w:rsidP="00C629EB">
      <w:pPr>
        <w:pStyle w:val="Heading2"/>
        <w:spacing w:before="0" w:after="0"/>
      </w:pPr>
      <w:bookmarkStart w:id="0" w:name="_Toc161734091"/>
      <w:r>
        <w:lastRenderedPageBreak/>
        <w:t xml:space="preserve">HCP program </w:t>
      </w:r>
      <w:r w:rsidRPr="00787CE9">
        <w:t>assurance</w:t>
      </w:r>
      <w:r>
        <w:t xml:space="preserve"> reviews</w:t>
      </w:r>
      <w:bookmarkEnd w:id="0"/>
    </w:p>
    <w:p w14:paraId="73796C60" w14:textId="73534A07" w:rsidR="009B7703" w:rsidRDefault="009B7703" w:rsidP="00B35374">
      <w:pPr>
        <w:pStyle w:val="Heading3"/>
      </w:pPr>
      <w:bookmarkStart w:id="1" w:name="_Toc161734092"/>
      <w:r>
        <w:t xml:space="preserve">Unspent funds </w:t>
      </w:r>
      <w:r w:rsidR="00285614">
        <w:t xml:space="preserve">(Commonwealth portion) </w:t>
      </w:r>
      <w:r>
        <w:t>review</w:t>
      </w:r>
      <w:bookmarkEnd w:id="1"/>
    </w:p>
    <w:p w14:paraId="67828D73" w14:textId="29FC497F" w:rsidR="00285614" w:rsidRPr="005A4E18" w:rsidRDefault="00285614" w:rsidP="005A4E18">
      <w:pPr>
        <w:pStyle w:val="Heading4"/>
      </w:pPr>
      <w:r w:rsidRPr="005A4E18">
        <w:t>Q. Why did you only choose 44 providers?</w:t>
      </w:r>
      <w:r w:rsidRPr="00186934">
        <w:rPr>
          <w:vertAlign w:val="superscript"/>
        </w:rPr>
        <w:footnoteReference w:id="2"/>
      </w:r>
    </w:p>
    <w:p w14:paraId="47930C04" w14:textId="77777777" w:rsidR="00285614" w:rsidRPr="00E466CB" w:rsidRDefault="00285614" w:rsidP="00285614">
      <w:pPr>
        <w:spacing w:before="0" w:after="0"/>
        <w:rPr>
          <w:rFonts w:cs="Arial"/>
          <w:color w:val="000000"/>
        </w:rPr>
      </w:pPr>
      <w:r>
        <w:rPr>
          <w:rFonts w:cs="Arial"/>
          <w:color w:val="000000"/>
        </w:rPr>
        <w:t xml:space="preserve">A. </w:t>
      </w:r>
      <w:r w:rsidRPr="00292448">
        <w:rPr>
          <w:rFonts w:cs="Arial"/>
          <w:color w:val="000000"/>
        </w:rPr>
        <w:t>All reviews are risk based. The 44 providers were chosen u</w:t>
      </w:r>
      <w:r w:rsidRPr="00E466CB">
        <w:rPr>
          <w:rFonts w:cs="Arial"/>
          <w:color w:val="000000"/>
        </w:rPr>
        <w:t>sing a risk-based approach if they satisfied either of 2 criteria:</w:t>
      </w:r>
    </w:p>
    <w:p w14:paraId="7A58CC6A" w14:textId="77777777" w:rsidR="008F130A" w:rsidRPr="008F130A" w:rsidRDefault="00285614" w:rsidP="008F130A">
      <w:pPr>
        <w:pStyle w:val="ListParagraph"/>
        <w:numPr>
          <w:ilvl w:val="0"/>
          <w:numId w:val="7"/>
        </w:numPr>
      </w:pPr>
      <w:r w:rsidRPr="008F130A">
        <w:rPr>
          <w:rFonts w:cs="Arial"/>
          <w:color w:val="000000"/>
        </w:rPr>
        <w:t xml:space="preserve">providers held an average unspent funds amount of $15,000 or higher per care </w:t>
      </w:r>
      <w:proofErr w:type="gramStart"/>
      <w:r w:rsidRPr="008F130A">
        <w:rPr>
          <w:rFonts w:cs="Arial"/>
          <w:color w:val="000000"/>
        </w:rPr>
        <w:t>recipient</w:t>
      </w:r>
      <w:proofErr w:type="gramEnd"/>
    </w:p>
    <w:p w14:paraId="270F22E2" w14:textId="4F90A00C" w:rsidR="00285614" w:rsidRPr="008F130A" w:rsidRDefault="00285614" w:rsidP="008F130A">
      <w:pPr>
        <w:pStyle w:val="ListParagraph"/>
        <w:numPr>
          <w:ilvl w:val="0"/>
          <w:numId w:val="7"/>
        </w:numPr>
      </w:pPr>
      <w:r w:rsidRPr="008F130A">
        <w:rPr>
          <w:rFonts w:cs="Arial"/>
          <w:color w:val="000000"/>
        </w:rPr>
        <w:t>providers reported a $0 balance of the Commonwealth unspent funds for a high proportion of exited care recipients.</w:t>
      </w:r>
    </w:p>
    <w:p w14:paraId="6090F6CF" w14:textId="4E9C56CA" w:rsidR="00385B7A" w:rsidRPr="005A4E18" w:rsidRDefault="00385B7A" w:rsidP="005A4E18">
      <w:pPr>
        <w:pStyle w:val="Heading4"/>
      </w:pPr>
      <w:r w:rsidRPr="005A4E18">
        <w:t>Q. Was there a certain type or size of provider that didn't have financial capacity to return funds</w:t>
      </w:r>
      <w:r w:rsidRPr="00186934">
        <w:rPr>
          <w:vertAlign w:val="superscript"/>
        </w:rPr>
        <w:footnoteReference w:id="3"/>
      </w:r>
      <w:r w:rsidRPr="005A4E18">
        <w:t>?</w:t>
      </w:r>
    </w:p>
    <w:p w14:paraId="206597A3" w14:textId="125943F3" w:rsidR="00385B7A" w:rsidRDefault="00385B7A" w:rsidP="007C70C0">
      <w:r w:rsidRPr="007C70C0">
        <w:t xml:space="preserve">A. </w:t>
      </w:r>
      <w:r w:rsidR="002F73FE">
        <w:t>No there wasn’t. As stated in the review report published on our website, a</w:t>
      </w:r>
      <w:r w:rsidRPr="00F601BA">
        <w:t>ll 44 providers gave the required assurance that they could return Commonwealth unspent funds if required.</w:t>
      </w:r>
    </w:p>
    <w:p w14:paraId="761C9C71" w14:textId="407C4D1C" w:rsidR="00D9752E" w:rsidRDefault="00D9752E" w:rsidP="007C70C0">
      <w:r>
        <w:t xml:space="preserve">Most providers selected to take part in Review 2 </w:t>
      </w:r>
      <w:r w:rsidR="00357DB6">
        <w:t>-</w:t>
      </w:r>
      <w:r>
        <w:t xml:space="preserve"> Unspent </w:t>
      </w:r>
      <w:r w:rsidR="001D109D">
        <w:t>F</w:t>
      </w:r>
      <w:r>
        <w:t>unds were corporations. The Department of Health and Aged Care (the department) did not publish the size or type of the companies that did not have financial capacity to return unspent funds due to commercial-in-confidence considerations.</w:t>
      </w:r>
    </w:p>
    <w:p w14:paraId="6F9DB1D3" w14:textId="2C858011" w:rsidR="00385B7A" w:rsidRDefault="0094706B" w:rsidP="00EC29D7">
      <w:pPr>
        <w:pStyle w:val="Heading3"/>
      </w:pPr>
      <w:bookmarkStart w:id="2" w:name="_Toc161734093"/>
      <w:r>
        <w:t>Pricing transparency on My Aged Care review</w:t>
      </w:r>
      <w:bookmarkEnd w:id="2"/>
    </w:p>
    <w:p w14:paraId="118E3327" w14:textId="668AD34B" w:rsidR="00C44A43" w:rsidRPr="008F130A" w:rsidRDefault="00D55451" w:rsidP="008F130A">
      <w:pPr>
        <w:pStyle w:val="Heading4"/>
      </w:pPr>
      <w:r w:rsidRPr="005A4E18">
        <w:t>Q. Why can’t my hyperlink on My Aged Care just go on my home page?</w:t>
      </w:r>
      <w:r w:rsidRPr="00186934">
        <w:rPr>
          <w:vertAlign w:val="superscript"/>
        </w:rPr>
        <w:footnoteReference w:id="4"/>
      </w:r>
    </w:p>
    <w:p w14:paraId="388D93A7" w14:textId="05908A90" w:rsidR="00D55451" w:rsidRDefault="00D55451" w:rsidP="00305288">
      <w:r>
        <w:rPr>
          <w:rFonts w:cs="Arial"/>
          <w:color w:val="000000"/>
        </w:rPr>
        <w:t xml:space="preserve">A. </w:t>
      </w:r>
      <w:r w:rsidR="00912EBF" w:rsidRPr="009940FA">
        <w:rPr>
          <w:rFonts w:cs="Arial"/>
          <w:color w:val="000000"/>
        </w:rPr>
        <w:t xml:space="preserve">To meet the legislative requirements of the </w:t>
      </w:r>
      <w:hyperlink r:id="rId11" w:history="1">
        <w:r w:rsidR="00912EBF" w:rsidRPr="00DF7A38">
          <w:rPr>
            <w:rStyle w:val="Hyperlink"/>
            <w:rFonts w:cs="Arial"/>
            <w:i/>
            <w:iCs/>
            <w:color w:val="0070C0"/>
          </w:rPr>
          <w:t>Quality of Care Principles 2014</w:t>
        </w:r>
      </w:hyperlink>
      <w:r w:rsidR="00912EBF" w:rsidRPr="009940FA">
        <w:rPr>
          <w:rFonts w:cs="Arial"/>
          <w:i/>
          <w:color w:val="000000"/>
        </w:rPr>
        <w:t xml:space="preserve"> </w:t>
      </w:r>
      <w:r w:rsidR="00912EBF" w:rsidRPr="009940FA">
        <w:rPr>
          <w:rFonts w:cs="Arial"/>
          <w:color w:val="000000"/>
        </w:rPr>
        <w:t xml:space="preserve">and the responsibilities under </w:t>
      </w:r>
      <w:r w:rsidR="00D35328">
        <w:rPr>
          <w:rFonts w:cs="Arial"/>
          <w:color w:val="000000"/>
        </w:rPr>
        <w:t>s</w:t>
      </w:r>
      <w:r w:rsidR="00912EBF" w:rsidRPr="009940FA">
        <w:rPr>
          <w:rFonts w:cs="Arial"/>
          <w:color w:val="000000"/>
        </w:rPr>
        <w:t xml:space="preserve">ection 19C(1) and (4) of the </w:t>
      </w:r>
      <w:hyperlink r:id="rId12" w:history="1">
        <w:r w:rsidR="00912EBF" w:rsidRPr="00DF7A38">
          <w:rPr>
            <w:rStyle w:val="Hyperlink"/>
            <w:rFonts w:cs="Arial"/>
            <w:i/>
            <w:iCs/>
            <w:color w:val="0070C0"/>
          </w:rPr>
          <w:t>User Rights Principles 2014</w:t>
        </w:r>
      </w:hyperlink>
      <w:r w:rsidR="00912EBF" w:rsidRPr="006B581B">
        <w:rPr>
          <w:rFonts w:cs="Arial"/>
          <w:color w:val="000000"/>
        </w:rPr>
        <w:t xml:space="preserve"> </w:t>
      </w:r>
      <w:r w:rsidR="006B581B" w:rsidRPr="006B581B">
        <w:t>p</w:t>
      </w:r>
      <w:r w:rsidRPr="006B581B">
        <w:t>roviders</w:t>
      </w:r>
      <w:r w:rsidRPr="006A76E1">
        <w:t xml:space="preserve"> are required to have a full price list available on My Aged Care as either a document</w:t>
      </w:r>
      <w:r>
        <w:t>,</w:t>
      </w:r>
      <w:r w:rsidRPr="006A76E1">
        <w:t xml:space="preserve"> such as a PDF or Word document</w:t>
      </w:r>
      <w:r>
        <w:t>,</w:t>
      </w:r>
      <w:r w:rsidRPr="006A76E1">
        <w:t xml:space="preserve"> or as a hyperlink that opens directly to the provider’s pricing information. It’s important that the hyperlink opens directly to the pricing information as it’s often difficult for people to navigate and find pricing information on the website</w:t>
      </w:r>
      <w:r>
        <w:t>.</w:t>
      </w:r>
      <w:r w:rsidRPr="006A76E1">
        <w:t xml:space="preserve"> </w:t>
      </w:r>
    </w:p>
    <w:p w14:paraId="5A481E18" w14:textId="7AB0BD1D" w:rsidR="00B179C2" w:rsidRPr="00305288" w:rsidRDefault="00B179C2" w:rsidP="00305288">
      <w:pPr>
        <w:pStyle w:val="Heading4"/>
      </w:pPr>
      <w:r w:rsidRPr="00305288">
        <w:t xml:space="preserve">Q. </w:t>
      </w:r>
      <w:r w:rsidR="00AB1079" w:rsidRPr="00305288">
        <w:t>W</w:t>
      </w:r>
      <w:r w:rsidRPr="00305288">
        <w:t>ould you please clarify the status of observations as opposed to issues in individual pricing reports</w:t>
      </w:r>
      <w:r w:rsidR="00FA30D3" w:rsidRPr="00305288">
        <w:t>.</w:t>
      </w:r>
      <w:r w:rsidRPr="00186934">
        <w:rPr>
          <w:vertAlign w:val="superscript"/>
        </w:rPr>
        <w:footnoteReference w:id="5"/>
      </w:r>
    </w:p>
    <w:p w14:paraId="1BB7544A" w14:textId="788037DE" w:rsidR="00B179C2" w:rsidRPr="00006C56" w:rsidRDefault="00B179C2" w:rsidP="00305288">
      <w:pPr>
        <w:spacing w:beforeLines="120" w:before="288"/>
        <w:rPr>
          <w:rFonts w:cs="Arial"/>
          <w:lang w:val="en-GB"/>
        </w:rPr>
      </w:pPr>
      <w:r w:rsidRPr="00ED094D">
        <w:rPr>
          <w:rFonts w:cs="Arial"/>
        </w:rPr>
        <w:t xml:space="preserve">A. </w:t>
      </w:r>
      <w:r w:rsidRPr="00006C56">
        <w:rPr>
          <w:rFonts w:cs="Arial"/>
          <w:lang w:val="en-GB"/>
        </w:rPr>
        <w:t>Findings were set out in three sections</w:t>
      </w:r>
      <w:r>
        <w:rPr>
          <w:rFonts w:cs="Arial"/>
          <w:lang w:val="en-GB"/>
        </w:rPr>
        <w:t>.</w:t>
      </w:r>
    </w:p>
    <w:p w14:paraId="4EA141C1" w14:textId="77777777" w:rsidR="00684367" w:rsidRDefault="00B179C2" w:rsidP="00186934">
      <w:pPr>
        <w:pStyle w:val="ListParagraph"/>
        <w:numPr>
          <w:ilvl w:val="0"/>
          <w:numId w:val="38"/>
        </w:numPr>
        <w:ind w:left="714" w:hanging="357"/>
        <w:rPr>
          <w:rFonts w:cs="Arial"/>
          <w:lang w:val="en-GB"/>
        </w:rPr>
      </w:pPr>
      <w:r w:rsidRPr="00DE1258">
        <w:rPr>
          <w:rFonts w:cs="Arial"/>
          <w:lang w:val="en-GB"/>
        </w:rPr>
        <w:t>Findings where providers were not meeting program requirements in relation to pricing transparency.</w:t>
      </w:r>
      <w:r w:rsidR="009E1FEF" w:rsidRPr="00DE1258">
        <w:rPr>
          <w:rFonts w:cs="Arial"/>
          <w:lang w:val="en-GB"/>
        </w:rPr>
        <w:t xml:space="preserve"> These required actions from providers as mentioned in their reports.</w:t>
      </w:r>
    </w:p>
    <w:p w14:paraId="452E1462" w14:textId="02D2089E" w:rsidR="00B179C2" w:rsidRPr="00DE1258" w:rsidRDefault="00B179C2" w:rsidP="00186934">
      <w:pPr>
        <w:pStyle w:val="ListParagraph"/>
        <w:numPr>
          <w:ilvl w:val="0"/>
          <w:numId w:val="38"/>
        </w:numPr>
        <w:ind w:left="714" w:hanging="357"/>
        <w:rPr>
          <w:rFonts w:cs="Arial"/>
          <w:lang w:val="en-GB"/>
        </w:rPr>
      </w:pPr>
      <w:r w:rsidRPr="00DE1258">
        <w:rPr>
          <w:rFonts w:cs="Arial"/>
          <w:lang w:val="en-GB"/>
        </w:rPr>
        <w:lastRenderedPageBreak/>
        <w:t>Incidental findings, which were findings where providers were not meeting program requirements, other than those relating to pricing transparency.</w:t>
      </w:r>
      <w:r w:rsidR="009E1FEF" w:rsidRPr="00DE1258">
        <w:rPr>
          <w:rFonts w:cs="Arial"/>
          <w:lang w:val="en-GB"/>
        </w:rPr>
        <w:t xml:space="preserve"> These required actions from providers as mentioned in their reports.</w:t>
      </w:r>
    </w:p>
    <w:p w14:paraId="13D0D2D7" w14:textId="475932B3" w:rsidR="00B179C2" w:rsidRDefault="00B179C2" w:rsidP="00186934">
      <w:pPr>
        <w:numPr>
          <w:ilvl w:val="0"/>
          <w:numId w:val="38"/>
        </w:numPr>
        <w:ind w:left="714" w:hanging="357"/>
        <w:rPr>
          <w:rFonts w:cs="Arial"/>
          <w:lang w:val="en-GB"/>
        </w:rPr>
      </w:pPr>
      <w:r w:rsidRPr="00006C56">
        <w:rPr>
          <w:rFonts w:cs="Arial"/>
          <w:lang w:val="en-GB"/>
        </w:rPr>
        <w:t xml:space="preserve">Observations, which in principle were </w:t>
      </w:r>
      <w:r w:rsidRPr="00BB4257">
        <w:rPr>
          <w:rFonts w:cs="Arial"/>
          <w:iCs/>
          <w:lang w:val="en-GB"/>
        </w:rPr>
        <w:t xml:space="preserve">made to support </w:t>
      </w:r>
      <w:r w:rsidR="00CC3066" w:rsidRPr="00BB4257">
        <w:rPr>
          <w:rFonts w:cs="Arial"/>
          <w:iCs/>
          <w:lang w:val="en-GB"/>
        </w:rPr>
        <w:t>the</w:t>
      </w:r>
      <w:r w:rsidRPr="00BB4257">
        <w:rPr>
          <w:rFonts w:cs="Arial"/>
          <w:iCs/>
          <w:lang w:val="en-GB"/>
        </w:rPr>
        <w:t xml:space="preserve"> provider</w:t>
      </w:r>
      <w:r w:rsidR="00CC3066" w:rsidRPr="00BB4257">
        <w:rPr>
          <w:rFonts w:cs="Arial"/>
          <w:iCs/>
          <w:lang w:val="en-GB"/>
        </w:rPr>
        <w:t>’</w:t>
      </w:r>
      <w:r w:rsidRPr="00BB4257">
        <w:rPr>
          <w:rFonts w:cs="Arial"/>
          <w:iCs/>
          <w:lang w:val="en-GB"/>
        </w:rPr>
        <w:t>s continuous improvement, even where they are me</w:t>
      </w:r>
      <w:r w:rsidRPr="00006C56">
        <w:rPr>
          <w:rFonts w:cs="Arial"/>
          <w:lang w:val="en-GB"/>
        </w:rPr>
        <w:t>eting program requirements.</w:t>
      </w:r>
      <w:r w:rsidR="009E1FEF">
        <w:rPr>
          <w:rFonts w:cs="Arial"/>
          <w:lang w:val="en-GB"/>
        </w:rPr>
        <w:t xml:space="preserve"> It was up to </w:t>
      </w:r>
      <w:r w:rsidR="00AF794E">
        <w:rPr>
          <w:rFonts w:cs="Arial"/>
          <w:lang w:val="en-GB"/>
        </w:rPr>
        <w:t xml:space="preserve">the </w:t>
      </w:r>
      <w:r w:rsidR="009E1FEF">
        <w:rPr>
          <w:rFonts w:cs="Arial"/>
          <w:lang w:val="en-GB"/>
        </w:rPr>
        <w:t>provider to consider any action, as appropriate, and there is no follow up from the department for these.</w:t>
      </w:r>
    </w:p>
    <w:p w14:paraId="0C27CED8" w14:textId="206ACD5D" w:rsidR="00CD6A1C" w:rsidRPr="00644BE2" w:rsidRDefault="009B72E9" w:rsidP="00305288">
      <w:pPr>
        <w:spacing w:beforeLines="120" w:before="288"/>
        <w:rPr>
          <w:rFonts w:ascii="Calibri" w:hAnsi="Calibri"/>
        </w:rPr>
      </w:pPr>
      <w:r w:rsidRPr="00644BE2">
        <w:rPr>
          <w:rFonts w:cs="Arial"/>
          <w:lang w:val="en-GB"/>
        </w:rPr>
        <w:t xml:space="preserve">For each </w:t>
      </w:r>
      <w:r w:rsidR="008F78DE" w:rsidRPr="00644BE2">
        <w:rPr>
          <w:rFonts w:cs="Arial"/>
          <w:lang w:val="en-GB"/>
        </w:rPr>
        <w:t>review,</w:t>
      </w:r>
      <w:r w:rsidRPr="00644BE2">
        <w:rPr>
          <w:rFonts w:cs="Arial"/>
          <w:lang w:val="en-GB"/>
        </w:rPr>
        <w:t xml:space="preserve"> the definitions of terms are articulated in the reports to ensure clarity for providers. </w:t>
      </w:r>
      <w:r w:rsidR="00CD6A1C" w:rsidRPr="00644BE2">
        <w:t>Observations, for the purposes of the individual pricing reports, were made to assist providers to improve their pricing information on My Aged Care and their websites</w:t>
      </w:r>
      <w:r w:rsidR="003F19D6" w:rsidRPr="00644BE2">
        <w:t>, f</w:t>
      </w:r>
      <w:r w:rsidR="00CD6A1C" w:rsidRPr="00644BE2">
        <w:t>or example</w:t>
      </w:r>
      <w:r w:rsidR="00B75CAC" w:rsidRPr="00644BE2">
        <w:t>,</w:t>
      </w:r>
      <w:r w:rsidR="00CD6A1C" w:rsidRPr="00644BE2">
        <w:t xml:space="preserve"> suggestions regarding better practice and making things more transparent for </w:t>
      </w:r>
      <w:proofErr w:type="gramStart"/>
      <w:r w:rsidR="00CD6A1C" w:rsidRPr="00644BE2">
        <w:t>consumers</w:t>
      </w:r>
      <w:r w:rsidR="003F19D6" w:rsidRPr="00644BE2">
        <w:t>,</w:t>
      </w:r>
      <w:r w:rsidR="00CD6A1C" w:rsidRPr="00644BE2">
        <w:t xml:space="preserve"> or</w:t>
      </w:r>
      <w:proofErr w:type="gramEnd"/>
      <w:r w:rsidR="00CD6A1C" w:rsidRPr="00644BE2">
        <w:t xml:space="preserve"> aligning more closely to the </w:t>
      </w:r>
      <w:r w:rsidR="003F19D6" w:rsidRPr="00644BE2">
        <w:t>HCP</w:t>
      </w:r>
      <w:r w:rsidR="00CD6A1C" w:rsidRPr="00644BE2">
        <w:t xml:space="preserve"> program</w:t>
      </w:r>
      <w:r w:rsidR="003F19D6" w:rsidRPr="00644BE2">
        <w:t>’s</w:t>
      </w:r>
      <w:r w:rsidR="00CD6A1C" w:rsidRPr="00644BE2">
        <w:t xml:space="preserve"> intent.</w:t>
      </w:r>
    </w:p>
    <w:p w14:paraId="0F81C669" w14:textId="6BE29DBC" w:rsidR="00D06A4F" w:rsidRPr="00684367" w:rsidRDefault="00D06A4F" w:rsidP="00684367">
      <w:pPr>
        <w:pStyle w:val="Heading4"/>
      </w:pPr>
      <w:r w:rsidRPr="00684367">
        <w:t xml:space="preserve">Q. Please provide more details about the incidental finding of the HCP Program Assurance Review 3 – Pricing transparency on My Aged </w:t>
      </w:r>
      <w:r w:rsidR="00F31C2C" w:rsidRPr="00684367">
        <w:t>Care -</w:t>
      </w:r>
      <w:r w:rsidRPr="00684367">
        <w:t xml:space="preserve"> “prices subject to change without demonstrating adequate consultation and/or consent”.</w:t>
      </w:r>
    </w:p>
    <w:p w14:paraId="625BD610" w14:textId="77777777" w:rsidR="00D06A4F" w:rsidRDefault="00D06A4F" w:rsidP="00684367">
      <w:pPr>
        <w:rPr>
          <w:rFonts w:cs="Arial"/>
          <w:lang w:val="en-GB"/>
        </w:rPr>
      </w:pPr>
      <w:r>
        <w:rPr>
          <w:rFonts w:cs="Arial"/>
        </w:rPr>
        <w:t xml:space="preserve">A. </w:t>
      </w:r>
      <w:r w:rsidRPr="00A534A7">
        <w:rPr>
          <w:rFonts w:cs="Arial"/>
          <w:lang w:val="en-GB"/>
        </w:rPr>
        <w:t>Review 3 noted that some providers indicated that their prices may be subject to change without seeking consent from care recipients.</w:t>
      </w:r>
    </w:p>
    <w:p w14:paraId="6602D734" w14:textId="3BF4F5AD" w:rsidR="00D06A4F" w:rsidRPr="00A534A7" w:rsidRDefault="00D06A4F" w:rsidP="00684367">
      <w:pPr>
        <w:rPr>
          <w:rFonts w:cs="Arial"/>
          <w:lang w:val="en-GB"/>
        </w:rPr>
      </w:pPr>
      <w:r w:rsidRPr="00A534A7">
        <w:rPr>
          <w:rFonts w:cs="Arial"/>
          <w:lang w:val="en-GB"/>
        </w:rPr>
        <w:t xml:space="preserve">Providers must notify care recipients of any changes to their </w:t>
      </w:r>
      <w:proofErr w:type="gramStart"/>
      <w:r w:rsidRPr="00A534A7">
        <w:rPr>
          <w:rFonts w:cs="Arial"/>
          <w:lang w:val="en-GB"/>
        </w:rPr>
        <w:t>pricing</w:t>
      </w:r>
      <w:r w:rsidR="00166845">
        <w:rPr>
          <w:rFonts w:cs="Arial"/>
          <w:lang w:val="en-GB"/>
        </w:rPr>
        <w:t>,</w:t>
      </w:r>
      <w:r w:rsidRPr="00A534A7">
        <w:rPr>
          <w:rFonts w:cs="Arial"/>
          <w:lang w:val="en-GB"/>
        </w:rPr>
        <w:t xml:space="preserve"> and</w:t>
      </w:r>
      <w:proofErr w:type="gramEnd"/>
      <w:r w:rsidRPr="00A534A7">
        <w:rPr>
          <w:rFonts w:cs="Arial"/>
          <w:lang w:val="en-GB"/>
        </w:rPr>
        <w:t xml:space="preserve"> provide adequate consultation to enable them to give their informed consent as per 23(3) of the </w:t>
      </w:r>
      <w:r w:rsidRPr="00A534A7">
        <w:rPr>
          <w:rFonts w:cs="Arial"/>
          <w:i/>
          <w:iCs/>
          <w:lang w:val="en-GB"/>
        </w:rPr>
        <w:t>User Rights Principles 2014.</w:t>
      </w:r>
      <w:r w:rsidRPr="00A534A7">
        <w:rPr>
          <w:rFonts w:cs="Arial"/>
          <w:lang w:val="en-GB"/>
        </w:rPr>
        <w:t xml:space="preserve"> This should be documented in the home care agreement before providers start charging the new rates. All prices and price increases must be reasonable and justifiable.</w:t>
      </w:r>
    </w:p>
    <w:p w14:paraId="1606E01A" w14:textId="77777777" w:rsidR="00D06A4F" w:rsidRDefault="00D06A4F" w:rsidP="00684367">
      <w:pPr>
        <w:rPr>
          <w:rFonts w:cs="Arial"/>
          <w:i/>
          <w:iCs/>
          <w:lang w:val="en-GB"/>
        </w:rPr>
      </w:pPr>
      <w:r w:rsidRPr="00A534A7">
        <w:rPr>
          <w:rFonts w:cs="Arial"/>
          <w:lang w:val="en-GB"/>
        </w:rPr>
        <w:t xml:space="preserve">Providers are also required to support care recipients to understand their home care agreements, including any changes made regarding fees and charges as per 22(3) of the </w:t>
      </w:r>
      <w:r w:rsidRPr="00A534A7">
        <w:rPr>
          <w:rFonts w:cs="Arial"/>
          <w:i/>
          <w:iCs/>
          <w:lang w:val="en-GB"/>
        </w:rPr>
        <w:t>User Rights Principles 2014.</w:t>
      </w:r>
    </w:p>
    <w:p w14:paraId="6705D676" w14:textId="77777777" w:rsidR="00D06A4F" w:rsidRDefault="00D06A4F" w:rsidP="00684367">
      <w:pPr>
        <w:rPr>
          <w:rFonts w:cs="Arial"/>
        </w:rPr>
      </w:pPr>
      <w:r w:rsidRPr="00A534A7">
        <w:rPr>
          <w:rFonts w:cs="Arial"/>
          <w:lang w:val="en-GB"/>
        </w:rPr>
        <w:t xml:space="preserve">For more information on home care agreements, including reviewing and updating a home care agreement with a care recipient, see </w:t>
      </w:r>
      <w:hyperlink r:id="rId13">
        <w:r w:rsidRPr="00DF7A38">
          <w:rPr>
            <w:rStyle w:val="Hyperlink"/>
            <w:rFonts w:cs="Arial"/>
            <w:color w:val="0070C0"/>
            <w:lang w:val="en-GB"/>
          </w:rPr>
          <w:t>home care agreements for home care packages</w:t>
        </w:r>
      </w:hyperlink>
      <w:r>
        <w:rPr>
          <w:rFonts w:cs="Arial"/>
        </w:rPr>
        <w:t>.</w:t>
      </w:r>
    </w:p>
    <w:p w14:paraId="445B1AF2" w14:textId="0A733DB9" w:rsidR="0000782B" w:rsidRPr="00AB7FD1" w:rsidRDefault="0000782B" w:rsidP="00AB7FD1">
      <w:pPr>
        <w:pStyle w:val="Heading4"/>
      </w:pPr>
      <w:r w:rsidRPr="00AB7FD1">
        <w:t xml:space="preserve">Q. I would like to understand why you state charging $0 for </w:t>
      </w:r>
      <w:r w:rsidR="00083352" w:rsidRPr="00AB7FD1">
        <w:t>c</w:t>
      </w:r>
      <w:r w:rsidRPr="00AB7FD1">
        <w:t xml:space="preserve">are </w:t>
      </w:r>
      <w:r w:rsidR="00083352" w:rsidRPr="00AB7FD1">
        <w:t>m</w:t>
      </w:r>
      <w:r w:rsidRPr="00AB7FD1">
        <w:t xml:space="preserve">anagement means that </w:t>
      </w:r>
      <w:r w:rsidR="00083352" w:rsidRPr="00AB7FD1">
        <w:t>c</w:t>
      </w:r>
      <w:r w:rsidRPr="00AB7FD1">
        <w:t xml:space="preserve">are </w:t>
      </w:r>
      <w:r w:rsidR="00083352" w:rsidRPr="00AB7FD1">
        <w:t>m</w:t>
      </w:r>
      <w:r w:rsidRPr="00AB7FD1">
        <w:t xml:space="preserve">anagement is not being delivered? Surely you can deliver </w:t>
      </w:r>
      <w:r w:rsidR="00083352" w:rsidRPr="00AB7FD1">
        <w:t>c</w:t>
      </w:r>
      <w:r w:rsidRPr="00AB7FD1">
        <w:t xml:space="preserve">are </w:t>
      </w:r>
      <w:r w:rsidR="00083352" w:rsidRPr="00AB7FD1">
        <w:t>m</w:t>
      </w:r>
      <w:r w:rsidRPr="00AB7FD1">
        <w:t>anagement and choose not to charge for it?</w:t>
      </w:r>
    </w:p>
    <w:p w14:paraId="189BA136" w14:textId="3C5524BA" w:rsidR="0000782B" w:rsidRPr="00AB7FD1" w:rsidRDefault="0000782B" w:rsidP="00AB7FD1">
      <w:pPr>
        <w:rPr>
          <w:rFonts w:cs="Arial"/>
          <w:lang w:val="en-GB"/>
        </w:rPr>
      </w:pPr>
      <w:r w:rsidRPr="00AB7FD1">
        <w:rPr>
          <w:rFonts w:cs="Arial"/>
          <w:lang w:val="en-GB"/>
        </w:rPr>
        <w:t>A. Entering ‘0’ or ‘$0’ is not aligned with the HCP program’s intent. To meet legislative requirements, including complying with the Aged Care Quality Standards, care management should be delivered by all providers and therefore should have an associated cost per fortnight entered.</w:t>
      </w:r>
    </w:p>
    <w:p w14:paraId="40B25F86" w14:textId="3510BC70" w:rsidR="004635C5" w:rsidRPr="00AB7FD1" w:rsidRDefault="004635C5" w:rsidP="00AB7FD1">
      <w:pPr>
        <w:pStyle w:val="Heading4"/>
      </w:pPr>
      <w:r w:rsidRPr="00AB7FD1">
        <w:lastRenderedPageBreak/>
        <w:t xml:space="preserve">Q. </w:t>
      </w:r>
      <w:proofErr w:type="gramStart"/>
      <w:r w:rsidRPr="00AB7FD1">
        <w:t>In regard to</w:t>
      </w:r>
      <w:proofErr w:type="gramEnd"/>
      <w:r w:rsidRPr="00AB7FD1">
        <w:t xml:space="preserve"> "staff travel" in the 3rd review, </w:t>
      </w:r>
      <w:r w:rsidR="00204447" w:rsidRPr="00AB7FD1">
        <w:t>t</w:t>
      </w:r>
      <w:r w:rsidRPr="00AB7FD1">
        <w:t xml:space="preserve">he </w:t>
      </w:r>
      <w:r w:rsidR="00204447" w:rsidRPr="00AB7FD1">
        <w:t>r</w:t>
      </w:r>
      <w:r w:rsidRPr="00AB7FD1">
        <w:t xml:space="preserve">eview team noted some charging model descriptions were unclear as to when and how much a care recipient would be charged.  </w:t>
      </w:r>
      <w:r w:rsidR="00204447" w:rsidRPr="00AB7FD1">
        <w:t>Would</w:t>
      </w:r>
      <w:r w:rsidRPr="00AB7FD1">
        <w:t xml:space="preserve"> you explain how travel costs should be charged and price published?</w:t>
      </w:r>
    </w:p>
    <w:p w14:paraId="3433A8AA" w14:textId="3A41817A" w:rsidR="004635C5" w:rsidRDefault="004635C5" w:rsidP="00BE31C4">
      <w:pPr>
        <w:rPr>
          <w:rFonts w:cs="Arial"/>
          <w:lang w:val="en-GB"/>
        </w:rPr>
      </w:pPr>
      <w:r w:rsidRPr="00AB7FD1">
        <w:rPr>
          <w:rFonts w:cs="Arial"/>
          <w:lang w:val="en-GB"/>
        </w:rPr>
        <w:t xml:space="preserve">A. </w:t>
      </w:r>
      <w:r w:rsidRPr="003E5AA2">
        <w:rPr>
          <w:rFonts w:cs="Arial"/>
          <w:lang w:val="en-GB"/>
        </w:rPr>
        <w:t xml:space="preserve">Providers are required to enter a price per kilometre (if any) that </w:t>
      </w:r>
      <w:r w:rsidR="00C967FC">
        <w:rPr>
          <w:rFonts w:cs="Arial"/>
          <w:lang w:val="en-GB"/>
        </w:rPr>
        <w:t>they</w:t>
      </w:r>
      <w:r w:rsidRPr="003E5AA2">
        <w:rPr>
          <w:rFonts w:cs="Arial"/>
          <w:lang w:val="en-GB"/>
        </w:rPr>
        <w:t xml:space="preserve"> charge care recipients for travel to a care recipient for the purpose of providing care or services as per section 19B(1)(b) of the </w:t>
      </w:r>
      <w:r w:rsidRPr="00AB7FD1">
        <w:rPr>
          <w:rFonts w:cs="Arial"/>
          <w:lang w:val="en-GB"/>
        </w:rPr>
        <w:t>User Rights Principles 2014</w:t>
      </w:r>
      <w:r w:rsidRPr="003E5AA2">
        <w:rPr>
          <w:rFonts w:cs="Arial"/>
          <w:lang w:val="en-GB"/>
        </w:rPr>
        <w:t>.</w:t>
      </w:r>
    </w:p>
    <w:p w14:paraId="1FD64FCF" w14:textId="296ED966" w:rsidR="004635C5" w:rsidRDefault="004635C5" w:rsidP="00BE31C4">
      <w:pPr>
        <w:rPr>
          <w:rFonts w:cs="Arial"/>
          <w:lang w:val="en-GB"/>
        </w:rPr>
      </w:pPr>
      <w:r w:rsidRPr="003E5AA2">
        <w:rPr>
          <w:rFonts w:cs="Arial"/>
          <w:lang w:val="en-GB"/>
        </w:rPr>
        <w:t>Providers are required to enter $0 when they do not charge for travel in this way. A staff travel description may be entered.</w:t>
      </w:r>
    </w:p>
    <w:p w14:paraId="2187CB28" w14:textId="77777777" w:rsidR="004635C5" w:rsidRDefault="004635C5" w:rsidP="00BE31C4">
      <w:pPr>
        <w:rPr>
          <w:rFonts w:cs="Arial"/>
          <w:lang w:val="en-GB"/>
        </w:rPr>
      </w:pPr>
      <w:r w:rsidRPr="003E5AA2">
        <w:rPr>
          <w:rFonts w:cs="Arial"/>
          <w:lang w:val="en-GB"/>
        </w:rPr>
        <w:t>Providers have the flexibility to explain their business model within the free text fields. This could be to explain how this cost is calculated, for example whether it calculates per kilometre from their office, or if they charge for this cost in a different way.</w:t>
      </w:r>
    </w:p>
    <w:p w14:paraId="44F9FAC6" w14:textId="77777777" w:rsidR="004635C5" w:rsidRDefault="004635C5" w:rsidP="00BE31C4">
      <w:pPr>
        <w:rPr>
          <w:rFonts w:cs="Arial"/>
          <w:lang w:val="en-GB"/>
        </w:rPr>
      </w:pPr>
      <w:r w:rsidRPr="003E5AA2">
        <w:rPr>
          <w:rFonts w:cs="Arial"/>
          <w:lang w:val="en-GB"/>
        </w:rPr>
        <w:t>When determining whether to charge for staff travel, providers are reminded that all costs must be reasonable and clearly identified for care recipients.</w:t>
      </w:r>
    </w:p>
    <w:p w14:paraId="5E586162" w14:textId="2EECF672" w:rsidR="00952898" w:rsidRPr="00AB7FD1" w:rsidRDefault="00952898" w:rsidP="00C57519">
      <w:pPr>
        <w:pStyle w:val="Heading3"/>
      </w:pPr>
      <w:bookmarkStart w:id="3" w:name="_Toc161734094"/>
      <w:r w:rsidRPr="00AB7FD1">
        <w:t xml:space="preserve">Excluded items </w:t>
      </w:r>
      <w:proofErr w:type="gramStart"/>
      <w:r w:rsidRPr="00AB7FD1">
        <w:t>review</w:t>
      </w:r>
      <w:bookmarkEnd w:id="3"/>
      <w:proofErr w:type="gramEnd"/>
    </w:p>
    <w:p w14:paraId="0C8F0FBA" w14:textId="1CF88CC5" w:rsidR="00B179C2" w:rsidRPr="00AB7FD1" w:rsidRDefault="00B179C2" w:rsidP="00AB7FD1">
      <w:pPr>
        <w:pStyle w:val="Heading4"/>
      </w:pPr>
      <w:r w:rsidRPr="00AB7FD1">
        <w:t>Q. When will the review of exclusions be completed and results published?</w:t>
      </w:r>
    </w:p>
    <w:p w14:paraId="2C511185" w14:textId="7670ED18" w:rsidR="00B179C2" w:rsidRPr="00AB7FD1" w:rsidRDefault="00B179C2" w:rsidP="00AB7FD1">
      <w:pPr>
        <w:rPr>
          <w:rFonts w:cs="Arial"/>
          <w:lang w:val="en-GB"/>
        </w:rPr>
      </w:pPr>
      <w:r w:rsidRPr="00AB7FD1">
        <w:rPr>
          <w:rFonts w:cs="Arial"/>
          <w:lang w:val="en-GB"/>
        </w:rPr>
        <w:t xml:space="preserve">A. The review into excluded items is expected to be completed, and results published, </w:t>
      </w:r>
      <w:r w:rsidR="009A4046" w:rsidRPr="00AB7FD1">
        <w:rPr>
          <w:rFonts w:cs="Arial"/>
          <w:lang w:val="en-GB"/>
        </w:rPr>
        <w:t>around mid</w:t>
      </w:r>
      <w:r w:rsidR="003E38D8" w:rsidRPr="00AB7FD1">
        <w:rPr>
          <w:rFonts w:cs="Arial"/>
          <w:lang w:val="en-GB"/>
        </w:rPr>
        <w:t>-</w:t>
      </w:r>
      <w:r w:rsidR="009A4046" w:rsidRPr="00AB7FD1">
        <w:rPr>
          <w:rFonts w:cs="Arial"/>
          <w:lang w:val="en-GB"/>
        </w:rPr>
        <w:t>2024</w:t>
      </w:r>
      <w:r w:rsidRPr="00AB7FD1">
        <w:rPr>
          <w:rFonts w:cs="Arial"/>
          <w:lang w:val="en-GB"/>
        </w:rPr>
        <w:t>.</w:t>
      </w:r>
    </w:p>
    <w:p w14:paraId="0CF0F46E" w14:textId="13187B4E" w:rsidR="00D06A4F" w:rsidRPr="00AB7FD1" w:rsidRDefault="00D06A4F" w:rsidP="00D06A4F">
      <w:pPr>
        <w:spacing w:before="0" w:after="0"/>
        <w:rPr>
          <w:rFonts w:eastAsiaTheme="majorEastAsia" w:cstheme="majorBidi"/>
          <w:b/>
          <w:color w:val="1E1544" w:themeColor="text1"/>
          <w:szCs w:val="22"/>
        </w:rPr>
      </w:pPr>
      <w:r w:rsidRPr="00AB7FD1">
        <w:rPr>
          <w:rFonts w:eastAsiaTheme="majorEastAsia" w:cstheme="majorBidi"/>
          <w:b/>
          <w:color w:val="1E1544" w:themeColor="text1"/>
          <w:szCs w:val="22"/>
        </w:rPr>
        <w:t>Q. What are the components of the excluded items review?</w:t>
      </w:r>
    </w:p>
    <w:p w14:paraId="12DDE366" w14:textId="1C96F220" w:rsidR="00D06A4F" w:rsidRPr="00AB7FD1" w:rsidRDefault="00D06A4F" w:rsidP="00BE31C4">
      <w:pPr>
        <w:rPr>
          <w:rFonts w:cs="Arial"/>
          <w:lang w:val="en-GB"/>
        </w:rPr>
      </w:pPr>
      <w:r w:rsidRPr="00AB7FD1">
        <w:rPr>
          <w:rFonts w:cs="Arial"/>
          <w:lang w:val="en-GB"/>
        </w:rPr>
        <w:t xml:space="preserve">A. Previous assurance reviews and stakeholder feedback have identified a lack of understanding about what the HCP program subsidy can be used for. This impacts the ability of care recipients to make informed choices about their care, affects value for money for the program and could mean funds are misused. </w:t>
      </w:r>
      <w:r w:rsidR="00C86283" w:rsidRPr="00AB7FD1">
        <w:rPr>
          <w:rFonts w:cs="Arial"/>
          <w:lang w:val="en-GB"/>
        </w:rPr>
        <w:t>This</w:t>
      </w:r>
      <w:r w:rsidRPr="00AB7FD1">
        <w:rPr>
          <w:rFonts w:cs="Arial"/>
          <w:lang w:val="en-GB"/>
        </w:rPr>
        <w:t xml:space="preserve"> review </w:t>
      </w:r>
      <w:r w:rsidR="00C86283" w:rsidRPr="00AB7FD1">
        <w:rPr>
          <w:rFonts w:cs="Arial"/>
          <w:lang w:val="en-GB"/>
        </w:rPr>
        <w:t xml:space="preserve">seeks </w:t>
      </w:r>
      <w:r w:rsidRPr="00AB7FD1">
        <w:rPr>
          <w:rFonts w:cs="Arial"/>
          <w:lang w:val="en-GB"/>
        </w:rPr>
        <w:t>to answer 2 critical questions</w:t>
      </w:r>
      <w:r w:rsidR="00B37C82" w:rsidRPr="00AB7FD1">
        <w:rPr>
          <w:rFonts w:cs="Arial"/>
          <w:lang w:val="en-GB"/>
        </w:rPr>
        <w:t>.</w:t>
      </w:r>
    </w:p>
    <w:p w14:paraId="656985D0" w14:textId="2C9416AC" w:rsidR="00D06A4F" w:rsidRPr="00186934" w:rsidRDefault="00311890" w:rsidP="00186934">
      <w:pPr>
        <w:pStyle w:val="ListParagraph"/>
        <w:numPr>
          <w:ilvl w:val="0"/>
          <w:numId w:val="38"/>
        </w:numPr>
        <w:ind w:left="714" w:hanging="357"/>
        <w:rPr>
          <w:rFonts w:cs="Arial"/>
          <w:lang w:val="en-GB"/>
        </w:rPr>
      </w:pPr>
      <w:r w:rsidRPr="00186934">
        <w:rPr>
          <w:rFonts w:cs="Arial"/>
          <w:lang w:val="en-GB"/>
        </w:rPr>
        <w:t>I</w:t>
      </w:r>
      <w:r w:rsidR="00D06A4F" w:rsidRPr="00186934">
        <w:rPr>
          <w:rFonts w:cs="Arial"/>
          <w:lang w:val="en-GB"/>
        </w:rPr>
        <w:t xml:space="preserve">s the program subsidy being used for care and services that are exclusions and how widespread is this </w:t>
      </w:r>
      <w:r w:rsidRPr="00186934">
        <w:rPr>
          <w:rFonts w:cs="Arial"/>
          <w:lang w:val="en-GB"/>
        </w:rPr>
        <w:t>practice?</w:t>
      </w:r>
    </w:p>
    <w:p w14:paraId="4C9E4731" w14:textId="1007A432" w:rsidR="00D06A4F" w:rsidRPr="00186934" w:rsidRDefault="00311890" w:rsidP="00186934">
      <w:pPr>
        <w:pStyle w:val="ListParagraph"/>
        <w:numPr>
          <w:ilvl w:val="0"/>
          <w:numId w:val="38"/>
        </w:numPr>
        <w:ind w:left="714" w:hanging="357"/>
        <w:rPr>
          <w:rFonts w:cs="Arial"/>
          <w:lang w:val="en-GB"/>
        </w:rPr>
      </w:pPr>
      <w:r w:rsidRPr="00186934">
        <w:rPr>
          <w:rFonts w:cs="Arial"/>
          <w:lang w:val="en-GB"/>
        </w:rPr>
        <w:t>W</w:t>
      </w:r>
      <w:r w:rsidR="00D06A4F" w:rsidRPr="00186934">
        <w:rPr>
          <w:rFonts w:cs="Arial"/>
          <w:lang w:val="en-GB"/>
        </w:rPr>
        <w:t xml:space="preserve">hy </w:t>
      </w:r>
      <w:proofErr w:type="gramStart"/>
      <w:r w:rsidR="00D06A4F" w:rsidRPr="00186934">
        <w:rPr>
          <w:rFonts w:cs="Arial"/>
          <w:lang w:val="en-GB"/>
        </w:rPr>
        <w:t>such practices are</w:t>
      </w:r>
      <w:proofErr w:type="gramEnd"/>
      <w:r w:rsidR="00D06A4F" w:rsidRPr="00186934">
        <w:rPr>
          <w:rFonts w:cs="Arial"/>
          <w:lang w:val="en-GB"/>
        </w:rPr>
        <w:t xml:space="preserve"> occurring</w:t>
      </w:r>
      <w:r w:rsidRPr="00186934">
        <w:rPr>
          <w:rFonts w:cs="Arial"/>
          <w:lang w:val="en-GB"/>
        </w:rPr>
        <w:t>?</w:t>
      </w:r>
    </w:p>
    <w:p w14:paraId="001C0417" w14:textId="52ECEA6D" w:rsidR="00D06A4F" w:rsidRPr="00AB7FD1" w:rsidRDefault="00D06A4F" w:rsidP="00D06A4F">
      <w:pPr>
        <w:spacing w:before="0" w:after="0"/>
        <w:rPr>
          <w:rFonts w:eastAsiaTheme="majorEastAsia" w:cstheme="majorBidi"/>
          <w:b/>
          <w:color w:val="1E1544" w:themeColor="text1"/>
          <w:szCs w:val="22"/>
        </w:rPr>
      </w:pPr>
      <w:r w:rsidRPr="00AB7FD1">
        <w:rPr>
          <w:rFonts w:eastAsiaTheme="majorEastAsia" w:cstheme="majorBidi"/>
          <w:b/>
          <w:color w:val="1E1544" w:themeColor="text1"/>
          <w:szCs w:val="22"/>
        </w:rPr>
        <w:t>Q. Have the providers already been selected for the current review</w:t>
      </w:r>
      <w:r w:rsidR="0076427D">
        <w:rPr>
          <w:rFonts w:eastAsiaTheme="majorEastAsia" w:cstheme="majorBidi"/>
          <w:b/>
          <w:color w:val="1E1544" w:themeColor="text1"/>
          <w:szCs w:val="22"/>
        </w:rPr>
        <w:t>?</w:t>
      </w:r>
      <w:r w:rsidRPr="00186934">
        <w:rPr>
          <w:rFonts w:eastAsiaTheme="majorEastAsia" w:cstheme="majorBidi"/>
          <w:b/>
          <w:bCs/>
          <w:color w:val="1E1544" w:themeColor="text1"/>
          <w:szCs w:val="22"/>
          <w:vertAlign w:val="superscript"/>
        </w:rPr>
        <w:footnoteReference w:id="6"/>
      </w:r>
    </w:p>
    <w:p w14:paraId="6D66C1C9" w14:textId="069C94E7" w:rsidR="00EE11E0" w:rsidRPr="00AB7FD1" w:rsidRDefault="00D06A4F" w:rsidP="00BE31C4">
      <w:pPr>
        <w:rPr>
          <w:rFonts w:cs="Arial"/>
          <w:lang w:val="en-GB"/>
        </w:rPr>
      </w:pPr>
      <w:r w:rsidRPr="00AB7FD1">
        <w:rPr>
          <w:rFonts w:cs="Arial"/>
          <w:lang w:val="en-GB"/>
        </w:rPr>
        <w:t>A. Yes. The review into excluded items is currently underway. We are at the fieldwork stage and all providers have been selected</w:t>
      </w:r>
      <w:r w:rsidR="00C31E02" w:rsidRPr="00AB7FD1">
        <w:rPr>
          <w:rFonts w:cs="Arial"/>
          <w:lang w:val="en-GB"/>
        </w:rPr>
        <w:t xml:space="preserve"> and are aware of </w:t>
      </w:r>
      <w:r w:rsidR="00280C32" w:rsidRPr="00AB7FD1">
        <w:rPr>
          <w:rFonts w:cs="Arial"/>
          <w:lang w:val="en-GB"/>
        </w:rPr>
        <w:t>this</w:t>
      </w:r>
      <w:r w:rsidRPr="00AB7FD1">
        <w:rPr>
          <w:rFonts w:cs="Arial"/>
          <w:lang w:val="en-GB"/>
        </w:rPr>
        <w:t>.</w:t>
      </w:r>
    </w:p>
    <w:p w14:paraId="55148B98" w14:textId="69A5EA75" w:rsidR="00104A78" w:rsidRPr="00186934" w:rsidRDefault="00104A78" w:rsidP="00EC29D7">
      <w:pPr>
        <w:pStyle w:val="Heading3"/>
      </w:pPr>
      <w:bookmarkStart w:id="4" w:name="_Toc161734095"/>
      <w:r w:rsidRPr="00186934">
        <w:t>Provider reports</w:t>
      </w:r>
      <w:bookmarkEnd w:id="4"/>
    </w:p>
    <w:p w14:paraId="6D3F4CC7" w14:textId="7EA01E31" w:rsidR="00104A78" w:rsidRPr="00186934" w:rsidRDefault="00104A78" w:rsidP="00104A78">
      <w:pPr>
        <w:spacing w:before="0" w:after="0"/>
        <w:rPr>
          <w:rFonts w:eastAsiaTheme="majorEastAsia" w:cstheme="majorBidi"/>
          <w:b/>
          <w:color w:val="1E1544" w:themeColor="text1"/>
          <w:szCs w:val="22"/>
        </w:rPr>
      </w:pPr>
      <w:r w:rsidRPr="00186934">
        <w:rPr>
          <w:rFonts w:eastAsiaTheme="majorEastAsia" w:cstheme="majorBidi"/>
          <w:b/>
          <w:color w:val="1E1544" w:themeColor="text1"/>
          <w:szCs w:val="22"/>
        </w:rPr>
        <w:t>Q. Will providers who participated receive individual reports and feedback from their report</w:t>
      </w:r>
      <w:r w:rsidR="007C36F4">
        <w:rPr>
          <w:rFonts w:eastAsiaTheme="majorEastAsia" w:cstheme="majorBidi"/>
          <w:b/>
          <w:color w:val="1E1544" w:themeColor="text1"/>
          <w:szCs w:val="22"/>
        </w:rPr>
        <w:t>?</w:t>
      </w:r>
      <w:r w:rsidRPr="00186934">
        <w:rPr>
          <w:rFonts w:eastAsiaTheme="majorEastAsia" w:cstheme="majorBidi"/>
          <w:b/>
          <w:bCs/>
          <w:color w:val="1E1544" w:themeColor="text1"/>
          <w:szCs w:val="22"/>
          <w:vertAlign w:val="superscript"/>
        </w:rPr>
        <w:footnoteReference w:id="7"/>
      </w:r>
    </w:p>
    <w:p w14:paraId="30715FE3" w14:textId="547E88AB" w:rsidR="00104A78" w:rsidRPr="00EC29D7" w:rsidRDefault="00104A78" w:rsidP="00186934">
      <w:pPr>
        <w:rPr>
          <w:rFonts w:cs="Arial"/>
          <w:lang w:val="en-GB"/>
        </w:rPr>
      </w:pPr>
      <w:r w:rsidRPr="00B01BD4">
        <w:rPr>
          <w:rFonts w:cs="Arial"/>
        </w:rPr>
        <w:t>A</w:t>
      </w:r>
      <w:r w:rsidRPr="00EC29D7">
        <w:rPr>
          <w:rFonts w:cs="Arial"/>
          <w:lang w:val="en-GB"/>
        </w:rPr>
        <w:t xml:space="preserve">. All providers are informed of the outcomes of a review, </w:t>
      </w:r>
      <w:r w:rsidR="00280C32" w:rsidRPr="00EC29D7">
        <w:rPr>
          <w:rFonts w:cs="Arial"/>
          <w:lang w:val="en-GB"/>
        </w:rPr>
        <w:t>and all will receive advice or feedback in writing at the conclusion of the review. For example, i</w:t>
      </w:r>
      <w:r w:rsidRPr="00EC29D7">
        <w:rPr>
          <w:rFonts w:cs="Arial"/>
          <w:lang w:val="en-GB"/>
        </w:rPr>
        <w:t xml:space="preserve">f no issues relating to program requirements are identified, a provider may only receive a letter noting this finding and thanking </w:t>
      </w:r>
      <w:r w:rsidR="002E28E6" w:rsidRPr="00EC29D7">
        <w:rPr>
          <w:rFonts w:cs="Arial"/>
          <w:lang w:val="en-GB"/>
        </w:rPr>
        <w:lastRenderedPageBreak/>
        <w:t>the provider</w:t>
      </w:r>
      <w:r w:rsidRPr="00EC29D7">
        <w:rPr>
          <w:rFonts w:cs="Arial"/>
          <w:lang w:val="en-GB"/>
        </w:rPr>
        <w:t xml:space="preserve"> for participating in the review. When issues with program requirements are identified, providers </w:t>
      </w:r>
      <w:r w:rsidR="00280C32" w:rsidRPr="00EC29D7">
        <w:rPr>
          <w:rFonts w:cs="Arial"/>
          <w:lang w:val="en-GB"/>
        </w:rPr>
        <w:t>receive</w:t>
      </w:r>
      <w:r w:rsidRPr="00EC29D7">
        <w:rPr>
          <w:rFonts w:cs="Arial"/>
          <w:lang w:val="en-GB"/>
        </w:rPr>
        <w:t xml:space="preserve"> individual reports.</w:t>
      </w:r>
    </w:p>
    <w:p w14:paraId="099668EA" w14:textId="6BF2FD39" w:rsidR="00104A78" w:rsidRPr="00EC29D7" w:rsidRDefault="00104A78" w:rsidP="00186934">
      <w:pPr>
        <w:rPr>
          <w:rFonts w:cs="Arial"/>
          <w:lang w:val="en-GB"/>
        </w:rPr>
      </w:pPr>
      <w:r w:rsidRPr="00EC29D7">
        <w:rPr>
          <w:rFonts w:cs="Arial"/>
          <w:lang w:val="en-GB"/>
        </w:rPr>
        <w:t xml:space="preserve">Procedural fairness is a very important part of the review process. Even though review officers engage with providers throughout a review, providers are offered an opportunity to review and challenge review findings </w:t>
      </w:r>
      <w:r w:rsidR="00466412" w:rsidRPr="00EC29D7">
        <w:rPr>
          <w:rFonts w:cs="Arial"/>
          <w:lang w:val="en-GB"/>
        </w:rPr>
        <w:t>in their draft reports</w:t>
      </w:r>
      <w:r w:rsidR="006B581B" w:rsidRPr="00EC29D7">
        <w:rPr>
          <w:rFonts w:cs="Arial"/>
          <w:lang w:val="en-GB"/>
        </w:rPr>
        <w:t xml:space="preserve"> </w:t>
      </w:r>
      <w:r w:rsidR="00466412" w:rsidRPr="00EC29D7">
        <w:rPr>
          <w:rFonts w:cs="Arial"/>
          <w:lang w:val="en-GB"/>
        </w:rPr>
        <w:t>and then</w:t>
      </w:r>
      <w:r w:rsidRPr="00EC29D7">
        <w:rPr>
          <w:rFonts w:cs="Arial"/>
          <w:lang w:val="en-GB"/>
        </w:rPr>
        <w:t xml:space="preserve"> the</w:t>
      </w:r>
      <w:r w:rsidR="00466412" w:rsidRPr="00EC29D7">
        <w:rPr>
          <w:rFonts w:cs="Arial"/>
          <w:lang w:val="en-GB"/>
        </w:rPr>
        <w:t>ir</w:t>
      </w:r>
      <w:r w:rsidRPr="00EC29D7">
        <w:rPr>
          <w:rFonts w:cs="Arial"/>
          <w:lang w:val="en-GB"/>
        </w:rPr>
        <w:t xml:space="preserve"> report is finalised.</w:t>
      </w:r>
      <w:r w:rsidR="00466412" w:rsidRPr="00EC29D7">
        <w:rPr>
          <w:rFonts w:cs="Arial"/>
          <w:lang w:val="en-GB"/>
        </w:rPr>
        <w:t xml:space="preserve"> Entry and exit interviews are also offered, usually on a voluntary basis.</w:t>
      </w:r>
    </w:p>
    <w:p w14:paraId="1C87E1E1" w14:textId="43D90B3E" w:rsidR="00EE11E0" w:rsidRDefault="00EE11E0" w:rsidP="00DC576B">
      <w:pPr>
        <w:pStyle w:val="Heading3"/>
      </w:pPr>
      <w:bookmarkStart w:id="5" w:name="_Toc161734096"/>
      <w:r>
        <w:t>Compliance</w:t>
      </w:r>
      <w:bookmarkEnd w:id="5"/>
    </w:p>
    <w:p w14:paraId="4C0CEF38" w14:textId="3341B453" w:rsidR="00B179C2" w:rsidRPr="00DC576B" w:rsidRDefault="00B179C2" w:rsidP="00DC576B">
      <w:pPr>
        <w:pStyle w:val="Heading4"/>
      </w:pPr>
      <w:r w:rsidRPr="00DC576B">
        <w:t xml:space="preserve">Q. If we need to ask any questions if </w:t>
      </w:r>
      <w:r w:rsidR="009C65AF" w:rsidRPr="00DC576B">
        <w:t xml:space="preserve">we </w:t>
      </w:r>
      <w:r w:rsidRPr="00DC576B">
        <w:t>don't understand compliance, where can we find the support or who to contact</w:t>
      </w:r>
      <w:r w:rsidR="009C65AF" w:rsidRPr="00DC576B">
        <w:t>?</w:t>
      </w:r>
    </w:p>
    <w:p w14:paraId="27420EB6" w14:textId="2FCFBF47" w:rsidR="00B179C2" w:rsidRDefault="00B179C2" w:rsidP="00DC576B">
      <w:pPr>
        <w:rPr>
          <w:rStyle w:val="Hyperlink"/>
          <w:rFonts w:cs="Arial"/>
          <w:lang w:val="en-GB"/>
        </w:rPr>
      </w:pPr>
      <w:r w:rsidRPr="00C60CE1">
        <w:rPr>
          <w:rFonts w:cs="Arial"/>
        </w:rPr>
        <w:t xml:space="preserve">A. </w:t>
      </w:r>
      <w:r w:rsidRPr="00E51579">
        <w:rPr>
          <w:rFonts w:cs="Arial"/>
          <w:lang w:val="en-GB"/>
        </w:rPr>
        <w:t xml:space="preserve">For program assurance </w:t>
      </w:r>
      <w:r w:rsidR="00CD3F67">
        <w:rPr>
          <w:rFonts w:cs="Arial"/>
          <w:lang w:val="en-GB"/>
        </w:rPr>
        <w:t>review reports related</w:t>
      </w:r>
      <w:r w:rsidR="00CD3F67" w:rsidRPr="00E51579">
        <w:rPr>
          <w:rFonts w:cs="Arial"/>
          <w:lang w:val="en-GB"/>
        </w:rPr>
        <w:t xml:space="preserve"> </w:t>
      </w:r>
      <w:r w:rsidRPr="00E51579">
        <w:rPr>
          <w:rFonts w:cs="Arial"/>
          <w:lang w:val="en-GB"/>
        </w:rPr>
        <w:t xml:space="preserve">questions, </w:t>
      </w:r>
      <w:r w:rsidR="00CD3F67">
        <w:rPr>
          <w:rFonts w:cs="Arial"/>
          <w:lang w:val="en-GB"/>
        </w:rPr>
        <w:t xml:space="preserve">including any follow up </w:t>
      </w:r>
      <w:r w:rsidR="0004099F">
        <w:rPr>
          <w:rFonts w:cs="Arial"/>
          <w:lang w:val="en-GB"/>
        </w:rPr>
        <w:t>queries regarding actions outlined in your individual report</w:t>
      </w:r>
      <w:r w:rsidRPr="00E51579">
        <w:rPr>
          <w:rFonts w:cs="Arial"/>
          <w:lang w:val="en-GB"/>
        </w:rPr>
        <w:t xml:space="preserve">, please contact the team at </w:t>
      </w:r>
      <w:hyperlink r:id="rId14" w:history="1">
        <w:r w:rsidRPr="00DF7A38">
          <w:rPr>
            <w:rStyle w:val="Hyperlink"/>
            <w:rFonts w:cs="Arial"/>
            <w:color w:val="0070C0"/>
            <w:lang w:val="en-GB"/>
          </w:rPr>
          <w:t>HCPProgramAssuranceCompliance@health.gov.au</w:t>
        </w:r>
      </w:hyperlink>
      <w:r w:rsidR="005D4161" w:rsidRPr="005D4161">
        <w:rPr>
          <w:rStyle w:val="Hyperlink"/>
          <w:rFonts w:cs="Arial"/>
          <w:color w:val="auto"/>
          <w:u w:val="none"/>
          <w:lang w:val="en-GB"/>
        </w:rPr>
        <w:t>.</w:t>
      </w:r>
    </w:p>
    <w:p w14:paraId="2C3B2E04" w14:textId="556175C9" w:rsidR="00B179C2" w:rsidRDefault="00B179C2" w:rsidP="00DC576B">
      <w:pPr>
        <w:rPr>
          <w:rStyle w:val="Hyperlink"/>
          <w:u w:val="none"/>
          <w:lang w:val="en-GB"/>
        </w:rPr>
      </w:pPr>
      <w:r w:rsidRPr="00E51579">
        <w:rPr>
          <w:rFonts w:cs="Arial"/>
          <w:lang w:val="en-GB"/>
        </w:rPr>
        <w:t>If you</w:t>
      </w:r>
      <w:r>
        <w:rPr>
          <w:rFonts w:cs="Arial"/>
          <w:lang w:val="en-GB"/>
        </w:rPr>
        <w:t xml:space="preserve">r </w:t>
      </w:r>
      <w:r w:rsidRPr="00E51579">
        <w:rPr>
          <w:rFonts w:cs="Arial"/>
          <w:lang w:val="en-GB"/>
        </w:rPr>
        <w:t xml:space="preserve">compliance question relates to </w:t>
      </w:r>
      <w:r w:rsidR="0004099F">
        <w:rPr>
          <w:rFonts w:cs="Arial"/>
          <w:lang w:val="en-GB"/>
        </w:rPr>
        <w:t xml:space="preserve">regulatory </w:t>
      </w:r>
      <w:r w:rsidRPr="00E51579">
        <w:rPr>
          <w:rFonts w:cs="Arial"/>
          <w:lang w:val="en-GB"/>
        </w:rPr>
        <w:t>findings made by the Aged Care Quality and Safety Commission</w:t>
      </w:r>
      <w:r w:rsidR="0004099F">
        <w:rPr>
          <w:rFonts w:cs="Arial"/>
          <w:lang w:val="en-GB"/>
        </w:rPr>
        <w:t xml:space="preserve"> (the national regulator for aged care)</w:t>
      </w:r>
      <w:r w:rsidRPr="00E51579">
        <w:rPr>
          <w:rFonts w:cs="Arial"/>
          <w:lang w:val="en-GB"/>
        </w:rPr>
        <w:t>, please contact</w:t>
      </w:r>
      <w:r>
        <w:rPr>
          <w:rFonts w:cs="Arial"/>
          <w:lang w:val="en-GB"/>
        </w:rPr>
        <w:t xml:space="preserve"> </w:t>
      </w:r>
      <w:hyperlink r:id="rId15" w:history="1">
        <w:r w:rsidRPr="00DF7A38">
          <w:rPr>
            <w:rStyle w:val="Hyperlink"/>
            <w:rFonts w:cs="Arial"/>
            <w:color w:val="0070C0"/>
            <w:lang w:val="en-GB"/>
          </w:rPr>
          <w:t>info@agedcarequality.gov.au</w:t>
        </w:r>
      </w:hyperlink>
      <w:r w:rsidRPr="002F7860">
        <w:rPr>
          <w:rStyle w:val="Hyperlink"/>
          <w:u w:val="none"/>
          <w:lang w:val="en-GB"/>
        </w:rPr>
        <w:t xml:space="preserve">, </w:t>
      </w:r>
      <w:r w:rsidRPr="00DF7A38">
        <w:rPr>
          <w:rStyle w:val="Hyperlink"/>
          <w:color w:val="auto"/>
          <w:u w:val="none"/>
          <w:lang w:val="en-GB"/>
        </w:rPr>
        <w:t xml:space="preserve">or call </w:t>
      </w:r>
      <w:r w:rsidRPr="00DF7A38">
        <w:rPr>
          <w:rStyle w:val="Hyperlink"/>
          <w:color w:val="0070C0"/>
          <w:u w:val="none"/>
          <w:lang w:val="en-GB"/>
        </w:rPr>
        <w:t>1800 951 822</w:t>
      </w:r>
      <w:r w:rsidRPr="002F7860">
        <w:rPr>
          <w:rStyle w:val="Hyperlink"/>
          <w:u w:val="none"/>
          <w:lang w:val="en-GB"/>
        </w:rPr>
        <w:t>.</w:t>
      </w:r>
    </w:p>
    <w:p w14:paraId="777F557E" w14:textId="33364918" w:rsidR="009B5F94" w:rsidRDefault="009B5F94" w:rsidP="00DC576B">
      <w:pPr>
        <w:pStyle w:val="Heading3"/>
      </w:pPr>
      <w:bookmarkStart w:id="6" w:name="_Toc161734097"/>
      <w:r>
        <w:t>Volunteering for next review</w:t>
      </w:r>
      <w:bookmarkEnd w:id="6"/>
    </w:p>
    <w:p w14:paraId="1DBB7C67" w14:textId="21DCA85D" w:rsidR="00C44A43" w:rsidRPr="00DC576B" w:rsidRDefault="00B179C2" w:rsidP="00DC576B">
      <w:pPr>
        <w:pStyle w:val="Heading4"/>
      </w:pPr>
      <w:r w:rsidRPr="00DC576B">
        <w:t>Q. Are providers able to volunteer for the next review</w:t>
      </w:r>
      <w:r w:rsidR="007C36F4">
        <w:t>?</w:t>
      </w:r>
      <w:r w:rsidRPr="00DC576B">
        <w:rPr>
          <w:vertAlign w:val="superscript"/>
        </w:rPr>
        <w:footnoteReference w:id="8"/>
      </w:r>
    </w:p>
    <w:p w14:paraId="2EC6FC4C" w14:textId="53D81458" w:rsidR="00B179C2" w:rsidRDefault="00B179C2" w:rsidP="00DC576B">
      <w:r>
        <w:rPr>
          <w:rFonts w:cs="Arial"/>
        </w:rPr>
        <w:t xml:space="preserve">A. </w:t>
      </w:r>
      <w:r>
        <w:t xml:space="preserve">Yes, providers can volunteer to participate in assurance reviews. For example, 5 providers volunteered to participate in </w:t>
      </w:r>
      <w:r w:rsidR="003318F7">
        <w:t>the</w:t>
      </w:r>
      <w:r>
        <w:t xml:space="preserve"> first review into indirect and care management charges.</w:t>
      </w:r>
    </w:p>
    <w:p w14:paraId="388ADE9F" w14:textId="3CF53983" w:rsidR="00B179C2" w:rsidRDefault="00B179C2" w:rsidP="00DC576B">
      <w:pPr>
        <w:rPr>
          <w:rStyle w:val="Hyperlink"/>
        </w:rPr>
      </w:pPr>
      <w:r>
        <w:t xml:space="preserve">If you would like to volunteer to participate, please contact the program assurance mailbox: </w:t>
      </w:r>
      <w:hyperlink r:id="rId16" w:history="1">
        <w:r w:rsidRPr="00DF7A38">
          <w:rPr>
            <w:rStyle w:val="Hyperlink"/>
            <w:color w:val="0070C0"/>
          </w:rPr>
          <w:t>hcpassurancereviews@health.gov.au</w:t>
        </w:r>
      </w:hyperlink>
      <w:r w:rsidR="005D4161" w:rsidRPr="005D4161">
        <w:rPr>
          <w:rStyle w:val="Hyperlink"/>
          <w:color w:val="auto"/>
          <w:u w:val="none"/>
        </w:rPr>
        <w:t>.</w:t>
      </w:r>
    </w:p>
    <w:p w14:paraId="65B205D5" w14:textId="7A9AC93D" w:rsidR="009B5F94" w:rsidRPr="00DC576B" w:rsidRDefault="009B5F94" w:rsidP="00DC576B">
      <w:pPr>
        <w:pStyle w:val="Heading3"/>
      </w:pPr>
      <w:bookmarkStart w:id="7" w:name="_Toc161734098"/>
      <w:r>
        <w:t>General</w:t>
      </w:r>
      <w:bookmarkEnd w:id="7"/>
    </w:p>
    <w:p w14:paraId="07C4CBFA" w14:textId="4373BF01" w:rsidR="009B5F94" w:rsidRPr="00DC576B" w:rsidRDefault="009B5F94" w:rsidP="00DC576B">
      <w:pPr>
        <w:pStyle w:val="Heading4"/>
      </w:pPr>
      <w:r w:rsidRPr="00DC576B">
        <w:t>Q. What is the difference between what you do and what the Aged Care Quality and Safety Commission does</w:t>
      </w:r>
      <w:r w:rsidR="007C36F4">
        <w:t>?</w:t>
      </w:r>
      <w:r w:rsidRPr="0076427D">
        <w:rPr>
          <w:vertAlign w:val="superscript"/>
        </w:rPr>
        <w:footnoteReference w:id="9"/>
      </w:r>
    </w:p>
    <w:p w14:paraId="49376007" w14:textId="538D0CA2" w:rsidR="009B5F94" w:rsidRDefault="009B5F94" w:rsidP="007C36F4">
      <w:r>
        <w:rPr>
          <w:rFonts w:cs="Arial"/>
          <w:color w:val="000000"/>
        </w:rPr>
        <w:t xml:space="preserve">A. </w:t>
      </w:r>
      <w:r>
        <w:t>The government is committed to enhanced accountability and transparency of home care. The department, not the Aged Care Quality and Safety Commission (the Commission), is responsible for good program governance. Ensuring that public funds are used for the purposes provided is critical to support responsible use of taxpayer funds, and to ensure that the maximum number of older people can benefit from home care packages. That is why the department is undertaking HCP program assurance reviews.</w:t>
      </w:r>
    </w:p>
    <w:p w14:paraId="7EB1C33E" w14:textId="77777777" w:rsidR="009B5F94" w:rsidRDefault="009B5F94" w:rsidP="007C36F4">
      <w:r>
        <w:t xml:space="preserve">The Commission is responsible for protecting and enhancing the safety, health, </w:t>
      </w:r>
      <w:proofErr w:type="gramStart"/>
      <w:r>
        <w:t>wellbeing</w:t>
      </w:r>
      <w:proofErr w:type="gramEnd"/>
      <w:r>
        <w:t xml:space="preserve"> and quality of life of people receiving aged care. It is the national end-to-end regulator of aged care </w:t>
      </w:r>
      <w:r>
        <w:lastRenderedPageBreak/>
        <w:t>services, and the primary point of contact for consumers and providers in relation to quality and safety.</w:t>
      </w:r>
    </w:p>
    <w:p w14:paraId="620E06CB" w14:textId="2C6CBAEF" w:rsidR="001519E7" w:rsidRDefault="009B5F94" w:rsidP="00CC6688">
      <w:r w:rsidRPr="0026761E">
        <w:t xml:space="preserve">Where appropriate, </w:t>
      </w:r>
      <w:r>
        <w:t xml:space="preserve">HCP program assurance </w:t>
      </w:r>
      <w:r w:rsidRPr="0026761E">
        <w:t>review information is shared with the Commission.</w:t>
      </w:r>
      <w:r>
        <w:t xml:space="preserve"> </w:t>
      </w:r>
      <w:r w:rsidRPr="00363C63">
        <w:t>Where the Commission identifies non-compliance, it will respond in a way that is proportionate to the issues identified which, depending on the extent of non-compliance, may involve</w:t>
      </w:r>
      <w:r w:rsidR="00CC6688">
        <w:t xml:space="preserve"> e</w:t>
      </w:r>
      <w:r w:rsidRPr="00363C63">
        <w:t>nforcement action.</w:t>
      </w:r>
    </w:p>
    <w:p w14:paraId="69D3E676" w14:textId="7ACE3CC5" w:rsidR="001519E7" w:rsidRPr="00CC6688" w:rsidRDefault="001519E7" w:rsidP="00CC6688">
      <w:pPr>
        <w:pStyle w:val="Heading4"/>
      </w:pPr>
      <w:r w:rsidRPr="00CC6688">
        <w:t>Q. The reviews sound beneficial from a care recipient perspective. Are you likely to do them again</w:t>
      </w:r>
      <w:r w:rsidR="00CC6688">
        <w:t>?</w:t>
      </w:r>
      <w:r w:rsidRPr="00CC6688">
        <w:rPr>
          <w:vertAlign w:val="superscript"/>
        </w:rPr>
        <w:footnoteReference w:id="10"/>
      </w:r>
    </w:p>
    <w:p w14:paraId="013D215A" w14:textId="6DA44A99" w:rsidR="001519E7" w:rsidRDefault="001519E7" w:rsidP="00CC6688">
      <w:pPr>
        <w:rPr>
          <w:rFonts w:cs="Arial"/>
          <w:lang w:val="en-GB"/>
        </w:rPr>
      </w:pPr>
      <w:r w:rsidRPr="00C03716">
        <w:rPr>
          <w:rFonts w:cs="Arial"/>
        </w:rPr>
        <w:t>A.</w:t>
      </w:r>
      <w:r>
        <w:rPr>
          <w:rFonts w:cs="Arial"/>
        </w:rPr>
        <w:t xml:space="preserve"> </w:t>
      </w:r>
      <w:r w:rsidRPr="006C1CBD">
        <w:rPr>
          <w:rFonts w:cs="Arial"/>
          <w:lang w:val="en-GB"/>
        </w:rPr>
        <w:t xml:space="preserve">Yes. The department is doing </w:t>
      </w:r>
      <w:r w:rsidR="006E78B4">
        <w:rPr>
          <w:rFonts w:cs="Arial"/>
          <w:lang w:val="en-GB"/>
        </w:rPr>
        <w:t>program assurance</w:t>
      </w:r>
      <w:r w:rsidR="006E78B4" w:rsidRPr="006C1CBD">
        <w:rPr>
          <w:rFonts w:cs="Arial"/>
          <w:lang w:val="en-GB"/>
        </w:rPr>
        <w:t xml:space="preserve"> </w:t>
      </w:r>
      <w:r w:rsidRPr="006C1CBD">
        <w:rPr>
          <w:rFonts w:cs="Arial"/>
          <w:lang w:val="en-GB"/>
        </w:rPr>
        <w:t xml:space="preserve">reviews to support enhanced transparency and accountability of home care and ensure value </w:t>
      </w:r>
      <w:r w:rsidR="00757991">
        <w:rPr>
          <w:rFonts w:cs="Arial"/>
          <w:lang w:val="en-GB"/>
        </w:rPr>
        <w:t>for</w:t>
      </w:r>
      <w:r w:rsidRPr="006C1CBD">
        <w:rPr>
          <w:rFonts w:cs="Arial"/>
          <w:lang w:val="en-GB"/>
        </w:rPr>
        <w:t xml:space="preserve"> money for care recipients. </w:t>
      </w:r>
      <w:r w:rsidR="00413872">
        <w:rPr>
          <w:rFonts w:cs="Arial"/>
          <w:lang w:val="en-GB"/>
        </w:rPr>
        <w:t>Where required, the department will repeat a review, for example, based on findings from the previous review, due to updated risks or</w:t>
      </w:r>
      <w:r w:rsidR="009047E3">
        <w:rPr>
          <w:rFonts w:cs="Arial"/>
          <w:lang w:val="en-GB"/>
        </w:rPr>
        <w:t xml:space="preserve"> where new</w:t>
      </w:r>
      <w:r w:rsidR="00413872">
        <w:rPr>
          <w:rFonts w:cs="Arial"/>
          <w:lang w:val="en-GB"/>
        </w:rPr>
        <w:t xml:space="preserve"> intelligence becomes available.</w:t>
      </w:r>
    </w:p>
    <w:p w14:paraId="3C572C6E" w14:textId="624C3372" w:rsidR="009B5F94" w:rsidRPr="00D525EE" w:rsidRDefault="001519E7" w:rsidP="00D525EE">
      <w:pPr>
        <w:rPr>
          <w:rFonts w:cs="Arial"/>
          <w:lang w:val="en-GB"/>
        </w:rPr>
      </w:pPr>
      <w:r w:rsidRPr="006C1CBD">
        <w:rPr>
          <w:rFonts w:cs="Arial"/>
          <w:lang w:val="en-GB"/>
        </w:rPr>
        <w:t xml:space="preserve">The department </w:t>
      </w:r>
      <w:r>
        <w:rPr>
          <w:rFonts w:cs="Arial"/>
          <w:lang w:val="en-GB"/>
        </w:rPr>
        <w:t>has an</w:t>
      </w:r>
      <w:r w:rsidRPr="006C1CBD">
        <w:rPr>
          <w:rFonts w:cs="Arial"/>
          <w:lang w:val="en-GB"/>
        </w:rPr>
        <w:t xml:space="preserve"> assurance plan </w:t>
      </w:r>
      <w:r w:rsidR="006F69DE">
        <w:rPr>
          <w:rFonts w:cs="Arial"/>
          <w:lang w:val="en-GB"/>
        </w:rPr>
        <w:t>that</w:t>
      </w:r>
      <w:r w:rsidR="006F69DE" w:rsidRPr="006C1CBD">
        <w:rPr>
          <w:rFonts w:cs="Arial"/>
          <w:lang w:val="en-GB"/>
        </w:rPr>
        <w:t xml:space="preserve"> </w:t>
      </w:r>
      <w:r w:rsidRPr="006C1CBD">
        <w:rPr>
          <w:rFonts w:cs="Arial"/>
          <w:lang w:val="en-GB"/>
        </w:rPr>
        <w:t xml:space="preserve">details which program assurance reviews and activities may be undertaken. </w:t>
      </w:r>
      <w:r w:rsidR="007C4287">
        <w:rPr>
          <w:rFonts w:cs="Arial"/>
          <w:lang w:val="en-GB"/>
        </w:rPr>
        <w:t xml:space="preserve">The </w:t>
      </w:r>
      <w:hyperlink r:id="rId17" w:history="1">
        <w:r w:rsidR="00C91AF4" w:rsidRPr="00DF7A38">
          <w:rPr>
            <w:rStyle w:val="Hyperlink"/>
            <w:color w:val="0070C0"/>
          </w:rPr>
          <w:t>2023-25 assurance plan</w:t>
        </w:r>
      </w:hyperlink>
      <w:r w:rsidR="00C91AF4">
        <w:t xml:space="preserve"> </w:t>
      </w:r>
      <w:r>
        <w:rPr>
          <w:rFonts w:cs="Arial"/>
          <w:lang w:val="en-GB"/>
        </w:rPr>
        <w:t>is</w:t>
      </w:r>
      <w:r w:rsidRPr="006C1CBD">
        <w:rPr>
          <w:rFonts w:cs="Arial"/>
          <w:lang w:val="en-GB"/>
        </w:rPr>
        <w:t xml:space="preserve"> available on our website</w:t>
      </w:r>
      <w:r w:rsidR="00C91AF4" w:rsidRPr="00C91AF4">
        <w:rPr>
          <w:rFonts w:cs="Arial"/>
          <w:lang w:val="en-GB"/>
        </w:rPr>
        <w:t xml:space="preserve">. </w:t>
      </w:r>
      <w:r w:rsidR="00455EE8" w:rsidRPr="0050452C">
        <w:rPr>
          <w:rStyle w:val="Hyperlink"/>
          <w:rFonts w:cs="Arial"/>
          <w:color w:val="auto"/>
          <w:u w:val="none"/>
          <w:lang w:val="en-GB"/>
        </w:rPr>
        <w:t xml:space="preserve">This is informed by, among other things, </w:t>
      </w:r>
      <w:r w:rsidR="00455EE8" w:rsidRPr="0050452C">
        <w:rPr>
          <w:rFonts w:cs="Arial"/>
          <w:lang w:val="en-GB"/>
        </w:rPr>
        <w:t xml:space="preserve">findings from previous reviews, provider posture, relevant </w:t>
      </w:r>
      <w:r w:rsidR="006F69DE" w:rsidRPr="0050452C">
        <w:rPr>
          <w:rFonts w:cs="Arial"/>
          <w:lang w:val="en-GB"/>
        </w:rPr>
        <w:t>intelligence,</w:t>
      </w:r>
      <w:r w:rsidR="00455EE8" w:rsidRPr="0050452C">
        <w:rPr>
          <w:rFonts w:cs="Arial"/>
          <w:lang w:val="en-GB"/>
        </w:rPr>
        <w:t xml:space="preserve"> and a detailed assurance planning process.</w:t>
      </w:r>
    </w:p>
    <w:p w14:paraId="1E0249D7" w14:textId="4C7F13A3" w:rsidR="00B179C2" w:rsidRPr="00D35522" w:rsidRDefault="00B179C2" w:rsidP="00D35522">
      <w:pPr>
        <w:spacing w:before="0" w:after="0" w:line="240" w:lineRule="auto"/>
        <w:rPr>
          <w:rFonts w:eastAsiaTheme="majorEastAsia" w:cstheme="majorBidi"/>
          <w:b/>
          <w:color w:val="1E1544" w:themeColor="text1"/>
          <w:sz w:val="32"/>
          <w:szCs w:val="26"/>
        </w:rPr>
      </w:pPr>
      <w:bookmarkStart w:id="8" w:name="_Toc161734099"/>
      <w:r w:rsidRPr="00D35522">
        <w:rPr>
          <w:rFonts w:eastAsiaTheme="majorEastAsia" w:cstheme="majorBidi"/>
          <w:b/>
          <w:color w:val="1E1544" w:themeColor="text1"/>
          <w:sz w:val="32"/>
          <w:szCs w:val="26"/>
        </w:rPr>
        <w:t>HCP Program Assurance Community of Practice</w:t>
      </w:r>
      <w:bookmarkEnd w:id="8"/>
    </w:p>
    <w:p w14:paraId="58D77EAB" w14:textId="26400D73" w:rsidR="00B179C2" w:rsidRPr="00CC6688" w:rsidRDefault="00B179C2" w:rsidP="00CC6688">
      <w:pPr>
        <w:pStyle w:val="Heading4"/>
      </w:pPr>
      <w:r w:rsidRPr="00CC6688">
        <w:t>Q. Is there a list of organisations represented on the HCP Program Assurance Community of Practice?</w:t>
      </w:r>
    </w:p>
    <w:p w14:paraId="60081AC6" w14:textId="3190FE64" w:rsidR="00C44A43" w:rsidRPr="006E5575" w:rsidRDefault="00B179C2" w:rsidP="006E5575">
      <w:pPr>
        <w:rPr>
          <w:rFonts w:cs="Arial"/>
          <w:color w:val="000000"/>
          <w:shd w:val="clear" w:color="auto" w:fill="FFFFFF"/>
        </w:rPr>
      </w:pPr>
      <w:r w:rsidRPr="00B34A1F">
        <w:rPr>
          <w:rFonts w:cs="Arial"/>
        </w:rPr>
        <w:t>A. No, there is no list of organisations represented on the HCP Program Assurance Community of Practice.</w:t>
      </w:r>
      <w:r w:rsidRPr="00B34A1F">
        <w:rPr>
          <w:rStyle w:val="normaltextrun"/>
          <w:rFonts w:cs="Arial"/>
          <w:color w:val="000000"/>
          <w:shd w:val="clear" w:color="auto" w:fill="FFFFFF"/>
          <w:lang w:val="en-GB"/>
        </w:rPr>
        <w:t xml:space="preserve"> Registration is open to staff from approved HCP providers, and from peak bodies of providers and consumers. There is a simple sign-up process </w:t>
      </w:r>
      <w:r w:rsidR="00B65B3F">
        <w:rPr>
          <w:rStyle w:val="normaltextrun"/>
          <w:rFonts w:cs="Arial"/>
          <w:color w:val="000000"/>
          <w:shd w:val="clear" w:color="auto" w:fill="FFFFFF"/>
          <w:lang w:val="en-GB"/>
        </w:rPr>
        <w:t xml:space="preserve">on the </w:t>
      </w:r>
      <w:hyperlink r:id="rId18" w:tgtFrame="_blank" w:history="1">
        <w:r w:rsidR="00B65B3F">
          <w:rPr>
            <w:rStyle w:val="normaltextrun"/>
            <w:rFonts w:cs="Arial"/>
            <w:color w:val="0070C0"/>
            <w:u w:val="single"/>
            <w:shd w:val="clear" w:color="auto" w:fill="FFFFFF"/>
            <w:lang w:val="en-GB"/>
          </w:rPr>
          <w:t>HCP Program Assurance Community of Practice webpage</w:t>
        </w:r>
      </w:hyperlink>
      <w:r w:rsidR="00B65B3F" w:rsidRPr="005D4161">
        <w:rPr>
          <w:rStyle w:val="normaltextrun"/>
          <w:rFonts w:cs="Arial"/>
          <w:shd w:val="clear" w:color="auto" w:fill="FFFFFF"/>
          <w:lang w:val="en-GB"/>
        </w:rPr>
        <w:t>.</w:t>
      </w:r>
    </w:p>
    <w:p w14:paraId="185A8746" w14:textId="44F42491" w:rsidR="003910AF" w:rsidRPr="008B23A8" w:rsidRDefault="003910AF" w:rsidP="008B23A8">
      <w:pPr>
        <w:pStyle w:val="Heading2"/>
        <w:spacing w:before="0" w:after="0"/>
      </w:pPr>
      <w:bookmarkStart w:id="9" w:name="_Toc161734100"/>
      <w:r>
        <w:t>How to report suspected fraud</w:t>
      </w:r>
      <w:bookmarkEnd w:id="9"/>
    </w:p>
    <w:p w14:paraId="22C2D994" w14:textId="67901764" w:rsidR="00C44A43" w:rsidRPr="008B23A8" w:rsidRDefault="003910AF" w:rsidP="008B23A8">
      <w:pPr>
        <w:pStyle w:val="Heading4"/>
      </w:pPr>
      <w:r w:rsidRPr="008B23A8">
        <w:t>Q. What is being done to follow up with the providers who have purposefully flaunted the rules for quite some time? Is there any meaningful penalty, or are they being rewarded for their behaviour?</w:t>
      </w:r>
      <w:r w:rsidRPr="008B23A8">
        <w:rPr>
          <w:vertAlign w:val="superscript"/>
        </w:rPr>
        <w:footnoteReference w:id="11"/>
      </w:r>
    </w:p>
    <w:p w14:paraId="106151A1" w14:textId="657ACFCC" w:rsidR="003910AF" w:rsidRDefault="003910AF" w:rsidP="008B23A8">
      <w:pPr>
        <w:spacing w:beforeLines="120" w:before="288" w:afterLines="120" w:after="288"/>
        <w:rPr>
          <w:rFonts w:cs="Arial"/>
          <w:color w:val="000000"/>
        </w:rPr>
      </w:pPr>
      <w:r>
        <w:rPr>
          <w:rFonts w:cs="Arial"/>
          <w:color w:val="000000"/>
        </w:rPr>
        <w:t xml:space="preserve">A. </w:t>
      </w:r>
      <w:r w:rsidR="00C12916">
        <w:rPr>
          <w:rFonts w:cs="Arial"/>
          <w:color w:val="000000"/>
        </w:rPr>
        <w:t>Provider’s must use</w:t>
      </w:r>
      <w:r w:rsidRPr="00224D4A">
        <w:rPr>
          <w:rFonts w:cs="Arial"/>
          <w:color w:val="000000"/>
        </w:rPr>
        <w:t xml:space="preserve"> </w:t>
      </w:r>
      <w:r>
        <w:rPr>
          <w:rFonts w:cs="Arial"/>
          <w:color w:val="000000"/>
        </w:rPr>
        <w:t>HCP p</w:t>
      </w:r>
      <w:r w:rsidRPr="00224D4A">
        <w:rPr>
          <w:rFonts w:cs="Arial"/>
          <w:color w:val="000000"/>
        </w:rPr>
        <w:t xml:space="preserve">rogram funds for approved purposes and </w:t>
      </w:r>
      <w:r w:rsidR="00C12916">
        <w:rPr>
          <w:rFonts w:cs="Arial"/>
          <w:color w:val="000000"/>
        </w:rPr>
        <w:t>the department expects providers to follow program rules and requirements</w:t>
      </w:r>
      <w:r w:rsidRPr="00224D4A">
        <w:rPr>
          <w:rFonts w:cs="Arial"/>
          <w:color w:val="000000"/>
        </w:rPr>
        <w:t>.</w:t>
      </w:r>
    </w:p>
    <w:p w14:paraId="008554C0" w14:textId="081AC08F" w:rsidR="003910AF" w:rsidRDefault="003910AF" w:rsidP="008B23A8">
      <w:pPr>
        <w:spacing w:beforeLines="120" w:before="288" w:afterLines="120" w:after="288"/>
        <w:rPr>
          <w:rFonts w:cs="Arial"/>
          <w:color w:val="000000"/>
        </w:rPr>
      </w:pPr>
      <w:r w:rsidRPr="00224D4A">
        <w:rPr>
          <w:rFonts w:cs="Arial"/>
          <w:color w:val="000000"/>
        </w:rPr>
        <w:t xml:space="preserve">This is </w:t>
      </w:r>
      <w:r w:rsidR="00C12916">
        <w:rPr>
          <w:rFonts w:cs="Arial"/>
          <w:color w:val="000000"/>
        </w:rPr>
        <w:t>one reason why</w:t>
      </w:r>
      <w:r w:rsidR="00C12916" w:rsidRPr="00224D4A">
        <w:rPr>
          <w:rFonts w:cs="Arial"/>
          <w:color w:val="000000"/>
        </w:rPr>
        <w:t xml:space="preserve"> </w:t>
      </w:r>
      <w:r w:rsidRPr="00224D4A">
        <w:rPr>
          <w:rFonts w:cs="Arial"/>
          <w:color w:val="000000"/>
        </w:rPr>
        <w:t xml:space="preserve">the department has been undertaking program assurance reviews since October 2021. The reviews are risk-based, and as part of planning for a review the department considers findings from previous reviews, public concerns, program risks, relevant </w:t>
      </w:r>
      <w:proofErr w:type="gramStart"/>
      <w:r w:rsidRPr="00224D4A">
        <w:rPr>
          <w:rFonts w:cs="Arial"/>
          <w:color w:val="000000"/>
        </w:rPr>
        <w:t>intelligence</w:t>
      </w:r>
      <w:proofErr w:type="gramEnd"/>
      <w:r w:rsidRPr="00224D4A">
        <w:rPr>
          <w:rFonts w:cs="Arial"/>
          <w:color w:val="000000"/>
        </w:rPr>
        <w:t xml:space="preserve"> and other such aspects.</w:t>
      </w:r>
    </w:p>
    <w:p w14:paraId="1610F343" w14:textId="3382B1FB" w:rsidR="003910AF" w:rsidRDefault="00C460DB" w:rsidP="008B23A8">
      <w:pPr>
        <w:spacing w:beforeLines="120" w:before="288" w:afterLines="120" w:after="288"/>
        <w:rPr>
          <w:rFonts w:cs="Arial"/>
          <w:color w:val="000000"/>
        </w:rPr>
      </w:pPr>
      <w:r>
        <w:rPr>
          <w:rFonts w:cs="Arial"/>
          <w:color w:val="000000"/>
        </w:rPr>
        <w:lastRenderedPageBreak/>
        <w:t>In terms of consequences for providers, please note that a</w:t>
      </w:r>
      <w:r w:rsidR="003910AF" w:rsidRPr="00224D4A">
        <w:rPr>
          <w:rFonts w:cs="Arial"/>
          <w:color w:val="000000"/>
        </w:rPr>
        <w:t xml:space="preserve">ll providers that are corporations are </w:t>
      </w:r>
      <w:r w:rsidR="003910AF" w:rsidRPr="009940FA">
        <w:rPr>
          <w:rFonts w:cs="Arial"/>
          <w:i/>
          <w:color w:val="000000"/>
        </w:rPr>
        <w:t>legally required to participate in reviews</w:t>
      </w:r>
      <w:r w:rsidR="003910AF" w:rsidRPr="00224D4A">
        <w:rPr>
          <w:rFonts w:cs="Arial"/>
          <w:color w:val="000000"/>
        </w:rPr>
        <w:t>. If a provider does not</w:t>
      </w:r>
      <w:r w:rsidR="003910AF" w:rsidRPr="00224D4A">
        <w:rPr>
          <w:rFonts w:cs="Arial"/>
          <w:color w:val="000000"/>
          <w:lang w:val="en-GB"/>
        </w:rPr>
        <w:t xml:space="preserve"> provide information, fails to answer questions, or fails to give reasonable assistance, </w:t>
      </w:r>
      <w:r w:rsidR="003910AF" w:rsidRPr="009940FA">
        <w:rPr>
          <w:rFonts w:cs="Arial"/>
          <w:i/>
          <w:color w:val="000000"/>
          <w:lang w:val="en-GB"/>
        </w:rPr>
        <w:t>providers may be fined</w:t>
      </w:r>
      <w:r w:rsidR="003910AF" w:rsidRPr="00224D4A">
        <w:rPr>
          <w:rFonts w:cs="Arial"/>
          <w:color w:val="000000"/>
          <w:lang w:val="en-GB"/>
        </w:rPr>
        <w:t xml:space="preserve"> as per powers under the </w:t>
      </w:r>
      <w:r w:rsidR="003910AF" w:rsidRPr="00224D4A">
        <w:rPr>
          <w:rFonts w:cs="Arial"/>
          <w:i/>
          <w:iCs/>
          <w:color w:val="000000"/>
          <w:lang w:val="en-GB"/>
        </w:rPr>
        <w:t>Aged Care Act 1997</w:t>
      </w:r>
      <w:r w:rsidR="003910AF" w:rsidRPr="00224D4A">
        <w:rPr>
          <w:rFonts w:cs="Arial"/>
          <w:color w:val="000000"/>
          <w:lang w:val="en-GB"/>
        </w:rPr>
        <w:t xml:space="preserve"> (30 penalty units). </w:t>
      </w:r>
      <w:r w:rsidR="003910AF" w:rsidRPr="00224D4A">
        <w:rPr>
          <w:rFonts w:cs="Arial"/>
          <w:color w:val="000000"/>
        </w:rPr>
        <w:t xml:space="preserve">In addition, </w:t>
      </w:r>
      <w:r w:rsidR="003910AF" w:rsidRPr="009940FA">
        <w:rPr>
          <w:rFonts w:cs="Arial"/>
          <w:i/>
          <w:color w:val="000000"/>
        </w:rPr>
        <w:t xml:space="preserve">the department may also </w:t>
      </w:r>
      <w:r w:rsidR="003910AF" w:rsidRPr="009940FA">
        <w:rPr>
          <w:rFonts w:cs="Arial"/>
          <w:i/>
          <w:color w:val="000000"/>
          <w:lang w:val="en-GB"/>
        </w:rPr>
        <w:t>publish on its website the names of any providers</w:t>
      </w:r>
      <w:r w:rsidR="003910AF" w:rsidRPr="00224D4A">
        <w:rPr>
          <w:rFonts w:cs="Arial"/>
          <w:color w:val="000000"/>
          <w:lang w:val="en-GB"/>
        </w:rPr>
        <w:t xml:space="preserve"> that do not satisfactorily participate in a review</w:t>
      </w:r>
      <w:r w:rsidR="003910AF" w:rsidRPr="00224D4A">
        <w:rPr>
          <w:rFonts w:cs="Arial"/>
          <w:color w:val="000000"/>
        </w:rPr>
        <w:t>.</w:t>
      </w:r>
    </w:p>
    <w:p w14:paraId="23511CF2" w14:textId="2ED65C12" w:rsidR="003910AF" w:rsidRDefault="003910AF" w:rsidP="008B23A8">
      <w:pPr>
        <w:spacing w:beforeLines="120" w:before="288" w:afterLines="120" w:after="288"/>
        <w:rPr>
          <w:rFonts w:cs="Arial"/>
          <w:color w:val="000000"/>
        </w:rPr>
      </w:pPr>
      <w:r w:rsidRPr="00224D4A">
        <w:rPr>
          <w:rFonts w:cs="Arial"/>
          <w:color w:val="000000"/>
        </w:rPr>
        <w:t xml:space="preserve">All providers with issues identified by the review team receive individual reports </w:t>
      </w:r>
      <w:r w:rsidR="00E7690D">
        <w:rPr>
          <w:rFonts w:cs="Arial"/>
          <w:color w:val="000000"/>
        </w:rPr>
        <w:t>that</w:t>
      </w:r>
      <w:r w:rsidRPr="00224D4A">
        <w:rPr>
          <w:rFonts w:cs="Arial"/>
          <w:color w:val="000000"/>
        </w:rPr>
        <w:t xml:space="preserve"> identify, among other things, actions the provider must respond to. Providers who do not respond appropriately are followed up by the department’s program assurance review team. So far, providers have generally cooperated and undertaken the required actions.</w:t>
      </w:r>
    </w:p>
    <w:p w14:paraId="79D03974" w14:textId="37F2C11A" w:rsidR="003910AF" w:rsidRDefault="003910AF" w:rsidP="008B23A8">
      <w:pPr>
        <w:spacing w:beforeLines="120" w:before="288" w:afterLines="120" w:after="288"/>
        <w:rPr>
          <w:rFonts w:cs="Arial"/>
          <w:color w:val="000000"/>
          <w:lang w:val="en-GB"/>
        </w:rPr>
      </w:pPr>
      <w:r w:rsidRPr="00224D4A">
        <w:rPr>
          <w:rFonts w:cs="Arial"/>
          <w:color w:val="000000"/>
        </w:rPr>
        <w:t>Where appropriate, the department does share review information with the Aged Care Quality and Safety Commission</w:t>
      </w:r>
      <w:r>
        <w:rPr>
          <w:rFonts w:cs="Arial"/>
          <w:color w:val="000000"/>
        </w:rPr>
        <w:t xml:space="preserve"> (the Commission)</w:t>
      </w:r>
      <w:r w:rsidRPr="00224D4A">
        <w:rPr>
          <w:rFonts w:cs="Arial"/>
          <w:color w:val="000000"/>
        </w:rPr>
        <w:t xml:space="preserve">. The Commission is the national regulator for aged care. </w:t>
      </w:r>
      <w:r w:rsidRPr="00224D4A">
        <w:rPr>
          <w:rFonts w:cs="Arial"/>
          <w:color w:val="000000"/>
          <w:lang w:val="en-GB"/>
        </w:rPr>
        <w:t>Where the Commission identifies non-compliance, it will respond in a way that is proportionate to the issues identified which, depending on the extent of non-compliance, may involve enforcement action.</w:t>
      </w:r>
    </w:p>
    <w:p w14:paraId="44390EEA" w14:textId="77777777" w:rsidR="003910AF" w:rsidRDefault="003910AF" w:rsidP="008B23A8">
      <w:pPr>
        <w:spacing w:beforeLines="120" w:before="288" w:afterLines="120" w:after="288"/>
        <w:rPr>
          <w:rFonts w:cs="Arial"/>
          <w:color w:val="000000"/>
        </w:rPr>
      </w:pPr>
      <w:r w:rsidRPr="00224D4A">
        <w:rPr>
          <w:rFonts w:cs="Arial"/>
          <w:color w:val="000000"/>
        </w:rPr>
        <w:t xml:space="preserve">Any program assurance related concerns can be emailed to the department at: </w:t>
      </w:r>
      <w:hyperlink r:id="rId19" w:history="1">
        <w:r w:rsidRPr="00DF7A38">
          <w:rPr>
            <w:rStyle w:val="Hyperlink"/>
            <w:rFonts w:cs="Arial"/>
            <w:color w:val="0070C0"/>
          </w:rPr>
          <w:t>hcpassurancereviews@health.gov.au</w:t>
        </w:r>
      </w:hyperlink>
      <w:r w:rsidRPr="00224D4A">
        <w:rPr>
          <w:rFonts w:cs="Arial"/>
          <w:color w:val="000000"/>
        </w:rPr>
        <w:t>.</w:t>
      </w:r>
    </w:p>
    <w:p w14:paraId="5BFDFB4D" w14:textId="76E6D0E4" w:rsidR="003910AF" w:rsidRPr="008B23A8" w:rsidRDefault="003910AF" w:rsidP="008B23A8">
      <w:pPr>
        <w:rPr>
          <w:rFonts w:cs="Arial"/>
          <w:color w:val="000000"/>
          <w:lang w:val="en-GB"/>
        </w:rPr>
      </w:pPr>
      <w:r w:rsidRPr="00224D4A">
        <w:rPr>
          <w:rFonts w:cs="Arial"/>
          <w:color w:val="000000"/>
          <w:lang w:val="en-GB"/>
        </w:rPr>
        <w:t xml:space="preserve">Anyone wishing to share information about a provider, or another aged care provider can </w:t>
      </w:r>
      <w:r w:rsidRPr="008B23A8">
        <w:rPr>
          <w:rFonts w:cs="Arial"/>
          <w:color w:val="000000"/>
          <w:lang w:val="en-GB"/>
        </w:rPr>
        <w:t>provide such information, including anonymously, through the department’s fraud reporting channels:</w:t>
      </w:r>
    </w:p>
    <w:p w14:paraId="399EA013" w14:textId="77777777" w:rsidR="003910AF" w:rsidRPr="008B23A8" w:rsidRDefault="003910AF" w:rsidP="008B23A8">
      <w:pPr>
        <w:rPr>
          <w:rFonts w:cs="Arial"/>
          <w:color w:val="000000"/>
          <w:lang w:val="en-GB"/>
        </w:rPr>
      </w:pPr>
      <w:r w:rsidRPr="008B23A8">
        <w:rPr>
          <w:rFonts w:cs="Arial"/>
          <w:b/>
          <w:color w:val="000000"/>
          <w:lang w:val="en-GB"/>
        </w:rPr>
        <w:t xml:space="preserve">Telephone: </w:t>
      </w:r>
      <w:hyperlink r:id="rId20" w:history="1">
        <w:r w:rsidRPr="008B23A8">
          <w:rPr>
            <w:rStyle w:val="Hyperlink"/>
            <w:rFonts w:cs="Arial"/>
            <w:color w:val="0070C0"/>
            <w:lang w:val="en-GB"/>
          </w:rPr>
          <w:t>1800 829 403</w:t>
        </w:r>
      </w:hyperlink>
      <w:r w:rsidRPr="008B23A8">
        <w:rPr>
          <w:rFonts w:cs="Arial"/>
          <w:color w:val="000000"/>
          <w:lang w:val="en-GB"/>
        </w:rPr>
        <w:t xml:space="preserve"> (this hotline is open 9am to 5pm Australian Eastern Standard Time (AEST), Monday to Friday)</w:t>
      </w:r>
    </w:p>
    <w:p w14:paraId="156FD059" w14:textId="77777777" w:rsidR="003910AF" w:rsidRPr="008B23A8" w:rsidRDefault="003910AF" w:rsidP="008B23A8">
      <w:pPr>
        <w:rPr>
          <w:rFonts w:cs="Arial"/>
          <w:color w:val="000000"/>
          <w:lang w:val="en-GB"/>
        </w:rPr>
      </w:pPr>
      <w:r w:rsidRPr="008B23A8">
        <w:rPr>
          <w:rFonts w:cs="Arial"/>
          <w:b/>
          <w:bCs/>
          <w:color w:val="000000"/>
          <w:lang w:val="en-GB"/>
        </w:rPr>
        <w:t xml:space="preserve">Email: </w:t>
      </w:r>
      <w:hyperlink r:id="rId21" w:history="1">
        <w:r w:rsidRPr="008B23A8">
          <w:rPr>
            <w:rStyle w:val="Hyperlink"/>
            <w:rFonts w:cs="Arial"/>
            <w:color w:val="0070C0"/>
            <w:lang w:val="en-GB"/>
          </w:rPr>
          <w:t>agedcarefraud@health.gov.au</w:t>
        </w:r>
      </w:hyperlink>
    </w:p>
    <w:p w14:paraId="1CE14B6A" w14:textId="676D8C0C" w:rsidR="00776581" w:rsidRDefault="003910AF" w:rsidP="008B23A8">
      <w:pPr>
        <w:rPr>
          <w:rStyle w:val="Hyperlink"/>
          <w:rFonts w:cs="Arial"/>
          <w:lang w:val="en-GB"/>
        </w:rPr>
      </w:pPr>
      <w:r w:rsidRPr="008B23A8">
        <w:rPr>
          <w:rFonts w:cs="Arial"/>
          <w:b/>
          <w:bCs/>
          <w:color w:val="000000"/>
          <w:lang w:val="en-GB"/>
        </w:rPr>
        <w:t>Website: </w:t>
      </w:r>
      <w:hyperlink r:id="rId22" w:history="1">
        <w:r w:rsidRPr="008B23A8">
          <w:rPr>
            <w:rStyle w:val="Hyperlink"/>
            <w:rFonts w:cs="Arial"/>
            <w:color w:val="0070C0"/>
            <w:lang w:val="en-GB"/>
          </w:rPr>
          <w:t>Report suspected fraud form</w:t>
        </w:r>
      </w:hyperlink>
      <w:r w:rsidR="005D4161" w:rsidRPr="005D4161">
        <w:rPr>
          <w:rStyle w:val="Hyperlink"/>
          <w:rFonts w:cs="Arial"/>
          <w:color w:val="auto"/>
          <w:u w:val="none"/>
          <w:lang w:val="en-GB"/>
        </w:rPr>
        <w:t>.</w:t>
      </w:r>
    </w:p>
    <w:p w14:paraId="7AB91979" w14:textId="6F6187F5" w:rsidR="00776581" w:rsidRPr="008B23A8" w:rsidRDefault="00776581" w:rsidP="008B23A8">
      <w:pPr>
        <w:pStyle w:val="Heading4"/>
      </w:pPr>
      <w:r w:rsidRPr="008B23A8">
        <w:t>Q. How can we report third party service providers who do not provide the care recipient with the services they require?</w:t>
      </w:r>
    </w:p>
    <w:p w14:paraId="51BC324E" w14:textId="0FE8C1DA" w:rsidR="00577B70" w:rsidRDefault="00776581" w:rsidP="00602DF6">
      <w:pPr>
        <w:rPr>
          <w:rFonts w:eastAsiaTheme="majorEastAsia" w:cstheme="majorBidi"/>
          <w:b/>
          <w:color w:val="1E1544" w:themeColor="text1"/>
          <w:sz w:val="32"/>
          <w:szCs w:val="26"/>
        </w:rPr>
      </w:pPr>
      <w:r>
        <w:rPr>
          <w:rFonts w:cs="Arial"/>
          <w:color w:val="000000"/>
        </w:rPr>
        <w:t xml:space="preserve">A. </w:t>
      </w:r>
      <w:r>
        <w:t>The approved provider is responsible for ensuring the provision of quality and safe services. Approved providers can be reported to the Aged Care Quality and Safety Commission on    1800 951 822.</w:t>
      </w:r>
      <w:r w:rsidR="00290043">
        <w:t xml:space="preserve"> Any intelligence for program assurance review purposes can be provided to the department either through the fraud line (where appropriate – see response to the previous question above) or to the </w:t>
      </w:r>
      <w:r w:rsidR="00396674">
        <w:t xml:space="preserve">email address: </w:t>
      </w:r>
      <w:hyperlink r:id="rId23" w:history="1">
        <w:r w:rsidR="00396674" w:rsidRPr="00DF7A38">
          <w:rPr>
            <w:rStyle w:val="Hyperlink"/>
            <w:rFonts w:cs="Arial"/>
            <w:color w:val="0070C0"/>
          </w:rPr>
          <w:t>hcpassurancereviews@health.gov.au</w:t>
        </w:r>
      </w:hyperlink>
    </w:p>
    <w:p w14:paraId="56D23ED7" w14:textId="7FB3CE9F" w:rsidR="006C6BCC" w:rsidRDefault="006C6BCC" w:rsidP="00602DF6">
      <w:pPr>
        <w:pStyle w:val="Heading2"/>
      </w:pPr>
      <w:bookmarkStart w:id="10" w:name="_Toc161734101"/>
      <w:r>
        <w:t>HCP provider registration</w:t>
      </w:r>
      <w:bookmarkEnd w:id="10"/>
    </w:p>
    <w:p w14:paraId="5AC1B251" w14:textId="4539F46C" w:rsidR="006C6BCC" w:rsidRPr="00602DF6" w:rsidRDefault="006C6BCC" w:rsidP="00602DF6">
      <w:pPr>
        <w:pStyle w:val="Heading4"/>
      </w:pPr>
      <w:r w:rsidRPr="00602DF6">
        <w:t>Q. I would love to become a provider but not sure where to start.</w:t>
      </w:r>
    </w:p>
    <w:p w14:paraId="585B424E" w14:textId="7F0E6717" w:rsidR="00AC574E" w:rsidRPr="005203A2" w:rsidRDefault="006C6BCC" w:rsidP="006714DE">
      <w:pPr>
        <w:rPr>
          <w:rFonts w:cs="Arial"/>
          <w:color w:val="0070C0"/>
          <w:lang w:val="en-GB"/>
        </w:rPr>
      </w:pPr>
      <w:r w:rsidRPr="00673EE9">
        <w:rPr>
          <w:rFonts w:cs="Arial"/>
        </w:rPr>
        <w:t xml:space="preserve">A. </w:t>
      </w:r>
      <w:r w:rsidRPr="00093373">
        <w:rPr>
          <w:rFonts w:cs="Arial"/>
          <w:lang w:val="en-GB"/>
        </w:rPr>
        <w:t xml:space="preserve">Please refer to the </w:t>
      </w:r>
      <w:hyperlink r:id="rId24">
        <w:proofErr w:type="spellStart"/>
        <w:r w:rsidR="00DB3B9C">
          <w:rPr>
            <w:rStyle w:val="Hyperlink"/>
            <w:rFonts w:cs="Arial"/>
            <w:color w:val="0070C0"/>
            <w:lang w:val="en-GB"/>
          </w:rPr>
          <w:t>the</w:t>
        </w:r>
        <w:proofErr w:type="spellEnd"/>
        <w:r w:rsidR="00DB3B9C">
          <w:rPr>
            <w:rStyle w:val="Hyperlink"/>
            <w:rFonts w:cs="Arial"/>
            <w:color w:val="0070C0"/>
            <w:lang w:val="en-GB"/>
          </w:rPr>
          <w:t xml:space="preserve"> provider approval process webpage</w:t>
        </w:r>
      </w:hyperlink>
      <w:r w:rsidR="00DB3B9C" w:rsidRPr="005D4161">
        <w:rPr>
          <w:rStyle w:val="Hyperlink"/>
          <w:rFonts w:cs="Arial"/>
          <w:color w:val="auto"/>
          <w:u w:val="none"/>
          <w:lang w:val="en-GB"/>
        </w:rPr>
        <w:t>.</w:t>
      </w:r>
      <w:bookmarkStart w:id="11" w:name="_Toc161734102"/>
    </w:p>
    <w:p w14:paraId="4A67A951" w14:textId="1A08A2D3" w:rsidR="006C6BCC" w:rsidRPr="00AC574E" w:rsidRDefault="006C6BCC" w:rsidP="005203A2">
      <w:pPr>
        <w:keepNext/>
        <w:rPr>
          <w:rFonts w:eastAsiaTheme="majorEastAsia" w:cstheme="majorBidi"/>
          <w:b/>
          <w:color w:val="1E1544" w:themeColor="text1"/>
          <w:sz w:val="32"/>
          <w:szCs w:val="26"/>
        </w:rPr>
      </w:pPr>
      <w:r w:rsidRPr="00AC574E">
        <w:rPr>
          <w:rFonts w:eastAsiaTheme="majorEastAsia" w:cstheme="majorBidi"/>
          <w:b/>
          <w:color w:val="1E1544" w:themeColor="text1"/>
          <w:sz w:val="32"/>
          <w:szCs w:val="26"/>
        </w:rPr>
        <w:lastRenderedPageBreak/>
        <w:t>HCP assessments</w:t>
      </w:r>
      <w:bookmarkEnd w:id="11"/>
    </w:p>
    <w:p w14:paraId="05D76424" w14:textId="6E5B6763" w:rsidR="006C6BCC" w:rsidRPr="00602DF6" w:rsidRDefault="006C6BCC" w:rsidP="00602DF6">
      <w:pPr>
        <w:pStyle w:val="Heading4"/>
      </w:pPr>
      <w:r w:rsidRPr="00602DF6">
        <w:t>Q. Where can we report care recipients that need their HCP level changed to a lower level?</w:t>
      </w:r>
    </w:p>
    <w:p w14:paraId="33297925" w14:textId="0CC922B8" w:rsidR="006C6BCC" w:rsidRPr="00A91172" w:rsidRDefault="006C6BCC" w:rsidP="00602DF6">
      <w:pPr>
        <w:rPr>
          <w:rFonts w:cs="Arial"/>
          <w:lang w:val="en-GB"/>
        </w:rPr>
      </w:pPr>
      <w:r w:rsidRPr="007E3497">
        <w:rPr>
          <w:rFonts w:cs="Arial"/>
        </w:rPr>
        <w:t xml:space="preserve">A. </w:t>
      </w:r>
      <w:r w:rsidRPr="00A91172">
        <w:rPr>
          <w:rFonts w:cs="Arial"/>
          <w:lang w:val="en-GB"/>
        </w:rPr>
        <w:t xml:space="preserve">Some care recipients may accumulate a surplus of funds in their </w:t>
      </w:r>
      <w:r>
        <w:rPr>
          <w:rFonts w:cs="Arial"/>
          <w:lang w:val="en-GB"/>
        </w:rPr>
        <w:t>h</w:t>
      </w:r>
      <w:r w:rsidRPr="00A91172">
        <w:rPr>
          <w:rFonts w:cs="Arial"/>
          <w:lang w:val="en-GB"/>
        </w:rPr>
        <w:t xml:space="preserve">ome </w:t>
      </w:r>
      <w:r>
        <w:rPr>
          <w:rFonts w:cs="Arial"/>
          <w:lang w:val="en-GB"/>
        </w:rPr>
        <w:t>c</w:t>
      </w:r>
      <w:r w:rsidRPr="00A91172">
        <w:rPr>
          <w:rFonts w:cs="Arial"/>
          <w:lang w:val="en-GB"/>
        </w:rPr>
        <w:t xml:space="preserve">are </w:t>
      </w:r>
      <w:r>
        <w:rPr>
          <w:rFonts w:cs="Arial"/>
          <w:lang w:val="en-GB"/>
        </w:rPr>
        <w:t>p</w:t>
      </w:r>
      <w:r w:rsidRPr="00A91172">
        <w:rPr>
          <w:rFonts w:cs="Arial"/>
          <w:lang w:val="en-GB"/>
        </w:rPr>
        <w:t>ackage. These care recipients should request their provider review their care plan to ensure more efficient and appropriate use of HCP funds. The provider should also be regularly reviewing care plans and individualised budgets to ensure the assessed care and services needs of the care recipient are being met.</w:t>
      </w:r>
    </w:p>
    <w:p w14:paraId="7A45ADE2" w14:textId="0BA9B1F3" w:rsidR="00D91389" w:rsidRPr="00086C4D" w:rsidRDefault="006C6BCC" w:rsidP="00086C4D">
      <w:pPr>
        <w:rPr>
          <w:rFonts w:cs="Arial"/>
          <w:lang w:val="en-GB"/>
        </w:rPr>
      </w:pPr>
      <w:r w:rsidRPr="00A91172">
        <w:rPr>
          <w:rFonts w:cs="Arial"/>
          <w:lang w:val="en-GB"/>
        </w:rPr>
        <w:t xml:space="preserve">If a care recipient accumulates surplus funds, known as unspent funds, they will be returned to the </w:t>
      </w:r>
      <w:r>
        <w:rPr>
          <w:rFonts w:cs="Arial"/>
          <w:lang w:val="en-GB"/>
        </w:rPr>
        <w:t>g</w:t>
      </w:r>
      <w:r w:rsidRPr="00A91172">
        <w:rPr>
          <w:rFonts w:cs="Arial"/>
          <w:lang w:val="en-GB"/>
        </w:rPr>
        <w:t>overnment when they leave the program.</w:t>
      </w:r>
      <w:bookmarkStart w:id="12" w:name="_Toc161734103"/>
    </w:p>
    <w:p w14:paraId="215301A1" w14:textId="397FE374" w:rsidR="006C6BCC" w:rsidRDefault="006C6BCC" w:rsidP="00602DF6">
      <w:pPr>
        <w:pStyle w:val="Heading2"/>
      </w:pPr>
      <w:r>
        <w:t xml:space="preserve">Eligibility for </w:t>
      </w:r>
      <w:proofErr w:type="gramStart"/>
      <w:r>
        <w:t>a</w:t>
      </w:r>
      <w:proofErr w:type="gramEnd"/>
      <w:r>
        <w:t xml:space="preserve"> HCP</w:t>
      </w:r>
      <w:bookmarkEnd w:id="12"/>
    </w:p>
    <w:p w14:paraId="0872463F" w14:textId="081C7925" w:rsidR="006C6BCC" w:rsidRPr="003A305A" w:rsidRDefault="006C6BCC" w:rsidP="00602DF6">
      <w:pPr>
        <w:pStyle w:val="Heading4"/>
        <w:rPr>
          <w:rFonts w:cs="Arial"/>
          <w:b w:val="0"/>
          <w:bCs/>
        </w:rPr>
      </w:pPr>
      <w:r w:rsidRPr="00602DF6">
        <w:t>Q. Who can get a Home Care package with Aged Care ID?</w:t>
      </w:r>
    </w:p>
    <w:p w14:paraId="22FDA0AD" w14:textId="476026F4" w:rsidR="006C6BCC" w:rsidRPr="00B54792" w:rsidRDefault="006C6BCC" w:rsidP="00602DF6">
      <w:pPr>
        <w:spacing w:beforeLines="120" w:before="288"/>
        <w:rPr>
          <w:rFonts w:cs="Arial"/>
          <w:color w:val="000000"/>
          <w:lang w:val="en-GB"/>
        </w:rPr>
      </w:pPr>
      <w:r>
        <w:rPr>
          <w:rFonts w:cs="Arial"/>
          <w:color w:val="000000"/>
        </w:rPr>
        <w:t xml:space="preserve">A. </w:t>
      </w:r>
      <w:r w:rsidRPr="00B54792">
        <w:rPr>
          <w:rFonts w:cs="Arial"/>
          <w:color w:val="000000"/>
          <w:lang w:val="en-GB"/>
        </w:rPr>
        <w:t xml:space="preserve">The program is intended to support people over 65 </w:t>
      </w:r>
      <w:r w:rsidR="00D56D12">
        <w:rPr>
          <w:rFonts w:cs="Arial"/>
          <w:color w:val="000000"/>
          <w:lang w:val="en-GB"/>
        </w:rPr>
        <w:t xml:space="preserve">years of age </w:t>
      </w:r>
      <w:r w:rsidRPr="00B54792">
        <w:rPr>
          <w:rFonts w:cs="Arial"/>
          <w:color w:val="000000"/>
          <w:lang w:val="en-GB"/>
        </w:rPr>
        <w:t>with complex ageing related care needs to stay at home.</w:t>
      </w:r>
    </w:p>
    <w:p w14:paraId="7709D2C1" w14:textId="196DD049" w:rsidR="006C6BCC" w:rsidRDefault="006C6BCC" w:rsidP="00602DF6">
      <w:pPr>
        <w:spacing w:beforeLines="120" w:before="288"/>
        <w:rPr>
          <w:rFonts w:cs="Arial"/>
          <w:color w:val="000000"/>
          <w:lang w:val="en-GB"/>
        </w:rPr>
      </w:pPr>
      <w:r w:rsidRPr="00B54792">
        <w:rPr>
          <w:rFonts w:cs="Arial"/>
          <w:color w:val="000000"/>
          <w:lang w:val="en-GB"/>
        </w:rPr>
        <w:t>Exceptions to the age cut offs include:</w:t>
      </w:r>
    </w:p>
    <w:p w14:paraId="27412EE1" w14:textId="77777777" w:rsidR="001B19F0" w:rsidRPr="001B19F0" w:rsidRDefault="006C6BCC" w:rsidP="001B19F0">
      <w:pPr>
        <w:pStyle w:val="ListParagraph"/>
        <w:numPr>
          <w:ilvl w:val="0"/>
          <w:numId w:val="7"/>
        </w:numPr>
        <w:ind w:left="357" w:hanging="357"/>
      </w:pPr>
      <w:r w:rsidRPr="001B19F0">
        <w:rPr>
          <w:rFonts w:cs="Arial"/>
          <w:color w:val="000000"/>
          <w:lang w:val="en-GB"/>
        </w:rPr>
        <w:t xml:space="preserve">younger people, or people with disabilities not otherwise supported by other programs, or individuals on a low </w:t>
      </w:r>
      <w:proofErr w:type="gramStart"/>
      <w:r w:rsidRPr="001B19F0">
        <w:rPr>
          <w:rFonts w:cs="Arial"/>
          <w:color w:val="000000"/>
          <w:lang w:val="en-GB"/>
        </w:rPr>
        <w:t>income</w:t>
      </w:r>
      <w:proofErr w:type="gramEnd"/>
    </w:p>
    <w:p w14:paraId="71D727C9" w14:textId="72399CCC" w:rsidR="00C44A43" w:rsidRPr="001B19F0" w:rsidRDefault="006C6BCC" w:rsidP="001B19F0">
      <w:pPr>
        <w:pStyle w:val="ListParagraph"/>
        <w:numPr>
          <w:ilvl w:val="0"/>
          <w:numId w:val="7"/>
        </w:numPr>
        <w:ind w:left="357" w:hanging="357"/>
      </w:pPr>
      <w:r w:rsidRPr="001B19F0">
        <w:rPr>
          <w:rFonts w:cs="Arial"/>
          <w:color w:val="000000"/>
          <w:lang w:val="en-GB"/>
        </w:rPr>
        <w:t>people who are homeless, or at risk of being homeless, aged 50 years or older (45 years or older for First Nations people).</w:t>
      </w:r>
    </w:p>
    <w:p w14:paraId="5B5CE71A" w14:textId="77777777" w:rsidR="006C6BCC" w:rsidRPr="00B54792" w:rsidRDefault="006C6BCC" w:rsidP="00602DF6">
      <w:pPr>
        <w:spacing w:beforeLines="120" w:before="288"/>
        <w:rPr>
          <w:rFonts w:cs="Arial"/>
          <w:color w:val="000000"/>
          <w:lang w:val="en-GB"/>
        </w:rPr>
      </w:pPr>
      <w:r w:rsidRPr="00B54792">
        <w:rPr>
          <w:rFonts w:cs="Arial"/>
          <w:color w:val="000000"/>
          <w:lang w:val="en-GB"/>
        </w:rPr>
        <w:t xml:space="preserve">An Aged Care Assessment Team (ACAT) assessment will determine if a person is eligible for the program and what level </w:t>
      </w:r>
      <w:r>
        <w:rPr>
          <w:rFonts w:cs="Arial"/>
          <w:color w:val="000000"/>
          <w:lang w:val="en-GB"/>
        </w:rPr>
        <w:t>HCP</w:t>
      </w:r>
      <w:r w:rsidRPr="00B54792">
        <w:rPr>
          <w:rFonts w:cs="Arial"/>
          <w:color w:val="000000"/>
          <w:lang w:val="en-GB"/>
        </w:rPr>
        <w:t xml:space="preserve"> they are approved for. Individuals will need to contact My Aged Care to apply for an assessment on 1800 200 422.</w:t>
      </w:r>
    </w:p>
    <w:p w14:paraId="35ED9B9E" w14:textId="576114D0" w:rsidR="00E07409" w:rsidRDefault="00E07409" w:rsidP="00602DF6">
      <w:pPr>
        <w:pStyle w:val="Heading2"/>
      </w:pPr>
      <w:bookmarkStart w:id="13" w:name="_Toc161734104"/>
      <w:r>
        <w:t xml:space="preserve">HCP program waiting </w:t>
      </w:r>
      <w:proofErr w:type="gramStart"/>
      <w:r>
        <w:t>times</w:t>
      </w:r>
      <w:bookmarkEnd w:id="13"/>
      <w:proofErr w:type="gramEnd"/>
    </w:p>
    <w:p w14:paraId="69FA8D68" w14:textId="4EC3466A" w:rsidR="00E07409" w:rsidRPr="00602DF6" w:rsidRDefault="00E07409" w:rsidP="00602DF6">
      <w:pPr>
        <w:pStyle w:val="Heading4"/>
      </w:pPr>
      <w:r w:rsidRPr="00602DF6">
        <w:t xml:space="preserve">Q. What are the waiting times for </w:t>
      </w:r>
      <w:proofErr w:type="gramStart"/>
      <w:r w:rsidRPr="00602DF6">
        <w:t>a</w:t>
      </w:r>
      <w:proofErr w:type="gramEnd"/>
      <w:r w:rsidRPr="00602DF6">
        <w:t xml:space="preserve"> HCP?</w:t>
      </w:r>
    </w:p>
    <w:p w14:paraId="4C0FC218" w14:textId="3471404D" w:rsidR="00E07409" w:rsidRPr="002D25EA" w:rsidRDefault="00E07409" w:rsidP="001B19F0">
      <w:pPr>
        <w:rPr>
          <w:rFonts w:cs="Arial"/>
          <w:color w:val="000000"/>
          <w:lang w:val="en-GB"/>
        </w:rPr>
      </w:pPr>
      <w:r>
        <w:rPr>
          <w:rFonts w:cs="Arial"/>
          <w:color w:val="000000"/>
        </w:rPr>
        <w:t xml:space="preserve">A. </w:t>
      </w:r>
      <w:r w:rsidRPr="002D25EA">
        <w:rPr>
          <w:rFonts w:cs="Arial"/>
          <w:color w:val="000000"/>
          <w:lang w:val="en-GB"/>
        </w:rPr>
        <w:t xml:space="preserve">Access to </w:t>
      </w:r>
      <w:proofErr w:type="gramStart"/>
      <w:r w:rsidRPr="002D25EA">
        <w:rPr>
          <w:rFonts w:cs="Arial"/>
          <w:color w:val="000000"/>
          <w:lang w:val="en-GB"/>
        </w:rPr>
        <w:t>a</w:t>
      </w:r>
      <w:proofErr w:type="gramEnd"/>
      <w:r w:rsidRPr="002D25EA">
        <w:rPr>
          <w:rFonts w:cs="Arial"/>
          <w:color w:val="000000"/>
          <w:lang w:val="en-GB"/>
        </w:rPr>
        <w:t xml:space="preserve"> HCP is a two</w:t>
      </w:r>
      <w:r>
        <w:rPr>
          <w:rFonts w:cs="Arial"/>
          <w:color w:val="000000"/>
          <w:lang w:val="en-GB"/>
        </w:rPr>
        <w:t>-</w:t>
      </w:r>
      <w:r w:rsidRPr="002D25EA">
        <w:rPr>
          <w:rFonts w:cs="Arial"/>
          <w:color w:val="000000"/>
          <w:lang w:val="en-GB"/>
        </w:rPr>
        <w:t>step process: firstly assessment</w:t>
      </w:r>
      <w:r>
        <w:rPr>
          <w:rFonts w:cs="Arial"/>
          <w:color w:val="000000"/>
          <w:lang w:val="en-GB"/>
        </w:rPr>
        <w:t>,</w:t>
      </w:r>
      <w:r w:rsidRPr="002D25EA">
        <w:rPr>
          <w:rFonts w:cs="Arial"/>
          <w:color w:val="000000"/>
          <w:lang w:val="en-GB"/>
        </w:rPr>
        <w:t xml:space="preserve"> and secondly allocation of a package from the National Priority System.</w:t>
      </w:r>
    </w:p>
    <w:p w14:paraId="13960177" w14:textId="12C3C1A0" w:rsidR="00E07409" w:rsidRPr="002D25EA" w:rsidRDefault="00E07409" w:rsidP="001B19F0">
      <w:pPr>
        <w:rPr>
          <w:rFonts w:cs="Arial"/>
          <w:color w:val="000000"/>
          <w:lang w:val="en-GB"/>
        </w:rPr>
      </w:pPr>
      <w:r w:rsidRPr="002D25EA">
        <w:rPr>
          <w:rFonts w:cs="Arial"/>
          <w:color w:val="000000"/>
          <w:lang w:val="en-GB"/>
        </w:rPr>
        <w:t>The National Priority System allows for a nationally consistent and equitable process for assigning HCPs based on people’s individual needs and circumstances, regardless of where they live. A person’s wait time is dependent only on their date of approval and priority for service.</w:t>
      </w:r>
    </w:p>
    <w:p w14:paraId="7CC2F789" w14:textId="604B5AAC" w:rsidR="00E07409" w:rsidRDefault="00E07409" w:rsidP="001B19F0">
      <w:pPr>
        <w:rPr>
          <w:rFonts w:cs="Arial"/>
          <w:color w:val="000000"/>
        </w:rPr>
      </w:pPr>
      <w:r w:rsidRPr="002D25EA">
        <w:rPr>
          <w:rFonts w:cs="Arial"/>
          <w:color w:val="000000"/>
          <w:lang w:val="en-GB"/>
        </w:rPr>
        <w:t>Information about the N</w:t>
      </w:r>
      <w:r>
        <w:rPr>
          <w:rFonts w:cs="Arial"/>
          <w:color w:val="000000"/>
          <w:lang w:val="en-GB"/>
        </w:rPr>
        <w:t>ational Priority System</w:t>
      </w:r>
      <w:r w:rsidRPr="002D25EA">
        <w:rPr>
          <w:rFonts w:cs="Arial"/>
          <w:color w:val="000000"/>
          <w:lang w:val="en-GB"/>
        </w:rPr>
        <w:t xml:space="preserve"> is available in the Home Care Packages Program Data Report which comes out quarterly and is available </w:t>
      </w:r>
      <w:hyperlink r:id="rId25" w:history="1">
        <w:r w:rsidR="00AB6CF0" w:rsidRPr="00AC574E">
          <w:rPr>
            <w:rStyle w:val="Hyperlink"/>
            <w:rFonts w:cs="Arial"/>
            <w:color w:val="0070C0"/>
            <w:lang w:val="en-GB"/>
          </w:rPr>
          <w:t>via the aged care data reports and publications webpage</w:t>
        </w:r>
      </w:hyperlink>
      <w:r w:rsidR="00AB6CF0" w:rsidRPr="00AC574E">
        <w:rPr>
          <w:rStyle w:val="Hyperlink"/>
          <w:color w:val="auto"/>
          <w:u w:val="none"/>
        </w:rPr>
        <w:t>.</w:t>
      </w:r>
    </w:p>
    <w:p w14:paraId="5E9F43A5" w14:textId="28AA44F9" w:rsidR="00E07409" w:rsidRDefault="00E07409" w:rsidP="001B19F0">
      <w:pPr>
        <w:rPr>
          <w:rFonts w:cs="Arial"/>
          <w:color w:val="000000"/>
          <w:lang w:val="en-GB"/>
        </w:rPr>
      </w:pPr>
      <w:r w:rsidRPr="002D25EA">
        <w:rPr>
          <w:rFonts w:cs="Arial"/>
          <w:color w:val="000000"/>
          <w:lang w:val="en-GB"/>
        </w:rPr>
        <w:lastRenderedPageBreak/>
        <w:t xml:space="preserve">Wait times are also published on the </w:t>
      </w:r>
      <w:hyperlink r:id="rId26" w:history="1">
        <w:r w:rsidR="00AB6CF0">
          <w:rPr>
            <w:rStyle w:val="Hyperlink"/>
            <w:rFonts w:cs="Arial"/>
            <w:color w:val="0070C0"/>
            <w:lang w:val="en-GB"/>
          </w:rPr>
          <w:t>My Aged Care website</w:t>
        </w:r>
        <w:r w:rsidR="00AB6CF0" w:rsidRPr="005D4161">
          <w:rPr>
            <w:rStyle w:val="Hyperlink"/>
            <w:rFonts w:cs="Arial"/>
            <w:color w:val="auto"/>
            <w:u w:val="none"/>
            <w:lang w:val="en-GB"/>
          </w:rPr>
          <w:t>.</w:t>
        </w:r>
      </w:hyperlink>
    </w:p>
    <w:p w14:paraId="7CA13F4A" w14:textId="1AF0B3B8" w:rsidR="00F04B78" w:rsidRPr="00602DF6" w:rsidRDefault="00F04B78" w:rsidP="00602DF6">
      <w:pPr>
        <w:pStyle w:val="Heading4"/>
      </w:pPr>
      <w:r w:rsidRPr="00602DF6">
        <w:t xml:space="preserve">Q. Why are the waiting times for </w:t>
      </w:r>
      <w:proofErr w:type="gramStart"/>
      <w:r w:rsidRPr="00602DF6">
        <w:t>a</w:t>
      </w:r>
      <w:proofErr w:type="gramEnd"/>
      <w:r w:rsidRPr="00602DF6">
        <w:t xml:space="preserve"> HCP so long?</w:t>
      </w:r>
    </w:p>
    <w:p w14:paraId="69FC7655" w14:textId="77777777" w:rsidR="00F04B78" w:rsidRPr="000755FA" w:rsidRDefault="00F04B78" w:rsidP="001B19F0">
      <w:pPr>
        <w:rPr>
          <w:rFonts w:cs="Arial"/>
          <w:color w:val="000000"/>
          <w:lang w:val="en-GB"/>
        </w:rPr>
      </w:pPr>
      <w:r>
        <w:rPr>
          <w:rFonts w:cs="Arial"/>
          <w:color w:val="000000"/>
        </w:rPr>
        <w:t xml:space="preserve">A. </w:t>
      </w:r>
      <w:r w:rsidRPr="000755FA">
        <w:rPr>
          <w:rFonts w:cs="Arial"/>
          <w:color w:val="000000"/>
          <w:lang w:val="en-GB"/>
        </w:rPr>
        <w:t>The department is monitoring a significant increase in the number of HCP assessments and approvals in recent times which has led to an increase in wait times. In addition, both the number of HCP</w:t>
      </w:r>
      <w:r>
        <w:rPr>
          <w:rFonts w:cs="Arial"/>
          <w:color w:val="000000"/>
          <w:lang w:val="en-GB"/>
        </w:rPr>
        <w:t>s</w:t>
      </w:r>
      <w:r w:rsidRPr="000755FA">
        <w:rPr>
          <w:rFonts w:cs="Arial"/>
          <w:color w:val="000000"/>
          <w:lang w:val="en-GB"/>
        </w:rPr>
        <w:t xml:space="preserve"> and HCP take</w:t>
      </w:r>
      <w:r>
        <w:rPr>
          <w:rFonts w:cs="Arial"/>
          <w:color w:val="000000"/>
          <w:lang w:val="en-GB"/>
        </w:rPr>
        <w:t>-</w:t>
      </w:r>
      <w:r w:rsidRPr="000755FA">
        <w:rPr>
          <w:rFonts w:cs="Arial"/>
          <w:color w:val="000000"/>
          <w:lang w:val="en-GB"/>
        </w:rPr>
        <w:t>up rates are at an all-time high.</w:t>
      </w:r>
    </w:p>
    <w:p w14:paraId="4E8BED74" w14:textId="77777777" w:rsidR="00D34377" w:rsidRPr="00F3329B" w:rsidRDefault="00D34377" w:rsidP="001B19F0">
      <w:pPr>
        <w:pStyle w:val="Heading2"/>
      </w:pPr>
      <w:bookmarkStart w:id="14" w:name="_Toc161734105"/>
      <w:r>
        <w:t>Publishing of pricing information</w:t>
      </w:r>
      <w:bookmarkEnd w:id="14"/>
    </w:p>
    <w:p w14:paraId="3E6CD6DD" w14:textId="77777777" w:rsidR="00D34377" w:rsidRPr="001B19F0" w:rsidRDefault="00D34377" w:rsidP="001B19F0">
      <w:pPr>
        <w:pStyle w:val="Heading4"/>
      </w:pPr>
      <w:r w:rsidRPr="001B19F0">
        <w:t>Q. With the publication of all providers spending to be released in February 2024 to increase transparency, what will be the implications for providers that are not publishing their pricing in 2024?</w:t>
      </w:r>
    </w:p>
    <w:p w14:paraId="56DB4637" w14:textId="63A88A16" w:rsidR="00D34377" w:rsidRDefault="00D34377" w:rsidP="001B19F0">
      <w:pPr>
        <w:rPr>
          <w:rFonts w:cs="Arial"/>
          <w:lang w:val="en-GB"/>
        </w:rPr>
      </w:pPr>
      <w:r w:rsidRPr="00BC4B61">
        <w:rPr>
          <w:rFonts w:cs="Arial"/>
        </w:rPr>
        <w:t xml:space="preserve">A. </w:t>
      </w:r>
      <w:r w:rsidRPr="001161A5">
        <w:rPr>
          <w:rFonts w:cs="Arial"/>
          <w:lang w:val="en-GB"/>
        </w:rPr>
        <w:t xml:space="preserve">Under the </w:t>
      </w:r>
      <w:r w:rsidRPr="001161A5">
        <w:rPr>
          <w:rFonts w:cs="Arial"/>
          <w:i/>
          <w:iCs/>
          <w:lang w:val="en-GB"/>
        </w:rPr>
        <w:t>Aged Care Act 1997</w:t>
      </w:r>
      <w:r w:rsidRPr="001161A5">
        <w:rPr>
          <w:rFonts w:cs="Arial"/>
          <w:lang w:val="en-GB"/>
        </w:rPr>
        <w:t xml:space="preserve">, providers </w:t>
      </w:r>
      <w:r w:rsidR="00AC54A6">
        <w:rPr>
          <w:rFonts w:cs="Arial"/>
          <w:lang w:val="en-GB"/>
        </w:rPr>
        <w:t>must</w:t>
      </w:r>
      <w:r w:rsidRPr="001161A5">
        <w:rPr>
          <w:rFonts w:cs="Arial"/>
          <w:lang w:val="en-GB"/>
        </w:rPr>
        <w:t xml:space="preserve"> comply with their legislative obligations relating to pricing, including ensuring that prices do not exceed the sum of the maximum daily amount charged for HCP as required under Part 3, Division 3B of the </w:t>
      </w:r>
      <w:r w:rsidRPr="002009BC">
        <w:rPr>
          <w:rFonts w:cs="Arial"/>
          <w:i/>
          <w:iCs/>
          <w:lang w:val="en-GB"/>
        </w:rPr>
        <w:t>User Rights Principles 2014</w:t>
      </w:r>
      <w:r w:rsidRPr="001161A5">
        <w:rPr>
          <w:rFonts w:cs="Arial"/>
          <w:lang w:val="en-GB"/>
        </w:rPr>
        <w:t>. The requirement to publish pricing aims to increase consumer transparency and make more funds available to meet the assessed needs of care recipients.</w:t>
      </w:r>
    </w:p>
    <w:p w14:paraId="64DABB25" w14:textId="77777777" w:rsidR="00D34377" w:rsidRDefault="00D34377" w:rsidP="001B19F0">
      <w:pPr>
        <w:rPr>
          <w:rFonts w:cs="Arial"/>
          <w:lang w:val="en-GB"/>
        </w:rPr>
      </w:pPr>
      <w:r w:rsidRPr="001161A5">
        <w:rPr>
          <w:rFonts w:cs="Arial"/>
          <w:lang w:val="en-GB"/>
        </w:rPr>
        <w:t xml:space="preserve">Providers who are found to be charging above the maximum daily amounts for HCP will be required to refund to the care recipient the difference as required under Part 3 of the </w:t>
      </w:r>
      <w:r w:rsidRPr="001161A5">
        <w:rPr>
          <w:rFonts w:cs="Arial"/>
          <w:i/>
          <w:iCs/>
          <w:lang w:val="en-GB"/>
        </w:rPr>
        <w:t>Fees and Payments Principles 2014</w:t>
      </w:r>
      <w:r w:rsidRPr="001161A5">
        <w:rPr>
          <w:rFonts w:cs="Arial"/>
          <w:lang w:val="en-GB"/>
        </w:rPr>
        <w:t>.</w:t>
      </w:r>
    </w:p>
    <w:p w14:paraId="5FCBFA95" w14:textId="77777777" w:rsidR="00D34377" w:rsidRPr="001161A5" w:rsidRDefault="00D34377" w:rsidP="001B19F0">
      <w:pPr>
        <w:rPr>
          <w:rFonts w:cs="Arial"/>
          <w:lang w:val="en-GB"/>
        </w:rPr>
      </w:pPr>
      <w:r w:rsidRPr="001161A5">
        <w:rPr>
          <w:rFonts w:cs="Arial"/>
          <w:lang w:val="en-GB"/>
        </w:rPr>
        <w:t>Providers may also be referred to the Aged Care Quality and Safety Commission for further analysis and investigation.</w:t>
      </w:r>
    </w:p>
    <w:p w14:paraId="3EC7F5E4" w14:textId="1F2B62E7" w:rsidR="00E07409" w:rsidRDefault="00E07409" w:rsidP="001B19F0">
      <w:pPr>
        <w:pStyle w:val="Heading2"/>
      </w:pPr>
      <w:bookmarkStart w:id="15" w:name="_Toc161734106"/>
      <w:r>
        <w:t>HCP program unspent funds</w:t>
      </w:r>
      <w:bookmarkEnd w:id="15"/>
    </w:p>
    <w:p w14:paraId="1830F2F0" w14:textId="5E7DEF37" w:rsidR="00E07409" w:rsidRPr="001B19F0" w:rsidRDefault="00E07409" w:rsidP="001B19F0">
      <w:pPr>
        <w:pStyle w:val="Heading4"/>
      </w:pPr>
      <w:r w:rsidRPr="001B19F0">
        <w:t>Q. Do you recognise that unspent funds are often "saved up" by package recipients for eventualities and uncertainties? Many pensioners are reluctant to delve into their allocated budget. Notwithstanding this, they certainly merit those funds and discretion in how they "spend" same.</w:t>
      </w:r>
    </w:p>
    <w:p w14:paraId="28E4A320" w14:textId="0EDE089A" w:rsidR="00E07409" w:rsidRPr="00927FCC" w:rsidRDefault="00E07409" w:rsidP="001B19F0">
      <w:pPr>
        <w:spacing w:beforeLines="120" w:before="288"/>
        <w:rPr>
          <w:rFonts w:cs="Arial"/>
          <w:color w:val="000000"/>
          <w:lang w:val="en-GB"/>
        </w:rPr>
      </w:pPr>
      <w:r w:rsidRPr="00B0091E">
        <w:rPr>
          <w:rFonts w:cs="Arial"/>
          <w:color w:val="000000"/>
        </w:rPr>
        <w:t xml:space="preserve">A. </w:t>
      </w:r>
      <w:r w:rsidRPr="00927FCC">
        <w:rPr>
          <w:rFonts w:cs="Arial"/>
          <w:color w:val="000000"/>
          <w:lang w:val="en-GB"/>
        </w:rPr>
        <w:t>Yes</w:t>
      </w:r>
      <w:r>
        <w:rPr>
          <w:rFonts w:cs="Arial"/>
          <w:color w:val="000000"/>
          <w:lang w:val="en-GB"/>
        </w:rPr>
        <w:t>,</w:t>
      </w:r>
      <w:r w:rsidRPr="00927FCC">
        <w:rPr>
          <w:rFonts w:cs="Arial"/>
          <w:color w:val="000000"/>
          <w:lang w:val="en-GB"/>
        </w:rPr>
        <w:t xml:space="preserve"> </w:t>
      </w:r>
      <w:r w:rsidR="00A81F4A">
        <w:rPr>
          <w:rFonts w:cs="Arial"/>
          <w:color w:val="000000"/>
          <w:lang w:val="en-GB"/>
        </w:rPr>
        <w:t>the department is aware that recipients</w:t>
      </w:r>
      <w:r w:rsidR="00927FCC" w:rsidRPr="00927FCC">
        <w:rPr>
          <w:rFonts w:cs="Arial"/>
          <w:color w:val="000000"/>
          <w:lang w:val="en-GB"/>
        </w:rPr>
        <w:t xml:space="preserve"> </w:t>
      </w:r>
      <w:r w:rsidRPr="00927FCC">
        <w:rPr>
          <w:rFonts w:cs="Arial"/>
          <w:color w:val="000000"/>
          <w:lang w:val="en-GB"/>
        </w:rPr>
        <w:t>save up unspent funds to facilitate large purchases of equipment or home modifications in line with inclusions permitted in the program.</w:t>
      </w:r>
    </w:p>
    <w:p w14:paraId="6652D678" w14:textId="204EECC5" w:rsidR="00E07409" w:rsidRPr="00927FCC" w:rsidRDefault="00E07409" w:rsidP="001B19F0">
      <w:pPr>
        <w:spacing w:beforeLines="120" w:before="288"/>
        <w:rPr>
          <w:rFonts w:cs="Arial"/>
          <w:color w:val="000000"/>
          <w:lang w:val="en-GB"/>
        </w:rPr>
      </w:pPr>
      <w:r w:rsidRPr="00927FCC">
        <w:rPr>
          <w:rFonts w:cs="Arial"/>
          <w:color w:val="000000"/>
          <w:lang w:val="en-GB"/>
        </w:rPr>
        <w:t xml:space="preserve">As per existing arrangements, </w:t>
      </w:r>
      <w:bookmarkStart w:id="16" w:name="_Hlk119322198"/>
      <w:r w:rsidRPr="00927FCC">
        <w:rPr>
          <w:rFonts w:cs="Arial"/>
          <w:color w:val="000000"/>
          <w:lang w:val="en-GB"/>
        </w:rPr>
        <w:t>any large purchases must be:</w:t>
      </w:r>
    </w:p>
    <w:p w14:paraId="12FA9D40" w14:textId="77777777" w:rsidR="00E07409" w:rsidRPr="00927FCC" w:rsidRDefault="00E07409" w:rsidP="001B19F0">
      <w:pPr>
        <w:pStyle w:val="ListParagraph"/>
        <w:numPr>
          <w:ilvl w:val="0"/>
          <w:numId w:val="7"/>
        </w:numPr>
        <w:ind w:left="357" w:hanging="357"/>
        <w:rPr>
          <w:rFonts w:cs="Arial"/>
          <w:color w:val="000000"/>
          <w:lang w:val="en-GB"/>
        </w:rPr>
      </w:pPr>
      <w:r w:rsidRPr="00927FCC">
        <w:rPr>
          <w:rFonts w:cs="Arial"/>
          <w:color w:val="000000"/>
          <w:lang w:val="en-GB"/>
        </w:rPr>
        <w:t xml:space="preserve">related to the care recipient’s care </w:t>
      </w:r>
      <w:proofErr w:type="gramStart"/>
      <w:r w:rsidRPr="00927FCC">
        <w:rPr>
          <w:rFonts w:cs="Arial"/>
          <w:color w:val="000000"/>
          <w:lang w:val="en-GB"/>
        </w:rPr>
        <w:t>needs</w:t>
      </w:r>
      <w:proofErr w:type="gramEnd"/>
    </w:p>
    <w:p w14:paraId="336F6A0E" w14:textId="76FCB6E9" w:rsidR="00E07409" w:rsidRPr="00927FCC" w:rsidRDefault="00E07409" w:rsidP="001B19F0">
      <w:pPr>
        <w:pStyle w:val="ListParagraph"/>
        <w:numPr>
          <w:ilvl w:val="0"/>
          <w:numId w:val="7"/>
        </w:numPr>
        <w:ind w:left="357" w:hanging="357"/>
        <w:rPr>
          <w:rFonts w:cs="Arial"/>
          <w:color w:val="000000"/>
          <w:lang w:val="en-GB"/>
        </w:rPr>
      </w:pPr>
      <w:r w:rsidRPr="00927FCC">
        <w:rPr>
          <w:rFonts w:cs="Arial"/>
          <w:color w:val="000000"/>
          <w:lang w:val="en-GB"/>
        </w:rPr>
        <w:t xml:space="preserve">agreed within the care recipient’s care </w:t>
      </w:r>
      <w:proofErr w:type="gramStart"/>
      <w:r w:rsidRPr="00927FCC">
        <w:rPr>
          <w:rFonts w:cs="Arial"/>
          <w:color w:val="000000"/>
          <w:lang w:val="en-GB"/>
        </w:rPr>
        <w:t>plan</w:t>
      </w:r>
      <w:proofErr w:type="gramEnd"/>
    </w:p>
    <w:p w14:paraId="544471B4" w14:textId="580206F9" w:rsidR="00E07409" w:rsidRDefault="00E07409" w:rsidP="001B19F0">
      <w:pPr>
        <w:pStyle w:val="ListParagraph"/>
        <w:numPr>
          <w:ilvl w:val="0"/>
          <w:numId w:val="7"/>
        </w:numPr>
        <w:ind w:left="357" w:hanging="357"/>
        <w:rPr>
          <w:rFonts w:cs="Arial"/>
          <w:color w:val="000000"/>
          <w:lang w:val="en-GB"/>
        </w:rPr>
      </w:pPr>
      <w:r w:rsidRPr="00927FCC">
        <w:rPr>
          <w:rFonts w:cs="Arial"/>
          <w:color w:val="000000"/>
          <w:lang w:val="en-GB"/>
        </w:rPr>
        <w:t xml:space="preserve">within the available budget for the package level, with any charges mutually agreed with the care recipient through the </w:t>
      </w:r>
      <w:r>
        <w:rPr>
          <w:rFonts w:cs="Arial"/>
          <w:color w:val="000000"/>
          <w:lang w:val="en-GB"/>
        </w:rPr>
        <w:t>h</w:t>
      </w:r>
      <w:r w:rsidRPr="00927FCC">
        <w:rPr>
          <w:rFonts w:cs="Arial"/>
          <w:color w:val="000000"/>
          <w:lang w:val="en-GB"/>
        </w:rPr>
        <w:t xml:space="preserve">ome </w:t>
      </w:r>
      <w:r>
        <w:rPr>
          <w:rFonts w:cs="Arial"/>
          <w:color w:val="000000"/>
          <w:lang w:val="en-GB"/>
        </w:rPr>
        <w:t>c</w:t>
      </w:r>
      <w:r w:rsidRPr="00927FCC">
        <w:rPr>
          <w:rFonts w:cs="Arial"/>
          <w:color w:val="000000"/>
          <w:lang w:val="en-GB"/>
        </w:rPr>
        <w:t xml:space="preserve">are </w:t>
      </w:r>
      <w:r>
        <w:rPr>
          <w:rFonts w:cs="Arial"/>
          <w:color w:val="000000"/>
          <w:lang w:val="en-GB"/>
        </w:rPr>
        <w:t>a</w:t>
      </w:r>
      <w:r w:rsidRPr="00927FCC">
        <w:rPr>
          <w:rFonts w:cs="Arial"/>
          <w:color w:val="000000"/>
          <w:lang w:val="en-GB"/>
        </w:rPr>
        <w:t>greement before purchase.</w:t>
      </w:r>
      <w:bookmarkEnd w:id="16"/>
    </w:p>
    <w:p w14:paraId="60CADF54" w14:textId="0ACF94F4" w:rsidR="00E07409" w:rsidRPr="00927FCC" w:rsidRDefault="00E07409" w:rsidP="001B19F0">
      <w:pPr>
        <w:spacing w:beforeLines="120" w:before="288"/>
        <w:rPr>
          <w:rFonts w:cs="Arial"/>
          <w:color w:val="000000"/>
          <w:lang w:val="en-GB"/>
        </w:rPr>
      </w:pPr>
      <w:r w:rsidRPr="00927FCC">
        <w:rPr>
          <w:rFonts w:cs="Arial"/>
          <w:color w:val="000000"/>
          <w:lang w:val="en-GB"/>
        </w:rPr>
        <w:t xml:space="preserve">Providers can access unspent funds to pay for large purchases. Where the cost exceeds available funds for </w:t>
      </w:r>
      <w:r w:rsidR="004C17BA">
        <w:rPr>
          <w:rFonts w:cs="Arial"/>
          <w:color w:val="000000"/>
          <w:lang w:val="en-GB"/>
        </w:rPr>
        <w:t xml:space="preserve">the </w:t>
      </w:r>
      <w:r w:rsidRPr="00927FCC">
        <w:rPr>
          <w:rFonts w:cs="Arial"/>
          <w:color w:val="000000"/>
          <w:lang w:val="en-GB"/>
        </w:rPr>
        <w:t>care recipient, providers and their care recipients can:</w:t>
      </w:r>
    </w:p>
    <w:p w14:paraId="61E68AA8" w14:textId="60D261E3" w:rsidR="00E07409" w:rsidRPr="00927FCC" w:rsidRDefault="00E07409" w:rsidP="001B19F0">
      <w:pPr>
        <w:pStyle w:val="ListParagraph"/>
        <w:numPr>
          <w:ilvl w:val="0"/>
          <w:numId w:val="7"/>
        </w:numPr>
        <w:ind w:left="357" w:hanging="357"/>
        <w:rPr>
          <w:rFonts w:cs="Arial"/>
          <w:color w:val="000000"/>
          <w:lang w:val="en-GB"/>
        </w:rPr>
      </w:pPr>
      <w:r w:rsidRPr="00927FCC">
        <w:rPr>
          <w:rFonts w:cs="Arial"/>
          <w:color w:val="000000"/>
          <w:lang w:val="en-GB"/>
        </w:rPr>
        <w:t xml:space="preserve">postpone the purchase until there are sufficient funds to cover the </w:t>
      </w:r>
      <w:proofErr w:type="gramStart"/>
      <w:r w:rsidRPr="00927FCC">
        <w:rPr>
          <w:rFonts w:cs="Arial"/>
          <w:color w:val="000000"/>
          <w:lang w:val="en-GB"/>
        </w:rPr>
        <w:t>costs</w:t>
      </w:r>
      <w:proofErr w:type="gramEnd"/>
    </w:p>
    <w:p w14:paraId="64623382" w14:textId="77777777" w:rsidR="00E07409" w:rsidRPr="00927FCC" w:rsidRDefault="00E07409" w:rsidP="001B19F0">
      <w:pPr>
        <w:pStyle w:val="ListParagraph"/>
        <w:numPr>
          <w:ilvl w:val="0"/>
          <w:numId w:val="7"/>
        </w:numPr>
        <w:ind w:left="357" w:hanging="357"/>
        <w:rPr>
          <w:rFonts w:cs="Arial"/>
          <w:color w:val="000000"/>
          <w:lang w:val="en-GB"/>
        </w:rPr>
      </w:pPr>
      <w:r w:rsidRPr="00927FCC">
        <w:rPr>
          <w:rFonts w:cs="Arial"/>
          <w:color w:val="000000"/>
          <w:lang w:val="en-GB"/>
        </w:rPr>
        <w:lastRenderedPageBreak/>
        <w:t xml:space="preserve">enter leasing arrangements where </w:t>
      </w:r>
      <w:proofErr w:type="gramStart"/>
      <w:r w:rsidRPr="00927FCC">
        <w:rPr>
          <w:rFonts w:cs="Arial"/>
          <w:color w:val="000000"/>
          <w:lang w:val="en-GB"/>
        </w:rPr>
        <w:t>appropriate</w:t>
      </w:r>
      <w:proofErr w:type="gramEnd"/>
    </w:p>
    <w:p w14:paraId="265EF252" w14:textId="02021CBB" w:rsidR="00E07409" w:rsidRPr="00927FCC" w:rsidRDefault="00E07409" w:rsidP="001B19F0">
      <w:pPr>
        <w:pStyle w:val="ListParagraph"/>
        <w:numPr>
          <w:ilvl w:val="0"/>
          <w:numId w:val="7"/>
        </w:numPr>
        <w:ind w:left="357" w:hanging="357"/>
        <w:rPr>
          <w:rFonts w:cs="Arial"/>
          <w:color w:val="000000"/>
          <w:lang w:val="en-GB"/>
        </w:rPr>
      </w:pPr>
      <w:r w:rsidRPr="00927FCC">
        <w:rPr>
          <w:rFonts w:cs="Arial"/>
          <w:color w:val="000000"/>
          <w:lang w:val="en-GB"/>
        </w:rPr>
        <w:t>pay for a piece of equipment in instalments through a lease</w:t>
      </w:r>
      <w:r>
        <w:rPr>
          <w:rFonts w:cs="Arial"/>
          <w:color w:val="000000"/>
          <w:lang w:val="en-GB"/>
        </w:rPr>
        <w:t>-</w:t>
      </w:r>
      <w:r w:rsidRPr="00927FCC">
        <w:rPr>
          <w:rFonts w:cs="Arial"/>
          <w:color w:val="000000"/>
          <w:lang w:val="en-GB"/>
        </w:rPr>
        <w:t>to</w:t>
      </w:r>
      <w:r>
        <w:rPr>
          <w:rFonts w:cs="Arial"/>
          <w:color w:val="000000"/>
          <w:lang w:val="en-GB"/>
        </w:rPr>
        <w:t>-</w:t>
      </w:r>
      <w:proofErr w:type="spellStart"/>
      <w:r w:rsidRPr="00927FCC">
        <w:rPr>
          <w:rFonts w:cs="Arial"/>
          <w:color w:val="000000"/>
          <w:lang w:val="en-GB"/>
        </w:rPr>
        <w:t>buy</w:t>
      </w:r>
      <w:proofErr w:type="spellEnd"/>
      <w:r w:rsidRPr="00927FCC">
        <w:rPr>
          <w:rFonts w:cs="Arial"/>
          <w:color w:val="000000"/>
          <w:lang w:val="en-GB"/>
        </w:rPr>
        <w:t xml:space="preserve"> </w:t>
      </w:r>
      <w:proofErr w:type="gramStart"/>
      <w:r w:rsidRPr="00927FCC">
        <w:rPr>
          <w:rFonts w:cs="Arial"/>
          <w:color w:val="000000"/>
          <w:lang w:val="en-GB"/>
        </w:rPr>
        <w:t>arrangement</w:t>
      </w:r>
      <w:proofErr w:type="gramEnd"/>
    </w:p>
    <w:p w14:paraId="23830371" w14:textId="77777777" w:rsidR="00E07409" w:rsidRDefault="00E07409" w:rsidP="001B19F0">
      <w:pPr>
        <w:pStyle w:val="ListParagraph"/>
        <w:numPr>
          <w:ilvl w:val="0"/>
          <w:numId w:val="7"/>
        </w:numPr>
        <w:ind w:left="357" w:hanging="357"/>
        <w:rPr>
          <w:rFonts w:cs="Arial"/>
          <w:color w:val="000000"/>
          <w:lang w:val="en-GB"/>
        </w:rPr>
      </w:pPr>
      <w:r w:rsidRPr="00927FCC">
        <w:rPr>
          <w:rFonts w:cs="Arial"/>
          <w:color w:val="000000"/>
          <w:lang w:val="en-GB"/>
        </w:rPr>
        <w:t>access additional support (up to $1500) through the Commonwealth Home Support Programme (CHSP) in certain circumstances. This may be subject to the available capacity of CHSP providers and their available funding, given CHSP care recipients will be the priority. Care recipient contributions may apply.</w:t>
      </w:r>
    </w:p>
    <w:p w14:paraId="7427BCBF" w14:textId="2614EE8D" w:rsidR="00E07409" w:rsidRDefault="00E07409" w:rsidP="001B19F0">
      <w:pPr>
        <w:spacing w:beforeLines="120" w:before="288"/>
        <w:rPr>
          <w:rFonts w:cs="Arial"/>
          <w:color w:val="000000"/>
          <w:lang w:val="en-GB"/>
        </w:rPr>
      </w:pPr>
      <w:r w:rsidRPr="00927FCC">
        <w:rPr>
          <w:rFonts w:cs="Arial"/>
          <w:color w:val="000000"/>
          <w:lang w:val="en-GB"/>
        </w:rPr>
        <w:t xml:space="preserve">The </w:t>
      </w:r>
      <w:r>
        <w:rPr>
          <w:rFonts w:cs="Arial"/>
          <w:color w:val="000000"/>
          <w:lang w:val="en-GB"/>
        </w:rPr>
        <w:t>HCP</w:t>
      </w:r>
      <w:r w:rsidRPr="00927FCC">
        <w:rPr>
          <w:rFonts w:cs="Arial"/>
          <w:color w:val="000000"/>
          <w:lang w:val="en-GB"/>
        </w:rPr>
        <w:t xml:space="preserve"> </w:t>
      </w:r>
      <w:r>
        <w:rPr>
          <w:rFonts w:cs="Arial"/>
          <w:color w:val="000000"/>
          <w:lang w:val="en-GB"/>
        </w:rPr>
        <w:t>p</w:t>
      </w:r>
      <w:r w:rsidRPr="00927FCC">
        <w:rPr>
          <w:rFonts w:cs="Arial"/>
          <w:color w:val="000000"/>
          <w:lang w:val="en-GB"/>
        </w:rPr>
        <w:t>rogram is governed by the applicable legislation. Home care providers are responsible for understanding and complying with all legislation that is relevant to delivering home care.</w:t>
      </w:r>
    </w:p>
    <w:p w14:paraId="3325D06B" w14:textId="0C106F0B" w:rsidR="00C44A43" w:rsidRPr="001B19F0" w:rsidRDefault="00E07409" w:rsidP="001B19F0">
      <w:pPr>
        <w:pStyle w:val="Heading4"/>
      </w:pPr>
      <w:r w:rsidRPr="001B19F0">
        <w:t>Q. How long can unspent funds be held for?</w:t>
      </w:r>
    </w:p>
    <w:p w14:paraId="6FFEABD3" w14:textId="6D80BEFA" w:rsidR="00E07409" w:rsidRDefault="00E07409" w:rsidP="001B19F0">
      <w:pPr>
        <w:rPr>
          <w:rFonts w:cs="Arial"/>
          <w:color w:val="000000"/>
          <w:lang w:val="en-GB"/>
        </w:rPr>
      </w:pPr>
      <w:r w:rsidRPr="001F43A4">
        <w:rPr>
          <w:rFonts w:cs="Arial"/>
          <w:color w:val="000000"/>
        </w:rPr>
        <w:t xml:space="preserve">A. </w:t>
      </w:r>
      <w:r w:rsidRPr="00A10ED6">
        <w:rPr>
          <w:rFonts w:cs="Arial"/>
          <w:color w:val="000000"/>
          <w:lang w:val="en-GB"/>
        </w:rPr>
        <w:t xml:space="preserve">Any </w:t>
      </w:r>
      <w:r w:rsidR="008D3B05">
        <w:rPr>
          <w:rFonts w:cs="Arial"/>
          <w:color w:val="000000"/>
          <w:lang w:val="en-GB"/>
        </w:rPr>
        <w:t xml:space="preserve">accrued </w:t>
      </w:r>
      <w:r w:rsidRPr="00A10ED6">
        <w:rPr>
          <w:rFonts w:cs="Arial"/>
          <w:color w:val="000000"/>
          <w:lang w:val="en-GB"/>
        </w:rPr>
        <w:t xml:space="preserve">unspent funds will stay with the care recipient until </w:t>
      </w:r>
      <w:r w:rsidR="00A10ED6" w:rsidRPr="00A10ED6">
        <w:rPr>
          <w:rFonts w:cs="Arial"/>
          <w:color w:val="000000"/>
          <w:lang w:val="en-GB"/>
        </w:rPr>
        <w:t>the</w:t>
      </w:r>
      <w:r w:rsidR="008D3B05">
        <w:rPr>
          <w:rFonts w:cs="Arial"/>
          <w:color w:val="000000"/>
          <w:lang w:val="en-GB"/>
        </w:rPr>
        <w:t xml:space="preserve"> person</w:t>
      </w:r>
      <w:r w:rsidR="00A10ED6" w:rsidRPr="00A10ED6">
        <w:rPr>
          <w:rFonts w:cs="Arial"/>
          <w:color w:val="000000"/>
          <w:lang w:val="en-GB"/>
        </w:rPr>
        <w:t xml:space="preserve"> exit</w:t>
      </w:r>
      <w:r w:rsidR="008D3B05">
        <w:rPr>
          <w:rFonts w:cs="Arial"/>
          <w:color w:val="000000"/>
          <w:lang w:val="en-GB"/>
        </w:rPr>
        <w:t>s</w:t>
      </w:r>
      <w:r w:rsidRPr="00A10ED6">
        <w:rPr>
          <w:rFonts w:cs="Arial"/>
          <w:color w:val="000000"/>
          <w:lang w:val="en-GB"/>
        </w:rPr>
        <w:t xml:space="preserve"> the program. Unspent funds are returned to the Commonwealth unless the care recipient returns to the program within 70 days.</w:t>
      </w:r>
    </w:p>
    <w:p w14:paraId="0155C316" w14:textId="7F2B6FAF" w:rsidR="00C44A43" w:rsidRPr="001B19F0" w:rsidRDefault="00E07409" w:rsidP="001B19F0">
      <w:pPr>
        <w:pStyle w:val="Heading4"/>
        <w:rPr>
          <w:rStyle w:val="normaltextrun"/>
        </w:rPr>
      </w:pPr>
      <w:r w:rsidRPr="001B19F0">
        <w:t>Q. I have worked as a case manager with clients who have huge amounts of accumulated funds and refuse services. Why is this not managed better as there are many people on waiting list that need the support to remain in the community?</w:t>
      </w:r>
    </w:p>
    <w:p w14:paraId="74B4D44F" w14:textId="406877F2" w:rsidR="00E07409" w:rsidRPr="00F8105A" w:rsidRDefault="00E07409" w:rsidP="001B19F0">
      <w:pPr>
        <w:rPr>
          <w:rFonts w:cs="Arial"/>
          <w:lang w:val="en-GB"/>
        </w:rPr>
      </w:pPr>
      <w:r w:rsidRPr="00017166">
        <w:rPr>
          <w:rStyle w:val="normaltextrun"/>
          <w:rFonts w:cs="Arial"/>
          <w:lang w:val="en-GB"/>
        </w:rPr>
        <w:t xml:space="preserve">A. </w:t>
      </w:r>
      <w:r w:rsidRPr="00F8105A">
        <w:rPr>
          <w:rFonts w:cs="Arial"/>
          <w:lang w:val="en-GB"/>
        </w:rPr>
        <w:t xml:space="preserve">Some care recipients may accumulate a surplus of funds in their </w:t>
      </w:r>
      <w:r>
        <w:rPr>
          <w:rFonts w:cs="Arial"/>
          <w:lang w:val="en-GB"/>
        </w:rPr>
        <w:t>h</w:t>
      </w:r>
      <w:r w:rsidRPr="00F8105A">
        <w:rPr>
          <w:rFonts w:cs="Arial"/>
          <w:lang w:val="en-GB"/>
        </w:rPr>
        <w:t xml:space="preserve">ome </w:t>
      </w:r>
      <w:r>
        <w:rPr>
          <w:rFonts w:cs="Arial"/>
          <w:lang w:val="en-GB"/>
        </w:rPr>
        <w:t>c</w:t>
      </w:r>
      <w:r w:rsidRPr="00F8105A">
        <w:rPr>
          <w:rFonts w:cs="Arial"/>
          <w:lang w:val="en-GB"/>
        </w:rPr>
        <w:t xml:space="preserve">are </w:t>
      </w:r>
      <w:r>
        <w:rPr>
          <w:rFonts w:cs="Arial"/>
          <w:lang w:val="en-GB"/>
        </w:rPr>
        <w:t>p</w:t>
      </w:r>
      <w:r w:rsidRPr="00F8105A">
        <w:rPr>
          <w:rFonts w:cs="Arial"/>
          <w:lang w:val="en-GB"/>
        </w:rPr>
        <w:t>ackage. These care recipients should request their provider review their care plan to ensure more efficient and appropriate use of HCP funds. The provider should also be regularly reviewing care plans and individualised budgets to ensure the assessed care and services needs of the ca</w:t>
      </w:r>
      <w:r>
        <w:rPr>
          <w:rFonts w:cs="Arial"/>
          <w:lang w:val="en-GB"/>
        </w:rPr>
        <w:t>r</w:t>
      </w:r>
      <w:r w:rsidRPr="00F8105A">
        <w:rPr>
          <w:rFonts w:cs="Arial"/>
          <w:lang w:val="en-GB"/>
        </w:rPr>
        <w:t>e recipient are being met.</w:t>
      </w:r>
    </w:p>
    <w:p w14:paraId="5841C6F8" w14:textId="02CE63FF" w:rsidR="00E07409" w:rsidRPr="00F8105A" w:rsidRDefault="00E07409" w:rsidP="001B19F0">
      <w:pPr>
        <w:rPr>
          <w:rFonts w:cs="Arial"/>
          <w:lang w:val="en-GB"/>
        </w:rPr>
      </w:pPr>
      <w:r w:rsidRPr="00F8105A">
        <w:rPr>
          <w:rFonts w:cs="Arial"/>
          <w:lang w:val="en-GB"/>
        </w:rPr>
        <w:t>Any unspent funds which have accrued will stay with the care recipient until they exit the program.</w:t>
      </w:r>
    </w:p>
    <w:p w14:paraId="6E7B0410" w14:textId="42DEE263" w:rsidR="00E07409" w:rsidRDefault="00E07409" w:rsidP="001B19F0">
      <w:pPr>
        <w:rPr>
          <w:rFonts w:cs="Arial"/>
          <w:lang w:val="en-GB"/>
        </w:rPr>
      </w:pPr>
      <w:r w:rsidRPr="00F8105A">
        <w:rPr>
          <w:rFonts w:cs="Arial"/>
          <w:lang w:val="en-GB"/>
        </w:rPr>
        <w:t xml:space="preserve">When a care recipient departs the program, the Commonwealth portion of unspent funds will be returned to the </w:t>
      </w:r>
      <w:r>
        <w:rPr>
          <w:rFonts w:cs="Arial"/>
          <w:lang w:val="en-GB"/>
        </w:rPr>
        <w:t>g</w:t>
      </w:r>
      <w:r w:rsidRPr="00F8105A">
        <w:rPr>
          <w:rFonts w:cs="Arial"/>
          <w:lang w:val="en-GB"/>
        </w:rPr>
        <w:t>overnment. The only portion of funds that would be returned to a care recipient’s estate upon death is the funds they have contributed toward their package that have not been spent on care and services (e.g. income tested care fee).</w:t>
      </w:r>
    </w:p>
    <w:p w14:paraId="29BABF12" w14:textId="7B9FC502" w:rsidR="00E07409" w:rsidRPr="001B19F0" w:rsidRDefault="00E07409" w:rsidP="001B19F0">
      <w:pPr>
        <w:pStyle w:val="Heading4"/>
      </w:pPr>
      <w:r w:rsidRPr="001B19F0">
        <w:t>Q. Does the Government plan to cap the proportion or amount of unspent funds that can be accumulated?</w:t>
      </w:r>
    </w:p>
    <w:p w14:paraId="7C40F19F" w14:textId="7E39F045" w:rsidR="00E07409" w:rsidRPr="001B19F0" w:rsidRDefault="00E07409" w:rsidP="001B19F0">
      <w:pPr>
        <w:rPr>
          <w:rFonts w:cs="Arial"/>
          <w:lang w:val="en-GB"/>
        </w:rPr>
      </w:pPr>
      <w:r w:rsidRPr="001B19F0">
        <w:rPr>
          <w:rFonts w:cs="Arial"/>
          <w:lang w:val="en-GB"/>
        </w:rPr>
        <w:t xml:space="preserve">A. </w:t>
      </w:r>
      <w:r w:rsidR="0003093C" w:rsidRPr="0003093C">
        <w:rPr>
          <w:rFonts w:cs="Arial"/>
          <w:lang w:val="en-GB"/>
        </w:rPr>
        <w:t xml:space="preserve">Any </w:t>
      </w:r>
      <w:r w:rsidR="00CD2A90">
        <w:rPr>
          <w:rFonts w:cs="Arial"/>
          <w:lang w:val="en-GB"/>
        </w:rPr>
        <w:t>accrued</w:t>
      </w:r>
      <w:r w:rsidRPr="0003093C">
        <w:rPr>
          <w:rFonts w:cs="Arial"/>
          <w:lang w:val="en-GB"/>
        </w:rPr>
        <w:t xml:space="preserve"> unspent funds will stay with the care recipient until they exit the program. Unspent funds are returned to the Commonwealth unless the care recipient returns to the program within 70 days.</w:t>
      </w:r>
    </w:p>
    <w:p w14:paraId="402A85C1" w14:textId="77777777" w:rsidR="00E07409" w:rsidRPr="001B19F0" w:rsidRDefault="00E07409" w:rsidP="001B19F0">
      <w:pPr>
        <w:pStyle w:val="Heading4"/>
      </w:pPr>
      <w:r w:rsidRPr="001B19F0">
        <w:t>Q. Is there any update on using unspent funds for new technology?</w:t>
      </w:r>
    </w:p>
    <w:p w14:paraId="3A5A1694" w14:textId="1710F18C" w:rsidR="00E07409" w:rsidRPr="00C0162B" w:rsidRDefault="00E07409" w:rsidP="001B19F0">
      <w:pPr>
        <w:rPr>
          <w:rFonts w:cs="Arial"/>
          <w:lang w:val="en-GB"/>
        </w:rPr>
      </w:pPr>
      <w:r w:rsidRPr="002A3B10">
        <w:rPr>
          <w:rFonts w:cs="Arial"/>
        </w:rPr>
        <w:t xml:space="preserve">A. </w:t>
      </w:r>
      <w:r w:rsidRPr="00C0162B">
        <w:rPr>
          <w:rFonts w:cs="Arial"/>
          <w:lang w:val="en-GB"/>
        </w:rPr>
        <w:t xml:space="preserve">When making decisions on inclusions and exclusions, providers are expected to work with their care recipients in consultation with the ‘Inclusions/Exclusions Framework’ at </w:t>
      </w:r>
      <w:r>
        <w:rPr>
          <w:rFonts w:cs="Arial"/>
          <w:lang w:val="en-GB"/>
        </w:rPr>
        <w:t>P</w:t>
      </w:r>
      <w:r w:rsidRPr="00C0162B">
        <w:rPr>
          <w:rFonts w:cs="Arial"/>
          <w:lang w:val="en-GB"/>
        </w:rPr>
        <w:t xml:space="preserve">art 9 of the </w:t>
      </w:r>
      <w:proofErr w:type="spellStart"/>
      <w:r w:rsidR="00AC574E" w:rsidRPr="00FC7070">
        <w:rPr>
          <w:rFonts w:cs="Arial"/>
          <w:color w:val="000000"/>
          <w:lang w:val="en-GB"/>
        </w:rPr>
        <w:t>the</w:t>
      </w:r>
      <w:proofErr w:type="spellEnd"/>
      <w:r w:rsidR="00AC574E" w:rsidRPr="00FC7070">
        <w:rPr>
          <w:rFonts w:cs="Arial"/>
          <w:color w:val="000000"/>
          <w:lang w:val="en-GB"/>
        </w:rPr>
        <w:t xml:space="preserve"> </w:t>
      </w:r>
      <w:hyperlink r:id="rId27" w:history="1">
        <w:r w:rsidR="00AC574E" w:rsidRPr="00DF7A38">
          <w:rPr>
            <w:rStyle w:val="Hyperlink"/>
            <w:rFonts w:cs="Arial"/>
            <w:color w:val="0070C0"/>
            <w:lang w:val="en-GB"/>
          </w:rPr>
          <w:t>Home Care Packages Program Operational Manual (version 1.4)</w:t>
        </w:r>
      </w:hyperlink>
      <w:r w:rsidRPr="005D4161">
        <w:rPr>
          <w:rStyle w:val="Hyperlink"/>
          <w:rFonts w:cs="Arial"/>
          <w:color w:val="auto"/>
          <w:u w:val="none"/>
        </w:rPr>
        <w:t>.</w:t>
      </w:r>
    </w:p>
    <w:p w14:paraId="662EA4FF" w14:textId="64E4F2E5" w:rsidR="00E07409" w:rsidRPr="001B19F0" w:rsidRDefault="00E07409" w:rsidP="001B19F0">
      <w:pPr>
        <w:pStyle w:val="Heading4"/>
      </w:pPr>
      <w:r w:rsidRPr="001B19F0">
        <w:lastRenderedPageBreak/>
        <w:t xml:space="preserve">Q. We have been trying to return unspent funds that were sent to us by another provider. We have not been able to do </w:t>
      </w:r>
      <w:r w:rsidR="00574E14" w:rsidRPr="001B19F0">
        <w:t>this.</w:t>
      </w:r>
      <w:r w:rsidRPr="001B19F0">
        <w:t> </w:t>
      </w:r>
      <w:r w:rsidR="000945CA" w:rsidRPr="001B19F0">
        <w:t>Would</w:t>
      </w:r>
      <w:r w:rsidRPr="001B19F0">
        <w:t xml:space="preserve"> you please confirm the best process.</w:t>
      </w:r>
    </w:p>
    <w:p w14:paraId="267CBD5B" w14:textId="095E1B7B" w:rsidR="00E07409" w:rsidRPr="00455B95" w:rsidRDefault="00E07409" w:rsidP="001B19F0">
      <w:pPr>
        <w:rPr>
          <w:rFonts w:cs="Arial"/>
          <w:shd w:val="clear" w:color="auto" w:fill="FFFFFF"/>
          <w:lang w:val="en-GB"/>
        </w:rPr>
      </w:pPr>
      <w:r w:rsidRPr="008A3504">
        <w:rPr>
          <w:rStyle w:val="normaltextrun"/>
          <w:rFonts w:cs="Arial"/>
          <w:color w:val="000000"/>
          <w:shd w:val="clear" w:color="auto" w:fill="FFFFFF"/>
          <w:lang w:val="en-GB"/>
        </w:rPr>
        <w:t>A.</w:t>
      </w:r>
      <w:r>
        <w:rPr>
          <w:rStyle w:val="normaltextrun"/>
          <w:rFonts w:cs="Arial"/>
          <w:color w:val="000000"/>
          <w:shd w:val="clear" w:color="auto" w:fill="FFFFFF"/>
          <w:lang w:val="en-GB"/>
        </w:rPr>
        <w:t xml:space="preserve"> </w:t>
      </w:r>
      <w:r w:rsidRPr="0058529D">
        <w:rPr>
          <w:rFonts w:cs="Arial"/>
          <w:color w:val="000000"/>
          <w:shd w:val="clear" w:color="auto" w:fill="FFFFFF"/>
          <w:lang w:val="en-GB"/>
        </w:rPr>
        <w:t>Consideration needs to be given to the type of unspent funds. Are the</w:t>
      </w:r>
      <w:r>
        <w:rPr>
          <w:rFonts w:cs="Arial"/>
          <w:color w:val="000000"/>
          <w:shd w:val="clear" w:color="auto" w:fill="FFFFFF"/>
          <w:lang w:val="en-GB"/>
        </w:rPr>
        <w:t xml:space="preserve"> unspent funds</w:t>
      </w:r>
      <w:r w:rsidRPr="0058529D">
        <w:rPr>
          <w:rFonts w:cs="Arial"/>
          <w:color w:val="000000"/>
          <w:shd w:val="clear" w:color="auto" w:fill="FFFFFF"/>
          <w:lang w:val="en-GB"/>
        </w:rPr>
        <w:t xml:space="preserve"> the provider</w:t>
      </w:r>
      <w:r>
        <w:rPr>
          <w:rFonts w:cs="Arial"/>
          <w:color w:val="000000"/>
          <w:shd w:val="clear" w:color="auto" w:fill="FFFFFF"/>
          <w:lang w:val="en-GB"/>
        </w:rPr>
        <w:t>-</w:t>
      </w:r>
      <w:r w:rsidRPr="0058529D">
        <w:rPr>
          <w:rFonts w:cs="Arial"/>
          <w:color w:val="000000"/>
          <w:shd w:val="clear" w:color="auto" w:fill="FFFFFF"/>
          <w:lang w:val="en-GB"/>
        </w:rPr>
        <w:t xml:space="preserve">held Commonwealth portion (pre-September 2021) which the previous provider should have returned to Services Australia; or are </w:t>
      </w:r>
      <w:r w:rsidRPr="00455B95">
        <w:rPr>
          <w:rFonts w:cs="Arial"/>
          <w:shd w:val="clear" w:color="auto" w:fill="FFFFFF"/>
          <w:lang w:val="en-GB"/>
        </w:rPr>
        <w:t>they the provider-held care recipient portion, which should be used first before putting through a subsidy claim?</w:t>
      </w:r>
    </w:p>
    <w:p w14:paraId="090AD8EA" w14:textId="0947443A" w:rsidR="00F27E8C" w:rsidRPr="00455B95" w:rsidRDefault="00E07409" w:rsidP="001B19F0">
      <w:pPr>
        <w:rPr>
          <w:rStyle w:val="Hyperlink"/>
          <w:color w:val="auto"/>
        </w:rPr>
      </w:pPr>
      <w:r w:rsidRPr="00455B95">
        <w:rPr>
          <w:rFonts w:cs="Arial"/>
          <w:shd w:val="clear" w:color="auto" w:fill="FFFFFF"/>
          <w:lang w:val="en-GB"/>
        </w:rPr>
        <w:t xml:space="preserve">Details on processes for providers are outlined in the </w:t>
      </w:r>
      <w:proofErr w:type="spellStart"/>
      <w:r w:rsidR="00AC574E" w:rsidRPr="00FC7070">
        <w:rPr>
          <w:rFonts w:cs="Arial"/>
          <w:color w:val="000000"/>
          <w:lang w:val="en-GB"/>
        </w:rPr>
        <w:t>the</w:t>
      </w:r>
      <w:proofErr w:type="spellEnd"/>
      <w:r w:rsidR="00AC574E" w:rsidRPr="00FC7070">
        <w:rPr>
          <w:rFonts w:cs="Arial"/>
          <w:color w:val="000000"/>
          <w:lang w:val="en-GB"/>
        </w:rPr>
        <w:t xml:space="preserve"> </w:t>
      </w:r>
      <w:hyperlink r:id="rId28" w:history="1">
        <w:r w:rsidR="00AC574E" w:rsidRPr="00DF7A38">
          <w:rPr>
            <w:rStyle w:val="Hyperlink"/>
            <w:rFonts w:cs="Arial"/>
            <w:color w:val="0070C0"/>
            <w:lang w:val="en-GB"/>
          </w:rPr>
          <w:t>Home Care Packages Program Operational Manual (version 1.4)</w:t>
        </w:r>
      </w:hyperlink>
      <w:r w:rsidR="00F27E8C" w:rsidRPr="005D4161">
        <w:rPr>
          <w:rStyle w:val="Hyperlink"/>
          <w:rFonts w:cs="Arial"/>
          <w:color w:val="auto"/>
          <w:u w:val="none"/>
        </w:rPr>
        <w:t>.</w:t>
      </w:r>
    </w:p>
    <w:p w14:paraId="2F77165D" w14:textId="535D2FE9" w:rsidR="00E07409" w:rsidRPr="00455B95" w:rsidRDefault="00B13C97" w:rsidP="001B19F0">
      <w:pPr>
        <w:rPr>
          <w:rStyle w:val="Hyperlink"/>
          <w:color w:val="auto"/>
        </w:rPr>
      </w:pPr>
      <w:r w:rsidRPr="00455B95">
        <w:rPr>
          <w:rFonts w:cs="Arial"/>
          <w:shd w:val="clear" w:color="auto" w:fill="FFFFFF"/>
          <w:lang w:val="en-GB"/>
        </w:rPr>
        <w:t>Information on r</w:t>
      </w:r>
      <w:r w:rsidR="0058529D" w:rsidRPr="00455B95">
        <w:rPr>
          <w:rFonts w:cs="Arial"/>
          <w:shd w:val="clear" w:color="auto" w:fill="FFFFFF"/>
          <w:lang w:val="en-GB"/>
        </w:rPr>
        <w:t>eturn</w:t>
      </w:r>
      <w:r w:rsidR="00E07409" w:rsidRPr="00455B95">
        <w:rPr>
          <w:rFonts w:cs="Arial"/>
          <w:shd w:val="clear" w:color="auto" w:fill="FFFFFF"/>
          <w:lang w:val="en-GB"/>
        </w:rPr>
        <w:t xml:space="preserve"> of unspent funds</w:t>
      </w:r>
      <w:r w:rsidR="0058529D" w:rsidRPr="00455B95">
        <w:rPr>
          <w:rFonts w:cs="Arial"/>
          <w:shd w:val="clear" w:color="auto" w:fill="FFFFFF"/>
          <w:lang w:val="en-GB"/>
        </w:rPr>
        <w:t xml:space="preserve"> </w:t>
      </w:r>
      <w:r w:rsidRPr="00455B95">
        <w:rPr>
          <w:rFonts w:cs="Arial"/>
          <w:shd w:val="clear" w:color="auto" w:fill="FFFFFF"/>
          <w:lang w:val="en-GB"/>
        </w:rPr>
        <w:t>is at</w:t>
      </w:r>
      <w:r w:rsidR="00E07409" w:rsidRPr="00455B95">
        <w:rPr>
          <w:rFonts w:cs="Arial"/>
          <w:shd w:val="clear" w:color="auto" w:fill="FFFFFF"/>
          <w:lang w:val="en-GB"/>
        </w:rPr>
        <w:t xml:space="preserve"> section 13 of the </w:t>
      </w:r>
      <w:proofErr w:type="spellStart"/>
      <w:r w:rsidR="00AC574E" w:rsidRPr="00FC7070">
        <w:rPr>
          <w:rFonts w:cs="Arial"/>
          <w:color w:val="000000"/>
          <w:lang w:val="en-GB"/>
        </w:rPr>
        <w:t>the</w:t>
      </w:r>
      <w:proofErr w:type="spellEnd"/>
      <w:r w:rsidR="00AC574E" w:rsidRPr="00FC7070">
        <w:rPr>
          <w:rFonts w:cs="Arial"/>
          <w:color w:val="000000"/>
          <w:lang w:val="en-GB"/>
        </w:rPr>
        <w:t xml:space="preserve"> </w:t>
      </w:r>
      <w:hyperlink r:id="rId29" w:history="1">
        <w:r w:rsidR="00AC574E" w:rsidRPr="00DF7A38">
          <w:rPr>
            <w:rStyle w:val="Hyperlink"/>
            <w:rFonts w:cs="Arial"/>
            <w:color w:val="0070C0"/>
            <w:lang w:val="en-GB"/>
          </w:rPr>
          <w:t>Home Care Packages Program Operational Manual (version 1.4)</w:t>
        </w:r>
      </w:hyperlink>
      <w:r w:rsidR="00E07409" w:rsidRPr="005D4161">
        <w:rPr>
          <w:rStyle w:val="Hyperlink"/>
          <w:rFonts w:cs="Arial"/>
          <w:color w:val="auto"/>
          <w:u w:val="none"/>
        </w:rPr>
        <w:t>.</w:t>
      </w:r>
    </w:p>
    <w:p w14:paraId="2AE9FCEB" w14:textId="657B37BF" w:rsidR="00E07409" w:rsidRPr="001672EB" w:rsidRDefault="00E07409" w:rsidP="009544FB">
      <w:pPr>
        <w:pStyle w:val="Heading4"/>
        <w:rPr>
          <w:rFonts w:cs="Arial"/>
          <w:b w:val="0"/>
          <w:bCs/>
        </w:rPr>
      </w:pPr>
      <w:r w:rsidRPr="009544FB">
        <w:t xml:space="preserve">Q. To what extent are unspent funds related to </w:t>
      </w:r>
      <w:r w:rsidR="00B13C97" w:rsidRPr="009544FB">
        <w:t xml:space="preserve">a </w:t>
      </w:r>
      <w:r w:rsidRPr="009544FB">
        <w:t>lack of available services?</w:t>
      </w:r>
    </w:p>
    <w:p w14:paraId="6D987C50" w14:textId="5691B88F" w:rsidR="00E07409" w:rsidRDefault="00E07409" w:rsidP="009544FB">
      <w:pPr>
        <w:rPr>
          <w:rFonts w:cs="Arial"/>
          <w:color w:val="000000"/>
          <w:lang w:val="en-GB"/>
        </w:rPr>
      </w:pPr>
      <w:r w:rsidRPr="001672EB">
        <w:rPr>
          <w:rFonts w:cs="Arial"/>
          <w:color w:val="000000"/>
        </w:rPr>
        <w:t xml:space="preserve">A. </w:t>
      </w:r>
      <w:r w:rsidRPr="007A6DC8">
        <w:rPr>
          <w:rFonts w:cs="Arial"/>
          <w:color w:val="000000"/>
          <w:lang w:val="en-GB"/>
        </w:rPr>
        <w:t>The department does not track the underlying reasons for unspent funds</w:t>
      </w:r>
      <w:r w:rsidR="0006670C">
        <w:rPr>
          <w:rFonts w:cs="Arial"/>
          <w:color w:val="000000"/>
          <w:lang w:val="en-GB"/>
        </w:rPr>
        <w:t>. T</w:t>
      </w:r>
      <w:r w:rsidRPr="007A6DC8">
        <w:rPr>
          <w:rFonts w:cs="Arial"/>
          <w:color w:val="000000"/>
          <w:lang w:val="en-GB"/>
        </w:rPr>
        <w:t>he program was designed to facilitate accumulating funds for large purchases or respite entries.</w:t>
      </w:r>
    </w:p>
    <w:p w14:paraId="11A857F9" w14:textId="69DA289D" w:rsidR="006C6BCC" w:rsidRDefault="006C6BCC" w:rsidP="009544FB">
      <w:pPr>
        <w:pStyle w:val="Heading2"/>
      </w:pPr>
      <w:bookmarkStart w:id="17" w:name="_Toc161734107"/>
      <w:r>
        <w:t xml:space="preserve">Self-managing a </w:t>
      </w:r>
      <w:proofErr w:type="gramStart"/>
      <w:r>
        <w:t>HCP</w:t>
      </w:r>
      <w:bookmarkEnd w:id="17"/>
      <w:proofErr w:type="gramEnd"/>
    </w:p>
    <w:p w14:paraId="0243A442" w14:textId="6ED60595" w:rsidR="006C6BCC" w:rsidRPr="009544FB" w:rsidRDefault="006C6BCC" w:rsidP="009544FB">
      <w:pPr>
        <w:pStyle w:val="Heading4"/>
      </w:pPr>
      <w:r w:rsidRPr="009544FB">
        <w:t xml:space="preserve">Q. How does your Branch plan to deal with different approaches to managing HCPs? Recipients who self-manage </w:t>
      </w:r>
      <w:proofErr w:type="gramStart"/>
      <w:r w:rsidRPr="009544FB">
        <w:t>a</w:t>
      </w:r>
      <w:proofErr w:type="gramEnd"/>
      <w:r w:rsidRPr="009544FB">
        <w:t xml:space="preserve"> HCP have different needs and aspirations (emphasis on independence and autonomy) compared to fully-managed HCPs and residential care. More "control and oversight" will see more complaints.</w:t>
      </w:r>
    </w:p>
    <w:p w14:paraId="78011F50" w14:textId="66D114FC" w:rsidR="006C6BCC" w:rsidRPr="005747AE" w:rsidRDefault="006C6BCC" w:rsidP="009544FB">
      <w:pPr>
        <w:rPr>
          <w:lang w:val="en-GB"/>
        </w:rPr>
      </w:pPr>
      <w:r>
        <w:t xml:space="preserve">A. </w:t>
      </w:r>
      <w:r w:rsidRPr="005747AE">
        <w:rPr>
          <w:lang w:val="en-GB"/>
        </w:rPr>
        <w:t>Providers should tailor care and services to suit the individualised needs of the care recipient.</w:t>
      </w:r>
    </w:p>
    <w:p w14:paraId="5E1B27C4" w14:textId="7E1EEBF3" w:rsidR="006C6BCC" w:rsidRDefault="006C6BCC" w:rsidP="009544FB">
      <w:pPr>
        <w:rPr>
          <w:lang w:val="en-GB"/>
        </w:rPr>
      </w:pPr>
      <w:r w:rsidRPr="005747AE">
        <w:rPr>
          <w:lang w:val="en-GB"/>
        </w:rPr>
        <w:t xml:space="preserve">Home </w:t>
      </w:r>
      <w:r>
        <w:rPr>
          <w:lang w:val="en-GB"/>
        </w:rPr>
        <w:t>c</w:t>
      </w:r>
      <w:r w:rsidRPr="005747AE">
        <w:rPr>
          <w:lang w:val="en-GB"/>
        </w:rPr>
        <w:t xml:space="preserve">are </w:t>
      </w:r>
      <w:r>
        <w:rPr>
          <w:lang w:val="en-GB"/>
        </w:rPr>
        <w:t>p</w:t>
      </w:r>
      <w:r w:rsidRPr="005747AE">
        <w:rPr>
          <w:lang w:val="en-GB"/>
        </w:rPr>
        <w:t>ackages are delivered under a Consumer Directed Care (CDC) approach. CDC is a service delivery model where care recipients have more of a say in their own care. Care recipients are placed in the centre of the health and wellbeing process.</w:t>
      </w:r>
    </w:p>
    <w:p w14:paraId="52D163BE" w14:textId="034EB268" w:rsidR="006C6BCC" w:rsidRDefault="006C6BCC" w:rsidP="009544FB">
      <w:pPr>
        <w:rPr>
          <w:lang w:val="en-GB"/>
        </w:rPr>
      </w:pPr>
      <w:r w:rsidRPr="005747AE">
        <w:rPr>
          <w:lang w:val="en-GB"/>
        </w:rPr>
        <w:t>Care management is a service providers must deliver to all care recipients even if an individual chooses to self-manage. Self-management means a care recipient is more actively involved in their care planning. This will look different for everyone. A provider may decrease their care management charges depending on how involved a care recipient is in their care planning. This must be negotiated between care recipient and provider.</w:t>
      </w:r>
    </w:p>
    <w:p w14:paraId="45EC4C2F" w14:textId="7D1EED42" w:rsidR="006C6BCC" w:rsidRDefault="006C6BCC" w:rsidP="009544FB">
      <w:pPr>
        <w:rPr>
          <w:lang w:val="en-GB"/>
        </w:rPr>
      </w:pPr>
      <w:r w:rsidRPr="005747AE">
        <w:rPr>
          <w:lang w:val="en-GB"/>
        </w:rPr>
        <w:t>The provider is still responsible for meeting the requirements of the program even if an individual chooses to self-manage.</w:t>
      </w:r>
    </w:p>
    <w:p w14:paraId="153390F3" w14:textId="26810700" w:rsidR="006C6BCC" w:rsidRDefault="006C6BCC" w:rsidP="009544FB">
      <w:r w:rsidRPr="005747AE">
        <w:rPr>
          <w:lang w:val="en-GB"/>
        </w:rPr>
        <w:t xml:space="preserve">The onus is on the provider to meet the accountability principles of the </w:t>
      </w:r>
      <w:r>
        <w:rPr>
          <w:lang w:val="en-GB"/>
        </w:rPr>
        <w:t>p</w:t>
      </w:r>
      <w:r w:rsidRPr="005747AE">
        <w:rPr>
          <w:lang w:val="en-GB"/>
        </w:rPr>
        <w:t>rogram and the assessed care needs and preferences of the individual.</w:t>
      </w:r>
    </w:p>
    <w:p w14:paraId="6F034010" w14:textId="77777777" w:rsidR="006C6BCC" w:rsidRDefault="006C6BCC" w:rsidP="009544FB">
      <w:pPr>
        <w:pStyle w:val="Heading2"/>
      </w:pPr>
      <w:bookmarkStart w:id="18" w:name="_Toc161734108"/>
      <w:r>
        <w:lastRenderedPageBreak/>
        <w:t>Inclusions and exclusions of the HCP program</w:t>
      </w:r>
      <w:bookmarkEnd w:id="18"/>
    </w:p>
    <w:p w14:paraId="6ABDA44A" w14:textId="3EF64585" w:rsidR="006C6BCC" w:rsidRPr="009544FB" w:rsidRDefault="006C6BCC" w:rsidP="009544FB">
      <w:pPr>
        <w:pStyle w:val="Heading4"/>
      </w:pPr>
      <w:r w:rsidRPr="009544FB">
        <w:t>Q. Why do service providers use care recipients’ unspent funds to pay for excluded items.</w:t>
      </w:r>
    </w:p>
    <w:p w14:paraId="08549C1A" w14:textId="47F8692E" w:rsidR="006C6BCC" w:rsidRPr="00CA237F" w:rsidRDefault="006C6BCC" w:rsidP="009544FB">
      <w:pPr>
        <w:rPr>
          <w:rFonts w:cs="Arial"/>
          <w:color w:val="000000"/>
          <w:lang w:val="en-GB"/>
        </w:rPr>
      </w:pPr>
      <w:r w:rsidRPr="006931F9">
        <w:rPr>
          <w:rFonts w:cs="Arial"/>
          <w:color w:val="000000"/>
        </w:rPr>
        <w:t xml:space="preserve">A. </w:t>
      </w:r>
      <w:r w:rsidRPr="00CA237F">
        <w:rPr>
          <w:rFonts w:cs="Arial"/>
          <w:color w:val="000000"/>
          <w:lang w:val="en-GB"/>
        </w:rPr>
        <w:t xml:space="preserve">When resolving complaints in relation to a person’s care and services, if it is found that a service provider has used HCP funds for payment of an excluded item, the Aged Care Quality and Safety Commission can issue Directions </w:t>
      </w:r>
      <w:proofErr w:type="gramStart"/>
      <w:r w:rsidRPr="00CA237F">
        <w:rPr>
          <w:rFonts w:cs="Arial"/>
          <w:color w:val="000000"/>
          <w:lang w:val="en-GB"/>
        </w:rPr>
        <w:t>in order for</w:t>
      </w:r>
      <w:proofErr w:type="gramEnd"/>
      <w:r w:rsidRPr="00CA237F">
        <w:rPr>
          <w:rFonts w:cs="Arial"/>
          <w:color w:val="000000"/>
          <w:lang w:val="en-GB"/>
        </w:rPr>
        <w:t xml:space="preserve"> the provider to comply with their responsibilities under the </w:t>
      </w:r>
      <w:r w:rsidRPr="00CA237F">
        <w:rPr>
          <w:rFonts w:cs="Arial"/>
          <w:i/>
          <w:iCs/>
          <w:color w:val="000000"/>
          <w:lang w:val="en-GB"/>
        </w:rPr>
        <w:t>Aged Care Act 1997</w:t>
      </w:r>
      <w:r>
        <w:rPr>
          <w:rFonts w:cs="Arial"/>
          <w:color w:val="000000"/>
          <w:lang w:val="en-GB"/>
        </w:rPr>
        <w:t xml:space="preserve"> </w:t>
      </w:r>
      <w:r w:rsidRPr="00CA237F">
        <w:rPr>
          <w:rFonts w:cs="Arial"/>
          <w:color w:val="000000"/>
          <w:lang w:val="en-GB"/>
        </w:rPr>
        <w:t xml:space="preserve">and </w:t>
      </w:r>
      <w:r>
        <w:rPr>
          <w:rFonts w:cs="Arial"/>
          <w:color w:val="000000"/>
          <w:lang w:val="en-GB"/>
        </w:rPr>
        <w:t>p</w:t>
      </w:r>
      <w:r w:rsidRPr="00CA237F">
        <w:rPr>
          <w:rFonts w:cs="Arial"/>
          <w:color w:val="000000"/>
          <w:lang w:val="en-GB"/>
        </w:rPr>
        <w:t>rinciples. This could include, at a minimum, repayment of any amounts that have been unlawfully charged against the budget.</w:t>
      </w:r>
    </w:p>
    <w:p w14:paraId="4F056504" w14:textId="08D5D3D7" w:rsidR="006C6BCC" w:rsidRPr="009544FB" w:rsidRDefault="006C6BCC" w:rsidP="009544FB">
      <w:pPr>
        <w:pStyle w:val="Heading4"/>
      </w:pPr>
      <w:r w:rsidRPr="009544FB">
        <w:t xml:space="preserve">Q. This government is putting so many restrictions on how care recipients </w:t>
      </w:r>
      <w:proofErr w:type="gramStart"/>
      <w:r w:rsidRPr="009544FB">
        <w:t>are able to</w:t>
      </w:r>
      <w:proofErr w:type="gramEnd"/>
      <w:r w:rsidRPr="009544FB">
        <w:t xml:space="preserve"> spend HCP funds, even though they have sufficient funds available, and the things needed fall within the idea of packages being available to keep people in their homes. Some of these things are recommended by a GP, but people still cannot get them. Why not?</w:t>
      </w:r>
    </w:p>
    <w:p w14:paraId="1D011A7B" w14:textId="0E2C8E63" w:rsidR="006C6BCC" w:rsidRPr="00AF0AED" w:rsidRDefault="006C6BCC" w:rsidP="009544FB">
      <w:pPr>
        <w:rPr>
          <w:rFonts w:cs="Arial"/>
          <w:color w:val="000000"/>
          <w:lang w:val="en-GB"/>
        </w:rPr>
      </w:pPr>
      <w:r w:rsidRPr="004838D8">
        <w:rPr>
          <w:rFonts w:cs="Arial"/>
          <w:color w:val="000000"/>
        </w:rPr>
        <w:t xml:space="preserve">A. </w:t>
      </w:r>
      <w:r w:rsidRPr="00AF0AED">
        <w:rPr>
          <w:rFonts w:cs="Arial"/>
          <w:color w:val="000000"/>
          <w:lang w:val="en-GB"/>
        </w:rPr>
        <w:t xml:space="preserve">The </w:t>
      </w:r>
      <w:r>
        <w:rPr>
          <w:rFonts w:cs="Arial"/>
          <w:color w:val="000000"/>
          <w:lang w:val="en-GB"/>
        </w:rPr>
        <w:t>HCP</w:t>
      </w:r>
      <w:r w:rsidRPr="00AF0AED">
        <w:rPr>
          <w:rFonts w:cs="Arial"/>
          <w:color w:val="000000"/>
          <w:lang w:val="en-GB"/>
        </w:rPr>
        <w:t xml:space="preserve"> </w:t>
      </w:r>
      <w:r>
        <w:rPr>
          <w:rFonts w:cs="Arial"/>
          <w:color w:val="000000"/>
          <w:lang w:val="en-GB"/>
        </w:rPr>
        <w:t>p</w:t>
      </w:r>
      <w:r w:rsidRPr="00AF0AED">
        <w:rPr>
          <w:rFonts w:cs="Arial"/>
          <w:color w:val="000000"/>
          <w:lang w:val="en-GB"/>
        </w:rPr>
        <w:t>rogram is governed by the applicable legislation. Home care providers are responsible for understanding and complying with all legislation that is relevant to delivering home care.</w:t>
      </w:r>
    </w:p>
    <w:p w14:paraId="4E6193DC" w14:textId="05CF7AFD" w:rsidR="006C6BCC" w:rsidRPr="00AF0AED" w:rsidRDefault="006C6BCC" w:rsidP="009544FB">
      <w:pPr>
        <w:rPr>
          <w:rFonts w:cs="Arial"/>
          <w:color w:val="000000"/>
          <w:lang w:val="en-GB"/>
        </w:rPr>
      </w:pPr>
      <w:r w:rsidRPr="00AF0AED">
        <w:rPr>
          <w:rFonts w:cs="Arial"/>
          <w:color w:val="000000"/>
          <w:lang w:val="en-GB"/>
        </w:rPr>
        <w:t xml:space="preserve">The HCP </w:t>
      </w:r>
      <w:r>
        <w:rPr>
          <w:rFonts w:cs="Arial"/>
          <w:color w:val="000000"/>
          <w:lang w:val="en-GB"/>
        </w:rPr>
        <w:t>p</w:t>
      </w:r>
      <w:r w:rsidRPr="00AF0AED">
        <w:rPr>
          <w:rFonts w:cs="Arial"/>
          <w:color w:val="000000"/>
          <w:lang w:val="en-GB"/>
        </w:rPr>
        <w:t xml:space="preserve">rogram supports </w:t>
      </w:r>
      <w:r>
        <w:rPr>
          <w:rFonts w:cs="Arial"/>
          <w:color w:val="000000"/>
          <w:lang w:val="en-GB"/>
        </w:rPr>
        <w:t>older people</w:t>
      </w:r>
      <w:r w:rsidRPr="00AF0AED">
        <w:rPr>
          <w:rFonts w:cs="Arial"/>
          <w:color w:val="000000"/>
          <w:lang w:val="en-GB"/>
        </w:rPr>
        <w:t xml:space="preserve"> with ageing related care needs to live independently. </w:t>
      </w:r>
      <w:proofErr w:type="gramStart"/>
      <w:r w:rsidRPr="00AF0AED">
        <w:rPr>
          <w:rFonts w:cs="Arial"/>
          <w:color w:val="000000"/>
          <w:lang w:val="en-GB"/>
        </w:rPr>
        <w:t>A</w:t>
      </w:r>
      <w:proofErr w:type="gramEnd"/>
      <w:r w:rsidRPr="00AF0AED">
        <w:rPr>
          <w:rFonts w:cs="Arial"/>
          <w:color w:val="000000"/>
          <w:lang w:val="en-GB"/>
        </w:rPr>
        <w:t xml:space="preserve"> HCP delivers co-ordinated packages of care and services to meet the care recipient’s assessed ageing related care needs. Care and services delivered must align with the individual home care budget and the scope of the </w:t>
      </w:r>
      <w:r>
        <w:rPr>
          <w:rFonts w:cs="Arial"/>
          <w:color w:val="000000"/>
          <w:lang w:val="en-GB"/>
        </w:rPr>
        <w:t>p</w:t>
      </w:r>
      <w:r w:rsidRPr="00AF0AED">
        <w:rPr>
          <w:rFonts w:cs="Arial"/>
          <w:color w:val="000000"/>
          <w:lang w:val="en-GB"/>
        </w:rPr>
        <w:t>rogram. It is not a general income support program.</w:t>
      </w:r>
    </w:p>
    <w:p w14:paraId="10723B16" w14:textId="5E5F370B" w:rsidR="006C6BCC" w:rsidRPr="00AF0AED" w:rsidRDefault="006C6BCC" w:rsidP="009544FB">
      <w:pPr>
        <w:rPr>
          <w:rFonts w:cs="Arial"/>
          <w:color w:val="000000"/>
          <w:lang w:val="en-GB"/>
        </w:rPr>
      </w:pPr>
      <w:r w:rsidRPr="00AF0AED">
        <w:rPr>
          <w:rFonts w:cs="Arial"/>
          <w:color w:val="000000"/>
          <w:lang w:val="en-GB"/>
        </w:rPr>
        <w:t xml:space="preserve">General income is defined as those expenses that all citizens must pay for themselves throughout their life, regardless of age. If a care recipient would have paid for items and services themselves prior to entering the </w:t>
      </w:r>
      <w:r>
        <w:rPr>
          <w:rFonts w:cs="Arial"/>
          <w:color w:val="000000"/>
          <w:lang w:val="en-GB"/>
        </w:rPr>
        <w:t>p</w:t>
      </w:r>
      <w:r w:rsidRPr="00AF0AED">
        <w:rPr>
          <w:rFonts w:cs="Arial"/>
          <w:color w:val="000000"/>
          <w:lang w:val="en-GB"/>
        </w:rPr>
        <w:t>rogram, then it would be a clear exclusion.</w:t>
      </w:r>
    </w:p>
    <w:p w14:paraId="09517E82" w14:textId="77777777" w:rsidR="006C6BCC" w:rsidRPr="00AF0AED" w:rsidRDefault="006C6BCC" w:rsidP="009544FB">
      <w:pPr>
        <w:rPr>
          <w:rFonts w:cs="Arial"/>
          <w:color w:val="000000"/>
          <w:lang w:val="en-GB"/>
        </w:rPr>
      </w:pPr>
      <w:r w:rsidRPr="00AF0AED">
        <w:rPr>
          <w:rFonts w:cs="Arial"/>
          <w:color w:val="000000"/>
          <w:lang w:val="en-GB"/>
        </w:rPr>
        <w:t xml:space="preserve">Please see question 4 of the </w:t>
      </w:r>
      <w:hyperlink r:id="rId30" w:history="1">
        <w:r w:rsidRPr="006B7A34">
          <w:rPr>
            <w:rStyle w:val="Hyperlink"/>
            <w:rFonts w:cs="Arial"/>
            <w:color w:val="0070C0"/>
            <w:lang w:val="en-GB"/>
          </w:rPr>
          <w:t>Home Care Packages Program Inclusions and Exclusions – FAQs for Providers – version 1</w:t>
        </w:r>
        <w:r w:rsidRPr="006B7A34">
          <w:rPr>
            <w:rStyle w:val="Hyperlink"/>
            <w:rFonts w:cs="Arial"/>
            <w:color w:val="auto"/>
            <w:u w:val="none"/>
            <w:lang w:val="en-GB"/>
          </w:rPr>
          <w:t>.</w:t>
        </w:r>
      </w:hyperlink>
    </w:p>
    <w:p w14:paraId="166EE798" w14:textId="207EB8AB" w:rsidR="006C6BCC" w:rsidRPr="00AF0AED" w:rsidRDefault="006C6BCC" w:rsidP="009544FB">
      <w:pPr>
        <w:rPr>
          <w:rFonts w:cs="Arial"/>
          <w:color w:val="000000"/>
          <w:lang w:val="en-GB"/>
        </w:rPr>
      </w:pPr>
      <w:r w:rsidRPr="00AF0AED">
        <w:rPr>
          <w:rFonts w:cs="Arial"/>
          <w:color w:val="000000"/>
          <w:lang w:val="en-GB"/>
        </w:rPr>
        <w:t>A range of health professionals can prescribe or recommend services, supports and items to be included as part of a HCP, noting that not all services require a prescription.</w:t>
      </w:r>
    </w:p>
    <w:p w14:paraId="37B765B2" w14:textId="016AC1C0" w:rsidR="006C6BCC" w:rsidRPr="00AF0AED" w:rsidRDefault="006C6BCC" w:rsidP="009544FB">
      <w:pPr>
        <w:rPr>
          <w:rFonts w:cs="Arial"/>
          <w:color w:val="000000"/>
          <w:lang w:val="en-GB"/>
        </w:rPr>
      </w:pPr>
      <w:r w:rsidRPr="00AF0AED">
        <w:rPr>
          <w:rFonts w:cs="Arial"/>
          <w:color w:val="000000"/>
          <w:lang w:val="en-GB"/>
        </w:rPr>
        <w:t>This may include:</w:t>
      </w:r>
    </w:p>
    <w:p w14:paraId="11C52F57" w14:textId="77777777" w:rsidR="006C6BCC" w:rsidRPr="00D10686" w:rsidRDefault="006C6BCC" w:rsidP="009544FB">
      <w:pPr>
        <w:pStyle w:val="ListParagraph"/>
        <w:numPr>
          <w:ilvl w:val="0"/>
          <w:numId w:val="7"/>
        </w:numPr>
        <w:ind w:left="357" w:hanging="357"/>
        <w:rPr>
          <w:rFonts w:cs="Arial"/>
          <w:color w:val="000000"/>
          <w:lang w:val="en-GB"/>
        </w:rPr>
      </w:pPr>
      <w:r w:rsidRPr="00D10686">
        <w:rPr>
          <w:rFonts w:cs="Arial"/>
          <w:color w:val="000000"/>
          <w:lang w:val="en-GB"/>
        </w:rPr>
        <w:t>an assessor (A</w:t>
      </w:r>
      <w:r>
        <w:rPr>
          <w:rFonts w:cs="Arial"/>
          <w:color w:val="000000"/>
          <w:lang w:val="en-GB"/>
        </w:rPr>
        <w:t xml:space="preserve">ged </w:t>
      </w:r>
      <w:r w:rsidRPr="00D10686">
        <w:rPr>
          <w:rFonts w:cs="Arial"/>
          <w:color w:val="000000"/>
          <w:lang w:val="en-GB"/>
        </w:rPr>
        <w:t>C</w:t>
      </w:r>
      <w:r>
        <w:rPr>
          <w:rFonts w:cs="Arial"/>
          <w:color w:val="000000"/>
          <w:lang w:val="en-GB"/>
        </w:rPr>
        <w:t xml:space="preserve">are </w:t>
      </w:r>
      <w:r w:rsidRPr="00D10686">
        <w:rPr>
          <w:rFonts w:cs="Arial"/>
          <w:color w:val="000000"/>
          <w:lang w:val="en-GB"/>
        </w:rPr>
        <w:t>A</w:t>
      </w:r>
      <w:r>
        <w:rPr>
          <w:rFonts w:cs="Arial"/>
          <w:color w:val="000000"/>
          <w:lang w:val="en-GB"/>
        </w:rPr>
        <w:t xml:space="preserve">ssessment </w:t>
      </w:r>
      <w:r w:rsidRPr="00D10686">
        <w:rPr>
          <w:rFonts w:cs="Arial"/>
          <w:color w:val="000000"/>
          <w:lang w:val="en-GB"/>
        </w:rPr>
        <w:t>T</w:t>
      </w:r>
      <w:r>
        <w:rPr>
          <w:rFonts w:cs="Arial"/>
          <w:color w:val="000000"/>
          <w:lang w:val="en-GB"/>
        </w:rPr>
        <w:t>eam (ACAT)</w:t>
      </w:r>
      <w:r w:rsidRPr="00D10686">
        <w:rPr>
          <w:rFonts w:cs="Arial"/>
          <w:color w:val="000000"/>
          <w:lang w:val="en-GB"/>
        </w:rPr>
        <w:t xml:space="preserve"> or R</w:t>
      </w:r>
      <w:r>
        <w:rPr>
          <w:rFonts w:cs="Arial"/>
          <w:color w:val="000000"/>
          <w:lang w:val="en-GB"/>
        </w:rPr>
        <w:t xml:space="preserve">egional </w:t>
      </w:r>
      <w:r w:rsidRPr="00D10686">
        <w:rPr>
          <w:rFonts w:cs="Arial"/>
          <w:color w:val="000000"/>
          <w:lang w:val="en-GB"/>
        </w:rPr>
        <w:t>A</w:t>
      </w:r>
      <w:r>
        <w:rPr>
          <w:rFonts w:cs="Arial"/>
          <w:color w:val="000000"/>
          <w:lang w:val="en-GB"/>
        </w:rPr>
        <w:t xml:space="preserve">ssessment </w:t>
      </w:r>
      <w:r w:rsidRPr="00D10686">
        <w:rPr>
          <w:rFonts w:cs="Arial"/>
          <w:color w:val="000000"/>
          <w:lang w:val="en-GB"/>
        </w:rPr>
        <w:t>S</w:t>
      </w:r>
      <w:r>
        <w:rPr>
          <w:rFonts w:cs="Arial"/>
          <w:color w:val="000000"/>
          <w:lang w:val="en-GB"/>
        </w:rPr>
        <w:t>ervice (RAS)</w:t>
      </w:r>
      <w:r w:rsidRPr="00D10686">
        <w:rPr>
          <w:rFonts w:cs="Arial"/>
          <w:color w:val="000000"/>
          <w:lang w:val="en-GB"/>
        </w:rPr>
        <w:t xml:space="preserve">) at an initial assessment for the HCP </w:t>
      </w:r>
      <w:r>
        <w:rPr>
          <w:rFonts w:cs="Arial"/>
          <w:color w:val="000000"/>
          <w:lang w:val="en-GB"/>
        </w:rPr>
        <w:t>p</w:t>
      </w:r>
      <w:r w:rsidRPr="00D10686">
        <w:rPr>
          <w:rFonts w:cs="Arial"/>
          <w:color w:val="000000"/>
          <w:lang w:val="en-GB"/>
        </w:rPr>
        <w:t>rogram or re–assessment</w:t>
      </w:r>
    </w:p>
    <w:p w14:paraId="54B5CFA1" w14:textId="77777777" w:rsidR="006C6BCC" w:rsidRPr="00D10686" w:rsidRDefault="006C6BCC" w:rsidP="009544FB">
      <w:pPr>
        <w:pStyle w:val="ListParagraph"/>
        <w:numPr>
          <w:ilvl w:val="0"/>
          <w:numId w:val="7"/>
        </w:numPr>
        <w:ind w:left="357" w:hanging="357"/>
        <w:rPr>
          <w:rFonts w:cs="Arial"/>
          <w:color w:val="000000"/>
          <w:lang w:val="en-GB"/>
        </w:rPr>
      </w:pPr>
      <w:r w:rsidRPr="00D10686">
        <w:rPr>
          <w:rFonts w:cs="Arial"/>
          <w:color w:val="000000"/>
          <w:lang w:val="en-GB"/>
        </w:rPr>
        <w:t xml:space="preserve">a treating medical practitioner, such as a </w:t>
      </w:r>
      <w:r>
        <w:rPr>
          <w:rFonts w:cs="Arial"/>
          <w:color w:val="000000"/>
          <w:lang w:val="en-GB"/>
        </w:rPr>
        <w:t>g</w:t>
      </w:r>
      <w:r w:rsidRPr="00D10686">
        <w:rPr>
          <w:rFonts w:cs="Arial"/>
          <w:color w:val="000000"/>
          <w:lang w:val="en-GB"/>
        </w:rPr>
        <w:t xml:space="preserve">eneral </w:t>
      </w:r>
      <w:r>
        <w:rPr>
          <w:rFonts w:cs="Arial"/>
          <w:color w:val="000000"/>
          <w:lang w:val="en-GB"/>
        </w:rPr>
        <w:t>p</w:t>
      </w:r>
      <w:r w:rsidRPr="00D10686">
        <w:rPr>
          <w:rFonts w:cs="Arial"/>
          <w:color w:val="000000"/>
          <w:lang w:val="en-GB"/>
        </w:rPr>
        <w:t>ractitioner (GP) or specialist</w:t>
      </w:r>
    </w:p>
    <w:p w14:paraId="5DEB4813" w14:textId="77777777" w:rsidR="006C6BCC" w:rsidRPr="00D10686" w:rsidRDefault="006C6BCC" w:rsidP="009544FB">
      <w:pPr>
        <w:pStyle w:val="ListParagraph"/>
        <w:numPr>
          <w:ilvl w:val="0"/>
          <w:numId w:val="7"/>
        </w:numPr>
        <w:ind w:left="357" w:hanging="357"/>
        <w:rPr>
          <w:rFonts w:cs="Arial"/>
          <w:color w:val="000000"/>
          <w:lang w:val="en-GB"/>
        </w:rPr>
      </w:pPr>
      <w:r w:rsidRPr="00D10686">
        <w:rPr>
          <w:rFonts w:cs="Arial"/>
          <w:color w:val="000000"/>
          <w:lang w:val="en-GB"/>
        </w:rPr>
        <w:t xml:space="preserve">a </w:t>
      </w:r>
      <w:r>
        <w:rPr>
          <w:rFonts w:cs="Arial"/>
          <w:color w:val="000000"/>
          <w:lang w:val="en-GB"/>
        </w:rPr>
        <w:t>r</w:t>
      </w:r>
      <w:r w:rsidRPr="00D10686">
        <w:rPr>
          <w:rFonts w:cs="Arial"/>
          <w:color w:val="000000"/>
          <w:lang w:val="en-GB"/>
        </w:rPr>
        <w:t xml:space="preserve">egistered </w:t>
      </w:r>
      <w:r>
        <w:rPr>
          <w:rFonts w:cs="Arial"/>
          <w:color w:val="000000"/>
          <w:lang w:val="en-GB"/>
        </w:rPr>
        <w:t>n</w:t>
      </w:r>
      <w:r w:rsidRPr="00D10686">
        <w:rPr>
          <w:rFonts w:cs="Arial"/>
          <w:color w:val="000000"/>
          <w:lang w:val="en-GB"/>
        </w:rPr>
        <w:t>urse (RN)</w:t>
      </w:r>
    </w:p>
    <w:p w14:paraId="2638F305" w14:textId="77777777" w:rsidR="006C6BCC" w:rsidRPr="00D10686" w:rsidRDefault="006C6BCC" w:rsidP="009544FB">
      <w:pPr>
        <w:pStyle w:val="ListParagraph"/>
        <w:numPr>
          <w:ilvl w:val="0"/>
          <w:numId w:val="7"/>
        </w:numPr>
        <w:ind w:left="357" w:hanging="357"/>
        <w:rPr>
          <w:rFonts w:cs="Arial"/>
          <w:color w:val="000000"/>
          <w:lang w:val="en-GB"/>
        </w:rPr>
      </w:pPr>
      <w:r w:rsidRPr="00D10686">
        <w:rPr>
          <w:rFonts w:cs="Arial"/>
          <w:color w:val="000000"/>
          <w:lang w:val="en-GB"/>
        </w:rPr>
        <w:t>a registered allied health professional, such as an occupational therapist, physiotherapist, exercise physiologist, speech pathologist, podiatrist, etc.</w:t>
      </w:r>
    </w:p>
    <w:p w14:paraId="71CFD2CA" w14:textId="5F7E8FF3" w:rsidR="006C6BCC" w:rsidRPr="00AF0AED" w:rsidRDefault="006C6BCC" w:rsidP="009544FB">
      <w:pPr>
        <w:rPr>
          <w:rFonts w:cs="Arial"/>
          <w:color w:val="000000"/>
          <w:lang w:val="en-GB"/>
        </w:rPr>
      </w:pPr>
      <w:r w:rsidRPr="00AF0AED">
        <w:rPr>
          <w:rFonts w:cs="Arial"/>
          <w:color w:val="000000"/>
          <w:lang w:val="en-GB"/>
        </w:rPr>
        <w:t xml:space="preserve">The health professional must have experience and training within their relevant field. Allied health professionals must be registered with </w:t>
      </w:r>
      <w:r w:rsidR="00D82D06">
        <w:rPr>
          <w:rFonts w:cs="Arial"/>
          <w:color w:val="000000"/>
          <w:lang w:val="en-GB"/>
        </w:rPr>
        <w:t xml:space="preserve">the </w:t>
      </w:r>
      <w:r w:rsidRPr="00AF0AED">
        <w:rPr>
          <w:rFonts w:cs="Arial"/>
          <w:color w:val="000000"/>
          <w:lang w:val="en-GB"/>
        </w:rPr>
        <w:t>Australian Health Practitioner Regulation Agency (</w:t>
      </w:r>
      <w:proofErr w:type="spellStart"/>
      <w:r w:rsidRPr="00AF0AED">
        <w:rPr>
          <w:rFonts w:cs="Arial"/>
          <w:color w:val="000000"/>
          <w:lang w:val="en-GB"/>
        </w:rPr>
        <w:t>Ahpra</w:t>
      </w:r>
      <w:proofErr w:type="spellEnd"/>
      <w:r w:rsidRPr="00AF0AED">
        <w:rPr>
          <w:rFonts w:cs="Arial"/>
          <w:color w:val="000000"/>
          <w:lang w:val="en-GB"/>
        </w:rPr>
        <w:t>) or self–regulated by another national professional association.</w:t>
      </w:r>
    </w:p>
    <w:p w14:paraId="4CD696A1" w14:textId="3B7CDB45" w:rsidR="006C6BCC" w:rsidRDefault="006C6BCC" w:rsidP="009544FB">
      <w:pPr>
        <w:rPr>
          <w:rFonts w:cs="Arial"/>
          <w:color w:val="000000"/>
          <w:lang w:val="en-GB"/>
        </w:rPr>
      </w:pPr>
      <w:r w:rsidRPr="00AF0AED">
        <w:rPr>
          <w:rFonts w:cs="Arial"/>
          <w:color w:val="000000"/>
          <w:lang w:val="en-GB"/>
        </w:rPr>
        <w:lastRenderedPageBreak/>
        <w:t>A prescription for services, supports and items must be within the scope of the health professional’s area of practice. For example, a dieti</w:t>
      </w:r>
      <w:r w:rsidR="008B20C6">
        <w:rPr>
          <w:rFonts w:cs="Arial"/>
          <w:color w:val="000000"/>
          <w:lang w:val="en-GB"/>
        </w:rPr>
        <w:t>ti</w:t>
      </w:r>
      <w:r w:rsidRPr="00AF0AED">
        <w:rPr>
          <w:rFonts w:cs="Arial"/>
          <w:color w:val="000000"/>
          <w:lang w:val="en-GB"/>
        </w:rPr>
        <w:t>an can advise on nutrition, hydration, meal preparation and diet. Examples are in the table below.</w:t>
      </w:r>
    </w:p>
    <w:tbl>
      <w:tblPr>
        <w:tblStyle w:val="TableGrid1"/>
        <w:tblW w:w="0" w:type="auto"/>
        <w:tblLayout w:type="fixed"/>
        <w:tblLook w:val="04A0" w:firstRow="1" w:lastRow="0" w:firstColumn="1" w:lastColumn="0" w:noHBand="0" w:noVBand="1"/>
      </w:tblPr>
      <w:tblGrid>
        <w:gridCol w:w="3256"/>
        <w:gridCol w:w="6662"/>
      </w:tblGrid>
      <w:tr w:rsidR="006C6BCC" w:rsidRPr="00436B0D" w14:paraId="7B79167A" w14:textId="77777777" w:rsidTr="00D525EE">
        <w:tc>
          <w:tcPr>
            <w:tcW w:w="3256" w:type="dxa"/>
            <w:shd w:val="clear" w:color="auto" w:fill="E7E6E6"/>
          </w:tcPr>
          <w:p w14:paraId="5F5D7315" w14:textId="77777777" w:rsidR="006C6BCC" w:rsidRPr="00D525EE" w:rsidRDefault="006C6BCC" w:rsidP="00D525EE">
            <w:pPr>
              <w:pStyle w:val="TableHeading"/>
              <w:rPr>
                <w:rFonts w:eastAsia="Calibri"/>
                <w:color w:val="auto"/>
                <w:sz w:val="24"/>
                <w:szCs w:val="24"/>
              </w:rPr>
            </w:pPr>
            <w:r w:rsidRPr="00D525EE">
              <w:rPr>
                <w:rFonts w:eastAsia="Calibri"/>
                <w:color w:val="auto"/>
                <w:sz w:val="24"/>
                <w:szCs w:val="24"/>
              </w:rPr>
              <w:t xml:space="preserve">HCP type of service, </w:t>
            </w:r>
            <w:proofErr w:type="gramStart"/>
            <w:r w:rsidRPr="00D525EE">
              <w:rPr>
                <w:rFonts w:eastAsia="Calibri"/>
                <w:color w:val="auto"/>
                <w:sz w:val="24"/>
                <w:szCs w:val="24"/>
              </w:rPr>
              <w:t>support</w:t>
            </w:r>
            <w:proofErr w:type="gramEnd"/>
            <w:r w:rsidRPr="00D525EE">
              <w:rPr>
                <w:rFonts w:eastAsia="Calibri"/>
                <w:color w:val="auto"/>
                <w:sz w:val="24"/>
                <w:szCs w:val="24"/>
              </w:rPr>
              <w:t xml:space="preserve"> or item</w:t>
            </w:r>
          </w:p>
        </w:tc>
        <w:tc>
          <w:tcPr>
            <w:tcW w:w="6662" w:type="dxa"/>
            <w:shd w:val="clear" w:color="auto" w:fill="E7E6E6"/>
          </w:tcPr>
          <w:p w14:paraId="1F14C93E" w14:textId="77777777" w:rsidR="006C6BCC" w:rsidRPr="00D525EE" w:rsidRDefault="006C6BCC" w:rsidP="00D525EE">
            <w:pPr>
              <w:pStyle w:val="TableHeading"/>
              <w:rPr>
                <w:rFonts w:eastAsia="Calibri"/>
                <w:color w:val="auto"/>
                <w:sz w:val="24"/>
                <w:szCs w:val="24"/>
              </w:rPr>
            </w:pPr>
            <w:r w:rsidRPr="00D525EE">
              <w:rPr>
                <w:rFonts w:eastAsia="Calibri"/>
                <w:color w:val="auto"/>
                <w:sz w:val="24"/>
                <w:szCs w:val="24"/>
              </w:rPr>
              <w:t>Prescriber/assessor</w:t>
            </w:r>
          </w:p>
        </w:tc>
      </w:tr>
      <w:tr w:rsidR="006C6BCC" w:rsidRPr="00436B0D" w14:paraId="1C697F23" w14:textId="77777777" w:rsidTr="00D525EE">
        <w:tc>
          <w:tcPr>
            <w:tcW w:w="3256" w:type="dxa"/>
          </w:tcPr>
          <w:p w14:paraId="6F60470B"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Personal services</w:t>
            </w:r>
          </w:p>
        </w:tc>
        <w:tc>
          <w:tcPr>
            <w:tcW w:w="6662" w:type="dxa"/>
          </w:tcPr>
          <w:p w14:paraId="5B927398"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ACAT, RN, occupational therapist, physiotherapist</w:t>
            </w:r>
          </w:p>
        </w:tc>
      </w:tr>
      <w:tr w:rsidR="006C6BCC" w:rsidRPr="00436B0D" w14:paraId="2DB57A59" w14:textId="77777777" w:rsidTr="00D525EE">
        <w:tc>
          <w:tcPr>
            <w:tcW w:w="3256" w:type="dxa"/>
          </w:tcPr>
          <w:p w14:paraId="163F314B"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Activities of daily living</w:t>
            </w:r>
          </w:p>
        </w:tc>
        <w:tc>
          <w:tcPr>
            <w:tcW w:w="6662" w:type="dxa"/>
          </w:tcPr>
          <w:p w14:paraId="1152B9FB"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 xml:space="preserve">ACAT, speech pathologist, GP, </w:t>
            </w:r>
            <w:proofErr w:type="gramStart"/>
            <w:r w:rsidRPr="00D525EE">
              <w:rPr>
                <w:rFonts w:eastAsia="Calibri"/>
                <w:b w:val="0"/>
                <w:bCs w:val="0"/>
                <w:color w:val="auto"/>
                <w:sz w:val="24"/>
                <w:szCs w:val="24"/>
              </w:rPr>
              <w:t>RN</w:t>
            </w:r>
            <w:proofErr w:type="gramEnd"/>
            <w:r w:rsidRPr="00D525EE">
              <w:rPr>
                <w:rFonts w:eastAsia="Calibri"/>
                <w:b w:val="0"/>
                <w:bCs w:val="0"/>
                <w:color w:val="auto"/>
                <w:sz w:val="24"/>
                <w:szCs w:val="24"/>
              </w:rPr>
              <w:t xml:space="preserve"> or other health professionals operating within their scope of practice</w:t>
            </w:r>
          </w:p>
        </w:tc>
      </w:tr>
      <w:tr w:rsidR="006C6BCC" w:rsidRPr="00436B0D" w14:paraId="2F6C9149" w14:textId="77777777" w:rsidTr="00D525EE">
        <w:tc>
          <w:tcPr>
            <w:tcW w:w="3256" w:type="dxa"/>
          </w:tcPr>
          <w:p w14:paraId="26236999"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Nutrition, hydration, meal preparation and diet</w:t>
            </w:r>
          </w:p>
        </w:tc>
        <w:tc>
          <w:tcPr>
            <w:tcW w:w="6662" w:type="dxa"/>
          </w:tcPr>
          <w:p w14:paraId="3796CE13" w14:textId="2A67A4FB"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ACAT, dieti</w:t>
            </w:r>
            <w:r w:rsidR="008B20C6" w:rsidRPr="00D525EE">
              <w:rPr>
                <w:rFonts w:eastAsia="Calibri"/>
                <w:b w:val="0"/>
                <w:bCs w:val="0"/>
                <w:color w:val="auto"/>
                <w:sz w:val="24"/>
                <w:szCs w:val="24"/>
              </w:rPr>
              <w:t>t</w:t>
            </w:r>
            <w:r w:rsidRPr="00D525EE">
              <w:rPr>
                <w:rFonts w:eastAsia="Calibri"/>
                <w:b w:val="0"/>
                <w:bCs w:val="0"/>
                <w:color w:val="auto"/>
                <w:sz w:val="24"/>
                <w:szCs w:val="24"/>
              </w:rPr>
              <w:t>ian, speech pathologist, GP or RN or other health professionals operating within their scope of practice</w:t>
            </w:r>
          </w:p>
        </w:tc>
      </w:tr>
      <w:tr w:rsidR="006C6BCC" w:rsidRPr="00436B0D" w14:paraId="22B60E81" w14:textId="77777777" w:rsidTr="00D525EE">
        <w:tc>
          <w:tcPr>
            <w:tcW w:w="3256" w:type="dxa"/>
          </w:tcPr>
          <w:p w14:paraId="730E63F3"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Management of skin integrity</w:t>
            </w:r>
          </w:p>
        </w:tc>
        <w:tc>
          <w:tcPr>
            <w:tcW w:w="6662" w:type="dxa"/>
          </w:tcPr>
          <w:p w14:paraId="0A1D5798"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ACAT, RN, GP or other health professionals operating within their scope of practice</w:t>
            </w:r>
          </w:p>
        </w:tc>
      </w:tr>
      <w:tr w:rsidR="006C6BCC" w:rsidRPr="00436B0D" w14:paraId="41C6A49D" w14:textId="77777777" w:rsidTr="00D525EE">
        <w:tc>
          <w:tcPr>
            <w:tcW w:w="3256" w:type="dxa"/>
          </w:tcPr>
          <w:p w14:paraId="3D572BC0"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Continence management</w:t>
            </w:r>
          </w:p>
        </w:tc>
        <w:tc>
          <w:tcPr>
            <w:tcW w:w="6662" w:type="dxa"/>
          </w:tcPr>
          <w:p w14:paraId="54364A21"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ACAT, RN, GP other health professionals operating within their scope of practice</w:t>
            </w:r>
          </w:p>
        </w:tc>
      </w:tr>
      <w:tr w:rsidR="006C6BCC" w:rsidRPr="00436B0D" w14:paraId="76EDB7F3" w14:textId="77777777" w:rsidTr="00D525EE">
        <w:tc>
          <w:tcPr>
            <w:tcW w:w="3256" w:type="dxa"/>
          </w:tcPr>
          <w:p w14:paraId="7CA5DF97"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Mobility and dexterity</w:t>
            </w:r>
          </w:p>
        </w:tc>
        <w:tc>
          <w:tcPr>
            <w:tcW w:w="6662" w:type="dxa"/>
          </w:tcPr>
          <w:p w14:paraId="027FABC8"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ACAT, RN, GP, physiotherapist, occupational therapist, chiropractor other health professionals operating within their scope of practice</w:t>
            </w:r>
          </w:p>
        </w:tc>
      </w:tr>
      <w:tr w:rsidR="006C6BCC" w:rsidRPr="00436B0D" w14:paraId="2BAFE786" w14:textId="77777777" w:rsidTr="00D525EE">
        <w:tc>
          <w:tcPr>
            <w:tcW w:w="3256" w:type="dxa"/>
          </w:tcPr>
          <w:p w14:paraId="18B6CA23"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Support services</w:t>
            </w:r>
          </w:p>
        </w:tc>
        <w:tc>
          <w:tcPr>
            <w:tcW w:w="6662" w:type="dxa"/>
          </w:tcPr>
          <w:p w14:paraId="377557A3"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ACAT, RN other health professionals operating within their scope of practice</w:t>
            </w:r>
          </w:p>
        </w:tc>
      </w:tr>
      <w:tr w:rsidR="006C6BCC" w:rsidRPr="00436B0D" w14:paraId="038474AE" w14:textId="77777777" w:rsidTr="00D525EE">
        <w:tc>
          <w:tcPr>
            <w:tcW w:w="3256" w:type="dxa"/>
          </w:tcPr>
          <w:p w14:paraId="1651DB52"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Care management</w:t>
            </w:r>
          </w:p>
        </w:tc>
        <w:tc>
          <w:tcPr>
            <w:tcW w:w="6662" w:type="dxa"/>
          </w:tcPr>
          <w:p w14:paraId="5D5791E2"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ACAT, RN other health professionals operating within their scope of practice</w:t>
            </w:r>
          </w:p>
        </w:tc>
      </w:tr>
      <w:tr w:rsidR="006C6BCC" w:rsidRPr="00436B0D" w14:paraId="09DC46E4" w14:textId="77777777" w:rsidTr="00D525EE">
        <w:tc>
          <w:tcPr>
            <w:tcW w:w="3256" w:type="dxa"/>
          </w:tcPr>
          <w:p w14:paraId="0B7CE811"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Clinical care</w:t>
            </w:r>
          </w:p>
        </w:tc>
        <w:tc>
          <w:tcPr>
            <w:tcW w:w="6662" w:type="dxa"/>
          </w:tcPr>
          <w:p w14:paraId="51DF9823" w14:textId="77777777" w:rsidR="006C6BCC" w:rsidRPr="00D525EE" w:rsidRDefault="006C6BCC" w:rsidP="00D525EE">
            <w:pPr>
              <w:pStyle w:val="TableHeading"/>
              <w:rPr>
                <w:rFonts w:eastAsia="Calibri"/>
                <w:b w:val="0"/>
                <w:bCs w:val="0"/>
                <w:color w:val="auto"/>
                <w:sz w:val="24"/>
                <w:szCs w:val="24"/>
              </w:rPr>
            </w:pPr>
            <w:r w:rsidRPr="00D525EE">
              <w:rPr>
                <w:rFonts w:eastAsia="Calibri"/>
                <w:b w:val="0"/>
                <w:bCs w:val="0"/>
                <w:color w:val="auto"/>
                <w:sz w:val="24"/>
                <w:szCs w:val="24"/>
              </w:rPr>
              <w:t>ACAT, RN other health professionals operating within their scope of practice</w:t>
            </w:r>
          </w:p>
        </w:tc>
      </w:tr>
    </w:tbl>
    <w:p w14:paraId="629859F0" w14:textId="102BBF8C" w:rsidR="006C6BCC" w:rsidRPr="00D10686" w:rsidRDefault="006C6BCC" w:rsidP="009544FB">
      <w:pPr>
        <w:rPr>
          <w:rFonts w:cs="Arial"/>
          <w:color w:val="000000"/>
          <w:lang w:val="en-GB"/>
        </w:rPr>
      </w:pPr>
      <w:r w:rsidRPr="00D10686">
        <w:rPr>
          <w:rFonts w:cs="Arial"/>
          <w:color w:val="000000"/>
          <w:lang w:val="en-GB"/>
        </w:rPr>
        <w:t>Not every item would need a prescription, for example, a jar opener.</w:t>
      </w:r>
    </w:p>
    <w:p w14:paraId="09BF4679" w14:textId="1D5BAC71" w:rsidR="006C6BCC" w:rsidRDefault="006C6BCC" w:rsidP="009544FB">
      <w:pPr>
        <w:rPr>
          <w:rFonts w:cs="Arial"/>
          <w:color w:val="000000"/>
          <w:lang w:val="en-GB"/>
        </w:rPr>
      </w:pPr>
      <w:r w:rsidRPr="00D10686">
        <w:rPr>
          <w:rFonts w:cs="Arial"/>
          <w:color w:val="000000"/>
          <w:lang w:val="en-GB"/>
        </w:rPr>
        <w:t>Care managers are encouraged, where possible, to work with care recipients’ existing supports through the primary care and other health systems when conducting care planning.</w:t>
      </w:r>
    </w:p>
    <w:p w14:paraId="09FF5438" w14:textId="60F33A19" w:rsidR="006C6BCC" w:rsidRDefault="006C6BCC" w:rsidP="009544FB">
      <w:pPr>
        <w:rPr>
          <w:rFonts w:cs="Arial"/>
          <w:color w:val="000000"/>
          <w:lang w:val="en-GB"/>
        </w:rPr>
      </w:pPr>
      <w:r w:rsidRPr="00D10686">
        <w:rPr>
          <w:rFonts w:cs="Arial"/>
          <w:color w:val="000000"/>
          <w:lang w:val="en-GB"/>
        </w:rPr>
        <w:t>It is important to note whil</w:t>
      </w:r>
      <w:r>
        <w:rPr>
          <w:rFonts w:cs="Arial"/>
          <w:color w:val="000000"/>
          <w:lang w:val="en-GB"/>
        </w:rPr>
        <w:t>e</w:t>
      </w:r>
      <w:r w:rsidRPr="00D10686">
        <w:rPr>
          <w:rFonts w:cs="Arial"/>
          <w:color w:val="000000"/>
          <w:lang w:val="en-GB"/>
        </w:rPr>
        <w:t xml:space="preserve"> the </w:t>
      </w:r>
      <w:r>
        <w:rPr>
          <w:rFonts w:cs="Arial"/>
          <w:color w:val="000000"/>
          <w:lang w:val="en-GB"/>
        </w:rPr>
        <w:t>d</w:t>
      </w:r>
      <w:r w:rsidRPr="00D10686">
        <w:rPr>
          <w:rFonts w:cs="Arial"/>
          <w:color w:val="000000"/>
          <w:lang w:val="en-GB"/>
        </w:rPr>
        <w:t xml:space="preserve">epartment encourages care recipients to follow the advice of treating professionals, the HCP </w:t>
      </w:r>
      <w:r>
        <w:rPr>
          <w:rFonts w:cs="Arial"/>
          <w:color w:val="000000"/>
          <w:lang w:val="en-GB"/>
        </w:rPr>
        <w:t>p</w:t>
      </w:r>
      <w:r w:rsidRPr="00D10686">
        <w:rPr>
          <w:rFonts w:cs="Arial"/>
          <w:color w:val="000000"/>
          <w:lang w:val="en-GB"/>
        </w:rPr>
        <w:t xml:space="preserve">rogram is not obliged to fund all recommendations from treating professionals as they may not be within scope of the </w:t>
      </w:r>
      <w:r>
        <w:rPr>
          <w:rFonts w:cs="Arial"/>
          <w:color w:val="000000"/>
          <w:lang w:val="en-GB"/>
        </w:rPr>
        <w:t>p</w:t>
      </w:r>
      <w:r w:rsidRPr="00D10686">
        <w:rPr>
          <w:rFonts w:cs="Arial"/>
          <w:color w:val="000000"/>
          <w:lang w:val="en-GB"/>
        </w:rPr>
        <w:t>rogram.</w:t>
      </w:r>
    </w:p>
    <w:p w14:paraId="234EAE07" w14:textId="5135C072" w:rsidR="006C6BCC" w:rsidRPr="00D10686" w:rsidRDefault="006C6BCC" w:rsidP="009544FB">
      <w:pPr>
        <w:rPr>
          <w:rFonts w:cs="Arial"/>
          <w:color w:val="000000"/>
          <w:lang w:val="en-GB"/>
        </w:rPr>
      </w:pPr>
      <w:r w:rsidRPr="00D10686">
        <w:rPr>
          <w:rFonts w:cs="Arial"/>
          <w:color w:val="000000"/>
          <w:lang w:val="en-GB"/>
        </w:rPr>
        <w:lastRenderedPageBreak/>
        <w:t>Recommendations may be funded under the HCP, provided they meet the other requirements of the ’Inclusions/Exclusions Framework’</w:t>
      </w:r>
      <w:r>
        <w:rPr>
          <w:rFonts w:cs="Arial"/>
          <w:color w:val="000000"/>
          <w:lang w:val="en-GB"/>
        </w:rPr>
        <w:t xml:space="preserve"> in the </w:t>
      </w:r>
      <w:hyperlink r:id="rId31" w:history="1">
        <w:r w:rsidR="00AC574E" w:rsidRPr="00AC574E">
          <w:rPr>
            <w:rFonts w:cs="Arial"/>
            <w:color w:val="000000"/>
            <w:lang w:val="en-GB"/>
          </w:rPr>
          <w:t xml:space="preserve"> </w:t>
        </w:r>
        <w:proofErr w:type="spellStart"/>
        <w:r w:rsidR="00AC574E" w:rsidRPr="00FC7070">
          <w:rPr>
            <w:rFonts w:cs="Arial"/>
            <w:color w:val="000000"/>
            <w:lang w:val="en-GB"/>
          </w:rPr>
          <w:t>the</w:t>
        </w:r>
        <w:proofErr w:type="spellEnd"/>
        <w:r w:rsidR="00AC574E" w:rsidRPr="00FC7070">
          <w:rPr>
            <w:rFonts w:cs="Arial"/>
            <w:color w:val="000000"/>
            <w:lang w:val="en-GB"/>
          </w:rPr>
          <w:t xml:space="preserve"> </w:t>
        </w:r>
        <w:hyperlink r:id="rId32" w:history="1">
          <w:r w:rsidR="00AC574E" w:rsidRPr="00DF7A38">
            <w:rPr>
              <w:rStyle w:val="Hyperlink"/>
              <w:rFonts w:cs="Arial"/>
              <w:color w:val="0070C0"/>
              <w:lang w:val="en-GB"/>
            </w:rPr>
            <w:t>Home Care Packages Program Operational Manual (version 1.4)</w:t>
          </w:r>
        </w:hyperlink>
        <w:r w:rsidRPr="00DF7A38">
          <w:rPr>
            <w:rStyle w:val="Hyperlink"/>
            <w:rFonts w:cs="Arial"/>
            <w:color w:val="auto"/>
            <w:u w:val="none"/>
            <w:shd w:val="clear" w:color="auto" w:fill="FFFFFF"/>
            <w:lang w:val="en-GB"/>
          </w:rPr>
          <w:t>.</w:t>
        </w:r>
      </w:hyperlink>
      <w:r w:rsidRPr="00D10686">
        <w:rPr>
          <w:rFonts w:cs="Arial"/>
          <w:color w:val="000000"/>
          <w:lang w:val="en-GB"/>
        </w:rPr>
        <w:t xml:space="preserve"> We recommend care recipients discuss with the provider whether it meets the requirements of the framework, how purchases such as this would impact the package budget</w:t>
      </w:r>
      <w:r>
        <w:rPr>
          <w:rFonts w:cs="Arial"/>
          <w:color w:val="000000"/>
          <w:lang w:val="en-GB"/>
        </w:rPr>
        <w:t>,</w:t>
      </w:r>
      <w:r w:rsidRPr="00D10686">
        <w:rPr>
          <w:rFonts w:cs="Arial"/>
          <w:color w:val="000000"/>
          <w:lang w:val="en-GB"/>
        </w:rPr>
        <w:t xml:space="preserve"> and their capacity to deliver other care and services.</w:t>
      </w:r>
    </w:p>
    <w:p w14:paraId="201B7231" w14:textId="613267A2" w:rsidR="006C6BCC" w:rsidRPr="009544FB" w:rsidRDefault="006C6BCC" w:rsidP="009544FB">
      <w:pPr>
        <w:pStyle w:val="Heading4"/>
      </w:pPr>
      <w:r w:rsidRPr="009544FB">
        <w:t xml:space="preserve">Q. Is there a set amount where letters of approval are not required in order to purchase an item under </w:t>
      </w:r>
      <w:proofErr w:type="gramStart"/>
      <w:r w:rsidRPr="009544FB">
        <w:t>a</w:t>
      </w:r>
      <w:proofErr w:type="gramEnd"/>
      <w:r w:rsidRPr="009544FB">
        <w:t xml:space="preserve"> HCP?</w:t>
      </w:r>
    </w:p>
    <w:p w14:paraId="05CB4644" w14:textId="77777777" w:rsidR="009544FB" w:rsidRDefault="006C6BCC" w:rsidP="003E743F">
      <w:pPr>
        <w:rPr>
          <w:rFonts w:cs="Arial"/>
          <w:color w:val="000000"/>
          <w:lang w:val="en-GB"/>
        </w:rPr>
      </w:pPr>
      <w:r>
        <w:rPr>
          <w:rFonts w:cs="Arial"/>
          <w:color w:val="000000"/>
        </w:rPr>
        <w:t xml:space="preserve">A. </w:t>
      </w:r>
      <w:r w:rsidRPr="00FC7070">
        <w:rPr>
          <w:rFonts w:cs="Arial"/>
          <w:color w:val="000000"/>
          <w:lang w:val="en-GB"/>
        </w:rPr>
        <w:t xml:space="preserve">Please see question 6 of the </w:t>
      </w:r>
      <w:hyperlink r:id="rId33" w:history="1">
        <w:r w:rsidRPr="00DF7A38">
          <w:rPr>
            <w:rStyle w:val="Hyperlink"/>
            <w:rFonts w:cs="Arial"/>
            <w:color w:val="0070C0"/>
            <w:lang w:val="en-GB"/>
          </w:rPr>
          <w:t>Home Care Packages Program Inclusions and Exclusions – FAQs for Providers – version 1</w:t>
        </w:r>
      </w:hyperlink>
      <w:r w:rsidRPr="00FC7070">
        <w:rPr>
          <w:rFonts w:cs="Arial"/>
          <w:color w:val="000000"/>
          <w:lang w:val="en-GB"/>
        </w:rPr>
        <w:t>.</w:t>
      </w:r>
    </w:p>
    <w:p w14:paraId="721F71CE" w14:textId="5ADA5A69" w:rsidR="006C6BCC" w:rsidRPr="00FC7070" w:rsidRDefault="006C6BCC" w:rsidP="003E743F">
      <w:pPr>
        <w:rPr>
          <w:rFonts w:cs="Arial"/>
          <w:color w:val="000000"/>
          <w:lang w:val="en-GB"/>
        </w:rPr>
      </w:pPr>
      <w:r w:rsidRPr="00FC7070">
        <w:rPr>
          <w:rFonts w:cs="Arial"/>
          <w:color w:val="000000"/>
          <w:lang w:val="en-GB"/>
        </w:rPr>
        <w:t xml:space="preserve">There is no set amount for purchasing goods, </w:t>
      </w:r>
      <w:proofErr w:type="gramStart"/>
      <w:r w:rsidRPr="00FC7070">
        <w:rPr>
          <w:rFonts w:cs="Arial"/>
          <w:color w:val="000000"/>
          <w:lang w:val="en-GB"/>
        </w:rPr>
        <w:t>equipment</w:t>
      </w:r>
      <w:proofErr w:type="gramEnd"/>
      <w:r w:rsidRPr="00FC7070">
        <w:rPr>
          <w:rFonts w:cs="Arial"/>
          <w:color w:val="000000"/>
          <w:lang w:val="en-GB"/>
        </w:rPr>
        <w:t xml:space="preserve"> and assistive technology (GEAT) without a health professional’s assessment.</w:t>
      </w:r>
    </w:p>
    <w:p w14:paraId="3B5DF0AF" w14:textId="262DA29D" w:rsidR="006C6BCC" w:rsidRPr="00FC7070" w:rsidRDefault="006C6BCC" w:rsidP="003E743F">
      <w:pPr>
        <w:rPr>
          <w:rFonts w:cs="Arial"/>
          <w:color w:val="000000"/>
          <w:lang w:val="en-GB"/>
        </w:rPr>
      </w:pPr>
      <w:r w:rsidRPr="00FC7070">
        <w:rPr>
          <w:rFonts w:cs="Arial"/>
          <w:color w:val="000000"/>
          <w:lang w:val="en-GB"/>
        </w:rPr>
        <w:t>To determine whether a GEAT item should be included in a care recipient’s package, providers must consider the following factors:</w:t>
      </w:r>
    </w:p>
    <w:p w14:paraId="1DE7455D" w14:textId="77777777" w:rsidR="006C6BCC" w:rsidRPr="00FC7070" w:rsidRDefault="006C6BCC" w:rsidP="003E743F">
      <w:pPr>
        <w:pStyle w:val="ListParagraph"/>
        <w:numPr>
          <w:ilvl w:val="0"/>
          <w:numId w:val="7"/>
        </w:numPr>
        <w:ind w:left="357" w:hanging="357"/>
        <w:rPr>
          <w:rFonts w:cs="Arial"/>
          <w:color w:val="000000"/>
          <w:lang w:val="en-GB"/>
        </w:rPr>
      </w:pPr>
      <w:r w:rsidRPr="00FC7070">
        <w:rPr>
          <w:rFonts w:cs="Arial"/>
          <w:color w:val="000000"/>
          <w:lang w:val="en-GB"/>
        </w:rPr>
        <w:t>the assessed care needs of the individual</w:t>
      </w:r>
    </w:p>
    <w:p w14:paraId="4C5CC7D1" w14:textId="77777777" w:rsidR="006C6BCC" w:rsidRPr="00FC7070" w:rsidRDefault="006C6BCC" w:rsidP="003E743F">
      <w:pPr>
        <w:pStyle w:val="ListParagraph"/>
        <w:numPr>
          <w:ilvl w:val="0"/>
          <w:numId w:val="7"/>
        </w:numPr>
        <w:ind w:left="357" w:hanging="357"/>
        <w:rPr>
          <w:rFonts w:cs="Arial"/>
          <w:color w:val="000000"/>
          <w:lang w:val="en-GB"/>
        </w:rPr>
      </w:pPr>
      <w:r w:rsidRPr="00FC7070">
        <w:rPr>
          <w:rFonts w:cs="Arial"/>
          <w:color w:val="000000"/>
          <w:lang w:val="en-GB"/>
        </w:rPr>
        <w:t xml:space="preserve">the package </w:t>
      </w:r>
      <w:proofErr w:type="gramStart"/>
      <w:r w:rsidRPr="00FC7070">
        <w:rPr>
          <w:rFonts w:cs="Arial"/>
          <w:color w:val="000000"/>
          <w:lang w:val="en-GB"/>
        </w:rPr>
        <w:t>budget</w:t>
      </w:r>
      <w:proofErr w:type="gramEnd"/>
    </w:p>
    <w:p w14:paraId="1E6A7E43" w14:textId="77777777" w:rsidR="006C6BCC" w:rsidRPr="00FC7070" w:rsidRDefault="006C6BCC" w:rsidP="003E743F">
      <w:pPr>
        <w:pStyle w:val="ListParagraph"/>
        <w:numPr>
          <w:ilvl w:val="0"/>
          <w:numId w:val="7"/>
        </w:numPr>
        <w:ind w:left="357" w:hanging="357"/>
        <w:rPr>
          <w:rFonts w:cs="Arial"/>
          <w:color w:val="000000"/>
          <w:lang w:val="en-GB"/>
        </w:rPr>
      </w:pPr>
      <w:r w:rsidRPr="00FC7070">
        <w:rPr>
          <w:rFonts w:cs="Arial"/>
          <w:color w:val="000000"/>
          <w:lang w:val="en-GB"/>
        </w:rPr>
        <w:t>scope and intent of the program</w:t>
      </w:r>
    </w:p>
    <w:p w14:paraId="767A81F0" w14:textId="77777777" w:rsidR="006C6BCC" w:rsidRPr="00FC7070" w:rsidRDefault="006C6BCC" w:rsidP="003E743F">
      <w:pPr>
        <w:pStyle w:val="ListParagraph"/>
        <w:numPr>
          <w:ilvl w:val="0"/>
          <w:numId w:val="7"/>
        </w:numPr>
        <w:ind w:left="357" w:hanging="357"/>
        <w:rPr>
          <w:rFonts w:cs="Arial"/>
          <w:color w:val="000000"/>
          <w:lang w:val="en-GB"/>
        </w:rPr>
      </w:pPr>
      <w:r w:rsidRPr="00FC7070">
        <w:rPr>
          <w:rFonts w:cs="Arial"/>
          <w:color w:val="000000"/>
          <w:lang w:val="en-GB"/>
        </w:rPr>
        <w:t>how they will plan for these purchases.</w:t>
      </w:r>
    </w:p>
    <w:p w14:paraId="54D7DDD4" w14:textId="780F0470" w:rsidR="006C6BCC" w:rsidRPr="00FC7070" w:rsidRDefault="006C6BCC" w:rsidP="003E743F">
      <w:pPr>
        <w:rPr>
          <w:rFonts w:cs="Arial"/>
          <w:color w:val="000000"/>
          <w:lang w:val="en-GB"/>
        </w:rPr>
      </w:pPr>
      <w:r w:rsidRPr="00FC7070">
        <w:rPr>
          <w:rFonts w:cs="Arial"/>
          <w:color w:val="000000"/>
          <w:lang w:val="en-GB"/>
        </w:rPr>
        <w:t xml:space="preserve">GEAT may be provided to a care recipient where consideration has been given to the inclusions/exclusions framework in the </w:t>
      </w:r>
      <w:hyperlink r:id="rId34" w:history="1">
        <w:r w:rsidRPr="00DF7A38">
          <w:rPr>
            <w:rStyle w:val="Hyperlink"/>
            <w:rFonts w:cs="Arial"/>
            <w:color w:val="0070C0"/>
            <w:lang w:val="en-GB"/>
          </w:rPr>
          <w:t>Home Care Packages Program Operational Manual (version 1.4)</w:t>
        </w:r>
      </w:hyperlink>
      <w:r w:rsidRPr="00DF7A38">
        <w:rPr>
          <w:rFonts w:cs="Arial"/>
          <w:lang w:val="en-GB"/>
        </w:rPr>
        <w:t>,</w:t>
      </w:r>
      <w:r w:rsidRPr="00FC7070">
        <w:rPr>
          <w:rFonts w:cs="Arial"/>
          <w:color w:val="000000"/>
          <w:lang w:val="en-GB"/>
        </w:rPr>
        <w:t xml:space="preserve"> and it meets the following criteria:</w:t>
      </w:r>
    </w:p>
    <w:p w14:paraId="786601C7" w14:textId="77777777" w:rsidR="006C6BCC" w:rsidRPr="000D4237" w:rsidRDefault="006C6BCC" w:rsidP="009544FB">
      <w:pPr>
        <w:pStyle w:val="ListParagraph"/>
        <w:numPr>
          <w:ilvl w:val="0"/>
          <w:numId w:val="7"/>
        </w:numPr>
        <w:ind w:left="357" w:hanging="357"/>
        <w:rPr>
          <w:rFonts w:cs="Arial"/>
          <w:color w:val="000000"/>
          <w:lang w:val="en-GB"/>
        </w:rPr>
      </w:pPr>
      <w:r w:rsidRPr="000D4237">
        <w:rPr>
          <w:rFonts w:cs="Arial"/>
          <w:color w:val="000000"/>
          <w:lang w:val="en-GB"/>
        </w:rPr>
        <w:t xml:space="preserve">the need for the item can be identified in the care recipient’s care plan, program scope, assessed </w:t>
      </w:r>
      <w:proofErr w:type="gramStart"/>
      <w:r w:rsidRPr="000D4237">
        <w:rPr>
          <w:rFonts w:cs="Arial"/>
          <w:color w:val="000000"/>
          <w:lang w:val="en-GB"/>
        </w:rPr>
        <w:t>needs</w:t>
      </w:r>
      <w:proofErr w:type="gramEnd"/>
    </w:p>
    <w:p w14:paraId="7C5F217B" w14:textId="5BB10393" w:rsidR="006C6BCC" w:rsidRPr="00FC7070" w:rsidRDefault="006C6BCC" w:rsidP="009544FB">
      <w:pPr>
        <w:pStyle w:val="ListParagraph"/>
        <w:numPr>
          <w:ilvl w:val="0"/>
          <w:numId w:val="7"/>
        </w:numPr>
        <w:ind w:left="357" w:hanging="357"/>
        <w:rPr>
          <w:rFonts w:cs="Arial"/>
          <w:color w:val="000000"/>
          <w:lang w:val="en-GB"/>
        </w:rPr>
      </w:pPr>
      <w:r w:rsidRPr="00FC7070">
        <w:rPr>
          <w:rFonts w:cs="Arial"/>
          <w:color w:val="000000"/>
          <w:lang w:val="en-GB"/>
        </w:rPr>
        <w:t xml:space="preserve">the item can be provided within the care recipient’s package </w:t>
      </w:r>
      <w:proofErr w:type="gramStart"/>
      <w:r w:rsidRPr="00FC7070">
        <w:rPr>
          <w:rFonts w:cs="Arial"/>
          <w:color w:val="000000"/>
          <w:lang w:val="en-GB"/>
        </w:rPr>
        <w:t>budget</w:t>
      </w:r>
      <w:proofErr w:type="gramEnd"/>
    </w:p>
    <w:p w14:paraId="689464FE" w14:textId="77777777" w:rsidR="006C6BCC" w:rsidRPr="00FC7070" w:rsidRDefault="006C6BCC" w:rsidP="003E743F">
      <w:pPr>
        <w:pStyle w:val="ListParagraph"/>
        <w:numPr>
          <w:ilvl w:val="0"/>
          <w:numId w:val="7"/>
        </w:numPr>
        <w:ind w:left="357" w:hanging="357"/>
        <w:rPr>
          <w:rFonts w:cs="Arial"/>
          <w:color w:val="000000"/>
          <w:lang w:val="en-GB"/>
        </w:rPr>
      </w:pPr>
      <w:r w:rsidRPr="00FC7070">
        <w:rPr>
          <w:rFonts w:cs="Arial"/>
          <w:color w:val="000000"/>
          <w:lang w:val="en-GB"/>
        </w:rPr>
        <w:t>the GEAT provided is specific to frailty</w:t>
      </w:r>
      <w:r>
        <w:rPr>
          <w:rFonts w:cs="Arial"/>
          <w:color w:val="000000"/>
          <w:lang w:val="en-GB"/>
        </w:rPr>
        <w:t>, for example</w:t>
      </w:r>
      <w:r w:rsidRPr="00FC7070">
        <w:rPr>
          <w:rFonts w:cs="Arial"/>
          <w:color w:val="000000"/>
          <w:lang w:val="en-GB"/>
        </w:rPr>
        <w:t>, functional/postural decline, not standard household items. There are exceptions for some standard household items, such as a recliner or electric adjustable bed, if a relevant health professional determines that items meet the care recipient’s current and prospective age-related care needs.</w:t>
      </w:r>
    </w:p>
    <w:p w14:paraId="5215AB08" w14:textId="77777777" w:rsidR="006C6BCC" w:rsidRPr="003E743F" w:rsidRDefault="006C6BCC" w:rsidP="003E743F">
      <w:pPr>
        <w:pStyle w:val="Heading4"/>
      </w:pPr>
      <w:r w:rsidRPr="003E743F">
        <w:t>Q. Can a client who does not speak English buy an iPhone to interact with his daughter who lives in Hong Kong? He is deaf in his left ear and has low hearing in his right, even though he wears hearing aids.</w:t>
      </w:r>
    </w:p>
    <w:p w14:paraId="244F4646" w14:textId="31542313" w:rsidR="006C6BCC" w:rsidRPr="00D02B87" w:rsidRDefault="006C6BCC" w:rsidP="008D5442">
      <w:pPr>
        <w:rPr>
          <w:rFonts w:cs="Arial"/>
          <w:color w:val="000000"/>
          <w:lang w:val="en-GB"/>
        </w:rPr>
      </w:pPr>
      <w:r w:rsidRPr="007C2154">
        <w:rPr>
          <w:rFonts w:cs="Arial"/>
          <w:color w:val="000000"/>
          <w:lang w:val="en-GB"/>
        </w:rPr>
        <w:t xml:space="preserve">A. </w:t>
      </w:r>
      <w:r w:rsidRPr="00D02B87">
        <w:rPr>
          <w:rFonts w:cs="Arial"/>
          <w:color w:val="000000"/>
          <w:lang w:val="en-GB"/>
        </w:rPr>
        <w:t xml:space="preserve">Please see question 10 of the </w:t>
      </w:r>
      <w:hyperlink r:id="rId35" w:history="1">
        <w:r w:rsidRPr="00DF7A38">
          <w:rPr>
            <w:rStyle w:val="Hyperlink"/>
            <w:rFonts w:cs="Arial"/>
            <w:color w:val="0070C0"/>
            <w:lang w:val="en-GB"/>
          </w:rPr>
          <w:t>Home Care Packages Program Inclusions and Exclusions – FAQs for Providers – version 1</w:t>
        </w:r>
      </w:hyperlink>
      <w:r w:rsidRPr="00D02B87">
        <w:rPr>
          <w:rFonts w:cs="Arial"/>
          <w:color w:val="000000"/>
          <w:lang w:val="en-GB"/>
        </w:rPr>
        <w:t>.</w:t>
      </w:r>
    </w:p>
    <w:p w14:paraId="1047A248" w14:textId="77777777" w:rsidR="006C6BCC" w:rsidRPr="00D02B87" w:rsidRDefault="006C6BCC" w:rsidP="00601D70">
      <w:pPr>
        <w:pStyle w:val="ListParagraph"/>
        <w:numPr>
          <w:ilvl w:val="0"/>
          <w:numId w:val="7"/>
        </w:numPr>
        <w:ind w:left="357" w:hanging="357"/>
        <w:rPr>
          <w:rFonts w:cs="Arial"/>
          <w:color w:val="000000"/>
          <w:lang w:val="en-GB"/>
        </w:rPr>
      </w:pPr>
      <w:r w:rsidRPr="00D02B87">
        <w:rPr>
          <w:rFonts w:cs="Arial"/>
          <w:color w:val="000000"/>
          <w:lang w:val="en-GB"/>
        </w:rPr>
        <w:t xml:space="preserve">Laptops, phones, and similar electronics are typically excluded under the HCP </w:t>
      </w:r>
      <w:r>
        <w:rPr>
          <w:rFonts w:cs="Arial"/>
          <w:color w:val="000000"/>
          <w:lang w:val="en-GB"/>
        </w:rPr>
        <w:t>p</w:t>
      </w:r>
      <w:r w:rsidRPr="00D02B87">
        <w:rPr>
          <w:rFonts w:cs="Arial"/>
          <w:color w:val="000000"/>
          <w:lang w:val="en-GB"/>
        </w:rPr>
        <w:t>rogram.</w:t>
      </w:r>
    </w:p>
    <w:p w14:paraId="27295623" w14:textId="77777777" w:rsidR="006C6BCC" w:rsidRPr="00D02B87" w:rsidRDefault="006C6BCC" w:rsidP="00601D70">
      <w:pPr>
        <w:pStyle w:val="ListParagraph"/>
        <w:numPr>
          <w:ilvl w:val="0"/>
          <w:numId w:val="7"/>
        </w:numPr>
        <w:ind w:left="357" w:hanging="357"/>
        <w:rPr>
          <w:rFonts w:cs="Arial"/>
          <w:color w:val="000000"/>
          <w:lang w:val="en-GB"/>
        </w:rPr>
      </w:pPr>
      <w:r w:rsidRPr="00D02B87">
        <w:rPr>
          <w:rFonts w:cs="Arial"/>
          <w:color w:val="000000"/>
          <w:lang w:val="en-GB"/>
        </w:rPr>
        <w:t>Telephone and internet costs (except for setting up the connection) are excluded.</w:t>
      </w:r>
    </w:p>
    <w:p w14:paraId="77DA361B" w14:textId="77777777" w:rsidR="006C6BCC" w:rsidRPr="00D02B87" w:rsidRDefault="006C6BCC" w:rsidP="00601D70">
      <w:pPr>
        <w:pStyle w:val="ListParagraph"/>
        <w:numPr>
          <w:ilvl w:val="0"/>
          <w:numId w:val="7"/>
        </w:numPr>
        <w:ind w:left="357" w:hanging="357"/>
        <w:rPr>
          <w:rFonts w:cs="Arial"/>
          <w:color w:val="000000"/>
          <w:lang w:val="en-GB"/>
        </w:rPr>
      </w:pPr>
      <w:r w:rsidRPr="00D02B87">
        <w:rPr>
          <w:rFonts w:cs="Arial"/>
          <w:color w:val="000000"/>
          <w:lang w:val="en-GB"/>
        </w:rPr>
        <w:t xml:space="preserve">There are exceptions for the purchase of IT equipment, including tablets, </w:t>
      </w:r>
      <w:proofErr w:type="gramStart"/>
      <w:r w:rsidRPr="00D02B87">
        <w:rPr>
          <w:rFonts w:cs="Arial"/>
          <w:color w:val="000000"/>
          <w:lang w:val="en-GB"/>
        </w:rPr>
        <w:t>laptops</w:t>
      </w:r>
      <w:proofErr w:type="gramEnd"/>
      <w:r w:rsidRPr="00D02B87">
        <w:rPr>
          <w:rFonts w:cs="Arial"/>
          <w:color w:val="000000"/>
          <w:lang w:val="en-GB"/>
        </w:rPr>
        <w:t xml:space="preserve"> and internet subscriptions, to help older people communicate with their providers, family, carers and social groups under the following circumstances:</w:t>
      </w:r>
    </w:p>
    <w:p w14:paraId="02B7D76F" w14:textId="0DA23C7A" w:rsidR="008D5442" w:rsidRPr="008D5442" w:rsidRDefault="00D525EE" w:rsidP="008D5442">
      <w:pPr>
        <w:pStyle w:val="ListParagraph"/>
        <w:numPr>
          <w:ilvl w:val="1"/>
          <w:numId w:val="7"/>
        </w:numPr>
      </w:pPr>
      <w:r>
        <w:rPr>
          <w:rFonts w:cs="Arial"/>
          <w:color w:val="000000"/>
          <w:lang w:val="en-GB"/>
        </w:rPr>
        <w:t>h</w:t>
      </w:r>
      <w:r w:rsidR="006C6BCC" w:rsidRPr="008D5442">
        <w:rPr>
          <w:rFonts w:cs="Arial"/>
          <w:color w:val="000000"/>
          <w:lang w:val="en-GB"/>
        </w:rPr>
        <w:t>omelessness</w:t>
      </w:r>
    </w:p>
    <w:p w14:paraId="1D4D1F2C" w14:textId="77777777" w:rsidR="008D5442" w:rsidRPr="008D5442" w:rsidRDefault="006C6BCC" w:rsidP="008D5442">
      <w:pPr>
        <w:pStyle w:val="ListParagraph"/>
        <w:numPr>
          <w:ilvl w:val="1"/>
          <w:numId w:val="7"/>
        </w:numPr>
      </w:pPr>
      <w:r w:rsidRPr="008D5442">
        <w:rPr>
          <w:rFonts w:cs="Arial"/>
          <w:color w:val="000000"/>
          <w:lang w:val="en-GB"/>
        </w:rPr>
        <w:lastRenderedPageBreak/>
        <w:t xml:space="preserve">medication management (page 68 of the </w:t>
      </w:r>
      <w:hyperlink r:id="rId36" w:history="1">
        <w:r w:rsidRPr="008D5442">
          <w:rPr>
            <w:rStyle w:val="Hyperlink"/>
            <w:rFonts w:cs="Arial"/>
            <w:color w:val="0070C0"/>
            <w:lang w:val="en-GB"/>
          </w:rPr>
          <w:t>Home Care Packages Program Operational Manual (version 1.4)</w:t>
        </w:r>
      </w:hyperlink>
      <w:r w:rsidRPr="008D5442">
        <w:rPr>
          <w:rFonts w:cs="Arial"/>
          <w:color w:val="000000"/>
          <w:lang w:val="en-GB"/>
        </w:rPr>
        <w:t>)</w:t>
      </w:r>
    </w:p>
    <w:p w14:paraId="1AE73BDF" w14:textId="5B86DAC6" w:rsidR="009051BC" w:rsidRPr="008D5442" w:rsidRDefault="006C6BCC" w:rsidP="008D5442">
      <w:pPr>
        <w:pStyle w:val="ListParagraph"/>
        <w:numPr>
          <w:ilvl w:val="1"/>
          <w:numId w:val="7"/>
        </w:numPr>
      </w:pPr>
      <w:r w:rsidRPr="008D5442">
        <w:rPr>
          <w:rFonts w:cs="Arial"/>
          <w:color w:val="000000"/>
          <w:lang w:val="en-GB"/>
        </w:rPr>
        <w:t>social inclusion purposes consistent with the Commonwealth Home Support Programme, noting support is capped at $500 per care recipient per year (or up to $1,000 in exceptional circumstances).</w:t>
      </w:r>
    </w:p>
    <w:p w14:paraId="483F68AA" w14:textId="23F6C28E" w:rsidR="009051BC" w:rsidRPr="00D02B87" w:rsidRDefault="006C6BCC" w:rsidP="008D5442">
      <w:pPr>
        <w:rPr>
          <w:rFonts w:cs="Arial"/>
          <w:color w:val="000000"/>
          <w:lang w:val="en-GB"/>
        </w:rPr>
      </w:pPr>
      <w:r w:rsidRPr="00D02B87">
        <w:rPr>
          <w:rFonts w:cs="Arial"/>
          <w:color w:val="000000"/>
          <w:lang w:val="en-GB"/>
        </w:rPr>
        <w:t xml:space="preserve">The </w:t>
      </w:r>
      <w:proofErr w:type="gramStart"/>
      <w:r w:rsidRPr="006714DE">
        <w:rPr>
          <w:rFonts w:cs="Arial"/>
          <w:i/>
          <w:iCs/>
          <w:color w:val="000000"/>
          <w:lang w:val="en-GB"/>
        </w:rPr>
        <w:t>Quality of Care</w:t>
      </w:r>
      <w:proofErr w:type="gramEnd"/>
      <w:r w:rsidRPr="006714DE">
        <w:rPr>
          <w:rFonts w:cs="Arial"/>
          <w:i/>
          <w:iCs/>
          <w:color w:val="000000"/>
          <w:lang w:val="en-GB"/>
        </w:rPr>
        <w:t xml:space="preserve"> Principles 2014</w:t>
      </w:r>
      <w:r w:rsidRPr="00D02B87">
        <w:rPr>
          <w:rFonts w:cs="Arial"/>
          <w:color w:val="000000"/>
          <w:lang w:val="en-GB"/>
        </w:rPr>
        <w:t xml:space="preserve"> lists the care and services that cannot be paid for through a HCP</w:t>
      </w:r>
      <w:r>
        <w:rPr>
          <w:rFonts w:cs="Arial"/>
          <w:color w:val="000000"/>
          <w:lang w:val="en-GB"/>
        </w:rPr>
        <w:t>. T</w:t>
      </w:r>
      <w:r w:rsidRPr="00D02B87">
        <w:rPr>
          <w:rFonts w:cs="Arial"/>
          <w:color w:val="000000"/>
          <w:lang w:val="en-GB"/>
        </w:rPr>
        <w:t>his includes the use of package funds as a source of general income.</w:t>
      </w:r>
    </w:p>
    <w:p w14:paraId="4832226E" w14:textId="4C9277D5" w:rsidR="009051BC" w:rsidRPr="00D02B87" w:rsidRDefault="006C6BCC" w:rsidP="008D5442">
      <w:pPr>
        <w:rPr>
          <w:rFonts w:cs="Arial"/>
          <w:color w:val="000000"/>
          <w:lang w:val="en-GB"/>
        </w:rPr>
      </w:pPr>
      <w:r w:rsidRPr="00D02B87">
        <w:rPr>
          <w:rFonts w:cs="Arial"/>
          <w:color w:val="000000"/>
          <w:lang w:val="en-GB"/>
        </w:rPr>
        <w:t>General income includes those expenses that all citizens must pay for themselves throughout their life at every age.</w:t>
      </w:r>
    </w:p>
    <w:p w14:paraId="5E726DF5" w14:textId="2A0C13B3" w:rsidR="009051BC" w:rsidRPr="00D02B87" w:rsidRDefault="006C6BCC" w:rsidP="008D5442">
      <w:pPr>
        <w:rPr>
          <w:rFonts w:cs="Arial"/>
          <w:color w:val="000000"/>
          <w:lang w:val="en-GB"/>
        </w:rPr>
      </w:pPr>
      <w:r w:rsidRPr="00D02B87">
        <w:rPr>
          <w:rFonts w:cs="Arial"/>
          <w:color w:val="000000"/>
          <w:lang w:val="en-GB"/>
        </w:rPr>
        <w:t>When making decisions on inclusions and exclusions, providers are expected to work with their care recipients in consultation with the ‘Inclusions’.</w:t>
      </w:r>
    </w:p>
    <w:p w14:paraId="7341E934" w14:textId="2C5C9464" w:rsidR="006C6BCC" w:rsidRPr="008D5442" w:rsidRDefault="006C6BCC" w:rsidP="008D5442">
      <w:pPr>
        <w:rPr>
          <w:rFonts w:cs="Arial"/>
          <w:color w:val="000000"/>
          <w:lang w:val="en-GB"/>
        </w:rPr>
      </w:pPr>
      <w:r w:rsidRPr="00D02B87">
        <w:rPr>
          <w:rFonts w:cs="Arial"/>
          <w:color w:val="000000"/>
          <w:lang w:val="en-GB"/>
        </w:rPr>
        <w:t>If</w:t>
      </w:r>
      <w:r>
        <w:rPr>
          <w:rFonts w:cs="Arial"/>
          <w:color w:val="000000"/>
          <w:lang w:val="en-GB"/>
        </w:rPr>
        <w:t>,</w:t>
      </w:r>
      <w:r w:rsidRPr="00D02B87">
        <w:rPr>
          <w:rFonts w:cs="Arial"/>
          <w:color w:val="000000"/>
          <w:lang w:val="en-GB"/>
        </w:rPr>
        <w:t xml:space="preserve"> prior to entering the </w:t>
      </w:r>
      <w:r>
        <w:rPr>
          <w:rFonts w:cs="Arial"/>
          <w:color w:val="000000"/>
          <w:lang w:val="en-GB"/>
        </w:rPr>
        <w:t>p</w:t>
      </w:r>
      <w:r w:rsidRPr="00D02B87">
        <w:rPr>
          <w:rFonts w:cs="Arial"/>
          <w:color w:val="000000"/>
          <w:lang w:val="en-GB"/>
        </w:rPr>
        <w:t>rogram</w:t>
      </w:r>
      <w:r>
        <w:rPr>
          <w:rFonts w:cs="Arial"/>
          <w:color w:val="000000"/>
          <w:lang w:val="en-GB"/>
        </w:rPr>
        <w:t>,</w:t>
      </w:r>
      <w:r w:rsidRPr="00D02B87">
        <w:rPr>
          <w:rFonts w:cs="Arial"/>
          <w:color w:val="000000"/>
          <w:lang w:val="en-GB"/>
        </w:rPr>
        <w:t xml:space="preserve"> the care recipient would have paid for a phone (smart phone or otherwise) themselves</w:t>
      </w:r>
      <w:r>
        <w:rPr>
          <w:rFonts w:cs="Arial"/>
          <w:color w:val="000000"/>
          <w:lang w:val="en-GB"/>
        </w:rPr>
        <w:t>,</w:t>
      </w:r>
      <w:r w:rsidRPr="00D02B87">
        <w:rPr>
          <w:rFonts w:cs="Arial"/>
          <w:color w:val="000000"/>
          <w:lang w:val="en-GB"/>
        </w:rPr>
        <w:t xml:space="preserve"> and can afford to do so, then it is a clear exclusion.</w:t>
      </w:r>
    </w:p>
    <w:p w14:paraId="4C9A183E" w14:textId="641A3E47" w:rsidR="009051BC" w:rsidRPr="008D5442" w:rsidRDefault="006C6BCC" w:rsidP="008D5442">
      <w:pPr>
        <w:pStyle w:val="Heading4"/>
      </w:pPr>
      <w:r w:rsidRPr="008D5442">
        <w:t>Q. How do you deal with care recipients who pressure case managers to purchase excluded items?</w:t>
      </w:r>
    </w:p>
    <w:p w14:paraId="036E9DF6" w14:textId="76B59C69" w:rsidR="006C6BCC" w:rsidRDefault="006C6BCC" w:rsidP="008D5442">
      <w:pPr>
        <w:rPr>
          <w:rFonts w:cs="Arial"/>
          <w:color w:val="000000"/>
          <w:lang w:val="en-GB"/>
        </w:rPr>
      </w:pPr>
      <w:r w:rsidRPr="0045122F">
        <w:rPr>
          <w:rFonts w:cs="Arial"/>
          <w:color w:val="000000"/>
          <w:lang w:val="en-GB"/>
        </w:rPr>
        <w:t xml:space="preserve">A. </w:t>
      </w:r>
      <w:r w:rsidRPr="006475C8">
        <w:rPr>
          <w:rFonts w:cs="Arial"/>
          <w:color w:val="000000"/>
          <w:lang w:val="en-GB"/>
        </w:rPr>
        <w:t xml:space="preserve">To meet legislative obligations, providers may need to have challenging conversations with care recipients and their carers about whether a type of care, service or item can be included in </w:t>
      </w:r>
      <w:proofErr w:type="gramStart"/>
      <w:r w:rsidRPr="006475C8">
        <w:rPr>
          <w:rFonts w:cs="Arial"/>
          <w:color w:val="000000"/>
          <w:lang w:val="en-GB"/>
        </w:rPr>
        <w:t>a</w:t>
      </w:r>
      <w:proofErr w:type="gramEnd"/>
      <w:r w:rsidRPr="006475C8">
        <w:rPr>
          <w:rFonts w:cs="Arial"/>
          <w:color w:val="000000"/>
          <w:lang w:val="en-GB"/>
        </w:rPr>
        <w:t xml:space="preserve"> HCP. It is the responsibility of providers to be clear with care recipients about the scope and intent of the </w:t>
      </w:r>
      <w:r>
        <w:rPr>
          <w:rFonts w:cs="Arial"/>
          <w:color w:val="000000"/>
          <w:lang w:val="en-GB"/>
        </w:rPr>
        <w:t>p</w:t>
      </w:r>
      <w:r w:rsidRPr="006475C8">
        <w:rPr>
          <w:rFonts w:cs="Arial"/>
          <w:color w:val="000000"/>
          <w:lang w:val="en-GB"/>
        </w:rPr>
        <w:t>rogram.</w:t>
      </w:r>
    </w:p>
    <w:p w14:paraId="44940C38" w14:textId="36583B16" w:rsidR="009051BC" w:rsidRPr="006475C8" w:rsidRDefault="006C6BCC" w:rsidP="008D5442">
      <w:pPr>
        <w:rPr>
          <w:rFonts w:cs="Arial"/>
          <w:color w:val="000000"/>
          <w:lang w:val="en-GB"/>
        </w:rPr>
      </w:pPr>
      <w:r w:rsidRPr="006475C8">
        <w:rPr>
          <w:rFonts w:cs="Arial"/>
          <w:color w:val="000000"/>
          <w:lang w:val="en-GB"/>
        </w:rPr>
        <w:t>Providers must comply with their legislative obligations, and this cannot be impacted by care recipient pressure.</w:t>
      </w:r>
    </w:p>
    <w:p w14:paraId="539C044F" w14:textId="303E716A" w:rsidR="006C6BCC" w:rsidRDefault="006C6BCC" w:rsidP="008D5442">
      <w:pPr>
        <w:rPr>
          <w:rFonts w:cs="Arial"/>
          <w:color w:val="000000"/>
          <w:lang w:val="en-GB"/>
        </w:rPr>
      </w:pPr>
      <w:r w:rsidRPr="006475C8">
        <w:rPr>
          <w:rFonts w:cs="Arial"/>
          <w:color w:val="000000"/>
          <w:lang w:val="en-GB"/>
        </w:rPr>
        <w:t xml:space="preserve">Care and services delivered must align with the individual home care budget and the scope of the </w:t>
      </w:r>
      <w:r>
        <w:rPr>
          <w:rFonts w:cs="Arial"/>
          <w:color w:val="000000"/>
          <w:lang w:val="en-GB"/>
        </w:rPr>
        <w:t>p</w:t>
      </w:r>
      <w:r w:rsidRPr="006475C8">
        <w:rPr>
          <w:rFonts w:cs="Arial"/>
          <w:color w:val="000000"/>
          <w:lang w:val="en-GB"/>
        </w:rPr>
        <w:t>rogram. It is not a general income support program.</w:t>
      </w:r>
    </w:p>
    <w:p w14:paraId="235E1FD2" w14:textId="2F6232BF" w:rsidR="006C6BCC" w:rsidRDefault="006C6BCC" w:rsidP="008D5442">
      <w:pPr>
        <w:rPr>
          <w:rFonts w:cs="Arial"/>
          <w:color w:val="000000"/>
          <w:lang w:val="en-GB"/>
        </w:rPr>
      </w:pPr>
      <w:r w:rsidRPr="006475C8">
        <w:rPr>
          <w:rFonts w:cs="Arial"/>
          <w:color w:val="000000"/>
          <w:lang w:val="en-GB"/>
        </w:rPr>
        <w:t xml:space="preserve">When resolving complaints in relation to a person’s care and services, if it is found that a service provider has used HCP funds for payment of an excluded item, the Aged Care Quality and Safety Commission can issue Directions for the provider to comply with their responsibilities under the </w:t>
      </w:r>
      <w:r w:rsidRPr="006475C8">
        <w:rPr>
          <w:rFonts w:cs="Arial"/>
          <w:i/>
          <w:iCs/>
          <w:color w:val="000000"/>
          <w:lang w:val="en-GB"/>
        </w:rPr>
        <w:t>Aged Care Act</w:t>
      </w:r>
      <w:r w:rsidRPr="007F56F6">
        <w:rPr>
          <w:rFonts w:cs="Arial"/>
          <w:i/>
          <w:iCs/>
          <w:color w:val="000000"/>
          <w:lang w:val="en-GB"/>
        </w:rPr>
        <w:t xml:space="preserve"> 1997</w:t>
      </w:r>
      <w:r w:rsidRPr="006475C8">
        <w:rPr>
          <w:rFonts w:cs="Arial"/>
          <w:color w:val="000000"/>
          <w:lang w:val="en-GB"/>
        </w:rPr>
        <w:t xml:space="preserve"> and </w:t>
      </w:r>
      <w:r>
        <w:rPr>
          <w:rFonts w:cs="Arial"/>
          <w:color w:val="000000"/>
          <w:lang w:val="en-GB"/>
        </w:rPr>
        <w:t>p</w:t>
      </w:r>
      <w:r w:rsidRPr="006475C8">
        <w:rPr>
          <w:rFonts w:cs="Arial"/>
          <w:color w:val="000000"/>
          <w:lang w:val="en-GB"/>
        </w:rPr>
        <w:t>rinciples. This could include, at a minimum, repayment of any amounts that have been unlawfully charged against the budget.</w:t>
      </w:r>
    </w:p>
    <w:p w14:paraId="6CF77BF3" w14:textId="6691C05A" w:rsidR="006C6BCC" w:rsidRDefault="006C6BCC" w:rsidP="008D5442">
      <w:pPr>
        <w:rPr>
          <w:rFonts w:cs="Arial"/>
          <w:color w:val="000000"/>
          <w:lang w:val="en-GB"/>
        </w:rPr>
      </w:pPr>
      <w:r w:rsidRPr="006475C8">
        <w:rPr>
          <w:rFonts w:cs="Arial"/>
          <w:color w:val="000000"/>
          <w:lang w:val="en-GB"/>
        </w:rPr>
        <w:t xml:space="preserve">A framework of considerations is included in section 9.5 of the </w:t>
      </w:r>
      <w:hyperlink r:id="rId37" w:history="1">
        <w:r w:rsidRPr="00DF7A38">
          <w:rPr>
            <w:rStyle w:val="Hyperlink"/>
            <w:rFonts w:cs="Arial"/>
            <w:color w:val="0070C0"/>
            <w:lang w:val="en-GB"/>
          </w:rPr>
          <w:t>Home Care Packages Program Operational Manual (version 1.4)</w:t>
        </w:r>
      </w:hyperlink>
      <w:r w:rsidRPr="00DF7A38">
        <w:rPr>
          <w:rFonts w:cs="Arial"/>
          <w:color w:val="000000"/>
          <w:lang w:val="en-GB"/>
        </w:rPr>
        <w:t xml:space="preserve"> </w:t>
      </w:r>
      <w:r w:rsidRPr="006475C8">
        <w:rPr>
          <w:rFonts w:cs="Arial"/>
          <w:color w:val="000000"/>
          <w:lang w:val="en-GB"/>
        </w:rPr>
        <w:t>to support these discussions.</w:t>
      </w:r>
    </w:p>
    <w:p w14:paraId="6D5B101C" w14:textId="008D3C87" w:rsidR="006C6BCC" w:rsidRDefault="006C6BCC" w:rsidP="008D5442">
      <w:pPr>
        <w:rPr>
          <w:rFonts w:cs="Arial"/>
          <w:color w:val="000000"/>
          <w:lang w:val="en-GB"/>
        </w:rPr>
      </w:pPr>
      <w:r w:rsidRPr="006475C8">
        <w:rPr>
          <w:rFonts w:cs="Arial"/>
          <w:color w:val="000000"/>
          <w:lang w:val="en-GB"/>
        </w:rPr>
        <w:t>It is also important that providers document and retain records of the reasons why a service or item is included or excluded.</w:t>
      </w:r>
    </w:p>
    <w:p w14:paraId="598605AB" w14:textId="77777777" w:rsidR="006C6BCC" w:rsidRPr="006475C8" w:rsidRDefault="006C6BCC" w:rsidP="008D5442">
      <w:pPr>
        <w:rPr>
          <w:rFonts w:cs="Arial"/>
          <w:color w:val="000000"/>
          <w:lang w:val="en-GB"/>
        </w:rPr>
      </w:pPr>
      <w:r w:rsidRPr="006475C8">
        <w:rPr>
          <w:rFonts w:cs="Arial"/>
          <w:color w:val="000000"/>
          <w:lang w:val="en-GB"/>
        </w:rPr>
        <w:t>Providers will also need to help care recipients understand what care, services, and purchases they can afford within their package budget.</w:t>
      </w:r>
    </w:p>
    <w:p w14:paraId="3C2A7A4A" w14:textId="77777777" w:rsidR="006C6BCC" w:rsidRPr="008D5442" w:rsidRDefault="006C6BCC" w:rsidP="008D5442">
      <w:pPr>
        <w:pStyle w:val="Heading4"/>
      </w:pPr>
      <w:r w:rsidRPr="008D5442">
        <w:lastRenderedPageBreak/>
        <w:t>Q. Will there be review of the HCP inclusion and exclusion list soon since there is still a lot of grey area that needs to be rectified.</w:t>
      </w:r>
    </w:p>
    <w:p w14:paraId="44A23383" w14:textId="729D09C5" w:rsidR="006C6BCC" w:rsidRPr="00A96707" w:rsidRDefault="006C6BCC" w:rsidP="008D5442">
      <w:pPr>
        <w:rPr>
          <w:rFonts w:cs="Arial"/>
          <w:color w:val="000000"/>
          <w:lang w:val="en-GB"/>
        </w:rPr>
      </w:pPr>
      <w:r>
        <w:rPr>
          <w:rFonts w:cs="Arial"/>
          <w:color w:val="000000"/>
        </w:rPr>
        <w:t xml:space="preserve">A. </w:t>
      </w:r>
      <w:r w:rsidRPr="00A96707">
        <w:rPr>
          <w:rFonts w:cs="Arial"/>
          <w:color w:val="000000"/>
          <w:lang w:val="en-GB"/>
        </w:rPr>
        <w:t xml:space="preserve">The </w:t>
      </w:r>
      <w:r w:rsidR="002D2F73">
        <w:rPr>
          <w:rFonts w:cs="Arial"/>
          <w:color w:val="000000"/>
          <w:lang w:val="en-GB"/>
        </w:rPr>
        <w:t>d</w:t>
      </w:r>
      <w:r w:rsidRPr="00A96707">
        <w:rPr>
          <w:rFonts w:cs="Arial"/>
          <w:color w:val="000000"/>
          <w:lang w:val="en-GB"/>
        </w:rPr>
        <w:t xml:space="preserve">epartment is regularly reviewing communication products and </w:t>
      </w:r>
      <w:r w:rsidR="00A96707" w:rsidRPr="00A96707">
        <w:rPr>
          <w:rFonts w:cs="Arial"/>
          <w:color w:val="000000"/>
          <w:lang w:val="en-GB"/>
        </w:rPr>
        <w:t>welcome</w:t>
      </w:r>
      <w:r w:rsidR="00EF3672">
        <w:rPr>
          <w:rFonts w:cs="Arial"/>
          <w:color w:val="000000"/>
          <w:lang w:val="en-GB"/>
        </w:rPr>
        <w:t>s</w:t>
      </w:r>
      <w:r w:rsidRPr="00A96707">
        <w:rPr>
          <w:rFonts w:cs="Arial"/>
          <w:color w:val="000000"/>
          <w:lang w:val="en-GB"/>
        </w:rPr>
        <w:t xml:space="preserve"> feedback. Please write to the department at </w:t>
      </w:r>
      <w:hyperlink r:id="rId38" w:history="1">
        <w:r w:rsidRPr="00DF7A38">
          <w:rPr>
            <w:rStyle w:val="Hyperlink"/>
            <w:rFonts w:cs="Arial"/>
            <w:color w:val="0070C0"/>
            <w:lang w:val="en-GB"/>
          </w:rPr>
          <w:t>agedcareenquiries@health.gov.au</w:t>
        </w:r>
      </w:hyperlink>
      <w:r w:rsidRPr="00A96707">
        <w:rPr>
          <w:rFonts w:cs="Arial"/>
          <w:color w:val="000000"/>
          <w:lang w:val="en-GB"/>
        </w:rPr>
        <w:t xml:space="preserve"> and provide specific examples of suggested grey area clarifications.</w:t>
      </w:r>
    </w:p>
    <w:p w14:paraId="77AE8D52" w14:textId="77777777" w:rsidR="006C6BCC" w:rsidRPr="008D5442" w:rsidRDefault="006C6BCC" w:rsidP="007F5239">
      <w:pPr>
        <w:spacing w:before="0" w:after="0"/>
        <w:rPr>
          <w:rFonts w:eastAsiaTheme="majorEastAsia" w:cstheme="majorBidi"/>
          <w:b/>
          <w:color w:val="1E1544" w:themeColor="text1"/>
          <w:szCs w:val="22"/>
        </w:rPr>
      </w:pPr>
      <w:r w:rsidRPr="008D5442">
        <w:rPr>
          <w:rFonts w:eastAsiaTheme="majorEastAsia" w:cstheme="majorBidi"/>
          <w:b/>
          <w:color w:val="1E1544" w:themeColor="text1"/>
          <w:szCs w:val="22"/>
        </w:rPr>
        <w:t xml:space="preserve">Q. Who </w:t>
      </w:r>
      <w:proofErr w:type="gramStart"/>
      <w:r w:rsidRPr="008D5442">
        <w:rPr>
          <w:rFonts w:eastAsiaTheme="majorEastAsia" w:cstheme="majorBidi"/>
          <w:b/>
          <w:color w:val="1E1544" w:themeColor="text1"/>
          <w:szCs w:val="22"/>
        </w:rPr>
        <w:t>do</w:t>
      </w:r>
      <w:proofErr w:type="gramEnd"/>
      <w:r w:rsidRPr="008D5442">
        <w:rPr>
          <w:rFonts w:eastAsiaTheme="majorEastAsia" w:cstheme="majorBidi"/>
          <w:b/>
          <w:color w:val="1E1544" w:themeColor="text1"/>
          <w:szCs w:val="22"/>
        </w:rPr>
        <w:t xml:space="preserve"> we contact to see if a service is covered by a home care package if we are unsure?</w:t>
      </w:r>
    </w:p>
    <w:p w14:paraId="7E70780C" w14:textId="113CB44E" w:rsidR="006C6BCC" w:rsidRPr="004407A4" w:rsidRDefault="006C6BCC" w:rsidP="008D5442">
      <w:pPr>
        <w:rPr>
          <w:rFonts w:cs="Arial"/>
          <w:color w:val="000000"/>
          <w:u w:val="single"/>
          <w:lang w:val="en-GB"/>
        </w:rPr>
      </w:pPr>
      <w:r>
        <w:rPr>
          <w:rFonts w:cs="Arial"/>
          <w:color w:val="000000"/>
        </w:rPr>
        <w:t xml:space="preserve">A. </w:t>
      </w:r>
      <w:r w:rsidRPr="004407A4">
        <w:rPr>
          <w:rFonts w:cs="Arial"/>
          <w:color w:val="000000"/>
          <w:lang w:val="en-GB"/>
        </w:rPr>
        <w:t xml:space="preserve">Please see page 9 of the </w:t>
      </w:r>
      <w:hyperlink r:id="rId39" w:history="1">
        <w:r w:rsidRPr="00DF7A38">
          <w:rPr>
            <w:rStyle w:val="Hyperlink"/>
            <w:rFonts w:cs="Arial"/>
            <w:color w:val="0070C0"/>
            <w:lang w:val="en-GB"/>
          </w:rPr>
          <w:t>Home Care Packages Program Operational Manual (version 1.4)</w:t>
        </w:r>
      </w:hyperlink>
    </w:p>
    <w:p w14:paraId="3BBA6EE7" w14:textId="77777777" w:rsidR="006C6BCC" w:rsidRDefault="006C6BCC" w:rsidP="008D5442">
      <w:pPr>
        <w:rPr>
          <w:rFonts w:cs="Arial"/>
          <w:color w:val="000000"/>
          <w:lang w:val="en-GB"/>
        </w:rPr>
      </w:pPr>
      <w:r w:rsidRPr="004407A4">
        <w:rPr>
          <w:rFonts w:cs="Arial"/>
          <w:color w:val="000000"/>
          <w:lang w:val="en-GB"/>
        </w:rPr>
        <w:t xml:space="preserve">Alternatively, you may wish to read the </w:t>
      </w:r>
      <w:hyperlink r:id="rId40" w:history="1">
        <w:r w:rsidRPr="00DF7A38">
          <w:rPr>
            <w:rStyle w:val="Hyperlink"/>
            <w:rFonts w:cs="Arial"/>
            <w:color w:val="0070C0"/>
            <w:lang w:val="en-GB"/>
          </w:rPr>
          <w:t>Home Care Packages Program Inclusions and Exclusions – FAQs for Providers – version 1</w:t>
        </w:r>
      </w:hyperlink>
      <w:r>
        <w:rPr>
          <w:rFonts w:cs="Arial"/>
          <w:color w:val="000000"/>
          <w:lang w:val="en-GB"/>
        </w:rPr>
        <w:t>.</w:t>
      </w:r>
    </w:p>
    <w:p w14:paraId="7A3D6836" w14:textId="77777777" w:rsidR="006C6BCC" w:rsidRDefault="006C6BCC" w:rsidP="008D5442">
      <w:pPr>
        <w:rPr>
          <w:rFonts w:cs="Arial"/>
          <w:color w:val="000000"/>
          <w:lang w:val="en-GB"/>
        </w:rPr>
      </w:pPr>
      <w:r w:rsidRPr="004407A4">
        <w:rPr>
          <w:rFonts w:cs="Arial"/>
          <w:color w:val="000000"/>
          <w:lang w:val="en-GB"/>
        </w:rPr>
        <w:t>To answer any questions you have, the My Aged Care contact centre is open Monday to Friday 8am-8pm and Saturday 10am-2pm. You can call the My Aged Care provider and assessor helpline on 1800 836 799.</w:t>
      </w:r>
    </w:p>
    <w:p w14:paraId="20D3C6B9" w14:textId="35C84777" w:rsidR="006C6BCC" w:rsidRDefault="00DD4EE3" w:rsidP="008D5442">
      <w:pPr>
        <w:rPr>
          <w:rFonts w:cs="Arial"/>
          <w:color w:val="000000"/>
          <w:lang w:val="en-GB"/>
        </w:rPr>
      </w:pPr>
      <w:r>
        <w:rPr>
          <w:rFonts w:cs="Arial"/>
          <w:color w:val="000000"/>
          <w:lang w:val="en-GB"/>
        </w:rPr>
        <w:t>The department’s</w:t>
      </w:r>
      <w:r w:rsidR="006C6BCC" w:rsidRPr="004407A4">
        <w:rPr>
          <w:rFonts w:cs="Arial"/>
          <w:color w:val="000000"/>
          <w:lang w:val="en-GB"/>
        </w:rPr>
        <w:t xml:space="preserve"> state </w:t>
      </w:r>
      <w:r w:rsidR="00077984">
        <w:rPr>
          <w:rFonts w:cs="Arial"/>
          <w:color w:val="000000"/>
          <w:lang w:val="en-GB"/>
        </w:rPr>
        <w:t>and</w:t>
      </w:r>
      <w:r w:rsidR="006C6BCC" w:rsidRPr="004407A4">
        <w:rPr>
          <w:rFonts w:cs="Arial"/>
          <w:color w:val="000000"/>
          <w:lang w:val="en-GB"/>
        </w:rPr>
        <w:t xml:space="preserve"> territory </w:t>
      </w:r>
      <w:r w:rsidR="004407A4" w:rsidRPr="004407A4">
        <w:rPr>
          <w:rFonts w:cs="Arial"/>
          <w:color w:val="000000"/>
          <w:lang w:val="en-GB"/>
        </w:rPr>
        <w:t>office</w:t>
      </w:r>
      <w:r w:rsidR="00077984">
        <w:rPr>
          <w:rFonts w:cs="Arial"/>
          <w:color w:val="000000"/>
          <w:lang w:val="en-GB"/>
        </w:rPr>
        <w:t>s</w:t>
      </w:r>
      <w:r w:rsidR="006C6BCC" w:rsidRPr="004407A4">
        <w:rPr>
          <w:rFonts w:cs="Arial"/>
          <w:color w:val="000000"/>
          <w:lang w:val="en-GB"/>
        </w:rPr>
        <w:t xml:space="preserve"> will be able to assist you with HCP program management enquiries that cannot be answered by My Aged Care.</w:t>
      </w:r>
    </w:p>
    <w:p w14:paraId="777B5848" w14:textId="77777777" w:rsidR="006C6BCC" w:rsidRPr="00DF7A38" w:rsidRDefault="006C6BCC" w:rsidP="008D5442">
      <w:pPr>
        <w:rPr>
          <w:rFonts w:cs="Arial"/>
          <w:color w:val="0070C0"/>
          <w:lang w:val="en-GB"/>
        </w:rPr>
      </w:pPr>
      <w:r w:rsidRPr="004407A4">
        <w:rPr>
          <w:rFonts w:cs="Arial"/>
          <w:color w:val="000000"/>
          <w:lang w:val="en-GB"/>
        </w:rPr>
        <w:t xml:space="preserve">WA                           </w:t>
      </w:r>
      <w:hyperlink r:id="rId41" w:history="1">
        <w:r w:rsidRPr="00DF7A38">
          <w:rPr>
            <w:rStyle w:val="Hyperlink"/>
            <w:rFonts w:cs="Arial"/>
            <w:color w:val="0070C0"/>
            <w:lang w:val="en-GB"/>
          </w:rPr>
          <w:t>WAPlaces@health.gov.au</w:t>
        </w:r>
      </w:hyperlink>
    </w:p>
    <w:p w14:paraId="51F6C162" w14:textId="77777777" w:rsidR="006C6BCC" w:rsidRPr="004407A4" w:rsidRDefault="006C6BCC" w:rsidP="008D5442">
      <w:pPr>
        <w:rPr>
          <w:rFonts w:cs="Arial"/>
          <w:color w:val="000000"/>
          <w:lang w:val="en-GB"/>
        </w:rPr>
      </w:pPr>
      <w:r w:rsidRPr="004407A4">
        <w:rPr>
          <w:rFonts w:cs="Arial"/>
          <w:color w:val="000000"/>
          <w:lang w:val="en-GB"/>
        </w:rPr>
        <w:t xml:space="preserve">NSW/ACT                </w:t>
      </w:r>
      <w:hyperlink r:id="rId42" w:history="1">
        <w:r w:rsidRPr="00DF7A38">
          <w:rPr>
            <w:rStyle w:val="Hyperlink"/>
            <w:rFonts w:cs="Arial"/>
            <w:color w:val="0070C0"/>
            <w:lang w:val="en-GB"/>
          </w:rPr>
          <w:t>NSWPlaces@health.gov.au</w:t>
        </w:r>
      </w:hyperlink>
    </w:p>
    <w:p w14:paraId="0265B6EE" w14:textId="77777777" w:rsidR="006C6BCC" w:rsidRPr="004407A4" w:rsidRDefault="006C6BCC" w:rsidP="008D5442">
      <w:pPr>
        <w:rPr>
          <w:rFonts w:cs="Arial"/>
          <w:color w:val="000000"/>
          <w:lang w:val="en-GB"/>
        </w:rPr>
      </w:pPr>
      <w:r w:rsidRPr="004407A4">
        <w:rPr>
          <w:rFonts w:cs="Arial"/>
          <w:color w:val="000000"/>
          <w:lang w:val="en-GB"/>
        </w:rPr>
        <w:t xml:space="preserve">VIC                           </w:t>
      </w:r>
      <w:hyperlink r:id="rId43" w:history="1">
        <w:r w:rsidRPr="00DF7A38">
          <w:rPr>
            <w:rStyle w:val="Hyperlink"/>
            <w:rFonts w:cs="Arial"/>
            <w:color w:val="0070C0"/>
            <w:lang w:val="en-GB"/>
          </w:rPr>
          <w:t>vic.office@health.gov.au</w:t>
        </w:r>
      </w:hyperlink>
    </w:p>
    <w:p w14:paraId="13277246" w14:textId="77777777" w:rsidR="006C6BCC" w:rsidRPr="004407A4" w:rsidRDefault="006C6BCC" w:rsidP="008D5442">
      <w:pPr>
        <w:rPr>
          <w:rFonts w:cs="Arial"/>
          <w:color w:val="000000"/>
          <w:lang w:val="en-GB"/>
        </w:rPr>
      </w:pPr>
      <w:r w:rsidRPr="004407A4">
        <w:rPr>
          <w:rFonts w:cs="Arial"/>
          <w:color w:val="000000"/>
          <w:lang w:val="en-GB"/>
        </w:rPr>
        <w:t xml:space="preserve">QLD                          </w:t>
      </w:r>
      <w:hyperlink r:id="rId44" w:history="1">
        <w:r w:rsidRPr="00DF7A38">
          <w:rPr>
            <w:rStyle w:val="Hyperlink"/>
            <w:rFonts w:cs="Arial"/>
            <w:color w:val="0070C0"/>
            <w:lang w:val="en-GB"/>
          </w:rPr>
          <w:t>engagement.QLD@health.gov.au</w:t>
        </w:r>
      </w:hyperlink>
    </w:p>
    <w:p w14:paraId="6B57A88B" w14:textId="77777777" w:rsidR="006C6BCC" w:rsidRPr="004407A4" w:rsidRDefault="006C6BCC" w:rsidP="008D5442">
      <w:pPr>
        <w:rPr>
          <w:rFonts w:cs="Arial"/>
          <w:color w:val="000000"/>
          <w:lang w:val="en-GB"/>
        </w:rPr>
      </w:pPr>
      <w:r w:rsidRPr="004407A4">
        <w:rPr>
          <w:rFonts w:cs="Arial"/>
          <w:color w:val="000000"/>
          <w:lang w:val="en-GB"/>
        </w:rPr>
        <w:t xml:space="preserve">SA                            </w:t>
      </w:r>
      <w:hyperlink r:id="rId45" w:history="1">
        <w:r w:rsidRPr="00DF7A38">
          <w:rPr>
            <w:rStyle w:val="Hyperlink"/>
            <w:rFonts w:cs="Arial"/>
            <w:color w:val="0070C0"/>
            <w:lang w:val="en-GB"/>
          </w:rPr>
          <w:t>SAPlaces@health.gov.au</w:t>
        </w:r>
      </w:hyperlink>
    </w:p>
    <w:p w14:paraId="1CE9C76C" w14:textId="77777777" w:rsidR="006C6BCC" w:rsidRPr="004407A4" w:rsidRDefault="006C6BCC" w:rsidP="008D5442">
      <w:pPr>
        <w:rPr>
          <w:rFonts w:cs="Arial"/>
          <w:color w:val="000000"/>
          <w:lang w:val="en-GB"/>
        </w:rPr>
      </w:pPr>
      <w:r w:rsidRPr="004407A4">
        <w:rPr>
          <w:rFonts w:cs="Arial"/>
          <w:color w:val="000000"/>
          <w:lang w:val="en-GB"/>
        </w:rPr>
        <w:t xml:space="preserve">TAS                          </w:t>
      </w:r>
      <w:hyperlink r:id="rId46" w:history="1">
        <w:r w:rsidRPr="00DF7A38">
          <w:rPr>
            <w:rStyle w:val="Hyperlink"/>
            <w:rFonts w:cs="Arial"/>
            <w:color w:val="0070C0"/>
            <w:lang w:val="en-GB"/>
          </w:rPr>
          <w:t>TAS.Office@health.gov.au</w:t>
        </w:r>
      </w:hyperlink>
    </w:p>
    <w:p w14:paraId="60ED018D" w14:textId="4557B5E0" w:rsidR="009051BC" w:rsidRPr="00D525EE" w:rsidRDefault="006C6BCC" w:rsidP="008D5442">
      <w:pPr>
        <w:rPr>
          <w:rFonts w:cs="Arial"/>
          <w:color w:val="1E1545" w:themeColor="hyperlink"/>
          <w:u w:val="single"/>
          <w:lang w:val="en-GB"/>
        </w:rPr>
      </w:pPr>
      <w:r w:rsidRPr="004407A4">
        <w:rPr>
          <w:rFonts w:cs="Arial"/>
          <w:color w:val="000000"/>
          <w:lang w:val="en-GB"/>
        </w:rPr>
        <w:t xml:space="preserve">NT                            </w:t>
      </w:r>
      <w:hyperlink r:id="rId47" w:history="1">
        <w:r w:rsidRPr="00DF7A38">
          <w:rPr>
            <w:rStyle w:val="Hyperlink"/>
            <w:rFonts w:cs="Arial"/>
            <w:color w:val="0070C0"/>
            <w:lang w:val="en-GB"/>
          </w:rPr>
          <w:t>NTPlaces@health.gov.au</w:t>
        </w:r>
      </w:hyperlink>
    </w:p>
    <w:p w14:paraId="03D56358" w14:textId="77777777" w:rsidR="006C6BCC" w:rsidRDefault="006C6BCC" w:rsidP="008D5442">
      <w:pPr>
        <w:rPr>
          <w:rFonts w:cs="Arial"/>
          <w:color w:val="000000"/>
          <w:lang w:val="en-GB"/>
        </w:rPr>
      </w:pPr>
      <w:r w:rsidRPr="004407A4">
        <w:rPr>
          <w:rFonts w:cs="Arial"/>
          <w:color w:val="000000"/>
          <w:lang w:val="en-GB"/>
        </w:rPr>
        <w:t>The following peak bodies may be a further source of information and support for delivering aged care services generally:</w:t>
      </w:r>
    </w:p>
    <w:p w14:paraId="77A41634" w14:textId="77777777" w:rsidR="00F461D1" w:rsidRDefault="006C6BCC" w:rsidP="00F461D1">
      <w:pPr>
        <w:pStyle w:val="ListParagraph"/>
        <w:numPr>
          <w:ilvl w:val="0"/>
          <w:numId w:val="7"/>
        </w:numPr>
        <w:ind w:left="357" w:hanging="357"/>
        <w:rPr>
          <w:rFonts w:cs="Arial"/>
          <w:color w:val="000000"/>
          <w:lang w:val="en-GB"/>
        </w:rPr>
      </w:pPr>
      <w:r w:rsidRPr="007024BE">
        <w:rPr>
          <w:rFonts w:cs="Arial"/>
          <w:color w:val="000000"/>
          <w:lang w:val="en-GB"/>
        </w:rPr>
        <w:t xml:space="preserve">Aged &amp; Community Care Providers Association (ACCPA) </w:t>
      </w:r>
      <w:hyperlink r:id="rId48" w:history="1">
        <w:r w:rsidRPr="00DF7A38">
          <w:rPr>
            <w:rStyle w:val="Hyperlink"/>
            <w:rFonts w:cs="Arial"/>
            <w:color w:val="0070C0"/>
            <w:lang w:val="en-GB"/>
          </w:rPr>
          <w:t>www.accpa.asn.au</w:t>
        </w:r>
      </w:hyperlink>
      <w:r w:rsidRPr="007024BE">
        <w:rPr>
          <w:rFonts w:cs="Arial"/>
          <w:color w:val="000000"/>
          <w:lang w:val="en-GB"/>
        </w:rPr>
        <w:t xml:space="preserve"> 1300 222 721</w:t>
      </w:r>
    </w:p>
    <w:p w14:paraId="4EC11389" w14:textId="77777777" w:rsidR="00F461D1" w:rsidRDefault="006C6BCC" w:rsidP="00F461D1">
      <w:pPr>
        <w:pStyle w:val="ListParagraph"/>
        <w:numPr>
          <w:ilvl w:val="0"/>
          <w:numId w:val="7"/>
        </w:numPr>
        <w:ind w:left="357" w:hanging="357"/>
        <w:rPr>
          <w:rFonts w:cs="Arial"/>
          <w:color w:val="000000"/>
          <w:lang w:val="en-GB"/>
        </w:rPr>
      </w:pPr>
      <w:r w:rsidRPr="00F461D1">
        <w:rPr>
          <w:rFonts w:cs="Arial"/>
          <w:color w:val="000000"/>
          <w:lang w:val="en-GB"/>
        </w:rPr>
        <w:t xml:space="preserve">COTA Australia </w:t>
      </w:r>
      <w:hyperlink r:id="rId49" w:history="1">
        <w:r w:rsidRPr="00F461D1">
          <w:rPr>
            <w:rStyle w:val="Hyperlink"/>
            <w:rFonts w:cs="Arial"/>
            <w:color w:val="0070C0"/>
            <w:lang w:val="en-GB"/>
          </w:rPr>
          <w:t>www.cota.org.au</w:t>
        </w:r>
      </w:hyperlink>
      <w:r w:rsidRPr="00F461D1">
        <w:rPr>
          <w:rFonts w:cs="Arial"/>
          <w:color w:val="000000"/>
          <w:lang w:val="en-GB"/>
        </w:rPr>
        <w:t xml:space="preserve"> (02) 6154 9740</w:t>
      </w:r>
    </w:p>
    <w:p w14:paraId="57174E13" w14:textId="77777777" w:rsidR="00F461D1" w:rsidRDefault="006C6BCC" w:rsidP="00F461D1">
      <w:pPr>
        <w:pStyle w:val="ListParagraph"/>
        <w:numPr>
          <w:ilvl w:val="0"/>
          <w:numId w:val="7"/>
        </w:numPr>
        <w:ind w:left="357" w:hanging="357"/>
        <w:rPr>
          <w:rFonts w:cs="Arial"/>
          <w:color w:val="000000"/>
          <w:lang w:val="en-GB"/>
        </w:rPr>
      </w:pPr>
      <w:r w:rsidRPr="00F461D1">
        <w:rPr>
          <w:rFonts w:cs="Arial"/>
          <w:color w:val="000000"/>
          <w:lang w:val="en-GB"/>
        </w:rPr>
        <w:t xml:space="preserve">Federation of Ethnic Communities Councils of Australia (FECCA) </w:t>
      </w:r>
      <w:hyperlink r:id="rId50" w:history="1">
        <w:r w:rsidRPr="00F461D1">
          <w:rPr>
            <w:rStyle w:val="Hyperlink"/>
            <w:rFonts w:cs="Arial"/>
            <w:color w:val="0070C0"/>
            <w:lang w:val="en-GB"/>
          </w:rPr>
          <w:t>www.fecca.org.au</w:t>
        </w:r>
      </w:hyperlink>
      <w:r w:rsidRPr="00F461D1">
        <w:rPr>
          <w:rFonts w:cs="Arial"/>
          <w:color w:val="000000"/>
          <w:lang w:val="en-GB"/>
        </w:rPr>
        <w:t xml:space="preserve"> (02) 6282 5755</w:t>
      </w:r>
    </w:p>
    <w:p w14:paraId="0602EACA" w14:textId="77777777" w:rsidR="00F461D1" w:rsidRDefault="006C6BCC" w:rsidP="00F461D1">
      <w:pPr>
        <w:pStyle w:val="ListParagraph"/>
        <w:numPr>
          <w:ilvl w:val="0"/>
          <w:numId w:val="7"/>
        </w:numPr>
        <w:ind w:left="357" w:hanging="357"/>
        <w:rPr>
          <w:rFonts w:cs="Arial"/>
          <w:color w:val="000000"/>
          <w:lang w:val="en-GB"/>
        </w:rPr>
      </w:pPr>
      <w:r w:rsidRPr="00F461D1">
        <w:rPr>
          <w:rFonts w:cs="Arial"/>
          <w:color w:val="000000"/>
          <w:lang w:val="en-GB"/>
        </w:rPr>
        <w:t>National Aboriginal Communities Controlled Health Organisation (NACCHO) Affiliates</w:t>
      </w:r>
      <w:r w:rsidR="00DB58F3" w:rsidRPr="00F461D1">
        <w:rPr>
          <w:rFonts w:cs="Arial"/>
          <w:color w:val="000000"/>
          <w:lang w:val="en-GB"/>
        </w:rPr>
        <w:t xml:space="preserve"> </w:t>
      </w:r>
      <w:hyperlink r:id="rId51" w:history="1">
        <w:r w:rsidRPr="00F461D1">
          <w:rPr>
            <w:rStyle w:val="Hyperlink"/>
            <w:rFonts w:cs="Arial"/>
            <w:color w:val="0070C0"/>
            <w:lang w:val="en-GB"/>
          </w:rPr>
          <w:t>www.naccho.org.au</w:t>
        </w:r>
      </w:hyperlink>
      <w:r w:rsidRPr="00F461D1">
        <w:rPr>
          <w:rFonts w:cs="Arial"/>
          <w:color w:val="000000"/>
          <w:lang w:val="en-GB"/>
        </w:rPr>
        <w:t xml:space="preserve"> (02) 6246 9300</w:t>
      </w:r>
    </w:p>
    <w:p w14:paraId="4FDD125F" w14:textId="77777777" w:rsidR="00F461D1" w:rsidRDefault="006C6BCC" w:rsidP="00F461D1">
      <w:pPr>
        <w:pStyle w:val="ListParagraph"/>
        <w:numPr>
          <w:ilvl w:val="0"/>
          <w:numId w:val="7"/>
        </w:numPr>
        <w:ind w:left="357" w:hanging="357"/>
        <w:rPr>
          <w:rFonts w:cs="Arial"/>
          <w:color w:val="000000"/>
          <w:lang w:val="en-GB"/>
        </w:rPr>
      </w:pPr>
      <w:r w:rsidRPr="00F461D1">
        <w:rPr>
          <w:rFonts w:cs="Arial"/>
          <w:color w:val="000000"/>
          <w:lang w:val="en-GB"/>
        </w:rPr>
        <w:t xml:space="preserve">National Seniors </w:t>
      </w:r>
      <w:hyperlink r:id="rId52" w:history="1">
        <w:r w:rsidRPr="00F461D1">
          <w:rPr>
            <w:rStyle w:val="Hyperlink"/>
            <w:rFonts w:cs="Arial"/>
            <w:color w:val="0070C0"/>
            <w:lang w:val="en-GB"/>
          </w:rPr>
          <w:t>www.nationalseniors.com.au</w:t>
        </w:r>
      </w:hyperlink>
      <w:r w:rsidR="00462B1A" w:rsidRPr="00F461D1">
        <w:rPr>
          <w:rFonts w:cs="Arial"/>
          <w:color w:val="000000"/>
          <w:lang w:val="en-GB"/>
        </w:rPr>
        <w:t xml:space="preserve"> </w:t>
      </w:r>
      <w:r w:rsidRPr="00F461D1">
        <w:rPr>
          <w:rFonts w:cs="Arial"/>
          <w:color w:val="000000"/>
          <w:lang w:val="en-GB"/>
        </w:rPr>
        <w:t>1300 765 050</w:t>
      </w:r>
    </w:p>
    <w:p w14:paraId="583FAF5F" w14:textId="77777777" w:rsidR="00F461D1" w:rsidRPr="00F461D1" w:rsidRDefault="006C6BCC" w:rsidP="00F461D1">
      <w:pPr>
        <w:pStyle w:val="ListParagraph"/>
        <w:numPr>
          <w:ilvl w:val="0"/>
          <w:numId w:val="7"/>
        </w:numPr>
        <w:ind w:left="357" w:hanging="357"/>
        <w:rPr>
          <w:rFonts w:cs="Arial"/>
          <w:color w:val="000000"/>
          <w:lang w:val="en-GB"/>
        </w:rPr>
      </w:pPr>
      <w:r w:rsidRPr="001C67AF">
        <w:t xml:space="preserve">Older Persons’ Advocacy Network (OPAN) </w:t>
      </w:r>
      <w:hyperlink r:id="rId53" w:history="1">
        <w:r w:rsidRPr="00F461D1">
          <w:rPr>
            <w:rStyle w:val="Hyperlink"/>
            <w:color w:val="0070C0"/>
          </w:rPr>
          <w:t>www.opan.com.au</w:t>
        </w:r>
      </w:hyperlink>
      <w:r w:rsidRPr="001C67AF">
        <w:t xml:space="preserve"> 1800 700 600</w:t>
      </w:r>
    </w:p>
    <w:p w14:paraId="513456EE" w14:textId="6E2EBA89" w:rsidR="009051BC" w:rsidRPr="00F461D1" w:rsidRDefault="006C6BCC" w:rsidP="00F461D1">
      <w:pPr>
        <w:pStyle w:val="ListParagraph"/>
        <w:numPr>
          <w:ilvl w:val="0"/>
          <w:numId w:val="7"/>
        </w:numPr>
        <w:ind w:left="357" w:hanging="357"/>
        <w:rPr>
          <w:rFonts w:cs="Arial"/>
          <w:color w:val="000000"/>
          <w:lang w:val="en-GB"/>
        </w:rPr>
      </w:pPr>
      <w:r w:rsidRPr="001C67AF">
        <w:t xml:space="preserve">Australian Association of Gerontology </w:t>
      </w:r>
      <w:hyperlink r:id="rId54" w:history="1">
        <w:r w:rsidRPr="00F461D1">
          <w:rPr>
            <w:rStyle w:val="Hyperlink"/>
            <w:color w:val="0070C0"/>
          </w:rPr>
          <w:t>www.aag.asn.au</w:t>
        </w:r>
      </w:hyperlink>
      <w:r w:rsidRPr="001C67AF">
        <w:t xml:space="preserve"> </w:t>
      </w:r>
      <w:r>
        <w:t>(</w:t>
      </w:r>
      <w:r w:rsidRPr="001C67AF">
        <w:t>03</w:t>
      </w:r>
      <w:r>
        <w:t>)</w:t>
      </w:r>
      <w:r w:rsidRPr="001C67AF">
        <w:t xml:space="preserve"> 8506 0525</w:t>
      </w:r>
    </w:p>
    <w:p w14:paraId="23ABDD6D" w14:textId="50E91A02" w:rsidR="009051BC" w:rsidRPr="00F461D1" w:rsidRDefault="006C6BCC" w:rsidP="00F461D1">
      <w:pPr>
        <w:pStyle w:val="Heading4"/>
      </w:pPr>
      <w:r w:rsidRPr="00F461D1">
        <w:lastRenderedPageBreak/>
        <w:t>Q. We find inconsistency between advice given by My Aged Care to clients and the guidelines around acceptable use of funds. Will there be some work around this?</w:t>
      </w:r>
    </w:p>
    <w:p w14:paraId="42FD99A7" w14:textId="1997968C" w:rsidR="006C6BCC" w:rsidRPr="0007672B" w:rsidRDefault="006C6BCC" w:rsidP="00F461D1">
      <w:pPr>
        <w:rPr>
          <w:rFonts w:cs="Arial"/>
          <w:color w:val="000000"/>
          <w:lang w:val="en-GB"/>
        </w:rPr>
      </w:pPr>
      <w:r>
        <w:rPr>
          <w:rFonts w:cs="Arial"/>
          <w:color w:val="000000"/>
        </w:rPr>
        <w:t xml:space="preserve">A. </w:t>
      </w:r>
      <w:r w:rsidRPr="0007672B">
        <w:rPr>
          <w:rFonts w:cs="Arial"/>
          <w:color w:val="000000"/>
          <w:lang w:val="en-GB"/>
        </w:rPr>
        <w:t xml:space="preserve">The </w:t>
      </w:r>
      <w:r>
        <w:rPr>
          <w:rFonts w:cs="Arial"/>
          <w:color w:val="000000"/>
          <w:lang w:val="en-GB"/>
        </w:rPr>
        <w:t>d</w:t>
      </w:r>
      <w:r w:rsidRPr="0007672B">
        <w:rPr>
          <w:rFonts w:cs="Arial"/>
          <w:color w:val="000000"/>
          <w:lang w:val="en-GB"/>
        </w:rPr>
        <w:t xml:space="preserve">epartment is regularly reviewing </w:t>
      </w:r>
      <w:r w:rsidR="00B1636D">
        <w:rPr>
          <w:rFonts w:cs="Arial"/>
          <w:color w:val="000000"/>
          <w:lang w:val="en-GB"/>
        </w:rPr>
        <w:t xml:space="preserve">My Aged Care </w:t>
      </w:r>
      <w:r w:rsidRPr="0007672B">
        <w:rPr>
          <w:rFonts w:cs="Arial"/>
          <w:color w:val="000000"/>
          <w:lang w:val="en-GB"/>
        </w:rPr>
        <w:t xml:space="preserve">contact centre </w:t>
      </w:r>
      <w:proofErr w:type="gramStart"/>
      <w:r w:rsidRPr="0007672B">
        <w:rPr>
          <w:rFonts w:cs="Arial"/>
          <w:color w:val="000000"/>
          <w:lang w:val="en-GB"/>
        </w:rPr>
        <w:t>scripting</w:t>
      </w:r>
      <w:r>
        <w:rPr>
          <w:rFonts w:cs="Arial"/>
          <w:color w:val="000000"/>
          <w:lang w:val="en-GB"/>
        </w:rPr>
        <w:t>,</w:t>
      </w:r>
      <w:r w:rsidRPr="0007672B">
        <w:rPr>
          <w:rFonts w:cs="Arial"/>
          <w:color w:val="000000"/>
          <w:lang w:val="en-GB"/>
        </w:rPr>
        <w:t xml:space="preserve"> and</w:t>
      </w:r>
      <w:proofErr w:type="gramEnd"/>
      <w:r w:rsidRPr="0007672B">
        <w:rPr>
          <w:rFonts w:cs="Arial"/>
          <w:color w:val="000000"/>
          <w:lang w:val="en-GB"/>
        </w:rPr>
        <w:t xml:space="preserve"> welcome</w:t>
      </w:r>
      <w:r>
        <w:rPr>
          <w:rFonts w:cs="Arial"/>
          <w:color w:val="000000"/>
          <w:lang w:val="en-GB"/>
        </w:rPr>
        <w:t>s</w:t>
      </w:r>
      <w:r w:rsidRPr="0007672B">
        <w:rPr>
          <w:rFonts w:cs="Arial"/>
          <w:color w:val="000000"/>
          <w:lang w:val="en-GB"/>
        </w:rPr>
        <w:t xml:space="preserve"> feedback. Please write to the department at </w:t>
      </w:r>
      <w:hyperlink r:id="rId55" w:history="1">
        <w:r w:rsidRPr="00DF7A38">
          <w:rPr>
            <w:rStyle w:val="Hyperlink"/>
            <w:rFonts w:cs="Arial"/>
            <w:color w:val="0070C0"/>
            <w:lang w:val="en-GB"/>
          </w:rPr>
          <w:t>agedcareenquiries@health.gov.au</w:t>
        </w:r>
      </w:hyperlink>
      <w:r w:rsidRPr="00DF7A38">
        <w:rPr>
          <w:rFonts w:cs="Arial"/>
          <w:lang w:val="en-GB"/>
        </w:rPr>
        <w:t xml:space="preserve"> </w:t>
      </w:r>
      <w:r w:rsidRPr="0007672B">
        <w:rPr>
          <w:rFonts w:cs="Arial"/>
          <w:color w:val="000000"/>
          <w:lang w:val="en-GB"/>
        </w:rPr>
        <w:t>and provide specific examples of inconsistencies.</w:t>
      </w:r>
    </w:p>
    <w:p w14:paraId="0FA26002" w14:textId="677727D6" w:rsidR="006C6BCC" w:rsidRPr="00F461D1" w:rsidRDefault="006C6BCC" w:rsidP="00F461D1">
      <w:pPr>
        <w:pStyle w:val="Heading4"/>
      </w:pPr>
      <w:r w:rsidRPr="00F461D1">
        <w:t>Q. To ensure timely services/care for a client, can a documented phone call with agreeance on price and frequency of a service take place prior to the budget being signed to allow the client to access services immediately?</w:t>
      </w:r>
    </w:p>
    <w:p w14:paraId="6349E140" w14:textId="135A5419" w:rsidR="006C6BCC" w:rsidRDefault="006C6BCC" w:rsidP="00F461D1">
      <w:pPr>
        <w:rPr>
          <w:rFonts w:cs="Arial"/>
          <w:color w:val="000000"/>
        </w:rPr>
      </w:pPr>
      <w:r>
        <w:rPr>
          <w:rFonts w:cs="Arial"/>
          <w:color w:val="000000"/>
        </w:rPr>
        <w:t xml:space="preserve">A. </w:t>
      </w:r>
      <w:r w:rsidRPr="00F461D1">
        <w:rPr>
          <w:rFonts w:cs="Arial"/>
          <w:color w:val="000000"/>
        </w:rPr>
        <w:t>Agreement with the care recipient to meet their care needs, goals and preferences, and the prices to be charged, does not have to be in writing. However, all conversations with care recipients must be documented within the home care agreement. Updates to home care agreements can be made after consent has been given.</w:t>
      </w:r>
    </w:p>
    <w:p w14:paraId="52205317" w14:textId="47EE73D2" w:rsidR="009051BC" w:rsidRPr="00F461D1" w:rsidRDefault="006C6BCC" w:rsidP="00F461D1">
      <w:pPr>
        <w:pStyle w:val="Heading2"/>
      </w:pPr>
      <w:bookmarkStart w:id="19" w:name="_Toc161734109"/>
      <w:r>
        <w:t>Allied health charges</w:t>
      </w:r>
      <w:bookmarkEnd w:id="19"/>
    </w:p>
    <w:p w14:paraId="29C52373" w14:textId="614038AC" w:rsidR="009051BC" w:rsidRPr="00F461D1" w:rsidRDefault="006C6BCC" w:rsidP="00F461D1">
      <w:pPr>
        <w:pStyle w:val="Heading4"/>
      </w:pPr>
      <w:r w:rsidRPr="00F461D1">
        <w:t>Q. For allied health what does it mean to be able to charge face-to-face and non-face-to-face contact. What work can be charged and what cannot?</w:t>
      </w:r>
    </w:p>
    <w:p w14:paraId="617A4934" w14:textId="3CAD136E" w:rsidR="006C6BCC" w:rsidRDefault="006C6BCC" w:rsidP="00F461D1">
      <w:pPr>
        <w:rPr>
          <w:rFonts w:cs="Arial"/>
          <w:color w:val="000000"/>
        </w:rPr>
      </w:pPr>
      <w:r>
        <w:rPr>
          <w:rFonts w:cs="Arial"/>
          <w:color w:val="000000"/>
        </w:rPr>
        <w:t xml:space="preserve">A. </w:t>
      </w:r>
      <w:r w:rsidRPr="00DD5AD0">
        <w:rPr>
          <w:rFonts w:cs="Arial"/>
          <w:color w:val="000000"/>
          <w:lang w:val="en-GB"/>
        </w:rPr>
        <w:t xml:space="preserve">Section 9.8 of the </w:t>
      </w:r>
      <w:hyperlink r:id="rId56" w:history="1">
        <w:r w:rsidRPr="00DF7A38">
          <w:rPr>
            <w:rStyle w:val="Hyperlink"/>
            <w:rFonts w:cs="Arial"/>
            <w:color w:val="0070C0"/>
            <w:lang w:val="en-GB"/>
          </w:rPr>
          <w:t>Home Care Packages Program Operational Manual (version 1.4)</w:t>
        </w:r>
      </w:hyperlink>
      <w:r w:rsidRPr="00DD5AD0">
        <w:rPr>
          <w:rFonts w:cs="Arial"/>
          <w:color w:val="000000"/>
          <w:lang w:val="en-GB"/>
        </w:rPr>
        <w:t xml:space="preserve"> provides guidance on which allied health services can and cannot be funded through a HCP.</w:t>
      </w:r>
    </w:p>
    <w:p w14:paraId="4AAADA1C" w14:textId="77777777" w:rsidR="006C6BCC" w:rsidRDefault="006C6BCC" w:rsidP="005064C3">
      <w:pPr>
        <w:pStyle w:val="Heading2"/>
      </w:pPr>
      <w:bookmarkStart w:id="20" w:name="_Toc161734110"/>
      <w:r>
        <w:t>Third party services charges</w:t>
      </w:r>
      <w:bookmarkEnd w:id="20"/>
    </w:p>
    <w:p w14:paraId="177E3BB1" w14:textId="765E20F2" w:rsidR="006C6BCC" w:rsidRPr="004D57DC" w:rsidRDefault="006C6BCC" w:rsidP="004D57DC">
      <w:pPr>
        <w:pStyle w:val="Heading4"/>
      </w:pPr>
      <w:r w:rsidRPr="004D57DC">
        <w:t xml:space="preserve">Q. For equipment purchased on behalf of clients, are providers bound to charge </w:t>
      </w:r>
      <w:proofErr w:type="gramStart"/>
      <w:r w:rsidRPr="004D57DC">
        <w:t>exactly the same</w:t>
      </w:r>
      <w:proofErr w:type="gramEnd"/>
      <w:r w:rsidRPr="004D57DC">
        <w:t xml:space="preserve"> price as quoted by the equipment supplier or can they agree a different price?</w:t>
      </w:r>
    </w:p>
    <w:p w14:paraId="60C4AEC5" w14:textId="77CB08F4" w:rsidR="006C6BCC" w:rsidRDefault="006C6BCC" w:rsidP="004D57DC">
      <w:pPr>
        <w:rPr>
          <w:rFonts w:cs="Arial"/>
          <w:lang w:val="en-GB"/>
        </w:rPr>
      </w:pPr>
      <w:r w:rsidRPr="0071562A">
        <w:rPr>
          <w:rFonts w:cs="Arial"/>
        </w:rPr>
        <w:t xml:space="preserve">A. </w:t>
      </w:r>
      <w:r w:rsidRPr="00881710">
        <w:rPr>
          <w:rFonts w:cs="Arial"/>
          <w:lang w:val="en-GB"/>
        </w:rPr>
        <w:t>From 1 January 2023, providers must not charge a separate amount for third-party services, even if they made a business decision to engage a third-party or the care recipient chose a third-party to provide those services.</w:t>
      </w:r>
    </w:p>
    <w:p w14:paraId="7471A19E" w14:textId="43237D1D" w:rsidR="006C6BCC" w:rsidRDefault="006C6BCC" w:rsidP="004D57DC">
      <w:pPr>
        <w:rPr>
          <w:rFonts w:cs="Arial"/>
          <w:lang w:val="en-GB"/>
        </w:rPr>
      </w:pPr>
      <w:r w:rsidRPr="00881710">
        <w:rPr>
          <w:rFonts w:cs="Arial"/>
          <w:lang w:val="en-GB"/>
        </w:rPr>
        <w:t>Providers must indicate in their HCP pricing schedule whether they charge an additional amount for any services they sub-contract from another service provider.</w:t>
      </w:r>
    </w:p>
    <w:p w14:paraId="4652135F" w14:textId="77777777" w:rsidR="006C6BCC" w:rsidRDefault="006C6BCC" w:rsidP="004D57DC">
      <w:pPr>
        <w:rPr>
          <w:rFonts w:cs="Arial"/>
          <w:lang w:val="en-GB"/>
        </w:rPr>
      </w:pPr>
      <w:r w:rsidRPr="00881710">
        <w:rPr>
          <w:rFonts w:cs="Arial"/>
          <w:lang w:val="en-GB"/>
        </w:rPr>
        <w:t>The provider must agree an all-inclusive price with the care recipient before the services start, or before purchasing any goods.</w:t>
      </w:r>
    </w:p>
    <w:p w14:paraId="1672F0D4" w14:textId="28A26C15" w:rsidR="006C6BCC" w:rsidRDefault="006C6BCC" w:rsidP="00CB1C7B">
      <w:pPr>
        <w:pStyle w:val="Heading2"/>
      </w:pPr>
      <w:bookmarkStart w:id="21" w:name="_Toc161734111"/>
      <w:r>
        <w:t xml:space="preserve">Staff travel </w:t>
      </w:r>
      <w:proofErr w:type="gramStart"/>
      <w:r>
        <w:t>charges</w:t>
      </w:r>
      <w:bookmarkEnd w:id="21"/>
      <w:proofErr w:type="gramEnd"/>
    </w:p>
    <w:p w14:paraId="528DAAF7" w14:textId="4383A0C5" w:rsidR="006C6BCC" w:rsidRPr="00CB1C7B" w:rsidRDefault="006C6BCC" w:rsidP="00CB1C7B">
      <w:pPr>
        <w:pStyle w:val="Heading4"/>
      </w:pPr>
      <w:r w:rsidRPr="00CB1C7B">
        <w:t xml:space="preserve">Q. Can you advise if any guidance has been or will be provided on charges for transport to visit a client? I note in your first review there was inconsistencies between providers. It can include both the costs of staff time </w:t>
      </w:r>
      <w:proofErr w:type="gramStart"/>
      <w:r w:rsidRPr="00CB1C7B">
        <w:t>or</w:t>
      </w:r>
      <w:proofErr w:type="gramEnd"/>
      <w:r w:rsidRPr="00CB1C7B">
        <w:t xml:space="preserve"> wage costs as well as mileage costs of the vehicle.</w:t>
      </w:r>
    </w:p>
    <w:p w14:paraId="3E873E29" w14:textId="77777777" w:rsidR="00E66D21" w:rsidRPr="00C25604" w:rsidRDefault="006C6BCC" w:rsidP="00CB1C7B">
      <w:pPr>
        <w:rPr>
          <w:rFonts w:cs="Arial"/>
          <w:lang w:val="en-GB"/>
        </w:rPr>
      </w:pPr>
      <w:r w:rsidRPr="00C20F07">
        <w:rPr>
          <w:rFonts w:cs="Arial"/>
        </w:rPr>
        <w:t>A.</w:t>
      </w:r>
      <w:r>
        <w:rPr>
          <w:rFonts w:cs="Arial"/>
        </w:rPr>
        <w:t xml:space="preserve"> </w:t>
      </w:r>
      <w:r w:rsidR="00E66D21" w:rsidRPr="00C25604">
        <w:rPr>
          <w:rFonts w:cs="Arial"/>
          <w:lang w:val="en-GB"/>
        </w:rPr>
        <w:t xml:space="preserve">Staff travel means travel by a staff member to a care recipient and providers must ensure all charges are reasonable, </w:t>
      </w:r>
      <w:proofErr w:type="gramStart"/>
      <w:r w:rsidR="00E66D21" w:rsidRPr="00C25604">
        <w:rPr>
          <w:rFonts w:cs="Arial"/>
          <w:lang w:val="en-GB"/>
        </w:rPr>
        <w:t>justifiable</w:t>
      </w:r>
      <w:proofErr w:type="gramEnd"/>
      <w:r w:rsidR="00E66D21" w:rsidRPr="00C25604">
        <w:rPr>
          <w:rFonts w:cs="Arial"/>
          <w:lang w:val="en-GB"/>
        </w:rPr>
        <w:t xml:space="preserve"> and easy to understand.</w:t>
      </w:r>
    </w:p>
    <w:p w14:paraId="1FE4972E" w14:textId="26FDE23D" w:rsidR="006C6BCC" w:rsidRDefault="006C6BCC" w:rsidP="00CB1C7B">
      <w:pPr>
        <w:rPr>
          <w:rFonts w:cs="Arial"/>
          <w:lang w:val="en-GB"/>
        </w:rPr>
      </w:pPr>
      <w:r w:rsidRPr="00C25604">
        <w:rPr>
          <w:rFonts w:cs="Arial"/>
          <w:lang w:val="en-GB"/>
        </w:rPr>
        <w:lastRenderedPageBreak/>
        <w:t xml:space="preserve">Staff travel is a common service charge covering reasonable staff costs for travel to and from care recipients’ homes. This may include travel from a provider’s office </w:t>
      </w:r>
      <w:r>
        <w:rPr>
          <w:rFonts w:cs="Arial"/>
          <w:lang w:val="en-GB"/>
        </w:rPr>
        <w:t>or</w:t>
      </w:r>
      <w:r w:rsidRPr="00C25604">
        <w:rPr>
          <w:rFonts w:cs="Arial"/>
          <w:lang w:val="en-GB"/>
        </w:rPr>
        <w:t xml:space="preserve"> a staff member’s home to deliver care and services, such as nursing, garden maintenance, and care management.</w:t>
      </w:r>
    </w:p>
    <w:p w14:paraId="1F888433" w14:textId="77777777" w:rsidR="006C6BCC" w:rsidRPr="00D525EE" w:rsidRDefault="006C6BCC" w:rsidP="00CB1C7B">
      <w:pPr>
        <w:rPr>
          <w:rFonts w:cs="Arial"/>
          <w:lang w:val="en-GB"/>
        </w:rPr>
      </w:pPr>
      <w:r w:rsidRPr="00D525EE">
        <w:rPr>
          <w:rFonts w:cs="Arial"/>
          <w:lang w:val="en-GB"/>
        </w:rPr>
        <w:t>Providers must:</w:t>
      </w:r>
    </w:p>
    <w:p w14:paraId="53444CC0" w14:textId="08A56D3E" w:rsidR="006C6BCC" w:rsidRPr="00485FFE" w:rsidRDefault="006C6BCC" w:rsidP="00485FFE">
      <w:pPr>
        <w:pStyle w:val="ListParagraph"/>
        <w:numPr>
          <w:ilvl w:val="0"/>
          <w:numId w:val="7"/>
        </w:numPr>
        <w:ind w:left="357" w:hanging="357"/>
      </w:pPr>
      <w:r w:rsidRPr="00485FFE">
        <w:rPr>
          <w:rFonts w:cs="Arial"/>
          <w:lang w:val="en-GB"/>
        </w:rPr>
        <w:t>consider whether it is reasonable to charge for staff travel separately from service prices,</w:t>
      </w:r>
      <w:r w:rsidR="00810E8F">
        <w:rPr>
          <w:rFonts w:cs="Arial"/>
          <w:lang w:val="en-GB"/>
        </w:rPr>
        <w:t xml:space="preserve"> </w:t>
      </w:r>
      <w:r w:rsidRPr="00485FFE">
        <w:rPr>
          <w:rFonts w:cs="Arial"/>
          <w:lang w:val="en-GB"/>
        </w:rPr>
        <w:t>taking into consideration:</w:t>
      </w:r>
    </w:p>
    <w:p w14:paraId="7E4152BD" w14:textId="006ED41E" w:rsidR="006C6BCC" w:rsidRPr="00810E8F" w:rsidRDefault="006C6BCC" w:rsidP="00810E8F">
      <w:pPr>
        <w:pStyle w:val="ListParagraph"/>
        <w:numPr>
          <w:ilvl w:val="1"/>
          <w:numId w:val="35"/>
        </w:numPr>
        <w:ind w:left="1080"/>
      </w:pPr>
      <w:r w:rsidRPr="00810E8F">
        <w:t>their location – as a guide, the median charge for staff travel is $1.10/km (January 2023)</w:t>
      </w:r>
    </w:p>
    <w:p w14:paraId="2B101991" w14:textId="77777777" w:rsidR="006C6BCC" w:rsidRPr="00810E8F" w:rsidRDefault="006C6BCC" w:rsidP="00810E8F">
      <w:pPr>
        <w:pStyle w:val="ListParagraph"/>
        <w:numPr>
          <w:ilvl w:val="1"/>
          <w:numId w:val="35"/>
        </w:numPr>
        <w:ind w:left="1080"/>
      </w:pPr>
      <w:r w:rsidRPr="00810E8F">
        <w:t xml:space="preserve">their business model – whether staff travel is already covered in common service </w:t>
      </w:r>
      <w:proofErr w:type="gramStart"/>
      <w:r w:rsidRPr="00810E8F">
        <w:t>charges</w:t>
      </w:r>
      <w:proofErr w:type="gramEnd"/>
    </w:p>
    <w:p w14:paraId="23B1A1B9" w14:textId="2BBB7A3D" w:rsidR="006C6BCC" w:rsidRPr="00810E8F" w:rsidRDefault="006C6BCC" w:rsidP="00810E8F">
      <w:pPr>
        <w:pStyle w:val="ListParagraph"/>
        <w:numPr>
          <w:ilvl w:val="1"/>
          <w:numId w:val="35"/>
        </w:numPr>
        <w:ind w:left="1080"/>
      </w:pPr>
      <w:r w:rsidRPr="00810E8F">
        <w:t>staff scheduling logistics.</w:t>
      </w:r>
    </w:p>
    <w:p w14:paraId="70960C12" w14:textId="61F53730" w:rsidR="006C6BCC" w:rsidRPr="00C25604" w:rsidRDefault="006C6BCC" w:rsidP="00810E8F">
      <w:pPr>
        <w:pStyle w:val="ListParagraph"/>
        <w:numPr>
          <w:ilvl w:val="0"/>
          <w:numId w:val="7"/>
        </w:numPr>
        <w:ind w:left="357" w:hanging="357"/>
        <w:rPr>
          <w:rFonts w:cs="Arial"/>
          <w:lang w:val="en-GB"/>
        </w:rPr>
      </w:pPr>
      <w:r w:rsidRPr="00C25604">
        <w:rPr>
          <w:rFonts w:cs="Arial"/>
          <w:lang w:val="en-GB"/>
        </w:rPr>
        <w:t>publish reasonable staff travel prices on My Aged Care as a per kilometre charge and provide details of when and how these charges will be applied, for example</w:t>
      </w:r>
      <w:r w:rsidR="00107297">
        <w:rPr>
          <w:rFonts w:cs="Arial"/>
          <w:lang w:val="en-GB"/>
        </w:rPr>
        <w:t>,</w:t>
      </w:r>
      <w:r w:rsidRPr="00C25604">
        <w:rPr>
          <w:rFonts w:cs="Arial"/>
          <w:lang w:val="en-GB"/>
        </w:rPr>
        <w:t xml:space="preserve"> to and from travel, for distances &gt;10km</w:t>
      </w:r>
      <w:r>
        <w:rPr>
          <w:rFonts w:cs="Arial"/>
          <w:lang w:val="en-GB"/>
        </w:rPr>
        <w:t xml:space="preserve">, </w:t>
      </w:r>
      <w:r w:rsidRPr="00C25604">
        <w:rPr>
          <w:rFonts w:cs="Arial"/>
          <w:lang w:val="en-GB"/>
        </w:rPr>
        <w:t xml:space="preserve">or charged for the total distance travelled </w:t>
      </w:r>
      <w:proofErr w:type="gramStart"/>
      <w:r w:rsidRPr="00C25604">
        <w:rPr>
          <w:rFonts w:cs="Arial"/>
          <w:lang w:val="en-GB"/>
        </w:rPr>
        <w:t>etc</w:t>
      </w:r>
      <w:proofErr w:type="gramEnd"/>
    </w:p>
    <w:p w14:paraId="475A14E3" w14:textId="524D3360" w:rsidR="006C6BCC" w:rsidRPr="00C25604" w:rsidRDefault="006C6BCC" w:rsidP="00810E8F">
      <w:pPr>
        <w:pStyle w:val="ListParagraph"/>
        <w:numPr>
          <w:ilvl w:val="0"/>
          <w:numId w:val="7"/>
        </w:numPr>
        <w:ind w:left="357" w:hanging="357"/>
        <w:rPr>
          <w:rFonts w:cs="Arial"/>
          <w:lang w:val="en-GB"/>
        </w:rPr>
      </w:pPr>
      <w:r w:rsidRPr="00C25604">
        <w:rPr>
          <w:rFonts w:cs="Arial"/>
          <w:lang w:val="en-GB"/>
        </w:rPr>
        <w:t xml:space="preserve">include any details of travel costs (per km) in care recipient home care agreements, monthly statements and pricing </w:t>
      </w:r>
      <w:proofErr w:type="gramStart"/>
      <w:r w:rsidRPr="00C25604">
        <w:rPr>
          <w:rFonts w:cs="Arial"/>
          <w:lang w:val="en-GB"/>
        </w:rPr>
        <w:t>schedules</w:t>
      </w:r>
      <w:proofErr w:type="gramEnd"/>
    </w:p>
    <w:p w14:paraId="65E0162A" w14:textId="77777777" w:rsidR="006C6BCC" w:rsidRPr="00C25604" w:rsidRDefault="006C6BCC" w:rsidP="00810E8F">
      <w:pPr>
        <w:pStyle w:val="ListParagraph"/>
        <w:numPr>
          <w:ilvl w:val="0"/>
          <w:numId w:val="7"/>
        </w:numPr>
        <w:ind w:left="357" w:hanging="357"/>
        <w:rPr>
          <w:rFonts w:cs="Arial"/>
          <w:lang w:val="en-GB"/>
        </w:rPr>
      </w:pPr>
      <w:r w:rsidRPr="00C25604">
        <w:rPr>
          <w:rFonts w:cs="Arial"/>
          <w:lang w:val="en-GB"/>
        </w:rPr>
        <w:t xml:space="preserve">aim to provide care recipients with predictable, consistent and reasonable charges for staff </w:t>
      </w:r>
      <w:proofErr w:type="gramStart"/>
      <w:r w:rsidRPr="00C25604">
        <w:rPr>
          <w:rFonts w:cs="Arial"/>
          <w:lang w:val="en-GB"/>
        </w:rPr>
        <w:t>travel</w:t>
      </w:r>
      <w:proofErr w:type="gramEnd"/>
    </w:p>
    <w:p w14:paraId="60BF30F5" w14:textId="477961E1" w:rsidR="006C6BCC" w:rsidRPr="00C25604" w:rsidRDefault="006C6BCC" w:rsidP="00810E8F">
      <w:pPr>
        <w:pStyle w:val="ListParagraph"/>
        <w:numPr>
          <w:ilvl w:val="0"/>
          <w:numId w:val="7"/>
        </w:numPr>
        <w:ind w:left="357" w:hanging="357"/>
        <w:rPr>
          <w:rFonts w:cs="Arial"/>
          <w:lang w:val="en-GB"/>
        </w:rPr>
      </w:pPr>
      <w:r w:rsidRPr="00C25604">
        <w:rPr>
          <w:rFonts w:cs="Arial"/>
          <w:lang w:val="en-GB"/>
        </w:rPr>
        <w:t>ensure charges are not duplicated, for example charged as part of an inclusive third</w:t>
      </w:r>
      <w:r w:rsidR="007E025F">
        <w:rPr>
          <w:rFonts w:cs="Arial"/>
          <w:lang w:val="en-GB"/>
        </w:rPr>
        <w:noBreakHyphen/>
      </w:r>
      <w:r w:rsidRPr="00C25604">
        <w:rPr>
          <w:rFonts w:cs="Arial"/>
          <w:lang w:val="en-GB"/>
        </w:rPr>
        <w:t xml:space="preserve">party price and then charged again separately for staff </w:t>
      </w:r>
      <w:proofErr w:type="gramStart"/>
      <w:r w:rsidRPr="00C25604">
        <w:rPr>
          <w:rFonts w:cs="Arial"/>
          <w:lang w:val="en-GB"/>
        </w:rPr>
        <w:t>travel</w:t>
      </w:r>
      <w:proofErr w:type="gramEnd"/>
    </w:p>
    <w:p w14:paraId="21C60FD5" w14:textId="77777777" w:rsidR="006C6BCC" w:rsidRDefault="006C6BCC" w:rsidP="00810E8F">
      <w:pPr>
        <w:pStyle w:val="ListParagraph"/>
        <w:numPr>
          <w:ilvl w:val="0"/>
          <w:numId w:val="7"/>
        </w:numPr>
        <w:ind w:left="357" w:hanging="357"/>
        <w:rPr>
          <w:rFonts w:cs="Arial"/>
          <w:lang w:val="en-GB"/>
        </w:rPr>
      </w:pPr>
      <w:r w:rsidRPr="00C25604">
        <w:rPr>
          <w:rFonts w:cs="Arial"/>
          <w:lang w:val="en-GB"/>
        </w:rPr>
        <w:t xml:space="preserve">be able to demonstrate </w:t>
      </w:r>
      <w:r>
        <w:rPr>
          <w:rFonts w:cs="Arial"/>
          <w:lang w:val="en-GB"/>
        </w:rPr>
        <w:t xml:space="preserve">the </w:t>
      </w:r>
      <w:r w:rsidRPr="00C25604">
        <w:rPr>
          <w:rFonts w:cs="Arial"/>
          <w:lang w:val="en-GB"/>
        </w:rPr>
        <w:t>costing model and justify pricing if requested.</w:t>
      </w:r>
    </w:p>
    <w:p w14:paraId="465A1646" w14:textId="1019899C" w:rsidR="006C6BCC" w:rsidRDefault="006C6BCC" w:rsidP="00473DF1">
      <w:pPr>
        <w:rPr>
          <w:rFonts w:cs="Arial"/>
          <w:lang w:val="en-GB"/>
        </w:rPr>
      </w:pPr>
      <w:r w:rsidRPr="00C25604">
        <w:rPr>
          <w:rFonts w:cs="Arial"/>
          <w:lang w:val="en-GB"/>
        </w:rPr>
        <w:t>While staff travel charges may also include a contribution toward the costs of staff travel time, wage costs or vehicle costs, the charge does not necessarily offset all charges associated with staff travel, as some of this (if not all) will be covered in the general service charge.</w:t>
      </w:r>
    </w:p>
    <w:p w14:paraId="0915689B" w14:textId="77777777" w:rsidR="006C6BCC" w:rsidRDefault="006C6BCC" w:rsidP="00473DF1">
      <w:pPr>
        <w:rPr>
          <w:rFonts w:cs="Arial"/>
          <w:lang w:val="en-GB"/>
        </w:rPr>
      </w:pPr>
      <w:r w:rsidRPr="00C25604">
        <w:rPr>
          <w:rFonts w:cs="Arial"/>
          <w:lang w:val="en-GB"/>
        </w:rPr>
        <w:t>The department expects providers to price their care and services so that they cover the costs of delivering them. Providers may occasionally have to absorb costs such as staff parking and bridge tolls as part of general business costs.</w:t>
      </w:r>
    </w:p>
    <w:p w14:paraId="155AA860" w14:textId="77777777" w:rsidR="006C6BCC" w:rsidRDefault="006C6BCC" w:rsidP="00473DF1">
      <w:pPr>
        <w:rPr>
          <w:rFonts w:cs="Arial"/>
          <w:lang w:val="en-GB"/>
        </w:rPr>
      </w:pPr>
      <w:r w:rsidRPr="00C25604">
        <w:rPr>
          <w:rFonts w:cs="Arial"/>
          <w:lang w:val="en-GB"/>
        </w:rPr>
        <w:t xml:space="preserve">Providers must enter the price per kilometre (if any) they charge for travel to a care recipient for the purpose of providing care or services as per section 19B(1)(b) of the </w:t>
      </w:r>
      <w:r w:rsidRPr="00C25604">
        <w:rPr>
          <w:rFonts w:cs="Arial"/>
          <w:i/>
          <w:iCs/>
          <w:lang w:val="en-GB"/>
        </w:rPr>
        <w:t>User Rights Principles 2014</w:t>
      </w:r>
      <w:r w:rsidRPr="00C25604">
        <w:rPr>
          <w:rFonts w:cs="Arial"/>
          <w:lang w:val="en-GB"/>
        </w:rPr>
        <w:t>. Providers must enter $0 where they do not charge for staff travel in this way.</w:t>
      </w:r>
    </w:p>
    <w:p w14:paraId="51FA28D7" w14:textId="77777777" w:rsidR="006C6BCC" w:rsidRDefault="006C6BCC" w:rsidP="00473DF1">
      <w:pPr>
        <w:rPr>
          <w:rFonts w:cs="Arial"/>
          <w:lang w:val="en-GB"/>
        </w:rPr>
      </w:pPr>
      <w:r w:rsidRPr="00C25604">
        <w:rPr>
          <w:rFonts w:cs="Arial"/>
          <w:lang w:val="en-GB"/>
        </w:rPr>
        <w:t>Providers are encouraged to explain their business model within the free text field on My Aged Care, such as how the cost is calculated. For example, whether it is calculated per kilometre from the provider’s office, or if they charge for this cost in a different way.</w:t>
      </w:r>
    </w:p>
    <w:p w14:paraId="6FB3CC74" w14:textId="6DE7E4F5" w:rsidR="007E66E7" w:rsidRDefault="00CB15EE" w:rsidP="00473DF1">
      <w:pPr>
        <w:pStyle w:val="Heading2"/>
      </w:pPr>
      <w:bookmarkStart w:id="22" w:name="_Toc161734112"/>
      <w:r>
        <w:t>End of life care</w:t>
      </w:r>
      <w:bookmarkEnd w:id="22"/>
    </w:p>
    <w:p w14:paraId="19C23265" w14:textId="08A41F9E" w:rsidR="007E66E7" w:rsidRPr="00473DF1" w:rsidRDefault="00F0613E" w:rsidP="00473DF1">
      <w:pPr>
        <w:pStyle w:val="Heading4"/>
      </w:pPr>
      <w:r w:rsidRPr="00473DF1">
        <w:t>Q. Where and when can we discuss waiting times and urgency of packages especially for end of life.</w:t>
      </w:r>
    </w:p>
    <w:p w14:paraId="57B68791" w14:textId="1B5D98A3" w:rsidR="007107EC" w:rsidRPr="00473DF1" w:rsidRDefault="00F0613E" w:rsidP="00473DF1">
      <w:pPr>
        <w:rPr>
          <w:rFonts w:cs="Arial"/>
        </w:rPr>
      </w:pPr>
      <w:r w:rsidRPr="00473DF1">
        <w:rPr>
          <w:rFonts w:cs="Arial"/>
        </w:rPr>
        <w:t xml:space="preserve">A. </w:t>
      </w:r>
      <w:r w:rsidR="007107EC" w:rsidRPr="00473DF1">
        <w:rPr>
          <w:rFonts w:cs="Arial"/>
        </w:rPr>
        <w:t xml:space="preserve">People who have chronic or terminal health conditions may be supported by state and territory health palliative care specific services and housing systems, as well as the aged care </w:t>
      </w:r>
      <w:r w:rsidR="007107EC" w:rsidRPr="00473DF1">
        <w:rPr>
          <w:rFonts w:cs="Arial"/>
        </w:rPr>
        <w:lastRenderedPageBreak/>
        <w:t>system, to provide basic daily living support and care</w:t>
      </w:r>
      <w:r w:rsidR="007105E1" w:rsidRPr="00473DF1">
        <w:rPr>
          <w:rFonts w:cs="Arial"/>
        </w:rPr>
        <w:t>. This can include</w:t>
      </w:r>
      <w:r w:rsidR="007107EC" w:rsidRPr="00473DF1">
        <w:rPr>
          <w:rFonts w:cs="Arial"/>
        </w:rPr>
        <w:t xml:space="preserve"> assistance with daily chores, personal care, providing meals, transport assistance, respite care, home modifications and social support.</w:t>
      </w:r>
    </w:p>
    <w:p w14:paraId="7569312B" w14:textId="70B56D71" w:rsidR="007107EC" w:rsidRPr="00473DF1" w:rsidRDefault="007107EC" w:rsidP="00473DF1">
      <w:pPr>
        <w:rPr>
          <w:rFonts w:cs="Arial"/>
        </w:rPr>
      </w:pPr>
      <w:r w:rsidRPr="00473DF1">
        <w:rPr>
          <w:rFonts w:cs="Arial"/>
        </w:rPr>
        <w:t>A person may require specialist palliative care if they have complex palliative care needs. Specialist palliative care service provision is delivered through the state and territory health systems, although in some cases a person’s palliative care needs can be met by their general practitioner</w:t>
      </w:r>
      <w:r w:rsidR="002C2F83" w:rsidRPr="00473DF1">
        <w:rPr>
          <w:rFonts w:cs="Arial"/>
        </w:rPr>
        <w:t>.</w:t>
      </w:r>
      <w:r w:rsidRPr="00473DF1">
        <w:rPr>
          <w:rFonts w:cs="Arial"/>
        </w:rPr>
        <w:t xml:space="preserve"> All Australians are eligible to access the primary care health system through hospitals, general </w:t>
      </w:r>
      <w:proofErr w:type="gramStart"/>
      <w:r w:rsidRPr="00473DF1">
        <w:rPr>
          <w:rFonts w:cs="Arial"/>
        </w:rPr>
        <w:t>practitioner</w:t>
      </w:r>
      <w:r w:rsidR="002C2F83" w:rsidRPr="00473DF1">
        <w:rPr>
          <w:rFonts w:cs="Arial"/>
        </w:rPr>
        <w:t>s</w:t>
      </w:r>
      <w:proofErr w:type="gramEnd"/>
      <w:r w:rsidR="002C2F83" w:rsidRPr="00473DF1">
        <w:rPr>
          <w:rFonts w:cs="Arial"/>
        </w:rPr>
        <w:t xml:space="preserve"> </w:t>
      </w:r>
      <w:r w:rsidRPr="00473DF1">
        <w:rPr>
          <w:rFonts w:cs="Arial"/>
        </w:rPr>
        <w:t>and allied health practitioners. All Australians, regardless of age, can and should access these services as needed.</w:t>
      </w:r>
    </w:p>
    <w:p w14:paraId="79BB774D" w14:textId="09B3CDB1" w:rsidR="00F0613E" w:rsidRDefault="00C81A65" w:rsidP="00C514E5">
      <w:pPr>
        <w:pStyle w:val="Heading2"/>
      </w:pPr>
      <w:bookmarkStart w:id="23" w:name="_Toc161734113"/>
      <w:r>
        <w:t>Palliative care</w:t>
      </w:r>
      <w:bookmarkEnd w:id="23"/>
    </w:p>
    <w:p w14:paraId="68DAB75F" w14:textId="7B348C25" w:rsidR="00C81A65" w:rsidRPr="00473DF1" w:rsidRDefault="009534E2" w:rsidP="00473DF1">
      <w:pPr>
        <w:pStyle w:val="Heading4"/>
      </w:pPr>
      <w:r w:rsidRPr="00473DF1">
        <w:t>Q. I work in palliative care and home care packages are not responsive enough or address the complex needs dying patients often face. Some providers who take palliative patients on don’t even have nursing supports they can provide. Having providers who specialise in just providing services for palliative patients with complex medical needs is imperative.</w:t>
      </w:r>
    </w:p>
    <w:p w14:paraId="68755921" w14:textId="0CB79AA8" w:rsidR="00642B2F" w:rsidRPr="00642B2F" w:rsidRDefault="009534E2" w:rsidP="00473DF1">
      <w:pPr>
        <w:rPr>
          <w:rFonts w:cs="Arial"/>
          <w:color w:val="000000"/>
          <w:lang w:val="en-GB"/>
        </w:rPr>
      </w:pPr>
      <w:r>
        <w:rPr>
          <w:rFonts w:cs="Arial"/>
          <w:color w:val="000000"/>
        </w:rPr>
        <w:t xml:space="preserve">A. </w:t>
      </w:r>
      <w:r w:rsidR="00642B2F" w:rsidRPr="00642B2F">
        <w:rPr>
          <w:rFonts w:cs="Arial"/>
          <w:color w:val="000000"/>
          <w:lang w:val="en-GB"/>
        </w:rPr>
        <w:t>When a care recipient has complex or complicated symptoms which cannot be managed by aged care workers using a palliative approach, a referral to a specialist palliative care service is appropriate.</w:t>
      </w:r>
    </w:p>
    <w:p w14:paraId="27A4FCC0" w14:textId="77D9D90E" w:rsidR="00642B2F" w:rsidRPr="00642B2F" w:rsidRDefault="00642B2F" w:rsidP="00473DF1">
      <w:pPr>
        <w:rPr>
          <w:rFonts w:cs="Arial"/>
          <w:color w:val="000000"/>
          <w:lang w:val="en-GB"/>
        </w:rPr>
      </w:pPr>
      <w:r w:rsidRPr="00642B2F">
        <w:rPr>
          <w:rFonts w:cs="Arial"/>
          <w:color w:val="000000"/>
          <w:lang w:val="en-GB"/>
        </w:rPr>
        <w:t xml:space="preserve">While the Australian Government provides a national leadership, </w:t>
      </w:r>
      <w:proofErr w:type="gramStart"/>
      <w:r w:rsidRPr="00642B2F">
        <w:rPr>
          <w:rFonts w:cs="Arial"/>
          <w:color w:val="000000"/>
          <w:lang w:val="en-GB"/>
        </w:rPr>
        <w:t>education</w:t>
      </w:r>
      <w:proofErr w:type="gramEnd"/>
      <w:r w:rsidRPr="00642B2F">
        <w:rPr>
          <w:rFonts w:cs="Arial"/>
          <w:color w:val="000000"/>
          <w:lang w:val="en-GB"/>
        </w:rPr>
        <w:t xml:space="preserve"> and policy role in palliative care, it provides funding to state and territory governments for the delivery of specialist care services in their jurisdictions. This arrangement enables each state and territory government to make decisions about the provision and delivery of specialist palliative care services in their health systems, to meet the needs of their community. This forms part of their responsibilities through hospital and community service provision. Information on specialist palliative care service providers can be found </w:t>
      </w:r>
      <w:r w:rsidR="00942DBC">
        <w:rPr>
          <w:rFonts w:cs="Arial"/>
          <w:color w:val="000000"/>
          <w:lang w:val="en-GB"/>
        </w:rPr>
        <w:t>on the</w:t>
      </w:r>
      <w:r w:rsidRPr="00642B2F">
        <w:rPr>
          <w:rFonts w:cs="Arial"/>
          <w:color w:val="000000"/>
          <w:lang w:val="en-GB"/>
        </w:rPr>
        <w:t xml:space="preserve"> </w:t>
      </w:r>
      <w:hyperlink r:id="rId57" w:history="1">
        <w:r w:rsidR="00942DBC">
          <w:rPr>
            <w:rStyle w:val="Hyperlink"/>
            <w:rFonts w:cs="Arial"/>
            <w:color w:val="0070C0"/>
            <w:lang w:val="en-GB"/>
          </w:rPr>
          <w:t>find a palliative care service provider page</w:t>
        </w:r>
      </w:hyperlink>
      <w:r w:rsidR="00942DBC" w:rsidRPr="005D4161">
        <w:rPr>
          <w:rStyle w:val="Hyperlink"/>
          <w:rFonts w:cs="Arial"/>
          <w:color w:val="auto"/>
          <w:u w:val="none"/>
          <w:lang w:val="en-GB"/>
        </w:rPr>
        <w:t>.</w:t>
      </w:r>
    </w:p>
    <w:p w14:paraId="0E9B4A06" w14:textId="5D25E094" w:rsidR="0071562A" w:rsidRDefault="0071562A" w:rsidP="00473DF1">
      <w:pPr>
        <w:pStyle w:val="Heading2"/>
      </w:pPr>
      <w:bookmarkStart w:id="24" w:name="_Toc161734114"/>
      <w:r>
        <w:t>S</w:t>
      </w:r>
      <w:r w:rsidR="0056567F">
        <w:t>ocial</w:t>
      </w:r>
      <w:r w:rsidR="00EB0EE8">
        <w:t xml:space="preserve">, Community, Home Care and Disability Services (SCHADS) </w:t>
      </w:r>
      <w:r>
        <w:t>Award</w:t>
      </w:r>
      <w:bookmarkEnd w:id="24"/>
    </w:p>
    <w:p w14:paraId="20D5479E" w14:textId="2E7AE72C" w:rsidR="00E1571F" w:rsidRPr="00473DF1" w:rsidRDefault="00E1571F" w:rsidP="00473DF1">
      <w:pPr>
        <w:pStyle w:val="Heading4"/>
      </w:pPr>
      <w:r w:rsidRPr="00473DF1">
        <w:t>Q. My concern is the implementation by providers of the 2-hour minimum service under the Social, Community, Home Care and Disability Services (SCHADS) award. Many HCP recipients require one-hour service daily am and pm; therefore, the package hours will fail to meet their other care needs. What can be done to address this situation?</w:t>
      </w:r>
    </w:p>
    <w:p w14:paraId="0DF240D4" w14:textId="29F170A3" w:rsidR="00323D6B" w:rsidRDefault="00E92089" w:rsidP="00B1784A">
      <w:pPr>
        <w:rPr>
          <w:rFonts w:cs="Arial"/>
          <w:lang w:val="en-GB"/>
        </w:rPr>
      </w:pPr>
      <w:r>
        <w:rPr>
          <w:rFonts w:cs="Arial"/>
        </w:rPr>
        <w:t>A.</w:t>
      </w:r>
      <w:r w:rsidR="00323D6B">
        <w:rPr>
          <w:rFonts w:cs="Arial"/>
        </w:rPr>
        <w:t xml:space="preserve"> </w:t>
      </w:r>
      <w:bookmarkStart w:id="25" w:name="_Hlk111633293"/>
      <w:r w:rsidR="00323D6B" w:rsidRPr="00323D6B">
        <w:rPr>
          <w:rFonts w:cs="Arial"/>
          <w:lang w:val="en-GB"/>
        </w:rPr>
        <w:t>The changes to the SCHADS Award which were introduced from 1 July 2022 resulted in casual and part-time home care employees being paid for a minimum two-hour shift. This is a good outcome for aged care workers who want job security.</w:t>
      </w:r>
    </w:p>
    <w:p w14:paraId="222978D3" w14:textId="3C03412D" w:rsidR="00323D6B" w:rsidRPr="00323D6B" w:rsidRDefault="00323D6B" w:rsidP="00B1784A">
      <w:pPr>
        <w:rPr>
          <w:rFonts w:cs="Arial"/>
          <w:lang w:val="en-GB"/>
        </w:rPr>
      </w:pPr>
      <w:r w:rsidRPr="00323D6B">
        <w:rPr>
          <w:rFonts w:cs="Arial"/>
          <w:lang w:val="en-GB"/>
        </w:rPr>
        <w:t>However, providers are required to consider how they schedule their workers accordingly to not impact care recipients. For example</w:t>
      </w:r>
      <w:r w:rsidR="00DD34C2">
        <w:rPr>
          <w:rFonts w:cs="Arial"/>
          <w:lang w:val="en-GB"/>
        </w:rPr>
        <w:t xml:space="preserve">, </w:t>
      </w:r>
      <w:r w:rsidRPr="00323D6B">
        <w:rPr>
          <w:rFonts w:cs="Arial"/>
          <w:lang w:val="en-GB"/>
        </w:rPr>
        <w:t>providers can schedule more than one care recipient within the two-hour minimum, rather than imposing a two-hour minimum on a care recipient.</w:t>
      </w:r>
    </w:p>
    <w:p w14:paraId="097B6343" w14:textId="77777777" w:rsidR="00323D6B" w:rsidRDefault="00323D6B" w:rsidP="00B1784A">
      <w:pPr>
        <w:rPr>
          <w:rFonts w:cs="Arial"/>
          <w:lang w:val="en-GB"/>
        </w:rPr>
      </w:pPr>
      <w:r w:rsidRPr="00323D6B">
        <w:rPr>
          <w:rFonts w:cs="Arial"/>
          <w:lang w:val="en-GB"/>
        </w:rPr>
        <w:lastRenderedPageBreak/>
        <w:t>The provider cannot charge a package for time when services are not being delivered, nor can they set unreasonable minimum service periods.</w:t>
      </w:r>
    </w:p>
    <w:p w14:paraId="5EF076AB" w14:textId="63E82C0B" w:rsidR="00323D6B" w:rsidRDefault="00323D6B" w:rsidP="00B1784A">
      <w:pPr>
        <w:rPr>
          <w:rFonts w:cs="Arial"/>
          <w:lang w:val="en-GB"/>
        </w:rPr>
      </w:pPr>
      <w:r w:rsidRPr="00323D6B">
        <w:rPr>
          <w:rFonts w:cs="Arial"/>
          <w:lang w:val="en-GB"/>
        </w:rPr>
        <w:t xml:space="preserve">Under the </w:t>
      </w:r>
      <w:r w:rsidRPr="00323D6B">
        <w:rPr>
          <w:rFonts w:cs="Arial"/>
          <w:i/>
          <w:iCs/>
          <w:lang w:val="en-GB"/>
        </w:rPr>
        <w:t>User Rights Principles 2014</w:t>
      </w:r>
      <w:r w:rsidRPr="00323D6B">
        <w:rPr>
          <w:rFonts w:cs="Arial"/>
          <w:lang w:val="en-GB"/>
        </w:rPr>
        <w:t xml:space="preserve">, the </w:t>
      </w:r>
      <w:r w:rsidRPr="00323D6B">
        <w:rPr>
          <w:rFonts w:cs="Arial"/>
          <w:i/>
          <w:iCs/>
          <w:lang w:val="en-GB"/>
        </w:rPr>
        <w:t>Aged Care Act 1997</w:t>
      </w:r>
      <w:r w:rsidRPr="00323D6B">
        <w:rPr>
          <w:rFonts w:cs="Arial"/>
          <w:lang w:val="en-GB"/>
        </w:rPr>
        <w:t xml:space="preserve"> and Australian Consumer Law, a </w:t>
      </w:r>
      <w:r w:rsidR="00FC7B65">
        <w:rPr>
          <w:rFonts w:cs="Arial"/>
          <w:lang w:val="en-GB"/>
        </w:rPr>
        <w:t>h</w:t>
      </w:r>
      <w:r w:rsidRPr="00323D6B">
        <w:rPr>
          <w:rFonts w:cs="Arial"/>
          <w:lang w:val="en-GB"/>
        </w:rPr>
        <w:t xml:space="preserve">ome </w:t>
      </w:r>
      <w:r w:rsidR="00FC7B65">
        <w:rPr>
          <w:rFonts w:cs="Arial"/>
          <w:lang w:val="en-GB"/>
        </w:rPr>
        <w:t>c</w:t>
      </w:r>
      <w:r w:rsidRPr="00323D6B">
        <w:rPr>
          <w:rFonts w:cs="Arial"/>
          <w:lang w:val="en-GB"/>
        </w:rPr>
        <w:t xml:space="preserve">are </w:t>
      </w:r>
      <w:r w:rsidR="00FC7B65">
        <w:rPr>
          <w:rFonts w:cs="Arial"/>
          <w:lang w:val="en-GB"/>
        </w:rPr>
        <w:t>a</w:t>
      </w:r>
      <w:r w:rsidRPr="00323D6B">
        <w:rPr>
          <w:rFonts w:cs="Arial"/>
          <w:lang w:val="en-GB"/>
        </w:rPr>
        <w:t>greement is an agreement between the home care provider and care recipient. A provider cannot change a care recipient’s service delivery arrangements without consent to the changes</w:t>
      </w:r>
      <w:r w:rsidR="0022353D">
        <w:rPr>
          <w:rFonts w:cs="Arial"/>
          <w:lang w:val="en-GB"/>
        </w:rPr>
        <w:t>,</w:t>
      </w:r>
      <w:r w:rsidRPr="00323D6B">
        <w:rPr>
          <w:rFonts w:cs="Arial"/>
          <w:lang w:val="en-GB"/>
        </w:rPr>
        <w:t xml:space="preserve"> and being reflected in the </w:t>
      </w:r>
      <w:r w:rsidR="001F14AD">
        <w:rPr>
          <w:rFonts w:cs="Arial"/>
          <w:lang w:val="en-GB"/>
        </w:rPr>
        <w:t>h</w:t>
      </w:r>
      <w:r w:rsidRPr="00323D6B">
        <w:rPr>
          <w:rFonts w:cs="Arial"/>
          <w:lang w:val="en-GB"/>
        </w:rPr>
        <w:t xml:space="preserve">ome </w:t>
      </w:r>
      <w:r w:rsidR="001F14AD">
        <w:rPr>
          <w:rFonts w:cs="Arial"/>
          <w:lang w:val="en-GB"/>
        </w:rPr>
        <w:t>c</w:t>
      </w:r>
      <w:r w:rsidRPr="00323D6B">
        <w:rPr>
          <w:rFonts w:cs="Arial"/>
          <w:lang w:val="en-GB"/>
        </w:rPr>
        <w:t xml:space="preserve">are </w:t>
      </w:r>
      <w:r w:rsidR="001F14AD">
        <w:rPr>
          <w:rFonts w:cs="Arial"/>
          <w:lang w:val="en-GB"/>
        </w:rPr>
        <w:t>a</w:t>
      </w:r>
      <w:r w:rsidRPr="00323D6B">
        <w:rPr>
          <w:rFonts w:cs="Arial"/>
          <w:lang w:val="en-GB"/>
        </w:rPr>
        <w:t xml:space="preserve">greement, individualised </w:t>
      </w:r>
      <w:proofErr w:type="gramStart"/>
      <w:r w:rsidRPr="00323D6B">
        <w:rPr>
          <w:rFonts w:cs="Arial"/>
          <w:lang w:val="en-GB"/>
        </w:rPr>
        <w:t>budget</w:t>
      </w:r>
      <w:proofErr w:type="gramEnd"/>
      <w:r w:rsidRPr="00323D6B">
        <w:rPr>
          <w:rFonts w:cs="Arial"/>
          <w:lang w:val="en-GB"/>
        </w:rPr>
        <w:t xml:space="preserve"> and care plan. If a provider wishes to increase their service charges, these changes must be reasonable and justifiable, and they must also be agreed and documented in the care recipient’s </w:t>
      </w:r>
      <w:r w:rsidR="001F14AD">
        <w:rPr>
          <w:rFonts w:cs="Arial"/>
          <w:lang w:val="en-GB"/>
        </w:rPr>
        <w:t>h</w:t>
      </w:r>
      <w:r w:rsidRPr="00323D6B">
        <w:rPr>
          <w:rFonts w:cs="Arial"/>
          <w:lang w:val="en-GB"/>
        </w:rPr>
        <w:t xml:space="preserve">ome </w:t>
      </w:r>
      <w:r w:rsidR="001F14AD">
        <w:rPr>
          <w:rFonts w:cs="Arial"/>
          <w:lang w:val="en-GB"/>
        </w:rPr>
        <w:t>c</w:t>
      </w:r>
      <w:r w:rsidRPr="00323D6B">
        <w:rPr>
          <w:rFonts w:cs="Arial"/>
          <w:lang w:val="en-GB"/>
        </w:rPr>
        <w:t xml:space="preserve">are </w:t>
      </w:r>
      <w:r w:rsidR="001F14AD">
        <w:rPr>
          <w:rFonts w:cs="Arial"/>
          <w:lang w:val="en-GB"/>
        </w:rPr>
        <w:t>a</w:t>
      </w:r>
      <w:r w:rsidRPr="00323D6B">
        <w:rPr>
          <w:rFonts w:cs="Arial"/>
          <w:lang w:val="en-GB"/>
        </w:rPr>
        <w:t>greement.</w:t>
      </w:r>
    </w:p>
    <w:p w14:paraId="4B093EA8" w14:textId="1370479E" w:rsidR="00323D6B" w:rsidRDefault="00323D6B" w:rsidP="00B1784A">
      <w:pPr>
        <w:rPr>
          <w:rStyle w:val="Hyperlink"/>
          <w:rFonts w:cs="Arial"/>
          <w:lang w:val="en-GB"/>
        </w:rPr>
      </w:pPr>
      <w:r w:rsidRPr="00323D6B">
        <w:rPr>
          <w:rFonts w:cs="Arial"/>
          <w:lang w:val="en-GB"/>
        </w:rPr>
        <w:t>If you feel a provider is not complying with their responsibilities, you can escalate those concerns to the Aged Care Quality and Safety Commission</w:t>
      </w:r>
      <w:bookmarkEnd w:id="25"/>
      <w:r w:rsidRPr="00323D6B">
        <w:rPr>
          <w:rFonts w:cs="Arial"/>
          <w:lang w:val="en-GB"/>
        </w:rPr>
        <w:t>. The</w:t>
      </w:r>
      <w:r w:rsidR="005130BB">
        <w:rPr>
          <w:rFonts w:cs="Arial"/>
          <w:lang w:val="en-GB"/>
        </w:rPr>
        <w:t xml:space="preserve"> Aged Care Quality and Safety</w:t>
      </w:r>
      <w:r w:rsidRPr="00323D6B">
        <w:rPr>
          <w:rFonts w:cs="Arial"/>
          <w:lang w:val="en-GB"/>
        </w:rPr>
        <w:t xml:space="preserve"> Commission provides a free service for people to raise concerns about the quality of care or services delivered to people who receive Commonwealth-funded residential or home care services. There are strict confidentiality and anonymity provisions within aged care legislation that ensure people who request confidentiality are protected from having their identity disclosed. The </w:t>
      </w:r>
      <w:r w:rsidR="00304D5A">
        <w:rPr>
          <w:rFonts w:cs="Arial"/>
          <w:lang w:val="en-GB"/>
        </w:rPr>
        <w:t>Aged Care Quality and Safety</w:t>
      </w:r>
      <w:r w:rsidRPr="00323D6B">
        <w:rPr>
          <w:rFonts w:cs="Arial"/>
          <w:lang w:val="en-GB"/>
        </w:rPr>
        <w:t xml:space="preserve"> Commission can be contacted on 1800 951 822 </w:t>
      </w:r>
      <w:bookmarkStart w:id="26" w:name="_Hlk113452691"/>
      <w:r w:rsidRPr="00323D6B">
        <w:rPr>
          <w:rFonts w:cs="Arial"/>
          <w:lang w:val="en-GB"/>
        </w:rPr>
        <w:t xml:space="preserve">or by visiting the website at </w:t>
      </w:r>
      <w:hyperlink r:id="rId58" w:history="1">
        <w:r w:rsidR="001F14AD" w:rsidRPr="00DF7A38">
          <w:rPr>
            <w:rStyle w:val="Hyperlink"/>
            <w:rFonts w:cs="Arial"/>
            <w:color w:val="0070C0"/>
            <w:lang w:val="en-GB"/>
          </w:rPr>
          <w:t>www.agedcarequality.gov.au</w:t>
        </w:r>
      </w:hyperlink>
      <w:bookmarkEnd w:id="26"/>
      <w:r w:rsidR="00DF7A38" w:rsidRPr="00DF7A38">
        <w:rPr>
          <w:rStyle w:val="Hyperlink"/>
          <w:rFonts w:cs="Arial"/>
          <w:color w:val="auto"/>
          <w:u w:val="none"/>
          <w:lang w:val="en-GB"/>
        </w:rPr>
        <w:t>.</w:t>
      </w:r>
    </w:p>
    <w:p w14:paraId="46B4F534" w14:textId="6B970536" w:rsidR="0071562A" w:rsidRDefault="00323D6B" w:rsidP="00B1784A">
      <w:pPr>
        <w:rPr>
          <w:rStyle w:val="Hyperlink"/>
          <w:rFonts w:cs="Arial"/>
          <w:lang w:val="en-GB"/>
        </w:rPr>
      </w:pPr>
      <w:r w:rsidRPr="00323D6B">
        <w:rPr>
          <w:rFonts w:cs="Arial"/>
          <w:lang w:val="en-GB"/>
        </w:rPr>
        <w:t>Alternatively</w:t>
      </w:r>
      <w:r w:rsidR="00AE7BD0">
        <w:rPr>
          <w:rFonts w:cs="Arial"/>
          <w:lang w:val="en-GB"/>
        </w:rPr>
        <w:t>,</w:t>
      </w:r>
      <w:r w:rsidRPr="00323D6B">
        <w:rPr>
          <w:rFonts w:cs="Arial"/>
          <w:lang w:val="en-GB"/>
        </w:rPr>
        <w:t xml:space="preserve"> if individuals need assistance with their aged care services, the Australia-wide Older Persons Advocacy Network (OPAN) provides advocacy services. OPAN can be contacted on 1800 700 600 between 8am and 8pm from Monday to Friday, and between 10am and 4pm on Saturday. Details about OPAN can also be found at </w:t>
      </w:r>
      <w:hyperlink r:id="rId59" w:history="1">
        <w:r w:rsidRPr="00DF7A38">
          <w:rPr>
            <w:rStyle w:val="Hyperlink"/>
            <w:rFonts w:cs="Arial"/>
            <w:color w:val="0070C0"/>
            <w:lang w:val="en-GB"/>
          </w:rPr>
          <w:t>www.opan.org.au</w:t>
        </w:r>
      </w:hyperlink>
      <w:r w:rsidR="005D4161" w:rsidRPr="005D4161">
        <w:rPr>
          <w:rStyle w:val="Hyperlink"/>
          <w:rFonts w:cs="Arial"/>
          <w:color w:val="auto"/>
          <w:u w:val="none"/>
          <w:lang w:val="en-GB"/>
        </w:rPr>
        <w:t>.</w:t>
      </w:r>
    </w:p>
    <w:p w14:paraId="5D142C62" w14:textId="7F469E73" w:rsidR="00954C30" w:rsidRPr="00B1784A" w:rsidRDefault="00954C30" w:rsidP="00B1784A">
      <w:pPr>
        <w:pStyle w:val="Heading4"/>
      </w:pPr>
      <w:r w:rsidRPr="00B1784A">
        <w:t xml:space="preserve">Q. Is there a way you can find out whether providers are accurately interpreting the SCHADS award, </w:t>
      </w:r>
      <w:proofErr w:type="spellStart"/>
      <w:r w:rsidRPr="00B1784A">
        <w:t>ie</w:t>
      </w:r>
      <w:proofErr w:type="spellEnd"/>
      <w:r w:rsidRPr="00B1784A">
        <w:t xml:space="preserve"> some providers are charging 2 hours for every service</w:t>
      </w:r>
      <w:r w:rsidR="00497D3A" w:rsidRPr="00B1784A">
        <w:t>?</w:t>
      </w:r>
      <w:r w:rsidRPr="00B1784A">
        <w:t xml:space="preserve"> Others are charging the actual time spent on a </w:t>
      </w:r>
      <w:proofErr w:type="gramStart"/>
      <w:r w:rsidRPr="00B1784A">
        <w:t>service?</w:t>
      </w:r>
      <w:proofErr w:type="gramEnd"/>
    </w:p>
    <w:p w14:paraId="0CF0E297" w14:textId="601B4DDB" w:rsidR="00E92089" w:rsidRDefault="00954C30" w:rsidP="00B1784A">
      <w:pPr>
        <w:rPr>
          <w:rFonts w:cs="Arial"/>
        </w:rPr>
      </w:pPr>
      <w:r>
        <w:rPr>
          <w:rFonts w:cs="Arial"/>
        </w:rPr>
        <w:t>A. Please see response above.</w:t>
      </w:r>
    </w:p>
    <w:p w14:paraId="70EBF1AD" w14:textId="54DB0170" w:rsidR="000B233F" w:rsidRDefault="001868B6" w:rsidP="007F5239">
      <w:pPr>
        <w:pStyle w:val="Heading2"/>
        <w:spacing w:before="0" w:after="0"/>
      </w:pPr>
      <w:bookmarkStart w:id="27" w:name="_Toc161734115"/>
      <w:r>
        <w:t>National Aged Care Advisory Council</w:t>
      </w:r>
      <w:bookmarkEnd w:id="27"/>
    </w:p>
    <w:p w14:paraId="224C2C1F" w14:textId="7123A815" w:rsidR="00E92089" w:rsidRPr="00B1784A" w:rsidRDefault="008512E7" w:rsidP="00B1784A">
      <w:pPr>
        <w:pStyle w:val="Heading4"/>
      </w:pPr>
      <w:r w:rsidRPr="00B1784A">
        <w:t xml:space="preserve">Q. Will the government consider setting up a group of older people to advise them on their opinions relating to the planned changes to Australian </w:t>
      </w:r>
      <w:r w:rsidR="005533AE" w:rsidRPr="00B1784A">
        <w:t>a</w:t>
      </w:r>
      <w:r w:rsidRPr="00B1784A">
        <w:t xml:space="preserve">ged </w:t>
      </w:r>
      <w:r w:rsidR="005533AE" w:rsidRPr="00B1784A">
        <w:t>c</w:t>
      </w:r>
      <w:r w:rsidRPr="00B1784A">
        <w:t xml:space="preserve">are </w:t>
      </w:r>
      <w:r w:rsidR="005533AE" w:rsidRPr="00B1784A">
        <w:t>s</w:t>
      </w:r>
      <w:r w:rsidRPr="00B1784A">
        <w:t>ervices?</w:t>
      </w:r>
    </w:p>
    <w:p w14:paraId="74DBC04F" w14:textId="698CB88B" w:rsidR="00031E50" w:rsidRPr="00031E50" w:rsidRDefault="008512E7" w:rsidP="00B1784A">
      <w:pPr>
        <w:rPr>
          <w:rFonts w:cs="Arial"/>
        </w:rPr>
      </w:pPr>
      <w:r>
        <w:rPr>
          <w:rFonts w:cs="Arial"/>
        </w:rPr>
        <w:t xml:space="preserve">A. </w:t>
      </w:r>
      <w:r w:rsidR="00031E50" w:rsidRPr="00031E50">
        <w:rPr>
          <w:rFonts w:cs="Arial"/>
          <w:lang w:val="en-GB"/>
        </w:rPr>
        <w:t xml:space="preserve">The National Aged Care Advisory Council was established as part of governance arrangements arising from the aged care reforms. The </w:t>
      </w:r>
      <w:r w:rsidR="005533AE">
        <w:rPr>
          <w:rFonts w:cs="Arial"/>
          <w:lang w:val="en-GB"/>
        </w:rPr>
        <w:t>National Aged Care</w:t>
      </w:r>
      <w:r w:rsidR="00031E50" w:rsidRPr="00031E50">
        <w:rPr>
          <w:rFonts w:cs="Arial"/>
          <w:lang w:val="en-GB"/>
        </w:rPr>
        <w:t xml:space="preserve"> Advisory Council provides advice to government on key matters relating to the aged care sector and meets every 6 weeks. For more information, please visit the department’s website</w:t>
      </w:r>
      <w:r w:rsidR="00575B38">
        <w:rPr>
          <w:rFonts w:cs="Arial"/>
          <w:lang w:val="en-GB"/>
        </w:rPr>
        <w:t xml:space="preserve"> </w:t>
      </w:r>
      <w:hyperlink r:id="rId60" w:tgtFrame="_blank" w:history="1">
        <w:r w:rsidR="00942DBC">
          <w:rPr>
            <w:rStyle w:val="Hyperlink"/>
            <w:rFonts w:cs="Arial"/>
            <w:color w:val="0070C0"/>
            <w:lang w:val="en-GB"/>
          </w:rPr>
          <w:t>committees and groups page</w:t>
        </w:r>
      </w:hyperlink>
      <w:r w:rsidR="00942DBC" w:rsidRPr="00575B38">
        <w:rPr>
          <w:rStyle w:val="Hyperlink"/>
          <w:rFonts w:cs="Arial"/>
          <w:color w:val="auto"/>
          <w:u w:val="none"/>
          <w:lang w:val="en-GB"/>
        </w:rPr>
        <w:t>.</w:t>
      </w:r>
    </w:p>
    <w:p w14:paraId="4A45402E" w14:textId="1D42DF9A" w:rsidR="007A55A6" w:rsidRDefault="007A55A6" w:rsidP="00B1784A">
      <w:pPr>
        <w:rPr>
          <w:rFonts w:cs="Arial"/>
        </w:rPr>
      </w:pPr>
      <w:r>
        <w:rPr>
          <w:rFonts w:cs="Arial"/>
        </w:rPr>
        <w:t xml:space="preserve">The </w:t>
      </w:r>
      <w:r w:rsidR="00AF08C2">
        <w:rPr>
          <w:rFonts w:cs="Arial"/>
        </w:rPr>
        <w:t>Aged Care</w:t>
      </w:r>
      <w:r>
        <w:rPr>
          <w:rFonts w:cs="Arial"/>
        </w:rPr>
        <w:t xml:space="preserve"> Council of Elders was established </w:t>
      </w:r>
      <w:r w:rsidR="00B00924">
        <w:rPr>
          <w:rFonts w:cs="Arial"/>
        </w:rPr>
        <w:t xml:space="preserve">as an advisory body to the aged care reforms. </w:t>
      </w:r>
      <w:r w:rsidR="002718DA" w:rsidRPr="002718DA">
        <w:rPr>
          <w:rFonts w:cs="Arial"/>
        </w:rPr>
        <w:t xml:space="preserve">The </w:t>
      </w:r>
      <w:r w:rsidR="00AF08C2">
        <w:rPr>
          <w:rFonts w:cs="Arial"/>
        </w:rPr>
        <w:t>Aged Care</w:t>
      </w:r>
      <w:r w:rsidR="002718DA" w:rsidRPr="002718DA">
        <w:rPr>
          <w:rFonts w:cs="Arial"/>
        </w:rPr>
        <w:t xml:space="preserve"> Council of Elders provide</w:t>
      </w:r>
      <w:r w:rsidR="002718DA">
        <w:rPr>
          <w:rFonts w:cs="Arial"/>
        </w:rPr>
        <w:t>s</w:t>
      </w:r>
      <w:r w:rsidR="002718DA" w:rsidRPr="002718DA">
        <w:rPr>
          <w:rFonts w:cs="Arial"/>
        </w:rPr>
        <w:t xml:space="preserve"> a direct voice to government from older </w:t>
      </w:r>
      <w:r w:rsidR="002718DA">
        <w:rPr>
          <w:rFonts w:cs="Arial"/>
        </w:rPr>
        <w:t>people</w:t>
      </w:r>
      <w:r w:rsidR="002718DA" w:rsidRPr="002718DA">
        <w:rPr>
          <w:rFonts w:cs="Arial"/>
        </w:rPr>
        <w:t>.</w:t>
      </w:r>
      <w:r w:rsidR="00C9127E">
        <w:rPr>
          <w:rFonts w:cs="Arial"/>
        </w:rPr>
        <w:t xml:space="preserve"> </w:t>
      </w:r>
      <w:r w:rsidR="00B957FE" w:rsidRPr="00B957FE">
        <w:rPr>
          <w:rFonts w:cs="Arial"/>
        </w:rPr>
        <w:t>The council talk to older people about changes being made to aged care and listen to their experiences. The council use</w:t>
      </w:r>
      <w:r w:rsidR="00B957FE">
        <w:rPr>
          <w:rFonts w:cs="Arial"/>
        </w:rPr>
        <w:t>s</w:t>
      </w:r>
      <w:r w:rsidR="00B957FE" w:rsidRPr="00B957FE">
        <w:rPr>
          <w:rFonts w:cs="Arial"/>
        </w:rPr>
        <w:t xml:space="preserve"> this information to give independent advice to government about the aged care system and ageing well. They consider views from older people across </w:t>
      </w:r>
      <w:r w:rsidR="00B957FE" w:rsidRPr="00B957FE">
        <w:rPr>
          <w:rFonts w:cs="Arial"/>
        </w:rPr>
        <w:lastRenderedPageBreak/>
        <w:t>Australia when providing advice to government.</w:t>
      </w:r>
      <w:r w:rsidR="00B957FE">
        <w:rPr>
          <w:rFonts w:cs="Arial"/>
        </w:rPr>
        <w:t xml:space="preserve"> </w:t>
      </w:r>
      <w:r w:rsidR="00C9127E">
        <w:rPr>
          <w:rFonts w:cs="Arial"/>
        </w:rPr>
        <w:t xml:space="preserve">For more information, please </w:t>
      </w:r>
      <w:r w:rsidR="00D070A5">
        <w:rPr>
          <w:rFonts w:cs="Arial"/>
        </w:rPr>
        <w:t xml:space="preserve">visit the department’s website </w:t>
      </w:r>
      <w:hyperlink r:id="rId61" w:history="1">
        <w:r w:rsidR="00A14742">
          <w:rPr>
            <w:rStyle w:val="Hyperlink"/>
            <w:rFonts w:cs="Arial"/>
            <w:color w:val="0070C0"/>
          </w:rPr>
          <w:t>committees and groups page</w:t>
        </w:r>
      </w:hyperlink>
      <w:r w:rsidR="00A14742" w:rsidRPr="00CA779D">
        <w:rPr>
          <w:rStyle w:val="Hyperlink"/>
          <w:rFonts w:cs="Arial"/>
          <w:color w:val="auto"/>
          <w:u w:val="none"/>
        </w:rPr>
        <w:t>.</w:t>
      </w:r>
    </w:p>
    <w:p w14:paraId="3A79F7AC" w14:textId="0792C64B" w:rsidR="00D81D27" w:rsidRDefault="00A5129E" w:rsidP="007F5239">
      <w:pPr>
        <w:pStyle w:val="Heading2"/>
        <w:spacing w:before="0" w:after="0"/>
      </w:pPr>
      <w:bookmarkStart w:id="28" w:name="_Toc161734116"/>
      <w:r>
        <w:t>Support at Home questions</w:t>
      </w:r>
      <w:bookmarkEnd w:id="28"/>
    </w:p>
    <w:p w14:paraId="71C461C6" w14:textId="33A767DE" w:rsidR="00D81D27" w:rsidRDefault="00361E0D" w:rsidP="00B1784A">
      <w:r>
        <w:t xml:space="preserve">Questions were </w:t>
      </w:r>
      <w:r w:rsidR="00D81D27">
        <w:t xml:space="preserve">received </w:t>
      </w:r>
      <w:r w:rsidR="00154A11">
        <w:t xml:space="preserve">during the webinar </w:t>
      </w:r>
      <w:r w:rsidR="00D81D27">
        <w:t xml:space="preserve">about the </w:t>
      </w:r>
      <w:r w:rsidR="00DB4A41">
        <w:t xml:space="preserve">future </w:t>
      </w:r>
      <w:r w:rsidR="00D81D27">
        <w:t>Support at Home program</w:t>
      </w:r>
      <w:r w:rsidR="003737A5">
        <w:t xml:space="preserve">, which </w:t>
      </w:r>
      <w:r w:rsidR="00CF7221">
        <w:t>were</w:t>
      </w:r>
      <w:r w:rsidR="003737A5">
        <w:t xml:space="preserve"> outside the scope of program assurance of the HCP program</w:t>
      </w:r>
      <w:r w:rsidR="00D81D27">
        <w:t xml:space="preserve">. </w:t>
      </w:r>
      <w:r>
        <w:t>Thes</w:t>
      </w:r>
      <w:r w:rsidR="003737A5">
        <w:t>e includ</w:t>
      </w:r>
      <w:r>
        <w:t xml:space="preserve">ed questions about </w:t>
      </w:r>
      <w:r w:rsidR="00ED31C1">
        <w:t xml:space="preserve">how the department will </w:t>
      </w:r>
      <w:r w:rsidR="003737A5">
        <w:t xml:space="preserve">treat unspent funds in the future, and </w:t>
      </w:r>
      <w:r w:rsidR="00485508">
        <w:t xml:space="preserve">whether </w:t>
      </w:r>
      <w:r w:rsidR="003737A5">
        <w:t>unspent funds that have been accumulated will be p</w:t>
      </w:r>
      <w:r w:rsidR="0017370F">
        <w:t>rotected</w:t>
      </w:r>
      <w:r w:rsidR="00610389">
        <w:t>.</w:t>
      </w:r>
    </w:p>
    <w:p w14:paraId="3F1F845B" w14:textId="0A057247" w:rsidR="00830965" w:rsidRPr="00D81D27" w:rsidRDefault="00830965" w:rsidP="00B1784A">
      <w:r>
        <w:t xml:space="preserve">The Support at Home team has </w:t>
      </w:r>
      <w:r w:rsidR="00214002">
        <w:t xml:space="preserve">presented webinars </w:t>
      </w:r>
      <w:r w:rsidR="00804189">
        <w:t xml:space="preserve">on the </w:t>
      </w:r>
      <w:r w:rsidR="00DB4A41">
        <w:t xml:space="preserve">proposed </w:t>
      </w:r>
      <w:r w:rsidR="00804189">
        <w:t>new program</w:t>
      </w:r>
      <w:r w:rsidR="00214002">
        <w:t xml:space="preserve"> which can be found on </w:t>
      </w:r>
      <w:r w:rsidR="00804189">
        <w:t xml:space="preserve">the department’s </w:t>
      </w:r>
      <w:hyperlink r:id="rId62" w:history="1">
        <w:r w:rsidR="00804189" w:rsidRPr="000820FE">
          <w:rPr>
            <w:rStyle w:val="Hyperlink"/>
            <w:rFonts w:cs="Arial"/>
            <w:color w:val="0070C0"/>
            <w:lang w:val="en-GB"/>
          </w:rPr>
          <w:t>webinar</w:t>
        </w:r>
        <w:r w:rsidR="008272BB" w:rsidRPr="000820FE">
          <w:rPr>
            <w:rStyle w:val="Hyperlink"/>
            <w:rFonts w:cs="Arial"/>
            <w:color w:val="0070C0"/>
            <w:lang w:val="en-GB"/>
          </w:rPr>
          <w:t>s for the aged care sector</w:t>
        </w:r>
      </w:hyperlink>
      <w:r w:rsidR="00804189" w:rsidRPr="000820FE">
        <w:rPr>
          <w:rStyle w:val="Hyperlink"/>
          <w:rFonts w:cs="Arial"/>
          <w:color w:val="auto"/>
          <w:u w:val="none"/>
          <w:lang w:val="en-GB"/>
        </w:rPr>
        <w:t>.</w:t>
      </w:r>
    </w:p>
    <w:p w14:paraId="3C55DD68" w14:textId="2D51427D" w:rsidR="00D81D27" w:rsidRPr="00B1784A" w:rsidRDefault="004A11C2" w:rsidP="00B1784A">
      <w:pPr>
        <w:pStyle w:val="Heading4"/>
      </w:pPr>
      <w:r>
        <w:t xml:space="preserve">Q. </w:t>
      </w:r>
      <w:r w:rsidR="00D81D27" w:rsidRPr="00B1784A">
        <w:t>How can I find out more about the Support at Home program?</w:t>
      </w:r>
    </w:p>
    <w:p w14:paraId="451BC2E3" w14:textId="55BEDEEE" w:rsidR="00D81D27" w:rsidRPr="00D81D27" w:rsidRDefault="00D81D27" w:rsidP="00984735">
      <w:r w:rsidRPr="00D81D27">
        <w:t xml:space="preserve">The new Support at Home program will replace the </w:t>
      </w:r>
      <w:r>
        <w:t xml:space="preserve">HCP </w:t>
      </w:r>
      <w:r w:rsidR="00093FB6">
        <w:t>p</w:t>
      </w:r>
      <w:r w:rsidRPr="00D81D27">
        <w:t>rogram and Short-Term Restorative Care Programme</w:t>
      </w:r>
      <w:r>
        <w:t xml:space="preserve"> (STRC)</w:t>
      </w:r>
      <w:r w:rsidRPr="00D81D27">
        <w:t xml:space="preserve"> from 1 July 2025. The Commonwealth Home Support Programme will transition to the new program no earlier than 1 July 2027. Support at Home will improve access to services, </w:t>
      </w:r>
      <w:proofErr w:type="gramStart"/>
      <w:r w:rsidRPr="00D81D27">
        <w:t>equipment</w:t>
      </w:r>
      <w:proofErr w:type="gramEnd"/>
      <w:r w:rsidRPr="00D81D27">
        <w:t xml:space="preserve"> and home modifications to help older people to remain healthy, active and socially connected to their community. The department will continue to work with HCP and STRC providers to ensure they are prepared to transition to Support at Home well ahead of 1</w:t>
      </w:r>
      <w:r w:rsidR="0025742E">
        <w:t> </w:t>
      </w:r>
      <w:r w:rsidRPr="00D81D27">
        <w:t xml:space="preserve">July 2025. </w:t>
      </w:r>
      <w:r w:rsidR="000820FE">
        <w:t>Visit the depart</w:t>
      </w:r>
      <w:r w:rsidR="00CA779D">
        <w:t xml:space="preserve">ment’s webpage for </w:t>
      </w:r>
      <w:r w:rsidRPr="00D81D27">
        <w:t>more information about the </w:t>
      </w:r>
      <w:hyperlink r:id="rId63" w:history="1">
        <w:r w:rsidRPr="00DF7A38">
          <w:rPr>
            <w:rStyle w:val="Hyperlink"/>
            <w:rFonts w:cs="Arial"/>
            <w:color w:val="0070C0"/>
          </w:rPr>
          <w:t>Support at Home program</w:t>
        </w:r>
      </w:hyperlink>
      <w:r w:rsidRPr="00D81D27">
        <w:t>.</w:t>
      </w:r>
    </w:p>
    <w:p w14:paraId="5200F0FA" w14:textId="03286195" w:rsidR="009723AC" w:rsidRPr="007D5609" w:rsidRDefault="009723AC" w:rsidP="007F5239">
      <w:pPr>
        <w:pStyle w:val="Heading2"/>
        <w:spacing w:before="0" w:after="0"/>
      </w:pPr>
      <w:bookmarkStart w:id="29" w:name="_Toc161734117"/>
      <w:r>
        <w:t>Masks in home care</w:t>
      </w:r>
      <w:bookmarkEnd w:id="29"/>
    </w:p>
    <w:p w14:paraId="0929781F" w14:textId="1F33AF7F" w:rsidR="009723AC" w:rsidRPr="00984735" w:rsidRDefault="009723AC" w:rsidP="00984735">
      <w:pPr>
        <w:pStyle w:val="Heading4"/>
      </w:pPr>
      <w:r w:rsidRPr="00984735">
        <w:t>Q. What is the consensus on mask wearing in home care?</w:t>
      </w:r>
    </w:p>
    <w:p w14:paraId="16F1F3D0" w14:textId="30E22B82" w:rsidR="009723AC" w:rsidRPr="00A5129E" w:rsidRDefault="009723AC" w:rsidP="00984735">
      <w:pPr>
        <w:rPr>
          <w:rFonts w:cs="Arial"/>
          <w:color w:val="000000"/>
        </w:rPr>
      </w:pPr>
      <w:r w:rsidRPr="00A5129E">
        <w:t xml:space="preserve">A. COVID-19 continues to pose risks for some people in Australia, especially older </w:t>
      </w:r>
      <w:proofErr w:type="gramStart"/>
      <w:r w:rsidRPr="00A5129E">
        <w:t>people</w:t>
      </w:r>
      <w:proofErr w:type="gramEnd"/>
      <w:r w:rsidRPr="00A5129E">
        <w:t xml:space="preserve"> and</w:t>
      </w:r>
      <w:r w:rsidRPr="00A5129E">
        <w:rPr>
          <w:rFonts w:cs="Arial"/>
          <w:color w:val="000000"/>
        </w:rPr>
        <w:t xml:space="preserve"> aged care residents. We need to remain mindful of the symptoms of COVID-19 and other respiratory viruses and stay home if unwell to minimise transmission to others. Continued vigilance by maintaining COVID</w:t>
      </w:r>
      <w:r>
        <w:rPr>
          <w:rFonts w:cs="Arial"/>
          <w:color w:val="000000"/>
        </w:rPr>
        <w:t xml:space="preserve"> s</w:t>
      </w:r>
      <w:r w:rsidRPr="00A5129E">
        <w:rPr>
          <w:rFonts w:cs="Arial"/>
          <w:color w:val="000000"/>
        </w:rPr>
        <w:t>afe behaviours, such as mask wearing, is recommended.</w:t>
      </w:r>
    </w:p>
    <w:p w14:paraId="5B232F07" w14:textId="77777777" w:rsidR="009723AC" w:rsidRPr="00A5129E" w:rsidRDefault="009723AC" w:rsidP="00984735">
      <w:pPr>
        <w:rPr>
          <w:rFonts w:cs="Arial"/>
          <w:color w:val="000000"/>
        </w:rPr>
      </w:pPr>
      <w:r w:rsidRPr="00A5129E">
        <w:rPr>
          <w:rFonts w:cs="Arial"/>
          <w:color w:val="000000"/>
        </w:rPr>
        <w:t xml:space="preserve">The Chief Medical Officer recently advised that for people at higher risk of severe illness, mask wearing is encouraged, especially if a worker or visitor to the home is experiencing unwell symptoms. Wearing face masks </w:t>
      </w:r>
      <w:r>
        <w:rPr>
          <w:rFonts w:cs="Arial"/>
          <w:color w:val="000000"/>
        </w:rPr>
        <w:t>is</w:t>
      </w:r>
      <w:r w:rsidRPr="00A5129E">
        <w:rPr>
          <w:rFonts w:cs="Arial"/>
          <w:color w:val="000000"/>
        </w:rPr>
        <w:t xml:space="preserve"> a very important part of infection prevention and control measures and ha</w:t>
      </w:r>
      <w:r>
        <w:rPr>
          <w:rFonts w:cs="Arial"/>
          <w:color w:val="000000"/>
        </w:rPr>
        <w:t>s</w:t>
      </w:r>
      <w:r w:rsidRPr="00A5129E">
        <w:rPr>
          <w:rFonts w:cs="Arial"/>
          <w:color w:val="000000"/>
        </w:rPr>
        <w:t xml:space="preserve"> shown to reduce the risk of transmission for respiratory viruses.</w:t>
      </w:r>
    </w:p>
    <w:p w14:paraId="6FD00FC8" w14:textId="13858198" w:rsidR="009723AC" w:rsidRPr="00A5129E" w:rsidRDefault="009723AC" w:rsidP="00984735">
      <w:pPr>
        <w:rPr>
          <w:rFonts w:cs="Arial"/>
          <w:color w:val="000000"/>
        </w:rPr>
      </w:pPr>
      <w:r w:rsidRPr="00A5129E">
        <w:rPr>
          <w:rFonts w:cs="Arial"/>
          <w:color w:val="000000"/>
        </w:rPr>
        <w:t xml:space="preserve">The </w:t>
      </w:r>
      <w:r w:rsidR="00F92D21">
        <w:rPr>
          <w:rFonts w:cs="Arial"/>
          <w:color w:val="000000"/>
        </w:rPr>
        <w:t>department</w:t>
      </w:r>
      <w:r w:rsidRPr="00A5129E">
        <w:rPr>
          <w:rFonts w:cs="Arial"/>
          <w:color w:val="000000"/>
        </w:rPr>
        <w:t xml:space="preserve"> encourages all aged care workers who provide close personal care to older </w:t>
      </w:r>
      <w:r>
        <w:rPr>
          <w:rFonts w:cs="Arial"/>
          <w:color w:val="000000"/>
        </w:rPr>
        <w:t>people</w:t>
      </w:r>
      <w:r w:rsidRPr="00A5129E">
        <w:rPr>
          <w:rFonts w:cs="Arial"/>
          <w:color w:val="000000"/>
        </w:rPr>
        <w:t xml:space="preserve"> to wear masks. Wearing a mask when working or visiting settings with people at higher risk of serious disease, particularly in times of high respiratory viral activity, is important to reduce the risk to others.</w:t>
      </w:r>
    </w:p>
    <w:p w14:paraId="1BFA6F9C" w14:textId="34D9DE16" w:rsidR="009723AC" w:rsidRPr="00A5129E" w:rsidRDefault="009723AC" w:rsidP="00984735">
      <w:pPr>
        <w:rPr>
          <w:rFonts w:cs="Arial"/>
          <w:color w:val="000000"/>
        </w:rPr>
      </w:pPr>
      <w:r w:rsidRPr="00A5129E">
        <w:rPr>
          <w:rFonts w:cs="Arial"/>
          <w:color w:val="000000"/>
        </w:rPr>
        <w:t>All aged care providers are required to deliver safe and quality services in line with the Aged Care Quality Standards. Aged care services and providers should be regularly assessing the risk of infectious diseases, including COVID-19, and adapting their planning and preparedness to respond. Each service and provider should take all possible steps to address any risks identified through their risk assessments.</w:t>
      </w:r>
    </w:p>
    <w:p w14:paraId="71986233" w14:textId="77777777" w:rsidR="009723AC" w:rsidRPr="00A5129E" w:rsidRDefault="009723AC" w:rsidP="00984735">
      <w:pPr>
        <w:rPr>
          <w:rFonts w:cs="Arial"/>
          <w:color w:val="000000"/>
        </w:rPr>
      </w:pPr>
      <w:r w:rsidRPr="00A5129E">
        <w:rPr>
          <w:rFonts w:cs="Arial"/>
          <w:color w:val="000000"/>
        </w:rPr>
        <w:lastRenderedPageBreak/>
        <w:t>The </w:t>
      </w:r>
      <w:hyperlink r:id="rId64" w:tgtFrame="_BLANK朏捶瘸ɯ" w:history="1">
        <w:r w:rsidRPr="00DF7A38">
          <w:rPr>
            <w:rStyle w:val="Hyperlink"/>
            <w:rFonts w:cs="Arial"/>
            <w:color w:val="0070C0"/>
          </w:rPr>
          <w:t>National Statement of Expectations on COVID-19 Management in Aged Care Settings</w:t>
        </w:r>
      </w:hyperlink>
      <w:r w:rsidRPr="001F0BB3">
        <w:rPr>
          <w:rFonts w:cs="Arial"/>
        </w:rPr>
        <w:t> </w:t>
      </w:r>
      <w:r w:rsidRPr="00A5129E">
        <w:rPr>
          <w:rFonts w:cs="Arial"/>
          <w:color w:val="000000"/>
        </w:rPr>
        <w:t>provides nationally consistent principles and best practice guidance to the aged care sector on their responsibilities for preparing for and responding to COVID</w:t>
      </w:r>
      <w:r>
        <w:rPr>
          <w:rFonts w:cs="Arial"/>
          <w:color w:val="000000"/>
        </w:rPr>
        <w:t>-</w:t>
      </w:r>
      <w:r w:rsidRPr="00A5129E">
        <w:rPr>
          <w:rFonts w:cs="Arial"/>
          <w:color w:val="000000"/>
        </w:rPr>
        <w:t>19 outbreaks, including the appropriateness of mask wearing in aged care settings, including for in-home care.</w:t>
      </w:r>
    </w:p>
    <w:p w14:paraId="7DFC3702" w14:textId="77777777" w:rsidR="009723AC" w:rsidRPr="001F0BB3" w:rsidRDefault="009723AC" w:rsidP="00984735">
      <w:pPr>
        <w:rPr>
          <w:rFonts w:cs="Arial"/>
        </w:rPr>
      </w:pPr>
      <w:r w:rsidRPr="00A5129E">
        <w:rPr>
          <w:rFonts w:cs="Arial"/>
          <w:color w:val="000000"/>
        </w:rPr>
        <w:t>Aged care providers can also adopt their own policies, and work health and safety arrangements. Under </w:t>
      </w:r>
      <w:hyperlink r:id="rId65" w:tgtFrame="_blank" w:history="1">
        <w:r w:rsidRPr="00DF7A38">
          <w:rPr>
            <w:rStyle w:val="Hyperlink"/>
            <w:rFonts w:cs="Arial"/>
            <w:color w:val="0070C0"/>
          </w:rPr>
          <w:t>state and territory workplace safety legislation</w:t>
        </w:r>
      </w:hyperlink>
      <w:r w:rsidRPr="001F0BB3">
        <w:rPr>
          <w:rFonts w:cs="Arial"/>
        </w:rPr>
        <w:t>, all aged care providers are responsible for providing a safe working environment for staff.</w:t>
      </w:r>
    </w:p>
    <w:p w14:paraId="1162420A" w14:textId="7D13CE46" w:rsidR="009723AC" w:rsidRDefault="009723AC" w:rsidP="00984735">
      <w:pPr>
        <w:rPr>
          <w:rFonts w:cs="Arial"/>
          <w:color w:val="000000"/>
        </w:rPr>
      </w:pPr>
      <w:r w:rsidRPr="001F0BB3">
        <w:rPr>
          <w:rFonts w:cs="Arial"/>
        </w:rPr>
        <w:t>You can read more about </w:t>
      </w:r>
      <w:hyperlink r:id="rId66" w:history="1">
        <w:r w:rsidRPr="00DF7A38">
          <w:rPr>
            <w:rStyle w:val="Hyperlink"/>
            <w:rFonts w:cs="Arial"/>
            <w:color w:val="0070C0"/>
          </w:rPr>
          <w:t>COVID-19 advice for in-home aged care providers</w:t>
        </w:r>
      </w:hyperlink>
      <w:r w:rsidRPr="001F0BB3">
        <w:rPr>
          <w:rFonts w:cs="Arial"/>
        </w:rPr>
        <w:t> and </w:t>
      </w:r>
      <w:hyperlink r:id="rId67" w:anchor=":~:text=use%20infection%20prevention%20and%20control,treatments%20to%20treat%20COVID%2D19" w:history="1">
        <w:r w:rsidRPr="00DF7A38">
          <w:rPr>
            <w:rStyle w:val="Hyperlink"/>
            <w:rFonts w:cs="Arial"/>
            <w:color w:val="0070C0"/>
          </w:rPr>
          <w:t>Managing COVID-19 in aged care</w:t>
        </w:r>
      </w:hyperlink>
      <w:r w:rsidRPr="00DF7A38">
        <w:rPr>
          <w:rStyle w:val="Hyperlink"/>
          <w:rFonts w:cs="Arial"/>
          <w:color w:val="auto"/>
          <w:u w:val="none"/>
        </w:rPr>
        <w:t> </w:t>
      </w:r>
      <w:r w:rsidRPr="001F0BB3">
        <w:rPr>
          <w:rFonts w:cs="Arial"/>
        </w:rPr>
        <w:t xml:space="preserve">on the </w:t>
      </w:r>
      <w:r w:rsidR="00F92D21">
        <w:rPr>
          <w:rFonts w:cs="Arial"/>
        </w:rPr>
        <w:t>department’s</w:t>
      </w:r>
      <w:r w:rsidRPr="00A5129E">
        <w:rPr>
          <w:rFonts w:cs="Arial"/>
          <w:color w:val="000000"/>
        </w:rPr>
        <w:t xml:space="preserve"> website.</w:t>
      </w:r>
    </w:p>
    <w:sectPr w:rsidR="009723AC" w:rsidSect="00D525EE">
      <w:footerReference w:type="default" r:id="rId68"/>
      <w:headerReference w:type="first" r:id="rId69"/>
      <w:footerReference w:type="first" r:id="rId70"/>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81A43" w14:textId="77777777" w:rsidR="00537BCC" w:rsidRDefault="00537BCC" w:rsidP="0076491B">
      <w:pPr>
        <w:spacing w:before="0" w:after="0" w:line="240" w:lineRule="auto"/>
      </w:pPr>
      <w:r>
        <w:separator/>
      </w:r>
    </w:p>
  </w:endnote>
  <w:endnote w:type="continuationSeparator" w:id="0">
    <w:p w14:paraId="72F6A3A0" w14:textId="77777777" w:rsidR="00537BCC" w:rsidRDefault="00537BCC" w:rsidP="0076491B">
      <w:pPr>
        <w:spacing w:before="0" w:after="0" w:line="240" w:lineRule="auto"/>
      </w:pPr>
      <w:r>
        <w:continuationSeparator/>
      </w:r>
    </w:p>
  </w:endnote>
  <w:endnote w:type="continuationNotice" w:id="1">
    <w:p w14:paraId="68B5D6E3" w14:textId="77777777" w:rsidR="00537BCC" w:rsidRDefault="00537B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474B" w14:textId="33657FBB" w:rsidR="00A5129E" w:rsidRPr="00D525EE" w:rsidRDefault="00D525EE" w:rsidP="00D525EE">
    <w:pPr>
      <w:rPr>
        <w:sz w:val="22"/>
        <w:szCs w:val="22"/>
      </w:rPr>
    </w:pPr>
    <w:r w:rsidRPr="00D525EE">
      <w:rPr>
        <w:sz w:val="22"/>
        <w:szCs w:val="22"/>
      </w:rPr>
      <w:t xml:space="preserve">Responses to questions from the Home Care Packages (HCP) program assurance reviews – Unspent funds and pricing transparency on My Aged Care </w:t>
    </w:r>
    <w:r>
      <w:rPr>
        <w:sz w:val="22"/>
        <w:szCs w:val="22"/>
      </w:rPr>
      <w:t>|</w:t>
    </w:r>
    <w:r w:rsidR="00367719">
      <w:rPr>
        <w:sz w:val="22"/>
        <w:szCs w:val="22"/>
      </w:rPr>
      <w:t xml:space="preserve"> March 2024 |</w:t>
    </w:r>
    <w:r>
      <w:rPr>
        <w:sz w:val="22"/>
        <w:szCs w:val="22"/>
      </w:rPr>
      <w:t xml:space="preserve"> </w:t>
    </w:r>
    <w:sdt>
      <w:sdtPr>
        <w:rPr>
          <w:sz w:val="22"/>
          <w:szCs w:val="22"/>
        </w:rPr>
        <w:id w:val="874347662"/>
        <w:docPartObj>
          <w:docPartGallery w:val="Page Numbers (Bottom of Page)"/>
          <w:docPartUnique/>
        </w:docPartObj>
      </w:sdtPr>
      <w:sdtEndPr>
        <w:rPr>
          <w:noProof/>
        </w:rPr>
      </w:sdtEndPr>
      <w:sdtContent>
        <w:r w:rsidRPr="00367719">
          <w:rPr>
            <w:b/>
            <w:bCs/>
            <w:sz w:val="22"/>
            <w:szCs w:val="22"/>
          </w:rPr>
          <w:fldChar w:fldCharType="begin"/>
        </w:r>
        <w:r w:rsidRPr="00367719">
          <w:rPr>
            <w:b/>
            <w:bCs/>
            <w:sz w:val="22"/>
            <w:szCs w:val="22"/>
          </w:rPr>
          <w:instrText xml:space="preserve"> PAGE   \* MERGEFORMAT </w:instrText>
        </w:r>
        <w:r w:rsidRPr="00367719">
          <w:rPr>
            <w:b/>
            <w:bCs/>
            <w:sz w:val="22"/>
            <w:szCs w:val="22"/>
          </w:rPr>
          <w:fldChar w:fldCharType="separate"/>
        </w:r>
        <w:r w:rsidRPr="00367719">
          <w:rPr>
            <w:b/>
            <w:bCs/>
            <w:noProof/>
            <w:sz w:val="22"/>
            <w:szCs w:val="22"/>
          </w:rPr>
          <w:t>2</w:t>
        </w:r>
        <w:r w:rsidRPr="00367719">
          <w:rPr>
            <w:b/>
            <w:bCs/>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57853"/>
      <w:docPartObj>
        <w:docPartGallery w:val="Page Numbers (Bottom of Page)"/>
        <w:docPartUnique/>
      </w:docPartObj>
    </w:sdtPr>
    <w:sdtEndPr>
      <w:rPr>
        <w:noProof/>
      </w:rPr>
    </w:sdtEndPr>
    <w:sdtContent>
      <w:p w14:paraId="14E5E241" w14:textId="047D1D63" w:rsidR="007D5609" w:rsidRDefault="007D5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6E5BEF" w14:textId="46430A10" w:rsidR="007D5609" w:rsidRDefault="007D5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EC66" w14:textId="77777777" w:rsidR="00537BCC" w:rsidRDefault="00537BCC" w:rsidP="0076491B">
      <w:pPr>
        <w:spacing w:before="0" w:after="0" w:line="240" w:lineRule="auto"/>
      </w:pPr>
      <w:r>
        <w:separator/>
      </w:r>
    </w:p>
  </w:footnote>
  <w:footnote w:type="continuationSeparator" w:id="0">
    <w:p w14:paraId="7AE539BF" w14:textId="77777777" w:rsidR="00537BCC" w:rsidRDefault="00537BCC" w:rsidP="0076491B">
      <w:pPr>
        <w:spacing w:before="0" w:after="0" w:line="240" w:lineRule="auto"/>
      </w:pPr>
      <w:r>
        <w:continuationSeparator/>
      </w:r>
    </w:p>
  </w:footnote>
  <w:footnote w:type="continuationNotice" w:id="1">
    <w:p w14:paraId="64951180" w14:textId="77777777" w:rsidR="00537BCC" w:rsidRDefault="00537BCC">
      <w:pPr>
        <w:spacing w:before="0" w:after="0" w:line="240" w:lineRule="auto"/>
      </w:pPr>
    </w:p>
  </w:footnote>
  <w:footnote w:id="2">
    <w:p w14:paraId="31DB7445" w14:textId="1BEE2158" w:rsidR="00285614" w:rsidRDefault="00285614" w:rsidP="00285614">
      <w:pPr>
        <w:pStyle w:val="FootnoteText"/>
      </w:pPr>
      <w:r>
        <w:rPr>
          <w:rStyle w:val="FootnoteReference"/>
        </w:rPr>
        <w:footnoteRef/>
      </w:r>
      <w:r>
        <w:t xml:space="preserve"> </w:t>
      </w:r>
      <w:r w:rsidR="00D34377">
        <w:t xml:space="preserve">Response provided during webinar and </w:t>
      </w:r>
      <w:r w:rsidR="008A2D3C">
        <w:t xml:space="preserve">refined/paraphrased </w:t>
      </w:r>
      <w:r w:rsidR="00D34377">
        <w:t>in this document. Verbatim response can be read in the webinar transcript.</w:t>
      </w:r>
    </w:p>
  </w:footnote>
  <w:footnote w:id="3">
    <w:p w14:paraId="5CA46391" w14:textId="25A0EBC8" w:rsidR="00385B7A" w:rsidRDefault="00385B7A" w:rsidP="00385B7A">
      <w:pPr>
        <w:pStyle w:val="FootnoteText"/>
      </w:pPr>
      <w:r>
        <w:rPr>
          <w:rStyle w:val="FootnoteReference"/>
        </w:rPr>
        <w:footnoteRef/>
      </w:r>
      <w:r>
        <w:t xml:space="preserve"> ibid. </w:t>
      </w:r>
    </w:p>
  </w:footnote>
  <w:footnote w:id="4">
    <w:p w14:paraId="10126CC0" w14:textId="665C4235" w:rsidR="00D55451" w:rsidRDefault="00D55451" w:rsidP="00D55451">
      <w:pPr>
        <w:pStyle w:val="FootnoteText"/>
      </w:pPr>
      <w:r>
        <w:rPr>
          <w:rStyle w:val="FootnoteReference"/>
        </w:rPr>
        <w:footnoteRef/>
      </w:r>
      <w:r>
        <w:t xml:space="preserve"> </w:t>
      </w:r>
      <w:r w:rsidR="00D34377">
        <w:t>i</w:t>
      </w:r>
      <w:r>
        <w:t>bid.</w:t>
      </w:r>
    </w:p>
  </w:footnote>
  <w:footnote w:id="5">
    <w:p w14:paraId="6E615828" w14:textId="390DECDF" w:rsidR="00B179C2" w:rsidRDefault="00B179C2" w:rsidP="00B179C2">
      <w:pPr>
        <w:pStyle w:val="FootnoteText"/>
      </w:pPr>
      <w:r>
        <w:rPr>
          <w:rStyle w:val="FootnoteReference"/>
        </w:rPr>
        <w:footnoteRef/>
      </w:r>
      <w:r>
        <w:t xml:space="preserve"> </w:t>
      </w:r>
      <w:r w:rsidR="0057173A">
        <w:t>I</w:t>
      </w:r>
      <w:r>
        <w:t>bid</w:t>
      </w:r>
      <w:r w:rsidR="0057173A">
        <w:t>., page 3</w:t>
      </w:r>
    </w:p>
  </w:footnote>
  <w:footnote w:id="6">
    <w:p w14:paraId="35D226DE" w14:textId="7CAF45DC" w:rsidR="00D06A4F" w:rsidRDefault="00D06A4F" w:rsidP="00D06A4F">
      <w:pPr>
        <w:pStyle w:val="FootnoteText"/>
      </w:pPr>
      <w:r>
        <w:rPr>
          <w:rStyle w:val="FootnoteReference"/>
        </w:rPr>
        <w:footnoteRef/>
      </w:r>
      <w:r>
        <w:t xml:space="preserve"> ibid., page </w:t>
      </w:r>
      <w:r w:rsidR="0057173A">
        <w:t>3</w:t>
      </w:r>
    </w:p>
  </w:footnote>
  <w:footnote w:id="7">
    <w:p w14:paraId="36F18DD3" w14:textId="145F3F96" w:rsidR="00104A78" w:rsidRDefault="00104A78" w:rsidP="00104A78">
      <w:pPr>
        <w:pStyle w:val="FootnoteText"/>
      </w:pPr>
      <w:r>
        <w:rPr>
          <w:rStyle w:val="FootnoteReference"/>
        </w:rPr>
        <w:footnoteRef/>
      </w:r>
      <w:r>
        <w:t xml:space="preserve"> ibid., page </w:t>
      </w:r>
      <w:r w:rsidR="0057173A">
        <w:t>3</w:t>
      </w:r>
    </w:p>
  </w:footnote>
  <w:footnote w:id="8">
    <w:p w14:paraId="30539ED3" w14:textId="7F6BDD5A" w:rsidR="00B179C2" w:rsidRDefault="00B179C2" w:rsidP="00B179C2">
      <w:pPr>
        <w:pStyle w:val="FootnoteText"/>
      </w:pPr>
      <w:r>
        <w:rPr>
          <w:rStyle w:val="FootnoteReference"/>
        </w:rPr>
        <w:footnoteRef/>
      </w:r>
      <w:r>
        <w:t xml:space="preserve"> </w:t>
      </w:r>
      <w:r w:rsidR="00065B81">
        <w:t xml:space="preserve">ibid., page </w:t>
      </w:r>
      <w:r w:rsidR="0057173A">
        <w:t>3</w:t>
      </w:r>
    </w:p>
  </w:footnote>
  <w:footnote w:id="9">
    <w:p w14:paraId="5A279E46" w14:textId="058D66DC" w:rsidR="009B5F94" w:rsidRDefault="009B5F94" w:rsidP="009B5F94">
      <w:pPr>
        <w:pStyle w:val="FootnoteText"/>
      </w:pPr>
      <w:r>
        <w:rPr>
          <w:rStyle w:val="FootnoteReference"/>
        </w:rPr>
        <w:footnoteRef/>
      </w:r>
      <w:r>
        <w:t xml:space="preserve"> </w:t>
      </w:r>
      <w:r w:rsidR="000E38C6">
        <w:t xml:space="preserve">ibid., page </w:t>
      </w:r>
      <w:r w:rsidR="0057173A">
        <w:t>3</w:t>
      </w:r>
    </w:p>
  </w:footnote>
  <w:footnote w:id="10">
    <w:p w14:paraId="750AFCFA" w14:textId="19FB6BAA" w:rsidR="001519E7" w:rsidRDefault="001519E7" w:rsidP="001519E7">
      <w:pPr>
        <w:pStyle w:val="FootnoteText"/>
      </w:pPr>
      <w:r>
        <w:rPr>
          <w:rStyle w:val="FootnoteReference"/>
        </w:rPr>
        <w:footnoteRef/>
      </w:r>
      <w:r>
        <w:t xml:space="preserve"> ibid., page </w:t>
      </w:r>
      <w:r w:rsidR="0057173A">
        <w:t>3</w:t>
      </w:r>
    </w:p>
  </w:footnote>
  <w:footnote w:id="11">
    <w:p w14:paraId="5111C1E1" w14:textId="7D21DECB" w:rsidR="003910AF" w:rsidRDefault="003910AF" w:rsidP="003910AF">
      <w:pPr>
        <w:pStyle w:val="FootnoteText"/>
      </w:pPr>
      <w:r>
        <w:rPr>
          <w:rStyle w:val="FootnoteReference"/>
        </w:rPr>
        <w:footnoteRef/>
      </w:r>
      <w:r>
        <w:t xml:space="preserve"> </w:t>
      </w:r>
      <w:r w:rsidR="000E38C6">
        <w:t>i</w:t>
      </w:r>
      <w:r w:rsidR="00065B81">
        <w:t xml:space="preserve">bid., page </w:t>
      </w:r>
      <w:r w:rsidR="0057173A">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F1CF" w14:textId="77777777" w:rsidR="0076491B" w:rsidRDefault="0077419E">
    <w:pPr>
      <w:pStyle w:val="Header"/>
    </w:pPr>
    <w:r>
      <w:rPr>
        <w:noProof/>
      </w:rPr>
      <w:drawing>
        <wp:anchor distT="0" distB="0" distL="114300" distR="114300" simplePos="0" relativeHeight="251658241" behindDoc="0" locked="0" layoutInCell="1" allowOverlap="1" wp14:anchorId="3E2FB4AD" wp14:editId="47332E5C">
          <wp:simplePos x="0" y="0"/>
          <wp:positionH relativeFrom="page">
            <wp:align>right</wp:align>
          </wp:positionH>
          <wp:positionV relativeFrom="page">
            <wp:align>top</wp:align>
          </wp:positionV>
          <wp:extent cx="2283822" cy="2109470"/>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11864D47" wp14:editId="684F45B4">
          <wp:simplePos x="0" y="0"/>
          <wp:positionH relativeFrom="page">
            <wp:align>left</wp:align>
          </wp:positionH>
          <wp:positionV relativeFrom="page">
            <wp:align>top</wp:align>
          </wp:positionV>
          <wp:extent cx="3744595" cy="1077686"/>
          <wp:effectExtent l="0" t="0" r="825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E5E3B"/>
    <w:multiLevelType w:val="hybridMultilevel"/>
    <w:tmpl w:val="3292870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BC210A"/>
    <w:multiLevelType w:val="hybridMultilevel"/>
    <w:tmpl w:val="4DE83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E2990"/>
    <w:multiLevelType w:val="hybridMultilevel"/>
    <w:tmpl w:val="4E28A54A"/>
    <w:lvl w:ilvl="0" w:tplc="EADC93F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140E2E"/>
    <w:multiLevelType w:val="hybridMultilevel"/>
    <w:tmpl w:val="E912DAFE"/>
    <w:lvl w:ilvl="0" w:tplc="EADC93F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904732"/>
    <w:multiLevelType w:val="hybridMultilevel"/>
    <w:tmpl w:val="34B800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0"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020F0"/>
    <w:multiLevelType w:val="hybridMultilevel"/>
    <w:tmpl w:val="9278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7D4FB4"/>
    <w:multiLevelType w:val="hybridMultilevel"/>
    <w:tmpl w:val="F5F6A9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AA93424"/>
    <w:multiLevelType w:val="hybridMultilevel"/>
    <w:tmpl w:val="1F8E1350"/>
    <w:lvl w:ilvl="0" w:tplc="3596344C">
      <w:start w:val="1"/>
      <w:numFmt w:val="bullet"/>
      <w:lvlText w:val=""/>
      <w:lvlJc w:val="left"/>
      <w:pPr>
        <w:tabs>
          <w:tab w:val="num" w:pos="720"/>
        </w:tabs>
        <w:ind w:left="720" w:hanging="360"/>
      </w:pPr>
      <w:rPr>
        <w:rFonts w:ascii="Symbol" w:hAnsi="Symbol" w:hint="default"/>
      </w:rPr>
    </w:lvl>
    <w:lvl w:ilvl="1" w:tplc="A3963174">
      <w:start w:val="1"/>
      <w:numFmt w:val="bullet"/>
      <w:lvlText w:val=""/>
      <w:lvlJc w:val="left"/>
      <w:pPr>
        <w:tabs>
          <w:tab w:val="num" w:pos="1440"/>
        </w:tabs>
        <w:ind w:left="1440" w:hanging="360"/>
      </w:pPr>
      <w:rPr>
        <w:rFonts w:ascii="Symbol" w:hAnsi="Symbol" w:hint="default"/>
      </w:rPr>
    </w:lvl>
    <w:lvl w:ilvl="2" w:tplc="9B04859C" w:tentative="1">
      <w:start w:val="1"/>
      <w:numFmt w:val="bullet"/>
      <w:lvlText w:val=""/>
      <w:lvlJc w:val="left"/>
      <w:pPr>
        <w:tabs>
          <w:tab w:val="num" w:pos="2160"/>
        </w:tabs>
        <w:ind w:left="2160" w:hanging="360"/>
      </w:pPr>
      <w:rPr>
        <w:rFonts w:ascii="Symbol" w:hAnsi="Symbol" w:hint="default"/>
      </w:rPr>
    </w:lvl>
    <w:lvl w:ilvl="3" w:tplc="52B2EE3A" w:tentative="1">
      <w:start w:val="1"/>
      <w:numFmt w:val="bullet"/>
      <w:lvlText w:val=""/>
      <w:lvlJc w:val="left"/>
      <w:pPr>
        <w:tabs>
          <w:tab w:val="num" w:pos="2880"/>
        </w:tabs>
        <w:ind w:left="2880" w:hanging="360"/>
      </w:pPr>
      <w:rPr>
        <w:rFonts w:ascii="Symbol" w:hAnsi="Symbol" w:hint="default"/>
      </w:rPr>
    </w:lvl>
    <w:lvl w:ilvl="4" w:tplc="AD365C3A" w:tentative="1">
      <w:start w:val="1"/>
      <w:numFmt w:val="bullet"/>
      <w:lvlText w:val=""/>
      <w:lvlJc w:val="left"/>
      <w:pPr>
        <w:tabs>
          <w:tab w:val="num" w:pos="3600"/>
        </w:tabs>
        <w:ind w:left="3600" w:hanging="360"/>
      </w:pPr>
      <w:rPr>
        <w:rFonts w:ascii="Symbol" w:hAnsi="Symbol" w:hint="default"/>
      </w:rPr>
    </w:lvl>
    <w:lvl w:ilvl="5" w:tplc="B0322504" w:tentative="1">
      <w:start w:val="1"/>
      <w:numFmt w:val="bullet"/>
      <w:lvlText w:val=""/>
      <w:lvlJc w:val="left"/>
      <w:pPr>
        <w:tabs>
          <w:tab w:val="num" w:pos="4320"/>
        </w:tabs>
        <w:ind w:left="4320" w:hanging="360"/>
      </w:pPr>
      <w:rPr>
        <w:rFonts w:ascii="Symbol" w:hAnsi="Symbol" w:hint="default"/>
      </w:rPr>
    </w:lvl>
    <w:lvl w:ilvl="6" w:tplc="606A31A2" w:tentative="1">
      <w:start w:val="1"/>
      <w:numFmt w:val="bullet"/>
      <w:lvlText w:val=""/>
      <w:lvlJc w:val="left"/>
      <w:pPr>
        <w:tabs>
          <w:tab w:val="num" w:pos="5040"/>
        </w:tabs>
        <w:ind w:left="5040" w:hanging="360"/>
      </w:pPr>
      <w:rPr>
        <w:rFonts w:ascii="Symbol" w:hAnsi="Symbol" w:hint="default"/>
      </w:rPr>
    </w:lvl>
    <w:lvl w:ilvl="7" w:tplc="77B0FAC8" w:tentative="1">
      <w:start w:val="1"/>
      <w:numFmt w:val="bullet"/>
      <w:lvlText w:val=""/>
      <w:lvlJc w:val="left"/>
      <w:pPr>
        <w:tabs>
          <w:tab w:val="num" w:pos="5760"/>
        </w:tabs>
        <w:ind w:left="5760" w:hanging="360"/>
      </w:pPr>
      <w:rPr>
        <w:rFonts w:ascii="Symbol" w:hAnsi="Symbol" w:hint="default"/>
      </w:rPr>
    </w:lvl>
    <w:lvl w:ilvl="8" w:tplc="6630C90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B24980"/>
    <w:multiLevelType w:val="hybridMultilevel"/>
    <w:tmpl w:val="D64CCABC"/>
    <w:lvl w:ilvl="0" w:tplc="EADC93F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76AB6"/>
    <w:multiLevelType w:val="hybridMultilevel"/>
    <w:tmpl w:val="317CDE12"/>
    <w:lvl w:ilvl="0" w:tplc="EADC93F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0"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D9F1439"/>
    <w:multiLevelType w:val="hybridMultilevel"/>
    <w:tmpl w:val="DF381BA2"/>
    <w:lvl w:ilvl="0" w:tplc="EADC93F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816859"/>
    <w:multiLevelType w:val="hybridMultilevel"/>
    <w:tmpl w:val="0E401322"/>
    <w:lvl w:ilvl="0" w:tplc="FFFFFFFF">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FC2AF0"/>
    <w:multiLevelType w:val="hybridMultilevel"/>
    <w:tmpl w:val="EB64F3D8"/>
    <w:lvl w:ilvl="0" w:tplc="EADC93F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BC39DC"/>
    <w:multiLevelType w:val="hybridMultilevel"/>
    <w:tmpl w:val="537E7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844622"/>
    <w:multiLevelType w:val="hybridMultilevel"/>
    <w:tmpl w:val="B162A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96D7218"/>
    <w:multiLevelType w:val="hybridMultilevel"/>
    <w:tmpl w:val="D0B69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5C34764E"/>
    <w:multiLevelType w:val="hybridMultilevel"/>
    <w:tmpl w:val="E580E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BF1A5C"/>
    <w:multiLevelType w:val="hybridMultilevel"/>
    <w:tmpl w:val="C01EF3A2"/>
    <w:lvl w:ilvl="0" w:tplc="EADC93F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7E30C1"/>
    <w:multiLevelType w:val="hybridMultilevel"/>
    <w:tmpl w:val="426A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A2512E"/>
    <w:multiLevelType w:val="hybridMultilevel"/>
    <w:tmpl w:val="5F36F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F3E46"/>
    <w:multiLevelType w:val="hybridMultilevel"/>
    <w:tmpl w:val="A4EA2B8E"/>
    <w:lvl w:ilvl="0" w:tplc="EADC93F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EB5D10"/>
    <w:multiLevelType w:val="hybridMultilevel"/>
    <w:tmpl w:val="CDF019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481008">
    <w:abstractNumId w:val="37"/>
  </w:num>
  <w:num w:numId="2" w16cid:durableId="589706218">
    <w:abstractNumId w:val="8"/>
  </w:num>
  <w:num w:numId="3" w16cid:durableId="1338380828">
    <w:abstractNumId w:val="33"/>
  </w:num>
  <w:num w:numId="4" w16cid:durableId="1278214364">
    <w:abstractNumId w:val="34"/>
  </w:num>
  <w:num w:numId="5" w16cid:durableId="460461763">
    <w:abstractNumId w:val="16"/>
  </w:num>
  <w:num w:numId="6" w16cid:durableId="1158306162">
    <w:abstractNumId w:val="5"/>
  </w:num>
  <w:num w:numId="7" w16cid:durableId="1410927377">
    <w:abstractNumId w:val="27"/>
  </w:num>
  <w:num w:numId="8" w16cid:durableId="221064086">
    <w:abstractNumId w:val="23"/>
  </w:num>
  <w:num w:numId="9" w16cid:durableId="1247306414">
    <w:abstractNumId w:val="32"/>
  </w:num>
  <w:num w:numId="10" w16cid:durableId="2118133369">
    <w:abstractNumId w:val="0"/>
  </w:num>
  <w:num w:numId="11" w16cid:durableId="1331639589">
    <w:abstractNumId w:val="40"/>
  </w:num>
  <w:num w:numId="12" w16cid:durableId="801776316">
    <w:abstractNumId w:val="10"/>
  </w:num>
  <w:num w:numId="13" w16cid:durableId="1936329374">
    <w:abstractNumId w:val="20"/>
  </w:num>
  <w:num w:numId="14" w16cid:durableId="716664732">
    <w:abstractNumId w:val="1"/>
  </w:num>
  <w:num w:numId="15" w16cid:durableId="796609447">
    <w:abstractNumId w:val="14"/>
  </w:num>
  <w:num w:numId="16" w16cid:durableId="129828252">
    <w:abstractNumId w:val="18"/>
  </w:num>
  <w:num w:numId="17" w16cid:durableId="15541930">
    <w:abstractNumId w:val="29"/>
  </w:num>
  <w:num w:numId="18" w16cid:durableId="762074344">
    <w:abstractNumId w:val="19"/>
  </w:num>
  <w:num w:numId="19" w16cid:durableId="649796470">
    <w:abstractNumId w:val="9"/>
  </w:num>
  <w:num w:numId="20" w16cid:durableId="796148715">
    <w:abstractNumId w:val="30"/>
  </w:num>
  <w:num w:numId="21" w16cid:durableId="1169439818">
    <w:abstractNumId w:val="2"/>
  </w:num>
  <w:num w:numId="22" w16cid:durableId="1592858510">
    <w:abstractNumId w:val="3"/>
  </w:num>
  <w:num w:numId="23" w16cid:durableId="1457287486">
    <w:abstractNumId w:val="28"/>
  </w:num>
  <w:num w:numId="24" w16cid:durableId="926572073">
    <w:abstractNumId w:val="6"/>
  </w:num>
  <w:num w:numId="25" w16cid:durableId="1323586871">
    <w:abstractNumId w:val="21"/>
  </w:num>
  <w:num w:numId="26" w16cid:durableId="868492575">
    <w:abstractNumId w:val="17"/>
  </w:num>
  <w:num w:numId="27" w16cid:durableId="860974402">
    <w:abstractNumId w:val="15"/>
  </w:num>
  <w:num w:numId="28" w16cid:durableId="1224752320">
    <w:abstractNumId w:val="24"/>
  </w:num>
  <w:num w:numId="29" w16cid:durableId="499320074">
    <w:abstractNumId w:val="4"/>
  </w:num>
  <w:num w:numId="30" w16cid:durableId="716127515">
    <w:abstractNumId w:val="31"/>
  </w:num>
  <w:num w:numId="31" w16cid:durableId="1019431814">
    <w:abstractNumId w:val="36"/>
  </w:num>
  <w:num w:numId="32" w16cid:durableId="240874406">
    <w:abstractNumId w:val="7"/>
  </w:num>
  <w:num w:numId="33" w16cid:durableId="1145658510">
    <w:abstractNumId w:val="38"/>
  </w:num>
  <w:num w:numId="34" w16cid:durableId="660960476">
    <w:abstractNumId w:val="35"/>
  </w:num>
  <w:num w:numId="35" w16cid:durableId="902525406">
    <w:abstractNumId w:val="26"/>
  </w:num>
  <w:num w:numId="36" w16cid:durableId="1007444775">
    <w:abstractNumId w:val="13"/>
  </w:num>
  <w:num w:numId="37" w16cid:durableId="837843780">
    <w:abstractNumId w:val="11"/>
  </w:num>
  <w:num w:numId="38" w16cid:durableId="357195577">
    <w:abstractNumId w:val="25"/>
  </w:num>
  <w:num w:numId="39" w16cid:durableId="696665700">
    <w:abstractNumId w:val="39"/>
  </w:num>
  <w:num w:numId="40" w16cid:durableId="1988317898">
    <w:abstractNumId w:val="22"/>
  </w:num>
  <w:num w:numId="41" w16cid:durableId="11571094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09"/>
    <w:rsid w:val="000004A1"/>
    <w:rsid w:val="00006C56"/>
    <w:rsid w:val="0000782B"/>
    <w:rsid w:val="00010B80"/>
    <w:rsid w:val="00012DC4"/>
    <w:rsid w:val="00012FFE"/>
    <w:rsid w:val="000155D6"/>
    <w:rsid w:val="00017166"/>
    <w:rsid w:val="00020710"/>
    <w:rsid w:val="000228AE"/>
    <w:rsid w:val="000272F0"/>
    <w:rsid w:val="00027667"/>
    <w:rsid w:val="0003093C"/>
    <w:rsid w:val="00031C92"/>
    <w:rsid w:val="00031E50"/>
    <w:rsid w:val="0004099F"/>
    <w:rsid w:val="00054129"/>
    <w:rsid w:val="0005433A"/>
    <w:rsid w:val="0006004B"/>
    <w:rsid w:val="00063348"/>
    <w:rsid w:val="00065419"/>
    <w:rsid w:val="00065B81"/>
    <w:rsid w:val="0006670C"/>
    <w:rsid w:val="0006729A"/>
    <w:rsid w:val="00071B80"/>
    <w:rsid w:val="000739A1"/>
    <w:rsid w:val="00073AF6"/>
    <w:rsid w:val="000755FA"/>
    <w:rsid w:val="0007672B"/>
    <w:rsid w:val="00077984"/>
    <w:rsid w:val="000820FE"/>
    <w:rsid w:val="00083352"/>
    <w:rsid w:val="00086C4D"/>
    <w:rsid w:val="00093373"/>
    <w:rsid w:val="00093FB6"/>
    <w:rsid w:val="000945CA"/>
    <w:rsid w:val="00097A2E"/>
    <w:rsid w:val="000A000D"/>
    <w:rsid w:val="000A0FE3"/>
    <w:rsid w:val="000A37EC"/>
    <w:rsid w:val="000A527A"/>
    <w:rsid w:val="000B233F"/>
    <w:rsid w:val="000B443D"/>
    <w:rsid w:val="000B7748"/>
    <w:rsid w:val="000D4105"/>
    <w:rsid w:val="000D4237"/>
    <w:rsid w:val="000D671B"/>
    <w:rsid w:val="000E0881"/>
    <w:rsid w:val="000E150E"/>
    <w:rsid w:val="000E38C6"/>
    <w:rsid w:val="000E70D4"/>
    <w:rsid w:val="000F0DE2"/>
    <w:rsid w:val="000F569B"/>
    <w:rsid w:val="00104A78"/>
    <w:rsid w:val="00107297"/>
    <w:rsid w:val="00111052"/>
    <w:rsid w:val="00115BE0"/>
    <w:rsid w:val="001161A5"/>
    <w:rsid w:val="00121855"/>
    <w:rsid w:val="00123B0B"/>
    <w:rsid w:val="00127A37"/>
    <w:rsid w:val="00132A80"/>
    <w:rsid w:val="00146F43"/>
    <w:rsid w:val="001519E7"/>
    <w:rsid w:val="00154A11"/>
    <w:rsid w:val="0015560A"/>
    <w:rsid w:val="001619B4"/>
    <w:rsid w:val="00166845"/>
    <w:rsid w:val="001672EB"/>
    <w:rsid w:val="0016798F"/>
    <w:rsid w:val="00173702"/>
    <w:rsid w:val="0017370F"/>
    <w:rsid w:val="00173923"/>
    <w:rsid w:val="00173ECA"/>
    <w:rsid w:val="00182B90"/>
    <w:rsid w:val="0018537B"/>
    <w:rsid w:val="00185A28"/>
    <w:rsid w:val="001868B6"/>
    <w:rsid w:val="00186934"/>
    <w:rsid w:val="00197891"/>
    <w:rsid w:val="001B19F0"/>
    <w:rsid w:val="001C4469"/>
    <w:rsid w:val="001C54E5"/>
    <w:rsid w:val="001C75D6"/>
    <w:rsid w:val="001D109D"/>
    <w:rsid w:val="001D1807"/>
    <w:rsid w:val="001E0CFD"/>
    <w:rsid w:val="001E11E1"/>
    <w:rsid w:val="001E1967"/>
    <w:rsid w:val="001E2962"/>
    <w:rsid w:val="001E34FD"/>
    <w:rsid w:val="001E4099"/>
    <w:rsid w:val="001F091D"/>
    <w:rsid w:val="001F0BB3"/>
    <w:rsid w:val="001F14AD"/>
    <w:rsid w:val="001F43A4"/>
    <w:rsid w:val="002009BC"/>
    <w:rsid w:val="002013D7"/>
    <w:rsid w:val="00204447"/>
    <w:rsid w:val="00204A76"/>
    <w:rsid w:val="002136B1"/>
    <w:rsid w:val="00213DC2"/>
    <w:rsid w:val="00214002"/>
    <w:rsid w:val="00223461"/>
    <w:rsid w:val="0022353D"/>
    <w:rsid w:val="00224D4A"/>
    <w:rsid w:val="00227BD4"/>
    <w:rsid w:val="00232E2E"/>
    <w:rsid w:val="00233CA5"/>
    <w:rsid w:val="002340B4"/>
    <w:rsid w:val="00237A85"/>
    <w:rsid w:val="00241A07"/>
    <w:rsid w:val="0024214E"/>
    <w:rsid w:val="002444BA"/>
    <w:rsid w:val="002571A2"/>
    <w:rsid w:val="0025742E"/>
    <w:rsid w:val="00261CFC"/>
    <w:rsid w:val="002718DA"/>
    <w:rsid w:val="00280139"/>
    <w:rsid w:val="00280C32"/>
    <w:rsid w:val="00284C5B"/>
    <w:rsid w:val="00285614"/>
    <w:rsid w:val="00290043"/>
    <w:rsid w:val="00292448"/>
    <w:rsid w:val="002A00B4"/>
    <w:rsid w:val="002A3B10"/>
    <w:rsid w:val="002B76F3"/>
    <w:rsid w:val="002C2D46"/>
    <w:rsid w:val="002C2F83"/>
    <w:rsid w:val="002D25EA"/>
    <w:rsid w:val="002D2F73"/>
    <w:rsid w:val="002D4FF0"/>
    <w:rsid w:val="002D6B2D"/>
    <w:rsid w:val="002E28E6"/>
    <w:rsid w:val="002F73FE"/>
    <w:rsid w:val="002F7860"/>
    <w:rsid w:val="0030270B"/>
    <w:rsid w:val="00304D5A"/>
    <w:rsid w:val="00305288"/>
    <w:rsid w:val="00310200"/>
    <w:rsid w:val="00311890"/>
    <w:rsid w:val="00323D6B"/>
    <w:rsid w:val="003279CF"/>
    <w:rsid w:val="003318F7"/>
    <w:rsid w:val="00333347"/>
    <w:rsid w:val="003333E4"/>
    <w:rsid w:val="00335B1F"/>
    <w:rsid w:val="00341813"/>
    <w:rsid w:val="003469FD"/>
    <w:rsid w:val="00350D96"/>
    <w:rsid w:val="00351C03"/>
    <w:rsid w:val="00357DB6"/>
    <w:rsid w:val="00360B34"/>
    <w:rsid w:val="00360B80"/>
    <w:rsid w:val="003619F4"/>
    <w:rsid w:val="00361E0D"/>
    <w:rsid w:val="00363C63"/>
    <w:rsid w:val="00367719"/>
    <w:rsid w:val="00367C77"/>
    <w:rsid w:val="00373488"/>
    <w:rsid w:val="003737A5"/>
    <w:rsid w:val="003756F1"/>
    <w:rsid w:val="00381452"/>
    <w:rsid w:val="00384950"/>
    <w:rsid w:val="00385B7A"/>
    <w:rsid w:val="003910AF"/>
    <w:rsid w:val="00391293"/>
    <w:rsid w:val="00393051"/>
    <w:rsid w:val="00396674"/>
    <w:rsid w:val="003A305A"/>
    <w:rsid w:val="003A73A9"/>
    <w:rsid w:val="003B1B11"/>
    <w:rsid w:val="003B1B4B"/>
    <w:rsid w:val="003B5A1D"/>
    <w:rsid w:val="003C0D58"/>
    <w:rsid w:val="003C292F"/>
    <w:rsid w:val="003D10E0"/>
    <w:rsid w:val="003E38D8"/>
    <w:rsid w:val="003E572E"/>
    <w:rsid w:val="003E5AA2"/>
    <w:rsid w:val="003E743F"/>
    <w:rsid w:val="003F19D6"/>
    <w:rsid w:val="00410451"/>
    <w:rsid w:val="00413872"/>
    <w:rsid w:val="00422631"/>
    <w:rsid w:val="0042273B"/>
    <w:rsid w:val="00426A56"/>
    <w:rsid w:val="00427A21"/>
    <w:rsid w:val="00436B0D"/>
    <w:rsid w:val="00437CA3"/>
    <w:rsid w:val="004407A4"/>
    <w:rsid w:val="00446974"/>
    <w:rsid w:val="00451039"/>
    <w:rsid w:val="0045122F"/>
    <w:rsid w:val="00451991"/>
    <w:rsid w:val="004557A0"/>
    <w:rsid w:val="00455B95"/>
    <w:rsid w:val="00455EE8"/>
    <w:rsid w:val="00461491"/>
    <w:rsid w:val="00462B1A"/>
    <w:rsid w:val="004635C5"/>
    <w:rsid w:val="004636CE"/>
    <w:rsid w:val="00466412"/>
    <w:rsid w:val="00466922"/>
    <w:rsid w:val="004738BD"/>
    <w:rsid w:val="00473D1C"/>
    <w:rsid w:val="00473DF1"/>
    <w:rsid w:val="00481D61"/>
    <w:rsid w:val="004838D8"/>
    <w:rsid w:val="00483AA0"/>
    <w:rsid w:val="00485508"/>
    <w:rsid w:val="00485FFE"/>
    <w:rsid w:val="004948E9"/>
    <w:rsid w:val="00497D3A"/>
    <w:rsid w:val="004A0F48"/>
    <w:rsid w:val="004A11C2"/>
    <w:rsid w:val="004A287B"/>
    <w:rsid w:val="004A42EF"/>
    <w:rsid w:val="004B101C"/>
    <w:rsid w:val="004B16EB"/>
    <w:rsid w:val="004B18F5"/>
    <w:rsid w:val="004B19A9"/>
    <w:rsid w:val="004B1B2A"/>
    <w:rsid w:val="004B4AE8"/>
    <w:rsid w:val="004C11EB"/>
    <w:rsid w:val="004C17BA"/>
    <w:rsid w:val="004D2811"/>
    <w:rsid w:val="004D5370"/>
    <w:rsid w:val="004D57DC"/>
    <w:rsid w:val="004D7C5F"/>
    <w:rsid w:val="004E1F28"/>
    <w:rsid w:val="004F01FC"/>
    <w:rsid w:val="004F5167"/>
    <w:rsid w:val="004F55E4"/>
    <w:rsid w:val="004F5600"/>
    <w:rsid w:val="004F7E50"/>
    <w:rsid w:val="005035B6"/>
    <w:rsid w:val="00503F8E"/>
    <w:rsid w:val="0050452C"/>
    <w:rsid w:val="00506007"/>
    <w:rsid w:val="005064C3"/>
    <w:rsid w:val="005130BB"/>
    <w:rsid w:val="0051643E"/>
    <w:rsid w:val="005203A2"/>
    <w:rsid w:val="00535504"/>
    <w:rsid w:val="00537BCC"/>
    <w:rsid w:val="005435F4"/>
    <w:rsid w:val="00545118"/>
    <w:rsid w:val="0054545B"/>
    <w:rsid w:val="00553150"/>
    <w:rsid w:val="005533AE"/>
    <w:rsid w:val="00554C20"/>
    <w:rsid w:val="0055627D"/>
    <w:rsid w:val="0056513B"/>
    <w:rsid w:val="0056567F"/>
    <w:rsid w:val="0056657D"/>
    <w:rsid w:val="00567102"/>
    <w:rsid w:val="0057173A"/>
    <w:rsid w:val="00573A8E"/>
    <w:rsid w:val="005747AE"/>
    <w:rsid w:val="00574E14"/>
    <w:rsid w:val="005751A8"/>
    <w:rsid w:val="00575B38"/>
    <w:rsid w:val="00577B70"/>
    <w:rsid w:val="00580D75"/>
    <w:rsid w:val="0058529D"/>
    <w:rsid w:val="0059572E"/>
    <w:rsid w:val="005A4E18"/>
    <w:rsid w:val="005A6187"/>
    <w:rsid w:val="005A6D01"/>
    <w:rsid w:val="005B0669"/>
    <w:rsid w:val="005B11C3"/>
    <w:rsid w:val="005C73D2"/>
    <w:rsid w:val="005D202E"/>
    <w:rsid w:val="005D3657"/>
    <w:rsid w:val="005D4161"/>
    <w:rsid w:val="005D518B"/>
    <w:rsid w:val="005F3402"/>
    <w:rsid w:val="005F48CB"/>
    <w:rsid w:val="005F49AD"/>
    <w:rsid w:val="00601CC3"/>
    <w:rsid w:val="00601D70"/>
    <w:rsid w:val="00602DF6"/>
    <w:rsid w:val="00610389"/>
    <w:rsid w:val="00615A38"/>
    <w:rsid w:val="00623CA1"/>
    <w:rsid w:val="00625BDE"/>
    <w:rsid w:val="006270F1"/>
    <w:rsid w:val="00633263"/>
    <w:rsid w:val="00633DB4"/>
    <w:rsid w:val="0064297A"/>
    <w:rsid w:val="00642B2F"/>
    <w:rsid w:val="00644BE2"/>
    <w:rsid w:val="00647367"/>
    <w:rsid w:val="006475C8"/>
    <w:rsid w:val="00647F01"/>
    <w:rsid w:val="00654C56"/>
    <w:rsid w:val="00657AFF"/>
    <w:rsid w:val="006677B2"/>
    <w:rsid w:val="006714DE"/>
    <w:rsid w:val="00673EE9"/>
    <w:rsid w:val="006742FC"/>
    <w:rsid w:val="00680A82"/>
    <w:rsid w:val="006815A9"/>
    <w:rsid w:val="0068191B"/>
    <w:rsid w:val="00681CC9"/>
    <w:rsid w:val="00684367"/>
    <w:rsid w:val="00691B2F"/>
    <w:rsid w:val="006931F9"/>
    <w:rsid w:val="0069444C"/>
    <w:rsid w:val="006A2203"/>
    <w:rsid w:val="006A5939"/>
    <w:rsid w:val="006A797D"/>
    <w:rsid w:val="006B5199"/>
    <w:rsid w:val="006B581B"/>
    <w:rsid w:val="006B713B"/>
    <w:rsid w:val="006B7A34"/>
    <w:rsid w:val="006C07D3"/>
    <w:rsid w:val="006C1CBD"/>
    <w:rsid w:val="006C6BCC"/>
    <w:rsid w:val="006C6D0F"/>
    <w:rsid w:val="006C73BE"/>
    <w:rsid w:val="006D6A6C"/>
    <w:rsid w:val="006D7149"/>
    <w:rsid w:val="006E357C"/>
    <w:rsid w:val="006E5575"/>
    <w:rsid w:val="006E78B4"/>
    <w:rsid w:val="006F3EB4"/>
    <w:rsid w:val="006F69DE"/>
    <w:rsid w:val="006F7C7A"/>
    <w:rsid w:val="007024BE"/>
    <w:rsid w:val="00707AB1"/>
    <w:rsid w:val="007105E1"/>
    <w:rsid w:val="007107EC"/>
    <w:rsid w:val="00713164"/>
    <w:rsid w:val="0071562A"/>
    <w:rsid w:val="0071734A"/>
    <w:rsid w:val="00721097"/>
    <w:rsid w:val="007214AC"/>
    <w:rsid w:val="00721EFA"/>
    <w:rsid w:val="00726939"/>
    <w:rsid w:val="00741617"/>
    <w:rsid w:val="00745FFC"/>
    <w:rsid w:val="00746AFB"/>
    <w:rsid w:val="00746F90"/>
    <w:rsid w:val="00750B95"/>
    <w:rsid w:val="00757991"/>
    <w:rsid w:val="0076427D"/>
    <w:rsid w:val="0076491B"/>
    <w:rsid w:val="00767A0C"/>
    <w:rsid w:val="0077419E"/>
    <w:rsid w:val="00776581"/>
    <w:rsid w:val="0078212A"/>
    <w:rsid w:val="007836BB"/>
    <w:rsid w:val="00787CE9"/>
    <w:rsid w:val="00791D8B"/>
    <w:rsid w:val="007A55A6"/>
    <w:rsid w:val="007A5EFF"/>
    <w:rsid w:val="007A6DC8"/>
    <w:rsid w:val="007C073D"/>
    <w:rsid w:val="007C0A44"/>
    <w:rsid w:val="007C1C76"/>
    <w:rsid w:val="007C2154"/>
    <w:rsid w:val="007C36F4"/>
    <w:rsid w:val="007C3D88"/>
    <w:rsid w:val="007C4287"/>
    <w:rsid w:val="007C4372"/>
    <w:rsid w:val="007C70C0"/>
    <w:rsid w:val="007D5609"/>
    <w:rsid w:val="007E025F"/>
    <w:rsid w:val="007E3497"/>
    <w:rsid w:val="007E444A"/>
    <w:rsid w:val="007E66E7"/>
    <w:rsid w:val="007F5239"/>
    <w:rsid w:val="007F56F6"/>
    <w:rsid w:val="008012F5"/>
    <w:rsid w:val="00802082"/>
    <w:rsid w:val="00804189"/>
    <w:rsid w:val="00805785"/>
    <w:rsid w:val="00810E8F"/>
    <w:rsid w:val="00811EC2"/>
    <w:rsid w:val="0082649B"/>
    <w:rsid w:val="00827290"/>
    <w:rsid w:val="008272BB"/>
    <w:rsid w:val="0083024A"/>
    <w:rsid w:val="00830965"/>
    <w:rsid w:val="00832183"/>
    <w:rsid w:val="00841693"/>
    <w:rsid w:val="008512E7"/>
    <w:rsid w:val="00854A55"/>
    <w:rsid w:val="00857F37"/>
    <w:rsid w:val="008642DD"/>
    <w:rsid w:val="00866FA6"/>
    <w:rsid w:val="00881710"/>
    <w:rsid w:val="008970A6"/>
    <w:rsid w:val="008A2D3C"/>
    <w:rsid w:val="008A3504"/>
    <w:rsid w:val="008A6846"/>
    <w:rsid w:val="008A766A"/>
    <w:rsid w:val="008B20C6"/>
    <w:rsid w:val="008B23A8"/>
    <w:rsid w:val="008B3AF7"/>
    <w:rsid w:val="008C132D"/>
    <w:rsid w:val="008C1644"/>
    <w:rsid w:val="008C624C"/>
    <w:rsid w:val="008C7007"/>
    <w:rsid w:val="008C76FF"/>
    <w:rsid w:val="008D3B05"/>
    <w:rsid w:val="008D5442"/>
    <w:rsid w:val="008F058C"/>
    <w:rsid w:val="008F130A"/>
    <w:rsid w:val="008F467F"/>
    <w:rsid w:val="008F78DE"/>
    <w:rsid w:val="008F7B1B"/>
    <w:rsid w:val="009047E3"/>
    <w:rsid w:val="009051BC"/>
    <w:rsid w:val="009061B6"/>
    <w:rsid w:val="00912EBF"/>
    <w:rsid w:val="00916486"/>
    <w:rsid w:val="00921253"/>
    <w:rsid w:val="009249CC"/>
    <w:rsid w:val="00926E13"/>
    <w:rsid w:val="00927222"/>
    <w:rsid w:val="00927FCC"/>
    <w:rsid w:val="00932C5D"/>
    <w:rsid w:val="009346B6"/>
    <w:rsid w:val="00942DBC"/>
    <w:rsid w:val="00943346"/>
    <w:rsid w:val="009451D1"/>
    <w:rsid w:val="0094706B"/>
    <w:rsid w:val="0095142F"/>
    <w:rsid w:val="00952585"/>
    <w:rsid w:val="00952898"/>
    <w:rsid w:val="009534E2"/>
    <w:rsid w:val="009544FB"/>
    <w:rsid w:val="00954C30"/>
    <w:rsid w:val="00957DCA"/>
    <w:rsid w:val="009644C7"/>
    <w:rsid w:val="00965A00"/>
    <w:rsid w:val="0097051D"/>
    <w:rsid w:val="009723AC"/>
    <w:rsid w:val="009813A3"/>
    <w:rsid w:val="00981962"/>
    <w:rsid w:val="00984735"/>
    <w:rsid w:val="00984785"/>
    <w:rsid w:val="009921D4"/>
    <w:rsid w:val="009940FA"/>
    <w:rsid w:val="009A4046"/>
    <w:rsid w:val="009B2828"/>
    <w:rsid w:val="009B5F94"/>
    <w:rsid w:val="009B704D"/>
    <w:rsid w:val="009B72E9"/>
    <w:rsid w:val="009B7703"/>
    <w:rsid w:val="009C65AF"/>
    <w:rsid w:val="009C7174"/>
    <w:rsid w:val="009E1FEF"/>
    <w:rsid w:val="009F20E3"/>
    <w:rsid w:val="009F3D71"/>
    <w:rsid w:val="009F426E"/>
    <w:rsid w:val="00A06D9A"/>
    <w:rsid w:val="00A10ED6"/>
    <w:rsid w:val="00A14742"/>
    <w:rsid w:val="00A40F16"/>
    <w:rsid w:val="00A45916"/>
    <w:rsid w:val="00A46826"/>
    <w:rsid w:val="00A5129E"/>
    <w:rsid w:val="00A51DFE"/>
    <w:rsid w:val="00A534A7"/>
    <w:rsid w:val="00A609C0"/>
    <w:rsid w:val="00A67A34"/>
    <w:rsid w:val="00A7233D"/>
    <w:rsid w:val="00A76DE3"/>
    <w:rsid w:val="00A77503"/>
    <w:rsid w:val="00A81F4A"/>
    <w:rsid w:val="00A85E80"/>
    <w:rsid w:val="00A90264"/>
    <w:rsid w:val="00A9098C"/>
    <w:rsid w:val="00A91172"/>
    <w:rsid w:val="00A94FBB"/>
    <w:rsid w:val="00A95EF9"/>
    <w:rsid w:val="00A96707"/>
    <w:rsid w:val="00AA1873"/>
    <w:rsid w:val="00AA2DCA"/>
    <w:rsid w:val="00AA2F31"/>
    <w:rsid w:val="00AA7A18"/>
    <w:rsid w:val="00AB1079"/>
    <w:rsid w:val="00AB347A"/>
    <w:rsid w:val="00AB6CF0"/>
    <w:rsid w:val="00AB7FD1"/>
    <w:rsid w:val="00AC04A6"/>
    <w:rsid w:val="00AC212C"/>
    <w:rsid w:val="00AC39AC"/>
    <w:rsid w:val="00AC54A6"/>
    <w:rsid w:val="00AC574E"/>
    <w:rsid w:val="00AD1B8D"/>
    <w:rsid w:val="00AD22EC"/>
    <w:rsid w:val="00AE29F7"/>
    <w:rsid w:val="00AE5C2E"/>
    <w:rsid w:val="00AE5D31"/>
    <w:rsid w:val="00AE7BD0"/>
    <w:rsid w:val="00AE7F00"/>
    <w:rsid w:val="00AF08C2"/>
    <w:rsid w:val="00AF0AED"/>
    <w:rsid w:val="00AF3EEB"/>
    <w:rsid w:val="00AF64BA"/>
    <w:rsid w:val="00AF794E"/>
    <w:rsid w:val="00B0091E"/>
    <w:rsid w:val="00B00924"/>
    <w:rsid w:val="00B01BD4"/>
    <w:rsid w:val="00B069D3"/>
    <w:rsid w:val="00B10647"/>
    <w:rsid w:val="00B13C97"/>
    <w:rsid w:val="00B1636D"/>
    <w:rsid w:val="00B176C3"/>
    <w:rsid w:val="00B1784A"/>
    <w:rsid w:val="00B179C2"/>
    <w:rsid w:val="00B20794"/>
    <w:rsid w:val="00B226D6"/>
    <w:rsid w:val="00B2299D"/>
    <w:rsid w:val="00B2324D"/>
    <w:rsid w:val="00B23DC0"/>
    <w:rsid w:val="00B25FB2"/>
    <w:rsid w:val="00B30305"/>
    <w:rsid w:val="00B3250C"/>
    <w:rsid w:val="00B326EE"/>
    <w:rsid w:val="00B3279A"/>
    <w:rsid w:val="00B34A1F"/>
    <w:rsid w:val="00B35374"/>
    <w:rsid w:val="00B353FE"/>
    <w:rsid w:val="00B37C82"/>
    <w:rsid w:val="00B4144C"/>
    <w:rsid w:val="00B42F64"/>
    <w:rsid w:val="00B44E32"/>
    <w:rsid w:val="00B46545"/>
    <w:rsid w:val="00B5105A"/>
    <w:rsid w:val="00B52593"/>
    <w:rsid w:val="00B54792"/>
    <w:rsid w:val="00B62649"/>
    <w:rsid w:val="00B63CB9"/>
    <w:rsid w:val="00B65B3F"/>
    <w:rsid w:val="00B720A4"/>
    <w:rsid w:val="00B75CAC"/>
    <w:rsid w:val="00B803CF"/>
    <w:rsid w:val="00B9069B"/>
    <w:rsid w:val="00B948AB"/>
    <w:rsid w:val="00B957EC"/>
    <w:rsid w:val="00B957FE"/>
    <w:rsid w:val="00BA16D8"/>
    <w:rsid w:val="00BA3213"/>
    <w:rsid w:val="00BA6EE0"/>
    <w:rsid w:val="00BA7E4D"/>
    <w:rsid w:val="00BB0D31"/>
    <w:rsid w:val="00BB2603"/>
    <w:rsid w:val="00BB3AA3"/>
    <w:rsid w:val="00BB4257"/>
    <w:rsid w:val="00BB7DB3"/>
    <w:rsid w:val="00BC27D8"/>
    <w:rsid w:val="00BC4B61"/>
    <w:rsid w:val="00BD27D5"/>
    <w:rsid w:val="00BD577C"/>
    <w:rsid w:val="00BD582D"/>
    <w:rsid w:val="00BD746D"/>
    <w:rsid w:val="00BD76F9"/>
    <w:rsid w:val="00BE22CF"/>
    <w:rsid w:val="00BE31C4"/>
    <w:rsid w:val="00BE3C5D"/>
    <w:rsid w:val="00BF0978"/>
    <w:rsid w:val="00C0162B"/>
    <w:rsid w:val="00C02A65"/>
    <w:rsid w:val="00C03716"/>
    <w:rsid w:val="00C048B5"/>
    <w:rsid w:val="00C068DC"/>
    <w:rsid w:val="00C074CB"/>
    <w:rsid w:val="00C10EBC"/>
    <w:rsid w:val="00C12916"/>
    <w:rsid w:val="00C14E93"/>
    <w:rsid w:val="00C1710B"/>
    <w:rsid w:val="00C20F07"/>
    <w:rsid w:val="00C216B1"/>
    <w:rsid w:val="00C24075"/>
    <w:rsid w:val="00C25604"/>
    <w:rsid w:val="00C26CDE"/>
    <w:rsid w:val="00C31754"/>
    <w:rsid w:val="00C31E02"/>
    <w:rsid w:val="00C32754"/>
    <w:rsid w:val="00C3299D"/>
    <w:rsid w:val="00C340D4"/>
    <w:rsid w:val="00C3548A"/>
    <w:rsid w:val="00C4398C"/>
    <w:rsid w:val="00C44A43"/>
    <w:rsid w:val="00C460DB"/>
    <w:rsid w:val="00C46331"/>
    <w:rsid w:val="00C50607"/>
    <w:rsid w:val="00C514E5"/>
    <w:rsid w:val="00C57519"/>
    <w:rsid w:val="00C60CE1"/>
    <w:rsid w:val="00C60E6D"/>
    <w:rsid w:val="00C624F4"/>
    <w:rsid w:val="00C629EB"/>
    <w:rsid w:val="00C648FE"/>
    <w:rsid w:val="00C70A86"/>
    <w:rsid w:val="00C76B54"/>
    <w:rsid w:val="00C81A65"/>
    <w:rsid w:val="00C840D0"/>
    <w:rsid w:val="00C858B9"/>
    <w:rsid w:val="00C86283"/>
    <w:rsid w:val="00C9127E"/>
    <w:rsid w:val="00C9187A"/>
    <w:rsid w:val="00C91AF4"/>
    <w:rsid w:val="00C967FC"/>
    <w:rsid w:val="00CA0CFC"/>
    <w:rsid w:val="00CA1EE0"/>
    <w:rsid w:val="00CA237F"/>
    <w:rsid w:val="00CA2FAF"/>
    <w:rsid w:val="00CA6F26"/>
    <w:rsid w:val="00CA779D"/>
    <w:rsid w:val="00CB15EE"/>
    <w:rsid w:val="00CB1C7B"/>
    <w:rsid w:val="00CB2261"/>
    <w:rsid w:val="00CB2BF4"/>
    <w:rsid w:val="00CB55EE"/>
    <w:rsid w:val="00CB5DA6"/>
    <w:rsid w:val="00CB6A2F"/>
    <w:rsid w:val="00CC3066"/>
    <w:rsid w:val="00CC5F75"/>
    <w:rsid w:val="00CC6688"/>
    <w:rsid w:val="00CC7FC1"/>
    <w:rsid w:val="00CD111D"/>
    <w:rsid w:val="00CD26C1"/>
    <w:rsid w:val="00CD2A90"/>
    <w:rsid w:val="00CD3E5F"/>
    <w:rsid w:val="00CD3F67"/>
    <w:rsid w:val="00CD6A1C"/>
    <w:rsid w:val="00CD6DEF"/>
    <w:rsid w:val="00CE352D"/>
    <w:rsid w:val="00CE5F16"/>
    <w:rsid w:val="00CF377B"/>
    <w:rsid w:val="00CF7221"/>
    <w:rsid w:val="00D02818"/>
    <w:rsid w:val="00D02B87"/>
    <w:rsid w:val="00D03700"/>
    <w:rsid w:val="00D06A4F"/>
    <w:rsid w:val="00D06E08"/>
    <w:rsid w:val="00D070A5"/>
    <w:rsid w:val="00D10686"/>
    <w:rsid w:val="00D20531"/>
    <w:rsid w:val="00D213BF"/>
    <w:rsid w:val="00D23582"/>
    <w:rsid w:val="00D24BFA"/>
    <w:rsid w:val="00D2641E"/>
    <w:rsid w:val="00D34377"/>
    <w:rsid w:val="00D35328"/>
    <w:rsid w:val="00D35522"/>
    <w:rsid w:val="00D4212A"/>
    <w:rsid w:val="00D43E37"/>
    <w:rsid w:val="00D45359"/>
    <w:rsid w:val="00D46ABF"/>
    <w:rsid w:val="00D47D95"/>
    <w:rsid w:val="00D50079"/>
    <w:rsid w:val="00D525EE"/>
    <w:rsid w:val="00D54900"/>
    <w:rsid w:val="00D55451"/>
    <w:rsid w:val="00D56D12"/>
    <w:rsid w:val="00D610D8"/>
    <w:rsid w:val="00D63227"/>
    <w:rsid w:val="00D65ED3"/>
    <w:rsid w:val="00D72746"/>
    <w:rsid w:val="00D77D69"/>
    <w:rsid w:val="00D81D27"/>
    <w:rsid w:val="00D82D06"/>
    <w:rsid w:val="00D83E64"/>
    <w:rsid w:val="00D847DC"/>
    <w:rsid w:val="00D91389"/>
    <w:rsid w:val="00D930C9"/>
    <w:rsid w:val="00D9752E"/>
    <w:rsid w:val="00DA1685"/>
    <w:rsid w:val="00DA3157"/>
    <w:rsid w:val="00DA39C6"/>
    <w:rsid w:val="00DB04D3"/>
    <w:rsid w:val="00DB3024"/>
    <w:rsid w:val="00DB3B9C"/>
    <w:rsid w:val="00DB4A41"/>
    <w:rsid w:val="00DB58F3"/>
    <w:rsid w:val="00DB7EAA"/>
    <w:rsid w:val="00DC52DE"/>
    <w:rsid w:val="00DC576B"/>
    <w:rsid w:val="00DC6F23"/>
    <w:rsid w:val="00DC781D"/>
    <w:rsid w:val="00DD34C2"/>
    <w:rsid w:val="00DD4EE3"/>
    <w:rsid w:val="00DD5AD0"/>
    <w:rsid w:val="00DD6192"/>
    <w:rsid w:val="00DE1258"/>
    <w:rsid w:val="00DE16DE"/>
    <w:rsid w:val="00DE25F8"/>
    <w:rsid w:val="00DF0F80"/>
    <w:rsid w:val="00DF6148"/>
    <w:rsid w:val="00DF7A38"/>
    <w:rsid w:val="00E001C4"/>
    <w:rsid w:val="00E006A4"/>
    <w:rsid w:val="00E00ED6"/>
    <w:rsid w:val="00E024DE"/>
    <w:rsid w:val="00E028DE"/>
    <w:rsid w:val="00E03F04"/>
    <w:rsid w:val="00E05AF8"/>
    <w:rsid w:val="00E07409"/>
    <w:rsid w:val="00E1571F"/>
    <w:rsid w:val="00E16841"/>
    <w:rsid w:val="00E242E8"/>
    <w:rsid w:val="00E273C2"/>
    <w:rsid w:val="00E30C0D"/>
    <w:rsid w:val="00E33252"/>
    <w:rsid w:val="00E36430"/>
    <w:rsid w:val="00E36B94"/>
    <w:rsid w:val="00E40BF8"/>
    <w:rsid w:val="00E4467C"/>
    <w:rsid w:val="00E45B14"/>
    <w:rsid w:val="00E466CB"/>
    <w:rsid w:val="00E47065"/>
    <w:rsid w:val="00E51579"/>
    <w:rsid w:val="00E52329"/>
    <w:rsid w:val="00E56927"/>
    <w:rsid w:val="00E5719D"/>
    <w:rsid w:val="00E6366C"/>
    <w:rsid w:val="00E66D21"/>
    <w:rsid w:val="00E6781C"/>
    <w:rsid w:val="00E70E9E"/>
    <w:rsid w:val="00E7690D"/>
    <w:rsid w:val="00E76ED5"/>
    <w:rsid w:val="00E91CEE"/>
    <w:rsid w:val="00E92089"/>
    <w:rsid w:val="00E96FA1"/>
    <w:rsid w:val="00EA017E"/>
    <w:rsid w:val="00EA2AAF"/>
    <w:rsid w:val="00EB0769"/>
    <w:rsid w:val="00EB0EE8"/>
    <w:rsid w:val="00EC29D7"/>
    <w:rsid w:val="00EC2EB1"/>
    <w:rsid w:val="00EC4BB5"/>
    <w:rsid w:val="00EC640D"/>
    <w:rsid w:val="00ED094D"/>
    <w:rsid w:val="00ED31C1"/>
    <w:rsid w:val="00ED5B1A"/>
    <w:rsid w:val="00EE11E0"/>
    <w:rsid w:val="00EE6EFF"/>
    <w:rsid w:val="00EF1D83"/>
    <w:rsid w:val="00EF3672"/>
    <w:rsid w:val="00F04B78"/>
    <w:rsid w:val="00F05CCD"/>
    <w:rsid w:val="00F0613E"/>
    <w:rsid w:val="00F06FB4"/>
    <w:rsid w:val="00F1110E"/>
    <w:rsid w:val="00F15E4D"/>
    <w:rsid w:val="00F16004"/>
    <w:rsid w:val="00F16A09"/>
    <w:rsid w:val="00F21884"/>
    <w:rsid w:val="00F27E8C"/>
    <w:rsid w:val="00F30A0B"/>
    <w:rsid w:val="00F30B38"/>
    <w:rsid w:val="00F31C2C"/>
    <w:rsid w:val="00F3329B"/>
    <w:rsid w:val="00F40960"/>
    <w:rsid w:val="00F40D06"/>
    <w:rsid w:val="00F450DF"/>
    <w:rsid w:val="00F461D1"/>
    <w:rsid w:val="00F50C91"/>
    <w:rsid w:val="00F55AE1"/>
    <w:rsid w:val="00F57D91"/>
    <w:rsid w:val="00F705C4"/>
    <w:rsid w:val="00F8105A"/>
    <w:rsid w:val="00F87463"/>
    <w:rsid w:val="00F92D21"/>
    <w:rsid w:val="00FA30D3"/>
    <w:rsid w:val="00FA375D"/>
    <w:rsid w:val="00FA4740"/>
    <w:rsid w:val="00FA495E"/>
    <w:rsid w:val="00FB35F4"/>
    <w:rsid w:val="00FB6661"/>
    <w:rsid w:val="00FC0AEC"/>
    <w:rsid w:val="00FC7070"/>
    <w:rsid w:val="00FC7B65"/>
    <w:rsid w:val="00FD00DB"/>
    <w:rsid w:val="00FF0910"/>
    <w:rsid w:val="214254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03177"/>
  <w15:chartTrackingRefBased/>
  <w15:docId w15:val="{986683D4-E3D8-4904-ACD0-DD2611BB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character" w:styleId="IntenseReference">
    <w:name w:val="Intense Reference"/>
    <w:basedOn w:val="DefaultParagraphFont"/>
    <w:uiPriority w:val="32"/>
    <w:qFormat/>
    <w:rsid w:val="007D5609"/>
    <w:rPr>
      <w:b/>
      <w:bCs/>
      <w:smallCaps/>
      <w:color w:val="2AB1BB" w:themeColor="accent1"/>
      <w:spacing w:val="5"/>
    </w:rPr>
  </w:style>
  <w:style w:type="paragraph" w:styleId="Title">
    <w:name w:val="Title"/>
    <w:basedOn w:val="Normal"/>
    <w:next w:val="Normal"/>
    <w:link w:val="TitleChar"/>
    <w:uiPriority w:val="10"/>
    <w:qFormat/>
    <w:rsid w:val="007D560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609"/>
    <w:pPr>
      <w:numPr>
        <w:ilvl w:val="1"/>
      </w:numPr>
      <w:spacing w:after="160"/>
    </w:pPr>
    <w:rPr>
      <w:rFonts w:asciiTheme="minorHAnsi" w:eastAsiaTheme="minorEastAsia" w:hAnsiTheme="minorHAnsi"/>
      <w:color w:val="4F38B5" w:themeColor="text1" w:themeTint="A5"/>
      <w:spacing w:val="15"/>
      <w:sz w:val="22"/>
      <w:szCs w:val="22"/>
    </w:rPr>
  </w:style>
  <w:style w:type="character" w:customStyle="1" w:styleId="SubtitleChar">
    <w:name w:val="Subtitle Char"/>
    <w:basedOn w:val="DefaultParagraphFont"/>
    <w:link w:val="Subtitle"/>
    <w:uiPriority w:val="11"/>
    <w:rsid w:val="007D5609"/>
    <w:rPr>
      <w:rFonts w:eastAsiaTheme="minorEastAsia"/>
      <w:color w:val="4F38B5" w:themeColor="text1" w:themeTint="A5"/>
      <w:spacing w:val="15"/>
      <w:sz w:val="22"/>
      <w:szCs w:val="22"/>
    </w:rPr>
  </w:style>
  <w:style w:type="character" w:styleId="SubtleEmphasis">
    <w:name w:val="Subtle Emphasis"/>
    <w:basedOn w:val="DefaultParagraphFont"/>
    <w:uiPriority w:val="19"/>
    <w:qFormat/>
    <w:rsid w:val="007D5609"/>
    <w:rPr>
      <w:i/>
      <w:iCs/>
      <w:color w:val="412E94" w:themeColor="text1" w:themeTint="BF"/>
    </w:rPr>
  </w:style>
  <w:style w:type="character" w:styleId="SubtleReference">
    <w:name w:val="Subtle Reference"/>
    <w:basedOn w:val="DefaultParagraphFont"/>
    <w:uiPriority w:val="31"/>
    <w:qFormat/>
    <w:rsid w:val="007D5609"/>
    <w:rPr>
      <w:smallCaps/>
      <w:color w:val="4F38B5" w:themeColor="text1" w:themeTint="A5"/>
    </w:rPr>
  </w:style>
  <w:style w:type="character" w:styleId="BookTitle">
    <w:name w:val="Book Title"/>
    <w:basedOn w:val="DefaultParagraphFont"/>
    <w:uiPriority w:val="33"/>
    <w:qFormat/>
    <w:rsid w:val="007D5609"/>
    <w:rPr>
      <w:b/>
      <w:bCs/>
      <w:i/>
      <w:iCs/>
      <w:spacing w:val="5"/>
    </w:rPr>
  </w:style>
  <w:style w:type="paragraph" w:styleId="TOCHeading">
    <w:name w:val="TOC Heading"/>
    <w:basedOn w:val="Heading1"/>
    <w:next w:val="Normal"/>
    <w:uiPriority w:val="39"/>
    <w:unhideWhenUsed/>
    <w:qFormat/>
    <w:rsid w:val="00E33252"/>
    <w:pPr>
      <w:spacing w:before="240" w:after="0" w:line="259" w:lineRule="auto"/>
      <w:outlineLvl w:val="9"/>
    </w:pPr>
    <w:rPr>
      <w:rFonts w:asciiTheme="majorHAnsi" w:hAnsiTheme="majorHAnsi" w:cstheme="majorBidi"/>
      <w:b w:val="0"/>
      <w:bCs w:val="0"/>
      <w:color w:val="1F848B" w:themeColor="accent1" w:themeShade="BF"/>
      <w:sz w:val="32"/>
      <w:szCs w:val="32"/>
      <w:lang w:val="en-US"/>
    </w:rPr>
  </w:style>
  <w:style w:type="paragraph" w:styleId="TOC1">
    <w:name w:val="toc 1"/>
    <w:basedOn w:val="Normal"/>
    <w:next w:val="Normal"/>
    <w:autoRedefine/>
    <w:uiPriority w:val="39"/>
    <w:unhideWhenUsed/>
    <w:rsid w:val="00E33252"/>
    <w:pPr>
      <w:spacing w:after="100"/>
    </w:pPr>
  </w:style>
  <w:style w:type="paragraph" w:styleId="TOC2">
    <w:name w:val="toc 2"/>
    <w:basedOn w:val="Normal"/>
    <w:next w:val="Normal"/>
    <w:autoRedefine/>
    <w:uiPriority w:val="39"/>
    <w:unhideWhenUsed/>
    <w:rsid w:val="00E33252"/>
    <w:pPr>
      <w:spacing w:after="100"/>
      <w:ind w:left="240"/>
    </w:pPr>
  </w:style>
  <w:style w:type="paragraph" w:styleId="TOC3">
    <w:name w:val="toc 3"/>
    <w:basedOn w:val="Normal"/>
    <w:next w:val="Normal"/>
    <w:autoRedefine/>
    <w:uiPriority w:val="39"/>
    <w:unhideWhenUsed/>
    <w:rsid w:val="00E33252"/>
    <w:pPr>
      <w:spacing w:after="100"/>
      <w:ind w:left="480"/>
    </w:pPr>
  </w:style>
  <w:style w:type="character" w:styleId="FollowedHyperlink">
    <w:name w:val="FollowedHyperlink"/>
    <w:basedOn w:val="DefaultParagraphFont"/>
    <w:uiPriority w:val="99"/>
    <w:semiHidden/>
    <w:unhideWhenUsed/>
    <w:rsid w:val="00D81D27"/>
    <w:rPr>
      <w:color w:val="6D6D70" w:themeColor="followedHyperlink"/>
      <w:u w:val="single"/>
    </w:rPr>
  </w:style>
  <w:style w:type="character" w:customStyle="1" w:styleId="normaltextrun">
    <w:name w:val="normaltextrun"/>
    <w:basedOn w:val="DefaultParagraphFont"/>
    <w:rsid w:val="001F43A4"/>
  </w:style>
  <w:style w:type="character" w:customStyle="1" w:styleId="eop">
    <w:name w:val="eop"/>
    <w:basedOn w:val="DefaultParagraphFont"/>
    <w:rsid w:val="001F43A4"/>
  </w:style>
  <w:style w:type="paragraph" w:styleId="FootnoteText">
    <w:name w:val="footnote text"/>
    <w:basedOn w:val="Normal"/>
    <w:link w:val="FootnoteTextChar"/>
    <w:uiPriority w:val="99"/>
    <w:semiHidden/>
    <w:unhideWhenUsed/>
    <w:rsid w:val="00DD619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D6192"/>
    <w:rPr>
      <w:rFonts w:ascii="Arial" w:hAnsi="Arial"/>
      <w:sz w:val="20"/>
      <w:szCs w:val="20"/>
    </w:rPr>
  </w:style>
  <w:style w:type="character" w:styleId="FootnoteReference">
    <w:name w:val="footnote reference"/>
    <w:basedOn w:val="DefaultParagraphFont"/>
    <w:uiPriority w:val="99"/>
    <w:semiHidden/>
    <w:unhideWhenUsed/>
    <w:rsid w:val="00DD6192"/>
    <w:rPr>
      <w:vertAlign w:val="superscript"/>
    </w:rPr>
  </w:style>
  <w:style w:type="character" w:styleId="CommentReference">
    <w:name w:val="annotation reference"/>
    <w:basedOn w:val="DefaultParagraphFont"/>
    <w:uiPriority w:val="99"/>
    <w:semiHidden/>
    <w:unhideWhenUsed/>
    <w:rsid w:val="00451991"/>
    <w:rPr>
      <w:sz w:val="16"/>
      <w:szCs w:val="16"/>
    </w:rPr>
  </w:style>
  <w:style w:type="paragraph" w:styleId="CommentText">
    <w:name w:val="annotation text"/>
    <w:basedOn w:val="Normal"/>
    <w:link w:val="CommentTextChar"/>
    <w:uiPriority w:val="99"/>
    <w:unhideWhenUsed/>
    <w:rsid w:val="00451991"/>
    <w:pPr>
      <w:spacing w:before="0" w:after="160" w:line="240" w:lineRule="auto"/>
    </w:pPr>
    <w:rPr>
      <w:rFonts w:asciiTheme="minorHAnsi" w:hAnsiTheme="minorHAnsi"/>
      <w:sz w:val="20"/>
      <w:szCs w:val="20"/>
      <w:lang w:val="en-GB"/>
    </w:rPr>
  </w:style>
  <w:style w:type="character" w:customStyle="1" w:styleId="CommentTextChar">
    <w:name w:val="Comment Text Char"/>
    <w:basedOn w:val="DefaultParagraphFont"/>
    <w:link w:val="CommentText"/>
    <w:uiPriority w:val="99"/>
    <w:rsid w:val="00451991"/>
    <w:rPr>
      <w:sz w:val="20"/>
      <w:szCs w:val="20"/>
      <w:lang w:val="en-GB"/>
    </w:rPr>
  </w:style>
  <w:style w:type="paragraph" w:styleId="CommentSubject">
    <w:name w:val="annotation subject"/>
    <w:basedOn w:val="CommentText"/>
    <w:next w:val="CommentText"/>
    <w:link w:val="CommentSubjectChar"/>
    <w:uiPriority w:val="99"/>
    <w:semiHidden/>
    <w:unhideWhenUsed/>
    <w:rsid w:val="00ED5B1A"/>
    <w:pPr>
      <w:spacing w:before="120" w:after="120"/>
    </w:pPr>
    <w:rPr>
      <w:rFonts w:ascii="Arial" w:hAnsi="Arial"/>
      <w:b/>
      <w:bCs/>
      <w:lang w:val="en-AU"/>
    </w:rPr>
  </w:style>
  <w:style w:type="character" w:customStyle="1" w:styleId="CommentSubjectChar">
    <w:name w:val="Comment Subject Char"/>
    <w:basedOn w:val="CommentTextChar"/>
    <w:link w:val="CommentSubject"/>
    <w:uiPriority w:val="99"/>
    <w:semiHidden/>
    <w:rsid w:val="00ED5B1A"/>
    <w:rPr>
      <w:rFonts w:ascii="Arial" w:hAnsi="Arial"/>
      <w:b/>
      <w:bCs/>
      <w:sz w:val="20"/>
      <w:szCs w:val="20"/>
      <w:lang w:val="en-GB"/>
    </w:rPr>
  </w:style>
  <w:style w:type="table" w:customStyle="1" w:styleId="TableGrid1">
    <w:name w:val="Table Grid1"/>
    <w:basedOn w:val="TableNormal"/>
    <w:next w:val="TableGrid"/>
    <w:uiPriority w:val="59"/>
    <w:rsid w:val="00436B0D"/>
    <w:rPr>
      <w:sz w:val="22"/>
      <w:szCs w:val="22"/>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ndhit">
    <w:name w:val="findhit"/>
    <w:basedOn w:val="DefaultParagraphFont"/>
    <w:rsid w:val="00363C63"/>
  </w:style>
  <w:style w:type="paragraph" w:styleId="Revision">
    <w:name w:val="Revision"/>
    <w:hidden/>
    <w:uiPriority w:val="99"/>
    <w:semiHidden/>
    <w:rsid w:val="00E006A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0466">
      <w:bodyDiv w:val="1"/>
      <w:marLeft w:val="0"/>
      <w:marRight w:val="0"/>
      <w:marTop w:val="0"/>
      <w:marBottom w:val="0"/>
      <w:divBdr>
        <w:top w:val="none" w:sz="0" w:space="0" w:color="auto"/>
        <w:left w:val="none" w:sz="0" w:space="0" w:color="auto"/>
        <w:bottom w:val="none" w:sz="0" w:space="0" w:color="auto"/>
        <w:right w:val="none" w:sz="0" w:space="0" w:color="auto"/>
      </w:divBdr>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627471389">
      <w:bodyDiv w:val="1"/>
      <w:marLeft w:val="0"/>
      <w:marRight w:val="0"/>
      <w:marTop w:val="0"/>
      <w:marBottom w:val="0"/>
      <w:divBdr>
        <w:top w:val="none" w:sz="0" w:space="0" w:color="auto"/>
        <w:left w:val="none" w:sz="0" w:space="0" w:color="auto"/>
        <w:bottom w:val="none" w:sz="0" w:space="0" w:color="auto"/>
        <w:right w:val="none" w:sz="0" w:space="0" w:color="auto"/>
      </w:divBdr>
    </w:div>
    <w:div w:id="1002784375">
      <w:bodyDiv w:val="1"/>
      <w:marLeft w:val="0"/>
      <w:marRight w:val="0"/>
      <w:marTop w:val="0"/>
      <w:marBottom w:val="0"/>
      <w:divBdr>
        <w:top w:val="none" w:sz="0" w:space="0" w:color="auto"/>
        <w:left w:val="none" w:sz="0" w:space="0" w:color="auto"/>
        <w:bottom w:val="none" w:sz="0" w:space="0" w:color="auto"/>
        <w:right w:val="none" w:sz="0" w:space="0" w:color="auto"/>
      </w:divBdr>
    </w:div>
    <w:div w:id="1114208126">
      <w:bodyDiv w:val="1"/>
      <w:marLeft w:val="0"/>
      <w:marRight w:val="0"/>
      <w:marTop w:val="0"/>
      <w:marBottom w:val="0"/>
      <w:divBdr>
        <w:top w:val="none" w:sz="0" w:space="0" w:color="auto"/>
        <w:left w:val="none" w:sz="0" w:space="0" w:color="auto"/>
        <w:bottom w:val="none" w:sz="0" w:space="0" w:color="auto"/>
        <w:right w:val="none" w:sz="0" w:space="0" w:color="auto"/>
      </w:divBdr>
      <w:divsChild>
        <w:div w:id="763843015">
          <w:marLeft w:val="0"/>
          <w:marRight w:val="0"/>
          <w:marTop w:val="0"/>
          <w:marBottom w:val="0"/>
          <w:divBdr>
            <w:top w:val="none" w:sz="0" w:space="0" w:color="auto"/>
            <w:left w:val="none" w:sz="0" w:space="0" w:color="auto"/>
            <w:bottom w:val="none" w:sz="0" w:space="0" w:color="auto"/>
            <w:right w:val="none" w:sz="0" w:space="0" w:color="auto"/>
          </w:divBdr>
        </w:div>
        <w:div w:id="1413968816">
          <w:marLeft w:val="0"/>
          <w:marRight w:val="0"/>
          <w:marTop w:val="0"/>
          <w:marBottom w:val="0"/>
          <w:divBdr>
            <w:top w:val="none" w:sz="0" w:space="0" w:color="auto"/>
            <w:left w:val="none" w:sz="0" w:space="0" w:color="auto"/>
            <w:bottom w:val="none" w:sz="0" w:space="0" w:color="auto"/>
            <w:right w:val="none" w:sz="0" w:space="0" w:color="auto"/>
          </w:divBdr>
        </w:div>
      </w:divsChild>
    </w:div>
    <w:div w:id="1218512053">
      <w:bodyDiv w:val="1"/>
      <w:marLeft w:val="0"/>
      <w:marRight w:val="0"/>
      <w:marTop w:val="0"/>
      <w:marBottom w:val="0"/>
      <w:divBdr>
        <w:top w:val="none" w:sz="0" w:space="0" w:color="auto"/>
        <w:left w:val="none" w:sz="0" w:space="0" w:color="auto"/>
        <w:bottom w:val="none" w:sz="0" w:space="0" w:color="auto"/>
        <w:right w:val="none" w:sz="0" w:space="0" w:color="auto"/>
      </w:divBdr>
    </w:div>
    <w:div w:id="1257518390">
      <w:bodyDiv w:val="1"/>
      <w:marLeft w:val="0"/>
      <w:marRight w:val="0"/>
      <w:marTop w:val="0"/>
      <w:marBottom w:val="0"/>
      <w:divBdr>
        <w:top w:val="none" w:sz="0" w:space="0" w:color="auto"/>
        <w:left w:val="none" w:sz="0" w:space="0" w:color="auto"/>
        <w:bottom w:val="none" w:sz="0" w:space="0" w:color="auto"/>
        <w:right w:val="none" w:sz="0" w:space="0" w:color="auto"/>
      </w:divBdr>
    </w:div>
    <w:div w:id="1371304142">
      <w:bodyDiv w:val="1"/>
      <w:marLeft w:val="0"/>
      <w:marRight w:val="0"/>
      <w:marTop w:val="0"/>
      <w:marBottom w:val="0"/>
      <w:divBdr>
        <w:top w:val="none" w:sz="0" w:space="0" w:color="auto"/>
        <w:left w:val="none" w:sz="0" w:space="0" w:color="auto"/>
        <w:bottom w:val="none" w:sz="0" w:space="0" w:color="auto"/>
        <w:right w:val="none" w:sz="0" w:space="0" w:color="auto"/>
      </w:divBdr>
      <w:divsChild>
        <w:div w:id="1315454936">
          <w:marLeft w:val="0"/>
          <w:marRight w:val="0"/>
          <w:marTop w:val="0"/>
          <w:marBottom w:val="0"/>
          <w:divBdr>
            <w:top w:val="none" w:sz="0" w:space="0" w:color="auto"/>
            <w:left w:val="none" w:sz="0" w:space="0" w:color="auto"/>
            <w:bottom w:val="none" w:sz="0" w:space="0" w:color="auto"/>
            <w:right w:val="none" w:sz="0" w:space="0" w:color="auto"/>
          </w:divBdr>
        </w:div>
        <w:div w:id="144318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gov.au/our-work/home-care-packages-program/managing/home-care-agreements" TargetMode="External"/><Relationship Id="rId18" Type="http://schemas.openxmlformats.org/officeDocument/2006/relationships/hyperlink" Target="https://healthgov-my.sharepoint.com/personal/gaenor_cross_health_gov_au1/Documents/Desktop/HCP%20Program%20Assurance%20Community%20of%20Practice%20webpage" TargetMode="External"/><Relationship Id="rId26" Type="http://schemas.openxmlformats.org/officeDocument/2006/relationships/hyperlink" Target="https://www.myagedcare.gov.au/help-at-home/home-care-packages" TargetMode="External"/><Relationship Id="rId39" Type="http://schemas.openxmlformats.org/officeDocument/2006/relationships/hyperlink" Target="https://www.health.gov.au/resources/publications/home-care-packages-program-operational-manual-a-guide-for-home-care-providers?language=en" TargetMode="External"/><Relationship Id="rId21" Type="http://schemas.openxmlformats.org/officeDocument/2006/relationships/hyperlink" Target="mailto:agedcarefraud@health.gov.au" TargetMode="External"/><Relationship Id="rId34" Type="http://schemas.openxmlformats.org/officeDocument/2006/relationships/hyperlink" Target="https://www.health.gov.au/resources/publications/home-care-packages-program-operational-manual-a-guide-for-home-care-providers?language=en" TargetMode="External"/><Relationship Id="rId42" Type="http://schemas.openxmlformats.org/officeDocument/2006/relationships/hyperlink" Target="mailto:NSWPlaces@health.gov.au" TargetMode="External"/><Relationship Id="rId47" Type="http://schemas.openxmlformats.org/officeDocument/2006/relationships/hyperlink" Target="mailto:NTPlaces@health.gov.au" TargetMode="External"/><Relationship Id="rId50" Type="http://schemas.openxmlformats.org/officeDocument/2006/relationships/hyperlink" Target="http://www.fecca.org.au" TargetMode="External"/><Relationship Id="rId55" Type="http://schemas.openxmlformats.org/officeDocument/2006/relationships/hyperlink" Target="mailto:agedcareenquiries@health.gov.au" TargetMode="External"/><Relationship Id="rId63" Type="http://schemas.openxmlformats.org/officeDocument/2006/relationships/hyperlink" Target="https://www.health.gov.au/our-work/support-at-home"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cpassurancereviews@health.gov.au" TargetMode="External"/><Relationship Id="rId29" Type="http://schemas.openxmlformats.org/officeDocument/2006/relationships/hyperlink" Target="https://www.health.gov.au/resources/publications/home-care-packages-program-operational-manual-a-guide-for-home-care-providers?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F2014L00830/latest/versions" TargetMode="External"/><Relationship Id="rId24" Type="http://schemas.openxmlformats.org/officeDocument/2006/relationships/hyperlink" Target="https://www.agedcarequality.gov.au/providers/approval-accreditation/becoming-approved-aged-care-provider" TargetMode="External"/><Relationship Id="rId32" Type="http://schemas.openxmlformats.org/officeDocument/2006/relationships/hyperlink" Target="https://www.health.gov.au/resources/publications/home-care-packages-program-operational-manual-a-guide-for-home-care-providers?language=en" TargetMode="External"/><Relationship Id="rId37" Type="http://schemas.openxmlformats.org/officeDocument/2006/relationships/hyperlink" Target="https://www.health.gov.au/resources/publications/home-care-packages-program-operational-manual-a-guide-for-home-care-providers?language=en" TargetMode="External"/><Relationship Id="rId40" Type="http://schemas.openxmlformats.org/officeDocument/2006/relationships/hyperlink" Target="https://www.health.gov.au/resources/publications/home-care-packages-program-inclusions-and-exclusions-faqs-for-providers-version-1?language=en" TargetMode="External"/><Relationship Id="rId45" Type="http://schemas.openxmlformats.org/officeDocument/2006/relationships/hyperlink" Target="mailto:SAPlaces@health.gov.au" TargetMode="External"/><Relationship Id="rId53" Type="http://schemas.openxmlformats.org/officeDocument/2006/relationships/hyperlink" Target="http://www.opan.com.au" TargetMode="External"/><Relationship Id="rId58" Type="http://schemas.openxmlformats.org/officeDocument/2006/relationships/hyperlink" Target="http://www.agedcarequality.gov.au" TargetMode="External"/><Relationship Id="rId66" Type="http://schemas.openxmlformats.org/officeDocument/2006/relationships/hyperlink" Target="https://www.health.gov.au/topics/aged-care/managing-covid-19/for-in-home-providers" TargetMode="External"/><Relationship Id="rId5" Type="http://schemas.openxmlformats.org/officeDocument/2006/relationships/numbering" Target="numbering.xml"/><Relationship Id="rId15" Type="http://schemas.openxmlformats.org/officeDocument/2006/relationships/hyperlink" Target="mailto:info@agedcarequality.gov.au" TargetMode="External"/><Relationship Id="rId23" Type="http://schemas.openxmlformats.org/officeDocument/2006/relationships/hyperlink" Target="mailto:hcpassurancereviews@health.gov.au" TargetMode="External"/><Relationship Id="rId28" Type="http://schemas.openxmlformats.org/officeDocument/2006/relationships/hyperlink" Target="https://www.health.gov.au/resources/publications/home-care-packages-program-operational-manual-a-guide-for-home-care-providers?language=en" TargetMode="External"/><Relationship Id="rId36" Type="http://schemas.openxmlformats.org/officeDocument/2006/relationships/hyperlink" Target="https://www.health.gov.au/resources/publications/home-care-packages-program-operational-manual-a-guide-for-home-care-providers?language=en" TargetMode="External"/><Relationship Id="rId49" Type="http://schemas.openxmlformats.org/officeDocument/2006/relationships/hyperlink" Target="http://www.cota.org.au" TargetMode="External"/><Relationship Id="rId57" Type="http://schemas.openxmlformats.org/officeDocument/2006/relationships/hyperlink" Target="https://www.health.gov.au/topics/palliative-care/planning-your-palliative-care/find-a-palliative-care-service-provider" TargetMode="External"/><Relationship Id="rId61" Type="http://schemas.openxmlformats.org/officeDocument/2006/relationships/hyperlink" Target="https://www.health.gov.au/committees-and-groups/aged-care-council-of-elders" TargetMode="External"/><Relationship Id="rId10" Type="http://schemas.openxmlformats.org/officeDocument/2006/relationships/endnotes" Target="endnotes.xml"/><Relationship Id="rId19" Type="http://schemas.openxmlformats.org/officeDocument/2006/relationships/hyperlink" Target="mailto:hcpassurancereviews@health.gov.au" TargetMode="External"/><Relationship Id="rId31" Type="http://schemas.openxmlformats.org/officeDocument/2006/relationships/hyperlink" Target="https://www.health.gov.au/resources/publications/home-care-packages-program-operational-manual-a-guide-for-home-care-providers?language=en" TargetMode="External"/><Relationship Id="rId44" Type="http://schemas.openxmlformats.org/officeDocument/2006/relationships/hyperlink" Target="mailto:engagement.QLD@health.gov.au" TargetMode="External"/><Relationship Id="rId52" Type="http://schemas.openxmlformats.org/officeDocument/2006/relationships/hyperlink" Target="http://www.nationalseniors.com.au" TargetMode="External"/><Relationship Id="rId60" Type="http://schemas.openxmlformats.org/officeDocument/2006/relationships/hyperlink" Target="https://www.health.gov.au/committees-and-groups/national-aged-care-advisory-council?language=en" TargetMode="External"/><Relationship Id="rId65" Type="http://schemas.openxmlformats.org/officeDocument/2006/relationships/hyperlink" Target="https://covid19.swa.gov.au/covid-19-information-workplaces/industry-information/aged-care/general-information?tab=tab-toc-wor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CPProgramAssuranceCompliance@health.gov.au" TargetMode="External"/><Relationship Id="rId22" Type="http://schemas.openxmlformats.org/officeDocument/2006/relationships/hyperlink" Target="https://www1.health.gov.au/internet/main/publishing.nsf/Content/reporting-suspected-fraud" TargetMode="External"/><Relationship Id="rId27" Type="http://schemas.openxmlformats.org/officeDocument/2006/relationships/hyperlink" Target="https://www.health.gov.au/resources/publications/home-care-packages-program-operational-manual-a-guide-for-home-care-providers?language=en" TargetMode="External"/><Relationship Id="rId30" Type="http://schemas.openxmlformats.org/officeDocument/2006/relationships/hyperlink" Target="https://www.health.gov.au/resources/publications/home-care-packages-program-inclusions-and-exclusions-faqs-for-providers-version-1?language=en" TargetMode="External"/><Relationship Id="rId35" Type="http://schemas.openxmlformats.org/officeDocument/2006/relationships/hyperlink" Target="https://www.health.gov.au/resources/publications/home-care-packages-program-inclusions-and-exclusions-faqs-for-providers-version-1?language=en" TargetMode="External"/><Relationship Id="rId43" Type="http://schemas.openxmlformats.org/officeDocument/2006/relationships/hyperlink" Target="mailto:vic.office@health.gov.au" TargetMode="External"/><Relationship Id="rId48" Type="http://schemas.openxmlformats.org/officeDocument/2006/relationships/hyperlink" Target="http://www.accpa.asn.au" TargetMode="External"/><Relationship Id="rId56" Type="http://schemas.openxmlformats.org/officeDocument/2006/relationships/hyperlink" Target="https://www.health.gov.au/resources/publications/home-care-packages-program-operational-manual-a-guide-for-home-care-providers?language=en" TargetMode="External"/><Relationship Id="rId64" Type="http://schemas.openxmlformats.org/officeDocument/2006/relationships/hyperlink" Target="https://www.health.gov.au/resources/publications/national-covid-19-health-management-plan-for-2023"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naccho.org.au"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legislation.gov.au/F2014L00808/latest/versions" TargetMode="External"/><Relationship Id="rId17" Type="http://schemas.openxmlformats.org/officeDocument/2006/relationships/hyperlink" Target="https://www.health.gov.au/resources/publications/home-care-packages-program-assurance-plan-2023-25?language=en" TargetMode="External"/><Relationship Id="rId25" Type="http://schemas.openxmlformats.org/officeDocument/2006/relationships/hyperlink" Target="https://healthgov-my.sharepoint.com/personal/gaenor_cross_health_gov_au1/Documents/Desktop/via%20the%20aged%20care%20data%20reports%20and%20publications%20webpage" TargetMode="External"/><Relationship Id="rId33" Type="http://schemas.openxmlformats.org/officeDocument/2006/relationships/hyperlink" Target="https://www.health.gov.au/resources/publications/home-care-packages-program-inclusions-and-exclusions-faqs-for-providers-version-1?language=en" TargetMode="External"/><Relationship Id="rId38" Type="http://schemas.openxmlformats.org/officeDocument/2006/relationships/hyperlink" Target="mailto:agedcareenquiries@health.gov.au" TargetMode="External"/><Relationship Id="rId46" Type="http://schemas.openxmlformats.org/officeDocument/2006/relationships/hyperlink" Target="mailto:TAS.Office@health.gov.au" TargetMode="External"/><Relationship Id="rId59" Type="http://schemas.openxmlformats.org/officeDocument/2006/relationships/hyperlink" Target="http://www.opan.org.au" TargetMode="External"/><Relationship Id="rId67" Type="http://schemas.openxmlformats.org/officeDocument/2006/relationships/hyperlink" Target="https://www.health.gov.au/topics/aged-care/managing-covid-19/prevent-and-prepare-in-residential-aged-care/managing-a-covid-19-outbreak" TargetMode="External"/><Relationship Id="rId20" Type="http://schemas.openxmlformats.org/officeDocument/2006/relationships/hyperlink" Target="tel:1800%20829%20403" TargetMode="External"/><Relationship Id="rId41" Type="http://schemas.openxmlformats.org/officeDocument/2006/relationships/hyperlink" Target="mailto:WAPlaces@health.gov.au" TargetMode="External"/><Relationship Id="rId54" Type="http://schemas.openxmlformats.org/officeDocument/2006/relationships/hyperlink" Target="http://www.aag.asn.au" TargetMode="External"/><Relationship Id="rId62" Type="http://schemas.openxmlformats.org/officeDocument/2006/relationships/hyperlink" Target="https://www.health.gov.au/topics/aged-care/aged-care-resources/webinars-for-the-aged-care-sector" TargetMode="External"/><Relationship Id="rId7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orj\Downloads\Aged_Care_Teal_A4_doc_simple_portrait_web.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0" ma:contentTypeDescription="Create a new document." ma:contentTypeScope="" ma:versionID="e91b7d9b807dac37de37679edb4bb279">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3bbd60627d21f73bd00e1e7ae992d481"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de465b5-e3d8-4ab0-b214-e6567d21fce9}"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49EA0-F862-494B-B9C5-CCA4A96F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E2362-356C-4CDA-9392-C485AD76B771}">
  <ds:schemaRefs>
    <ds:schemaRef ds:uri="http://purl.org/dc/terms/"/>
    <ds:schemaRef ds:uri="04499938-1c0e-445d-84a7-a95f7e43b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a7702e7-9218-4178-9b6d-65ad6f40fd45"/>
    <ds:schemaRef ds:uri="http://www.w3.org/XML/1998/namespace"/>
    <ds:schemaRef ds:uri="http://purl.org/dc/dcmitype/"/>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Aged_Care_Teal_A4_doc_simple_portrait_web.dotx</Template>
  <TotalTime>1</TotalTime>
  <Pages>23</Pages>
  <Words>9080</Words>
  <Characters>48583</Characters>
  <Application>Microsoft Office Word</Application>
  <DocSecurity>0</DocSecurity>
  <Lines>852</Lines>
  <Paragraphs>446</Paragraphs>
  <ScaleCrop>false</ScaleCrop>
  <HeadingPairs>
    <vt:vector size="2" baseType="variant">
      <vt:variant>
        <vt:lpstr>Title</vt:lpstr>
      </vt:variant>
      <vt:variant>
        <vt:i4>1</vt:i4>
      </vt:variant>
    </vt:vector>
  </HeadingPairs>
  <TitlesOfParts>
    <vt:vector size="1" baseType="lpstr">
      <vt:lpstr>Responses to questions from the Home Care Packages (HCP) program assurance reviews</vt:lpstr>
    </vt:vector>
  </TitlesOfParts>
  <Company/>
  <LinksUpToDate>false</LinksUpToDate>
  <CharactersWithSpaces>57217</CharactersWithSpaces>
  <SharedDoc>false</SharedDoc>
  <HLinks>
    <vt:vector size="498" baseType="variant">
      <vt:variant>
        <vt:i4>7733361</vt:i4>
      </vt:variant>
      <vt:variant>
        <vt:i4>330</vt:i4>
      </vt:variant>
      <vt:variant>
        <vt:i4>0</vt:i4>
      </vt:variant>
      <vt:variant>
        <vt:i4>5</vt:i4>
      </vt:variant>
      <vt:variant>
        <vt:lpwstr>https://www.health.gov.au/topics/aged-care/managing-covid-19/prevent-and-prepare-in-residential-aged-care/managing-a-covid-19-outbreak</vt:lpwstr>
      </vt:variant>
      <vt:variant>
        <vt:lpwstr>:~:text=use%20infection%20prevention%20and%20control,treatments%20to%20treat%20COVID%2D19</vt:lpwstr>
      </vt:variant>
      <vt:variant>
        <vt:i4>2162725</vt:i4>
      </vt:variant>
      <vt:variant>
        <vt:i4>327</vt:i4>
      </vt:variant>
      <vt:variant>
        <vt:i4>0</vt:i4>
      </vt:variant>
      <vt:variant>
        <vt:i4>5</vt:i4>
      </vt:variant>
      <vt:variant>
        <vt:lpwstr>https://www.health.gov.au/topics/aged-care/managing-covid-19/for-in-home-providers</vt:lpwstr>
      </vt:variant>
      <vt:variant>
        <vt:lpwstr/>
      </vt:variant>
      <vt:variant>
        <vt:i4>5111881</vt:i4>
      </vt:variant>
      <vt:variant>
        <vt:i4>324</vt:i4>
      </vt:variant>
      <vt:variant>
        <vt:i4>0</vt:i4>
      </vt:variant>
      <vt:variant>
        <vt:i4>5</vt:i4>
      </vt:variant>
      <vt:variant>
        <vt:lpwstr>https://covid19.swa.gov.au/covid-19-information-workplaces/industry-information/aged-care/general-information?tab=tab-toc-worker</vt:lpwstr>
      </vt:variant>
      <vt:variant>
        <vt:lpwstr/>
      </vt:variant>
      <vt:variant>
        <vt:i4>2359339</vt:i4>
      </vt:variant>
      <vt:variant>
        <vt:i4>321</vt:i4>
      </vt:variant>
      <vt:variant>
        <vt:i4>0</vt:i4>
      </vt:variant>
      <vt:variant>
        <vt:i4>5</vt:i4>
      </vt:variant>
      <vt:variant>
        <vt:lpwstr>https://www.health.gov.au/resources/publications/national-covid-19-health-management-plan-for-2023</vt:lpwstr>
      </vt:variant>
      <vt:variant>
        <vt:lpwstr/>
      </vt:variant>
      <vt:variant>
        <vt:i4>7602235</vt:i4>
      </vt:variant>
      <vt:variant>
        <vt:i4>318</vt:i4>
      </vt:variant>
      <vt:variant>
        <vt:i4>0</vt:i4>
      </vt:variant>
      <vt:variant>
        <vt:i4>5</vt:i4>
      </vt:variant>
      <vt:variant>
        <vt:lpwstr>https://www.health.gov.au/our-work/support-at-home</vt:lpwstr>
      </vt:variant>
      <vt:variant>
        <vt:lpwstr/>
      </vt:variant>
      <vt:variant>
        <vt:i4>1572886</vt:i4>
      </vt:variant>
      <vt:variant>
        <vt:i4>315</vt:i4>
      </vt:variant>
      <vt:variant>
        <vt:i4>0</vt:i4>
      </vt:variant>
      <vt:variant>
        <vt:i4>5</vt:i4>
      </vt:variant>
      <vt:variant>
        <vt:lpwstr>https://www.health.gov.au/topics/aged-care/aged-care-resources/webinars-for-the-aged-care-sector</vt:lpwstr>
      </vt:variant>
      <vt:variant>
        <vt:lpwstr/>
      </vt:variant>
      <vt:variant>
        <vt:i4>2818100</vt:i4>
      </vt:variant>
      <vt:variant>
        <vt:i4>312</vt:i4>
      </vt:variant>
      <vt:variant>
        <vt:i4>0</vt:i4>
      </vt:variant>
      <vt:variant>
        <vt:i4>5</vt:i4>
      </vt:variant>
      <vt:variant>
        <vt:lpwstr>https://www.health.gov.au/committees-and-groups/aged-care-council-of-elders</vt:lpwstr>
      </vt:variant>
      <vt:variant>
        <vt:lpwstr/>
      </vt:variant>
      <vt:variant>
        <vt:i4>6815842</vt:i4>
      </vt:variant>
      <vt:variant>
        <vt:i4>309</vt:i4>
      </vt:variant>
      <vt:variant>
        <vt:i4>0</vt:i4>
      </vt:variant>
      <vt:variant>
        <vt:i4>5</vt:i4>
      </vt:variant>
      <vt:variant>
        <vt:lpwstr>https://www.health.gov.au/committees-and-groups/national-aged-care-advisory-council?language=en</vt:lpwstr>
      </vt:variant>
      <vt:variant>
        <vt:lpwstr/>
      </vt:variant>
      <vt:variant>
        <vt:i4>2228263</vt:i4>
      </vt:variant>
      <vt:variant>
        <vt:i4>306</vt:i4>
      </vt:variant>
      <vt:variant>
        <vt:i4>0</vt:i4>
      </vt:variant>
      <vt:variant>
        <vt:i4>5</vt:i4>
      </vt:variant>
      <vt:variant>
        <vt:lpwstr>http://www.opan.org.au/</vt:lpwstr>
      </vt:variant>
      <vt:variant>
        <vt:lpwstr/>
      </vt:variant>
      <vt:variant>
        <vt:i4>6357024</vt:i4>
      </vt:variant>
      <vt:variant>
        <vt:i4>303</vt:i4>
      </vt:variant>
      <vt:variant>
        <vt:i4>0</vt:i4>
      </vt:variant>
      <vt:variant>
        <vt:i4>5</vt:i4>
      </vt:variant>
      <vt:variant>
        <vt:lpwstr>http://www.agedcarequality.gov.au/</vt:lpwstr>
      </vt:variant>
      <vt:variant>
        <vt:lpwstr/>
      </vt:variant>
      <vt:variant>
        <vt:i4>3735662</vt:i4>
      </vt:variant>
      <vt:variant>
        <vt:i4>300</vt:i4>
      </vt:variant>
      <vt:variant>
        <vt:i4>0</vt:i4>
      </vt:variant>
      <vt:variant>
        <vt:i4>5</vt:i4>
      </vt:variant>
      <vt:variant>
        <vt:lpwstr>https://www.health.gov.au/topics/palliative-care/planning-your-palliative-care/find-a-palliative-care-service-provider</vt:lpwstr>
      </vt:variant>
      <vt:variant>
        <vt:lpwstr/>
      </vt:variant>
      <vt:variant>
        <vt:i4>2424889</vt:i4>
      </vt:variant>
      <vt:variant>
        <vt:i4>297</vt:i4>
      </vt:variant>
      <vt:variant>
        <vt:i4>0</vt:i4>
      </vt:variant>
      <vt:variant>
        <vt:i4>5</vt:i4>
      </vt:variant>
      <vt:variant>
        <vt:lpwstr>https://www.health.gov.au/resources/publications/home-care-packages-program-operational-manual-a-guide-for-home-care-providers?language=en</vt:lpwstr>
      </vt:variant>
      <vt:variant>
        <vt:lpwstr/>
      </vt:variant>
      <vt:variant>
        <vt:i4>7798800</vt:i4>
      </vt:variant>
      <vt:variant>
        <vt:i4>294</vt:i4>
      </vt:variant>
      <vt:variant>
        <vt:i4>0</vt:i4>
      </vt:variant>
      <vt:variant>
        <vt:i4>5</vt:i4>
      </vt:variant>
      <vt:variant>
        <vt:lpwstr>mailto:agedcareenquiries@health.gov.au</vt:lpwstr>
      </vt:variant>
      <vt:variant>
        <vt:lpwstr/>
      </vt:variant>
      <vt:variant>
        <vt:i4>7077943</vt:i4>
      </vt:variant>
      <vt:variant>
        <vt:i4>291</vt:i4>
      </vt:variant>
      <vt:variant>
        <vt:i4>0</vt:i4>
      </vt:variant>
      <vt:variant>
        <vt:i4>5</vt:i4>
      </vt:variant>
      <vt:variant>
        <vt:lpwstr>http://www.aag.asn.au/</vt:lpwstr>
      </vt:variant>
      <vt:variant>
        <vt:lpwstr/>
      </vt:variant>
      <vt:variant>
        <vt:i4>4128801</vt:i4>
      </vt:variant>
      <vt:variant>
        <vt:i4>288</vt:i4>
      </vt:variant>
      <vt:variant>
        <vt:i4>0</vt:i4>
      </vt:variant>
      <vt:variant>
        <vt:i4>5</vt:i4>
      </vt:variant>
      <vt:variant>
        <vt:lpwstr>http://www.opan.com.au/</vt:lpwstr>
      </vt:variant>
      <vt:variant>
        <vt:lpwstr/>
      </vt:variant>
      <vt:variant>
        <vt:i4>8257598</vt:i4>
      </vt:variant>
      <vt:variant>
        <vt:i4>285</vt:i4>
      </vt:variant>
      <vt:variant>
        <vt:i4>0</vt:i4>
      </vt:variant>
      <vt:variant>
        <vt:i4>5</vt:i4>
      </vt:variant>
      <vt:variant>
        <vt:lpwstr>http://www.nationalseniors.com.au/</vt:lpwstr>
      </vt:variant>
      <vt:variant>
        <vt:lpwstr/>
      </vt:variant>
      <vt:variant>
        <vt:i4>4784212</vt:i4>
      </vt:variant>
      <vt:variant>
        <vt:i4>282</vt:i4>
      </vt:variant>
      <vt:variant>
        <vt:i4>0</vt:i4>
      </vt:variant>
      <vt:variant>
        <vt:i4>5</vt:i4>
      </vt:variant>
      <vt:variant>
        <vt:lpwstr>http://www.naccho.org.au/</vt:lpwstr>
      </vt:variant>
      <vt:variant>
        <vt:lpwstr/>
      </vt:variant>
      <vt:variant>
        <vt:i4>589905</vt:i4>
      </vt:variant>
      <vt:variant>
        <vt:i4>279</vt:i4>
      </vt:variant>
      <vt:variant>
        <vt:i4>0</vt:i4>
      </vt:variant>
      <vt:variant>
        <vt:i4>5</vt:i4>
      </vt:variant>
      <vt:variant>
        <vt:lpwstr>http://www.fecca.org.au/</vt:lpwstr>
      </vt:variant>
      <vt:variant>
        <vt:lpwstr/>
      </vt:variant>
      <vt:variant>
        <vt:i4>3866679</vt:i4>
      </vt:variant>
      <vt:variant>
        <vt:i4>276</vt:i4>
      </vt:variant>
      <vt:variant>
        <vt:i4>0</vt:i4>
      </vt:variant>
      <vt:variant>
        <vt:i4>5</vt:i4>
      </vt:variant>
      <vt:variant>
        <vt:lpwstr>http://www.cota.org.au/</vt:lpwstr>
      </vt:variant>
      <vt:variant>
        <vt:lpwstr/>
      </vt:variant>
      <vt:variant>
        <vt:i4>589893</vt:i4>
      </vt:variant>
      <vt:variant>
        <vt:i4>273</vt:i4>
      </vt:variant>
      <vt:variant>
        <vt:i4>0</vt:i4>
      </vt:variant>
      <vt:variant>
        <vt:i4>5</vt:i4>
      </vt:variant>
      <vt:variant>
        <vt:lpwstr>http://www.accpa.asn.au/</vt:lpwstr>
      </vt:variant>
      <vt:variant>
        <vt:lpwstr/>
      </vt:variant>
      <vt:variant>
        <vt:i4>2687056</vt:i4>
      </vt:variant>
      <vt:variant>
        <vt:i4>270</vt:i4>
      </vt:variant>
      <vt:variant>
        <vt:i4>0</vt:i4>
      </vt:variant>
      <vt:variant>
        <vt:i4>5</vt:i4>
      </vt:variant>
      <vt:variant>
        <vt:lpwstr>mailto:NTPlaces@health.gov.au</vt:lpwstr>
      </vt:variant>
      <vt:variant>
        <vt:lpwstr/>
      </vt:variant>
      <vt:variant>
        <vt:i4>6160509</vt:i4>
      </vt:variant>
      <vt:variant>
        <vt:i4>267</vt:i4>
      </vt:variant>
      <vt:variant>
        <vt:i4>0</vt:i4>
      </vt:variant>
      <vt:variant>
        <vt:i4>5</vt:i4>
      </vt:variant>
      <vt:variant>
        <vt:lpwstr>mailto:TAS.Office@health.gov.au</vt:lpwstr>
      </vt:variant>
      <vt:variant>
        <vt:lpwstr/>
      </vt:variant>
      <vt:variant>
        <vt:i4>3407941</vt:i4>
      </vt:variant>
      <vt:variant>
        <vt:i4>264</vt:i4>
      </vt:variant>
      <vt:variant>
        <vt:i4>0</vt:i4>
      </vt:variant>
      <vt:variant>
        <vt:i4>5</vt:i4>
      </vt:variant>
      <vt:variant>
        <vt:lpwstr>mailto:SAPlaces@health.gov.au</vt:lpwstr>
      </vt:variant>
      <vt:variant>
        <vt:lpwstr/>
      </vt:variant>
      <vt:variant>
        <vt:i4>1507382</vt:i4>
      </vt:variant>
      <vt:variant>
        <vt:i4>261</vt:i4>
      </vt:variant>
      <vt:variant>
        <vt:i4>0</vt:i4>
      </vt:variant>
      <vt:variant>
        <vt:i4>5</vt:i4>
      </vt:variant>
      <vt:variant>
        <vt:lpwstr>mailto:engagement.QLD@health.gov.au</vt:lpwstr>
      </vt:variant>
      <vt:variant>
        <vt:lpwstr/>
      </vt:variant>
      <vt:variant>
        <vt:i4>4980853</vt:i4>
      </vt:variant>
      <vt:variant>
        <vt:i4>258</vt:i4>
      </vt:variant>
      <vt:variant>
        <vt:i4>0</vt:i4>
      </vt:variant>
      <vt:variant>
        <vt:i4>5</vt:i4>
      </vt:variant>
      <vt:variant>
        <vt:lpwstr>mailto:vic.office@health.gov.au</vt:lpwstr>
      </vt:variant>
      <vt:variant>
        <vt:lpwstr/>
      </vt:variant>
      <vt:variant>
        <vt:i4>6291484</vt:i4>
      </vt:variant>
      <vt:variant>
        <vt:i4>255</vt:i4>
      </vt:variant>
      <vt:variant>
        <vt:i4>0</vt:i4>
      </vt:variant>
      <vt:variant>
        <vt:i4>5</vt:i4>
      </vt:variant>
      <vt:variant>
        <vt:lpwstr>mailto:NSWPlaces@health.gov.au</vt:lpwstr>
      </vt:variant>
      <vt:variant>
        <vt:lpwstr/>
      </vt:variant>
      <vt:variant>
        <vt:i4>3145797</vt:i4>
      </vt:variant>
      <vt:variant>
        <vt:i4>252</vt:i4>
      </vt:variant>
      <vt:variant>
        <vt:i4>0</vt:i4>
      </vt:variant>
      <vt:variant>
        <vt:i4>5</vt:i4>
      </vt:variant>
      <vt:variant>
        <vt:lpwstr>mailto:WAPlaces@health.gov.au</vt:lpwstr>
      </vt:variant>
      <vt:variant>
        <vt:lpwstr/>
      </vt:variant>
      <vt:variant>
        <vt:i4>4128895</vt:i4>
      </vt:variant>
      <vt:variant>
        <vt:i4>249</vt:i4>
      </vt:variant>
      <vt:variant>
        <vt:i4>0</vt:i4>
      </vt:variant>
      <vt:variant>
        <vt:i4>5</vt:i4>
      </vt:variant>
      <vt:variant>
        <vt:lpwstr>https://www.health.gov.au/resources/publications/home-care-packages-program-inclusions-and-exclusions-faqs-for-providers-version-1?language=en</vt:lpwstr>
      </vt:variant>
      <vt:variant>
        <vt:lpwstr/>
      </vt:variant>
      <vt:variant>
        <vt:i4>2424889</vt:i4>
      </vt:variant>
      <vt:variant>
        <vt:i4>246</vt:i4>
      </vt:variant>
      <vt:variant>
        <vt:i4>0</vt:i4>
      </vt:variant>
      <vt:variant>
        <vt:i4>5</vt:i4>
      </vt:variant>
      <vt:variant>
        <vt:lpwstr>https://www.health.gov.au/resources/publications/home-care-packages-program-operational-manual-a-guide-for-home-care-providers?language=en</vt:lpwstr>
      </vt:variant>
      <vt:variant>
        <vt:lpwstr/>
      </vt:variant>
      <vt:variant>
        <vt:i4>7798800</vt:i4>
      </vt:variant>
      <vt:variant>
        <vt:i4>243</vt:i4>
      </vt:variant>
      <vt:variant>
        <vt:i4>0</vt:i4>
      </vt:variant>
      <vt:variant>
        <vt:i4>5</vt:i4>
      </vt:variant>
      <vt:variant>
        <vt:lpwstr>mailto:agedcareenquiries@health.gov.au</vt:lpwstr>
      </vt:variant>
      <vt:variant>
        <vt:lpwstr/>
      </vt:variant>
      <vt:variant>
        <vt:i4>2424889</vt:i4>
      </vt:variant>
      <vt:variant>
        <vt:i4>240</vt:i4>
      </vt:variant>
      <vt:variant>
        <vt:i4>0</vt:i4>
      </vt:variant>
      <vt:variant>
        <vt:i4>5</vt:i4>
      </vt:variant>
      <vt:variant>
        <vt:lpwstr>https://www.health.gov.au/resources/publications/home-care-packages-program-operational-manual-a-guide-for-home-care-providers?language=en</vt:lpwstr>
      </vt:variant>
      <vt:variant>
        <vt:lpwstr/>
      </vt:variant>
      <vt:variant>
        <vt:i4>2424889</vt:i4>
      </vt:variant>
      <vt:variant>
        <vt:i4>237</vt:i4>
      </vt:variant>
      <vt:variant>
        <vt:i4>0</vt:i4>
      </vt:variant>
      <vt:variant>
        <vt:i4>5</vt:i4>
      </vt:variant>
      <vt:variant>
        <vt:lpwstr>https://www.health.gov.au/resources/publications/home-care-packages-program-operational-manual-a-guide-for-home-care-providers?language=en</vt:lpwstr>
      </vt:variant>
      <vt:variant>
        <vt:lpwstr/>
      </vt:variant>
      <vt:variant>
        <vt:i4>4128895</vt:i4>
      </vt:variant>
      <vt:variant>
        <vt:i4>234</vt:i4>
      </vt:variant>
      <vt:variant>
        <vt:i4>0</vt:i4>
      </vt:variant>
      <vt:variant>
        <vt:i4>5</vt:i4>
      </vt:variant>
      <vt:variant>
        <vt:lpwstr>https://www.health.gov.au/resources/publications/home-care-packages-program-inclusions-and-exclusions-faqs-for-providers-version-1?language=en</vt:lpwstr>
      </vt:variant>
      <vt:variant>
        <vt:lpwstr/>
      </vt:variant>
      <vt:variant>
        <vt:i4>2424889</vt:i4>
      </vt:variant>
      <vt:variant>
        <vt:i4>231</vt:i4>
      </vt:variant>
      <vt:variant>
        <vt:i4>0</vt:i4>
      </vt:variant>
      <vt:variant>
        <vt:i4>5</vt:i4>
      </vt:variant>
      <vt:variant>
        <vt:lpwstr>https://www.health.gov.au/resources/publications/home-care-packages-program-operational-manual-a-guide-for-home-care-providers?language=en</vt:lpwstr>
      </vt:variant>
      <vt:variant>
        <vt:lpwstr/>
      </vt:variant>
      <vt:variant>
        <vt:i4>4128895</vt:i4>
      </vt:variant>
      <vt:variant>
        <vt:i4>228</vt:i4>
      </vt:variant>
      <vt:variant>
        <vt:i4>0</vt:i4>
      </vt:variant>
      <vt:variant>
        <vt:i4>5</vt:i4>
      </vt:variant>
      <vt:variant>
        <vt:lpwstr>https://www.health.gov.au/resources/publications/home-care-packages-program-inclusions-and-exclusions-faqs-for-providers-version-1?language=en</vt:lpwstr>
      </vt:variant>
      <vt:variant>
        <vt:lpwstr/>
      </vt:variant>
      <vt:variant>
        <vt:i4>2424889</vt:i4>
      </vt:variant>
      <vt:variant>
        <vt:i4>225</vt:i4>
      </vt:variant>
      <vt:variant>
        <vt:i4>0</vt:i4>
      </vt:variant>
      <vt:variant>
        <vt:i4>5</vt:i4>
      </vt:variant>
      <vt:variant>
        <vt:lpwstr>https://www.health.gov.au/resources/publications/home-care-packages-program-operational-manual-a-guide-for-home-care-providers?language=en</vt:lpwstr>
      </vt:variant>
      <vt:variant>
        <vt:lpwstr/>
      </vt:variant>
      <vt:variant>
        <vt:i4>4128895</vt:i4>
      </vt:variant>
      <vt:variant>
        <vt:i4>222</vt:i4>
      </vt:variant>
      <vt:variant>
        <vt:i4>0</vt:i4>
      </vt:variant>
      <vt:variant>
        <vt:i4>5</vt:i4>
      </vt:variant>
      <vt:variant>
        <vt:lpwstr>https://www.health.gov.au/resources/publications/home-care-packages-program-inclusions-and-exclusions-faqs-for-providers-version-1?language=en</vt:lpwstr>
      </vt:variant>
      <vt:variant>
        <vt:lpwstr/>
      </vt:variant>
      <vt:variant>
        <vt:i4>2424889</vt:i4>
      </vt:variant>
      <vt:variant>
        <vt:i4>219</vt:i4>
      </vt:variant>
      <vt:variant>
        <vt:i4>0</vt:i4>
      </vt:variant>
      <vt:variant>
        <vt:i4>5</vt:i4>
      </vt:variant>
      <vt:variant>
        <vt:lpwstr>https://www.health.gov.au/resources/publications/home-care-packages-program-operational-manual-a-guide-for-home-care-providers?language=en</vt:lpwstr>
      </vt:variant>
      <vt:variant>
        <vt:lpwstr/>
      </vt:variant>
      <vt:variant>
        <vt:i4>2424889</vt:i4>
      </vt:variant>
      <vt:variant>
        <vt:i4>216</vt:i4>
      </vt:variant>
      <vt:variant>
        <vt:i4>0</vt:i4>
      </vt:variant>
      <vt:variant>
        <vt:i4>5</vt:i4>
      </vt:variant>
      <vt:variant>
        <vt:lpwstr>https://www.health.gov.au/resources/publications/home-care-packages-program-operational-manual-a-guide-for-home-care-providers?language=en</vt:lpwstr>
      </vt:variant>
      <vt:variant>
        <vt:lpwstr/>
      </vt:variant>
      <vt:variant>
        <vt:i4>2424889</vt:i4>
      </vt:variant>
      <vt:variant>
        <vt:i4>213</vt:i4>
      </vt:variant>
      <vt:variant>
        <vt:i4>0</vt:i4>
      </vt:variant>
      <vt:variant>
        <vt:i4>5</vt:i4>
      </vt:variant>
      <vt:variant>
        <vt:lpwstr>https://www.health.gov.au/resources/publications/home-care-packages-program-operational-manual-a-guide-for-home-care-providers?language=en</vt:lpwstr>
      </vt:variant>
      <vt:variant>
        <vt:lpwstr/>
      </vt:variant>
      <vt:variant>
        <vt:i4>65550</vt:i4>
      </vt:variant>
      <vt:variant>
        <vt:i4>210</vt:i4>
      </vt:variant>
      <vt:variant>
        <vt:i4>0</vt:i4>
      </vt:variant>
      <vt:variant>
        <vt:i4>5</vt:i4>
      </vt:variant>
      <vt:variant>
        <vt:lpwstr>https://www.myagedcare.gov.au/help-at-home/home-care-packages</vt:lpwstr>
      </vt:variant>
      <vt:variant>
        <vt:lpwstr/>
      </vt:variant>
      <vt:variant>
        <vt:i4>2687084</vt:i4>
      </vt:variant>
      <vt:variant>
        <vt:i4>207</vt:i4>
      </vt:variant>
      <vt:variant>
        <vt:i4>0</vt:i4>
      </vt:variant>
      <vt:variant>
        <vt:i4>5</vt:i4>
      </vt:variant>
      <vt:variant>
        <vt:lpwstr>https://www.gen-agedcaredata.gov.au/resources/reports-and-publications/2020/september/home-care-packages-report</vt:lpwstr>
      </vt:variant>
      <vt:variant>
        <vt:lpwstr/>
      </vt:variant>
      <vt:variant>
        <vt:i4>4194374</vt:i4>
      </vt:variant>
      <vt:variant>
        <vt:i4>204</vt:i4>
      </vt:variant>
      <vt:variant>
        <vt:i4>0</vt:i4>
      </vt:variant>
      <vt:variant>
        <vt:i4>5</vt:i4>
      </vt:variant>
      <vt:variant>
        <vt:lpwstr>https://www.agedcarequality.gov.au/providers/approval-accreditation/becoming-approved-aged-care-provider</vt:lpwstr>
      </vt:variant>
      <vt:variant>
        <vt:lpwstr/>
      </vt:variant>
      <vt:variant>
        <vt:i4>721000</vt:i4>
      </vt:variant>
      <vt:variant>
        <vt:i4>201</vt:i4>
      </vt:variant>
      <vt:variant>
        <vt:i4>0</vt:i4>
      </vt:variant>
      <vt:variant>
        <vt:i4>5</vt:i4>
      </vt:variant>
      <vt:variant>
        <vt:lpwstr>mailto:hcpassurancereviews@health.gov.au</vt:lpwstr>
      </vt:variant>
      <vt:variant>
        <vt:lpwstr/>
      </vt:variant>
      <vt:variant>
        <vt:i4>5963798</vt:i4>
      </vt:variant>
      <vt:variant>
        <vt:i4>198</vt:i4>
      </vt:variant>
      <vt:variant>
        <vt:i4>0</vt:i4>
      </vt:variant>
      <vt:variant>
        <vt:i4>5</vt:i4>
      </vt:variant>
      <vt:variant>
        <vt:lpwstr>https://www1.health.gov.au/internet/main/publishing.nsf/Content/reporting-suspected-fraud</vt:lpwstr>
      </vt:variant>
      <vt:variant>
        <vt:lpwstr/>
      </vt:variant>
      <vt:variant>
        <vt:i4>7536667</vt:i4>
      </vt:variant>
      <vt:variant>
        <vt:i4>195</vt:i4>
      </vt:variant>
      <vt:variant>
        <vt:i4>0</vt:i4>
      </vt:variant>
      <vt:variant>
        <vt:i4>5</vt:i4>
      </vt:variant>
      <vt:variant>
        <vt:lpwstr>mailto:agedcarefraud@health.gov.au</vt:lpwstr>
      </vt:variant>
      <vt:variant>
        <vt:lpwstr/>
      </vt:variant>
      <vt:variant>
        <vt:i4>5308443</vt:i4>
      </vt:variant>
      <vt:variant>
        <vt:i4>192</vt:i4>
      </vt:variant>
      <vt:variant>
        <vt:i4>0</vt:i4>
      </vt:variant>
      <vt:variant>
        <vt:i4>5</vt:i4>
      </vt:variant>
      <vt:variant>
        <vt:lpwstr>tel:1800 829 403</vt:lpwstr>
      </vt:variant>
      <vt:variant>
        <vt:lpwstr/>
      </vt:variant>
      <vt:variant>
        <vt:i4>721000</vt:i4>
      </vt:variant>
      <vt:variant>
        <vt:i4>189</vt:i4>
      </vt:variant>
      <vt:variant>
        <vt:i4>0</vt:i4>
      </vt:variant>
      <vt:variant>
        <vt:i4>5</vt:i4>
      </vt:variant>
      <vt:variant>
        <vt:lpwstr>mailto:hcpassurancereviews@health.gov.au</vt:lpwstr>
      </vt:variant>
      <vt:variant>
        <vt:lpwstr/>
      </vt:variant>
      <vt:variant>
        <vt:i4>3211319</vt:i4>
      </vt:variant>
      <vt:variant>
        <vt:i4>186</vt:i4>
      </vt:variant>
      <vt:variant>
        <vt:i4>0</vt:i4>
      </vt:variant>
      <vt:variant>
        <vt:i4>5</vt:i4>
      </vt:variant>
      <vt:variant>
        <vt:lpwstr>http://www.hcpcommunity.com.au/</vt:lpwstr>
      </vt:variant>
      <vt:variant>
        <vt:lpwstr/>
      </vt:variant>
      <vt:variant>
        <vt:i4>6881383</vt:i4>
      </vt:variant>
      <vt:variant>
        <vt:i4>183</vt:i4>
      </vt:variant>
      <vt:variant>
        <vt:i4>0</vt:i4>
      </vt:variant>
      <vt:variant>
        <vt:i4>5</vt:i4>
      </vt:variant>
      <vt:variant>
        <vt:lpwstr>https://www.health.gov.au/resources/publications/home-care-packages-program-assurance-plan-2023-25?language=en</vt:lpwstr>
      </vt:variant>
      <vt:variant>
        <vt:lpwstr/>
      </vt:variant>
      <vt:variant>
        <vt:i4>721000</vt:i4>
      </vt:variant>
      <vt:variant>
        <vt:i4>180</vt:i4>
      </vt:variant>
      <vt:variant>
        <vt:i4>0</vt:i4>
      </vt:variant>
      <vt:variant>
        <vt:i4>5</vt:i4>
      </vt:variant>
      <vt:variant>
        <vt:lpwstr>mailto:hcpassurancereviews@health.gov.au</vt:lpwstr>
      </vt:variant>
      <vt:variant>
        <vt:lpwstr/>
      </vt:variant>
      <vt:variant>
        <vt:i4>6094894</vt:i4>
      </vt:variant>
      <vt:variant>
        <vt:i4>177</vt:i4>
      </vt:variant>
      <vt:variant>
        <vt:i4>0</vt:i4>
      </vt:variant>
      <vt:variant>
        <vt:i4>5</vt:i4>
      </vt:variant>
      <vt:variant>
        <vt:lpwstr>mailto:info@agedcarequality.gov.au</vt:lpwstr>
      </vt:variant>
      <vt:variant>
        <vt:lpwstr/>
      </vt:variant>
      <vt:variant>
        <vt:i4>8323100</vt:i4>
      </vt:variant>
      <vt:variant>
        <vt:i4>174</vt:i4>
      </vt:variant>
      <vt:variant>
        <vt:i4>0</vt:i4>
      </vt:variant>
      <vt:variant>
        <vt:i4>5</vt:i4>
      </vt:variant>
      <vt:variant>
        <vt:lpwstr>mailto:HCPProgramAssuranceCompliance@health.gov.au</vt:lpwstr>
      </vt:variant>
      <vt:variant>
        <vt:lpwstr/>
      </vt:variant>
      <vt:variant>
        <vt:i4>3276858</vt:i4>
      </vt:variant>
      <vt:variant>
        <vt:i4>171</vt:i4>
      </vt:variant>
      <vt:variant>
        <vt:i4>0</vt:i4>
      </vt:variant>
      <vt:variant>
        <vt:i4>5</vt:i4>
      </vt:variant>
      <vt:variant>
        <vt:lpwstr>http://www.health.gov.au/our-work/home-care-packages-program/managing/home-care-agreements</vt:lpwstr>
      </vt:variant>
      <vt:variant>
        <vt:lpwstr/>
      </vt:variant>
      <vt:variant>
        <vt:i4>3473458</vt:i4>
      </vt:variant>
      <vt:variant>
        <vt:i4>168</vt:i4>
      </vt:variant>
      <vt:variant>
        <vt:i4>0</vt:i4>
      </vt:variant>
      <vt:variant>
        <vt:i4>5</vt:i4>
      </vt:variant>
      <vt:variant>
        <vt:lpwstr>https://www.legislation.gov.au/F2014L00808/latest/versions</vt:lpwstr>
      </vt:variant>
      <vt:variant>
        <vt:lpwstr/>
      </vt:variant>
      <vt:variant>
        <vt:i4>3997745</vt:i4>
      </vt:variant>
      <vt:variant>
        <vt:i4>165</vt:i4>
      </vt:variant>
      <vt:variant>
        <vt:i4>0</vt:i4>
      </vt:variant>
      <vt:variant>
        <vt:i4>5</vt:i4>
      </vt:variant>
      <vt:variant>
        <vt:lpwstr>https://www.legislation.gov.au/F2014L00830/latest/versions</vt:lpwstr>
      </vt:variant>
      <vt:variant>
        <vt:lpwstr/>
      </vt:variant>
      <vt:variant>
        <vt:i4>1245234</vt:i4>
      </vt:variant>
      <vt:variant>
        <vt:i4>158</vt:i4>
      </vt:variant>
      <vt:variant>
        <vt:i4>0</vt:i4>
      </vt:variant>
      <vt:variant>
        <vt:i4>5</vt:i4>
      </vt:variant>
      <vt:variant>
        <vt:lpwstr/>
      </vt:variant>
      <vt:variant>
        <vt:lpwstr>_Toc161734117</vt:lpwstr>
      </vt:variant>
      <vt:variant>
        <vt:i4>1245234</vt:i4>
      </vt:variant>
      <vt:variant>
        <vt:i4>152</vt:i4>
      </vt:variant>
      <vt:variant>
        <vt:i4>0</vt:i4>
      </vt:variant>
      <vt:variant>
        <vt:i4>5</vt:i4>
      </vt:variant>
      <vt:variant>
        <vt:lpwstr/>
      </vt:variant>
      <vt:variant>
        <vt:lpwstr>_Toc161734116</vt:lpwstr>
      </vt:variant>
      <vt:variant>
        <vt:i4>1245234</vt:i4>
      </vt:variant>
      <vt:variant>
        <vt:i4>146</vt:i4>
      </vt:variant>
      <vt:variant>
        <vt:i4>0</vt:i4>
      </vt:variant>
      <vt:variant>
        <vt:i4>5</vt:i4>
      </vt:variant>
      <vt:variant>
        <vt:lpwstr/>
      </vt:variant>
      <vt:variant>
        <vt:lpwstr>_Toc161734115</vt:lpwstr>
      </vt:variant>
      <vt:variant>
        <vt:i4>1245234</vt:i4>
      </vt:variant>
      <vt:variant>
        <vt:i4>140</vt:i4>
      </vt:variant>
      <vt:variant>
        <vt:i4>0</vt:i4>
      </vt:variant>
      <vt:variant>
        <vt:i4>5</vt:i4>
      </vt:variant>
      <vt:variant>
        <vt:lpwstr/>
      </vt:variant>
      <vt:variant>
        <vt:lpwstr>_Toc161734114</vt:lpwstr>
      </vt:variant>
      <vt:variant>
        <vt:i4>1245234</vt:i4>
      </vt:variant>
      <vt:variant>
        <vt:i4>134</vt:i4>
      </vt:variant>
      <vt:variant>
        <vt:i4>0</vt:i4>
      </vt:variant>
      <vt:variant>
        <vt:i4>5</vt:i4>
      </vt:variant>
      <vt:variant>
        <vt:lpwstr/>
      </vt:variant>
      <vt:variant>
        <vt:lpwstr>_Toc161734113</vt:lpwstr>
      </vt:variant>
      <vt:variant>
        <vt:i4>1245234</vt:i4>
      </vt:variant>
      <vt:variant>
        <vt:i4>128</vt:i4>
      </vt:variant>
      <vt:variant>
        <vt:i4>0</vt:i4>
      </vt:variant>
      <vt:variant>
        <vt:i4>5</vt:i4>
      </vt:variant>
      <vt:variant>
        <vt:lpwstr/>
      </vt:variant>
      <vt:variant>
        <vt:lpwstr>_Toc161734112</vt:lpwstr>
      </vt:variant>
      <vt:variant>
        <vt:i4>1245234</vt:i4>
      </vt:variant>
      <vt:variant>
        <vt:i4>122</vt:i4>
      </vt:variant>
      <vt:variant>
        <vt:i4>0</vt:i4>
      </vt:variant>
      <vt:variant>
        <vt:i4>5</vt:i4>
      </vt:variant>
      <vt:variant>
        <vt:lpwstr/>
      </vt:variant>
      <vt:variant>
        <vt:lpwstr>_Toc161734111</vt:lpwstr>
      </vt:variant>
      <vt:variant>
        <vt:i4>1245234</vt:i4>
      </vt:variant>
      <vt:variant>
        <vt:i4>116</vt:i4>
      </vt:variant>
      <vt:variant>
        <vt:i4>0</vt:i4>
      </vt:variant>
      <vt:variant>
        <vt:i4>5</vt:i4>
      </vt:variant>
      <vt:variant>
        <vt:lpwstr/>
      </vt:variant>
      <vt:variant>
        <vt:lpwstr>_Toc161734110</vt:lpwstr>
      </vt:variant>
      <vt:variant>
        <vt:i4>1179698</vt:i4>
      </vt:variant>
      <vt:variant>
        <vt:i4>110</vt:i4>
      </vt:variant>
      <vt:variant>
        <vt:i4>0</vt:i4>
      </vt:variant>
      <vt:variant>
        <vt:i4>5</vt:i4>
      </vt:variant>
      <vt:variant>
        <vt:lpwstr/>
      </vt:variant>
      <vt:variant>
        <vt:lpwstr>_Toc161734109</vt:lpwstr>
      </vt:variant>
      <vt:variant>
        <vt:i4>1179698</vt:i4>
      </vt:variant>
      <vt:variant>
        <vt:i4>104</vt:i4>
      </vt:variant>
      <vt:variant>
        <vt:i4>0</vt:i4>
      </vt:variant>
      <vt:variant>
        <vt:i4>5</vt:i4>
      </vt:variant>
      <vt:variant>
        <vt:lpwstr/>
      </vt:variant>
      <vt:variant>
        <vt:lpwstr>_Toc161734108</vt:lpwstr>
      </vt:variant>
      <vt:variant>
        <vt:i4>1179698</vt:i4>
      </vt:variant>
      <vt:variant>
        <vt:i4>98</vt:i4>
      </vt:variant>
      <vt:variant>
        <vt:i4>0</vt:i4>
      </vt:variant>
      <vt:variant>
        <vt:i4>5</vt:i4>
      </vt:variant>
      <vt:variant>
        <vt:lpwstr/>
      </vt:variant>
      <vt:variant>
        <vt:lpwstr>_Toc161734107</vt:lpwstr>
      </vt:variant>
      <vt:variant>
        <vt:i4>1179698</vt:i4>
      </vt:variant>
      <vt:variant>
        <vt:i4>92</vt:i4>
      </vt:variant>
      <vt:variant>
        <vt:i4>0</vt:i4>
      </vt:variant>
      <vt:variant>
        <vt:i4>5</vt:i4>
      </vt:variant>
      <vt:variant>
        <vt:lpwstr/>
      </vt:variant>
      <vt:variant>
        <vt:lpwstr>_Toc161734106</vt:lpwstr>
      </vt:variant>
      <vt:variant>
        <vt:i4>1179698</vt:i4>
      </vt:variant>
      <vt:variant>
        <vt:i4>86</vt:i4>
      </vt:variant>
      <vt:variant>
        <vt:i4>0</vt:i4>
      </vt:variant>
      <vt:variant>
        <vt:i4>5</vt:i4>
      </vt:variant>
      <vt:variant>
        <vt:lpwstr/>
      </vt:variant>
      <vt:variant>
        <vt:lpwstr>_Toc161734105</vt:lpwstr>
      </vt:variant>
      <vt:variant>
        <vt:i4>1179698</vt:i4>
      </vt:variant>
      <vt:variant>
        <vt:i4>80</vt:i4>
      </vt:variant>
      <vt:variant>
        <vt:i4>0</vt:i4>
      </vt:variant>
      <vt:variant>
        <vt:i4>5</vt:i4>
      </vt:variant>
      <vt:variant>
        <vt:lpwstr/>
      </vt:variant>
      <vt:variant>
        <vt:lpwstr>_Toc161734104</vt:lpwstr>
      </vt:variant>
      <vt:variant>
        <vt:i4>1179698</vt:i4>
      </vt:variant>
      <vt:variant>
        <vt:i4>74</vt:i4>
      </vt:variant>
      <vt:variant>
        <vt:i4>0</vt:i4>
      </vt:variant>
      <vt:variant>
        <vt:i4>5</vt:i4>
      </vt:variant>
      <vt:variant>
        <vt:lpwstr/>
      </vt:variant>
      <vt:variant>
        <vt:lpwstr>_Toc161734103</vt:lpwstr>
      </vt:variant>
      <vt:variant>
        <vt:i4>1179698</vt:i4>
      </vt:variant>
      <vt:variant>
        <vt:i4>68</vt:i4>
      </vt:variant>
      <vt:variant>
        <vt:i4>0</vt:i4>
      </vt:variant>
      <vt:variant>
        <vt:i4>5</vt:i4>
      </vt:variant>
      <vt:variant>
        <vt:lpwstr/>
      </vt:variant>
      <vt:variant>
        <vt:lpwstr>_Toc161734102</vt:lpwstr>
      </vt:variant>
      <vt:variant>
        <vt:i4>1179698</vt:i4>
      </vt:variant>
      <vt:variant>
        <vt:i4>62</vt:i4>
      </vt:variant>
      <vt:variant>
        <vt:i4>0</vt:i4>
      </vt:variant>
      <vt:variant>
        <vt:i4>5</vt:i4>
      </vt:variant>
      <vt:variant>
        <vt:lpwstr/>
      </vt:variant>
      <vt:variant>
        <vt:lpwstr>_Toc161734101</vt:lpwstr>
      </vt:variant>
      <vt:variant>
        <vt:i4>1179698</vt:i4>
      </vt:variant>
      <vt:variant>
        <vt:i4>56</vt:i4>
      </vt:variant>
      <vt:variant>
        <vt:i4>0</vt:i4>
      </vt:variant>
      <vt:variant>
        <vt:i4>5</vt:i4>
      </vt:variant>
      <vt:variant>
        <vt:lpwstr/>
      </vt:variant>
      <vt:variant>
        <vt:lpwstr>_Toc161734100</vt:lpwstr>
      </vt:variant>
      <vt:variant>
        <vt:i4>1769523</vt:i4>
      </vt:variant>
      <vt:variant>
        <vt:i4>50</vt:i4>
      </vt:variant>
      <vt:variant>
        <vt:i4>0</vt:i4>
      </vt:variant>
      <vt:variant>
        <vt:i4>5</vt:i4>
      </vt:variant>
      <vt:variant>
        <vt:lpwstr/>
      </vt:variant>
      <vt:variant>
        <vt:lpwstr>_Toc161734099</vt:lpwstr>
      </vt:variant>
      <vt:variant>
        <vt:i4>1769523</vt:i4>
      </vt:variant>
      <vt:variant>
        <vt:i4>44</vt:i4>
      </vt:variant>
      <vt:variant>
        <vt:i4>0</vt:i4>
      </vt:variant>
      <vt:variant>
        <vt:i4>5</vt:i4>
      </vt:variant>
      <vt:variant>
        <vt:lpwstr/>
      </vt:variant>
      <vt:variant>
        <vt:lpwstr>_Toc161734098</vt:lpwstr>
      </vt:variant>
      <vt:variant>
        <vt:i4>1769523</vt:i4>
      </vt:variant>
      <vt:variant>
        <vt:i4>38</vt:i4>
      </vt:variant>
      <vt:variant>
        <vt:i4>0</vt:i4>
      </vt:variant>
      <vt:variant>
        <vt:i4>5</vt:i4>
      </vt:variant>
      <vt:variant>
        <vt:lpwstr/>
      </vt:variant>
      <vt:variant>
        <vt:lpwstr>_Toc161734097</vt:lpwstr>
      </vt:variant>
      <vt:variant>
        <vt:i4>1769523</vt:i4>
      </vt:variant>
      <vt:variant>
        <vt:i4>32</vt:i4>
      </vt:variant>
      <vt:variant>
        <vt:i4>0</vt:i4>
      </vt:variant>
      <vt:variant>
        <vt:i4>5</vt:i4>
      </vt:variant>
      <vt:variant>
        <vt:lpwstr/>
      </vt:variant>
      <vt:variant>
        <vt:lpwstr>_Toc161734096</vt:lpwstr>
      </vt:variant>
      <vt:variant>
        <vt:i4>1769523</vt:i4>
      </vt:variant>
      <vt:variant>
        <vt:i4>26</vt:i4>
      </vt:variant>
      <vt:variant>
        <vt:i4>0</vt:i4>
      </vt:variant>
      <vt:variant>
        <vt:i4>5</vt:i4>
      </vt:variant>
      <vt:variant>
        <vt:lpwstr/>
      </vt:variant>
      <vt:variant>
        <vt:lpwstr>_Toc161734095</vt:lpwstr>
      </vt:variant>
      <vt:variant>
        <vt:i4>1769523</vt:i4>
      </vt:variant>
      <vt:variant>
        <vt:i4>20</vt:i4>
      </vt:variant>
      <vt:variant>
        <vt:i4>0</vt:i4>
      </vt:variant>
      <vt:variant>
        <vt:i4>5</vt:i4>
      </vt:variant>
      <vt:variant>
        <vt:lpwstr/>
      </vt:variant>
      <vt:variant>
        <vt:lpwstr>_Toc161734094</vt:lpwstr>
      </vt:variant>
      <vt:variant>
        <vt:i4>1769523</vt:i4>
      </vt:variant>
      <vt:variant>
        <vt:i4>14</vt:i4>
      </vt:variant>
      <vt:variant>
        <vt:i4>0</vt:i4>
      </vt:variant>
      <vt:variant>
        <vt:i4>5</vt:i4>
      </vt:variant>
      <vt:variant>
        <vt:lpwstr/>
      </vt:variant>
      <vt:variant>
        <vt:lpwstr>_Toc161734093</vt:lpwstr>
      </vt:variant>
      <vt:variant>
        <vt:i4>1769523</vt:i4>
      </vt:variant>
      <vt:variant>
        <vt:i4>8</vt:i4>
      </vt:variant>
      <vt:variant>
        <vt:i4>0</vt:i4>
      </vt:variant>
      <vt:variant>
        <vt:i4>5</vt:i4>
      </vt:variant>
      <vt:variant>
        <vt:lpwstr/>
      </vt:variant>
      <vt:variant>
        <vt:lpwstr>_Toc161734092</vt:lpwstr>
      </vt:variant>
      <vt:variant>
        <vt:i4>1769523</vt:i4>
      </vt:variant>
      <vt:variant>
        <vt:i4>2</vt:i4>
      </vt:variant>
      <vt:variant>
        <vt:i4>0</vt:i4>
      </vt:variant>
      <vt:variant>
        <vt:i4>5</vt:i4>
      </vt:variant>
      <vt:variant>
        <vt:lpwstr/>
      </vt:variant>
      <vt:variant>
        <vt:lpwstr>_Toc161734091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questions from the Home Care Packages (HCP) program assurance reviews – Unspent funds and pricing transparency on My Aged Care webinar</dc:title>
  <dc:subject>Aged care</dc:subject>
  <dc:creator>Australian Government Department of Health and Aged Care</dc:creator>
  <cp:keywords>Aged Care; older people; residential care</cp:keywords>
  <dc:description/>
  <cp:revision>4</cp:revision>
  <dcterms:created xsi:type="dcterms:W3CDTF">2024-03-26T00:53:00Z</dcterms:created>
  <dcterms:modified xsi:type="dcterms:W3CDTF">2024-03-26T00:57:00Z</dcterms:modified>
</cp:coreProperties>
</file>