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9BC4" w14:textId="22D30CEF" w:rsidR="00D51C41" w:rsidRPr="00D51C41" w:rsidRDefault="00D51C41" w:rsidP="59F951D8">
      <w:pPr>
        <w:rPr>
          <w:rFonts w:asciiTheme="minorHAnsi" w:eastAsiaTheme="minorEastAsia" w:hAnsiTheme="minorHAnsi" w:cstheme="minorBidi"/>
        </w:rPr>
      </w:pPr>
      <w:r w:rsidRPr="59F951D8">
        <w:rPr>
          <w:rFonts w:asciiTheme="minorHAnsi" w:eastAsiaTheme="minorEastAsia" w:hAnsiTheme="minorHAnsi" w:cstheme="minorBidi"/>
        </w:rPr>
        <w:t>Australian Government Department of Health and Aged Care</w:t>
      </w:r>
    </w:p>
    <w:p w14:paraId="6C65D1A1" w14:textId="4A4CD81D" w:rsidR="00A32CC9" w:rsidRPr="00D51C41" w:rsidRDefault="00A32CC9" w:rsidP="59F951D8">
      <w:pPr>
        <w:pStyle w:val="Heading1"/>
        <w:spacing w:after="240"/>
        <w:rPr>
          <w:rFonts w:asciiTheme="minorHAnsi" w:eastAsiaTheme="minorEastAsia" w:hAnsiTheme="minorHAnsi" w:cstheme="minorBidi"/>
          <w:b/>
          <w:bCs/>
          <w:color w:val="auto"/>
        </w:rPr>
      </w:pPr>
      <w:r w:rsidRPr="59F951D8">
        <w:rPr>
          <w:rStyle w:val="A0"/>
          <w:rFonts w:asciiTheme="minorHAnsi" w:eastAsiaTheme="minorEastAsia" w:hAnsiTheme="minorHAnsi" w:cstheme="minorBidi"/>
          <w:b/>
          <w:bCs/>
          <w:color w:val="auto"/>
          <w:sz w:val="32"/>
          <w:szCs w:val="32"/>
        </w:rPr>
        <w:t xml:space="preserve">A Quick Guide to the </w:t>
      </w:r>
      <w:r w:rsidRPr="59F951D8">
        <w:rPr>
          <w:rFonts w:asciiTheme="minorHAnsi" w:eastAsiaTheme="minorEastAsia" w:hAnsiTheme="minorHAnsi" w:cstheme="minorBidi"/>
          <w:b/>
          <w:bCs/>
          <w:color w:val="auto"/>
        </w:rPr>
        <w:t>Digital Health Blueprint 2023–2033</w:t>
      </w:r>
    </w:p>
    <w:p w14:paraId="49CA61E5" w14:textId="7EB5F4EB" w:rsidR="00A32CC9" w:rsidRPr="00D51C41" w:rsidRDefault="00A32CC9" w:rsidP="59F951D8">
      <w:pPr>
        <w:rPr>
          <w:rFonts w:asciiTheme="minorHAnsi" w:eastAsiaTheme="minorEastAsia" w:hAnsiTheme="minorHAnsi" w:cstheme="minorBidi"/>
        </w:rPr>
      </w:pPr>
      <w:r w:rsidRPr="59F951D8">
        <w:rPr>
          <w:rFonts w:asciiTheme="minorHAnsi" w:eastAsiaTheme="minorEastAsia" w:hAnsiTheme="minorHAnsi" w:cstheme="minorBidi"/>
        </w:rPr>
        <w:t>The Australian Government’s vision for the role digital will play in building a more connected health and aged care system</w:t>
      </w:r>
      <w:r w:rsidR="00D51C41" w:rsidRPr="59F951D8">
        <w:rPr>
          <w:rFonts w:asciiTheme="minorHAnsi" w:eastAsiaTheme="minorEastAsia" w:hAnsiTheme="minorHAnsi" w:cstheme="minorBidi"/>
        </w:rPr>
        <w:t xml:space="preserve"> in Australia</w:t>
      </w:r>
      <w:r w:rsidRPr="59F951D8">
        <w:rPr>
          <w:rFonts w:asciiTheme="minorHAnsi" w:eastAsiaTheme="minorEastAsia" w:hAnsiTheme="minorHAnsi" w:cstheme="minorBidi"/>
        </w:rPr>
        <w:t xml:space="preserve">. </w:t>
      </w:r>
    </w:p>
    <w:p w14:paraId="2CC25DBE" w14:textId="0E51F9E3" w:rsidR="00A32CC9" w:rsidRP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The Blueprint articulates our commitment to</w:t>
      </w:r>
    </w:p>
    <w:p w14:paraId="339C72AE" w14:textId="618D83AA" w:rsidR="00A32CC9" w:rsidRPr="00D51C41"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Putting people first: all Australians will have access to better quality health care</w:t>
      </w:r>
    </w:p>
    <w:p w14:paraId="2F40F810" w14:textId="442BB2F4"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Helping healthcare providers: to deliver consistent, effective health care</w:t>
      </w:r>
    </w:p>
    <w:p w14:paraId="179B8435" w14:textId="685FC025"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Supporting research and innovation: to deliver innovative and effective health care</w:t>
      </w:r>
    </w:p>
    <w:p w14:paraId="3793054F" w14:textId="79EC364E" w:rsidR="00A32CC9" w:rsidRP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Our vision for digital health in Australia is</w:t>
      </w:r>
    </w:p>
    <w:p w14:paraId="1E3F85E3" w14:textId="0C8F532C" w:rsidR="00A32CC9" w:rsidRPr="00A32CC9" w:rsidRDefault="00A32CC9" w:rsidP="59F951D8">
      <w:pPr>
        <w:rPr>
          <w:rFonts w:asciiTheme="minorHAnsi" w:eastAsiaTheme="minorEastAsia" w:hAnsiTheme="minorHAnsi" w:cstheme="minorBidi"/>
        </w:rPr>
      </w:pPr>
      <w:r w:rsidRPr="59F951D8">
        <w:rPr>
          <w:rFonts w:asciiTheme="minorHAnsi" w:eastAsiaTheme="minorEastAsia" w:hAnsiTheme="minorHAnsi" w:cstheme="minorBidi"/>
        </w:rPr>
        <w:t>Trusted, timely and accessible use of digital and data that underpins a personalised and connected health and wellbeing experience for all Australians.</w:t>
      </w:r>
    </w:p>
    <w:p w14:paraId="0600154F" w14:textId="03616631" w:rsidR="00A32CC9" w:rsidRP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Our work will be underpinned by the following principles</w:t>
      </w:r>
    </w:p>
    <w:p w14:paraId="4C3E21E2" w14:textId="5E5F6415"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Person-centred</w:t>
      </w:r>
    </w:p>
    <w:p w14:paraId="45FC61C3" w14:textId="07F00F42" w:rsid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Collaborative</w:t>
      </w:r>
    </w:p>
    <w:p w14:paraId="7257AC50" w14:textId="4857E9DE" w:rsidR="00D51C41" w:rsidRPr="00A32CC9" w:rsidRDefault="00D51C41"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Trusted</w:t>
      </w:r>
    </w:p>
    <w:p w14:paraId="7E3F6255" w14:textId="6FB3C37C"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Enduring</w:t>
      </w:r>
    </w:p>
    <w:p w14:paraId="60AC57AE" w14:textId="717674C8" w:rsidR="00A32CC9" w:rsidRP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To deliver the following outcomes</w:t>
      </w:r>
    </w:p>
    <w:p w14:paraId="0E24F047" w14:textId="686B0687"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Every Australian has a choice in managing their health and wellbeing journey</w:t>
      </w:r>
    </w:p>
    <w:p w14:paraId="037C3A33" w14:textId="6CE65C35"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Australia’s health workforce can confidently and easily provide digitally connected care</w:t>
      </w:r>
    </w:p>
    <w:p w14:paraId="3DE76D6D" w14:textId="5C6C3E0F"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Data helps deliver a sustainable learning health system</w:t>
      </w:r>
    </w:p>
    <w:p w14:paraId="767B539D" w14:textId="77777777"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Digital foundations empower a safe and secure health system</w:t>
      </w:r>
    </w:p>
    <w:p w14:paraId="4C874361" w14:textId="3F95B95D" w:rsid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 xml:space="preserve"> This will provide our delivery partners</w:t>
      </w:r>
    </w:p>
    <w:p w14:paraId="42B982CD" w14:textId="6DF4FE8C"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Clarity on the Government’s digital priorities</w:t>
      </w:r>
    </w:p>
    <w:p w14:paraId="61DBBA07" w14:textId="6AD631ED" w:rsidR="00A32CC9" w:rsidRP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Certainty to those involved in delivering innovation</w:t>
      </w:r>
    </w:p>
    <w:p w14:paraId="2BD66C30" w14:textId="77777777" w:rsidR="00A32CC9" w:rsidRDefault="00A32CC9" w:rsidP="59F951D8">
      <w:pPr>
        <w:pStyle w:val="ListParagraph"/>
        <w:numPr>
          <w:ilvl w:val="0"/>
          <w:numId w:val="1"/>
        </w:numPr>
        <w:rPr>
          <w:rFonts w:asciiTheme="minorHAnsi" w:eastAsiaTheme="minorEastAsia" w:hAnsiTheme="minorHAnsi" w:cstheme="minorBidi"/>
        </w:rPr>
      </w:pPr>
      <w:r w:rsidRPr="59F951D8">
        <w:rPr>
          <w:rFonts w:asciiTheme="minorHAnsi" w:eastAsiaTheme="minorEastAsia" w:hAnsiTheme="minorHAnsi" w:cstheme="minorBidi"/>
        </w:rPr>
        <w:t>Collaboration delivering effective healthcare</w:t>
      </w:r>
    </w:p>
    <w:p w14:paraId="5FF212CD" w14:textId="77777777" w:rsidR="00A32CC9" w:rsidRDefault="00A32CC9" w:rsidP="59F951D8">
      <w:pPr>
        <w:pStyle w:val="Heading2"/>
        <w:spacing w:after="240"/>
        <w:rPr>
          <w:rStyle w:val="A0"/>
          <w:rFonts w:asciiTheme="minorHAnsi" w:eastAsiaTheme="minorEastAsia" w:hAnsiTheme="minorHAnsi" w:cstheme="minorBidi"/>
        </w:rPr>
      </w:pPr>
      <w:r w:rsidRPr="59F951D8">
        <w:rPr>
          <w:rStyle w:val="A0"/>
          <w:rFonts w:asciiTheme="minorHAnsi" w:eastAsiaTheme="minorEastAsia" w:hAnsiTheme="minorHAnsi" w:cstheme="minorBidi"/>
        </w:rPr>
        <w:t>Delivering our vision</w:t>
      </w:r>
    </w:p>
    <w:p w14:paraId="00F3D12A" w14:textId="5B7136F7" w:rsidR="00A32CC9" w:rsidRPr="00A32CC9" w:rsidRDefault="00A32CC9" w:rsidP="59F951D8">
      <w:pPr>
        <w:rPr>
          <w:rFonts w:asciiTheme="minorHAnsi" w:eastAsiaTheme="minorEastAsia" w:hAnsiTheme="minorHAnsi" w:cstheme="minorBidi"/>
        </w:rPr>
      </w:pPr>
      <w:r w:rsidRPr="59F951D8">
        <w:rPr>
          <w:rFonts w:asciiTheme="minorHAnsi" w:eastAsiaTheme="minorEastAsia" w:hAnsiTheme="minorHAnsi" w:cstheme="minorBidi"/>
        </w:rPr>
        <w:t xml:space="preserve">The Action Plan highlights the initiatives the Australian Government is investing in to meet the target outcomes identified in the Blueprint and outlines key delivery partners and progress. The Action Plan will be refreshed regularly to outline progress and to include new digital and data investments over time. </w:t>
      </w:r>
    </w:p>
    <w:p w14:paraId="54EC063F" w14:textId="1B8F5297" w:rsidR="00A32CC9" w:rsidRDefault="00A32CC9" w:rsidP="59F951D8">
      <w:pPr>
        <w:rPr>
          <w:rFonts w:asciiTheme="minorHAnsi" w:eastAsiaTheme="minorEastAsia" w:hAnsiTheme="minorHAnsi" w:cstheme="minorBidi"/>
        </w:rPr>
      </w:pPr>
      <w:r w:rsidRPr="59F951D8">
        <w:rPr>
          <w:rFonts w:asciiTheme="minorHAnsi" w:eastAsiaTheme="minorEastAsia" w:hAnsiTheme="minorHAnsi" w:cstheme="minorBidi"/>
        </w:rPr>
        <w:lastRenderedPageBreak/>
        <w:t>Download the Digital Health Blueprint and the latest Action Plan at www.health.gov.au/</w:t>
      </w:r>
      <w:r w:rsidR="0576387F" w:rsidRPr="59F951D8">
        <w:rPr>
          <w:rFonts w:asciiTheme="minorHAnsi" w:eastAsiaTheme="minorEastAsia" w:hAnsiTheme="minorHAnsi" w:cstheme="minorBidi"/>
        </w:rPr>
        <w:t>digital-health-</w:t>
      </w:r>
      <w:r w:rsidRPr="59F951D8">
        <w:rPr>
          <w:rFonts w:asciiTheme="minorHAnsi" w:eastAsiaTheme="minorEastAsia" w:hAnsiTheme="minorHAnsi" w:cstheme="minorBidi"/>
        </w:rPr>
        <w:t>blueprint</w:t>
      </w:r>
    </w:p>
    <w:sectPr w:rsidR="00A32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Thin">
    <w:altName w:val="Tahoma"/>
    <w:panose1 w:val="00000000000000000000"/>
    <w:charset w:val="00"/>
    <w:family w:val="swiss"/>
    <w:notTrueType/>
    <w:pitch w:val="default"/>
    <w:sig w:usb0="00000003" w:usb1="00000000" w:usb2="00000000" w:usb3="00000000" w:csb0="00000001"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309"/>
    <w:multiLevelType w:val="hybridMultilevel"/>
    <w:tmpl w:val="59C0B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4563A0"/>
    <w:multiLevelType w:val="hybridMultilevel"/>
    <w:tmpl w:val="83ACE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D11AEC"/>
    <w:multiLevelType w:val="hybridMultilevel"/>
    <w:tmpl w:val="1A20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1983949">
    <w:abstractNumId w:val="1"/>
  </w:num>
  <w:num w:numId="2" w16cid:durableId="1517429708">
    <w:abstractNumId w:val="2"/>
  </w:num>
  <w:num w:numId="3" w16cid:durableId="55924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C9"/>
    <w:rsid w:val="00280050"/>
    <w:rsid w:val="00542C8D"/>
    <w:rsid w:val="00761094"/>
    <w:rsid w:val="00A32CC9"/>
    <w:rsid w:val="00D51C41"/>
    <w:rsid w:val="00F14D6C"/>
    <w:rsid w:val="0576387F"/>
    <w:rsid w:val="211587F3"/>
    <w:rsid w:val="59F951D8"/>
    <w:rsid w:val="774DB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6E2D"/>
  <w15:chartTrackingRefBased/>
  <w15:docId w15:val="{5B3AAAD9-D001-4360-B342-4D96F2AF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2C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CC9"/>
    <w:pPr>
      <w:autoSpaceDE w:val="0"/>
      <w:autoSpaceDN w:val="0"/>
      <w:adjustRightInd w:val="0"/>
      <w:spacing w:after="0" w:line="240" w:lineRule="auto"/>
    </w:pPr>
    <w:rPr>
      <w:rFonts w:ascii="Proxima Nova Thin" w:hAnsi="Proxima Nova Thin" w:cs="Proxima Nova Thin"/>
      <w:color w:val="000000"/>
      <w:kern w:val="0"/>
    </w:rPr>
  </w:style>
  <w:style w:type="paragraph" w:customStyle="1" w:styleId="Pa0">
    <w:name w:val="Pa0"/>
    <w:basedOn w:val="Default"/>
    <w:next w:val="Default"/>
    <w:uiPriority w:val="99"/>
    <w:rsid w:val="00A32CC9"/>
    <w:pPr>
      <w:spacing w:line="321" w:lineRule="atLeast"/>
    </w:pPr>
    <w:rPr>
      <w:rFonts w:cs="Times New Roman"/>
      <w:color w:val="auto"/>
    </w:rPr>
  </w:style>
  <w:style w:type="character" w:customStyle="1" w:styleId="A0">
    <w:name w:val="A0"/>
    <w:uiPriority w:val="99"/>
    <w:rsid w:val="00A32CC9"/>
    <w:rPr>
      <w:rFonts w:cs="Proxima Nova Thin"/>
      <w:color w:val="000000"/>
      <w:sz w:val="28"/>
      <w:szCs w:val="28"/>
    </w:rPr>
  </w:style>
  <w:style w:type="paragraph" w:customStyle="1" w:styleId="Pa1">
    <w:name w:val="Pa1"/>
    <w:basedOn w:val="Default"/>
    <w:next w:val="Default"/>
    <w:uiPriority w:val="99"/>
    <w:rsid w:val="00A32CC9"/>
    <w:pPr>
      <w:spacing w:line="501" w:lineRule="atLeast"/>
    </w:pPr>
    <w:rPr>
      <w:rFonts w:cs="Times New Roman"/>
      <w:color w:val="auto"/>
    </w:rPr>
  </w:style>
  <w:style w:type="paragraph" w:customStyle="1" w:styleId="Pa4">
    <w:name w:val="Pa4"/>
    <w:basedOn w:val="Default"/>
    <w:next w:val="Default"/>
    <w:uiPriority w:val="99"/>
    <w:rsid w:val="00A32CC9"/>
    <w:pPr>
      <w:spacing w:line="321" w:lineRule="atLeast"/>
    </w:pPr>
    <w:rPr>
      <w:rFonts w:cs="Times New Roman"/>
      <w:color w:val="auto"/>
    </w:rPr>
  </w:style>
  <w:style w:type="character" w:customStyle="1" w:styleId="A3">
    <w:name w:val="A3"/>
    <w:uiPriority w:val="99"/>
    <w:rsid w:val="00A32CC9"/>
    <w:rPr>
      <w:rFonts w:ascii="Proxima Nova Light" w:hAnsi="Proxima Nova Light" w:cs="Proxima Nova Light"/>
      <w:b/>
      <w:bCs/>
      <w:color w:val="000000"/>
      <w:sz w:val="20"/>
      <w:szCs w:val="20"/>
    </w:rPr>
  </w:style>
  <w:style w:type="paragraph" w:customStyle="1" w:styleId="Pa2">
    <w:name w:val="Pa2"/>
    <w:basedOn w:val="Default"/>
    <w:next w:val="Default"/>
    <w:uiPriority w:val="99"/>
    <w:rsid w:val="00A32CC9"/>
    <w:pPr>
      <w:spacing w:line="201" w:lineRule="atLeast"/>
    </w:pPr>
    <w:rPr>
      <w:rFonts w:cs="Times New Roman"/>
      <w:color w:val="auto"/>
    </w:rPr>
  </w:style>
  <w:style w:type="character" w:customStyle="1" w:styleId="Heading1Char">
    <w:name w:val="Heading 1 Char"/>
    <w:basedOn w:val="DefaultParagraphFont"/>
    <w:link w:val="Heading1"/>
    <w:uiPriority w:val="9"/>
    <w:rsid w:val="00A32C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2CC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2CC9"/>
    <w:pPr>
      <w:ind w:left="720"/>
      <w:contextualSpacing/>
    </w:pPr>
  </w:style>
  <w:style w:type="character" w:customStyle="1" w:styleId="A4">
    <w:name w:val="A4"/>
    <w:uiPriority w:val="99"/>
    <w:rsid w:val="00A32CC9"/>
    <w:rPr>
      <w:rFonts w:ascii="Proxima Nova Light" w:hAnsi="Proxima Nova Light" w:cs="Proxima Nova Light"/>
      <w:color w:val="000000"/>
      <w:sz w:val="18"/>
      <w:szCs w:val="18"/>
    </w:rPr>
  </w:style>
  <w:style w:type="character" w:customStyle="1" w:styleId="A5">
    <w:name w:val="A5"/>
    <w:uiPriority w:val="99"/>
    <w:rsid w:val="00A32CC9"/>
    <w:rPr>
      <w:rFonts w:cs="Proxima Nova Light"/>
      <w:b/>
      <w:bCs/>
      <w:color w:val="000000"/>
      <w:sz w:val="22"/>
      <w:szCs w:val="22"/>
    </w:rPr>
  </w:style>
  <w:style w:type="paragraph" w:styleId="Title">
    <w:name w:val="Title"/>
    <w:basedOn w:val="Normal"/>
    <w:next w:val="Normal"/>
    <w:link w:val="TitleChar"/>
    <w:uiPriority w:val="10"/>
    <w:qFormat/>
    <w:rsid w:val="00D51C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C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A10931E61EA419760CD3175E95289" ma:contentTypeVersion="6" ma:contentTypeDescription="Create a new document." ma:contentTypeScope="" ma:versionID="0c5d54e8d10e320b5795ed8470f66a6a">
  <xsd:schema xmlns:xsd="http://www.w3.org/2001/XMLSchema" xmlns:xs="http://www.w3.org/2001/XMLSchema" xmlns:p="http://schemas.microsoft.com/office/2006/metadata/properties" xmlns:ns2="960780c8-97cf-4662-a122-21b85ecca89d" xmlns:ns3="adfe7393-7c81-4273-8064-a5236c0c62ab" targetNamespace="http://schemas.microsoft.com/office/2006/metadata/properties" ma:root="true" ma:fieldsID="f4564cdba3dfb55170e39ba68c263498" ns2:_="" ns3:_="">
    <xsd:import namespace="960780c8-97cf-4662-a122-21b85ecca89d"/>
    <xsd:import namespace="adfe7393-7c81-4273-8064-a5236c0c62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780c8-97cf-4662-a122-21b85ecca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e7393-7c81-4273-8064-a5236c0c62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32E0B-A514-4D11-B6B4-17EC1ECE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780c8-97cf-4662-a122-21b85ecca89d"/>
    <ds:schemaRef ds:uri="adfe7393-7c81-4273-8064-a5236c0c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AB486-D327-4E1C-A11E-09B646BE6245}">
  <ds:schemaRefs>
    <ds:schemaRef ds:uri="http://schemas.microsoft.com/sharepoint/v3/contenttype/forms"/>
  </ds:schemaRefs>
</ds:datastoreItem>
</file>

<file path=customXml/itemProps3.xml><?xml version="1.0" encoding="utf-8"?>
<ds:datastoreItem xmlns:ds="http://schemas.openxmlformats.org/officeDocument/2006/customXml" ds:itemID="{D37820AB-CEF8-475D-BBF7-55B2AE160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Quick Guide to the Digital Health Blueprint 2023–2033</dc:title>
  <dc:subject/>
  <dc:creator>Australian Government Department of Health and Aged Care</dc:creator>
  <cp:keywords/>
  <dc:description/>
  <cp:lastModifiedBy>ARNOLD, Max</cp:lastModifiedBy>
  <cp:revision>3</cp:revision>
  <dcterms:created xsi:type="dcterms:W3CDTF">2024-03-06T00:27:00Z</dcterms:created>
  <dcterms:modified xsi:type="dcterms:W3CDTF">2024-03-08T01:02:00Z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0x01010080AA10931E61EA419760CD3175E95289</vt:lpwstr>
  </property>
</Properties>
</file>