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036A5676"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6A65C0">
        <w:rPr>
          <w:rFonts w:asciiTheme="minorHAnsi" w:hAnsiTheme="minorHAnsi" w:cstheme="minorHAnsi"/>
          <w:b/>
          <w:bCs/>
          <w:noProof/>
          <w:u w:val="single"/>
        </w:rPr>
        <w:t>0</w:t>
      </w:r>
      <w:r w:rsidR="00D95252">
        <w:rPr>
          <w:rFonts w:asciiTheme="minorHAnsi" w:hAnsiTheme="minorHAnsi" w:cstheme="minorHAnsi"/>
          <w:b/>
          <w:bCs/>
          <w:noProof/>
          <w:u w:val="single"/>
        </w:rPr>
        <w:t>4</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6A65C0">
        <w:rPr>
          <w:rFonts w:asciiTheme="minorHAnsi" w:hAnsiTheme="minorHAnsi" w:cstheme="minorHAnsi"/>
          <w:b/>
          <w:bCs/>
          <w:noProof/>
          <w:u w:val="single"/>
        </w:rPr>
        <w:t>4</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F7003EC" w14:textId="44F9316C" w:rsidR="00B20A8B" w:rsidRPr="00B63080" w:rsidRDefault="00D95252" w:rsidP="00B63080">
      <w:pPr>
        <w:pStyle w:val="Heading1"/>
        <w:spacing w:after="480"/>
        <w:jc w:val="center"/>
        <w:rPr>
          <w:rFonts w:asciiTheme="minorHAnsi" w:hAnsiTheme="minorHAnsi" w:cstheme="minorHAnsi"/>
          <w:sz w:val="24"/>
          <w:szCs w:val="24"/>
          <w:u w:val="single"/>
        </w:rPr>
      </w:pPr>
      <w:r>
        <w:rPr>
          <w:rFonts w:asciiTheme="minorHAnsi" w:hAnsiTheme="minorHAnsi" w:cstheme="minorHAnsi"/>
          <w:sz w:val="24"/>
          <w:szCs w:val="24"/>
          <w:u w:val="single"/>
        </w:rPr>
        <w:t>05</w:t>
      </w:r>
      <w:r w:rsidR="002F1D15">
        <w:rPr>
          <w:rFonts w:asciiTheme="minorHAnsi" w:hAnsiTheme="minorHAnsi" w:cstheme="minorHAnsi"/>
          <w:sz w:val="24"/>
          <w:szCs w:val="24"/>
          <w:u w:val="single"/>
        </w:rPr>
        <w:t xml:space="preserve"> </w:t>
      </w:r>
      <w:r w:rsidR="00B63080">
        <w:rPr>
          <w:rFonts w:asciiTheme="minorHAnsi" w:hAnsiTheme="minorHAnsi" w:cstheme="minorHAnsi"/>
          <w:sz w:val="24"/>
          <w:szCs w:val="24"/>
          <w:u w:val="single"/>
        </w:rPr>
        <w:t>February</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64269D">
        <w:rPr>
          <w:rFonts w:asciiTheme="minorHAnsi" w:hAnsiTheme="minorHAnsi" w:cstheme="minorHAnsi"/>
          <w:sz w:val="24"/>
          <w:szCs w:val="24"/>
          <w:u w:val="single"/>
        </w:rPr>
        <w:t>4</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18</w:t>
      </w:r>
      <w:r w:rsidR="00A97013">
        <w:rPr>
          <w:rFonts w:asciiTheme="minorHAnsi" w:hAnsiTheme="minorHAnsi" w:cstheme="minorHAnsi"/>
          <w:sz w:val="24"/>
          <w:szCs w:val="24"/>
          <w:u w:val="single"/>
        </w:rPr>
        <w:t xml:space="preserve"> </w:t>
      </w:r>
      <w:r w:rsidR="00406A35">
        <w:rPr>
          <w:rFonts w:asciiTheme="minorHAnsi" w:hAnsiTheme="minorHAnsi" w:cstheme="minorHAnsi"/>
          <w:sz w:val="24"/>
          <w:szCs w:val="24"/>
          <w:u w:val="single"/>
        </w:rPr>
        <w:t>February</w:t>
      </w:r>
      <w:r w:rsidR="00924FC7">
        <w:rPr>
          <w:rFonts w:asciiTheme="minorHAnsi" w:hAnsiTheme="minorHAnsi" w:cstheme="minorHAnsi"/>
          <w:sz w:val="24"/>
          <w:szCs w:val="24"/>
          <w:u w:val="single"/>
        </w:rPr>
        <w:t xml:space="preserve"> 202</w:t>
      </w:r>
      <w:r w:rsidR="006A65C0">
        <w:rPr>
          <w:rFonts w:asciiTheme="minorHAnsi" w:hAnsiTheme="minorHAnsi" w:cstheme="minorHAnsi"/>
          <w:sz w:val="24"/>
          <w:szCs w:val="24"/>
          <w:u w:val="single"/>
        </w:rPr>
        <w:t>4</w:t>
      </w:r>
      <w:bookmarkEnd w:id="0"/>
      <w:bookmarkEnd w:id="1"/>
      <w:bookmarkEnd w:id="2"/>
    </w:p>
    <w:p w14:paraId="6638CA80" w14:textId="76E2442F" w:rsidR="008468D5" w:rsidRDefault="008468D5" w:rsidP="00064B2A">
      <w:pPr>
        <w:autoSpaceDE w:val="0"/>
        <w:autoSpaceDN w:val="0"/>
        <w:rPr>
          <w:rFonts w:asciiTheme="minorHAnsi" w:hAnsiTheme="minorHAnsi" w:cstheme="minorHAnsi"/>
          <w:b/>
          <w:bCs/>
          <w:color w:val="000000"/>
          <w:u w:val="single"/>
        </w:rPr>
      </w:pPr>
      <w:r>
        <w:rPr>
          <w:rFonts w:asciiTheme="minorHAnsi" w:hAnsiTheme="minorHAnsi" w:cstheme="minorHAnsi"/>
          <w:b/>
          <w:bCs/>
          <w:color w:val="000000"/>
          <w:u w:val="single"/>
        </w:rPr>
        <w:t>Influenza</w:t>
      </w:r>
    </w:p>
    <w:p w14:paraId="05209F81" w14:textId="1B32D7DF" w:rsidR="00ED21CE" w:rsidRPr="00B63080" w:rsidRDefault="006A65C0" w:rsidP="00B63080">
      <w:pPr>
        <w:autoSpaceDE w:val="0"/>
        <w:autoSpaceDN w:val="0"/>
        <w:spacing w:after="480"/>
        <w:rPr>
          <w:rFonts w:asciiTheme="minorHAnsi" w:hAnsiTheme="minorHAnsi" w:cstheme="minorHAnsi"/>
          <w:color w:val="000000"/>
        </w:rPr>
      </w:pPr>
      <w:r w:rsidRPr="006A65C0">
        <w:rPr>
          <w:rFonts w:asciiTheme="minorHAnsi" w:hAnsiTheme="minorHAnsi" w:cstheme="minorHAnsi"/>
          <w:color w:val="000000"/>
        </w:rPr>
        <w:t>Nationally, notifications of laboratory-confirmed influenza</w:t>
      </w:r>
      <w:r w:rsidR="00086ACE">
        <w:rPr>
          <w:rFonts w:asciiTheme="minorHAnsi" w:hAnsiTheme="minorHAnsi" w:cstheme="minorHAnsi"/>
          <w:color w:val="000000"/>
        </w:rPr>
        <w:t>, while still below seasonal levels,</w:t>
      </w:r>
      <w:r w:rsidRPr="006A65C0">
        <w:rPr>
          <w:rFonts w:asciiTheme="minorHAnsi" w:hAnsiTheme="minorHAnsi" w:cstheme="minorHAnsi"/>
          <w:color w:val="000000"/>
        </w:rPr>
        <w:t xml:space="preserve"> are currently higher than expected for the </w:t>
      </w:r>
      <w:proofErr w:type="spellStart"/>
      <w:r w:rsidRPr="006A65C0">
        <w:rPr>
          <w:rFonts w:asciiTheme="minorHAnsi" w:hAnsiTheme="minorHAnsi" w:cstheme="minorHAnsi"/>
          <w:color w:val="000000"/>
        </w:rPr>
        <w:t>interseasonal</w:t>
      </w:r>
      <w:proofErr w:type="spellEnd"/>
      <w:r w:rsidRPr="006A65C0">
        <w:rPr>
          <w:rFonts w:asciiTheme="minorHAnsi" w:hAnsiTheme="minorHAnsi" w:cstheme="minorHAnsi"/>
          <w:color w:val="000000"/>
        </w:rPr>
        <w:t xml:space="preserve"> period (November to March) and for the reporting period </w:t>
      </w:r>
      <w:r w:rsidR="00EF083E">
        <w:rPr>
          <w:rFonts w:asciiTheme="minorHAnsi" w:hAnsiTheme="minorHAnsi" w:cstheme="minorHAnsi"/>
          <w:color w:val="000000"/>
        </w:rPr>
        <w:t>(n=</w:t>
      </w:r>
      <w:r w:rsidR="00AD764B">
        <w:rPr>
          <w:rFonts w:asciiTheme="minorHAnsi" w:hAnsiTheme="minorHAnsi" w:cstheme="minorHAnsi"/>
          <w:color w:val="000000"/>
        </w:rPr>
        <w:t>3</w:t>
      </w:r>
      <w:r w:rsidR="00EF083E">
        <w:rPr>
          <w:rFonts w:asciiTheme="minorHAnsi" w:hAnsiTheme="minorHAnsi" w:cstheme="minorHAnsi"/>
          <w:color w:val="000000"/>
        </w:rPr>
        <w:t>,</w:t>
      </w:r>
      <w:r w:rsidR="00AD764B">
        <w:rPr>
          <w:rFonts w:asciiTheme="minorHAnsi" w:hAnsiTheme="minorHAnsi" w:cstheme="minorHAnsi"/>
          <w:color w:val="000000"/>
        </w:rPr>
        <w:t>778</w:t>
      </w:r>
      <w:r w:rsidR="00EF083E">
        <w:rPr>
          <w:rFonts w:asciiTheme="minorHAnsi" w:hAnsiTheme="minorHAnsi" w:cstheme="minorHAnsi"/>
          <w:color w:val="000000"/>
        </w:rPr>
        <w:t xml:space="preserve">) </w:t>
      </w:r>
      <w:r w:rsidRPr="006A65C0">
        <w:rPr>
          <w:rFonts w:asciiTheme="minorHAnsi" w:hAnsiTheme="minorHAnsi" w:cstheme="minorHAnsi"/>
          <w:color w:val="000000"/>
        </w:rPr>
        <w:t>ar</w:t>
      </w:r>
      <w:r w:rsidR="00EF083E">
        <w:rPr>
          <w:rFonts w:asciiTheme="minorHAnsi" w:hAnsiTheme="minorHAnsi" w:cstheme="minorHAnsi"/>
          <w:color w:val="000000"/>
        </w:rPr>
        <w:t>e</w:t>
      </w:r>
      <w:r w:rsidRPr="006A65C0">
        <w:rPr>
          <w:rFonts w:asciiTheme="minorHAnsi" w:hAnsiTheme="minorHAnsi" w:cstheme="minorHAnsi"/>
          <w:color w:val="000000"/>
        </w:rPr>
        <w:t xml:space="preserve"> </w:t>
      </w:r>
      <w:r w:rsidR="00AD764B">
        <w:rPr>
          <w:rFonts w:asciiTheme="minorHAnsi" w:hAnsiTheme="minorHAnsi" w:cstheme="minorHAnsi"/>
          <w:color w:val="000000"/>
        </w:rPr>
        <w:t>1</w:t>
      </w:r>
      <w:r w:rsidR="00EF083E">
        <w:rPr>
          <w:rFonts w:asciiTheme="minorHAnsi" w:hAnsiTheme="minorHAnsi" w:cstheme="minorHAnsi"/>
          <w:color w:val="000000"/>
        </w:rPr>
        <w:t>.</w:t>
      </w:r>
      <w:r w:rsidR="00AD764B">
        <w:rPr>
          <w:rFonts w:asciiTheme="minorHAnsi" w:hAnsiTheme="minorHAnsi" w:cstheme="minorHAnsi"/>
          <w:color w:val="000000"/>
        </w:rPr>
        <w:t>7</w:t>
      </w:r>
      <w:r w:rsidRPr="006A65C0">
        <w:rPr>
          <w:rFonts w:asciiTheme="minorHAnsi" w:hAnsiTheme="minorHAnsi" w:cstheme="minorHAnsi"/>
          <w:color w:val="000000"/>
        </w:rPr>
        <w:t xml:space="preserve"> times greater than for the same </w:t>
      </w:r>
      <w:proofErr w:type="gramStart"/>
      <w:r w:rsidRPr="006A65C0">
        <w:rPr>
          <w:rFonts w:asciiTheme="minorHAnsi" w:hAnsiTheme="minorHAnsi" w:cstheme="minorHAnsi"/>
          <w:color w:val="000000"/>
        </w:rPr>
        <w:t>time period</w:t>
      </w:r>
      <w:proofErr w:type="gramEnd"/>
      <w:r w:rsidRPr="006A65C0">
        <w:rPr>
          <w:rFonts w:asciiTheme="minorHAnsi" w:hAnsiTheme="minorHAnsi" w:cstheme="minorHAnsi"/>
          <w:color w:val="000000"/>
        </w:rPr>
        <w:t xml:space="preserve"> last year (n=</w:t>
      </w:r>
      <w:r w:rsidR="00AD764B">
        <w:rPr>
          <w:rFonts w:asciiTheme="minorHAnsi" w:hAnsiTheme="minorHAnsi" w:cstheme="minorHAnsi"/>
          <w:color w:val="000000"/>
        </w:rPr>
        <w:t>2</w:t>
      </w:r>
      <w:r w:rsidR="00EF083E">
        <w:rPr>
          <w:rFonts w:asciiTheme="minorHAnsi" w:hAnsiTheme="minorHAnsi" w:cstheme="minorHAnsi"/>
          <w:color w:val="000000"/>
        </w:rPr>
        <w:t>,</w:t>
      </w:r>
      <w:r w:rsidR="00AD764B">
        <w:rPr>
          <w:rFonts w:asciiTheme="minorHAnsi" w:hAnsiTheme="minorHAnsi" w:cstheme="minorHAnsi"/>
          <w:color w:val="000000"/>
        </w:rPr>
        <w:t>226</w:t>
      </w:r>
      <w:r w:rsidRPr="006A65C0">
        <w:rPr>
          <w:rFonts w:asciiTheme="minorHAnsi" w:hAnsiTheme="minorHAnsi" w:cstheme="minorHAnsi"/>
          <w:color w:val="000000"/>
        </w:rPr>
        <w:t xml:space="preserve">).  This may be due to an increase in disease circulation in the community and waning protection from seasonal Influenza vaccinations given </w:t>
      </w:r>
      <w:r w:rsidR="00EF083E">
        <w:rPr>
          <w:rFonts w:asciiTheme="minorHAnsi" w:hAnsiTheme="minorHAnsi" w:cstheme="minorHAnsi"/>
          <w:color w:val="000000"/>
        </w:rPr>
        <w:t xml:space="preserve">during the 2023 influenza </w:t>
      </w:r>
      <w:proofErr w:type="gramStart"/>
      <w:r w:rsidR="00EF083E">
        <w:rPr>
          <w:rFonts w:asciiTheme="minorHAnsi" w:hAnsiTheme="minorHAnsi" w:cstheme="minorHAnsi"/>
          <w:color w:val="000000"/>
        </w:rPr>
        <w:t>season</w:t>
      </w:r>
      <w:r w:rsidRPr="006A65C0">
        <w:rPr>
          <w:rFonts w:asciiTheme="minorHAnsi" w:hAnsiTheme="minorHAnsi" w:cstheme="minorHAnsi"/>
          <w:color w:val="000000"/>
        </w:rPr>
        <w:t>, but</w:t>
      </w:r>
      <w:proofErr w:type="gramEnd"/>
      <w:r w:rsidRPr="006A65C0">
        <w:rPr>
          <w:rFonts w:asciiTheme="minorHAnsi" w:hAnsiTheme="minorHAnsi" w:cstheme="minorHAnsi"/>
          <w:color w:val="000000"/>
        </w:rPr>
        <w:t xml:space="preserve"> may also be impacted by changes in health-seeking behaviour associated with </w:t>
      </w:r>
      <w:r w:rsidR="00EF083E">
        <w:rPr>
          <w:rFonts w:asciiTheme="minorHAnsi" w:hAnsiTheme="minorHAnsi" w:cstheme="minorHAnsi"/>
          <w:color w:val="000000"/>
        </w:rPr>
        <w:t>recent</w:t>
      </w:r>
      <w:r w:rsidRPr="006A65C0">
        <w:rPr>
          <w:rFonts w:asciiTheme="minorHAnsi" w:hAnsiTheme="minorHAnsi" w:cstheme="minorHAnsi"/>
          <w:color w:val="000000"/>
        </w:rPr>
        <w:t xml:space="preserve"> increases in COVID-19 circulation </w:t>
      </w:r>
      <w:r w:rsidR="00AD764B">
        <w:rPr>
          <w:rFonts w:asciiTheme="minorHAnsi" w:hAnsiTheme="minorHAnsi" w:cstheme="minorHAnsi"/>
          <w:color w:val="000000"/>
        </w:rPr>
        <w:t xml:space="preserve">over the summer period </w:t>
      </w:r>
      <w:r w:rsidRPr="006A65C0">
        <w:rPr>
          <w:rFonts w:asciiTheme="minorHAnsi" w:hAnsiTheme="minorHAnsi" w:cstheme="minorHAnsi"/>
          <w:color w:val="000000"/>
        </w:rPr>
        <w:t>in many jurisdictions, such as increased testing for respiratory infections.</w:t>
      </w:r>
    </w:p>
    <w:p w14:paraId="6FD93C51" w14:textId="77777777" w:rsidR="00ED21CE" w:rsidRPr="00ED21CE" w:rsidRDefault="00ED21CE" w:rsidP="00ED21CE">
      <w:pPr>
        <w:autoSpaceDE w:val="0"/>
        <w:autoSpaceDN w:val="0"/>
        <w:rPr>
          <w:rFonts w:asciiTheme="minorHAnsi" w:hAnsiTheme="minorHAnsi" w:cstheme="minorHAnsi"/>
          <w:b/>
          <w:bCs/>
          <w:color w:val="000000"/>
          <w:u w:val="single"/>
        </w:rPr>
      </w:pPr>
      <w:r w:rsidRPr="00ED21CE">
        <w:rPr>
          <w:rFonts w:asciiTheme="minorHAnsi" w:hAnsiTheme="minorHAnsi" w:cstheme="minorHAnsi"/>
          <w:b/>
          <w:bCs/>
          <w:color w:val="000000"/>
          <w:u w:val="single"/>
        </w:rPr>
        <w:t>Infectious and congenital syphilis</w:t>
      </w:r>
    </w:p>
    <w:p w14:paraId="6412DB60" w14:textId="77777777" w:rsidR="005734A2" w:rsidRPr="005734A2" w:rsidRDefault="005734A2" w:rsidP="005734A2">
      <w:pPr>
        <w:autoSpaceDE w:val="0"/>
        <w:autoSpaceDN w:val="0"/>
        <w:rPr>
          <w:rFonts w:asciiTheme="minorHAnsi" w:hAnsiTheme="minorHAnsi" w:cstheme="minorHAnsi"/>
          <w:i/>
          <w:iCs/>
          <w:color w:val="FF0000"/>
          <w:sz w:val="20"/>
          <w:szCs w:val="20"/>
        </w:rPr>
      </w:pPr>
      <w:r w:rsidRPr="005734A2">
        <w:rPr>
          <w:rFonts w:asciiTheme="minorHAnsi" w:hAnsiTheme="minorHAnsi" w:cstheme="minorHAnsi"/>
          <w:color w:val="000000"/>
        </w:rPr>
        <w:t xml:space="preserve">Infectious syphilis notifications are continuing to increase across Australia. Notifications are being monitored across four population groups: non-Indigenous males (including men who have sex with men), non-Indigenous females, Aboriginal and Torres Strait Islander males and females (including those in outbreak declared regions of SA, NT, </w:t>
      </w:r>
      <w:proofErr w:type="gramStart"/>
      <w:r w:rsidRPr="005734A2">
        <w:rPr>
          <w:rFonts w:asciiTheme="minorHAnsi" w:hAnsiTheme="minorHAnsi" w:cstheme="minorHAnsi"/>
          <w:color w:val="000000"/>
        </w:rPr>
        <w:t>WA</w:t>
      </w:r>
      <w:proofErr w:type="gramEnd"/>
      <w:r w:rsidRPr="005734A2">
        <w:rPr>
          <w:rFonts w:asciiTheme="minorHAnsi" w:hAnsiTheme="minorHAnsi" w:cstheme="minorHAnsi"/>
          <w:color w:val="000000"/>
        </w:rPr>
        <w:t xml:space="preserve"> and Qld). Detailed analysis of infectious and congenital syphilis trends in Australia are reported quarterly in the</w:t>
      </w:r>
      <w:r>
        <w:t xml:space="preserve"> </w:t>
      </w:r>
      <w:hyperlink r:id="rId8" w:history="1">
        <w:r w:rsidRPr="005734A2">
          <w:rPr>
            <w:rStyle w:val="Hyperlink"/>
            <w:rFonts w:asciiTheme="minorHAnsi" w:hAnsiTheme="minorHAnsi" w:cstheme="minorHAnsi"/>
            <w:i/>
            <w:iCs/>
          </w:rPr>
          <w:t>National syphilis surveillance reports</w:t>
        </w:r>
      </w:hyperlink>
      <w:r w:rsidRPr="005734A2">
        <w:rPr>
          <w:rStyle w:val="Hyperlink"/>
          <w:rFonts w:asciiTheme="minorHAnsi" w:hAnsiTheme="minorHAnsi" w:cstheme="minorHAnsi"/>
        </w:rPr>
        <w:t>.</w:t>
      </w:r>
    </w:p>
    <w:p w14:paraId="642697C3" w14:textId="77777777" w:rsidR="00ED21CE" w:rsidRPr="00ED21CE" w:rsidRDefault="00ED21CE" w:rsidP="00ED21CE">
      <w:pPr>
        <w:autoSpaceDE w:val="0"/>
        <w:autoSpaceDN w:val="0"/>
        <w:rPr>
          <w:rFonts w:asciiTheme="minorHAnsi" w:hAnsiTheme="minorHAnsi" w:cstheme="minorHAnsi"/>
          <w:color w:val="000000"/>
        </w:rPr>
      </w:pPr>
    </w:p>
    <w:p w14:paraId="2232C93F" w14:textId="77777777" w:rsidR="00ED21CE" w:rsidRPr="00ED21CE" w:rsidRDefault="00ED21CE" w:rsidP="00ED21CE">
      <w:pPr>
        <w:autoSpaceDE w:val="0"/>
        <w:autoSpaceDN w:val="0"/>
        <w:rPr>
          <w:rFonts w:asciiTheme="minorHAnsi" w:hAnsiTheme="minorHAnsi" w:cstheme="minorHAnsi"/>
          <w:i/>
          <w:iCs/>
          <w:color w:val="000000"/>
        </w:rPr>
      </w:pPr>
      <w:r w:rsidRPr="00ED21CE">
        <w:rPr>
          <w:rFonts w:asciiTheme="minorHAnsi" w:hAnsiTheme="minorHAnsi" w:cstheme="minorHAnsi"/>
          <w:i/>
          <w:iCs/>
          <w:color w:val="000000"/>
        </w:rPr>
        <w:t>Syphilis response</w:t>
      </w:r>
    </w:p>
    <w:p w14:paraId="115F27DE" w14:textId="77777777" w:rsidR="00ED21CE" w:rsidRPr="00ED21CE" w:rsidRDefault="00ED21CE" w:rsidP="00ED21CE">
      <w:pPr>
        <w:autoSpaceDE w:val="0"/>
        <w:autoSpaceDN w:val="0"/>
        <w:rPr>
          <w:rFonts w:asciiTheme="minorHAnsi" w:hAnsiTheme="minorHAnsi" w:cstheme="minorHAnsi"/>
          <w:color w:val="000000"/>
        </w:rPr>
      </w:pPr>
      <w:r w:rsidRPr="00ED21CE">
        <w:rPr>
          <w:rFonts w:asciiTheme="minorHAnsi" w:hAnsiTheme="minorHAnsi" w:cstheme="minorHAnsi"/>
          <w:color w:val="000000"/>
        </w:rPr>
        <w:t>On 23 March 2021, the Australian Health Protection Principal Committee (AHPPC) endorsed the</w:t>
      </w:r>
      <w:r w:rsidRPr="00ED21CE">
        <w:rPr>
          <w:rFonts w:asciiTheme="minorHAnsi" w:hAnsiTheme="minorHAnsi" w:cstheme="minorHAnsi"/>
          <w:b/>
          <w:bCs/>
          <w:color w:val="000000"/>
          <w:u w:val="single"/>
        </w:rPr>
        <w:t xml:space="preserve"> </w:t>
      </w:r>
      <w:hyperlink r:id="rId9" w:history="1">
        <w:r w:rsidRPr="00ED21CE">
          <w:rPr>
            <w:rStyle w:val="Hyperlink"/>
            <w:rFonts w:asciiTheme="minorHAnsi" w:hAnsiTheme="minorHAnsi" w:cstheme="minorHAnsi"/>
            <w:i/>
            <w:iCs/>
          </w:rPr>
          <w:t>National strategic approach for responding to rising rates of syphilis in Australia 2021</w:t>
        </w:r>
      </w:hyperlink>
      <w:r w:rsidRPr="00ED21CE">
        <w:rPr>
          <w:rFonts w:asciiTheme="minorHAnsi" w:hAnsiTheme="minorHAnsi" w:cstheme="minorHAnsi"/>
          <w:b/>
          <w:bCs/>
          <w:color w:val="000000"/>
          <w:u w:val="single"/>
        </w:rPr>
        <w:t xml:space="preserve"> </w:t>
      </w:r>
      <w:r w:rsidRPr="00ED21CE">
        <w:rPr>
          <w:rFonts w:asciiTheme="minorHAnsi" w:hAnsiTheme="minorHAnsi" w:cstheme="minorHAnsi"/>
          <w:color w:val="000000"/>
        </w:rPr>
        <w:t>(Strategic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w:t>
      </w:r>
    </w:p>
    <w:p w14:paraId="0A89290C" w14:textId="77777777" w:rsidR="00ED21CE" w:rsidRPr="00ED21CE" w:rsidRDefault="00ED21CE" w:rsidP="00ED21CE">
      <w:pPr>
        <w:autoSpaceDE w:val="0"/>
        <w:autoSpaceDN w:val="0"/>
        <w:rPr>
          <w:rFonts w:asciiTheme="minorHAnsi" w:hAnsiTheme="minorHAnsi" w:cstheme="minorHAnsi"/>
          <w:color w:val="000000"/>
        </w:rPr>
      </w:pPr>
    </w:p>
    <w:p w14:paraId="4AF86A14" w14:textId="77777777" w:rsidR="00ED21CE" w:rsidRPr="00ED21CE" w:rsidRDefault="00ED21CE" w:rsidP="00ED21CE">
      <w:pPr>
        <w:autoSpaceDE w:val="0"/>
        <w:autoSpaceDN w:val="0"/>
        <w:rPr>
          <w:rFonts w:asciiTheme="minorHAnsi" w:hAnsiTheme="minorHAnsi" w:cstheme="minorHAnsi"/>
          <w:color w:val="000000"/>
        </w:rPr>
      </w:pPr>
      <w:r w:rsidRPr="00ED21CE">
        <w:rPr>
          <w:rFonts w:asciiTheme="minorHAnsi" w:hAnsiTheme="minorHAnsi" w:cstheme="minorHAnsi"/>
          <w:color w:val="000000"/>
        </w:rPr>
        <w:t>The CDNA and BBVSS are, in collaboration, developing priority public health actions, including those related to workforce and community engagement, to ensure progress is made towards reducing the incidence of syphilis and elimination of congenital syphilis in Australia.</w:t>
      </w:r>
    </w:p>
    <w:p w14:paraId="2E341299" w14:textId="06D9F0C5" w:rsidR="00064B2A" w:rsidRPr="00B63080" w:rsidRDefault="00ED21CE" w:rsidP="00B63080">
      <w:pPr>
        <w:autoSpaceDE w:val="0"/>
        <w:autoSpaceDN w:val="0"/>
        <w:spacing w:after="480"/>
        <w:rPr>
          <w:rFonts w:asciiTheme="minorHAnsi" w:hAnsiTheme="minorHAnsi" w:cstheme="minorHAnsi"/>
          <w:b/>
          <w:bCs/>
          <w:color w:val="000000"/>
          <w:u w:val="single"/>
        </w:rPr>
      </w:pPr>
      <w:r w:rsidRPr="00ED21CE">
        <w:rPr>
          <w:rFonts w:asciiTheme="minorHAnsi" w:hAnsiTheme="minorHAnsi" w:cstheme="minorHAnsi"/>
          <w:color w:val="000000"/>
        </w:rPr>
        <w:t>For further information on national activities related to syphilis, including</w:t>
      </w:r>
      <w:r w:rsidRPr="00ED21CE">
        <w:rPr>
          <w:rFonts w:asciiTheme="minorHAnsi" w:hAnsiTheme="minorHAnsi" w:cstheme="minorHAnsi"/>
          <w:b/>
          <w:bCs/>
          <w:color w:val="000000"/>
          <w:u w:val="single"/>
        </w:rPr>
        <w:t xml:space="preserve"> </w:t>
      </w:r>
      <w:r w:rsidRPr="00ED21CE">
        <w:rPr>
          <w:rStyle w:val="Hyperlink"/>
          <w:i/>
          <w:iCs/>
        </w:rPr>
        <w:t xml:space="preserve">the </w:t>
      </w:r>
      <w:hyperlink r:id="rId10" w:history="1">
        <w:r w:rsidRPr="00ED21CE">
          <w:rPr>
            <w:rStyle w:val="Hyperlink"/>
            <w:i/>
            <w:iCs/>
          </w:rPr>
          <w:t>Don’t fool around with syphilis</w:t>
        </w:r>
      </w:hyperlink>
      <w:r w:rsidRPr="00ED21CE">
        <w:rPr>
          <w:rFonts w:asciiTheme="minorHAnsi" w:hAnsiTheme="minorHAnsi" w:cstheme="minorHAnsi"/>
          <w:b/>
          <w:bCs/>
          <w:i/>
          <w:iCs/>
          <w:color w:val="000000"/>
          <w:u w:val="single"/>
        </w:rPr>
        <w:t xml:space="preserve"> </w:t>
      </w:r>
      <w:r w:rsidRPr="00ED21CE">
        <w:rPr>
          <w:rFonts w:asciiTheme="minorHAnsi" w:hAnsiTheme="minorHAnsi" w:cstheme="minorHAnsi"/>
          <w:color w:val="000000"/>
        </w:rPr>
        <w:t>campaign, refer to the</w:t>
      </w:r>
      <w:r w:rsidRPr="00ED21CE">
        <w:rPr>
          <w:rFonts w:asciiTheme="minorHAnsi" w:hAnsiTheme="minorHAnsi" w:cstheme="minorHAnsi"/>
          <w:b/>
          <w:bCs/>
          <w:color w:val="000000"/>
          <w:u w:val="single"/>
        </w:rPr>
        <w:t xml:space="preserve"> </w:t>
      </w:r>
      <w:hyperlink r:id="rId11" w:history="1">
        <w:r w:rsidRPr="00ED21CE">
          <w:rPr>
            <w:rStyle w:val="Hyperlink"/>
            <w:i/>
            <w:iCs/>
          </w:rPr>
          <w:t>Department’s website</w:t>
        </w:r>
      </w:hyperlink>
      <w:r w:rsidRPr="00ED21CE">
        <w:rPr>
          <w:rFonts w:asciiTheme="minorHAnsi" w:hAnsiTheme="minorHAnsi" w:cstheme="minorHAnsi"/>
          <w:b/>
          <w:bCs/>
          <w:color w:val="000000"/>
          <w:u w:val="single"/>
        </w:rPr>
        <w:t xml:space="preserve">. </w:t>
      </w: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88321F">
        <w:rPr>
          <w:rFonts w:asciiTheme="minorHAnsi" w:hAnsiTheme="minorHAnsi" w:cstheme="minorHAnsi"/>
          <w:i/>
          <w:color w:val="000000"/>
          <w:sz w:val="16"/>
          <w:szCs w:val="16"/>
        </w:rPr>
        <w:t>365 day</w:t>
      </w:r>
      <w:proofErr w:type="gramEnd"/>
      <w:r w:rsidRPr="0088321F">
        <w:rPr>
          <w:rFonts w:asciiTheme="minorHAnsi" w:hAnsiTheme="minorHAnsi" w:cstheme="minorHAnsi"/>
          <w:i/>
          <w:color w:val="000000"/>
          <w:sz w:val="16"/>
          <w:szCs w:val="16"/>
        </w:rPr>
        <w:t xml:space="preserve">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5D2CE3B4"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D95252">
        <w:rPr>
          <w:rFonts w:asciiTheme="minorHAnsi" w:hAnsiTheme="minorHAnsi" w:cstheme="minorHAnsi"/>
          <w:i/>
          <w:sz w:val="16"/>
          <w:szCs w:val="16"/>
        </w:rPr>
        <w:t>21</w:t>
      </w:r>
      <w:r w:rsidR="0081611F" w:rsidRPr="0088321F">
        <w:rPr>
          <w:rFonts w:asciiTheme="minorHAnsi" w:hAnsiTheme="minorHAnsi" w:cstheme="minorHAnsi"/>
          <w:i/>
          <w:sz w:val="16"/>
          <w:szCs w:val="16"/>
        </w:rPr>
        <w:t>/</w:t>
      </w:r>
      <w:r w:rsidR="006A65C0">
        <w:rPr>
          <w:rFonts w:asciiTheme="minorHAnsi" w:hAnsiTheme="minorHAnsi" w:cstheme="minorHAnsi"/>
          <w:i/>
          <w:sz w:val="16"/>
          <w:szCs w:val="16"/>
        </w:rPr>
        <w:t>1</w:t>
      </w:r>
      <w:r w:rsidR="001519D9">
        <w:rPr>
          <w:rFonts w:asciiTheme="minorHAnsi" w:hAnsiTheme="minorHAnsi" w:cstheme="minorHAnsi"/>
          <w:i/>
          <w:sz w:val="16"/>
          <w:szCs w:val="16"/>
        </w:rPr>
        <w:t>1</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E8363C">
        <w:rPr>
          <w:rFonts w:asciiTheme="minorHAnsi" w:hAnsiTheme="minorHAnsi" w:cstheme="minorHAnsi"/>
          <w:i/>
          <w:sz w:val="16"/>
          <w:szCs w:val="16"/>
        </w:rPr>
        <w:t>3</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D95252">
        <w:rPr>
          <w:rFonts w:asciiTheme="minorHAnsi" w:hAnsiTheme="minorHAnsi" w:cstheme="minorHAnsi"/>
          <w:i/>
          <w:sz w:val="16"/>
          <w:szCs w:val="16"/>
        </w:rPr>
        <w:t>18</w:t>
      </w:r>
      <w:r w:rsidR="00270632" w:rsidRPr="0088321F">
        <w:rPr>
          <w:rFonts w:asciiTheme="minorHAnsi" w:hAnsiTheme="minorHAnsi" w:cstheme="minorHAnsi"/>
          <w:i/>
          <w:sz w:val="16"/>
          <w:szCs w:val="16"/>
        </w:rPr>
        <w:t>/</w:t>
      </w:r>
      <w:r w:rsidR="006A65C0">
        <w:rPr>
          <w:rFonts w:asciiTheme="minorHAnsi" w:hAnsiTheme="minorHAnsi" w:cstheme="minorHAnsi"/>
          <w:i/>
          <w:sz w:val="16"/>
          <w:szCs w:val="16"/>
        </w:rPr>
        <w:t>0</w:t>
      </w:r>
      <w:r w:rsidR="001519D9">
        <w:rPr>
          <w:rFonts w:asciiTheme="minorHAnsi" w:hAnsiTheme="minorHAnsi" w:cstheme="minorHAnsi"/>
          <w:i/>
          <w:sz w:val="16"/>
          <w:szCs w:val="16"/>
        </w:rPr>
        <w:t>2</w:t>
      </w:r>
      <w:r w:rsidR="009C1059">
        <w:rPr>
          <w:rFonts w:asciiTheme="minorHAnsi" w:hAnsiTheme="minorHAnsi" w:cstheme="minorHAnsi"/>
          <w:i/>
          <w:sz w:val="16"/>
          <w:szCs w:val="16"/>
        </w:rPr>
        <w:t>/20</w:t>
      </w:r>
      <w:r w:rsidR="006A65C0">
        <w:rPr>
          <w:rFonts w:asciiTheme="minorHAnsi" w:hAnsiTheme="minorHAnsi" w:cstheme="minorHAnsi"/>
          <w:i/>
          <w:sz w:val="16"/>
          <w:szCs w:val="16"/>
        </w:rPr>
        <w:t>24</w:t>
      </w:r>
      <w:r w:rsidR="00777AAA" w:rsidRPr="0088321F">
        <w:rPr>
          <w:rFonts w:asciiTheme="minorHAnsi" w:hAnsiTheme="minorHAnsi" w:cstheme="minorHAnsi"/>
          <w:i/>
          <w:sz w:val="16"/>
          <w:szCs w:val="16"/>
        </w:rPr>
        <w:t>).</w:t>
      </w:r>
    </w:p>
    <w:p w14:paraId="38B56901" w14:textId="0FDD0572"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D95252">
        <w:rPr>
          <w:rFonts w:asciiTheme="minorHAnsi" w:hAnsiTheme="minorHAnsi" w:cstheme="minorHAnsi"/>
          <w:i/>
          <w:sz w:val="16"/>
          <w:szCs w:val="16"/>
        </w:rPr>
        <w:t>18</w:t>
      </w:r>
      <w:r w:rsidR="00270632" w:rsidRPr="0088321F">
        <w:rPr>
          <w:rFonts w:asciiTheme="minorHAnsi" w:hAnsiTheme="minorHAnsi" w:cstheme="minorHAnsi"/>
          <w:i/>
          <w:sz w:val="16"/>
          <w:szCs w:val="16"/>
        </w:rPr>
        <w:t>/</w:t>
      </w:r>
      <w:r w:rsidR="006A65C0">
        <w:rPr>
          <w:rFonts w:asciiTheme="minorHAnsi" w:hAnsiTheme="minorHAnsi" w:cstheme="minorHAnsi"/>
          <w:i/>
          <w:sz w:val="16"/>
          <w:szCs w:val="16"/>
        </w:rPr>
        <w:t>0</w:t>
      </w:r>
      <w:r w:rsidR="001519D9">
        <w:rPr>
          <w:rFonts w:asciiTheme="minorHAnsi" w:hAnsiTheme="minorHAnsi" w:cstheme="minorHAnsi"/>
          <w:i/>
          <w:sz w:val="16"/>
          <w:szCs w:val="16"/>
        </w:rPr>
        <w:t>2</w:t>
      </w:r>
      <w:r w:rsidR="00735187">
        <w:rPr>
          <w:rFonts w:asciiTheme="minorHAnsi" w:hAnsiTheme="minorHAnsi" w:cstheme="minorHAnsi"/>
          <w:i/>
          <w:sz w:val="16"/>
          <w:szCs w:val="16"/>
        </w:rPr>
        <w:t>/202</w:t>
      </w:r>
      <w:r w:rsidR="006A65C0">
        <w:rPr>
          <w:rFonts w:asciiTheme="minorHAnsi" w:hAnsiTheme="minorHAnsi" w:cstheme="minorHAnsi"/>
          <w:i/>
          <w:sz w:val="16"/>
          <w:szCs w:val="16"/>
        </w:rPr>
        <w:t>4</w:t>
      </w:r>
      <w:r w:rsidRPr="0088321F">
        <w:rPr>
          <w:rFonts w:asciiTheme="minorHAnsi" w:hAnsiTheme="minorHAnsi" w:cstheme="minorHAnsi"/>
          <w:i/>
          <w:sz w:val="16"/>
          <w:szCs w:val="16"/>
        </w:rPr>
        <w:t xml:space="preserve">.  The ratio is the notification activity in the past quarter (90 days) compared with 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for the same period.</w:t>
      </w:r>
    </w:p>
    <w:p w14:paraId="228A0A61" w14:textId="479242E9"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D95252">
        <w:rPr>
          <w:rFonts w:asciiTheme="minorHAnsi" w:hAnsiTheme="minorHAnsi" w:cstheme="minorHAnsi"/>
          <w:i/>
          <w:sz w:val="16"/>
          <w:szCs w:val="16"/>
        </w:rPr>
        <w:t>19</w:t>
      </w:r>
      <w:r w:rsidR="00421F52" w:rsidRPr="0088321F">
        <w:rPr>
          <w:rFonts w:asciiTheme="minorHAnsi" w:hAnsiTheme="minorHAnsi" w:cstheme="minorHAnsi"/>
          <w:i/>
          <w:sz w:val="16"/>
          <w:szCs w:val="16"/>
        </w:rPr>
        <w:t>/</w:t>
      </w:r>
      <w:r w:rsidR="006A65C0">
        <w:rPr>
          <w:rFonts w:asciiTheme="minorHAnsi" w:hAnsiTheme="minorHAnsi" w:cstheme="minorHAnsi"/>
          <w:i/>
          <w:sz w:val="16"/>
          <w:szCs w:val="16"/>
        </w:rPr>
        <w:t>0</w:t>
      </w:r>
      <w:r w:rsidR="001519D9">
        <w:rPr>
          <w:rFonts w:asciiTheme="minorHAnsi" w:hAnsiTheme="minorHAnsi" w:cstheme="minorHAnsi"/>
          <w:i/>
          <w:sz w:val="16"/>
          <w:szCs w:val="16"/>
        </w:rPr>
        <w:t>2</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6A65C0">
        <w:rPr>
          <w:rFonts w:asciiTheme="minorHAnsi" w:hAnsiTheme="minorHAnsi" w:cstheme="minorHAnsi"/>
          <w:i/>
          <w:sz w:val="16"/>
          <w:szCs w:val="16"/>
        </w:rPr>
        <w:t>3</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D95252">
        <w:rPr>
          <w:rFonts w:asciiTheme="minorHAnsi" w:hAnsiTheme="minorHAnsi" w:cstheme="minorHAnsi"/>
          <w:i/>
          <w:sz w:val="16"/>
          <w:szCs w:val="16"/>
        </w:rPr>
        <w:t>18</w:t>
      </w:r>
      <w:r w:rsidR="00270632" w:rsidRPr="0088321F">
        <w:rPr>
          <w:rFonts w:asciiTheme="minorHAnsi" w:hAnsiTheme="minorHAnsi" w:cstheme="minorHAnsi"/>
          <w:i/>
          <w:sz w:val="16"/>
          <w:szCs w:val="16"/>
        </w:rPr>
        <w:t>/</w:t>
      </w:r>
      <w:r w:rsidR="006A65C0">
        <w:rPr>
          <w:rFonts w:asciiTheme="minorHAnsi" w:hAnsiTheme="minorHAnsi" w:cstheme="minorHAnsi"/>
          <w:i/>
          <w:sz w:val="16"/>
          <w:szCs w:val="16"/>
        </w:rPr>
        <w:t>0</w:t>
      </w:r>
      <w:r w:rsidR="001519D9">
        <w:rPr>
          <w:rFonts w:asciiTheme="minorHAnsi" w:hAnsiTheme="minorHAnsi" w:cstheme="minorHAnsi"/>
          <w:i/>
          <w:sz w:val="16"/>
          <w:szCs w:val="16"/>
        </w:rPr>
        <w:t>2</w:t>
      </w:r>
      <w:r w:rsidR="009C1059">
        <w:rPr>
          <w:rFonts w:asciiTheme="minorHAnsi" w:hAnsiTheme="minorHAnsi" w:cstheme="minorHAnsi"/>
          <w:i/>
          <w:sz w:val="16"/>
          <w:szCs w:val="16"/>
        </w:rPr>
        <w:t>/202</w:t>
      </w:r>
      <w:r w:rsidR="006A65C0">
        <w:rPr>
          <w:rFonts w:asciiTheme="minorHAnsi" w:hAnsiTheme="minorHAnsi" w:cstheme="minorHAnsi"/>
          <w:i/>
          <w:sz w:val="16"/>
          <w:szCs w:val="16"/>
        </w:rPr>
        <w:t>4</w:t>
      </w:r>
      <w:r w:rsidR="002C38A0" w:rsidRPr="0088321F">
        <w:rPr>
          <w:rFonts w:asciiTheme="minorHAnsi" w:hAnsiTheme="minorHAnsi" w:cstheme="minorHAnsi"/>
          <w:i/>
          <w:sz w:val="16"/>
          <w:szCs w:val="16"/>
        </w:rPr>
        <w:t>).</w:t>
      </w:r>
    </w:p>
    <w:p w14:paraId="24BCFBDD" w14:textId="5696CC0A"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5 intervals of 365 days up to</w:t>
      </w:r>
      <w:r w:rsidR="00A13BC6">
        <w:rPr>
          <w:rFonts w:asciiTheme="minorHAnsi" w:hAnsiTheme="minorHAnsi" w:cstheme="minorHAnsi"/>
          <w:i/>
          <w:sz w:val="16"/>
          <w:szCs w:val="16"/>
        </w:rPr>
        <w:t xml:space="preserve"> </w:t>
      </w:r>
      <w:r w:rsidR="00D95252">
        <w:rPr>
          <w:rFonts w:asciiTheme="minorHAnsi" w:hAnsiTheme="minorHAnsi" w:cstheme="minorHAnsi"/>
          <w:i/>
          <w:sz w:val="16"/>
          <w:szCs w:val="16"/>
        </w:rPr>
        <w:t>18</w:t>
      </w:r>
      <w:r w:rsidR="00854ED5">
        <w:rPr>
          <w:rFonts w:asciiTheme="minorHAnsi" w:hAnsiTheme="minorHAnsi" w:cstheme="minorHAnsi"/>
          <w:i/>
          <w:sz w:val="16"/>
          <w:szCs w:val="16"/>
        </w:rPr>
        <w:t>/</w:t>
      </w:r>
      <w:r w:rsidR="006A65C0">
        <w:rPr>
          <w:rFonts w:asciiTheme="minorHAnsi" w:hAnsiTheme="minorHAnsi" w:cstheme="minorHAnsi"/>
          <w:i/>
          <w:sz w:val="16"/>
          <w:szCs w:val="16"/>
        </w:rPr>
        <w:t>0</w:t>
      </w:r>
      <w:r w:rsidR="001519D9">
        <w:rPr>
          <w:rFonts w:asciiTheme="minorHAnsi" w:hAnsiTheme="minorHAnsi" w:cstheme="minorHAnsi"/>
          <w:i/>
          <w:sz w:val="16"/>
          <w:szCs w:val="16"/>
        </w:rPr>
        <w:t>2</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6A65C0">
        <w:rPr>
          <w:rFonts w:asciiTheme="minorHAnsi" w:hAnsiTheme="minorHAnsi" w:cstheme="minorHAnsi"/>
          <w:i/>
          <w:sz w:val="16"/>
          <w:szCs w:val="16"/>
        </w:rPr>
        <w:t>4</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 xml:space="preserve">The ratio is the notification activity in the past year (365 days) compared with 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lastRenderedPageBreak/>
        <w:t xml:space="preserve">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48BFD" w14:textId="77777777" w:rsidR="00AB2C0E" w:rsidRDefault="00AB2C0E">
      <w:r>
        <w:separator/>
      </w:r>
    </w:p>
  </w:endnote>
  <w:endnote w:type="continuationSeparator" w:id="0">
    <w:p w14:paraId="37C02396" w14:textId="77777777" w:rsidR="00AB2C0E" w:rsidRDefault="00AB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20977" w14:textId="77777777" w:rsidR="00AB2C0E" w:rsidRDefault="00AB2C0E">
      <w:r>
        <w:separator/>
      </w:r>
    </w:p>
  </w:footnote>
  <w:footnote w:type="continuationSeparator" w:id="0">
    <w:p w14:paraId="1E8317B7" w14:textId="77777777" w:rsidR="00AB2C0E" w:rsidRDefault="00AB2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1D15"/>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6A35"/>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4CD0"/>
    <w:rsid w:val="005B7BD4"/>
    <w:rsid w:val="005C1BF2"/>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269D"/>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A65C0"/>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5662"/>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2047"/>
    <w:rsid w:val="008622E3"/>
    <w:rsid w:val="0086641F"/>
    <w:rsid w:val="00867F20"/>
    <w:rsid w:val="00871F14"/>
    <w:rsid w:val="008729EA"/>
    <w:rsid w:val="008743B7"/>
    <w:rsid w:val="00876E12"/>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2C0E"/>
    <w:rsid w:val="00AB41B7"/>
    <w:rsid w:val="00AB7948"/>
    <w:rsid w:val="00AC2C65"/>
    <w:rsid w:val="00AC45F1"/>
    <w:rsid w:val="00AC7504"/>
    <w:rsid w:val="00AD2659"/>
    <w:rsid w:val="00AD4E44"/>
    <w:rsid w:val="00AD72B9"/>
    <w:rsid w:val="00AD764B"/>
    <w:rsid w:val="00AF06FE"/>
    <w:rsid w:val="00AF0884"/>
    <w:rsid w:val="00AF16AB"/>
    <w:rsid w:val="00AF38F9"/>
    <w:rsid w:val="00AF4609"/>
    <w:rsid w:val="00AF52D0"/>
    <w:rsid w:val="00AF5BF5"/>
    <w:rsid w:val="00AF7900"/>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080"/>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290"/>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54ED"/>
    <w:rsid w:val="00EB6118"/>
    <w:rsid w:val="00EB7BC9"/>
    <w:rsid w:val="00EC1BBA"/>
    <w:rsid w:val="00ED21CE"/>
    <w:rsid w:val="00ED2863"/>
    <w:rsid w:val="00ED7F90"/>
    <w:rsid w:val="00EE2EB4"/>
    <w:rsid w:val="00EF083E"/>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national-syphilis-monitoring-repor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diseases/syphilis?utm_source=health.gov.au&amp;utm_medium=callout-auto-custom&amp;utm_campaign=digital_transformation" TargetMode="External"/><Relationship Id="rId5" Type="http://schemas.openxmlformats.org/officeDocument/2006/relationships/webSettings" Target="webSettings.xml"/><Relationship Id="rId10" Type="http://schemas.openxmlformats.org/officeDocument/2006/relationships/hyperlink" Target="https://www.health.gov.au/dont-fool-around-with-syphilis" TargetMode="External"/><Relationship Id="rId4" Type="http://schemas.openxmlformats.org/officeDocument/2006/relationships/settings" Target="settings.xml"/><Relationship Id="rId9" Type="http://schemas.openxmlformats.org/officeDocument/2006/relationships/hyperlink" Target="https://www.health.gov.au/resources/collections/national-syphilis-monitoring-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National Notifiable Diseases Surveillance System (NNDSS) fortnightly reports – 5 February 2024 to 18 February 2024</vt:lpstr>
    </vt:vector>
  </TitlesOfParts>
  <Company>DHA</Company>
  <LinksUpToDate>false</LinksUpToDate>
  <CharactersWithSpaces>4498</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Notifiable Diseases Surveillance System (NNDSS) fortnightly reports – 5 February 2024 to 18 February 2024</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HAMLEY, Erynn</cp:lastModifiedBy>
  <cp:revision>2</cp:revision>
  <cp:lastPrinted>2021-04-13T23:49:00Z</cp:lastPrinted>
  <dcterms:created xsi:type="dcterms:W3CDTF">2024-03-05T01:25:00Z</dcterms:created>
  <dcterms:modified xsi:type="dcterms:W3CDTF">2024-03-05T01:25:00Z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