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F028" w14:textId="7CD2C9B1" w:rsidR="00995D44" w:rsidRPr="00AA2822" w:rsidRDefault="00CF6649" w:rsidP="00AA2822">
      <w:pPr>
        <w:pStyle w:val="Heading1"/>
      </w:pPr>
      <w:r w:rsidRPr="00AA2822">
        <w:t>Haemopoietic Progenitor Cell (HPC) Sector Clinical Advisory Group G</w:t>
      </w:r>
      <w:r w:rsidR="008275F4" w:rsidRPr="00AA2822">
        <w:t>overnance</w:t>
      </w:r>
    </w:p>
    <w:p w14:paraId="312023D9" w14:textId="4ED7ECB1" w:rsidR="00CF6649" w:rsidRDefault="00CF6649" w:rsidP="00AA2822">
      <w:pPr>
        <w:jc w:val="center"/>
      </w:pPr>
      <w:r>
        <w:t>August 2022</w:t>
      </w:r>
    </w:p>
    <w:p w14:paraId="4CA024C2" w14:textId="1FD9A7CA" w:rsidR="00CF6649" w:rsidRPr="00AA2822" w:rsidRDefault="00CF6649" w:rsidP="00AA2822">
      <w:pPr>
        <w:pStyle w:val="Heading2"/>
      </w:pPr>
      <w:r w:rsidRPr="00AA2822">
        <w:t>Purpose of this document</w:t>
      </w:r>
    </w:p>
    <w:p w14:paraId="202F5315" w14:textId="4D8310C7" w:rsidR="00CF6649" w:rsidRDefault="00CF6649">
      <w:r>
        <w:t xml:space="preserve">To </w:t>
      </w:r>
      <w:r w:rsidR="008275F4">
        <w:t>outline</w:t>
      </w:r>
      <w:r>
        <w:t xml:space="preserve"> the g</w:t>
      </w:r>
      <w:r w:rsidR="008275F4">
        <w:t xml:space="preserve">overnance </w:t>
      </w:r>
      <w:r>
        <w:t>of the Haemopoietic Progenitor Cell (HPC) Sector Clinical Advisory Group (Advisory Group)</w:t>
      </w:r>
      <w:r w:rsidR="008275F4">
        <w:t xml:space="preserve">. </w:t>
      </w:r>
    </w:p>
    <w:p w14:paraId="009125DC" w14:textId="65C09235" w:rsidR="00CF6649" w:rsidRDefault="00CF6649" w:rsidP="00AA2822">
      <w:pPr>
        <w:pStyle w:val="Heading2"/>
      </w:pPr>
      <w:r>
        <w:t>Background</w:t>
      </w:r>
    </w:p>
    <w:p w14:paraId="72BF50E1" w14:textId="1508E2F7" w:rsidR="00442B9A" w:rsidRPr="00442B9A" w:rsidRDefault="00442B9A">
      <w:r w:rsidRPr="00442B9A">
        <w:t>The National HPC Framework (the Framework) was endorsed by all Australian governments in October 2021. The Framework represents commitment from all governments to provide a policy basis for the effective, evidence-based future operations and management of the Australian HPC sector.</w:t>
      </w:r>
    </w:p>
    <w:p w14:paraId="79D4F45B" w14:textId="78437683" w:rsidR="00CF6649" w:rsidRDefault="00CF6649" w:rsidP="00AA2822">
      <w:pPr>
        <w:pStyle w:val="Heading2"/>
      </w:pPr>
      <w:r>
        <w:t xml:space="preserve">Purpose </w:t>
      </w:r>
      <w:r w:rsidR="001A5A5C">
        <w:t xml:space="preserve">and Role </w:t>
      </w:r>
      <w:r>
        <w:t>of the Advisory Group</w:t>
      </w:r>
    </w:p>
    <w:p w14:paraId="6C1D4A6D" w14:textId="55F1067E" w:rsidR="00CF6649" w:rsidRDefault="00CF6649">
      <w:r>
        <w:t xml:space="preserve">The Advisory Group will support the implementation of the </w:t>
      </w:r>
      <w:r w:rsidR="00D42677">
        <w:t>Framework</w:t>
      </w:r>
      <w:r>
        <w:t xml:space="preserve"> through providing expert subject matter advice </w:t>
      </w:r>
      <w:r w:rsidR="008275F4">
        <w:t xml:space="preserve">on the HPC sector </w:t>
      </w:r>
      <w:r>
        <w:t xml:space="preserve">to the </w:t>
      </w:r>
      <w:r w:rsidR="008275F4">
        <w:t>Commonwealth</w:t>
      </w:r>
      <w:r w:rsidR="00C518CF">
        <w:t>-</w:t>
      </w:r>
      <w:r w:rsidR="008275F4">
        <w:t xml:space="preserve">led </w:t>
      </w:r>
      <w:r>
        <w:t>J</w:t>
      </w:r>
      <w:r w:rsidR="008275F4">
        <w:t>urisdiction</w:t>
      </w:r>
      <w:r w:rsidR="00B44DC8">
        <w:t>al</w:t>
      </w:r>
      <w:r w:rsidR="008275F4">
        <w:t xml:space="preserve"> </w:t>
      </w:r>
      <w:r>
        <w:t>H</w:t>
      </w:r>
      <w:r w:rsidR="008275F4">
        <w:t>P</w:t>
      </w:r>
      <w:r>
        <w:t>C</w:t>
      </w:r>
      <w:r w:rsidR="008275F4">
        <w:t xml:space="preserve"> Committee (JHPCC)</w:t>
      </w:r>
      <w:r>
        <w:t>.</w:t>
      </w:r>
      <w:r w:rsidR="00C518CF" w:rsidRPr="00C518CF">
        <w:t xml:space="preserve"> </w:t>
      </w:r>
      <w:r w:rsidR="00C518CF">
        <w:t>The JHPCC facilitates</w:t>
      </w:r>
      <w:r w:rsidR="004637F5">
        <w:t xml:space="preserve"> policy </w:t>
      </w:r>
      <w:r w:rsidR="00C518CF">
        <w:t xml:space="preserve">agreement and funding of </w:t>
      </w:r>
      <w:r w:rsidR="004637F5">
        <w:t>unrelated</w:t>
      </w:r>
      <w:r w:rsidR="002A729F">
        <w:t xml:space="preserve"> HPC donation services for patients</w:t>
      </w:r>
      <w:r w:rsidR="004637F5">
        <w:t xml:space="preserve"> requiring HPC transplants</w:t>
      </w:r>
      <w:r w:rsidR="002A729F">
        <w:t xml:space="preserve"> </w:t>
      </w:r>
      <w:r w:rsidR="00C518CF">
        <w:t>across Australia.</w:t>
      </w:r>
    </w:p>
    <w:p w14:paraId="23D491C5" w14:textId="0A8FD576" w:rsidR="00CF6649" w:rsidRDefault="00442B9A" w:rsidP="00AA2822">
      <w:pPr>
        <w:pStyle w:val="Heading2"/>
      </w:pPr>
      <w:r>
        <w:t>Membership</w:t>
      </w:r>
    </w:p>
    <w:p w14:paraId="4AFCBD20" w14:textId="6CECCDD2" w:rsidR="00442B9A" w:rsidRDefault="00442B9A">
      <w:r>
        <w:t>The members will consist of HPC sector experts with a range of expertise including clinical, pathology, government/public health accreditation</w:t>
      </w:r>
      <w:r w:rsidR="008275F4">
        <w:t xml:space="preserve"> and regulations</w:t>
      </w:r>
      <w:r>
        <w:t>.</w:t>
      </w:r>
    </w:p>
    <w:p w14:paraId="70FCE91A" w14:textId="07414D71" w:rsidR="00442B9A" w:rsidRDefault="00442B9A" w:rsidP="00AA2822">
      <w:pPr>
        <w:pStyle w:val="Heading2"/>
      </w:pPr>
      <w:r w:rsidRPr="00442B9A">
        <w:t>Duration of Membership</w:t>
      </w:r>
    </w:p>
    <w:p w14:paraId="6F448CD7" w14:textId="29F70F91" w:rsidR="00442B9A" w:rsidRDefault="00442B9A">
      <w:r>
        <w:t>Members</w:t>
      </w:r>
      <w:r w:rsidR="00571A40">
        <w:t xml:space="preserve"> will be initially appointed </w:t>
      </w:r>
      <w:r>
        <w:t>for</w:t>
      </w:r>
      <w:r w:rsidR="00C029FF">
        <w:t xml:space="preserve"> up to a</w:t>
      </w:r>
      <w:r>
        <w:t xml:space="preserve"> 24-month term. </w:t>
      </w:r>
    </w:p>
    <w:p w14:paraId="4EB77C4C" w14:textId="1494C289" w:rsidR="00D42677" w:rsidRDefault="00D42677" w:rsidP="00AA2822">
      <w:pPr>
        <w:pStyle w:val="Heading2"/>
      </w:pPr>
      <w:r>
        <w:t>Declarations of Interest</w:t>
      </w:r>
    </w:p>
    <w:p w14:paraId="29F7CE20" w14:textId="614286D3" w:rsidR="00D42677" w:rsidRDefault="00C029FF">
      <w:r>
        <w:t>T</w:t>
      </w:r>
      <w:r w:rsidR="00D42677">
        <w:t xml:space="preserve">he Department of Health and Aged Care’s </w:t>
      </w:r>
      <w:r w:rsidR="00F74AAF">
        <w:t>Conflict of Interest Policy</w:t>
      </w:r>
      <w:r>
        <w:t xml:space="preserve"> (Policy) applies to all members</w:t>
      </w:r>
      <w:r w:rsidR="00F74AAF">
        <w:t>. The Policy</w:t>
      </w:r>
      <w:r>
        <w:t xml:space="preserve"> </w:t>
      </w:r>
      <w:r w:rsidR="00F74AAF">
        <w:t>enables members to be aware of their obligation to disclose any relevant interests that they may have, and to ensure that they effectively and consistently manage any conflicts of interest.</w:t>
      </w:r>
      <w:r w:rsidR="008275F4">
        <w:t xml:space="preserve"> </w:t>
      </w:r>
    </w:p>
    <w:p w14:paraId="78225984" w14:textId="609B1982" w:rsidR="00F74AAF" w:rsidRDefault="00F74AAF" w:rsidP="00AA2822">
      <w:pPr>
        <w:pStyle w:val="Heading2"/>
      </w:pPr>
      <w:r>
        <w:t>Secretariat Support</w:t>
      </w:r>
    </w:p>
    <w:p w14:paraId="392E8617" w14:textId="177A2B02" w:rsidR="00F74AAF" w:rsidRPr="00F74AAF" w:rsidRDefault="00F74AAF">
      <w:r>
        <w:t xml:space="preserve">Secretariat Support for the Advisory Group will be provided by the </w:t>
      </w:r>
      <w:r w:rsidR="005D6CD6">
        <w:t>Blood</w:t>
      </w:r>
      <w:r>
        <w:t xml:space="preserve"> Policy and Programs </w:t>
      </w:r>
      <w:r w:rsidR="00571A40">
        <w:t>Section</w:t>
      </w:r>
      <w:r w:rsidR="002032C0">
        <w:t xml:space="preserve"> and can be contacted via </w:t>
      </w:r>
      <w:hyperlink r:id="rId6" w:history="1">
        <w:r w:rsidR="002032C0" w:rsidRPr="00395F9E">
          <w:rPr>
            <w:rStyle w:val="Hyperlink"/>
          </w:rPr>
          <w:t>HPCPolicyPrograms@health.gov.au</w:t>
        </w:r>
      </w:hyperlink>
    </w:p>
    <w:sectPr w:rsidR="00F74AAF" w:rsidRPr="00F74AAF" w:rsidSect="00DD3D0B">
      <w:headerReference w:type="default" r:id="rId7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6D67" w14:textId="77777777" w:rsidR="008E6425" w:rsidRDefault="008E6425" w:rsidP="00B44DC8">
      <w:pPr>
        <w:spacing w:after="0" w:line="240" w:lineRule="auto"/>
      </w:pPr>
      <w:r>
        <w:separator/>
      </w:r>
    </w:p>
  </w:endnote>
  <w:endnote w:type="continuationSeparator" w:id="0">
    <w:p w14:paraId="50F78E8A" w14:textId="77777777" w:rsidR="008E6425" w:rsidRDefault="008E6425" w:rsidP="00B4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2813C" w14:textId="77777777" w:rsidR="008E6425" w:rsidRDefault="008E6425" w:rsidP="00B44DC8">
      <w:pPr>
        <w:spacing w:after="0" w:line="240" w:lineRule="auto"/>
      </w:pPr>
      <w:r>
        <w:separator/>
      </w:r>
    </w:p>
  </w:footnote>
  <w:footnote w:type="continuationSeparator" w:id="0">
    <w:p w14:paraId="6C689449" w14:textId="77777777" w:rsidR="008E6425" w:rsidRDefault="008E6425" w:rsidP="00B4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75407" w14:textId="7BFFBA7A" w:rsidR="00B44DC8" w:rsidRDefault="00B44DC8">
    <w:pPr>
      <w:pStyle w:val="Header"/>
    </w:pPr>
    <w:r>
      <w:rPr>
        <w:noProof/>
      </w:rPr>
      <w:drawing>
        <wp:inline distT="0" distB="0" distL="0" distR="0" wp14:anchorId="1C39A2FF" wp14:editId="4D5D9FBB">
          <wp:extent cx="2990351" cy="548640"/>
          <wp:effectExtent l="0" t="0" r="635" b="3810"/>
          <wp:docPr id="4" name="Picture 4" descr="Australian Government Department of Health and Aged 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ustralian Government Department of Health and Aged C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054" cy="56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8E2"/>
    <w:rsid w:val="00141A6F"/>
    <w:rsid w:val="001A5A5C"/>
    <w:rsid w:val="001E3B42"/>
    <w:rsid w:val="002032C0"/>
    <w:rsid w:val="002A729F"/>
    <w:rsid w:val="003C44AA"/>
    <w:rsid w:val="004130A8"/>
    <w:rsid w:val="00442B9A"/>
    <w:rsid w:val="004637F5"/>
    <w:rsid w:val="00571A40"/>
    <w:rsid w:val="005D6CD6"/>
    <w:rsid w:val="00691C64"/>
    <w:rsid w:val="00762F76"/>
    <w:rsid w:val="008275F4"/>
    <w:rsid w:val="00841275"/>
    <w:rsid w:val="008E6425"/>
    <w:rsid w:val="00995D44"/>
    <w:rsid w:val="009A55C8"/>
    <w:rsid w:val="00A578E2"/>
    <w:rsid w:val="00AA2822"/>
    <w:rsid w:val="00B44DC8"/>
    <w:rsid w:val="00C029FF"/>
    <w:rsid w:val="00C518CF"/>
    <w:rsid w:val="00CF6649"/>
    <w:rsid w:val="00D42677"/>
    <w:rsid w:val="00DD3D0B"/>
    <w:rsid w:val="00F41B53"/>
    <w:rsid w:val="00F7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EBD39"/>
  <w15:chartTrackingRefBased/>
  <w15:docId w15:val="{965435AC-32F3-44D6-9DA7-6766AE8F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822"/>
    <w:pPr>
      <w:spacing w:before="120" w:after="120"/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822"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A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A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4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A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A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AA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4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DC8"/>
  </w:style>
  <w:style w:type="paragraph" w:styleId="Footer">
    <w:name w:val="footer"/>
    <w:basedOn w:val="Normal"/>
    <w:link w:val="FooterChar"/>
    <w:uiPriority w:val="99"/>
    <w:unhideWhenUsed/>
    <w:rsid w:val="00B44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DC8"/>
  </w:style>
  <w:style w:type="paragraph" w:styleId="Revision">
    <w:name w:val="Revision"/>
    <w:hidden/>
    <w:uiPriority w:val="99"/>
    <w:semiHidden/>
    <w:rsid w:val="005D6CD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A2822"/>
    <w:rPr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AA28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PCPolicyPrograms@health.gov.a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1429</Characters>
  <Application>Microsoft Office Word</Application>
  <DocSecurity>4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HPC sector Clinical Advisory Group Governance</vt:lpstr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Haemopoietic Progenitor Cell (HPC) Sector Clinical Advisory Group Governance</dc:title>
  <dc:subject>Blood and Blood products</dc:subject>
  <dc:creator>Australian Government Department of Health and Aged Care</dc:creator>
  <cp:keywords/>
  <dc:description/>
  <cp:lastModifiedBy>Australian Government Department of Health and Aged </cp:lastModifiedBy>
  <cp:revision>2</cp:revision>
  <dcterms:created xsi:type="dcterms:W3CDTF">2024-03-25T03:48:00Z</dcterms:created>
  <dcterms:modified xsi:type="dcterms:W3CDTF">2024-03-25T03:48:00Z</dcterms:modified>
</cp:coreProperties>
</file>