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Hlk158718224" w:displacedByCustomXml="next"/>
    <w:sdt>
      <w:sdtPr>
        <w:rPr>
          <w:color w:val="000000" w:themeColor="text2"/>
          <w:sz w:val="20"/>
        </w:rPr>
        <w:id w:val="99308419"/>
        <w:docPartObj>
          <w:docPartGallery w:val="Cover Pages"/>
          <w:docPartUnique/>
        </w:docPartObj>
      </w:sdtPr>
      <w:sdtEndPr>
        <w:rPr>
          <w:color w:val="000000" w:themeColor="accent1"/>
        </w:rPr>
      </w:sdtEndPr>
      <w:sdtContent>
        <w:tbl>
          <w:tblPr>
            <w:tblpPr w:leftFromText="181" w:rightFromText="181" w:vertAnchor="page" w:horzAnchor="page" w:tblpX="568" w:tblpY="568"/>
            <w:tblOverlap w:val="never"/>
            <w:tblW w:w="5279" w:type="pct"/>
            <w:tblLayout w:type="fixed"/>
            <w:tblLook w:val="04A0" w:firstRow="1" w:lastRow="0" w:firstColumn="1" w:lastColumn="0" w:noHBand="0" w:noVBand="1"/>
          </w:tblPr>
          <w:tblGrid>
            <w:gridCol w:w="6379"/>
            <w:gridCol w:w="2621"/>
            <w:gridCol w:w="1773"/>
          </w:tblGrid>
          <w:tr w:rsidR="001F5103" w14:paraId="3DF4C80B" w14:textId="77777777" w:rsidTr="007156DF">
            <w:trPr>
              <w:trHeight w:val="9298"/>
            </w:trPr>
            <w:tc>
              <w:tcPr>
                <w:tcW w:w="10773" w:type="dxa"/>
                <w:gridSpan w:val="3"/>
                <w:shd w:val="clear" w:color="auto" w:fill="000F46" w:themeFill="background2"/>
              </w:tcPr>
              <w:p w14:paraId="3681B39E" w14:textId="6672715E" w:rsidR="001F5103" w:rsidRPr="00B221FB" w:rsidRDefault="00B02ED6" w:rsidP="00B221FB">
                <w:pPr>
                  <w:pStyle w:val="Intro"/>
                  <w:rPr>
                    <w:color w:val="FFFFFF" w:themeColor="background1"/>
                    <w:sz w:val="72"/>
                    <w:szCs w:val="72"/>
                  </w:rPr>
                </w:pPr>
                <w:r w:rsidRPr="00B221FB">
                  <w:rPr>
                    <w:color w:val="FFFFFF" w:themeColor="background1"/>
                    <w:sz w:val="72"/>
                    <w:szCs w:val="72"/>
                  </w:rPr>
                  <w:t>Consultation Document</w:t>
                </w:r>
              </w:p>
              <w:p w14:paraId="3AD5FA6C" w14:textId="40A750A2" w:rsidR="001F5103" w:rsidRDefault="001F5103" w:rsidP="0029236B">
                <w:pPr>
                  <w:pStyle w:val="CoverTitle"/>
                  <w:rPr>
                    <w:rFonts w:asciiTheme="minorHAnsi" w:eastAsiaTheme="minorEastAsia" w:hAnsiTheme="minorHAnsi" w:cstheme="minorBidi"/>
                    <w:color w:val="000000" w:themeColor="accent1"/>
                    <w:sz w:val="20"/>
                    <w:szCs w:val="20"/>
                  </w:rPr>
                </w:pPr>
              </w:p>
            </w:tc>
          </w:tr>
          <w:tr w:rsidR="001F5103" w14:paraId="060DC78C" w14:textId="77777777" w:rsidTr="007156DF">
            <w:trPr>
              <w:trHeight w:val="4139"/>
            </w:trPr>
            <w:tc>
              <w:tcPr>
                <w:tcW w:w="6379" w:type="dxa"/>
                <w:vMerge w:val="restart"/>
                <w:shd w:val="clear" w:color="auto" w:fill="003C55" w:themeFill="accent6"/>
              </w:tcPr>
              <w:p w14:paraId="517147C8" w14:textId="77777777" w:rsidR="001F5103" w:rsidRPr="00BF00E0" w:rsidRDefault="00401CA0" w:rsidP="00BF00E0">
                <w:pPr>
                  <w:pStyle w:val="Intro"/>
                  <w:rPr>
                    <w:color w:val="FFFFFF" w:themeColor="background1"/>
                  </w:rPr>
                </w:pPr>
                <w:r w:rsidRPr="00BF00E0">
                  <w:rPr>
                    <w:color w:val="FFFFFF" w:themeColor="background1"/>
                  </w:rPr>
                  <w:t>Co-design Project:</w:t>
                </w:r>
              </w:p>
              <w:p w14:paraId="5CD95BF1" w14:textId="77777777" w:rsidR="00401CA0" w:rsidRDefault="00401CA0" w:rsidP="00BF00E0">
                <w:pPr>
                  <w:pStyle w:val="Intro"/>
                  <w:rPr>
                    <w:color w:val="FFFFFF" w:themeColor="background1"/>
                  </w:rPr>
                </w:pPr>
                <w:r w:rsidRPr="00BF00E0">
                  <w:rPr>
                    <w:color w:val="FFFFFF" w:themeColor="background1"/>
                  </w:rPr>
                  <w:t>Enhanced Consumer Engagement Process</w:t>
                </w:r>
              </w:p>
              <w:p w14:paraId="72AB1A6C" w14:textId="2B460FFB" w:rsidR="007156DF" w:rsidRDefault="009955F3" w:rsidP="000E34B4">
                <w:pPr>
                  <w:pStyle w:val="Intro"/>
                  <w:spacing w:before="3600"/>
                </w:pPr>
                <w:r>
                  <w:rPr>
                    <w:color w:val="FFFFFF" w:themeColor="background1"/>
                    <w:sz w:val="36"/>
                    <w:szCs w:val="16"/>
                  </w:rPr>
                  <w:t>March</w:t>
                </w:r>
                <w:r w:rsidR="007156DF" w:rsidRPr="007156DF">
                  <w:rPr>
                    <w:color w:val="FFFFFF" w:themeColor="background1"/>
                    <w:sz w:val="36"/>
                    <w:szCs w:val="16"/>
                  </w:rPr>
                  <w:t xml:space="preserve"> 2024</w:t>
                </w:r>
              </w:p>
            </w:tc>
            <w:tc>
              <w:tcPr>
                <w:tcW w:w="4394" w:type="dxa"/>
                <w:gridSpan w:val="2"/>
                <w:shd w:val="clear" w:color="auto" w:fill="F2F2F2" w:themeFill="background1" w:themeFillShade="F2"/>
              </w:tcPr>
              <w:p w14:paraId="29218591" w14:textId="1B16D5C8" w:rsidR="001F5103" w:rsidRDefault="00375B43" w:rsidP="0029236B">
                <w:pPr>
                  <w:pStyle w:val="NoSpacing"/>
                  <w:jc w:val="right"/>
                  <w:rPr>
                    <w:noProof/>
                  </w:rPr>
                </w:pPr>
                <w:r>
                  <w:rPr>
                    <w:noProof/>
                  </w:rPr>
                  <w:drawing>
                    <wp:anchor distT="0" distB="0" distL="114300" distR="114300" simplePos="0" relativeHeight="251658241" behindDoc="0" locked="0" layoutInCell="1" allowOverlap="1" wp14:anchorId="10B5D5A2" wp14:editId="722FEFB1">
                      <wp:simplePos x="0" y="0"/>
                      <wp:positionH relativeFrom="page">
                        <wp:posOffset>1418590</wp:posOffset>
                      </wp:positionH>
                      <wp:positionV relativeFrom="paragraph">
                        <wp:posOffset>2621280</wp:posOffset>
                      </wp:positionV>
                      <wp:extent cx="1374775" cy="1356360"/>
                      <wp:effectExtent l="0" t="0" r="0" b="0"/>
                      <wp:wrapNone/>
                      <wp:docPr id="15133530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53044" name="Picture 4">
                                <a:extLst>
                                  <a:ext uri="{C183D7F6-B498-43B3-948B-1728B52AA6E4}">
                                    <adec:decorative xmlns:adec="http://schemas.microsoft.com/office/drawing/2017/decorative" val="1"/>
                                  </a:ext>
                                </a:extLst>
                              </pic:cNvPr>
                              <pic:cNvPicPr/>
                            </pic:nvPicPr>
                            <pic:blipFill rotWithShape="1">
                              <a:blip r:embed="rId11"/>
                              <a:srcRect t="-1" b="1337"/>
                              <a:stretch/>
                            </pic:blipFill>
                            <pic:spPr bwMode="auto">
                              <a:xfrm>
                                <a:off x="0" y="0"/>
                                <a:ext cx="1374775" cy="1356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F5103" w14:paraId="203447DE" w14:textId="77777777" w:rsidTr="007156DF">
            <w:trPr>
              <w:trHeight w:val="2141"/>
            </w:trPr>
            <w:tc>
              <w:tcPr>
                <w:tcW w:w="6379" w:type="dxa"/>
                <w:vMerge/>
              </w:tcPr>
              <w:p w14:paraId="59ACFE5B" w14:textId="77777777" w:rsidR="001F5103" w:rsidRPr="00935D09" w:rsidRDefault="001F5103" w:rsidP="0029236B">
                <w:pPr>
                  <w:pStyle w:val="CoverTitle"/>
                </w:pPr>
              </w:p>
            </w:tc>
            <w:tc>
              <w:tcPr>
                <w:tcW w:w="2621" w:type="dxa"/>
                <w:shd w:val="clear" w:color="auto" w:fill="46C8F0" w:themeFill="accent2"/>
              </w:tcPr>
              <w:p w14:paraId="5CA6C13F" w14:textId="5612676E" w:rsidR="001F5103" w:rsidRDefault="001F5103" w:rsidP="0029236B">
                <w:pPr>
                  <w:pStyle w:val="Identifier"/>
                  <w:framePr w:hSpace="0" w:wrap="auto" w:vAnchor="margin" w:hAnchor="text" w:xAlign="left" w:yAlign="inline"/>
                  <w:suppressOverlap w:val="0"/>
                </w:pPr>
              </w:p>
            </w:tc>
            <w:tc>
              <w:tcPr>
                <w:tcW w:w="1773" w:type="dxa"/>
                <w:shd w:val="clear" w:color="auto" w:fill="46C8F0" w:themeFill="accent2"/>
              </w:tcPr>
              <w:p w14:paraId="04508613" w14:textId="60453DC4" w:rsidR="001F5103" w:rsidRDefault="00000000" w:rsidP="0029236B">
                <w:pPr>
                  <w:pStyle w:val="NoSpacing"/>
                  <w:jc w:val="right"/>
                </w:pPr>
              </w:p>
            </w:tc>
          </w:tr>
        </w:tbl>
      </w:sdtContent>
    </w:sdt>
    <w:bookmarkEnd w:id="1"/>
    <w:p w14:paraId="373FEB9C" w14:textId="77777777" w:rsidR="002E04E0" w:rsidRDefault="002E04E0" w:rsidP="002E04E0">
      <w:pPr>
        <w:pStyle w:val="TOCHeading"/>
      </w:pPr>
      <w:r w:rsidRPr="0069557B">
        <w:lastRenderedPageBreak/>
        <w:t>Table of Contents</w:t>
      </w:r>
    </w:p>
    <w:p w14:paraId="1E3D28C2" w14:textId="6E345D9B" w:rsidR="00E5614B" w:rsidRDefault="002E04E0">
      <w:pPr>
        <w:pStyle w:val="TOC1"/>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"1-2" \h \z \t "Heading 1,1,Heading 1 Numbered,1,Divider Title,1" </w:instrText>
      </w:r>
      <w:r>
        <w:fldChar w:fldCharType="separate"/>
      </w:r>
      <w:hyperlink w:anchor="_Toc160023604" w:history="1">
        <w:r w:rsidR="00E5614B" w:rsidRPr="003E2A44">
          <w:rPr>
            <w:rStyle w:val="Hyperlink"/>
            <w:noProof/>
          </w:rPr>
          <w:t>About this document</w:t>
        </w:r>
        <w:r w:rsidR="00E5614B">
          <w:rPr>
            <w:noProof/>
            <w:webHidden/>
          </w:rPr>
          <w:tab/>
        </w:r>
        <w:r w:rsidR="00E5614B">
          <w:rPr>
            <w:noProof/>
            <w:webHidden/>
          </w:rPr>
          <w:fldChar w:fldCharType="begin"/>
        </w:r>
        <w:r w:rsidR="00E5614B">
          <w:rPr>
            <w:noProof/>
            <w:webHidden/>
          </w:rPr>
          <w:instrText xml:space="preserve"> PAGEREF _Toc160023604 \h </w:instrText>
        </w:r>
        <w:r w:rsidR="00E5614B">
          <w:rPr>
            <w:noProof/>
            <w:webHidden/>
          </w:rPr>
        </w:r>
        <w:r w:rsidR="00E5614B">
          <w:rPr>
            <w:noProof/>
            <w:webHidden/>
          </w:rPr>
          <w:fldChar w:fldCharType="separate"/>
        </w:r>
        <w:r w:rsidR="00425A87">
          <w:rPr>
            <w:noProof/>
            <w:webHidden/>
          </w:rPr>
          <w:t>1</w:t>
        </w:r>
        <w:r w:rsidR="00E5614B">
          <w:rPr>
            <w:noProof/>
            <w:webHidden/>
          </w:rPr>
          <w:fldChar w:fldCharType="end"/>
        </w:r>
      </w:hyperlink>
    </w:p>
    <w:p w14:paraId="2B516555" w14:textId="523EAEBF"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05" w:history="1">
        <w:r w:rsidR="00E5614B" w:rsidRPr="003E2A44">
          <w:rPr>
            <w:rStyle w:val="Hyperlink"/>
          </w:rPr>
          <w:t>How to provide input</w:t>
        </w:r>
        <w:r w:rsidR="00E5614B">
          <w:rPr>
            <w:webHidden/>
          </w:rPr>
          <w:tab/>
        </w:r>
        <w:r w:rsidR="00E5614B">
          <w:rPr>
            <w:webHidden/>
          </w:rPr>
          <w:fldChar w:fldCharType="begin"/>
        </w:r>
        <w:r w:rsidR="00E5614B">
          <w:rPr>
            <w:webHidden/>
          </w:rPr>
          <w:instrText xml:space="preserve"> PAGEREF _Toc160023605 \h </w:instrText>
        </w:r>
        <w:r w:rsidR="00E5614B">
          <w:rPr>
            <w:webHidden/>
          </w:rPr>
        </w:r>
        <w:r w:rsidR="00E5614B">
          <w:rPr>
            <w:webHidden/>
          </w:rPr>
          <w:fldChar w:fldCharType="separate"/>
        </w:r>
        <w:r w:rsidR="00425A87">
          <w:rPr>
            <w:webHidden/>
          </w:rPr>
          <w:t>1</w:t>
        </w:r>
        <w:r w:rsidR="00E5614B">
          <w:rPr>
            <w:webHidden/>
          </w:rPr>
          <w:fldChar w:fldCharType="end"/>
        </w:r>
      </w:hyperlink>
    </w:p>
    <w:p w14:paraId="6CA932F6" w14:textId="4B2568A0"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06" w:history="1">
        <w:r w:rsidR="00E5614B" w:rsidRPr="003E2A44">
          <w:rPr>
            <w:rStyle w:val="Hyperlink"/>
          </w:rPr>
          <w:t>Contact</w:t>
        </w:r>
        <w:r w:rsidR="00E5614B">
          <w:rPr>
            <w:webHidden/>
          </w:rPr>
          <w:tab/>
        </w:r>
        <w:r w:rsidR="00E5614B">
          <w:rPr>
            <w:webHidden/>
          </w:rPr>
          <w:fldChar w:fldCharType="begin"/>
        </w:r>
        <w:r w:rsidR="00E5614B">
          <w:rPr>
            <w:webHidden/>
          </w:rPr>
          <w:instrText xml:space="preserve"> PAGEREF _Toc160023606 \h </w:instrText>
        </w:r>
        <w:r w:rsidR="00E5614B">
          <w:rPr>
            <w:webHidden/>
          </w:rPr>
        </w:r>
        <w:r w:rsidR="00E5614B">
          <w:rPr>
            <w:webHidden/>
          </w:rPr>
          <w:fldChar w:fldCharType="separate"/>
        </w:r>
        <w:r w:rsidR="00425A87">
          <w:rPr>
            <w:webHidden/>
          </w:rPr>
          <w:t>1</w:t>
        </w:r>
        <w:r w:rsidR="00E5614B">
          <w:rPr>
            <w:webHidden/>
          </w:rPr>
          <w:fldChar w:fldCharType="end"/>
        </w:r>
      </w:hyperlink>
    </w:p>
    <w:p w14:paraId="3214F357" w14:textId="23283A22"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07" w:history="1">
        <w:r w:rsidR="00E5614B" w:rsidRPr="003E2A44">
          <w:rPr>
            <w:rStyle w:val="Hyperlink"/>
            <w:noProof/>
          </w:rPr>
          <w:t>Terminology</w:t>
        </w:r>
        <w:r w:rsidR="00E5614B">
          <w:rPr>
            <w:noProof/>
            <w:webHidden/>
          </w:rPr>
          <w:tab/>
        </w:r>
        <w:r w:rsidR="00E5614B">
          <w:rPr>
            <w:noProof/>
            <w:webHidden/>
          </w:rPr>
          <w:fldChar w:fldCharType="begin"/>
        </w:r>
        <w:r w:rsidR="00E5614B">
          <w:rPr>
            <w:noProof/>
            <w:webHidden/>
          </w:rPr>
          <w:instrText xml:space="preserve"> PAGEREF _Toc160023607 \h </w:instrText>
        </w:r>
        <w:r w:rsidR="00E5614B">
          <w:rPr>
            <w:noProof/>
            <w:webHidden/>
          </w:rPr>
        </w:r>
        <w:r w:rsidR="00E5614B">
          <w:rPr>
            <w:noProof/>
            <w:webHidden/>
          </w:rPr>
          <w:fldChar w:fldCharType="separate"/>
        </w:r>
        <w:r w:rsidR="00425A87">
          <w:rPr>
            <w:noProof/>
            <w:webHidden/>
          </w:rPr>
          <w:t>2</w:t>
        </w:r>
        <w:r w:rsidR="00E5614B">
          <w:rPr>
            <w:noProof/>
            <w:webHidden/>
          </w:rPr>
          <w:fldChar w:fldCharType="end"/>
        </w:r>
      </w:hyperlink>
    </w:p>
    <w:p w14:paraId="68C820B4" w14:textId="28665D1A"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08" w:history="1">
        <w:r w:rsidR="00E5614B" w:rsidRPr="003E2A44">
          <w:rPr>
            <w:rStyle w:val="Hyperlink"/>
          </w:rPr>
          <w:t>Key Terms</w:t>
        </w:r>
        <w:r w:rsidR="00E5614B">
          <w:rPr>
            <w:webHidden/>
          </w:rPr>
          <w:tab/>
        </w:r>
        <w:r w:rsidR="00E5614B">
          <w:rPr>
            <w:webHidden/>
          </w:rPr>
          <w:fldChar w:fldCharType="begin"/>
        </w:r>
        <w:r w:rsidR="00E5614B">
          <w:rPr>
            <w:webHidden/>
          </w:rPr>
          <w:instrText xml:space="preserve"> PAGEREF _Toc160023608 \h </w:instrText>
        </w:r>
        <w:r w:rsidR="00E5614B">
          <w:rPr>
            <w:webHidden/>
          </w:rPr>
        </w:r>
        <w:r w:rsidR="00E5614B">
          <w:rPr>
            <w:webHidden/>
          </w:rPr>
          <w:fldChar w:fldCharType="separate"/>
        </w:r>
        <w:r w:rsidR="00425A87">
          <w:rPr>
            <w:webHidden/>
          </w:rPr>
          <w:t>2</w:t>
        </w:r>
        <w:r w:rsidR="00E5614B">
          <w:rPr>
            <w:webHidden/>
          </w:rPr>
          <w:fldChar w:fldCharType="end"/>
        </w:r>
      </w:hyperlink>
    </w:p>
    <w:p w14:paraId="609B79E6" w14:textId="19A374CC"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09" w:history="1">
        <w:r w:rsidR="00E5614B" w:rsidRPr="003E2A44">
          <w:rPr>
            <w:rStyle w:val="Hyperlink"/>
          </w:rPr>
          <w:t>Acronyms</w:t>
        </w:r>
        <w:r w:rsidR="00E5614B">
          <w:rPr>
            <w:webHidden/>
          </w:rPr>
          <w:tab/>
        </w:r>
        <w:r w:rsidR="00E5614B">
          <w:rPr>
            <w:webHidden/>
          </w:rPr>
          <w:fldChar w:fldCharType="begin"/>
        </w:r>
        <w:r w:rsidR="00E5614B">
          <w:rPr>
            <w:webHidden/>
          </w:rPr>
          <w:instrText xml:space="preserve"> PAGEREF _Toc160023609 \h </w:instrText>
        </w:r>
        <w:r w:rsidR="00E5614B">
          <w:rPr>
            <w:webHidden/>
          </w:rPr>
        </w:r>
        <w:r w:rsidR="00E5614B">
          <w:rPr>
            <w:webHidden/>
          </w:rPr>
          <w:fldChar w:fldCharType="separate"/>
        </w:r>
        <w:r w:rsidR="00425A87">
          <w:rPr>
            <w:webHidden/>
          </w:rPr>
          <w:t>2</w:t>
        </w:r>
        <w:r w:rsidR="00E5614B">
          <w:rPr>
            <w:webHidden/>
          </w:rPr>
          <w:fldChar w:fldCharType="end"/>
        </w:r>
      </w:hyperlink>
    </w:p>
    <w:p w14:paraId="47A04498" w14:textId="44A83C66"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0" w:history="1">
        <w:r w:rsidR="00E5614B" w:rsidRPr="003E2A44">
          <w:rPr>
            <w:rStyle w:val="Hyperlink"/>
            <w:noProof/>
          </w:rPr>
          <w:t>Project Background</w:t>
        </w:r>
        <w:r w:rsidR="00E5614B">
          <w:rPr>
            <w:noProof/>
            <w:webHidden/>
          </w:rPr>
          <w:tab/>
        </w:r>
        <w:r w:rsidR="00E5614B">
          <w:rPr>
            <w:noProof/>
            <w:webHidden/>
          </w:rPr>
          <w:fldChar w:fldCharType="begin"/>
        </w:r>
        <w:r w:rsidR="00E5614B">
          <w:rPr>
            <w:noProof/>
            <w:webHidden/>
          </w:rPr>
          <w:instrText xml:space="preserve"> PAGEREF _Toc160023610 \h </w:instrText>
        </w:r>
        <w:r w:rsidR="00E5614B">
          <w:rPr>
            <w:noProof/>
            <w:webHidden/>
          </w:rPr>
        </w:r>
        <w:r w:rsidR="00E5614B">
          <w:rPr>
            <w:noProof/>
            <w:webHidden/>
          </w:rPr>
          <w:fldChar w:fldCharType="separate"/>
        </w:r>
        <w:r w:rsidR="00425A87">
          <w:rPr>
            <w:noProof/>
            <w:webHidden/>
          </w:rPr>
          <w:t>3</w:t>
        </w:r>
        <w:r w:rsidR="00E5614B">
          <w:rPr>
            <w:noProof/>
            <w:webHidden/>
          </w:rPr>
          <w:fldChar w:fldCharType="end"/>
        </w:r>
      </w:hyperlink>
    </w:p>
    <w:p w14:paraId="6A746577" w14:textId="02C24E43"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1" w:history="1">
        <w:r w:rsidR="00E5614B" w:rsidRPr="003E2A44">
          <w:rPr>
            <w:rStyle w:val="Hyperlink"/>
            <w:noProof/>
          </w:rPr>
          <w:t>Section 1:</w:t>
        </w:r>
        <w:r w:rsidR="00E5614B">
          <w:rPr>
            <w:noProof/>
            <w:webHidden/>
          </w:rPr>
          <w:tab/>
        </w:r>
        <w:r w:rsidR="00E5614B">
          <w:rPr>
            <w:noProof/>
            <w:webHidden/>
          </w:rPr>
          <w:fldChar w:fldCharType="begin"/>
        </w:r>
        <w:r w:rsidR="00E5614B">
          <w:rPr>
            <w:noProof/>
            <w:webHidden/>
          </w:rPr>
          <w:instrText xml:space="preserve"> PAGEREF _Toc160023611 \h </w:instrText>
        </w:r>
        <w:r w:rsidR="00E5614B">
          <w:rPr>
            <w:noProof/>
            <w:webHidden/>
          </w:rPr>
        </w:r>
        <w:r w:rsidR="00E5614B">
          <w:rPr>
            <w:noProof/>
            <w:webHidden/>
          </w:rPr>
          <w:fldChar w:fldCharType="separate"/>
        </w:r>
        <w:r w:rsidR="00425A87">
          <w:rPr>
            <w:noProof/>
            <w:webHidden/>
          </w:rPr>
          <w:t>4</w:t>
        </w:r>
        <w:r w:rsidR="00E5614B">
          <w:rPr>
            <w:noProof/>
            <w:webHidden/>
          </w:rPr>
          <w:fldChar w:fldCharType="end"/>
        </w:r>
      </w:hyperlink>
    </w:p>
    <w:p w14:paraId="0E6575CD" w14:textId="23AA7EB4"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2" w:history="1">
        <w:r w:rsidR="00E5614B" w:rsidRPr="003E2A44">
          <w:rPr>
            <w:rStyle w:val="Hyperlink"/>
            <w:noProof/>
          </w:rPr>
          <w:t>Summary of Proposed Recommendations for Enhanced Consumer Engagement</w:t>
        </w:r>
        <w:r w:rsidR="00E5614B">
          <w:rPr>
            <w:noProof/>
            <w:webHidden/>
          </w:rPr>
          <w:tab/>
        </w:r>
        <w:r w:rsidR="00E5614B">
          <w:rPr>
            <w:noProof/>
            <w:webHidden/>
          </w:rPr>
          <w:fldChar w:fldCharType="begin"/>
        </w:r>
        <w:r w:rsidR="00E5614B">
          <w:rPr>
            <w:noProof/>
            <w:webHidden/>
          </w:rPr>
          <w:instrText xml:space="preserve"> PAGEREF _Toc160023612 \h </w:instrText>
        </w:r>
        <w:r w:rsidR="00E5614B">
          <w:rPr>
            <w:noProof/>
            <w:webHidden/>
          </w:rPr>
        </w:r>
        <w:r w:rsidR="00E5614B">
          <w:rPr>
            <w:noProof/>
            <w:webHidden/>
          </w:rPr>
          <w:fldChar w:fldCharType="separate"/>
        </w:r>
        <w:r w:rsidR="00425A87">
          <w:rPr>
            <w:noProof/>
            <w:webHidden/>
          </w:rPr>
          <w:t>4</w:t>
        </w:r>
        <w:r w:rsidR="00E5614B">
          <w:rPr>
            <w:noProof/>
            <w:webHidden/>
          </w:rPr>
          <w:fldChar w:fldCharType="end"/>
        </w:r>
      </w:hyperlink>
    </w:p>
    <w:p w14:paraId="6564FEB4" w14:textId="42131181"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13" w:history="1">
        <w:r w:rsidR="00E5614B" w:rsidRPr="003E2A44">
          <w:rPr>
            <w:rStyle w:val="Hyperlink"/>
          </w:rPr>
          <w:t>Proposed Recommendations</w:t>
        </w:r>
        <w:r w:rsidR="00E5614B">
          <w:rPr>
            <w:webHidden/>
          </w:rPr>
          <w:tab/>
        </w:r>
        <w:r w:rsidR="00E5614B">
          <w:rPr>
            <w:webHidden/>
          </w:rPr>
          <w:fldChar w:fldCharType="begin"/>
        </w:r>
        <w:r w:rsidR="00E5614B">
          <w:rPr>
            <w:webHidden/>
          </w:rPr>
          <w:instrText xml:space="preserve"> PAGEREF _Toc160023613 \h </w:instrText>
        </w:r>
        <w:r w:rsidR="00E5614B">
          <w:rPr>
            <w:webHidden/>
          </w:rPr>
        </w:r>
        <w:r w:rsidR="00E5614B">
          <w:rPr>
            <w:webHidden/>
          </w:rPr>
          <w:fldChar w:fldCharType="separate"/>
        </w:r>
        <w:r w:rsidR="00425A87">
          <w:rPr>
            <w:webHidden/>
          </w:rPr>
          <w:t>5</w:t>
        </w:r>
        <w:r w:rsidR="00E5614B">
          <w:rPr>
            <w:webHidden/>
          </w:rPr>
          <w:fldChar w:fldCharType="end"/>
        </w:r>
      </w:hyperlink>
    </w:p>
    <w:p w14:paraId="6E8C394C" w14:textId="60C75356"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14" w:history="1">
        <w:r w:rsidR="00E5614B" w:rsidRPr="003E2A44">
          <w:rPr>
            <w:rStyle w:val="Hyperlink"/>
          </w:rPr>
          <w:t>Implementation Considerations</w:t>
        </w:r>
        <w:r w:rsidR="00E5614B">
          <w:rPr>
            <w:webHidden/>
          </w:rPr>
          <w:tab/>
        </w:r>
        <w:r w:rsidR="00E5614B">
          <w:rPr>
            <w:webHidden/>
          </w:rPr>
          <w:fldChar w:fldCharType="begin"/>
        </w:r>
        <w:r w:rsidR="00E5614B">
          <w:rPr>
            <w:webHidden/>
          </w:rPr>
          <w:instrText xml:space="preserve"> PAGEREF _Toc160023614 \h </w:instrText>
        </w:r>
        <w:r w:rsidR="00E5614B">
          <w:rPr>
            <w:webHidden/>
          </w:rPr>
        </w:r>
        <w:r w:rsidR="00E5614B">
          <w:rPr>
            <w:webHidden/>
          </w:rPr>
          <w:fldChar w:fldCharType="separate"/>
        </w:r>
        <w:r w:rsidR="00425A87">
          <w:rPr>
            <w:webHidden/>
          </w:rPr>
          <w:t>11</w:t>
        </w:r>
        <w:r w:rsidR="00E5614B">
          <w:rPr>
            <w:webHidden/>
          </w:rPr>
          <w:fldChar w:fldCharType="end"/>
        </w:r>
      </w:hyperlink>
    </w:p>
    <w:p w14:paraId="147F06C2" w14:textId="5994B066"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5" w:history="1">
        <w:r w:rsidR="00E5614B" w:rsidRPr="003E2A44">
          <w:rPr>
            <w:rStyle w:val="Hyperlink"/>
            <w:noProof/>
          </w:rPr>
          <w:t>Section 2:</w:t>
        </w:r>
        <w:r w:rsidR="00E5614B">
          <w:rPr>
            <w:noProof/>
            <w:webHidden/>
          </w:rPr>
          <w:tab/>
        </w:r>
        <w:r w:rsidR="00E5614B">
          <w:rPr>
            <w:noProof/>
            <w:webHidden/>
          </w:rPr>
          <w:fldChar w:fldCharType="begin"/>
        </w:r>
        <w:r w:rsidR="00E5614B">
          <w:rPr>
            <w:noProof/>
            <w:webHidden/>
          </w:rPr>
          <w:instrText xml:space="preserve"> PAGEREF _Toc160023615 \h </w:instrText>
        </w:r>
        <w:r w:rsidR="00E5614B">
          <w:rPr>
            <w:noProof/>
            <w:webHidden/>
          </w:rPr>
        </w:r>
        <w:r w:rsidR="00E5614B">
          <w:rPr>
            <w:noProof/>
            <w:webHidden/>
          </w:rPr>
          <w:fldChar w:fldCharType="separate"/>
        </w:r>
        <w:r w:rsidR="00425A87">
          <w:rPr>
            <w:noProof/>
            <w:webHidden/>
          </w:rPr>
          <w:t>12</w:t>
        </w:r>
        <w:r w:rsidR="00E5614B">
          <w:rPr>
            <w:noProof/>
            <w:webHidden/>
          </w:rPr>
          <w:fldChar w:fldCharType="end"/>
        </w:r>
      </w:hyperlink>
    </w:p>
    <w:p w14:paraId="6832F48D" w14:textId="10D64230"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6" w:history="1">
        <w:r w:rsidR="00E5614B" w:rsidRPr="003E2A44">
          <w:rPr>
            <w:rStyle w:val="Hyperlink"/>
            <w:noProof/>
          </w:rPr>
          <w:t>Detailed Descriptions of Proposed Recommendations for Enhanced Consumer Engagement</w:t>
        </w:r>
        <w:r w:rsidR="00E5614B">
          <w:rPr>
            <w:noProof/>
            <w:webHidden/>
          </w:rPr>
          <w:tab/>
        </w:r>
        <w:r w:rsidR="00E5614B">
          <w:rPr>
            <w:noProof/>
            <w:webHidden/>
          </w:rPr>
          <w:fldChar w:fldCharType="begin"/>
        </w:r>
        <w:r w:rsidR="00E5614B">
          <w:rPr>
            <w:noProof/>
            <w:webHidden/>
          </w:rPr>
          <w:instrText xml:space="preserve"> PAGEREF _Toc160023616 \h </w:instrText>
        </w:r>
        <w:r w:rsidR="00E5614B">
          <w:rPr>
            <w:noProof/>
            <w:webHidden/>
          </w:rPr>
        </w:r>
        <w:r w:rsidR="00E5614B">
          <w:rPr>
            <w:noProof/>
            <w:webHidden/>
          </w:rPr>
          <w:fldChar w:fldCharType="separate"/>
        </w:r>
        <w:r w:rsidR="00425A87">
          <w:rPr>
            <w:noProof/>
            <w:webHidden/>
          </w:rPr>
          <w:t>12</w:t>
        </w:r>
        <w:r w:rsidR="00E5614B">
          <w:rPr>
            <w:noProof/>
            <w:webHidden/>
          </w:rPr>
          <w:fldChar w:fldCharType="end"/>
        </w:r>
      </w:hyperlink>
    </w:p>
    <w:p w14:paraId="05DCA848" w14:textId="0D4EE4FD"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17" w:history="1">
        <w:r w:rsidR="00E5614B" w:rsidRPr="003E2A44">
          <w:rPr>
            <w:rStyle w:val="Hyperlink"/>
            <w:noProof/>
          </w:rPr>
          <w:t>Introduction</w:t>
        </w:r>
        <w:r w:rsidR="00E5614B">
          <w:rPr>
            <w:noProof/>
            <w:webHidden/>
          </w:rPr>
          <w:tab/>
        </w:r>
        <w:r w:rsidR="00E5614B">
          <w:rPr>
            <w:noProof/>
            <w:webHidden/>
          </w:rPr>
          <w:fldChar w:fldCharType="begin"/>
        </w:r>
        <w:r w:rsidR="00E5614B">
          <w:rPr>
            <w:noProof/>
            <w:webHidden/>
          </w:rPr>
          <w:instrText xml:space="preserve"> PAGEREF _Toc160023617 \h </w:instrText>
        </w:r>
        <w:r w:rsidR="00E5614B">
          <w:rPr>
            <w:noProof/>
            <w:webHidden/>
          </w:rPr>
        </w:r>
        <w:r w:rsidR="00E5614B">
          <w:rPr>
            <w:noProof/>
            <w:webHidden/>
          </w:rPr>
          <w:fldChar w:fldCharType="separate"/>
        </w:r>
        <w:r w:rsidR="00425A87">
          <w:rPr>
            <w:noProof/>
            <w:webHidden/>
          </w:rPr>
          <w:t>13</w:t>
        </w:r>
        <w:r w:rsidR="00E5614B">
          <w:rPr>
            <w:noProof/>
            <w:webHidden/>
          </w:rPr>
          <w:fldChar w:fldCharType="end"/>
        </w:r>
      </w:hyperlink>
    </w:p>
    <w:p w14:paraId="7D308A93" w14:textId="4F05DE22"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18" w:history="1">
        <w:r w:rsidR="00E5614B" w:rsidRPr="003E2A44">
          <w:rPr>
            <w:rStyle w:val="Hyperlink"/>
          </w:rPr>
          <w:t>Background</w:t>
        </w:r>
        <w:r w:rsidR="00E5614B">
          <w:rPr>
            <w:webHidden/>
          </w:rPr>
          <w:tab/>
        </w:r>
        <w:r w:rsidR="00E5614B">
          <w:rPr>
            <w:webHidden/>
          </w:rPr>
          <w:fldChar w:fldCharType="begin"/>
        </w:r>
        <w:r w:rsidR="00E5614B">
          <w:rPr>
            <w:webHidden/>
          </w:rPr>
          <w:instrText xml:space="preserve"> PAGEREF _Toc160023618 \h </w:instrText>
        </w:r>
        <w:r w:rsidR="00E5614B">
          <w:rPr>
            <w:webHidden/>
          </w:rPr>
        </w:r>
        <w:r w:rsidR="00E5614B">
          <w:rPr>
            <w:webHidden/>
          </w:rPr>
          <w:fldChar w:fldCharType="separate"/>
        </w:r>
        <w:r w:rsidR="00425A87">
          <w:rPr>
            <w:webHidden/>
          </w:rPr>
          <w:t>13</w:t>
        </w:r>
        <w:r w:rsidR="00E5614B">
          <w:rPr>
            <w:webHidden/>
          </w:rPr>
          <w:fldChar w:fldCharType="end"/>
        </w:r>
      </w:hyperlink>
    </w:p>
    <w:p w14:paraId="4A4120FD" w14:textId="1EBB4DD1"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19" w:history="1">
        <w:r w:rsidR="00E5614B" w:rsidRPr="003E2A44">
          <w:rPr>
            <w:rStyle w:val="Hyperlink"/>
          </w:rPr>
          <w:t>Purpose and Scope</w:t>
        </w:r>
        <w:r w:rsidR="00E5614B">
          <w:rPr>
            <w:webHidden/>
          </w:rPr>
          <w:tab/>
        </w:r>
        <w:r w:rsidR="00E5614B">
          <w:rPr>
            <w:webHidden/>
          </w:rPr>
          <w:fldChar w:fldCharType="begin"/>
        </w:r>
        <w:r w:rsidR="00E5614B">
          <w:rPr>
            <w:webHidden/>
          </w:rPr>
          <w:instrText xml:space="preserve"> PAGEREF _Toc160023619 \h </w:instrText>
        </w:r>
        <w:r w:rsidR="00E5614B">
          <w:rPr>
            <w:webHidden/>
          </w:rPr>
        </w:r>
        <w:r w:rsidR="00E5614B">
          <w:rPr>
            <w:webHidden/>
          </w:rPr>
          <w:fldChar w:fldCharType="separate"/>
        </w:r>
        <w:r w:rsidR="00425A87">
          <w:rPr>
            <w:webHidden/>
          </w:rPr>
          <w:t>13</w:t>
        </w:r>
        <w:r w:rsidR="00E5614B">
          <w:rPr>
            <w:webHidden/>
          </w:rPr>
          <w:fldChar w:fldCharType="end"/>
        </w:r>
      </w:hyperlink>
    </w:p>
    <w:p w14:paraId="3F9B5FDA" w14:textId="628C1B60"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20" w:history="1">
        <w:r w:rsidR="00E5614B" w:rsidRPr="003E2A44">
          <w:rPr>
            <w:rStyle w:val="Hyperlink"/>
          </w:rPr>
          <w:t>Co-design process</w:t>
        </w:r>
        <w:r w:rsidR="00E5614B">
          <w:rPr>
            <w:webHidden/>
          </w:rPr>
          <w:tab/>
        </w:r>
        <w:r w:rsidR="00E5614B">
          <w:rPr>
            <w:webHidden/>
          </w:rPr>
          <w:fldChar w:fldCharType="begin"/>
        </w:r>
        <w:r w:rsidR="00E5614B">
          <w:rPr>
            <w:webHidden/>
          </w:rPr>
          <w:instrText xml:space="preserve"> PAGEREF _Toc160023620 \h </w:instrText>
        </w:r>
        <w:r w:rsidR="00E5614B">
          <w:rPr>
            <w:webHidden/>
          </w:rPr>
        </w:r>
        <w:r w:rsidR="00E5614B">
          <w:rPr>
            <w:webHidden/>
          </w:rPr>
          <w:fldChar w:fldCharType="separate"/>
        </w:r>
        <w:r w:rsidR="00425A87">
          <w:rPr>
            <w:webHidden/>
          </w:rPr>
          <w:t>13</w:t>
        </w:r>
        <w:r w:rsidR="00E5614B">
          <w:rPr>
            <w:webHidden/>
          </w:rPr>
          <w:fldChar w:fldCharType="end"/>
        </w:r>
      </w:hyperlink>
    </w:p>
    <w:p w14:paraId="46B91526" w14:textId="77CD9025"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21" w:history="1">
        <w:r w:rsidR="00E5614B" w:rsidRPr="003E2A44">
          <w:rPr>
            <w:rStyle w:val="Hyperlink"/>
            <w:noProof/>
          </w:rPr>
          <w:t>Proposed Recommendations</w:t>
        </w:r>
        <w:r w:rsidR="00E5614B">
          <w:rPr>
            <w:noProof/>
            <w:webHidden/>
          </w:rPr>
          <w:tab/>
        </w:r>
        <w:r w:rsidR="00E5614B">
          <w:rPr>
            <w:noProof/>
            <w:webHidden/>
          </w:rPr>
          <w:fldChar w:fldCharType="begin"/>
        </w:r>
        <w:r w:rsidR="00E5614B">
          <w:rPr>
            <w:noProof/>
            <w:webHidden/>
          </w:rPr>
          <w:instrText xml:space="preserve"> PAGEREF _Toc160023621 \h </w:instrText>
        </w:r>
        <w:r w:rsidR="00E5614B">
          <w:rPr>
            <w:noProof/>
            <w:webHidden/>
          </w:rPr>
        </w:r>
        <w:r w:rsidR="00E5614B">
          <w:rPr>
            <w:noProof/>
            <w:webHidden/>
          </w:rPr>
          <w:fldChar w:fldCharType="separate"/>
        </w:r>
        <w:r w:rsidR="00425A87">
          <w:rPr>
            <w:noProof/>
            <w:webHidden/>
          </w:rPr>
          <w:t>15</w:t>
        </w:r>
        <w:r w:rsidR="00E5614B">
          <w:rPr>
            <w:noProof/>
            <w:webHidden/>
          </w:rPr>
          <w:fldChar w:fldCharType="end"/>
        </w:r>
      </w:hyperlink>
    </w:p>
    <w:p w14:paraId="456D1C4F" w14:textId="72F574CF"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22" w:history="1">
        <w:r w:rsidR="00E5614B" w:rsidRPr="003E2A44">
          <w:rPr>
            <w:rStyle w:val="Hyperlink"/>
          </w:rPr>
          <w:t>System-wide Enhancements</w:t>
        </w:r>
        <w:r w:rsidR="00E5614B">
          <w:rPr>
            <w:webHidden/>
          </w:rPr>
          <w:tab/>
        </w:r>
        <w:r w:rsidR="00E5614B">
          <w:rPr>
            <w:webHidden/>
          </w:rPr>
          <w:fldChar w:fldCharType="begin"/>
        </w:r>
        <w:r w:rsidR="00E5614B">
          <w:rPr>
            <w:webHidden/>
          </w:rPr>
          <w:instrText xml:space="preserve"> PAGEREF _Toc160023622 \h </w:instrText>
        </w:r>
        <w:r w:rsidR="00E5614B">
          <w:rPr>
            <w:webHidden/>
          </w:rPr>
        </w:r>
        <w:r w:rsidR="00E5614B">
          <w:rPr>
            <w:webHidden/>
          </w:rPr>
          <w:fldChar w:fldCharType="separate"/>
        </w:r>
        <w:r w:rsidR="00425A87">
          <w:rPr>
            <w:webHidden/>
          </w:rPr>
          <w:t>15</w:t>
        </w:r>
        <w:r w:rsidR="00E5614B">
          <w:rPr>
            <w:webHidden/>
          </w:rPr>
          <w:fldChar w:fldCharType="end"/>
        </w:r>
      </w:hyperlink>
    </w:p>
    <w:p w14:paraId="05E3E3CF" w14:textId="07738EC2"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23" w:history="1">
        <w:r w:rsidR="00E5614B" w:rsidRPr="003E2A44">
          <w:rPr>
            <w:rStyle w:val="Hyperlink"/>
          </w:rPr>
          <w:t>Pre-HTA Enhancements</w:t>
        </w:r>
        <w:r w:rsidR="00E5614B">
          <w:rPr>
            <w:webHidden/>
          </w:rPr>
          <w:tab/>
        </w:r>
        <w:r w:rsidR="00E5614B">
          <w:rPr>
            <w:webHidden/>
          </w:rPr>
          <w:fldChar w:fldCharType="begin"/>
        </w:r>
        <w:r w:rsidR="00E5614B">
          <w:rPr>
            <w:webHidden/>
          </w:rPr>
          <w:instrText xml:space="preserve"> PAGEREF _Toc160023623 \h </w:instrText>
        </w:r>
        <w:r w:rsidR="00E5614B">
          <w:rPr>
            <w:webHidden/>
          </w:rPr>
        </w:r>
        <w:r w:rsidR="00E5614B">
          <w:rPr>
            <w:webHidden/>
          </w:rPr>
          <w:fldChar w:fldCharType="separate"/>
        </w:r>
        <w:r w:rsidR="00425A87">
          <w:rPr>
            <w:webHidden/>
          </w:rPr>
          <w:t>18</w:t>
        </w:r>
        <w:r w:rsidR="00E5614B">
          <w:rPr>
            <w:webHidden/>
          </w:rPr>
          <w:fldChar w:fldCharType="end"/>
        </w:r>
      </w:hyperlink>
    </w:p>
    <w:p w14:paraId="12A73F43" w14:textId="493D8507"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24" w:history="1">
        <w:r w:rsidR="00E5614B" w:rsidRPr="003E2A44">
          <w:rPr>
            <w:rStyle w:val="Hyperlink"/>
          </w:rPr>
          <w:t>HTA Process Enhancements</w:t>
        </w:r>
        <w:r w:rsidR="00E5614B">
          <w:rPr>
            <w:webHidden/>
          </w:rPr>
          <w:tab/>
        </w:r>
        <w:r w:rsidR="00E5614B">
          <w:rPr>
            <w:webHidden/>
          </w:rPr>
          <w:fldChar w:fldCharType="begin"/>
        </w:r>
        <w:r w:rsidR="00E5614B">
          <w:rPr>
            <w:webHidden/>
          </w:rPr>
          <w:instrText xml:space="preserve"> PAGEREF _Toc160023624 \h </w:instrText>
        </w:r>
        <w:r w:rsidR="00E5614B">
          <w:rPr>
            <w:webHidden/>
          </w:rPr>
        </w:r>
        <w:r w:rsidR="00E5614B">
          <w:rPr>
            <w:webHidden/>
          </w:rPr>
          <w:fldChar w:fldCharType="separate"/>
        </w:r>
        <w:r w:rsidR="00425A87">
          <w:rPr>
            <w:webHidden/>
          </w:rPr>
          <w:t>19</w:t>
        </w:r>
        <w:r w:rsidR="00E5614B">
          <w:rPr>
            <w:webHidden/>
          </w:rPr>
          <w:fldChar w:fldCharType="end"/>
        </w:r>
      </w:hyperlink>
    </w:p>
    <w:p w14:paraId="3532B69F" w14:textId="258E4A80" w:rsidR="00E5614B" w:rsidRDefault="00000000">
      <w:pPr>
        <w:pStyle w:val="TOC2"/>
        <w:rPr>
          <w:rFonts w:asciiTheme="minorHAnsi" w:eastAsiaTheme="minorEastAsia" w:hAnsiTheme="minorHAnsi"/>
          <w:bCs w:val="0"/>
          <w:color w:val="auto"/>
          <w:kern w:val="2"/>
          <w:sz w:val="24"/>
          <w:szCs w:val="24"/>
          <w:lang w:eastAsia="en-AU"/>
          <w14:ligatures w14:val="standardContextual"/>
        </w:rPr>
      </w:pPr>
      <w:hyperlink w:anchor="_Toc160023625" w:history="1">
        <w:r w:rsidR="00E5614B" w:rsidRPr="003E2A44">
          <w:rPr>
            <w:rStyle w:val="Hyperlink"/>
          </w:rPr>
          <w:t>Post-HTA Enhancements</w:t>
        </w:r>
        <w:r w:rsidR="00E5614B">
          <w:rPr>
            <w:webHidden/>
          </w:rPr>
          <w:tab/>
        </w:r>
        <w:r w:rsidR="00E5614B">
          <w:rPr>
            <w:webHidden/>
          </w:rPr>
          <w:fldChar w:fldCharType="begin"/>
        </w:r>
        <w:r w:rsidR="00E5614B">
          <w:rPr>
            <w:webHidden/>
          </w:rPr>
          <w:instrText xml:space="preserve"> PAGEREF _Toc160023625 \h </w:instrText>
        </w:r>
        <w:r w:rsidR="00E5614B">
          <w:rPr>
            <w:webHidden/>
          </w:rPr>
        </w:r>
        <w:r w:rsidR="00E5614B">
          <w:rPr>
            <w:webHidden/>
          </w:rPr>
          <w:fldChar w:fldCharType="separate"/>
        </w:r>
        <w:r w:rsidR="00425A87">
          <w:rPr>
            <w:webHidden/>
          </w:rPr>
          <w:t>21</w:t>
        </w:r>
        <w:r w:rsidR="00E5614B">
          <w:rPr>
            <w:webHidden/>
          </w:rPr>
          <w:fldChar w:fldCharType="end"/>
        </w:r>
      </w:hyperlink>
    </w:p>
    <w:p w14:paraId="7594BDF6" w14:textId="75276A35"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26" w:history="1">
        <w:r w:rsidR="00E5614B" w:rsidRPr="003E2A44">
          <w:rPr>
            <w:rStyle w:val="Hyperlink"/>
            <w:noProof/>
          </w:rPr>
          <w:t>Implementation Considerations</w:t>
        </w:r>
        <w:r w:rsidR="00E5614B">
          <w:rPr>
            <w:noProof/>
            <w:webHidden/>
          </w:rPr>
          <w:tab/>
        </w:r>
        <w:r w:rsidR="00E5614B">
          <w:rPr>
            <w:noProof/>
            <w:webHidden/>
          </w:rPr>
          <w:fldChar w:fldCharType="begin"/>
        </w:r>
        <w:r w:rsidR="00E5614B">
          <w:rPr>
            <w:noProof/>
            <w:webHidden/>
          </w:rPr>
          <w:instrText xml:space="preserve"> PAGEREF _Toc160023626 \h </w:instrText>
        </w:r>
        <w:r w:rsidR="00E5614B">
          <w:rPr>
            <w:noProof/>
            <w:webHidden/>
          </w:rPr>
        </w:r>
        <w:r w:rsidR="00E5614B">
          <w:rPr>
            <w:noProof/>
            <w:webHidden/>
          </w:rPr>
          <w:fldChar w:fldCharType="separate"/>
        </w:r>
        <w:r w:rsidR="00425A87">
          <w:rPr>
            <w:noProof/>
            <w:webHidden/>
          </w:rPr>
          <w:t>22</w:t>
        </w:r>
        <w:r w:rsidR="00E5614B">
          <w:rPr>
            <w:noProof/>
            <w:webHidden/>
          </w:rPr>
          <w:fldChar w:fldCharType="end"/>
        </w:r>
      </w:hyperlink>
    </w:p>
    <w:p w14:paraId="66487C27" w14:textId="37277319" w:rsidR="00E5614B" w:rsidRDefault="00000000">
      <w:pPr>
        <w:pStyle w:val="TOC1"/>
        <w:rPr>
          <w:rFonts w:asciiTheme="minorHAnsi" w:eastAsiaTheme="minorEastAsia" w:hAnsiTheme="minorHAnsi"/>
          <w:b w:val="0"/>
          <w:noProof/>
          <w:color w:val="auto"/>
          <w:kern w:val="2"/>
          <w:sz w:val="24"/>
          <w:szCs w:val="24"/>
          <w:lang w:eastAsia="en-AU"/>
          <w14:ligatures w14:val="standardContextual"/>
        </w:rPr>
      </w:pPr>
      <w:hyperlink w:anchor="_Toc160023627" w:history="1">
        <w:r w:rsidR="00E5614B" w:rsidRPr="003E2A44">
          <w:rPr>
            <w:rStyle w:val="Hyperlink"/>
            <w:noProof/>
          </w:rPr>
          <w:t>Conclusion</w:t>
        </w:r>
        <w:r w:rsidR="00E5614B">
          <w:rPr>
            <w:noProof/>
            <w:webHidden/>
          </w:rPr>
          <w:tab/>
        </w:r>
        <w:r w:rsidR="00E5614B">
          <w:rPr>
            <w:noProof/>
            <w:webHidden/>
          </w:rPr>
          <w:fldChar w:fldCharType="begin"/>
        </w:r>
        <w:r w:rsidR="00E5614B">
          <w:rPr>
            <w:noProof/>
            <w:webHidden/>
          </w:rPr>
          <w:instrText xml:space="preserve"> PAGEREF _Toc160023627 \h </w:instrText>
        </w:r>
        <w:r w:rsidR="00E5614B">
          <w:rPr>
            <w:noProof/>
            <w:webHidden/>
          </w:rPr>
        </w:r>
        <w:r w:rsidR="00E5614B">
          <w:rPr>
            <w:noProof/>
            <w:webHidden/>
          </w:rPr>
          <w:fldChar w:fldCharType="separate"/>
        </w:r>
        <w:r w:rsidR="00425A87">
          <w:rPr>
            <w:noProof/>
            <w:webHidden/>
          </w:rPr>
          <w:t>23</w:t>
        </w:r>
        <w:r w:rsidR="00E5614B">
          <w:rPr>
            <w:noProof/>
            <w:webHidden/>
          </w:rPr>
          <w:fldChar w:fldCharType="end"/>
        </w:r>
      </w:hyperlink>
    </w:p>
    <w:p w14:paraId="6E6AAD28" w14:textId="2D02B87D" w:rsidR="004449E7" w:rsidRDefault="002E04E0" w:rsidP="000E34B4">
      <w:pPr>
        <w:sectPr w:rsidR="004449E7" w:rsidSect="00C02FAA">
          <w:footerReference w:type="default" r:id="rId12"/>
          <w:pgSz w:w="11906" w:h="16838" w:code="9"/>
          <w:pgMar w:top="851" w:right="851" w:bottom="284" w:left="851" w:header="340" w:footer="170" w:gutter="0"/>
          <w:cols w:space="708"/>
          <w:titlePg/>
          <w:docGrid w:linePitch="360"/>
        </w:sectPr>
      </w:pPr>
      <w:r>
        <w:fldChar w:fldCharType="end"/>
      </w:r>
    </w:p>
    <w:p w14:paraId="7499B019" w14:textId="5DA9A620" w:rsidR="001F5103" w:rsidRDefault="007D3DC5" w:rsidP="002E04E0">
      <w:pPr>
        <w:pStyle w:val="Heading1"/>
      </w:pPr>
      <w:bookmarkStart w:id="2" w:name="_About_this_document"/>
      <w:bookmarkStart w:id="3" w:name="_Toc160023604"/>
      <w:bookmarkEnd w:id="2"/>
      <w:r>
        <w:t>A</w:t>
      </w:r>
      <w:r w:rsidR="001F5103">
        <w:t>bout this document</w:t>
      </w:r>
      <w:bookmarkEnd w:id="3"/>
    </w:p>
    <w:p w14:paraId="27B8B374" w14:textId="4457DC90" w:rsidR="007D62F4" w:rsidRDefault="00321DBA" w:rsidP="007D62F4">
      <w:r>
        <w:t xml:space="preserve">This document presents the proposed recommendations </w:t>
      </w:r>
      <w:r w:rsidR="00D35FC3">
        <w:t>of the Co-design Working Group</w:t>
      </w:r>
      <w:r w:rsidR="00913FB8">
        <w:t xml:space="preserve"> (CWG)</w:t>
      </w:r>
      <w:r w:rsidR="00D35FC3">
        <w:t xml:space="preserve"> for the Enhanced Consumer Engagement Process</w:t>
      </w:r>
      <w:r w:rsidR="000A5DDD">
        <w:t xml:space="preserve">. This co-design project </w:t>
      </w:r>
      <w:r w:rsidR="00DE5DBD">
        <w:t>aims to:</w:t>
      </w:r>
    </w:p>
    <w:p w14:paraId="73C9333E" w14:textId="6ED0CBA3" w:rsidR="007D62F4" w:rsidRDefault="007D62F4" w:rsidP="007D62F4">
      <w:pPr>
        <w:rPr>
          <w:i/>
        </w:rPr>
      </w:pPr>
      <w:r w:rsidRPr="007C024C">
        <w:rPr>
          <w:i/>
          <w:iCs/>
        </w:rPr>
        <w:t xml:space="preserve">Develop a report with recommendations, for the consideration of the Minister for Health and Aged Care, on the design and implementation of the Enhanced Consumer Engagement Process for Health Technology Assessments relevant to </w:t>
      </w:r>
      <w:r w:rsidR="005C78F5">
        <w:rPr>
          <w:i/>
          <w:iCs/>
        </w:rPr>
        <w:t xml:space="preserve">the </w:t>
      </w:r>
      <w:r w:rsidRPr="007C024C">
        <w:rPr>
          <w:i/>
          <w:iCs/>
        </w:rPr>
        <w:t xml:space="preserve">Pharmaceutical Benefits Advisory Committee, as per </w:t>
      </w:r>
      <w:r>
        <w:rPr>
          <w:i/>
          <w:iCs/>
        </w:rPr>
        <w:t xml:space="preserve">the </w:t>
      </w:r>
      <w:r w:rsidRPr="0016317E">
        <w:rPr>
          <w:i/>
        </w:rPr>
        <w:t xml:space="preserve">2022-2027 Strategic </w:t>
      </w:r>
      <w:r w:rsidR="006C2925">
        <w:rPr>
          <w:i/>
        </w:rPr>
        <w:t>A</w:t>
      </w:r>
      <w:r w:rsidRPr="0016317E">
        <w:rPr>
          <w:i/>
        </w:rPr>
        <w:t>greement between the Commonwealth and Medicines Australia.</w:t>
      </w:r>
    </w:p>
    <w:p w14:paraId="0C74F268" w14:textId="79B55EA5" w:rsidR="00D75D6C" w:rsidRDefault="00D75D6C" w:rsidP="007D62F4">
      <w:pPr>
        <w:rPr>
          <w:i/>
        </w:rPr>
      </w:pPr>
      <w:r>
        <w:t xml:space="preserve">Importantly, </w:t>
      </w:r>
      <w:r w:rsidR="00E74F00">
        <w:t>the</w:t>
      </w:r>
      <w:r>
        <w:t xml:space="preserve"> co-design project presents an opportunity to</w:t>
      </w:r>
      <w:r w:rsidR="008A5E6D">
        <w:t xml:space="preserve"> respond to the commitments set forth in the </w:t>
      </w:r>
      <w:hyperlink r:id="rId13" w:history="1">
        <w:r w:rsidR="008A5E6D" w:rsidRPr="008A5E6D">
          <w:rPr>
            <w:rStyle w:val="Hyperlink"/>
            <w:iCs/>
          </w:rPr>
          <w:t>2022-2027 Strategic Agreement between the Commonwealth and Medicines Australia</w:t>
        </w:r>
      </w:hyperlink>
      <w:r w:rsidR="002E3B02">
        <w:rPr>
          <w:iCs/>
        </w:rPr>
        <w:t xml:space="preserve"> </w:t>
      </w:r>
      <w:r w:rsidR="004D0CA9">
        <w:rPr>
          <w:iCs/>
        </w:rPr>
        <w:t>with regard to enhancing consumer engagement</w:t>
      </w:r>
      <w:r w:rsidR="00BC309B">
        <w:rPr>
          <w:iCs/>
        </w:rPr>
        <w:t xml:space="preserve"> </w:t>
      </w:r>
      <w:r w:rsidR="00357D5B">
        <w:rPr>
          <w:iCs/>
        </w:rPr>
        <w:t>in</w:t>
      </w:r>
      <w:r w:rsidR="00BC309B">
        <w:rPr>
          <w:iCs/>
        </w:rPr>
        <w:t xml:space="preserve"> </w:t>
      </w:r>
      <w:r w:rsidR="00357D5B">
        <w:rPr>
          <w:iCs/>
        </w:rPr>
        <w:t xml:space="preserve">health technology assessments (HTA) overseen by </w:t>
      </w:r>
      <w:r w:rsidR="00BC309B">
        <w:rPr>
          <w:iCs/>
        </w:rPr>
        <w:t>the Pharmaceutical Benefits Advisory Committee (PBAC)</w:t>
      </w:r>
      <w:r w:rsidR="00357D5B">
        <w:rPr>
          <w:iCs/>
        </w:rPr>
        <w:t xml:space="preserve">. At the same time, the project </w:t>
      </w:r>
      <w:bookmarkStart w:id="4" w:name="_Hlk158716623"/>
      <w:r w:rsidR="00357D5B">
        <w:rPr>
          <w:iCs/>
        </w:rPr>
        <w:t>seeks to</w:t>
      </w:r>
      <w:r w:rsidR="00BA3F83">
        <w:t xml:space="preserve"> align with</w:t>
      </w:r>
      <w:r>
        <w:t xml:space="preserve"> broader reforms</w:t>
      </w:r>
      <w:bookmarkEnd w:id="4"/>
      <w:r w:rsidR="001E1EDC">
        <w:t>,</w:t>
      </w:r>
      <w:r>
        <w:t xml:space="preserve"> including the </w:t>
      </w:r>
      <w:hyperlink r:id="rId14" w:history="1">
        <w:r w:rsidRPr="001A4287">
          <w:rPr>
            <w:rStyle w:val="Hyperlink"/>
          </w:rPr>
          <w:t>HTA Policy and Methods Review</w:t>
        </w:r>
      </w:hyperlink>
      <w:r w:rsidR="001E1EDC">
        <w:t xml:space="preserve">, to ensure that recommendations also enhance </w:t>
      </w:r>
      <w:r w:rsidR="00DE1B2A">
        <w:t xml:space="preserve">consumer engagement </w:t>
      </w:r>
      <w:r>
        <w:t>across the entire health technology pathway</w:t>
      </w:r>
      <w:r w:rsidR="00B00049">
        <w:t xml:space="preserve"> (i.e.,</w:t>
      </w:r>
      <w:r w:rsidR="00AB4E53">
        <w:t xml:space="preserve"> from clinical research through to post-market reviews</w:t>
      </w:r>
      <w:r w:rsidR="00B00049">
        <w:t xml:space="preserve">), </w:t>
      </w:r>
      <w:r w:rsidR="00DB2CC3">
        <w:t>and</w:t>
      </w:r>
      <w:r w:rsidR="00B00049">
        <w:t xml:space="preserve"> </w:t>
      </w:r>
      <w:r w:rsidR="001E1EDC">
        <w:t>may be transferrable to other HTA committees</w:t>
      </w:r>
      <w:r w:rsidR="00481BD0">
        <w:t>.</w:t>
      </w:r>
    </w:p>
    <w:p w14:paraId="2FF1979A" w14:textId="47BC68C9" w:rsidR="00913FB8" w:rsidRDefault="00A413A5" w:rsidP="00104673">
      <w:r>
        <w:t xml:space="preserve">The </w:t>
      </w:r>
      <w:r w:rsidR="00913FB8">
        <w:t>CWG developed the</w:t>
      </w:r>
      <w:r w:rsidR="009F2B40">
        <w:t xml:space="preserve"> proposed</w:t>
      </w:r>
      <w:r w:rsidR="00913FB8">
        <w:t xml:space="preserve"> </w:t>
      </w:r>
      <w:r w:rsidR="00900E8D">
        <w:t>recommendations</w:t>
      </w:r>
      <w:r>
        <w:t xml:space="preserve"> </w:t>
      </w:r>
      <w:r w:rsidR="003E0BD3">
        <w:t>through co-design activities</w:t>
      </w:r>
      <w:r w:rsidR="009F2B40">
        <w:t xml:space="preserve"> undertaken</w:t>
      </w:r>
      <w:r w:rsidR="003E0BD3">
        <w:t xml:space="preserve"> </w:t>
      </w:r>
      <w:r w:rsidR="00262121">
        <w:t xml:space="preserve">between </w:t>
      </w:r>
      <w:r w:rsidR="003E0BD3">
        <w:t>October</w:t>
      </w:r>
      <w:r w:rsidR="00262121">
        <w:t xml:space="preserve"> 2023 and </w:t>
      </w:r>
      <w:r w:rsidR="00E05F9A">
        <w:t>February</w:t>
      </w:r>
      <w:r w:rsidR="00262121">
        <w:t xml:space="preserve"> 202</w:t>
      </w:r>
      <w:r w:rsidR="00E01578">
        <w:t>4</w:t>
      </w:r>
      <w:r w:rsidR="00950E9C">
        <w:t>. These processes were</w:t>
      </w:r>
      <w:r w:rsidR="00E01578">
        <w:t xml:space="preserve"> facilitated by</w:t>
      </w:r>
      <w:r w:rsidR="00950E9C">
        <w:t xml:space="preserve"> </w:t>
      </w:r>
      <w:r w:rsidR="00F46D28">
        <w:t>contracted</w:t>
      </w:r>
      <w:r w:rsidR="00A844BF">
        <w:t xml:space="preserve"> researchers from The University of Melbourne</w:t>
      </w:r>
      <w:r w:rsidR="00F46D28">
        <w:t xml:space="preserve">. The project is managed by the </w:t>
      </w:r>
      <w:hyperlink r:id="rId15" w:history="1">
        <w:r w:rsidR="00F46D28" w:rsidRPr="000C615B">
          <w:rPr>
            <w:rStyle w:val="Hyperlink"/>
          </w:rPr>
          <w:t>Consumer Evidence and Engagement Unit</w:t>
        </w:r>
      </w:hyperlink>
      <w:r w:rsidR="00F46D28">
        <w:t xml:space="preserve"> (CEEU) </w:t>
      </w:r>
      <w:r w:rsidR="00207588">
        <w:t xml:space="preserve">in the Office of Health Technology Assessment (OHTA), </w:t>
      </w:r>
      <w:r w:rsidR="00F46D28">
        <w:t>Department of Health and Aged Care (the Department)</w:t>
      </w:r>
    </w:p>
    <w:p w14:paraId="6E596A15" w14:textId="3DFCD415" w:rsidR="006D14DC" w:rsidRDefault="005C4FA2" w:rsidP="00104673">
      <w:r>
        <w:t xml:space="preserve">The </w:t>
      </w:r>
      <w:r w:rsidR="006B1741">
        <w:t xml:space="preserve">proposed recommendations are a work in progress and not yet finalised. The </w:t>
      </w:r>
      <w:r>
        <w:t>CWG are seeking input from c</w:t>
      </w:r>
      <w:r w:rsidR="00104673">
        <w:t>onsumers</w:t>
      </w:r>
      <w:r w:rsidR="00BA3F83">
        <w:t xml:space="preserve"> and other stakeholders</w:t>
      </w:r>
      <w:r>
        <w:t xml:space="preserve"> to </w:t>
      </w:r>
      <w:r w:rsidR="00BB0125">
        <w:t xml:space="preserve">inform </w:t>
      </w:r>
      <w:r w:rsidR="0071538E">
        <w:t>further</w:t>
      </w:r>
      <w:r w:rsidR="009E563E">
        <w:t xml:space="preserve"> develop</w:t>
      </w:r>
      <w:r w:rsidR="00BB0125">
        <w:t>ment</w:t>
      </w:r>
      <w:r w:rsidR="009E563E">
        <w:t xml:space="preserve"> </w:t>
      </w:r>
      <w:r w:rsidR="00BB0125">
        <w:t>of</w:t>
      </w:r>
      <w:r w:rsidR="009E563E">
        <w:t xml:space="preserve"> the</w:t>
      </w:r>
      <w:r w:rsidR="007D1DE4">
        <w:t xml:space="preserve"> proposed</w:t>
      </w:r>
      <w:r w:rsidR="009E563E">
        <w:t xml:space="preserve"> recommendations</w:t>
      </w:r>
      <w:r w:rsidR="0071538E">
        <w:t xml:space="preserve"> and subsequently prepare and submit </w:t>
      </w:r>
      <w:r w:rsidR="007D1DE4">
        <w:t>a final report to the Minister</w:t>
      </w:r>
      <w:r w:rsidR="0071538E">
        <w:t xml:space="preserve"> for Health and Aged Care</w:t>
      </w:r>
      <w:r w:rsidR="007D1DE4">
        <w:t>.</w:t>
      </w:r>
    </w:p>
    <w:p w14:paraId="7B9BBD15" w14:textId="4C75C7DC" w:rsidR="008F066B" w:rsidRDefault="008F066B" w:rsidP="00104673">
      <w:r w:rsidRPr="000E50AB">
        <w:t>Please visit</w:t>
      </w:r>
      <w:r w:rsidRPr="008F066B">
        <w:t xml:space="preserve"> the</w:t>
      </w:r>
      <w:hyperlink w:anchor="Terminology" w:history="1">
        <w:r w:rsidRPr="004C67E9">
          <w:rPr>
            <w:rStyle w:val="Hyperlink"/>
          </w:rPr>
          <w:t xml:space="preserve"> </w:t>
        </w:r>
        <w:r w:rsidR="000E50AB" w:rsidRPr="004C67E9">
          <w:rPr>
            <w:rStyle w:val="Hyperlink"/>
          </w:rPr>
          <w:t>Terminology section</w:t>
        </w:r>
      </w:hyperlink>
      <w:r w:rsidR="000E50AB">
        <w:t xml:space="preserve"> </w:t>
      </w:r>
      <w:r w:rsidRPr="008F066B">
        <w:t xml:space="preserve">for definitions of key terms and acronyms described throughout the report. </w:t>
      </w:r>
    </w:p>
    <w:p w14:paraId="0A4F33D6" w14:textId="2760F216" w:rsidR="003768B4" w:rsidRDefault="003768B4" w:rsidP="00104673">
      <w:r>
        <w:t>If you would like more information about</w:t>
      </w:r>
      <w:r w:rsidR="00D22A68">
        <w:t xml:space="preserve"> </w:t>
      </w:r>
      <w:r w:rsidR="001430F5">
        <w:t>H</w:t>
      </w:r>
      <w:r w:rsidR="006D6DAA">
        <w:t xml:space="preserve">TA processes </w:t>
      </w:r>
      <w:r w:rsidR="006207E2">
        <w:t xml:space="preserve">please visit </w:t>
      </w:r>
      <w:r w:rsidR="002944B3">
        <w:t xml:space="preserve">the resources on the </w:t>
      </w:r>
      <w:hyperlink r:id="rId16" w:history="1">
        <w:r w:rsidR="002944B3" w:rsidRPr="00FA2B6F">
          <w:rPr>
            <w:rStyle w:val="Hyperlink"/>
          </w:rPr>
          <w:t>project web</w:t>
        </w:r>
        <w:r w:rsidR="00990894" w:rsidRPr="00FA2B6F">
          <w:rPr>
            <w:rStyle w:val="Hyperlink"/>
          </w:rPr>
          <w:t>page</w:t>
        </w:r>
      </w:hyperlink>
      <w:r w:rsidR="002944B3">
        <w:t>.</w:t>
      </w:r>
    </w:p>
    <w:p w14:paraId="02A520EF" w14:textId="4D340245" w:rsidR="001F5103" w:rsidRPr="008B53F1" w:rsidRDefault="001F5103" w:rsidP="002E04E0">
      <w:pPr>
        <w:pStyle w:val="Heading2"/>
      </w:pPr>
      <w:bookmarkStart w:id="5" w:name="_How_to_provide"/>
      <w:bookmarkStart w:id="6" w:name="_Toc160023605"/>
      <w:bookmarkEnd w:id="5"/>
      <w:r>
        <w:t>How to provide input</w:t>
      </w:r>
      <w:bookmarkEnd w:id="6"/>
    </w:p>
    <w:p w14:paraId="53800155" w14:textId="5F47E775" w:rsidR="00074CBC" w:rsidRDefault="00786AD0" w:rsidP="000E34B4">
      <w:pPr>
        <w:suppressAutoHyphens w:val="0"/>
        <w:spacing w:after="0" w:line="240" w:lineRule="auto"/>
      </w:pPr>
      <w:r>
        <w:t xml:space="preserve">A survey is available to provide </w:t>
      </w:r>
      <w:r w:rsidR="006E5A85">
        <w:t>your opinions about the</w:t>
      </w:r>
      <w:r w:rsidR="00CD796A">
        <w:t xml:space="preserve"> </w:t>
      </w:r>
      <w:r w:rsidR="00590882">
        <w:t>information</w:t>
      </w:r>
      <w:r w:rsidR="00CD796A">
        <w:t xml:space="preserve"> described in </w:t>
      </w:r>
      <w:r w:rsidR="005E6724">
        <w:t xml:space="preserve">this </w:t>
      </w:r>
      <w:r w:rsidR="00BB0125">
        <w:t>consultation document</w:t>
      </w:r>
      <w:r w:rsidR="005E6724">
        <w:t>.</w:t>
      </w:r>
    </w:p>
    <w:p w14:paraId="39AAA0DD" w14:textId="64875DE6" w:rsidR="00074CBC" w:rsidRDefault="00711AD7" w:rsidP="000E34B4">
      <w:pPr>
        <w:suppressAutoHyphens w:val="0"/>
        <w:spacing w:after="0" w:line="240" w:lineRule="auto"/>
      </w:pPr>
      <w:r>
        <w:t xml:space="preserve">You may complete the survey anonymously or have the option to provide </w:t>
      </w:r>
      <w:r w:rsidR="00074CBC">
        <w:t>your name or the name of your organisation if you wish to be acknowledged as a contributor to the consultation.</w:t>
      </w:r>
    </w:p>
    <w:p w14:paraId="1A800742" w14:textId="382A3E0F" w:rsidR="00DD68BC" w:rsidRDefault="00232EC6" w:rsidP="000E34B4">
      <w:pPr>
        <w:suppressAutoHyphens w:val="0"/>
        <w:spacing w:after="0" w:line="240" w:lineRule="auto"/>
      </w:pPr>
      <w:r>
        <w:t xml:space="preserve">You also have the option to </w:t>
      </w:r>
      <w:r w:rsidR="00F17D58">
        <w:t>upload a written submission at the end of the survey instead of, or in addition to</w:t>
      </w:r>
      <w:r w:rsidR="00A16086">
        <w:t>,</w:t>
      </w:r>
      <w:r w:rsidR="00F17D58">
        <w:t xml:space="preserve"> answering </w:t>
      </w:r>
      <w:r w:rsidR="00D47FBC">
        <w:t>questions in the survey itself.</w:t>
      </w:r>
    </w:p>
    <w:p w14:paraId="6C2BE096" w14:textId="479BA8CE" w:rsidR="00DD68BC" w:rsidRDefault="00DD68BC" w:rsidP="000E34B4">
      <w:pPr>
        <w:suppressAutoHyphens w:val="0"/>
        <w:spacing w:after="0" w:line="240" w:lineRule="auto"/>
      </w:pPr>
      <w:r>
        <w:t>The survey is securely managed by The University of Melbourne researchers contracted to facilitate the co-design project. The results of the survey will be analysed and reported back to the CWG to support their ongoing co-design work.</w:t>
      </w:r>
    </w:p>
    <w:p w14:paraId="139AAFF5" w14:textId="09B2307A" w:rsidR="008F066B" w:rsidRDefault="008F066B" w:rsidP="008F066B">
      <w:r>
        <w:t>Please review th</w:t>
      </w:r>
      <w:r w:rsidR="003F1557">
        <w:t xml:space="preserve">is </w:t>
      </w:r>
      <w:r>
        <w:t>document carefully and consider your own feedback before responding to the survey.</w:t>
      </w:r>
    </w:p>
    <w:p w14:paraId="305CF996" w14:textId="0796060D" w:rsidR="008F066B" w:rsidRDefault="008F066B" w:rsidP="008F066B">
      <w:r>
        <w:t>The survey will be open from</w:t>
      </w:r>
      <w:r w:rsidRPr="7FCF0706">
        <w:rPr>
          <w:b/>
          <w:bCs/>
        </w:rPr>
        <w:t xml:space="preserve"> </w:t>
      </w:r>
      <w:r w:rsidR="73115457" w:rsidRPr="7FCF0706">
        <w:rPr>
          <w:b/>
          <w:bCs/>
        </w:rPr>
        <w:t>1</w:t>
      </w:r>
      <w:r w:rsidRPr="7FCF0706">
        <w:rPr>
          <w:b/>
          <w:bCs/>
        </w:rPr>
        <w:t xml:space="preserve"> March 2024 to 2 April 2024.</w:t>
      </w:r>
      <w:r>
        <w:t xml:space="preserve"> </w:t>
      </w:r>
    </w:p>
    <w:p w14:paraId="630D64D0" w14:textId="3582F1CC" w:rsidR="00E92C3C" w:rsidRPr="00E92C3C" w:rsidRDefault="00E92C3C" w:rsidP="000E34B4">
      <w:pPr>
        <w:suppressAutoHyphens w:val="0"/>
        <w:spacing w:after="0" w:line="240" w:lineRule="auto"/>
        <w:rPr>
          <w:b/>
          <w:bCs/>
        </w:rPr>
      </w:pPr>
      <w:r w:rsidRPr="00E92C3C">
        <w:rPr>
          <w:b/>
          <w:bCs/>
        </w:rPr>
        <w:t xml:space="preserve">Please </w:t>
      </w:r>
      <w:r w:rsidR="00AF5173">
        <w:rPr>
          <w:b/>
          <w:bCs/>
        </w:rPr>
        <w:t>return to th</w:t>
      </w:r>
      <w:r w:rsidR="00B31A8A">
        <w:rPr>
          <w:b/>
          <w:bCs/>
        </w:rPr>
        <w:t>is</w:t>
      </w:r>
      <w:r w:rsidR="00AF5173">
        <w:rPr>
          <w:b/>
          <w:bCs/>
        </w:rPr>
        <w:t xml:space="preserve"> </w:t>
      </w:r>
      <w:hyperlink r:id="rId17" w:history="1">
        <w:r w:rsidR="00AF5173" w:rsidRPr="00957879">
          <w:rPr>
            <w:rStyle w:val="Hyperlink"/>
            <w:b/>
            <w:bCs/>
          </w:rPr>
          <w:t>webpage</w:t>
        </w:r>
      </w:hyperlink>
      <w:r w:rsidR="00AF5173" w:rsidRPr="00B31A8A">
        <w:rPr>
          <w:b/>
          <w:bCs/>
        </w:rPr>
        <w:t xml:space="preserve"> to access the survey</w:t>
      </w:r>
    </w:p>
    <w:p w14:paraId="03AEC89A" w14:textId="77777777" w:rsidR="001F5103" w:rsidRPr="00B31A8A" w:rsidRDefault="001F5103" w:rsidP="002E04E0">
      <w:pPr>
        <w:pStyle w:val="Heading2"/>
        <w:rPr>
          <w:rFonts w:eastAsiaTheme="minorHAnsi" w:cstheme="minorBidi"/>
          <w:b w:val="0"/>
          <w:color w:val="auto"/>
          <w:sz w:val="20"/>
          <w:szCs w:val="20"/>
        </w:rPr>
      </w:pPr>
      <w:bookmarkStart w:id="7" w:name="_Toc160023606"/>
      <w:r>
        <w:t>Contact</w:t>
      </w:r>
      <w:bookmarkEnd w:id="7"/>
    </w:p>
    <w:p w14:paraId="6B4B13D4" w14:textId="39A7BB22" w:rsidR="00BA3F83" w:rsidRDefault="001F5103" w:rsidP="0030628C">
      <w:r>
        <w:t xml:space="preserve">For </w:t>
      </w:r>
      <w:r w:rsidR="0068382E">
        <w:t>inquiries about this co-design project</w:t>
      </w:r>
      <w:r>
        <w:t>,</w:t>
      </w:r>
      <w:r w:rsidR="0068382E">
        <w:t xml:space="preserve"> please</w:t>
      </w:r>
      <w:r>
        <w:t xml:space="preserve"> contact </w:t>
      </w:r>
      <w:hyperlink r:id="rId18" w:history="1">
        <w:r w:rsidR="00A55DBE" w:rsidRPr="00E67311">
          <w:rPr>
            <w:rStyle w:val="Hyperlink"/>
          </w:rPr>
          <w:t>HTAconsumerengagement@health.gov.au</w:t>
        </w:r>
      </w:hyperlink>
    </w:p>
    <w:p w14:paraId="0E5774A0" w14:textId="4EE2DD62" w:rsidR="00D72D92" w:rsidRDefault="00D72D92" w:rsidP="00D72D92">
      <w:pPr>
        <w:pStyle w:val="Heading1"/>
      </w:pPr>
      <w:bookmarkStart w:id="8" w:name="_Project_Background_1"/>
      <w:bookmarkStart w:id="9" w:name="_Toc160023607"/>
      <w:bookmarkStart w:id="10" w:name="_Ref158734464"/>
      <w:bookmarkEnd w:id="8"/>
      <w:r>
        <w:t>Terminology</w:t>
      </w:r>
      <w:bookmarkStart w:id="11" w:name="Terminology"/>
      <w:bookmarkEnd w:id="9"/>
      <w:bookmarkEnd w:id="11"/>
    </w:p>
    <w:p w14:paraId="4C21D5F2" w14:textId="77777777" w:rsidR="00D72D92" w:rsidRDefault="00D72D92" w:rsidP="00D72D92">
      <w:pPr>
        <w:pStyle w:val="Heading2"/>
      </w:pPr>
      <w:bookmarkStart w:id="12" w:name="_Toc160023608"/>
      <w:r>
        <w:t>Key Terms</w:t>
      </w:r>
      <w:bookmarkEnd w:id="12"/>
      <w: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114"/>
        <w:gridCol w:w="6804"/>
      </w:tblGrid>
      <w:tr w:rsidR="00D72D92" w:rsidRPr="003818A2" w14:paraId="77CECF5E" w14:textId="77777777">
        <w:tc>
          <w:tcPr>
            <w:tcW w:w="3114" w:type="dxa"/>
          </w:tcPr>
          <w:p w14:paraId="49198B1E" w14:textId="77777777" w:rsidR="00D72D92" w:rsidRPr="003818A2" w:rsidRDefault="00D72D92">
            <w:pPr>
              <w:spacing w:before="0" w:after="0"/>
              <w:rPr>
                <w:sz w:val="18"/>
                <w:szCs w:val="18"/>
              </w:rPr>
            </w:pPr>
            <w:r w:rsidRPr="003818A2">
              <w:rPr>
                <w:sz w:val="18"/>
                <w:szCs w:val="18"/>
              </w:rPr>
              <w:t xml:space="preserve">Application and Submission </w:t>
            </w:r>
          </w:p>
        </w:tc>
        <w:tc>
          <w:tcPr>
            <w:tcW w:w="6804" w:type="dxa"/>
          </w:tcPr>
          <w:p w14:paraId="73FACE72" w14:textId="77777777" w:rsidR="00D72D92" w:rsidRPr="003818A2" w:rsidRDefault="00D72D92">
            <w:pPr>
              <w:spacing w:before="0" w:after="0" w:line="240" w:lineRule="auto"/>
              <w:rPr>
                <w:sz w:val="18"/>
                <w:szCs w:val="18"/>
              </w:rPr>
            </w:pPr>
            <w:r>
              <w:rPr>
                <w:sz w:val="18"/>
                <w:szCs w:val="18"/>
              </w:rPr>
              <w:t xml:space="preserve">Application refers to a general request made to the Department, which might include a request to list a generic medicine, or to change details of a listing that doesn’t require PBAC recommendation. Application also refers to an application made by the medicines/pharmaceutical industry for consideration by the TGA. Submission is an application made for consideration by the PBAC (or other HTA committees) to list a medicine or change a medicine listing. </w:t>
            </w:r>
          </w:p>
        </w:tc>
      </w:tr>
      <w:tr w:rsidR="00D72D92" w:rsidRPr="003818A2" w14:paraId="71B2DCE4" w14:textId="77777777">
        <w:tc>
          <w:tcPr>
            <w:tcW w:w="3114" w:type="dxa"/>
          </w:tcPr>
          <w:p w14:paraId="53F62EFA" w14:textId="77777777" w:rsidR="00D72D92" w:rsidRPr="003818A2" w:rsidRDefault="00D72D92">
            <w:pPr>
              <w:spacing w:before="0" w:after="0" w:line="240" w:lineRule="auto"/>
              <w:rPr>
                <w:sz w:val="18"/>
                <w:szCs w:val="18"/>
              </w:rPr>
            </w:pPr>
            <w:r>
              <w:rPr>
                <w:sz w:val="18"/>
                <w:szCs w:val="18"/>
              </w:rPr>
              <w:t xml:space="preserve">Consumer </w:t>
            </w:r>
          </w:p>
        </w:tc>
        <w:tc>
          <w:tcPr>
            <w:tcW w:w="6804" w:type="dxa"/>
          </w:tcPr>
          <w:p w14:paraId="267500F7" w14:textId="77777777" w:rsidR="00D72D92" w:rsidRPr="003818A2" w:rsidRDefault="00D72D92">
            <w:pPr>
              <w:spacing w:before="0" w:after="0" w:line="240" w:lineRule="auto"/>
              <w:rPr>
                <w:sz w:val="18"/>
                <w:szCs w:val="18"/>
              </w:rPr>
            </w:pPr>
            <w:r>
              <w:rPr>
                <w:sz w:val="18"/>
                <w:szCs w:val="18"/>
              </w:rPr>
              <w:t>Patients, their families, carers, and consumer organisations.</w:t>
            </w:r>
          </w:p>
        </w:tc>
      </w:tr>
      <w:tr w:rsidR="00D72D92" w:rsidRPr="003818A2" w14:paraId="256FAD93" w14:textId="77777777">
        <w:tc>
          <w:tcPr>
            <w:tcW w:w="3114" w:type="dxa"/>
          </w:tcPr>
          <w:p w14:paraId="75D11CDF" w14:textId="77777777" w:rsidR="00D72D92" w:rsidRPr="003818A2" w:rsidRDefault="00D72D92">
            <w:pPr>
              <w:spacing w:before="0" w:after="0" w:line="240" w:lineRule="auto"/>
              <w:rPr>
                <w:sz w:val="18"/>
                <w:szCs w:val="18"/>
              </w:rPr>
            </w:pPr>
            <w:r>
              <w:rPr>
                <w:sz w:val="18"/>
                <w:szCs w:val="18"/>
              </w:rPr>
              <w:t>Consumer evidence and experience</w:t>
            </w:r>
          </w:p>
        </w:tc>
        <w:tc>
          <w:tcPr>
            <w:tcW w:w="6804" w:type="dxa"/>
          </w:tcPr>
          <w:p w14:paraId="724D9590" w14:textId="77777777" w:rsidR="00D72D92" w:rsidRPr="003818A2" w:rsidRDefault="00D72D92">
            <w:pPr>
              <w:spacing w:before="0" w:after="0" w:line="240" w:lineRule="auto"/>
              <w:rPr>
                <w:sz w:val="18"/>
                <w:szCs w:val="18"/>
              </w:rPr>
            </w:pPr>
            <w:r>
              <w:rPr>
                <w:sz w:val="18"/>
                <w:szCs w:val="18"/>
              </w:rPr>
              <w:t xml:space="preserve">May entail consumer input into </w:t>
            </w:r>
            <w:r w:rsidRPr="00ED0B05">
              <w:rPr>
                <w:sz w:val="18"/>
                <w:szCs w:val="18"/>
              </w:rPr>
              <w:t>Population, Intervention, Comparator, Outcome (PICO) scoping</w:t>
            </w:r>
            <w:r>
              <w:rPr>
                <w:sz w:val="18"/>
                <w:szCs w:val="18"/>
              </w:rPr>
              <w:t xml:space="preserve">, </w:t>
            </w:r>
            <w:r w:rsidRPr="00ED0B05">
              <w:rPr>
                <w:sz w:val="18"/>
                <w:szCs w:val="18"/>
              </w:rPr>
              <w:t>Patient Reported Experience Measures (PREMS), Patient Reported Outcomes Measures (PROMS), qualitative studies, health equity studies, and Real-World Evidence (RWE).</w:t>
            </w:r>
          </w:p>
        </w:tc>
      </w:tr>
      <w:tr w:rsidR="00D72D92" w:rsidRPr="003818A2" w14:paraId="33A41B94" w14:textId="77777777">
        <w:tc>
          <w:tcPr>
            <w:tcW w:w="3114" w:type="dxa"/>
          </w:tcPr>
          <w:p w14:paraId="4862A869" w14:textId="77777777" w:rsidR="00D72D92" w:rsidRDefault="00D72D92">
            <w:pPr>
              <w:spacing w:before="0" w:after="0" w:line="240" w:lineRule="auto"/>
              <w:rPr>
                <w:sz w:val="18"/>
                <w:szCs w:val="18"/>
              </w:rPr>
            </w:pPr>
            <w:r>
              <w:rPr>
                <w:sz w:val="18"/>
                <w:szCs w:val="18"/>
              </w:rPr>
              <w:t xml:space="preserve">Health technology </w:t>
            </w:r>
          </w:p>
        </w:tc>
        <w:tc>
          <w:tcPr>
            <w:tcW w:w="6804" w:type="dxa"/>
          </w:tcPr>
          <w:p w14:paraId="0BE38CFA" w14:textId="77777777" w:rsidR="00D72D92" w:rsidRDefault="00D72D92">
            <w:pPr>
              <w:spacing w:before="0" w:after="0" w:line="240" w:lineRule="auto"/>
              <w:rPr>
                <w:sz w:val="18"/>
                <w:szCs w:val="18"/>
              </w:rPr>
            </w:pPr>
            <w:r>
              <w:rPr>
                <w:sz w:val="18"/>
                <w:szCs w:val="18"/>
              </w:rPr>
              <w:t xml:space="preserve">A broad term encompassing medical </w:t>
            </w:r>
            <w:r w:rsidRPr="00817BF2">
              <w:rPr>
                <w:sz w:val="18"/>
                <w:szCs w:val="18"/>
              </w:rPr>
              <w:t>tests</w:t>
            </w:r>
            <w:r>
              <w:rPr>
                <w:sz w:val="18"/>
                <w:szCs w:val="18"/>
              </w:rPr>
              <w:t xml:space="preserve">, </w:t>
            </w:r>
            <w:r w:rsidRPr="00817BF2">
              <w:rPr>
                <w:sz w:val="18"/>
                <w:szCs w:val="18"/>
              </w:rPr>
              <w:t>medical devices</w:t>
            </w:r>
            <w:r>
              <w:rPr>
                <w:sz w:val="18"/>
                <w:szCs w:val="18"/>
              </w:rPr>
              <w:t xml:space="preserve">, </w:t>
            </w:r>
            <w:r w:rsidRPr="00817BF2">
              <w:rPr>
                <w:sz w:val="18"/>
                <w:szCs w:val="18"/>
              </w:rPr>
              <w:t>medicines</w:t>
            </w:r>
            <w:r>
              <w:rPr>
                <w:sz w:val="18"/>
                <w:szCs w:val="18"/>
              </w:rPr>
              <w:t xml:space="preserve">, </w:t>
            </w:r>
            <w:r w:rsidRPr="00817BF2">
              <w:rPr>
                <w:sz w:val="18"/>
                <w:szCs w:val="18"/>
              </w:rPr>
              <w:t>vaccines</w:t>
            </w:r>
            <w:r>
              <w:rPr>
                <w:sz w:val="18"/>
                <w:szCs w:val="18"/>
              </w:rPr>
              <w:t xml:space="preserve">, </w:t>
            </w:r>
            <w:r w:rsidRPr="00817BF2">
              <w:rPr>
                <w:sz w:val="18"/>
                <w:szCs w:val="18"/>
              </w:rPr>
              <w:t>blood</w:t>
            </w:r>
            <w:r>
              <w:rPr>
                <w:sz w:val="18"/>
                <w:szCs w:val="18"/>
              </w:rPr>
              <w:t xml:space="preserve"> and human tissue</w:t>
            </w:r>
            <w:r w:rsidRPr="00817BF2">
              <w:rPr>
                <w:sz w:val="18"/>
                <w:szCs w:val="18"/>
              </w:rPr>
              <w:t xml:space="preserve"> products</w:t>
            </w:r>
            <w:r>
              <w:rPr>
                <w:sz w:val="18"/>
                <w:szCs w:val="18"/>
              </w:rPr>
              <w:t xml:space="preserve">, </w:t>
            </w:r>
            <w:r w:rsidRPr="00817BF2">
              <w:rPr>
                <w:sz w:val="18"/>
                <w:szCs w:val="18"/>
              </w:rPr>
              <w:t>procedures</w:t>
            </w:r>
            <w:r>
              <w:rPr>
                <w:sz w:val="18"/>
                <w:szCs w:val="18"/>
              </w:rPr>
              <w:t xml:space="preserve">, </w:t>
            </w:r>
            <w:r w:rsidRPr="00817BF2">
              <w:rPr>
                <w:sz w:val="18"/>
                <w:szCs w:val="18"/>
              </w:rPr>
              <w:t>programs, or systems involved in health care.</w:t>
            </w:r>
          </w:p>
        </w:tc>
      </w:tr>
      <w:tr w:rsidR="00D72D92" w:rsidRPr="003818A2" w14:paraId="6699B4AB" w14:textId="77777777">
        <w:tc>
          <w:tcPr>
            <w:tcW w:w="3114" w:type="dxa"/>
          </w:tcPr>
          <w:p w14:paraId="39C2BE8E" w14:textId="77777777" w:rsidR="00D72D92" w:rsidRDefault="00D72D92">
            <w:pPr>
              <w:spacing w:before="0" w:after="0" w:line="240" w:lineRule="auto"/>
              <w:rPr>
                <w:sz w:val="18"/>
                <w:szCs w:val="18"/>
              </w:rPr>
            </w:pPr>
            <w:r>
              <w:rPr>
                <w:sz w:val="18"/>
                <w:szCs w:val="18"/>
              </w:rPr>
              <w:t>Health technology assessment</w:t>
            </w:r>
          </w:p>
        </w:tc>
        <w:tc>
          <w:tcPr>
            <w:tcW w:w="6804" w:type="dxa"/>
          </w:tcPr>
          <w:p w14:paraId="7F15137E" w14:textId="77777777" w:rsidR="00D72D92" w:rsidRDefault="00D72D92">
            <w:pPr>
              <w:spacing w:before="0" w:after="0" w:line="240" w:lineRule="auto"/>
              <w:rPr>
                <w:sz w:val="18"/>
                <w:szCs w:val="18"/>
              </w:rPr>
            </w:pPr>
            <w:r>
              <w:rPr>
                <w:sz w:val="18"/>
                <w:szCs w:val="18"/>
              </w:rPr>
              <w:t xml:space="preserve">A process to make </w:t>
            </w:r>
            <w:r w:rsidRPr="003D6485">
              <w:rPr>
                <w:sz w:val="18"/>
                <w:szCs w:val="18"/>
              </w:rPr>
              <w:t>decisions about which health technologies</w:t>
            </w:r>
            <w:r>
              <w:rPr>
                <w:sz w:val="18"/>
                <w:szCs w:val="18"/>
              </w:rPr>
              <w:t xml:space="preserve"> </w:t>
            </w:r>
            <w:r w:rsidRPr="003D6485">
              <w:rPr>
                <w:sz w:val="18"/>
                <w:szCs w:val="18"/>
              </w:rPr>
              <w:t>will be subsidised.</w:t>
            </w:r>
          </w:p>
        </w:tc>
      </w:tr>
      <w:tr w:rsidR="00D72D92" w:rsidRPr="003818A2" w14:paraId="5C769188" w14:textId="77777777">
        <w:tc>
          <w:tcPr>
            <w:tcW w:w="3114" w:type="dxa"/>
          </w:tcPr>
          <w:p w14:paraId="31B4F38A" w14:textId="77777777" w:rsidR="00D72D92" w:rsidRPr="003818A2" w:rsidRDefault="00D72D92">
            <w:pPr>
              <w:spacing w:before="0" w:after="0" w:line="240" w:lineRule="auto"/>
              <w:rPr>
                <w:sz w:val="18"/>
                <w:szCs w:val="18"/>
              </w:rPr>
            </w:pPr>
            <w:r>
              <w:rPr>
                <w:sz w:val="18"/>
                <w:szCs w:val="18"/>
              </w:rPr>
              <w:t>Health technology pathway</w:t>
            </w:r>
          </w:p>
        </w:tc>
        <w:tc>
          <w:tcPr>
            <w:tcW w:w="6804" w:type="dxa"/>
          </w:tcPr>
          <w:p w14:paraId="05EFD2CC" w14:textId="77777777" w:rsidR="00D72D92" w:rsidRPr="003818A2" w:rsidRDefault="00D72D92">
            <w:pPr>
              <w:spacing w:before="0" w:after="0" w:line="240" w:lineRule="auto"/>
              <w:rPr>
                <w:sz w:val="18"/>
                <w:szCs w:val="18"/>
              </w:rPr>
            </w:pPr>
            <w:r>
              <w:rPr>
                <w:sz w:val="18"/>
                <w:szCs w:val="18"/>
              </w:rPr>
              <w:t xml:space="preserve">End-to-end system whereby a health technology generally goes through a lifecycle from the clinical research stage through to TGA applications and registration, then HTA decision-making to recommend subsidisation (via PBAC, MSAC or other committees), before Ministerial approvals for positive recommendations to be listed via a funding scheme, and finally post-market reviews after a health technology is made available to the public. </w:t>
            </w:r>
          </w:p>
        </w:tc>
      </w:tr>
      <w:tr w:rsidR="00D72D92" w:rsidRPr="003818A2" w14:paraId="7B0D5ECC" w14:textId="77777777">
        <w:tc>
          <w:tcPr>
            <w:tcW w:w="3114" w:type="dxa"/>
          </w:tcPr>
          <w:p w14:paraId="4BB9FBCD" w14:textId="77777777" w:rsidR="00D72D92" w:rsidRPr="003818A2" w:rsidRDefault="00D72D92">
            <w:pPr>
              <w:spacing w:before="0" w:after="0" w:line="240" w:lineRule="auto"/>
              <w:rPr>
                <w:sz w:val="18"/>
                <w:szCs w:val="18"/>
              </w:rPr>
            </w:pPr>
            <w:r>
              <w:rPr>
                <w:sz w:val="18"/>
                <w:szCs w:val="18"/>
              </w:rPr>
              <w:t>Horizon scanning</w:t>
            </w:r>
          </w:p>
        </w:tc>
        <w:tc>
          <w:tcPr>
            <w:tcW w:w="6804" w:type="dxa"/>
          </w:tcPr>
          <w:p w14:paraId="38FDC8CE" w14:textId="77777777" w:rsidR="00D72D92" w:rsidRPr="003818A2" w:rsidRDefault="00D72D92">
            <w:pPr>
              <w:spacing w:before="0" w:after="0" w:line="240" w:lineRule="auto"/>
              <w:rPr>
                <w:sz w:val="18"/>
                <w:szCs w:val="18"/>
              </w:rPr>
            </w:pPr>
            <w:r>
              <w:rPr>
                <w:sz w:val="18"/>
                <w:szCs w:val="18"/>
              </w:rPr>
              <w:t>A</w:t>
            </w:r>
            <w:r w:rsidRPr="00833693">
              <w:rPr>
                <w:sz w:val="18"/>
                <w:szCs w:val="18"/>
              </w:rPr>
              <w:t xml:space="preserve"> process that systematically identifies, assesses, and plans for the potential impact of new and emerging </w:t>
            </w:r>
            <w:r>
              <w:rPr>
                <w:sz w:val="18"/>
                <w:szCs w:val="18"/>
              </w:rPr>
              <w:t xml:space="preserve">health </w:t>
            </w:r>
            <w:r w:rsidRPr="00833693">
              <w:rPr>
                <w:sz w:val="18"/>
                <w:szCs w:val="18"/>
              </w:rPr>
              <w:t>technologies</w:t>
            </w:r>
            <w:r>
              <w:rPr>
                <w:sz w:val="18"/>
                <w:szCs w:val="18"/>
              </w:rPr>
              <w:t>.</w:t>
            </w:r>
          </w:p>
        </w:tc>
      </w:tr>
    </w:tbl>
    <w:p w14:paraId="4AFAC1C1" w14:textId="77777777" w:rsidR="00D72D92" w:rsidRPr="00ED69A7" w:rsidRDefault="00D72D92" w:rsidP="00D72D92">
      <w:pPr>
        <w:pStyle w:val="Heading2"/>
      </w:pPr>
      <w:bookmarkStart w:id="13" w:name="_Toc160023609"/>
      <w:r>
        <w:t>Acronyms</w:t>
      </w:r>
      <w:bookmarkEnd w:id="13"/>
      <w: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114"/>
        <w:gridCol w:w="6804"/>
      </w:tblGrid>
      <w:tr w:rsidR="00D72D92" w14:paraId="64D7389A" w14:textId="77777777">
        <w:tc>
          <w:tcPr>
            <w:tcW w:w="3114" w:type="dxa"/>
          </w:tcPr>
          <w:p w14:paraId="10E7D684" w14:textId="77777777" w:rsidR="00D72D92" w:rsidRPr="005B6226" w:rsidRDefault="00D72D92">
            <w:pPr>
              <w:spacing w:before="0" w:after="0" w:line="240" w:lineRule="auto"/>
              <w:rPr>
                <w:sz w:val="18"/>
                <w:szCs w:val="18"/>
              </w:rPr>
            </w:pPr>
            <w:r w:rsidRPr="005B6226">
              <w:rPr>
                <w:sz w:val="18"/>
                <w:szCs w:val="18"/>
              </w:rPr>
              <w:t>CCC</w:t>
            </w:r>
          </w:p>
        </w:tc>
        <w:tc>
          <w:tcPr>
            <w:tcW w:w="6804" w:type="dxa"/>
          </w:tcPr>
          <w:p w14:paraId="291D51C8" w14:textId="77777777" w:rsidR="00D72D92" w:rsidRPr="005B6226" w:rsidRDefault="00D72D92">
            <w:pPr>
              <w:spacing w:before="0" w:after="0" w:line="240" w:lineRule="auto"/>
              <w:rPr>
                <w:sz w:val="18"/>
                <w:szCs w:val="18"/>
              </w:rPr>
            </w:pPr>
            <w:r w:rsidRPr="005B6226">
              <w:rPr>
                <w:sz w:val="18"/>
                <w:szCs w:val="18"/>
              </w:rPr>
              <w:t>Consumer Consultative Committee</w:t>
            </w:r>
          </w:p>
        </w:tc>
      </w:tr>
      <w:tr w:rsidR="00D72D92" w14:paraId="123CDE6E" w14:textId="77777777">
        <w:tc>
          <w:tcPr>
            <w:tcW w:w="3114" w:type="dxa"/>
          </w:tcPr>
          <w:p w14:paraId="2FA348B5" w14:textId="77777777" w:rsidR="00D72D92" w:rsidRPr="005B6226" w:rsidRDefault="00D72D92">
            <w:pPr>
              <w:spacing w:before="0" w:after="0" w:line="240" w:lineRule="auto"/>
              <w:rPr>
                <w:sz w:val="18"/>
                <w:szCs w:val="18"/>
              </w:rPr>
            </w:pPr>
            <w:r w:rsidRPr="005B6226">
              <w:rPr>
                <w:sz w:val="18"/>
                <w:szCs w:val="18"/>
              </w:rPr>
              <w:t>CEEU</w:t>
            </w:r>
          </w:p>
        </w:tc>
        <w:tc>
          <w:tcPr>
            <w:tcW w:w="6804" w:type="dxa"/>
          </w:tcPr>
          <w:p w14:paraId="26291CA6" w14:textId="77777777" w:rsidR="00D72D92" w:rsidRPr="005B6226" w:rsidRDefault="00D72D92">
            <w:pPr>
              <w:spacing w:before="0" w:after="0" w:line="240" w:lineRule="auto"/>
              <w:rPr>
                <w:sz w:val="18"/>
                <w:szCs w:val="18"/>
              </w:rPr>
            </w:pPr>
            <w:r w:rsidRPr="005B6226">
              <w:rPr>
                <w:sz w:val="18"/>
                <w:szCs w:val="18"/>
              </w:rPr>
              <w:t>Consumer Evidence and Engagement Unit</w:t>
            </w:r>
          </w:p>
        </w:tc>
      </w:tr>
      <w:tr w:rsidR="00D72D92" w14:paraId="5DF55D70" w14:textId="77777777">
        <w:tc>
          <w:tcPr>
            <w:tcW w:w="3114" w:type="dxa"/>
          </w:tcPr>
          <w:p w14:paraId="442DD86F" w14:textId="77777777" w:rsidR="00D72D92" w:rsidRPr="005B6226" w:rsidRDefault="00D72D92">
            <w:pPr>
              <w:spacing w:before="0" w:after="0" w:line="240" w:lineRule="auto"/>
              <w:rPr>
                <w:sz w:val="18"/>
                <w:szCs w:val="18"/>
              </w:rPr>
            </w:pPr>
            <w:r w:rsidRPr="005B6226">
              <w:rPr>
                <w:sz w:val="18"/>
                <w:szCs w:val="18"/>
              </w:rPr>
              <w:t>CWG</w:t>
            </w:r>
          </w:p>
        </w:tc>
        <w:tc>
          <w:tcPr>
            <w:tcW w:w="6804" w:type="dxa"/>
          </w:tcPr>
          <w:p w14:paraId="2DD4F630" w14:textId="77777777" w:rsidR="00D72D92" w:rsidRPr="005B6226" w:rsidRDefault="00D72D92">
            <w:pPr>
              <w:spacing w:before="0" w:after="0" w:line="240" w:lineRule="auto"/>
              <w:rPr>
                <w:sz w:val="18"/>
                <w:szCs w:val="18"/>
              </w:rPr>
            </w:pPr>
            <w:r w:rsidRPr="005B6226">
              <w:rPr>
                <w:sz w:val="18"/>
                <w:szCs w:val="18"/>
              </w:rPr>
              <w:t>Co-design Working Group</w:t>
            </w:r>
          </w:p>
        </w:tc>
      </w:tr>
      <w:tr w:rsidR="00D72D92" w14:paraId="76A341F2" w14:textId="77777777">
        <w:tc>
          <w:tcPr>
            <w:tcW w:w="3114" w:type="dxa"/>
          </w:tcPr>
          <w:p w14:paraId="290E6EE6" w14:textId="77777777" w:rsidR="00D72D92" w:rsidRPr="005B6226" w:rsidRDefault="00D72D92">
            <w:pPr>
              <w:spacing w:before="0" w:after="0" w:line="240" w:lineRule="auto"/>
              <w:rPr>
                <w:sz w:val="18"/>
                <w:szCs w:val="18"/>
              </w:rPr>
            </w:pPr>
            <w:r w:rsidRPr="005B6226">
              <w:rPr>
                <w:sz w:val="18"/>
                <w:szCs w:val="18"/>
              </w:rPr>
              <w:t>DCAR</w:t>
            </w:r>
          </w:p>
        </w:tc>
        <w:tc>
          <w:tcPr>
            <w:tcW w:w="6804" w:type="dxa"/>
          </w:tcPr>
          <w:p w14:paraId="29C145E6" w14:textId="77777777" w:rsidR="00D72D92" w:rsidRPr="005B6226" w:rsidRDefault="00D72D92">
            <w:pPr>
              <w:spacing w:before="0" w:after="0" w:line="240" w:lineRule="auto"/>
              <w:rPr>
                <w:sz w:val="18"/>
                <w:szCs w:val="18"/>
              </w:rPr>
            </w:pPr>
            <w:r w:rsidRPr="005B6226">
              <w:rPr>
                <w:sz w:val="18"/>
                <w:szCs w:val="18"/>
              </w:rPr>
              <w:t>Department Contracted Assessment Report</w:t>
            </w:r>
          </w:p>
        </w:tc>
      </w:tr>
      <w:tr w:rsidR="00D72D92" w14:paraId="0D6B47B9" w14:textId="77777777">
        <w:tc>
          <w:tcPr>
            <w:tcW w:w="3114" w:type="dxa"/>
          </w:tcPr>
          <w:p w14:paraId="7025E65C" w14:textId="77777777" w:rsidR="00D72D92" w:rsidRPr="005B6226" w:rsidRDefault="00D72D92">
            <w:pPr>
              <w:spacing w:before="0" w:after="0" w:line="240" w:lineRule="auto"/>
              <w:rPr>
                <w:sz w:val="18"/>
                <w:szCs w:val="18"/>
              </w:rPr>
            </w:pPr>
            <w:r w:rsidRPr="005B6226">
              <w:rPr>
                <w:sz w:val="18"/>
                <w:szCs w:val="18"/>
              </w:rPr>
              <w:t>DHAC</w:t>
            </w:r>
          </w:p>
        </w:tc>
        <w:tc>
          <w:tcPr>
            <w:tcW w:w="6804" w:type="dxa"/>
          </w:tcPr>
          <w:p w14:paraId="79034497" w14:textId="77777777" w:rsidR="00D72D92" w:rsidRPr="005B6226" w:rsidRDefault="00D72D92">
            <w:pPr>
              <w:spacing w:before="0" w:after="0" w:line="240" w:lineRule="auto"/>
              <w:rPr>
                <w:sz w:val="18"/>
                <w:szCs w:val="18"/>
              </w:rPr>
            </w:pPr>
            <w:r w:rsidRPr="005B6226">
              <w:rPr>
                <w:sz w:val="18"/>
                <w:szCs w:val="18"/>
              </w:rPr>
              <w:t>Department of Health and Aged Care or ‘the Department’</w:t>
            </w:r>
          </w:p>
        </w:tc>
      </w:tr>
      <w:tr w:rsidR="00D72D92" w14:paraId="664D42B0" w14:textId="77777777">
        <w:tc>
          <w:tcPr>
            <w:tcW w:w="3114" w:type="dxa"/>
          </w:tcPr>
          <w:p w14:paraId="67AB4937" w14:textId="77777777" w:rsidR="00D72D92" w:rsidRPr="005B6226" w:rsidRDefault="00D72D92">
            <w:pPr>
              <w:spacing w:before="0" w:after="0" w:line="240" w:lineRule="auto"/>
              <w:rPr>
                <w:sz w:val="18"/>
                <w:szCs w:val="18"/>
              </w:rPr>
            </w:pPr>
            <w:r w:rsidRPr="005B6226">
              <w:rPr>
                <w:sz w:val="18"/>
                <w:szCs w:val="18"/>
              </w:rPr>
              <w:t>ECEP</w:t>
            </w:r>
          </w:p>
        </w:tc>
        <w:tc>
          <w:tcPr>
            <w:tcW w:w="6804" w:type="dxa"/>
          </w:tcPr>
          <w:p w14:paraId="3124A7FC" w14:textId="77777777" w:rsidR="00D72D92" w:rsidRPr="005B6226" w:rsidRDefault="00D72D92">
            <w:pPr>
              <w:spacing w:before="0" w:after="0" w:line="240" w:lineRule="auto"/>
              <w:rPr>
                <w:sz w:val="18"/>
                <w:szCs w:val="18"/>
              </w:rPr>
            </w:pPr>
            <w:r w:rsidRPr="005B6226">
              <w:rPr>
                <w:sz w:val="18"/>
                <w:szCs w:val="18"/>
              </w:rPr>
              <w:t>Enhanced Consumer Engagement Process</w:t>
            </w:r>
          </w:p>
        </w:tc>
      </w:tr>
      <w:tr w:rsidR="00D72D92" w14:paraId="092E2E21" w14:textId="77777777">
        <w:tc>
          <w:tcPr>
            <w:tcW w:w="3114" w:type="dxa"/>
          </w:tcPr>
          <w:p w14:paraId="3D045977" w14:textId="77777777" w:rsidR="00D72D92" w:rsidRPr="005B6226" w:rsidRDefault="00D72D92">
            <w:pPr>
              <w:spacing w:before="0" w:after="0" w:line="240" w:lineRule="auto"/>
              <w:rPr>
                <w:sz w:val="18"/>
                <w:szCs w:val="18"/>
              </w:rPr>
            </w:pPr>
            <w:r w:rsidRPr="005B6226">
              <w:rPr>
                <w:sz w:val="18"/>
                <w:szCs w:val="18"/>
              </w:rPr>
              <w:t xml:space="preserve">HTA </w:t>
            </w:r>
          </w:p>
        </w:tc>
        <w:tc>
          <w:tcPr>
            <w:tcW w:w="6804" w:type="dxa"/>
          </w:tcPr>
          <w:p w14:paraId="6AE909E9" w14:textId="77777777" w:rsidR="00D72D92" w:rsidRPr="005B6226" w:rsidRDefault="00D72D92">
            <w:pPr>
              <w:spacing w:before="0" w:after="0" w:line="240" w:lineRule="auto"/>
              <w:rPr>
                <w:sz w:val="18"/>
                <w:szCs w:val="18"/>
              </w:rPr>
            </w:pPr>
            <w:r w:rsidRPr="005B6226">
              <w:rPr>
                <w:sz w:val="18"/>
                <w:szCs w:val="18"/>
              </w:rPr>
              <w:t xml:space="preserve">Health Technology Assessment </w:t>
            </w:r>
          </w:p>
        </w:tc>
      </w:tr>
      <w:tr w:rsidR="00D72D92" w14:paraId="69757E2C" w14:textId="77777777">
        <w:tc>
          <w:tcPr>
            <w:tcW w:w="3114" w:type="dxa"/>
          </w:tcPr>
          <w:p w14:paraId="4BAC4C7A" w14:textId="77777777" w:rsidR="00D72D92" w:rsidRPr="005B6226" w:rsidRDefault="00D72D92">
            <w:pPr>
              <w:spacing w:before="0" w:after="0" w:line="240" w:lineRule="auto"/>
              <w:rPr>
                <w:sz w:val="18"/>
                <w:szCs w:val="18"/>
              </w:rPr>
            </w:pPr>
            <w:r w:rsidRPr="005B6226">
              <w:rPr>
                <w:sz w:val="18"/>
                <w:szCs w:val="18"/>
              </w:rPr>
              <w:t>MBS</w:t>
            </w:r>
          </w:p>
        </w:tc>
        <w:tc>
          <w:tcPr>
            <w:tcW w:w="6804" w:type="dxa"/>
          </w:tcPr>
          <w:p w14:paraId="2BFECFC5" w14:textId="77777777" w:rsidR="00D72D92" w:rsidRPr="005B6226" w:rsidRDefault="00D72D92">
            <w:pPr>
              <w:spacing w:before="0" w:after="0" w:line="240" w:lineRule="auto"/>
              <w:rPr>
                <w:sz w:val="18"/>
                <w:szCs w:val="18"/>
              </w:rPr>
            </w:pPr>
            <w:r w:rsidRPr="005B6226">
              <w:rPr>
                <w:sz w:val="18"/>
                <w:szCs w:val="18"/>
              </w:rPr>
              <w:t>Medicare Benefits Schedule</w:t>
            </w:r>
          </w:p>
        </w:tc>
      </w:tr>
      <w:tr w:rsidR="00D72D92" w14:paraId="5115C0E2" w14:textId="77777777">
        <w:tc>
          <w:tcPr>
            <w:tcW w:w="3114" w:type="dxa"/>
          </w:tcPr>
          <w:p w14:paraId="5B76545F" w14:textId="77777777" w:rsidR="00D72D92" w:rsidRPr="005B6226" w:rsidRDefault="00D72D92">
            <w:pPr>
              <w:spacing w:before="0" w:after="0" w:line="240" w:lineRule="auto"/>
              <w:rPr>
                <w:sz w:val="18"/>
                <w:szCs w:val="18"/>
              </w:rPr>
            </w:pPr>
            <w:r w:rsidRPr="005B6226">
              <w:rPr>
                <w:sz w:val="18"/>
                <w:szCs w:val="18"/>
              </w:rPr>
              <w:t>MDHTAC</w:t>
            </w:r>
          </w:p>
        </w:tc>
        <w:tc>
          <w:tcPr>
            <w:tcW w:w="6804" w:type="dxa"/>
          </w:tcPr>
          <w:p w14:paraId="658F9A0D" w14:textId="77777777" w:rsidR="00D72D92" w:rsidRPr="005B6226" w:rsidRDefault="00D72D92">
            <w:pPr>
              <w:spacing w:before="0" w:after="0" w:line="240" w:lineRule="auto"/>
              <w:rPr>
                <w:sz w:val="18"/>
                <w:szCs w:val="18"/>
              </w:rPr>
            </w:pPr>
            <w:r w:rsidRPr="005B6226">
              <w:rPr>
                <w:sz w:val="18"/>
                <w:szCs w:val="18"/>
              </w:rPr>
              <w:t>Medical Device and Human Tissue Advisory Committee</w:t>
            </w:r>
          </w:p>
        </w:tc>
      </w:tr>
      <w:tr w:rsidR="00D72D92" w14:paraId="1F682AB3" w14:textId="77777777">
        <w:tc>
          <w:tcPr>
            <w:tcW w:w="3114" w:type="dxa"/>
          </w:tcPr>
          <w:p w14:paraId="4A9587FA" w14:textId="77777777" w:rsidR="00D72D92" w:rsidRPr="005B6226" w:rsidRDefault="00D72D92">
            <w:pPr>
              <w:spacing w:before="0" w:after="0" w:line="240" w:lineRule="auto"/>
              <w:rPr>
                <w:sz w:val="18"/>
                <w:szCs w:val="18"/>
              </w:rPr>
            </w:pPr>
            <w:r w:rsidRPr="005B6226">
              <w:rPr>
                <w:sz w:val="18"/>
                <w:szCs w:val="18"/>
              </w:rPr>
              <w:t>MSAC</w:t>
            </w:r>
          </w:p>
        </w:tc>
        <w:tc>
          <w:tcPr>
            <w:tcW w:w="6804" w:type="dxa"/>
          </w:tcPr>
          <w:p w14:paraId="658E4E8B" w14:textId="77777777" w:rsidR="00D72D92" w:rsidRPr="005B6226" w:rsidRDefault="00D72D92">
            <w:pPr>
              <w:spacing w:before="0" w:after="0" w:line="240" w:lineRule="auto"/>
              <w:rPr>
                <w:sz w:val="18"/>
                <w:szCs w:val="18"/>
              </w:rPr>
            </w:pPr>
            <w:r w:rsidRPr="005B6226">
              <w:rPr>
                <w:sz w:val="18"/>
                <w:szCs w:val="18"/>
              </w:rPr>
              <w:t>Medical Services Advisory Committee</w:t>
            </w:r>
          </w:p>
        </w:tc>
      </w:tr>
      <w:tr w:rsidR="00D72D92" w14:paraId="6A1AE92B" w14:textId="77777777">
        <w:tc>
          <w:tcPr>
            <w:tcW w:w="3114" w:type="dxa"/>
          </w:tcPr>
          <w:p w14:paraId="7A3AE6B2" w14:textId="77777777" w:rsidR="00D72D92" w:rsidRPr="005B6226" w:rsidRDefault="00D72D92">
            <w:pPr>
              <w:spacing w:before="0" w:after="0" w:line="240" w:lineRule="auto"/>
              <w:rPr>
                <w:sz w:val="18"/>
                <w:szCs w:val="18"/>
              </w:rPr>
            </w:pPr>
            <w:r w:rsidRPr="005B6226">
              <w:rPr>
                <w:sz w:val="18"/>
                <w:szCs w:val="18"/>
              </w:rPr>
              <w:t>NDSS</w:t>
            </w:r>
          </w:p>
        </w:tc>
        <w:tc>
          <w:tcPr>
            <w:tcW w:w="6804" w:type="dxa"/>
          </w:tcPr>
          <w:p w14:paraId="40B13A6B" w14:textId="77777777" w:rsidR="00D72D92" w:rsidRPr="005B6226" w:rsidRDefault="00D72D92">
            <w:pPr>
              <w:spacing w:before="0" w:after="0" w:line="240" w:lineRule="auto"/>
              <w:rPr>
                <w:sz w:val="18"/>
                <w:szCs w:val="18"/>
              </w:rPr>
            </w:pPr>
            <w:r w:rsidRPr="005B6226">
              <w:rPr>
                <w:sz w:val="18"/>
                <w:szCs w:val="18"/>
              </w:rPr>
              <w:t>National Diabetes Services Scheme</w:t>
            </w:r>
          </w:p>
        </w:tc>
      </w:tr>
      <w:tr w:rsidR="00D72D92" w14:paraId="35FBF3EE" w14:textId="77777777">
        <w:tc>
          <w:tcPr>
            <w:tcW w:w="3114" w:type="dxa"/>
          </w:tcPr>
          <w:p w14:paraId="25700FB5" w14:textId="77777777" w:rsidR="00D72D92" w:rsidRPr="005B6226" w:rsidRDefault="00D72D92">
            <w:pPr>
              <w:spacing w:before="0" w:after="0" w:line="240" w:lineRule="auto"/>
              <w:rPr>
                <w:sz w:val="18"/>
                <w:szCs w:val="18"/>
              </w:rPr>
            </w:pPr>
            <w:r>
              <w:rPr>
                <w:sz w:val="18"/>
                <w:szCs w:val="18"/>
              </w:rPr>
              <w:t>OHTA</w:t>
            </w:r>
          </w:p>
        </w:tc>
        <w:tc>
          <w:tcPr>
            <w:tcW w:w="6804" w:type="dxa"/>
          </w:tcPr>
          <w:p w14:paraId="57175A9C" w14:textId="77777777" w:rsidR="00D72D92" w:rsidRPr="005B6226" w:rsidRDefault="00D72D92">
            <w:pPr>
              <w:spacing w:before="0" w:after="0" w:line="240" w:lineRule="auto"/>
              <w:rPr>
                <w:sz w:val="18"/>
                <w:szCs w:val="18"/>
              </w:rPr>
            </w:pPr>
            <w:r w:rsidRPr="0016653C">
              <w:rPr>
                <w:sz w:val="18"/>
                <w:szCs w:val="18"/>
              </w:rPr>
              <w:t>Office of Health Technology Assessmen</w:t>
            </w:r>
            <w:r>
              <w:rPr>
                <w:sz w:val="18"/>
                <w:szCs w:val="18"/>
              </w:rPr>
              <w:t>t</w:t>
            </w:r>
          </w:p>
        </w:tc>
      </w:tr>
      <w:tr w:rsidR="00D72D92" w14:paraId="0F5B363C" w14:textId="77777777">
        <w:tc>
          <w:tcPr>
            <w:tcW w:w="3114" w:type="dxa"/>
          </w:tcPr>
          <w:p w14:paraId="1DC9C276" w14:textId="77777777" w:rsidR="00D72D92" w:rsidRPr="005B6226" w:rsidRDefault="00D72D92">
            <w:pPr>
              <w:spacing w:before="0" w:after="0" w:line="240" w:lineRule="auto"/>
              <w:rPr>
                <w:sz w:val="18"/>
                <w:szCs w:val="18"/>
              </w:rPr>
            </w:pPr>
            <w:r w:rsidRPr="005B6226">
              <w:rPr>
                <w:sz w:val="18"/>
                <w:szCs w:val="18"/>
              </w:rPr>
              <w:t xml:space="preserve">PBAC </w:t>
            </w:r>
          </w:p>
        </w:tc>
        <w:tc>
          <w:tcPr>
            <w:tcW w:w="6804" w:type="dxa"/>
          </w:tcPr>
          <w:p w14:paraId="6035E9E7" w14:textId="77777777" w:rsidR="00D72D92" w:rsidRPr="005B6226" w:rsidRDefault="00D72D92">
            <w:pPr>
              <w:spacing w:before="0" w:after="0" w:line="240" w:lineRule="auto"/>
              <w:rPr>
                <w:sz w:val="18"/>
                <w:szCs w:val="18"/>
              </w:rPr>
            </w:pPr>
            <w:r w:rsidRPr="005B6226">
              <w:rPr>
                <w:sz w:val="18"/>
                <w:szCs w:val="18"/>
              </w:rPr>
              <w:t>Pharmaceutical Benefits Advisory Committee</w:t>
            </w:r>
          </w:p>
        </w:tc>
      </w:tr>
      <w:tr w:rsidR="00D72D92" w14:paraId="7EACE054" w14:textId="77777777">
        <w:tc>
          <w:tcPr>
            <w:tcW w:w="3114" w:type="dxa"/>
          </w:tcPr>
          <w:p w14:paraId="393C642E" w14:textId="77777777" w:rsidR="00D72D92" w:rsidRPr="005B6226" w:rsidRDefault="00D72D92">
            <w:pPr>
              <w:spacing w:before="0" w:after="0" w:line="240" w:lineRule="auto"/>
              <w:rPr>
                <w:sz w:val="18"/>
                <w:szCs w:val="18"/>
              </w:rPr>
            </w:pPr>
            <w:r w:rsidRPr="005B6226">
              <w:rPr>
                <w:sz w:val="18"/>
                <w:szCs w:val="18"/>
              </w:rPr>
              <w:t>PBS</w:t>
            </w:r>
          </w:p>
        </w:tc>
        <w:tc>
          <w:tcPr>
            <w:tcW w:w="6804" w:type="dxa"/>
          </w:tcPr>
          <w:p w14:paraId="5CDBFE05" w14:textId="77777777" w:rsidR="00D72D92" w:rsidRPr="005B6226" w:rsidRDefault="00D72D92">
            <w:pPr>
              <w:spacing w:before="0" w:after="0" w:line="240" w:lineRule="auto"/>
              <w:rPr>
                <w:sz w:val="18"/>
                <w:szCs w:val="18"/>
              </w:rPr>
            </w:pPr>
            <w:r w:rsidRPr="005B6226">
              <w:rPr>
                <w:sz w:val="18"/>
                <w:szCs w:val="18"/>
              </w:rPr>
              <w:t>Pharmaceutical Benefits Scheme</w:t>
            </w:r>
          </w:p>
        </w:tc>
      </w:tr>
      <w:tr w:rsidR="00D72D92" w14:paraId="33728B94" w14:textId="77777777">
        <w:tc>
          <w:tcPr>
            <w:tcW w:w="3114" w:type="dxa"/>
          </w:tcPr>
          <w:p w14:paraId="4926E08A" w14:textId="77777777" w:rsidR="00D72D92" w:rsidRPr="005B6226" w:rsidRDefault="00D72D92">
            <w:pPr>
              <w:spacing w:before="0" w:after="0" w:line="240" w:lineRule="auto"/>
              <w:rPr>
                <w:sz w:val="18"/>
                <w:szCs w:val="18"/>
              </w:rPr>
            </w:pPr>
            <w:r>
              <w:rPr>
                <w:sz w:val="18"/>
                <w:szCs w:val="18"/>
              </w:rPr>
              <w:t>PICO</w:t>
            </w:r>
          </w:p>
        </w:tc>
        <w:tc>
          <w:tcPr>
            <w:tcW w:w="6804" w:type="dxa"/>
          </w:tcPr>
          <w:p w14:paraId="7380E8DE" w14:textId="77777777" w:rsidR="00D72D92" w:rsidRPr="005B6226" w:rsidRDefault="00D72D92">
            <w:pPr>
              <w:spacing w:before="0" w:after="0" w:line="240" w:lineRule="auto"/>
              <w:rPr>
                <w:sz w:val="18"/>
                <w:szCs w:val="18"/>
              </w:rPr>
            </w:pPr>
            <w:r w:rsidRPr="003818A2">
              <w:rPr>
                <w:sz w:val="18"/>
                <w:szCs w:val="18"/>
              </w:rPr>
              <w:t>Population, Intervention, Comparator, Outcome</w:t>
            </w:r>
          </w:p>
        </w:tc>
      </w:tr>
      <w:tr w:rsidR="00D72D92" w14:paraId="499DCC31" w14:textId="77777777">
        <w:tc>
          <w:tcPr>
            <w:tcW w:w="3114" w:type="dxa"/>
          </w:tcPr>
          <w:p w14:paraId="4C617B37" w14:textId="77777777" w:rsidR="00D72D92" w:rsidRPr="005B6226" w:rsidRDefault="00D72D92">
            <w:pPr>
              <w:spacing w:before="0" w:after="0" w:line="240" w:lineRule="auto"/>
              <w:rPr>
                <w:sz w:val="18"/>
                <w:szCs w:val="18"/>
              </w:rPr>
            </w:pPr>
            <w:r w:rsidRPr="005B6226">
              <w:rPr>
                <w:sz w:val="18"/>
                <w:szCs w:val="18"/>
              </w:rPr>
              <w:t>PL</w:t>
            </w:r>
          </w:p>
        </w:tc>
        <w:tc>
          <w:tcPr>
            <w:tcW w:w="6804" w:type="dxa"/>
          </w:tcPr>
          <w:p w14:paraId="52C0CDA3" w14:textId="77777777" w:rsidR="00D72D92" w:rsidRPr="005B6226" w:rsidRDefault="00D72D92">
            <w:pPr>
              <w:spacing w:before="0" w:after="0" w:line="240" w:lineRule="auto"/>
              <w:rPr>
                <w:sz w:val="18"/>
                <w:szCs w:val="18"/>
              </w:rPr>
            </w:pPr>
            <w:r>
              <w:rPr>
                <w:sz w:val="18"/>
                <w:szCs w:val="18"/>
              </w:rPr>
              <w:t>Prescribed List of Benefits for Medical Devices and Human Tissue Products</w:t>
            </w:r>
          </w:p>
        </w:tc>
      </w:tr>
      <w:tr w:rsidR="00D72D92" w14:paraId="0E21ACBA" w14:textId="77777777">
        <w:tc>
          <w:tcPr>
            <w:tcW w:w="3114" w:type="dxa"/>
          </w:tcPr>
          <w:p w14:paraId="45AF55CF" w14:textId="77777777" w:rsidR="00D72D92" w:rsidRPr="005B6226" w:rsidRDefault="00D72D92">
            <w:pPr>
              <w:spacing w:before="0" w:after="0" w:line="240" w:lineRule="auto"/>
              <w:rPr>
                <w:sz w:val="18"/>
                <w:szCs w:val="18"/>
              </w:rPr>
            </w:pPr>
            <w:r w:rsidRPr="005B6226">
              <w:rPr>
                <w:sz w:val="18"/>
                <w:szCs w:val="18"/>
              </w:rPr>
              <w:t>PREMS</w:t>
            </w:r>
          </w:p>
        </w:tc>
        <w:tc>
          <w:tcPr>
            <w:tcW w:w="6804" w:type="dxa"/>
          </w:tcPr>
          <w:p w14:paraId="727BB027" w14:textId="77777777" w:rsidR="00D72D92" w:rsidRPr="005B6226" w:rsidRDefault="00D72D92">
            <w:pPr>
              <w:spacing w:before="0" w:after="0" w:line="240" w:lineRule="auto"/>
              <w:rPr>
                <w:sz w:val="18"/>
                <w:szCs w:val="18"/>
              </w:rPr>
            </w:pPr>
            <w:r w:rsidRPr="005B6226">
              <w:rPr>
                <w:sz w:val="18"/>
                <w:szCs w:val="18"/>
              </w:rPr>
              <w:t>Patient Reported Experience Measures</w:t>
            </w:r>
          </w:p>
        </w:tc>
      </w:tr>
      <w:tr w:rsidR="00D72D92" w14:paraId="373A966B" w14:textId="77777777">
        <w:tc>
          <w:tcPr>
            <w:tcW w:w="3114" w:type="dxa"/>
          </w:tcPr>
          <w:p w14:paraId="3CEC060E" w14:textId="77777777" w:rsidR="00D72D92" w:rsidRPr="005B6226" w:rsidRDefault="00D72D92">
            <w:pPr>
              <w:spacing w:before="0" w:after="0" w:line="240" w:lineRule="auto"/>
              <w:rPr>
                <w:sz w:val="18"/>
                <w:szCs w:val="18"/>
              </w:rPr>
            </w:pPr>
            <w:r w:rsidRPr="005B6226">
              <w:rPr>
                <w:sz w:val="18"/>
                <w:szCs w:val="18"/>
              </w:rPr>
              <w:t>PROMS</w:t>
            </w:r>
          </w:p>
        </w:tc>
        <w:tc>
          <w:tcPr>
            <w:tcW w:w="6804" w:type="dxa"/>
          </w:tcPr>
          <w:p w14:paraId="45B1208D" w14:textId="77777777" w:rsidR="00D72D92" w:rsidRPr="005B6226" w:rsidRDefault="00D72D92">
            <w:pPr>
              <w:spacing w:before="0" w:after="0" w:line="240" w:lineRule="auto"/>
              <w:rPr>
                <w:sz w:val="18"/>
                <w:szCs w:val="18"/>
              </w:rPr>
            </w:pPr>
            <w:r w:rsidRPr="005B6226">
              <w:rPr>
                <w:sz w:val="18"/>
                <w:szCs w:val="18"/>
              </w:rPr>
              <w:t>Patient Reported Outcome Measures</w:t>
            </w:r>
          </w:p>
        </w:tc>
      </w:tr>
      <w:tr w:rsidR="00D72D92" w14:paraId="752B5657" w14:textId="77777777">
        <w:tc>
          <w:tcPr>
            <w:tcW w:w="3114" w:type="dxa"/>
          </w:tcPr>
          <w:p w14:paraId="5DA94E80" w14:textId="77777777" w:rsidR="00D72D92" w:rsidRPr="005B6226" w:rsidRDefault="00D72D92">
            <w:pPr>
              <w:spacing w:before="0" w:after="0" w:line="240" w:lineRule="auto"/>
              <w:rPr>
                <w:sz w:val="18"/>
                <w:szCs w:val="18"/>
              </w:rPr>
            </w:pPr>
            <w:r w:rsidRPr="005B6226">
              <w:rPr>
                <w:sz w:val="18"/>
                <w:szCs w:val="18"/>
              </w:rPr>
              <w:t>RWE</w:t>
            </w:r>
          </w:p>
        </w:tc>
        <w:tc>
          <w:tcPr>
            <w:tcW w:w="6804" w:type="dxa"/>
          </w:tcPr>
          <w:p w14:paraId="43357737" w14:textId="77777777" w:rsidR="00D72D92" w:rsidRPr="005B6226" w:rsidRDefault="00D72D92">
            <w:pPr>
              <w:spacing w:before="0" w:after="0" w:line="240" w:lineRule="auto"/>
              <w:rPr>
                <w:sz w:val="18"/>
                <w:szCs w:val="18"/>
              </w:rPr>
            </w:pPr>
            <w:r w:rsidRPr="005B6226">
              <w:rPr>
                <w:sz w:val="18"/>
                <w:szCs w:val="18"/>
              </w:rPr>
              <w:t xml:space="preserve">Real World Evidence </w:t>
            </w:r>
          </w:p>
        </w:tc>
      </w:tr>
      <w:tr w:rsidR="00D72D92" w14:paraId="2ED5831B" w14:textId="77777777">
        <w:tc>
          <w:tcPr>
            <w:tcW w:w="3114" w:type="dxa"/>
          </w:tcPr>
          <w:p w14:paraId="1A9C2DE3" w14:textId="77777777" w:rsidR="00D72D92" w:rsidRPr="005B6226" w:rsidRDefault="00D72D92">
            <w:pPr>
              <w:spacing w:before="0" w:after="0" w:line="240" w:lineRule="auto"/>
              <w:rPr>
                <w:sz w:val="18"/>
                <w:szCs w:val="18"/>
              </w:rPr>
            </w:pPr>
            <w:r w:rsidRPr="005B6226">
              <w:rPr>
                <w:sz w:val="18"/>
                <w:szCs w:val="18"/>
              </w:rPr>
              <w:t>TGA</w:t>
            </w:r>
          </w:p>
        </w:tc>
        <w:tc>
          <w:tcPr>
            <w:tcW w:w="6804" w:type="dxa"/>
          </w:tcPr>
          <w:p w14:paraId="74990EB1" w14:textId="77777777" w:rsidR="00D72D92" w:rsidRPr="005B6226" w:rsidRDefault="00D72D92">
            <w:pPr>
              <w:spacing w:before="0" w:after="0" w:line="240" w:lineRule="auto"/>
              <w:rPr>
                <w:sz w:val="18"/>
                <w:szCs w:val="18"/>
              </w:rPr>
            </w:pPr>
            <w:r w:rsidRPr="005B6226">
              <w:rPr>
                <w:sz w:val="18"/>
                <w:szCs w:val="18"/>
              </w:rPr>
              <w:t xml:space="preserve">Therapeutic Goods Administration </w:t>
            </w:r>
          </w:p>
        </w:tc>
      </w:tr>
    </w:tbl>
    <w:p w14:paraId="50135E60" w14:textId="77777777" w:rsidR="00D72D92" w:rsidRDefault="00D72D92" w:rsidP="00D72D92"/>
    <w:p w14:paraId="1218723A" w14:textId="77777777" w:rsidR="00D72D92" w:rsidRDefault="00D72D92" w:rsidP="00D72D92">
      <w:pPr>
        <w:suppressAutoHyphens w:val="0"/>
        <w:spacing w:before="0" w:after="0" w:line="240" w:lineRule="auto"/>
      </w:pPr>
    </w:p>
    <w:p w14:paraId="2084758E" w14:textId="30BE50A7" w:rsidR="001F5103" w:rsidRDefault="00BA3F83" w:rsidP="004A41DD">
      <w:pPr>
        <w:pStyle w:val="Heading1"/>
      </w:pPr>
      <w:bookmarkStart w:id="14" w:name="_Project_Background_2"/>
      <w:bookmarkStart w:id="15" w:name="_Toc160023610"/>
      <w:bookmarkEnd w:id="14"/>
      <w:r>
        <w:t>Project Background</w:t>
      </w:r>
      <w:bookmarkStart w:id="16" w:name="_Project_Background"/>
      <w:bookmarkEnd w:id="10"/>
      <w:bookmarkEnd w:id="15"/>
      <w:bookmarkEnd w:id="16"/>
    </w:p>
    <w:p w14:paraId="1FE7C2D3" w14:textId="7FDECB8C" w:rsidR="003B6145" w:rsidRDefault="001F5103" w:rsidP="001F5103">
      <w:r>
        <w:t xml:space="preserve">Consumer perspectives are important when determining whether access to a new </w:t>
      </w:r>
      <w:r w:rsidR="00C23983">
        <w:t>health technology (e.g., medicine</w:t>
      </w:r>
      <w:r w:rsidR="00460043">
        <w:t xml:space="preserve">s, </w:t>
      </w:r>
      <w:r w:rsidR="00460043" w:rsidRPr="00460043">
        <w:t xml:space="preserve">vaccines, </w:t>
      </w:r>
      <w:r w:rsidR="00460043">
        <w:t>n</w:t>
      </w:r>
      <w:r w:rsidR="00460043" w:rsidRPr="00460043">
        <w:t>utritional products</w:t>
      </w:r>
      <w:r w:rsidR="00460043">
        <w:t>, and co-dependent technologies)</w:t>
      </w:r>
      <w:r>
        <w:t xml:space="preserve"> should be subsidised. This is particularly so if a new medicine is a breakthrough technology that promises to address an otherwise high unmet clinical need. Enhancing consumer engagement will help inform decision-making in </w:t>
      </w:r>
      <w:hyperlink r:id="rId19" w:history="1">
        <w:r w:rsidRPr="0050167A">
          <w:rPr>
            <w:rStyle w:val="Hyperlink"/>
          </w:rPr>
          <w:t>Health Technology Assessment</w:t>
        </w:r>
      </w:hyperlink>
      <w:r>
        <w:t xml:space="preserve"> (HTA) processes by embedding consumer experience and evidence </w:t>
      </w:r>
      <w:r w:rsidR="00BC0D19">
        <w:t>across the end-to-end health technology pathway, including in</w:t>
      </w:r>
      <w:r w:rsidR="00F10BBB">
        <w:t xml:space="preserve"> submissions</w:t>
      </w:r>
      <w:r w:rsidR="00B7114B">
        <w:t xml:space="preserve"> to</w:t>
      </w:r>
      <w:r w:rsidR="00DF49A1">
        <w:t xml:space="preserve"> HTA committees.</w:t>
      </w:r>
    </w:p>
    <w:p w14:paraId="7DA79C3C" w14:textId="2133B678" w:rsidR="001B3C7B" w:rsidRDefault="001F5103" w:rsidP="001F5103">
      <w:r>
        <w:t>While</w:t>
      </w:r>
      <w:r w:rsidR="00730FB8">
        <w:t xml:space="preserve"> the</w:t>
      </w:r>
      <w:r>
        <w:t xml:space="preserve"> visibility of consumer engagement has increased over the years, recent reviews and consultations confirm</w:t>
      </w:r>
      <w:r w:rsidR="00337A68">
        <w:t xml:space="preserve"> that</w:t>
      </w:r>
      <w:r>
        <w:t xml:space="preserve"> further efforts to improve </w:t>
      </w:r>
      <w:r w:rsidR="00DF707D">
        <w:t xml:space="preserve">engagement in </w:t>
      </w:r>
      <w:r w:rsidR="00C51079">
        <w:t xml:space="preserve">HTA processes </w:t>
      </w:r>
      <w:r>
        <w:t xml:space="preserve">are both warranted and sought after by the Department, the medicines </w:t>
      </w:r>
      <w:r w:rsidR="004C45EB">
        <w:t>industry,</w:t>
      </w:r>
      <w:r>
        <w:t xml:space="preserve"> and consumer</w:t>
      </w:r>
      <w:r w:rsidR="001926A4">
        <w:t>s</w:t>
      </w:r>
      <w:r>
        <w:t xml:space="preserve"> alike</w:t>
      </w:r>
      <w:r w:rsidR="00894A17">
        <w:t xml:space="preserve">. </w:t>
      </w:r>
      <w:r>
        <w:t xml:space="preserve">Indeed, the importance of enhancing consumer engagement in HTA processes is one of the key commitments </w:t>
      </w:r>
      <w:r w:rsidR="00617B6C">
        <w:t xml:space="preserve">embedded </w:t>
      </w:r>
      <w:r>
        <w:t xml:space="preserve">in the </w:t>
      </w:r>
      <w:hyperlink r:id="rId20" w:history="1">
        <w:r w:rsidRPr="00D01B62">
          <w:rPr>
            <w:rStyle w:val="Hyperlink"/>
          </w:rPr>
          <w:t>2022–2027 Strategic Agreement between the Commonwealth Government and Medicines Australia</w:t>
        </w:r>
      </w:hyperlink>
      <w:r>
        <w:t xml:space="preserve">. The Strategic Agreement includes a project to “co-design and agree upon an Enhanced Consumer Engagement Process, for consideration by the Minister </w:t>
      </w:r>
      <w:r w:rsidR="002E024A">
        <w:t>for</w:t>
      </w:r>
      <w:r>
        <w:t xml:space="preserve"> Health and Aged Care, to capture consumer voices in respect to applications to list new medicines on the Pharmaceutical Benefits Scheme</w:t>
      </w:r>
      <w:r w:rsidR="00E97334">
        <w:t xml:space="preserve"> (PBS)</w:t>
      </w:r>
      <w:r>
        <w:t>.</w:t>
      </w:r>
      <w:r w:rsidR="001B3C7B">
        <w:t>”</w:t>
      </w:r>
    </w:p>
    <w:p w14:paraId="3E75D137" w14:textId="723A664B" w:rsidR="001B3C7B" w:rsidRDefault="001B3C7B" w:rsidP="001F5103">
      <w:r>
        <w:t xml:space="preserve">The </w:t>
      </w:r>
      <w:r w:rsidR="001F5103">
        <w:t>project commenced in late 2023 with the establishment of the Co-design Working Group (CWG) consisting of consumer, government, and medicines industry representatives</w:t>
      </w:r>
      <w:r w:rsidR="00EE0C90">
        <w:t xml:space="preserve">. The CWG is </w:t>
      </w:r>
      <w:r w:rsidR="001F5103">
        <w:t>facilitated by researchers from The University of Melbourne.</w:t>
      </w:r>
      <w:r>
        <w:t xml:space="preserve"> </w:t>
      </w:r>
      <w:r w:rsidR="00207588">
        <w:t xml:space="preserve">The project is managed by the </w:t>
      </w:r>
      <w:hyperlink r:id="rId21" w:history="1">
        <w:r w:rsidR="00207588" w:rsidRPr="00F41DD5">
          <w:rPr>
            <w:rStyle w:val="Hyperlink"/>
          </w:rPr>
          <w:t>Consumer Evidence and Engagement Unit</w:t>
        </w:r>
      </w:hyperlink>
      <w:r w:rsidR="00207588">
        <w:t xml:space="preserve"> (CEEU) in the Office of Health Technology Assessment (OHTA), Department of Health and Aged Care (the Department)</w:t>
      </w:r>
    </w:p>
    <w:p w14:paraId="2E51698E" w14:textId="57EBCFC4" w:rsidR="001F5103" w:rsidRDefault="001F5103" w:rsidP="001F5103">
      <w:r>
        <w:t xml:space="preserve">The </w:t>
      </w:r>
      <w:r w:rsidRPr="0024178D">
        <w:t xml:space="preserve">purpose </w:t>
      </w:r>
      <w:r>
        <w:t>of the project is to:</w:t>
      </w:r>
    </w:p>
    <w:p w14:paraId="044B38DE" w14:textId="77777777" w:rsidR="001F5103" w:rsidRPr="007C024C" w:rsidRDefault="001F5103" w:rsidP="001F5103">
      <w:pPr>
        <w:rPr>
          <w:i/>
          <w:iCs/>
        </w:rPr>
      </w:pPr>
      <w:r w:rsidRPr="007C024C">
        <w:rPr>
          <w:i/>
          <w:iCs/>
        </w:rPr>
        <w:t>Develop a report with recommendations, for the consideration of the Minister for Health and Aged Care, on the design and implementation of the Enhanced Consumer Engagement Process for Health Technology Assessments relevant to Pharmaceutical Benefits Advisory Committee</w:t>
      </w:r>
      <w:r>
        <w:rPr>
          <w:i/>
          <w:iCs/>
        </w:rPr>
        <w:t xml:space="preserve"> (PBAC)</w:t>
      </w:r>
      <w:r w:rsidRPr="007C024C">
        <w:rPr>
          <w:i/>
          <w:iCs/>
        </w:rPr>
        <w:t xml:space="preserve">, as per </w:t>
      </w:r>
      <w:r>
        <w:rPr>
          <w:i/>
          <w:iCs/>
        </w:rPr>
        <w:t xml:space="preserve">the </w:t>
      </w:r>
      <w:r w:rsidRPr="0016317E">
        <w:rPr>
          <w:i/>
        </w:rPr>
        <w:t>2022-2027 Strategic agreement between the Commonwealth and Medicines Australia.</w:t>
      </w:r>
    </w:p>
    <w:p w14:paraId="54D14CAD" w14:textId="0C8E788F" w:rsidR="001F5103" w:rsidRDefault="001F5103" w:rsidP="001F5103">
      <w:r>
        <w:t>The scope includes:</w:t>
      </w:r>
    </w:p>
    <w:p w14:paraId="7C77733E" w14:textId="61B37621" w:rsidR="001F5103" w:rsidRPr="00865EB4" w:rsidRDefault="003231CF" w:rsidP="001F0473">
      <w:pPr>
        <w:pStyle w:val="ListBullet2"/>
        <w:numPr>
          <w:ilvl w:val="0"/>
          <w:numId w:val="18"/>
        </w:numPr>
      </w:pPr>
      <w:r>
        <w:t>submissions</w:t>
      </w:r>
      <w:r w:rsidR="001F5103" w:rsidRPr="00865EB4">
        <w:t xml:space="preserve"> to list new health technologies (single or class) on the Pharmaceutical Benefits Scheme, (i.e., medicines, vaccines, nutritional products, codependent technologies)</w:t>
      </w:r>
    </w:p>
    <w:p w14:paraId="0D8D0F08" w14:textId="50B3BE12" w:rsidR="001F5103" w:rsidRPr="00865EB4" w:rsidRDefault="001F5103" w:rsidP="001F0473">
      <w:pPr>
        <w:pStyle w:val="ListBullet2"/>
        <w:numPr>
          <w:ilvl w:val="0"/>
          <w:numId w:val="18"/>
        </w:numPr>
      </w:pPr>
      <w:r w:rsidRPr="00865EB4">
        <w:t>changes to early stages of the HTA pathway</w:t>
      </w:r>
    </w:p>
    <w:p w14:paraId="778662F8" w14:textId="77777777" w:rsidR="001F5103" w:rsidRPr="00865EB4" w:rsidRDefault="001F5103" w:rsidP="001F0473">
      <w:pPr>
        <w:pStyle w:val="ListBullet2"/>
        <w:numPr>
          <w:ilvl w:val="0"/>
          <w:numId w:val="18"/>
        </w:numPr>
      </w:pPr>
      <w:r w:rsidRPr="00865EB4">
        <w:t>clarifying the relationship with horizon scanning information</w:t>
      </w:r>
    </w:p>
    <w:p w14:paraId="798FC5B7" w14:textId="1A8F9441" w:rsidR="001F5103" w:rsidRPr="00865EB4" w:rsidRDefault="001F5103" w:rsidP="001F0473">
      <w:pPr>
        <w:pStyle w:val="ListBullet2"/>
        <w:numPr>
          <w:ilvl w:val="0"/>
          <w:numId w:val="18"/>
        </w:numPr>
      </w:pPr>
      <w:r w:rsidRPr="00865EB4">
        <w:t>understanding where conflicts of interest may need to be managed.</w:t>
      </w:r>
    </w:p>
    <w:p w14:paraId="1BA106FA" w14:textId="113741AE" w:rsidR="001F5103" w:rsidRDefault="001F5103" w:rsidP="00CC275E">
      <w:r>
        <w:t>Importantly, while the purpose and scope focus on enhancing consumer engagement in relation to PBAC, the co-design project presents an opportunity</w:t>
      </w:r>
      <w:r w:rsidR="00A85698">
        <w:t xml:space="preserve"> to align with </w:t>
      </w:r>
      <w:r>
        <w:t xml:space="preserve">broader reforms including the </w:t>
      </w:r>
      <w:hyperlink r:id="rId22" w:history="1">
        <w:r w:rsidRPr="001A4287">
          <w:rPr>
            <w:rStyle w:val="Hyperlink"/>
          </w:rPr>
          <w:t>HTA Policy and Methods Review</w:t>
        </w:r>
      </w:hyperlink>
      <w:r>
        <w:t>. As such, the proposed recommendations in this report are relevant to strengthening consumer engagement across the entire health technology pathway.</w:t>
      </w:r>
      <w:r w:rsidR="00CC7303">
        <w:t xml:space="preserve"> Furthermore, the proposed recommendations for PBAC processes may be relevant and transferrable to other HTA committees such as the</w:t>
      </w:r>
      <w:r w:rsidR="0060205A">
        <w:t xml:space="preserve"> Medical Services Advisory Committee (MSAC) and the Medical Device and Human Tissue Advisory Committee</w:t>
      </w:r>
      <w:r w:rsidR="00CC275E">
        <w:t xml:space="preserve"> (MDHTAC).</w:t>
      </w:r>
    </w:p>
    <w:p w14:paraId="0B95644A" w14:textId="11BC1C49" w:rsidR="001F5103" w:rsidRDefault="001F5103" w:rsidP="001F5103">
      <w:r>
        <w:t xml:space="preserve">As the CWG continue to develop the recommendations, input is sought </w:t>
      </w:r>
      <w:r w:rsidR="00E378B7">
        <w:t xml:space="preserve">about </w:t>
      </w:r>
      <w:r>
        <w:t>this consultation report from consumers</w:t>
      </w:r>
      <w:r w:rsidR="00A85698">
        <w:t xml:space="preserve"> and other stakeholders</w:t>
      </w:r>
      <w:r w:rsidR="004926A4">
        <w:t>.</w:t>
      </w:r>
      <w:r>
        <w:t xml:space="preserve"> Please see the information at the beginning of this report about </w:t>
      </w:r>
      <w:hyperlink w:anchor="_How_to_provide" w:history="1">
        <w:r w:rsidRPr="006D7419">
          <w:rPr>
            <w:rStyle w:val="Hyperlink"/>
          </w:rPr>
          <w:t>how to provide input</w:t>
        </w:r>
      </w:hyperlink>
      <w:r>
        <w:t xml:space="preserve"> via a survey. </w:t>
      </w:r>
    </w:p>
    <w:p w14:paraId="34D1086F" w14:textId="09BDB491" w:rsidR="004A41DD" w:rsidRPr="00696B60" w:rsidRDefault="001F5103" w:rsidP="004A41DD">
      <w:pPr>
        <w:rPr>
          <w:color w:val="0000FF"/>
          <w:u w:val="single"/>
        </w:rPr>
      </w:pPr>
      <w:r>
        <w:t xml:space="preserve">More information about </w:t>
      </w:r>
      <w:r w:rsidR="00E378B7">
        <w:t xml:space="preserve">the </w:t>
      </w:r>
      <w:r>
        <w:t xml:space="preserve">CWG and the project overall is available </w:t>
      </w:r>
      <w:r w:rsidR="00BE2C51">
        <w:t>in</w:t>
      </w:r>
      <w:r>
        <w:t xml:space="preserve"> the </w:t>
      </w:r>
      <w:hyperlink w:anchor="_Introduction_1" w:history="1">
        <w:r w:rsidRPr="00E378B7">
          <w:rPr>
            <w:rStyle w:val="Hyperlink"/>
          </w:rPr>
          <w:t>Introduction</w:t>
        </w:r>
      </w:hyperlink>
      <w:r>
        <w:t xml:space="preserve"> section of this report and on the </w:t>
      </w:r>
      <w:hyperlink r:id="rId23" w:history="1">
        <w:r w:rsidRPr="00DE3095">
          <w:rPr>
            <w:rStyle w:val="Hyperlink"/>
          </w:rPr>
          <w:t>project webpage</w:t>
        </w:r>
      </w:hyperlink>
      <w:r w:rsidR="002F460A">
        <w:rPr>
          <w:rStyle w:val="Hyperlink"/>
        </w:rPr>
        <w:t>.</w:t>
      </w:r>
    </w:p>
    <w:p w14:paraId="7A735514" w14:textId="045758CC" w:rsidR="00966473" w:rsidRDefault="00966473" w:rsidP="00966473">
      <w:pPr>
        <w:pStyle w:val="Heading1"/>
      </w:pPr>
      <w:bookmarkStart w:id="17" w:name="_Section_1:"/>
      <w:bookmarkStart w:id="18" w:name="_Toc160023611"/>
      <w:bookmarkStart w:id="19" w:name="_Toc157615854"/>
      <w:bookmarkEnd w:id="17"/>
      <w:r>
        <w:t>Section 1</w:t>
      </w:r>
      <w:r w:rsidR="00527DC1">
        <w:t>:</w:t>
      </w:r>
      <w:bookmarkEnd w:id="18"/>
    </w:p>
    <w:p w14:paraId="1A62D540" w14:textId="272449C6" w:rsidR="00966473" w:rsidRPr="00966473" w:rsidRDefault="00F15A20" w:rsidP="00966473">
      <w:pPr>
        <w:pStyle w:val="Heading1"/>
      </w:pPr>
      <w:bookmarkStart w:id="20" w:name="_Toc160023612"/>
      <w:r>
        <w:t xml:space="preserve">Summary of </w:t>
      </w:r>
      <w:r w:rsidR="00966473">
        <w:t>Proposed Recommendations for Enhanced Consumer Engagement</w:t>
      </w:r>
      <w:bookmarkStart w:id="21" w:name="Section_1"/>
      <w:bookmarkEnd w:id="20"/>
      <w:bookmarkEnd w:id="21"/>
    </w:p>
    <w:p w14:paraId="528E6ED8" w14:textId="77777777" w:rsidR="000E34B4" w:rsidRDefault="000E34B4" w:rsidP="001F5103">
      <w:pPr>
        <w:pStyle w:val="Heading2"/>
        <w:rPr>
          <w:rFonts w:eastAsiaTheme="minorHAnsi" w:cstheme="minorBidi"/>
          <w:b w:val="0"/>
          <w:color w:val="auto"/>
          <w:sz w:val="20"/>
          <w:szCs w:val="20"/>
        </w:rPr>
      </w:pPr>
      <w:bookmarkStart w:id="22" w:name="_Toc160023613"/>
      <w:r>
        <w:rPr>
          <w:rFonts w:eastAsiaTheme="minorHAnsi" w:cstheme="minorBidi"/>
          <w:b w:val="0"/>
          <w:color w:val="auto"/>
          <w:sz w:val="20"/>
          <w:szCs w:val="20"/>
        </w:rPr>
        <w:br w:type="page"/>
      </w:r>
    </w:p>
    <w:p w14:paraId="78FD2B0C" w14:textId="6E050B46" w:rsidR="001F5103" w:rsidRDefault="001F5103" w:rsidP="001F5103">
      <w:pPr>
        <w:pStyle w:val="Heading2"/>
      </w:pPr>
      <w:r>
        <w:t>Proposed Recommendations</w:t>
      </w:r>
      <w:bookmarkEnd w:id="19"/>
      <w:bookmarkEnd w:id="22"/>
      <w:r>
        <w:t xml:space="preserve"> </w:t>
      </w:r>
    </w:p>
    <w:p w14:paraId="2369759B" w14:textId="4DC4DF1D" w:rsidR="001F5103" w:rsidRDefault="001F5103" w:rsidP="001F5103">
      <w:r>
        <w:t xml:space="preserve">The CWG developed the recommendations proposed in this report during </w:t>
      </w:r>
      <w:r w:rsidR="00173786">
        <w:t xml:space="preserve">iterative </w:t>
      </w:r>
      <w:r w:rsidR="00781554">
        <w:t xml:space="preserve">co-design </w:t>
      </w:r>
      <w:r w:rsidR="00173786">
        <w:t>meetings, workshops, and discussions held from October</w:t>
      </w:r>
      <w:r>
        <w:t xml:space="preserve"> 2023 to </w:t>
      </w:r>
      <w:r w:rsidR="00E05F9A">
        <w:t>February</w:t>
      </w:r>
      <w:r>
        <w:t xml:space="preserve"> 2024.</w:t>
      </w:r>
    </w:p>
    <w:p w14:paraId="1FD173BB" w14:textId="14B03D78" w:rsidR="001F5103" w:rsidRDefault="00092B75" w:rsidP="001F5103">
      <w:r>
        <w:t>The proposed</w:t>
      </w:r>
      <w:r w:rsidR="001F5103">
        <w:t xml:space="preserve"> recommendations </w:t>
      </w:r>
      <w:r>
        <w:t>we</w:t>
      </w:r>
      <w:r w:rsidR="001F5103">
        <w:t>re informed by the following design principles established by the CWG:</w:t>
      </w:r>
    </w:p>
    <w:p w14:paraId="41519E28" w14:textId="77777777" w:rsidR="001F5103" w:rsidRDefault="001F5103" w:rsidP="00DA32C5">
      <w:pPr>
        <w:pStyle w:val="ListBullet"/>
        <w:numPr>
          <w:ilvl w:val="0"/>
          <w:numId w:val="13"/>
        </w:numPr>
      </w:pPr>
      <w:r w:rsidRPr="005A349E">
        <w:t>Consumer evidence and experience is prioritised and integral in health technology assessment processes.</w:t>
      </w:r>
    </w:p>
    <w:p w14:paraId="732D3A79" w14:textId="77777777" w:rsidR="001F5103" w:rsidRDefault="001F5103" w:rsidP="00DA32C5">
      <w:pPr>
        <w:pStyle w:val="ListBullet"/>
        <w:numPr>
          <w:ilvl w:val="0"/>
          <w:numId w:val="13"/>
        </w:numPr>
      </w:pPr>
      <w:r w:rsidRPr="005A349E">
        <w:t xml:space="preserve">Recommendations to </w:t>
      </w:r>
      <w:sdt>
        <w:sdtPr>
          <w:tag w:val="goog_rdk_97"/>
          <w:id w:val="-151911879"/>
        </w:sdtPr>
        <w:sdtContent/>
      </w:sdt>
      <w:r w:rsidRPr="005A349E">
        <w:t>enhance consumer engagement must not delay access to medicines.</w:t>
      </w:r>
    </w:p>
    <w:p w14:paraId="29291AE9" w14:textId="72B0279D" w:rsidR="001F5103" w:rsidRDefault="00F229C8" w:rsidP="00DA32C5">
      <w:pPr>
        <w:pStyle w:val="ListBullet"/>
        <w:numPr>
          <w:ilvl w:val="0"/>
          <w:numId w:val="13"/>
        </w:numPr>
      </w:pPr>
      <w:r>
        <w:t>E</w:t>
      </w:r>
      <w:r w:rsidR="001F5103" w:rsidRPr="005A349E">
        <w:t xml:space="preserve">nhancements </w:t>
      </w:r>
      <w:r w:rsidR="008655DD">
        <w:t xml:space="preserve">for consumer engagement </w:t>
      </w:r>
      <w:r w:rsidR="001F5103" w:rsidRPr="005A349E">
        <w:t>may be prioritised to achieve maximum impact through implementation.</w:t>
      </w:r>
    </w:p>
    <w:p w14:paraId="28FA264D" w14:textId="4832E794" w:rsidR="001F5103" w:rsidRPr="006A44D9" w:rsidRDefault="001F5103" w:rsidP="001F5103">
      <w:pPr>
        <w:rPr>
          <w:i/>
        </w:rPr>
      </w:pPr>
      <w:r>
        <w:t>These principles were created from discussions examining the key themes from prior consultations</w:t>
      </w:r>
      <w:r w:rsidR="00654FB0">
        <w:t xml:space="preserve"> and policy documents, such as the </w:t>
      </w:r>
      <w:hyperlink r:id="rId24" w:history="1">
        <w:r w:rsidRPr="00220B53">
          <w:rPr>
            <w:rStyle w:val="Hyperlink"/>
            <w:iCs/>
          </w:rPr>
          <w:t>Conversations for Change</w:t>
        </w:r>
      </w:hyperlink>
      <w:r>
        <w:t xml:space="preserve"> report</w:t>
      </w:r>
      <w:r w:rsidR="00654FB0">
        <w:t xml:space="preserve"> and th</w:t>
      </w:r>
      <w:r w:rsidR="00AD11C8">
        <w:t xml:space="preserve">e </w:t>
      </w:r>
      <w:hyperlink r:id="rId25" w:history="1">
        <w:r w:rsidR="00AD11C8" w:rsidRPr="00F2454D">
          <w:rPr>
            <w:rStyle w:val="Hyperlink"/>
          </w:rPr>
          <w:t>2022 National Medicines Policy</w:t>
        </w:r>
      </w:hyperlink>
      <w:r w:rsidR="00AD2D15">
        <w:t>. The</w:t>
      </w:r>
      <w:r>
        <w:t xml:space="preserve"> </w:t>
      </w:r>
      <w:sdt>
        <w:sdtPr>
          <w:tag w:val="goog_rdk_99"/>
          <w:id w:val="-1472514000"/>
        </w:sdtPr>
        <w:sdtContent/>
      </w:sdt>
      <w:sdt>
        <w:sdtPr>
          <w:tag w:val="goog_rdk_100"/>
          <w:id w:val="-368763223"/>
        </w:sdtPr>
        <w:sdtContent/>
      </w:sdt>
      <w:r>
        <w:t>CWG looked to these principles as they developed the recommendations and will return to them again alongside the consultation results to further refine their work.</w:t>
      </w:r>
    </w:p>
    <w:p w14:paraId="1F9C20A8" w14:textId="63EB0170" w:rsidR="001F5103" w:rsidRDefault="001F5103" w:rsidP="001F5103">
      <w:r>
        <w:t>As noted in the</w:t>
      </w:r>
      <w:r w:rsidR="00A96487">
        <w:t xml:space="preserve"> </w:t>
      </w:r>
      <w:hyperlink w:anchor="_Project_Background_2" w:history="1">
        <w:r w:rsidR="00A96487" w:rsidRPr="00F45D6A">
          <w:rPr>
            <w:rStyle w:val="Hyperlink"/>
          </w:rPr>
          <w:t>Project Background</w:t>
        </w:r>
      </w:hyperlink>
      <w:r>
        <w:t>,</w:t>
      </w:r>
      <w:r w:rsidR="00A96487">
        <w:t xml:space="preserve"> </w:t>
      </w:r>
      <w:r>
        <w:t>the proposed recommendations described in this report</w:t>
      </w:r>
      <w:r w:rsidR="00AE0597">
        <w:t xml:space="preserve"> refer</w:t>
      </w:r>
      <w:r>
        <w:t xml:space="preserve"> to enhancing consumer engagement in relation to HTA processes undertaken by PBAC (as per the Strategic Agreement). At the same time, the recommendations </w:t>
      </w:r>
      <w:r w:rsidR="000A0B42">
        <w:t xml:space="preserve">account for the </w:t>
      </w:r>
      <w:r>
        <w:t>inter</w:t>
      </w:r>
      <w:r w:rsidR="00B02D56">
        <w:t xml:space="preserve">related </w:t>
      </w:r>
      <w:r>
        <w:t xml:space="preserve">flow-on effects </w:t>
      </w:r>
      <w:r w:rsidR="000A0B42">
        <w:t xml:space="preserve">for </w:t>
      </w:r>
      <w:r>
        <w:t>strengthening consumer engagement across the entire health technology pathway</w:t>
      </w:r>
      <w:r w:rsidR="001D3463">
        <w:t xml:space="preserve"> and may also be transferrable to other HTA committees</w:t>
      </w:r>
      <w:r>
        <w:t>.</w:t>
      </w:r>
    </w:p>
    <w:p w14:paraId="439D87DA" w14:textId="0C53C401" w:rsidR="001F5103" w:rsidRPr="00530988" w:rsidRDefault="001F5103" w:rsidP="001F5103">
      <w:r>
        <w:t xml:space="preserve">The CWG, therefore, identified the need to recommend system-wide enhancements, as well as enhancements that sit within key areas of the health technology pathway, from clinical research through to the processes undertaken by the </w:t>
      </w:r>
      <w:hyperlink r:id="rId26" w:history="1">
        <w:r w:rsidR="0066473D" w:rsidRPr="00B019E2">
          <w:rPr>
            <w:rStyle w:val="Hyperlink"/>
          </w:rPr>
          <w:t xml:space="preserve">Therapeutic </w:t>
        </w:r>
        <w:r w:rsidRPr="00B019E2">
          <w:rPr>
            <w:rStyle w:val="Hyperlink"/>
          </w:rPr>
          <w:t>G</w:t>
        </w:r>
        <w:r w:rsidR="0066473D" w:rsidRPr="00B019E2">
          <w:rPr>
            <w:rStyle w:val="Hyperlink"/>
          </w:rPr>
          <w:t xml:space="preserve">oods </w:t>
        </w:r>
        <w:r w:rsidRPr="00B019E2">
          <w:rPr>
            <w:rStyle w:val="Hyperlink"/>
          </w:rPr>
          <w:t>A</w:t>
        </w:r>
        <w:r w:rsidR="0066473D" w:rsidRPr="00B019E2">
          <w:rPr>
            <w:rStyle w:val="Hyperlink"/>
          </w:rPr>
          <w:t>dministration</w:t>
        </w:r>
      </w:hyperlink>
      <w:r w:rsidR="00B019E2">
        <w:t xml:space="preserve"> (TGA)</w:t>
      </w:r>
      <w:r>
        <w:t>, PBAC</w:t>
      </w:r>
      <w:r w:rsidR="003921D5">
        <w:t xml:space="preserve"> (and other HTA committees)</w:t>
      </w:r>
      <w:r>
        <w:t>,</w:t>
      </w:r>
      <w:r w:rsidR="006E1603">
        <w:t xml:space="preserve"> </w:t>
      </w:r>
      <w:r>
        <w:t>and onwards to subsidised listing</w:t>
      </w:r>
      <w:r w:rsidR="00CE1F97">
        <w:t xml:space="preserve"> </w:t>
      </w:r>
      <w:r>
        <w:t>and post-market reviews. This broad view resulted in proposed recommendations organised into four categories:</w:t>
      </w:r>
    </w:p>
    <w:p w14:paraId="0D71803A" w14:textId="49A31C60" w:rsidR="001F5103" w:rsidRPr="005B5AB5" w:rsidRDefault="001F5103" w:rsidP="001F0473">
      <w:pPr>
        <w:pStyle w:val="ListBullet2"/>
        <w:numPr>
          <w:ilvl w:val="0"/>
          <w:numId w:val="18"/>
        </w:numPr>
      </w:pPr>
      <w:r w:rsidRPr="00865EB4">
        <w:rPr>
          <w:b/>
          <w:bCs/>
        </w:rPr>
        <w:t>System-wide enhancements</w:t>
      </w:r>
      <w:r w:rsidRPr="005B5AB5">
        <w:t xml:space="preserve"> that provide foundational support for embedding consumer </w:t>
      </w:r>
      <w:r w:rsidR="0040244D">
        <w:t xml:space="preserve">evidence and experience </w:t>
      </w:r>
      <w:sdt>
        <w:sdtPr>
          <w:tag w:val="goog_rdk_108"/>
          <w:id w:val="1824546913"/>
        </w:sdtPr>
        <w:sdtContent/>
      </w:sdt>
      <w:r w:rsidRPr="005B5AB5">
        <w:t>across the</w:t>
      </w:r>
      <w:r w:rsidR="0040244D">
        <w:t xml:space="preserve"> end-to-end</w:t>
      </w:r>
      <w:r w:rsidRPr="005B5AB5">
        <w:t xml:space="preserve"> health technology pathway.</w:t>
      </w:r>
    </w:p>
    <w:p w14:paraId="5650F63A" w14:textId="30D1E409" w:rsidR="001F5103" w:rsidRPr="005B5AB5" w:rsidRDefault="001F5103" w:rsidP="001F0473">
      <w:pPr>
        <w:pStyle w:val="ListBullet2"/>
        <w:numPr>
          <w:ilvl w:val="0"/>
          <w:numId w:val="18"/>
        </w:numPr>
      </w:pPr>
      <w:r w:rsidRPr="00865EB4">
        <w:rPr>
          <w:b/>
          <w:bCs/>
        </w:rPr>
        <w:t>Pre-HTA enhancements</w:t>
      </w:r>
      <w:r w:rsidRPr="005B5AB5">
        <w:t xml:space="preserve"> that </w:t>
      </w:r>
      <w:r w:rsidR="00EC59C2" w:rsidRPr="00EC59C2">
        <w:t xml:space="preserve">enhance consumer engagement before submissions are made to PBAC (or other HTA committees), specifically </w:t>
      </w:r>
      <w:proofErr w:type="gramStart"/>
      <w:r w:rsidR="00EC59C2" w:rsidRPr="00EC59C2">
        <w:t>with regard to</w:t>
      </w:r>
      <w:proofErr w:type="gramEnd"/>
      <w:r w:rsidR="00EC59C2" w:rsidRPr="00EC59C2">
        <w:t xml:space="preserve"> clinical research and the TGA.</w:t>
      </w:r>
    </w:p>
    <w:p w14:paraId="7B030202" w14:textId="5E9801DE" w:rsidR="001F5103" w:rsidRPr="005B5AB5" w:rsidRDefault="001F5103" w:rsidP="001F0473">
      <w:pPr>
        <w:pStyle w:val="ListBullet2"/>
        <w:numPr>
          <w:ilvl w:val="0"/>
          <w:numId w:val="18"/>
        </w:numPr>
      </w:pPr>
      <w:r w:rsidRPr="00865EB4">
        <w:rPr>
          <w:b/>
          <w:bCs/>
        </w:rPr>
        <w:t>HTA process enhancements</w:t>
      </w:r>
      <w:r w:rsidRPr="005B5AB5">
        <w:t xml:space="preserve"> that enable consumer engagement when a </w:t>
      </w:r>
      <w:r w:rsidR="00F87F99">
        <w:t>submission</w:t>
      </w:r>
      <w:r w:rsidRPr="005B5AB5">
        <w:t xml:space="preserve"> is under assessment by PBAC</w:t>
      </w:r>
      <w:r w:rsidR="00104784">
        <w:t xml:space="preserve"> (or other HTA committees)</w:t>
      </w:r>
      <w:r w:rsidRPr="005B5AB5">
        <w:t>.</w:t>
      </w:r>
    </w:p>
    <w:p w14:paraId="3D70F8FE" w14:textId="7F6C5C58" w:rsidR="001F5103" w:rsidRDefault="001F5103" w:rsidP="001F0473">
      <w:pPr>
        <w:pStyle w:val="ListBullet2"/>
        <w:numPr>
          <w:ilvl w:val="0"/>
          <w:numId w:val="18"/>
        </w:numPr>
      </w:pPr>
      <w:r w:rsidRPr="00865EB4">
        <w:rPr>
          <w:b/>
          <w:bCs/>
        </w:rPr>
        <w:t>Post-HTA enhancements</w:t>
      </w:r>
      <w:r w:rsidRPr="005B5AB5">
        <w:t xml:space="preserve"> that enable consumer engagement after</w:t>
      </w:r>
      <w:r w:rsidR="00104784">
        <w:t xml:space="preserve"> HTA</w:t>
      </w:r>
      <w:r w:rsidRPr="005B5AB5">
        <w:t xml:space="preserve"> decision-making and recommendations for </w:t>
      </w:r>
      <w:r w:rsidR="00104784">
        <w:t>subsidised listing.</w:t>
      </w:r>
    </w:p>
    <w:p w14:paraId="22061BB6" w14:textId="11845DED" w:rsidR="00865D38" w:rsidRDefault="00917A4B" w:rsidP="001F5103">
      <w:r w:rsidRPr="00A71CAA">
        <w:rPr>
          <w:b/>
          <w:bCs/>
        </w:rPr>
        <w:t>Figure 1</w:t>
      </w:r>
      <w:r>
        <w:t xml:space="preserve"> below provides a</w:t>
      </w:r>
      <w:r w:rsidR="00101BCE">
        <w:t xml:space="preserve"> visual map </w:t>
      </w:r>
      <w:r w:rsidR="00176FB8">
        <w:t xml:space="preserve">of </w:t>
      </w:r>
      <w:r w:rsidR="00EF2026">
        <w:t xml:space="preserve">the </w:t>
      </w:r>
      <w:r>
        <w:t>health technology pathway</w:t>
      </w:r>
      <w:r w:rsidR="00EF2026">
        <w:t xml:space="preserve"> noting </w:t>
      </w:r>
      <w:r w:rsidR="00EF2026" w:rsidRPr="00C32B7F">
        <w:rPr>
          <w:i/>
          <w:iCs/>
        </w:rPr>
        <w:t>current opportunities</w:t>
      </w:r>
      <w:r w:rsidR="00EF2026">
        <w:t xml:space="preserve"> for consumer engagement</w:t>
      </w:r>
      <w:r>
        <w:t>.</w:t>
      </w:r>
    </w:p>
    <w:p w14:paraId="3CDEACE2" w14:textId="77777777" w:rsidR="00865D38" w:rsidRDefault="00A71CAA" w:rsidP="001F5103">
      <w:r w:rsidRPr="00A71CAA">
        <w:rPr>
          <w:b/>
          <w:bCs/>
        </w:rPr>
        <w:t>Figure 2</w:t>
      </w:r>
      <w:r>
        <w:t xml:space="preserve"> </w:t>
      </w:r>
      <w:r w:rsidR="00390926">
        <w:t xml:space="preserve">shows the visual map with </w:t>
      </w:r>
      <w:r w:rsidR="00101BCE">
        <w:t>the</w:t>
      </w:r>
      <w:r>
        <w:t xml:space="preserve"> </w:t>
      </w:r>
      <w:r w:rsidRPr="00C32B7F">
        <w:rPr>
          <w:i/>
          <w:iCs/>
        </w:rPr>
        <w:t>proposed recommendations</w:t>
      </w:r>
      <w:r>
        <w:t xml:space="preserve"> to enhance consumer engagement.</w:t>
      </w:r>
    </w:p>
    <w:p w14:paraId="26D323D0" w14:textId="4827E08F" w:rsidR="00E20600" w:rsidRDefault="00C32B7F" w:rsidP="001F5103">
      <w:pPr>
        <w:rPr>
          <w:b/>
        </w:rPr>
      </w:pPr>
      <w:r w:rsidRPr="00C32B7F">
        <w:rPr>
          <w:b/>
          <w:bCs/>
        </w:rPr>
        <w:t>T</w:t>
      </w:r>
      <w:r w:rsidR="001F5103" w:rsidRPr="00AB437A">
        <w:rPr>
          <w:b/>
          <w:bCs/>
        </w:rPr>
        <w:t xml:space="preserve">able </w:t>
      </w:r>
      <w:r>
        <w:rPr>
          <w:b/>
          <w:bCs/>
        </w:rPr>
        <w:t>1</w:t>
      </w:r>
      <w:r w:rsidR="001F5103" w:rsidRPr="00AB437A">
        <w:rPr>
          <w:b/>
          <w:bCs/>
        </w:rPr>
        <w:t xml:space="preserve"> </w:t>
      </w:r>
      <w:r w:rsidR="001F5103">
        <w:t xml:space="preserve">provides a summary of the proposed </w:t>
      </w:r>
      <w:r>
        <w:t>recommendations</w:t>
      </w:r>
      <w:r w:rsidR="00210A97">
        <w:t xml:space="preserve"> with further details </w:t>
      </w:r>
      <w:r w:rsidR="001F5103">
        <w:t xml:space="preserve">provided in </w:t>
      </w:r>
      <w:hyperlink w:anchor="Section_2" w:history="1">
        <w:r w:rsidR="00CF76F2" w:rsidRPr="00CF76F2">
          <w:rPr>
            <w:rStyle w:val="Hyperlink"/>
          </w:rPr>
          <w:t>Section 2</w:t>
        </w:r>
      </w:hyperlink>
      <w:r w:rsidR="00CF76F2">
        <w:t xml:space="preserve"> </w:t>
      </w:r>
      <w:r w:rsidR="001F5103">
        <w:t>of this report.</w:t>
      </w:r>
    </w:p>
    <w:p w14:paraId="7C0E11BE" w14:textId="77777777" w:rsidR="00B05B42" w:rsidRDefault="00B05B42" w:rsidP="001F5103">
      <w:pPr>
        <w:rPr>
          <w:b/>
        </w:rPr>
      </w:pPr>
    </w:p>
    <w:p w14:paraId="55B10EF4" w14:textId="77777777" w:rsidR="00281EBF" w:rsidRDefault="00281EBF" w:rsidP="001F5103">
      <w:pPr>
        <w:suppressAutoHyphens w:val="0"/>
        <w:spacing w:before="0" w:after="0" w:line="240" w:lineRule="auto"/>
        <w:rPr>
          <w:b/>
          <w:bCs/>
        </w:rPr>
        <w:sectPr w:rsidR="00281EBF" w:rsidSect="00C02FAA">
          <w:footerReference w:type="default" r:id="rId27"/>
          <w:pgSz w:w="11906" w:h="16838" w:code="9"/>
          <w:pgMar w:top="851" w:right="851" w:bottom="284" w:left="851" w:header="340" w:footer="170" w:gutter="0"/>
          <w:pgNumType w:start="1"/>
          <w:cols w:space="708"/>
          <w:docGrid w:linePitch="360"/>
        </w:sectPr>
      </w:pPr>
    </w:p>
    <w:p w14:paraId="364034C1" w14:textId="1E1418C7" w:rsidR="00281EBF" w:rsidRPr="000E34B4" w:rsidRDefault="00B05B42" w:rsidP="001F5103">
      <w:pPr>
        <w:suppressAutoHyphens w:val="0"/>
        <w:spacing w:before="0" w:after="0" w:line="240" w:lineRule="auto"/>
        <w:rPr>
          <w:b/>
          <w:bCs/>
        </w:rPr>
      </w:pPr>
      <w:r w:rsidRPr="00B05B42">
        <w:rPr>
          <w:b/>
          <w:bCs/>
        </w:rPr>
        <w:t xml:space="preserve">Figure 1: </w:t>
      </w:r>
      <w:r w:rsidR="00EF2026">
        <w:rPr>
          <w:b/>
          <w:bCs/>
        </w:rPr>
        <w:t>Map</w:t>
      </w:r>
      <w:r w:rsidRPr="00B05B42">
        <w:rPr>
          <w:b/>
          <w:bCs/>
        </w:rPr>
        <w:t xml:space="preserve"> of </w:t>
      </w:r>
      <w:r w:rsidR="00390926">
        <w:rPr>
          <w:b/>
          <w:bCs/>
        </w:rPr>
        <w:t>current opportunities for consumer engagement in</w:t>
      </w:r>
      <w:r w:rsidRPr="00B05B42">
        <w:rPr>
          <w:b/>
          <w:bCs/>
        </w:rPr>
        <w:t xml:space="preserve"> the health technology pathway</w:t>
      </w:r>
    </w:p>
    <w:p w14:paraId="733B8E6C" w14:textId="1F73AEAF" w:rsidR="00292746" w:rsidRDefault="000C49CB" w:rsidP="001F5103">
      <w:pPr>
        <w:suppressAutoHyphens w:val="0"/>
        <w:spacing w:before="0" w:after="0" w:line="240" w:lineRule="auto"/>
      </w:pPr>
      <w:r>
        <w:rPr>
          <w:noProof/>
        </w:rPr>
        <w:drawing>
          <wp:inline distT="0" distB="0" distL="0" distR="0" wp14:anchorId="34013063" wp14:editId="515DC9EC">
            <wp:extent cx="9611360" cy="5406390"/>
            <wp:effectExtent l="0" t="0" r="8890" b="3810"/>
            <wp:docPr id="133619444" name="Picture 5" descr="Figure 1: Map of current opportunities for consumer engagement in the health technology. Diagram of the Health Technology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9444" name="Picture 5" descr="Figure 1: Map of current opportunities for consumer engagement in the health technology. Diagram of the Health Technology Pathway."/>
                    <pic:cNvPicPr/>
                  </pic:nvPicPr>
                  <pic:blipFill>
                    <a:blip r:embed="rId28"/>
                    <a:stretch>
                      <a:fillRect/>
                    </a:stretch>
                  </pic:blipFill>
                  <pic:spPr>
                    <a:xfrm>
                      <a:off x="0" y="0"/>
                      <a:ext cx="9611360" cy="5406390"/>
                    </a:xfrm>
                    <a:prstGeom prst="rect">
                      <a:avLst/>
                    </a:prstGeom>
                  </pic:spPr>
                </pic:pic>
              </a:graphicData>
            </a:graphic>
          </wp:inline>
        </w:drawing>
      </w:r>
    </w:p>
    <w:p w14:paraId="3DFCC60F" w14:textId="77777777" w:rsidR="000E34B4" w:rsidRDefault="000E34B4">
      <w:pPr>
        <w:suppressAutoHyphens w:val="0"/>
        <w:spacing w:before="0" w:after="0" w:line="240" w:lineRule="auto"/>
      </w:pPr>
      <w:r>
        <w:br w:type="page"/>
      </w:r>
    </w:p>
    <w:p w14:paraId="5942B5DC" w14:textId="2546FF59" w:rsidR="00966BF3" w:rsidRPr="000E34B4" w:rsidRDefault="00EF2026" w:rsidP="000E34B4">
      <w:pPr>
        <w:suppressAutoHyphens w:val="0"/>
        <w:spacing w:before="0" w:after="240" w:line="240" w:lineRule="auto"/>
        <w:rPr>
          <w:b/>
          <w:bCs/>
        </w:rPr>
      </w:pPr>
      <w:r w:rsidRPr="00B05B42">
        <w:rPr>
          <w:b/>
          <w:bCs/>
        </w:rPr>
        <w:t xml:space="preserve">Figure </w:t>
      </w:r>
      <w:r>
        <w:rPr>
          <w:b/>
          <w:bCs/>
        </w:rPr>
        <w:t>2</w:t>
      </w:r>
      <w:r w:rsidRPr="00B05B42">
        <w:rPr>
          <w:b/>
          <w:bCs/>
        </w:rPr>
        <w:t xml:space="preserve">: </w:t>
      </w:r>
      <w:r>
        <w:rPr>
          <w:b/>
          <w:bCs/>
        </w:rPr>
        <w:t>Map of</w:t>
      </w:r>
      <w:r w:rsidRPr="00B05B42">
        <w:rPr>
          <w:b/>
          <w:bCs/>
        </w:rPr>
        <w:t xml:space="preserve"> proposed recommendations</w:t>
      </w:r>
      <w:r>
        <w:rPr>
          <w:b/>
          <w:bCs/>
        </w:rPr>
        <w:t xml:space="preserve"> to enhance consumer engagement</w:t>
      </w:r>
      <w:r w:rsidRPr="00B05B42">
        <w:rPr>
          <w:b/>
          <w:bCs/>
        </w:rPr>
        <w:t xml:space="preserve"> </w:t>
      </w:r>
      <w:r w:rsidR="00E81442">
        <w:rPr>
          <w:b/>
          <w:bCs/>
        </w:rPr>
        <w:t>in</w:t>
      </w:r>
      <w:r w:rsidRPr="00B05B42">
        <w:rPr>
          <w:b/>
          <w:bCs/>
        </w:rPr>
        <w:t xml:space="preserve"> the health technology </w:t>
      </w:r>
      <w:proofErr w:type="gramStart"/>
      <w:r w:rsidRPr="00B05B42">
        <w:rPr>
          <w:b/>
          <w:bCs/>
        </w:rPr>
        <w:t>pathway</w:t>
      </w:r>
      <w:proofErr w:type="gramEnd"/>
      <w:r w:rsidRPr="00B05B42">
        <w:rPr>
          <w:b/>
          <w:bCs/>
        </w:rPr>
        <w:t xml:space="preserve"> </w:t>
      </w:r>
    </w:p>
    <w:p w14:paraId="049778EA" w14:textId="7FF67D65" w:rsidR="00292746" w:rsidRDefault="007D417C" w:rsidP="001F5103">
      <w:pPr>
        <w:suppressAutoHyphens w:val="0"/>
        <w:spacing w:before="0" w:after="0" w:line="240" w:lineRule="auto"/>
        <w:sectPr w:rsidR="00292746" w:rsidSect="00C02FAA">
          <w:pgSz w:w="16838" w:h="11906" w:orient="landscape" w:code="9"/>
          <w:pgMar w:top="851" w:right="851" w:bottom="851" w:left="851" w:header="340" w:footer="170" w:gutter="0"/>
          <w:cols w:space="708"/>
          <w:docGrid w:linePitch="360"/>
        </w:sectPr>
      </w:pPr>
      <w:r>
        <w:rPr>
          <w:noProof/>
        </w:rPr>
        <w:drawing>
          <wp:inline distT="0" distB="0" distL="0" distR="0" wp14:anchorId="2E35951C" wp14:editId="5DE74B66">
            <wp:extent cx="9611360" cy="5406390"/>
            <wp:effectExtent l="0" t="0" r="8890" b="3810"/>
            <wp:docPr id="1295392736" name="Picture 1" descr="Figure 2: Map of proposed recommendations to enhance consumer engagement in the health technology pathway. Diagram of system wide enha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2736" name="Picture 1" descr="Figure 2: Map of proposed recommendations to enhance consumer engagement in the health technology pathway. Diagram of system wide enhancements."/>
                    <pic:cNvPicPr/>
                  </pic:nvPicPr>
                  <pic:blipFill>
                    <a:blip r:embed="rId29"/>
                    <a:stretch>
                      <a:fillRect/>
                    </a:stretch>
                  </pic:blipFill>
                  <pic:spPr>
                    <a:xfrm>
                      <a:off x="0" y="0"/>
                      <a:ext cx="9611360" cy="5406390"/>
                    </a:xfrm>
                    <a:prstGeom prst="rect">
                      <a:avLst/>
                    </a:prstGeom>
                  </pic:spPr>
                </pic:pic>
              </a:graphicData>
            </a:graphic>
          </wp:inline>
        </w:drawing>
      </w:r>
    </w:p>
    <w:p w14:paraId="192FA21F" w14:textId="4F8F2251" w:rsidR="00B378F1" w:rsidRDefault="00B378F1" w:rsidP="00B378F1">
      <w:pPr>
        <w:rPr>
          <w:b/>
          <w:bCs/>
        </w:rPr>
      </w:pPr>
      <w:bookmarkStart w:id="23" w:name="_Toc157615855"/>
      <w:r w:rsidRPr="000A4A19">
        <w:rPr>
          <w:b/>
          <w:bCs/>
        </w:rPr>
        <w:t xml:space="preserve">Table 1: Summary of </w:t>
      </w:r>
      <w:r>
        <w:rPr>
          <w:b/>
          <w:bCs/>
        </w:rPr>
        <w:t>Proposed Recommendations for Enhanced</w:t>
      </w:r>
      <w:r w:rsidRPr="000A4A19">
        <w:rPr>
          <w:b/>
          <w:bCs/>
        </w:rPr>
        <w:t xml:space="preserve"> </w:t>
      </w:r>
      <w:r>
        <w:rPr>
          <w:b/>
          <w:bCs/>
        </w:rPr>
        <w:t>C</w:t>
      </w:r>
      <w:r w:rsidRPr="000A4A19">
        <w:rPr>
          <w:b/>
          <w:bCs/>
        </w:rPr>
        <w:t xml:space="preserve">onsumer </w:t>
      </w:r>
      <w:r w:rsidR="000C49CB">
        <w:rPr>
          <w:b/>
          <w:bCs/>
        </w:rPr>
        <w:t>E</w:t>
      </w:r>
      <w:r w:rsidR="000C49CB" w:rsidRPr="000A4A19">
        <w:rPr>
          <w:b/>
          <w:bCs/>
        </w:rPr>
        <w:t>ngagement</w:t>
      </w:r>
    </w:p>
    <w:p w14:paraId="536B4D1D" w14:textId="77777777" w:rsidR="00B378F1" w:rsidRDefault="00B378F1" w:rsidP="00B378F1">
      <w:pPr>
        <w:rPr>
          <w:b/>
          <w:bCs/>
        </w:rPr>
      </w:pPr>
      <w:r>
        <w:rPr>
          <w:b/>
          <w:bCs/>
        </w:rPr>
        <w:t>SYSTEM-WIDE ENHANCEMENTS</w:t>
      </w:r>
    </w:p>
    <w:tbl>
      <w:tblPr>
        <w:tblStyle w:val="UniofMelTable3"/>
        <w:tblW w:w="5000" w:type="pct"/>
        <w:tblLook w:val="04A0" w:firstRow="1" w:lastRow="0" w:firstColumn="1" w:lastColumn="0" w:noHBand="0" w:noVBand="1"/>
      </w:tblPr>
      <w:tblGrid>
        <w:gridCol w:w="2694"/>
        <w:gridCol w:w="425"/>
        <w:gridCol w:w="3402"/>
        <w:gridCol w:w="3683"/>
      </w:tblGrid>
      <w:tr w:rsidR="00471587" w:rsidRPr="00881585" w14:paraId="56EEB91E" w14:textId="77777777" w:rsidTr="00471587">
        <w:trPr>
          <w:cnfStyle w:val="100000000000" w:firstRow="1" w:lastRow="0" w:firstColumn="0" w:lastColumn="0" w:oddVBand="0" w:evenVBand="0" w:oddHBand="0" w:evenHBand="0" w:firstRowFirstColumn="0" w:firstRowLastColumn="0" w:lastRowFirstColumn="0" w:lastRowLastColumn="0"/>
          <w:trHeight w:val="391"/>
        </w:trPr>
        <w:tc>
          <w:tcPr>
            <w:tcW w:w="2694" w:type="dxa"/>
          </w:tcPr>
          <w:p w14:paraId="567A20CF" w14:textId="77777777" w:rsidR="00B378F1" w:rsidRPr="00516624" w:rsidRDefault="00B378F1" w:rsidP="000E6F0E">
            <w:pPr>
              <w:spacing w:before="0" w:after="0" w:line="240" w:lineRule="auto"/>
              <w:rPr>
                <w:rFonts w:cstheme="minorHAnsi"/>
                <w:b/>
                <w:bCs/>
                <w:sz w:val="18"/>
                <w:szCs w:val="18"/>
              </w:rPr>
            </w:pPr>
            <w:r w:rsidRPr="00516624">
              <w:rPr>
                <w:rFonts w:cstheme="minorHAnsi"/>
                <w:b/>
                <w:bCs/>
                <w:sz w:val="18"/>
                <w:szCs w:val="18"/>
              </w:rPr>
              <w:t xml:space="preserve">Current </w:t>
            </w:r>
            <w:r>
              <w:rPr>
                <w:rFonts w:cstheme="minorHAnsi"/>
                <w:b/>
                <w:bCs/>
                <w:sz w:val="18"/>
                <w:szCs w:val="18"/>
              </w:rPr>
              <w:t>Status</w:t>
            </w:r>
            <w:r w:rsidRPr="00516624">
              <w:rPr>
                <w:rFonts w:cstheme="minorHAnsi"/>
                <w:b/>
                <w:bCs/>
                <w:sz w:val="18"/>
                <w:szCs w:val="18"/>
              </w:rPr>
              <w:t xml:space="preserve"> </w:t>
            </w:r>
          </w:p>
        </w:tc>
        <w:tc>
          <w:tcPr>
            <w:tcW w:w="425" w:type="dxa"/>
          </w:tcPr>
          <w:p w14:paraId="264985C9" w14:textId="61EFD31A" w:rsidR="00B378F1" w:rsidRPr="00516624" w:rsidRDefault="00AC7943" w:rsidP="000E6F0E">
            <w:pPr>
              <w:spacing w:before="0" w:after="0" w:line="240" w:lineRule="auto"/>
              <w:rPr>
                <w:rFonts w:cstheme="minorHAnsi"/>
                <w:b/>
                <w:bCs/>
                <w:sz w:val="18"/>
                <w:szCs w:val="18"/>
              </w:rPr>
            </w:pPr>
            <w:r w:rsidRPr="00516624">
              <w:rPr>
                <w:rFonts w:cstheme="minorHAnsi"/>
                <w:b/>
                <w:bCs/>
                <w:noProof/>
                <w:sz w:val="18"/>
                <w:szCs w:val="18"/>
              </w:rPr>
              <mc:AlternateContent>
                <mc:Choice Requires="wps">
                  <w:drawing>
                    <wp:anchor distT="0" distB="0" distL="114300" distR="114300" simplePos="0" relativeHeight="251658245" behindDoc="0" locked="0" layoutInCell="1" allowOverlap="1" wp14:anchorId="4882654F" wp14:editId="73C3CF26">
                      <wp:simplePos x="0" y="0"/>
                      <wp:positionH relativeFrom="column">
                        <wp:posOffset>-2540</wp:posOffset>
                      </wp:positionH>
                      <wp:positionV relativeFrom="paragraph">
                        <wp:posOffset>6350</wp:posOffset>
                      </wp:positionV>
                      <wp:extent cx="134620" cy="190500"/>
                      <wp:effectExtent l="0" t="0" r="0" b="0"/>
                      <wp:wrapNone/>
                      <wp:docPr id="1572602938" name="Arrow: Righ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4620" cy="190500"/>
                              </a:xfrm>
                              <a:prstGeom prst="rightArrow">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BCF8B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alt="&quot;&quot;" style="position:absolute;margin-left:-.2pt;margin-top:.5pt;width:10.6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" adj="10800" fillcolor="white [3212]" stroked="f" strokeweight="2pt">
                      <v:textbox inset="0,0,0,0"/>
                    </v:shape>
                  </w:pict>
                </mc:Fallback>
              </mc:AlternateContent>
            </w:r>
          </w:p>
        </w:tc>
        <w:tc>
          <w:tcPr>
            <w:tcW w:w="3402" w:type="dxa"/>
          </w:tcPr>
          <w:p w14:paraId="6D9E28AA" w14:textId="77777777" w:rsidR="00B378F1" w:rsidRPr="00516624" w:rsidRDefault="00B378F1" w:rsidP="000E6F0E">
            <w:pPr>
              <w:spacing w:before="0" w:after="0" w:line="240" w:lineRule="auto"/>
              <w:rPr>
                <w:rFonts w:cstheme="minorHAnsi"/>
                <w:b/>
                <w:bCs/>
                <w:sz w:val="18"/>
                <w:szCs w:val="18"/>
              </w:rPr>
            </w:pPr>
            <w:r w:rsidRPr="00516624">
              <w:rPr>
                <w:rFonts w:cstheme="minorHAnsi"/>
                <w:b/>
                <w:bCs/>
                <w:sz w:val="18"/>
                <w:szCs w:val="18"/>
              </w:rPr>
              <w:t xml:space="preserve">Proposed Recommendation </w:t>
            </w:r>
          </w:p>
        </w:tc>
        <w:tc>
          <w:tcPr>
            <w:tcW w:w="3683" w:type="dxa"/>
          </w:tcPr>
          <w:p w14:paraId="678AE7E2" w14:textId="77777777" w:rsidR="00B378F1" w:rsidRPr="00516624" w:rsidRDefault="00B378F1" w:rsidP="000E6F0E">
            <w:pPr>
              <w:spacing w:before="0" w:after="0" w:line="240" w:lineRule="auto"/>
              <w:rPr>
                <w:rFonts w:cstheme="minorHAnsi"/>
                <w:b/>
                <w:bCs/>
                <w:sz w:val="18"/>
                <w:szCs w:val="18"/>
              </w:rPr>
            </w:pPr>
            <w:r w:rsidRPr="00516624">
              <w:rPr>
                <w:rFonts w:cstheme="minorHAnsi"/>
                <w:b/>
                <w:bCs/>
                <w:sz w:val="18"/>
                <w:szCs w:val="18"/>
              </w:rPr>
              <w:t>Purpose of Recommendation</w:t>
            </w:r>
          </w:p>
        </w:tc>
      </w:tr>
      <w:tr w:rsidR="00B378F1" w:rsidRPr="00881585" w14:paraId="73CD4A25" w14:textId="77777777" w:rsidTr="00471587">
        <w:trPr>
          <w:cnfStyle w:val="000000100000" w:firstRow="0" w:lastRow="0" w:firstColumn="0" w:lastColumn="0" w:oddVBand="0" w:evenVBand="0" w:oddHBand="1" w:evenHBand="0" w:firstRowFirstColumn="0" w:firstRowLastColumn="0" w:lastRowFirstColumn="0" w:lastRowLastColumn="0"/>
          <w:trHeight w:val="288"/>
        </w:trPr>
        <w:tc>
          <w:tcPr>
            <w:tcW w:w="2694" w:type="dxa"/>
          </w:tcPr>
          <w:p w14:paraId="1F40A2F2" w14:textId="77777777" w:rsidR="00B378F1" w:rsidRPr="00516624" w:rsidRDefault="00B378F1" w:rsidP="000E6F0E">
            <w:pPr>
              <w:spacing w:before="0" w:after="0" w:line="240" w:lineRule="auto"/>
              <w:rPr>
                <w:rFonts w:cstheme="minorHAnsi"/>
                <w:sz w:val="18"/>
                <w:szCs w:val="18"/>
              </w:rPr>
            </w:pPr>
            <w:r>
              <w:rPr>
                <w:rFonts w:eastAsia="Times New Roman" w:cstheme="minorHAnsi"/>
                <w:sz w:val="18"/>
                <w:szCs w:val="18"/>
                <w:lang w:eastAsia="en-AU"/>
              </w:rPr>
              <w:t>Various</w:t>
            </w:r>
            <w:r w:rsidRPr="00516624">
              <w:rPr>
                <w:rFonts w:eastAsia="Times New Roman" w:cstheme="minorHAnsi"/>
                <w:sz w:val="18"/>
                <w:szCs w:val="18"/>
                <w:lang w:eastAsia="en-AU"/>
              </w:rPr>
              <w:t xml:space="preserve"> </w:t>
            </w:r>
            <w:r>
              <w:rPr>
                <w:rFonts w:eastAsia="Times New Roman" w:cstheme="minorHAnsi"/>
                <w:sz w:val="18"/>
                <w:szCs w:val="18"/>
                <w:lang w:eastAsia="en-AU"/>
              </w:rPr>
              <w:t>policy frameworks</w:t>
            </w:r>
            <w:r w:rsidRPr="00516624">
              <w:rPr>
                <w:rFonts w:eastAsia="Times New Roman" w:cstheme="minorHAnsi"/>
                <w:sz w:val="18"/>
                <w:szCs w:val="18"/>
                <w:lang w:eastAsia="en-AU"/>
              </w:rPr>
              <w:t xml:space="preserve"> provide guidance for engaging consumers in </w:t>
            </w:r>
            <w:r>
              <w:rPr>
                <w:rFonts w:eastAsia="Times New Roman" w:cstheme="minorHAnsi"/>
                <w:sz w:val="18"/>
                <w:szCs w:val="18"/>
                <w:lang w:eastAsia="en-AU"/>
              </w:rPr>
              <w:t>different parts of the health technology pathway, from clinical research through to HTA processes.</w:t>
            </w:r>
          </w:p>
        </w:tc>
        <w:tc>
          <w:tcPr>
            <w:tcW w:w="425" w:type="dxa"/>
          </w:tcPr>
          <w:p w14:paraId="0DB7D8BC" w14:textId="77777777" w:rsidR="00B378F1" w:rsidRPr="00516624" w:rsidRDefault="00B378F1" w:rsidP="000E6F0E">
            <w:pPr>
              <w:spacing w:before="0" w:after="0" w:line="240" w:lineRule="auto"/>
              <w:rPr>
                <w:rFonts w:cstheme="minorHAnsi"/>
                <w:sz w:val="18"/>
                <w:szCs w:val="18"/>
              </w:rPr>
            </w:pPr>
          </w:p>
        </w:tc>
        <w:tc>
          <w:tcPr>
            <w:tcW w:w="3402" w:type="dxa"/>
          </w:tcPr>
          <w:p w14:paraId="61026E53" w14:textId="1605FA4D" w:rsidR="00B378F1" w:rsidRPr="00C579A3"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1.</w:t>
            </w:r>
            <w:r w:rsidRPr="00C579A3">
              <w:rPr>
                <w:rFonts w:eastAsia="Times New Roman" w:cstheme="minorHAnsi"/>
                <w:b/>
                <w:bCs/>
                <w:sz w:val="18"/>
                <w:szCs w:val="18"/>
                <w:lang w:eastAsia="en-AU"/>
              </w:rPr>
              <w:t xml:space="preserve">Consumer </w:t>
            </w:r>
            <w:r w:rsidR="00D97D1B">
              <w:rPr>
                <w:rFonts w:eastAsia="Times New Roman" w:cstheme="minorHAnsi"/>
                <w:b/>
                <w:bCs/>
                <w:sz w:val="18"/>
                <w:szCs w:val="18"/>
                <w:lang w:eastAsia="en-AU"/>
              </w:rPr>
              <w:t>e</w:t>
            </w:r>
            <w:r w:rsidRPr="00C579A3">
              <w:rPr>
                <w:rFonts w:eastAsia="Times New Roman" w:cstheme="minorHAnsi"/>
                <w:b/>
                <w:bCs/>
                <w:sz w:val="18"/>
                <w:szCs w:val="18"/>
                <w:lang w:eastAsia="en-AU"/>
              </w:rPr>
              <w:t xml:space="preserve">ngagement </w:t>
            </w:r>
            <w:r w:rsidR="00D97D1B">
              <w:rPr>
                <w:rFonts w:eastAsia="Times New Roman" w:cstheme="minorHAnsi"/>
                <w:b/>
                <w:bCs/>
                <w:sz w:val="18"/>
                <w:szCs w:val="18"/>
                <w:lang w:eastAsia="en-AU"/>
              </w:rPr>
              <w:t>f</w:t>
            </w:r>
            <w:r w:rsidRPr="00C579A3">
              <w:rPr>
                <w:rFonts w:eastAsia="Times New Roman" w:cstheme="minorHAnsi"/>
                <w:b/>
                <w:bCs/>
                <w:sz w:val="18"/>
                <w:szCs w:val="18"/>
                <w:lang w:eastAsia="en-AU"/>
              </w:rPr>
              <w:t>ramework</w:t>
            </w:r>
          </w:p>
          <w:p w14:paraId="354F51AD" w14:textId="77777777" w:rsidR="00B378F1" w:rsidRPr="006F38C3" w:rsidRDefault="00B378F1" w:rsidP="000E6F0E">
            <w:pPr>
              <w:pStyle w:val="ListParagraph"/>
              <w:spacing w:before="0" w:after="0" w:line="240" w:lineRule="auto"/>
              <w:ind w:left="360"/>
              <w:rPr>
                <w:rFonts w:eastAsia="Times New Roman" w:cstheme="minorHAnsi"/>
                <w:b/>
                <w:bCs/>
                <w:sz w:val="18"/>
                <w:szCs w:val="18"/>
                <w:lang w:eastAsia="en-AU"/>
              </w:rPr>
            </w:pPr>
          </w:p>
          <w:p w14:paraId="3EFD266D" w14:textId="77777777"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sz w:val="18"/>
                <w:szCs w:val="18"/>
                <w:lang w:eastAsia="en-AU"/>
              </w:rPr>
              <w:t>Develop and implement an</w:t>
            </w:r>
            <w:r w:rsidRPr="00D975FD">
              <w:rPr>
                <w:rFonts w:eastAsia="Times New Roman" w:cstheme="minorHAnsi"/>
                <w:sz w:val="18"/>
                <w:szCs w:val="18"/>
                <w:lang w:eastAsia="en-AU"/>
              </w:rPr>
              <w:t xml:space="preserve"> overarching framework outlining and embedding consumer engagement across the health technology pathway.</w:t>
            </w:r>
          </w:p>
        </w:tc>
        <w:tc>
          <w:tcPr>
            <w:tcW w:w="3683" w:type="dxa"/>
          </w:tcPr>
          <w:p w14:paraId="10B7EF81" w14:textId="5B7892BC" w:rsidR="00B378F1" w:rsidRPr="00516624" w:rsidRDefault="00B378F1" w:rsidP="000E6F0E">
            <w:pPr>
              <w:pStyle w:val="TableBullet"/>
              <w:spacing w:before="0" w:after="0" w:line="240" w:lineRule="auto"/>
              <w:rPr>
                <w:sz w:val="18"/>
                <w:szCs w:val="18"/>
              </w:rPr>
            </w:pPr>
            <w:r w:rsidRPr="00516624">
              <w:rPr>
                <w:sz w:val="18"/>
                <w:szCs w:val="18"/>
              </w:rPr>
              <w:t xml:space="preserve">Embed </w:t>
            </w:r>
            <w:r>
              <w:rPr>
                <w:sz w:val="18"/>
                <w:szCs w:val="18"/>
              </w:rPr>
              <w:t>the role of consumers across key touchpoints in the end-to-end health technology pathway, including clinical research, the TGA, HTA committees, and post-market</w:t>
            </w:r>
            <w:r w:rsidR="005158C6">
              <w:rPr>
                <w:sz w:val="18"/>
                <w:szCs w:val="18"/>
              </w:rPr>
              <w:t xml:space="preserve"> review</w:t>
            </w:r>
            <w:r>
              <w:rPr>
                <w:sz w:val="18"/>
                <w:szCs w:val="18"/>
              </w:rPr>
              <w:t xml:space="preserve"> processes. </w:t>
            </w:r>
          </w:p>
          <w:p w14:paraId="7B6BDB69" w14:textId="593C1403" w:rsidR="00B378F1" w:rsidRPr="00516624" w:rsidRDefault="00B378F1" w:rsidP="000E6F0E">
            <w:pPr>
              <w:pStyle w:val="TableBullet"/>
              <w:spacing w:before="0" w:after="0" w:line="240" w:lineRule="auto"/>
              <w:rPr>
                <w:sz w:val="18"/>
                <w:szCs w:val="18"/>
              </w:rPr>
            </w:pPr>
            <w:r w:rsidRPr="00516624">
              <w:rPr>
                <w:sz w:val="18"/>
                <w:szCs w:val="18"/>
              </w:rPr>
              <w:t>Support</w:t>
            </w:r>
            <w:r w:rsidR="007C117C">
              <w:rPr>
                <w:sz w:val="18"/>
                <w:szCs w:val="18"/>
              </w:rPr>
              <w:t xml:space="preserve"> and make visible</w:t>
            </w:r>
            <w:r w:rsidRPr="00516624">
              <w:rPr>
                <w:sz w:val="18"/>
                <w:szCs w:val="18"/>
              </w:rPr>
              <w:t xml:space="preserve"> equity and inclusion of </w:t>
            </w:r>
            <w:r>
              <w:rPr>
                <w:sz w:val="18"/>
                <w:szCs w:val="18"/>
              </w:rPr>
              <w:t xml:space="preserve">First Nations communities and socially and culturally </w:t>
            </w:r>
            <w:r w:rsidRPr="00516624">
              <w:rPr>
                <w:sz w:val="18"/>
                <w:szCs w:val="18"/>
              </w:rPr>
              <w:t>diverse and underrepresented groups.</w:t>
            </w:r>
          </w:p>
        </w:tc>
      </w:tr>
      <w:tr w:rsidR="00B378F1" w:rsidRPr="007B1AF5" w14:paraId="364D9FFD"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25A26926" w14:textId="249A552B" w:rsidR="00B378F1" w:rsidRPr="007B1AF5" w:rsidRDefault="00B378F1" w:rsidP="000E6F0E">
            <w:pPr>
              <w:spacing w:before="0" w:after="0" w:line="240" w:lineRule="auto"/>
              <w:rPr>
                <w:rFonts w:eastAsia="Times New Roman" w:cstheme="minorHAnsi"/>
                <w:sz w:val="18"/>
                <w:szCs w:val="18"/>
                <w:highlight w:val="yellow"/>
                <w:lang w:eastAsia="en-AU"/>
              </w:rPr>
            </w:pPr>
            <w:r w:rsidRPr="004C5D3F">
              <w:rPr>
                <w:rFonts w:eastAsia="Times New Roman" w:cstheme="minorHAnsi"/>
                <w:sz w:val="18"/>
                <w:szCs w:val="18"/>
                <w:lang w:eastAsia="en-AU"/>
              </w:rPr>
              <w:t>Information</w:t>
            </w:r>
            <w:r>
              <w:rPr>
                <w:rFonts w:eastAsia="Times New Roman" w:cstheme="minorHAnsi"/>
                <w:sz w:val="18"/>
                <w:szCs w:val="18"/>
                <w:lang w:eastAsia="en-AU"/>
              </w:rPr>
              <w:t xml:space="preserve"> and resources to support consumer engagement in the health technology pathway</w:t>
            </w:r>
            <w:r w:rsidR="00521E1C">
              <w:rPr>
                <w:rFonts w:eastAsia="Times New Roman" w:cstheme="minorHAnsi"/>
                <w:sz w:val="18"/>
                <w:szCs w:val="18"/>
                <w:lang w:eastAsia="en-AU"/>
              </w:rPr>
              <w:t xml:space="preserve"> </w:t>
            </w:r>
            <w:r>
              <w:rPr>
                <w:rFonts w:eastAsia="Times New Roman" w:cstheme="minorHAnsi"/>
                <w:sz w:val="18"/>
                <w:szCs w:val="18"/>
                <w:lang w:eastAsia="en-AU"/>
              </w:rPr>
              <w:t xml:space="preserve">is challenging to navigate across different Departmental websites. </w:t>
            </w:r>
          </w:p>
        </w:tc>
        <w:tc>
          <w:tcPr>
            <w:tcW w:w="425" w:type="dxa"/>
          </w:tcPr>
          <w:p w14:paraId="62A8AC72" w14:textId="77777777" w:rsidR="00B378F1" w:rsidRPr="007B1AF5" w:rsidRDefault="00B378F1" w:rsidP="000E6F0E">
            <w:pPr>
              <w:spacing w:before="0" w:after="0" w:line="240" w:lineRule="auto"/>
              <w:rPr>
                <w:rFonts w:cstheme="minorHAnsi"/>
                <w:sz w:val="18"/>
                <w:szCs w:val="18"/>
                <w:highlight w:val="yellow"/>
              </w:rPr>
            </w:pPr>
          </w:p>
        </w:tc>
        <w:tc>
          <w:tcPr>
            <w:tcW w:w="3402" w:type="dxa"/>
          </w:tcPr>
          <w:p w14:paraId="7BEC82DA" w14:textId="77777777" w:rsidR="00B378F1" w:rsidRPr="00D975FD"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2.Single digital consumer portal</w:t>
            </w:r>
          </w:p>
          <w:p w14:paraId="3B64E58C" w14:textId="77777777" w:rsidR="00B378F1" w:rsidRDefault="00B378F1" w:rsidP="000E6F0E">
            <w:pPr>
              <w:spacing w:before="0" w:after="0" w:line="240" w:lineRule="auto"/>
              <w:rPr>
                <w:rFonts w:eastAsia="Times New Roman" w:cstheme="minorHAnsi"/>
                <w:sz w:val="18"/>
                <w:szCs w:val="18"/>
                <w:lang w:eastAsia="en-AU"/>
              </w:rPr>
            </w:pPr>
          </w:p>
          <w:p w14:paraId="28C70B8B" w14:textId="57FE190F"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sz w:val="18"/>
                <w:szCs w:val="18"/>
                <w:lang w:eastAsia="en-AU"/>
              </w:rPr>
              <w:t>Create an</w:t>
            </w:r>
            <w:r w:rsidRPr="00D975FD">
              <w:rPr>
                <w:rFonts w:eastAsia="Times New Roman" w:cstheme="minorHAnsi"/>
                <w:sz w:val="18"/>
                <w:szCs w:val="18"/>
                <w:lang w:eastAsia="en-AU"/>
              </w:rPr>
              <w:t xml:space="preserve"> online ‘one-stop-shop’ </w:t>
            </w:r>
            <w:r w:rsidR="00D1352E">
              <w:rPr>
                <w:rFonts w:eastAsia="Times New Roman" w:cstheme="minorHAnsi"/>
                <w:sz w:val="18"/>
                <w:szCs w:val="18"/>
                <w:lang w:eastAsia="en-AU"/>
              </w:rPr>
              <w:t xml:space="preserve">portal </w:t>
            </w:r>
            <w:r w:rsidR="00965595">
              <w:rPr>
                <w:rFonts w:eastAsia="Times New Roman" w:cstheme="minorHAnsi"/>
                <w:sz w:val="18"/>
                <w:szCs w:val="18"/>
                <w:lang w:eastAsia="en-AU"/>
              </w:rPr>
              <w:t>providing consumer</w:t>
            </w:r>
            <w:r>
              <w:rPr>
                <w:rFonts w:eastAsia="Times New Roman" w:cstheme="minorHAnsi"/>
                <w:sz w:val="18"/>
                <w:szCs w:val="18"/>
                <w:lang w:eastAsia="en-AU"/>
              </w:rPr>
              <w:t xml:space="preserve"> engagement </w:t>
            </w:r>
            <w:r w:rsidRPr="00D975FD">
              <w:rPr>
                <w:rFonts w:eastAsia="Times New Roman" w:cstheme="minorHAnsi"/>
                <w:sz w:val="18"/>
                <w:szCs w:val="18"/>
                <w:lang w:eastAsia="en-AU"/>
              </w:rPr>
              <w:t xml:space="preserve">resources </w:t>
            </w:r>
            <w:r>
              <w:rPr>
                <w:rFonts w:eastAsia="Times New Roman" w:cstheme="minorHAnsi"/>
                <w:sz w:val="18"/>
                <w:szCs w:val="18"/>
                <w:lang w:eastAsia="en-AU"/>
              </w:rPr>
              <w:t>and regularly updated notifications about activities occurring in the health technology pathway</w:t>
            </w:r>
            <w:r w:rsidR="00965595">
              <w:rPr>
                <w:rFonts w:eastAsia="Times New Roman" w:cstheme="minorHAnsi"/>
                <w:sz w:val="18"/>
                <w:szCs w:val="18"/>
                <w:lang w:eastAsia="en-AU"/>
              </w:rPr>
              <w:t>.</w:t>
            </w:r>
          </w:p>
        </w:tc>
        <w:tc>
          <w:tcPr>
            <w:tcW w:w="3683" w:type="dxa"/>
          </w:tcPr>
          <w:p w14:paraId="7712AB9C" w14:textId="479E467D" w:rsidR="00B378F1" w:rsidRPr="00A264BB" w:rsidRDefault="00965595" w:rsidP="000E6F0E">
            <w:pPr>
              <w:pStyle w:val="TableBullet"/>
              <w:spacing w:before="0" w:after="0" w:line="240" w:lineRule="auto"/>
              <w:rPr>
                <w:sz w:val="18"/>
                <w:szCs w:val="18"/>
              </w:rPr>
            </w:pPr>
            <w:r>
              <w:rPr>
                <w:sz w:val="18"/>
                <w:szCs w:val="18"/>
              </w:rPr>
              <w:t xml:space="preserve">Consolidates information </w:t>
            </w:r>
            <w:r w:rsidR="00865156">
              <w:rPr>
                <w:sz w:val="18"/>
                <w:szCs w:val="18"/>
              </w:rPr>
              <w:t xml:space="preserve">about consumer engagement </w:t>
            </w:r>
            <w:r w:rsidR="00B378F1" w:rsidRPr="00A264BB">
              <w:rPr>
                <w:sz w:val="18"/>
                <w:szCs w:val="18"/>
              </w:rPr>
              <w:t>resources, tools, training,</w:t>
            </w:r>
            <w:r w:rsidR="00B378F1">
              <w:rPr>
                <w:sz w:val="18"/>
                <w:szCs w:val="18"/>
              </w:rPr>
              <w:t xml:space="preserve"> and </w:t>
            </w:r>
            <w:r w:rsidR="007E555B">
              <w:rPr>
                <w:sz w:val="18"/>
                <w:szCs w:val="18"/>
              </w:rPr>
              <w:t xml:space="preserve">HTA committee </w:t>
            </w:r>
            <w:r w:rsidR="00B378F1">
              <w:rPr>
                <w:sz w:val="18"/>
                <w:szCs w:val="18"/>
              </w:rPr>
              <w:t xml:space="preserve">notifications </w:t>
            </w:r>
            <w:r w:rsidR="00865156">
              <w:rPr>
                <w:sz w:val="18"/>
                <w:szCs w:val="18"/>
              </w:rPr>
              <w:t>in one online location.</w:t>
            </w:r>
            <w:r w:rsidR="00B378F1" w:rsidRPr="00A264BB">
              <w:rPr>
                <w:sz w:val="18"/>
                <w:szCs w:val="18"/>
              </w:rPr>
              <w:t xml:space="preserve"> </w:t>
            </w:r>
          </w:p>
          <w:p w14:paraId="224E70E4" w14:textId="13D5F413" w:rsidR="00B378F1" w:rsidRPr="00A264BB" w:rsidRDefault="00B378F1" w:rsidP="000E6F0E">
            <w:pPr>
              <w:pStyle w:val="TableBullet"/>
              <w:spacing w:before="0" w:after="0" w:line="240" w:lineRule="auto"/>
              <w:rPr>
                <w:sz w:val="18"/>
                <w:szCs w:val="18"/>
              </w:rPr>
            </w:pPr>
            <w:r>
              <w:rPr>
                <w:sz w:val="18"/>
                <w:szCs w:val="18"/>
              </w:rPr>
              <w:t xml:space="preserve">Establishes an online location to </w:t>
            </w:r>
            <w:r w:rsidR="00441506">
              <w:rPr>
                <w:sz w:val="18"/>
                <w:szCs w:val="18"/>
              </w:rPr>
              <w:t xml:space="preserve">communicate and </w:t>
            </w:r>
            <w:r>
              <w:rPr>
                <w:sz w:val="18"/>
                <w:szCs w:val="18"/>
              </w:rPr>
              <w:t xml:space="preserve">house </w:t>
            </w:r>
            <w:r w:rsidR="00441506">
              <w:rPr>
                <w:sz w:val="18"/>
                <w:szCs w:val="18"/>
              </w:rPr>
              <w:t xml:space="preserve">other </w:t>
            </w:r>
            <w:r>
              <w:rPr>
                <w:sz w:val="18"/>
                <w:szCs w:val="18"/>
              </w:rPr>
              <w:t xml:space="preserve">resources relevant to recommendations in this </w:t>
            </w:r>
            <w:r w:rsidR="006332DF">
              <w:rPr>
                <w:sz w:val="18"/>
                <w:szCs w:val="18"/>
              </w:rPr>
              <w:t>document</w:t>
            </w:r>
            <w:r>
              <w:rPr>
                <w:sz w:val="18"/>
                <w:szCs w:val="18"/>
              </w:rPr>
              <w:t>.</w:t>
            </w:r>
          </w:p>
        </w:tc>
      </w:tr>
      <w:tr w:rsidR="00B378F1" w:rsidRPr="00881585" w14:paraId="68F13BF8"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5AFF797C" w14:textId="6C840D17" w:rsidR="00B378F1" w:rsidRPr="00516624"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Communications about health technologies and </w:t>
            </w:r>
            <w:r w:rsidR="00BD4141">
              <w:rPr>
                <w:rFonts w:eastAsia="Times New Roman" w:cstheme="minorHAnsi"/>
                <w:sz w:val="18"/>
                <w:szCs w:val="18"/>
                <w:lang w:eastAsia="en-AU"/>
              </w:rPr>
              <w:t>assessment processes</w:t>
            </w:r>
            <w:r>
              <w:rPr>
                <w:rFonts w:eastAsia="Times New Roman" w:cstheme="minorHAnsi"/>
                <w:sz w:val="18"/>
                <w:szCs w:val="18"/>
                <w:lang w:eastAsia="en-AU"/>
              </w:rPr>
              <w:t xml:space="preserve"> are either not available in some parts of the health technology pathway or not written with consumers in mind as a target audience.</w:t>
            </w:r>
          </w:p>
        </w:tc>
        <w:tc>
          <w:tcPr>
            <w:tcW w:w="425" w:type="dxa"/>
          </w:tcPr>
          <w:p w14:paraId="15E47C51" w14:textId="77777777" w:rsidR="00B378F1" w:rsidRPr="00516624" w:rsidRDefault="00B378F1" w:rsidP="000E6F0E">
            <w:pPr>
              <w:spacing w:before="0" w:after="0" w:line="240" w:lineRule="auto"/>
              <w:rPr>
                <w:rFonts w:cstheme="minorHAnsi"/>
                <w:sz w:val="18"/>
                <w:szCs w:val="18"/>
              </w:rPr>
            </w:pPr>
          </w:p>
        </w:tc>
        <w:tc>
          <w:tcPr>
            <w:tcW w:w="3402" w:type="dxa"/>
          </w:tcPr>
          <w:p w14:paraId="7981E2F9" w14:textId="3A78BC2A"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3</w:t>
            </w:r>
            <w:r w:rsidRPr="00D975FD">
              <w:rPr>
                <w:rFonts w:eastAsia="Times New Roman" w:cstheme="minorHAnsi"/>
                <w:b/>
                <w:bCs/>
                <w:sz w:val="18"/>
                <w:szCs w:val="18"/>
                <w:lang w:eastAsia="en-AU"/>
              </w:rPr>
              <w:t xml:space="preserve">.Plain </w:t>
            </w:r>
            <w:r w:rsidR="00D97D1B">
              <w:rPr>
                <w:rFonts w:eastAsia="Times New Roman" w:cstheme="minorHAnsi"/>
                <w:b/>
                <w:bCs/>
                <w:sz w:val="18"/>
                <w:szCs w:val="18"/>
                <w:lang w:eastAsia="en-AU"/>
              </w:rPr>
              <w:t>l</w:t>
            </w:r>
            <w:r w:rsidRPr="00D975FD">
              <w:rPr>
                <w:rFonts w:eastAsia="Times New Roman" w:cstheme="minorHAnsi"/>
                <w:b/>
                <w:bCs/>
                <w:sz w:val="18"/>
                <w:szCs w:val="18"/>
                <w:lang w:eastAsia="en-AU"/>
              </w:rPr>
              <w:t xml:space="preserve">anguage </w:t>
            </w:r>
            <w:r w:rsidR="00D97D1B">
              <w:rPr>
                <w:rFonts w:eastAsia="Times New Roman" w:cstheme="minorHAnsi"/>
                <w:b/>
                <w:bCs/>
                <w:sz w:val="18"/>
                <w:szCs w:val="18"/>
                <w:lang w:eastAsia="en-AU"/>
              </w:rPr>
              <w:t>c</w:t>
            </w:r>
            <w:r w:rsidRPr="00D975FD">
              <w:rPr>
                <w:rFonts w:eastAsia="Times New Roman" w:cstheme="minorHAnsi"/>
                <w:b/>
                <w:bCs/>
                <w:sz w:val="18"/>
                <w:szCs w:val="18"/>
                <w:lang w:eastAsia="en-AU"/>
              </w:rPr>
              <w:t>ommunication</w:t>
            </w:r>
            <w:r>
              <w:rPr>
                <w:rFonts w:eastAsia="Times New Roman" w:cstheme="minorHAnsi"/>
                <w:b/>
                <w:bCs/>
                <w:sz w:val="18"/>
                <w:szCs w:val="18"/>
                <w:lang w:eastAsia="en-AU"/>
              </w:rPr>
              <w:t>s</w:t>
            </w:r>
          </w:p>
          <w:p w14:paraId="06ED6977" w14:textId="77777777" w:rsidR="00B378F1" w:rsidRDefault="00B378F1" w:rsidP="000E6F0E">
            <w:pPr>
              <w:spacing w:before="0" w:after="0" w:line="240" w:lineRule="auto"/>
              <w:rPr>
                <w:rFonts w:eastAsia="Times New Roman" w:cstheme="minorHAnsi"/>
                <w:sz w:val="18"/>
                <w:szCs w:val="18"/>
                <w:lang w:eastAsia="en-AU"/>
              </w:rPr>
            </w:pPr>
          </w:p>
          <w:p w14:paraId="5CF3A936" w14:textId="77777777" w:rsidR="00B378F1" w:rsidRDefault="00B378F1" w:rsidP="000E6F0E">
            <w:pPr>
              <w:spacing w:before="0" w:after="0" w:line="240" w:lineRule="auto"/>
              <w:rPr>
                <w:rFonts w:eastAsia="Times New Roman" w:cstheme="minorHAnsi"/>
                <w:b/>
                <w:bCs/>
                <w:sz w:val="18"/>
                <w:szCs w:val="18"/>
                <w:lang w:eastAsia="en-AU"/>
              </w:rPr>
            </w:pPr>
            <w:r>
              <w:rPr>
                <w:rFonts w:eastAsia="Times New Roman" w:cstheme="minorHAnsi"/>
                <w:sz w:val="18"/>
                <w:szCs w:val="18"/>
                <w:lang w:eastAsia="en-AU"/>
              </w:rPr>
              <w:t>Co-design a series of plain language and consumer-focused communications provided at key touchpoints across the health technology pathway.</w:t>
            </w:r>
          </w:p>
        </w:tc>
        <w:tc>
          <w:tcPr>
            <w:tcW w:w="3683" w:type="dxa"/>
          </w:tcPr>
          <w:p w14:paraId="0AAF5230" w14:textId="0B3E076B" w:rsidR="00B378F1" w:rsidRPr="00516624" w:rsidRDefault="00B378F1" w:rsidP="000E6F0E">
            <w:pPr>
              <w:pStyle w:val="TableBullet"/>
              <w:spacing w:before="0" w:after="0" w:line="240" w:lineRule="auto"/>
              <w:rPr>
                <w:sz w:val="18"/>
                <w:szCs w:val="18"/>
              </w:rPr>
            </w:pPr>
            <w:r>
              <w:rPr>
                <w:sz w:val="18"/>
                <w:szCs w:val="18"/>
              </w:rPr>
              <w:t>Increase consumer engagement and understanding of the status and outcomes relevant to health technologies</w:t>
            </w:r>
            <w:r w:rsidRPr="00516624">
              <w:rPr>
                <w:sz w:val="18"/>
                <w:szCs w:val="18"/>
              </w:rPr>
              <w:t>.</w:t>
            </w:r>
          </w:p>
          <w:p w14:paraId="02F0BF8D" w14:textId="77777777" w:rsidR="00B378F1" w:rsidRPr="00516624" w:rsidRDefault="00B378F1" w:rsidP="000E6F0E">
            <w:pPr>
              <w:pStyle w:val="TableBullet"/>
              <w:spacing w:before="0" w:after="0" w:line="240" w:lineRule="auto"/>
              <w:rPr>
                <w:sz w:val="18"/>
                <w:szCs w:val="18"/>
              </w:rPr>
            </w:pPr>
            <w:r>
              <w:rPr>
                <w:sz w:val="18"/>
                <w:szCs w:val="18"/>
              </w:rPr>
              <w:t>Enable flow-on-effects of communications aimed at consumers across the health technology pathway.</w:t>
            </w:r>
          </w:p>
        </w:tc>
      </w:tr>
      <w:tr w:rsidR="00B378F1" w:rsidRPr="00881585" w14:paraId="2AA6B5A5"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09967855" w14:textId="5900F497" w:rsidR="00B378F1" w:rsidRPr="00516624" w:rsidRDefault="00B378F1" w:rsidP="000E6F0E">
            <w:pPr>
              <w:spacing w:before="0" w:after="0" w:line="240" w:lineRule="auto"/>
              <w:rPr>
                <w:rFonts w:cstheme="minorHAnsi"/>
                <w:sz w:val="18"/>
                <w:szCs w:val="18"/>
              </w:rPr>
            </w:pPr>
            <w:r>
              <w:rPr>
                <w:rFonts w:cstheme="minorHAnsi"/>
                <w:sz w:val="18"/>
                <w:szCs w:val="18"/>
              </w:rPr>
              <w:t xml:space="preserve">Government, industry, and consumers do not yet </w:t>
            </w:r>
            <w:proofErr w:type="gramStart"/>
            <w:r>
              <w:rPr>
                <w:rFonts w:cstheme="minorHAnsi"/>
                <w:sz w:val="18"/>
                <w:szCs w:val="18"/>
              </w:rPr>
              <w:t>have  centralised</w:t>
            </w:r>
            <w:proofErr w:type="gramEnd"/>
            <w:r>
              <w:rPr>
                <w:rFonts w:cstheme="minorHAnsi"/>
                <w:sz w:val="18"/>
                <w:szCs w:val="18"/>
              </w:rPr>
              <w:t xml:space="preserve"> and standard </w:t>
            </w:r>
            <w:r w:rsidR="00DD4731">
              <w:rPr>
                <w:rFonts w:cstheme="minorHAnsi"/>
                <w:sz w:val="18"/>
                <w:szCs w:val="18"/>
              </w:rPr>
              <w:t xml:space="preserve">resources and </w:t>
            </w:r>
            <w:r>
              <w:rPr>
                <w:rFonts w:cstheme="minorHAnsi"/>
                <w:sz w:val="18"/>
                <w:szCs w:val="18"/>
              </w:rPr>
              <w:t xml:space="preserve">training to guide robust consumer engagement for HTA processes. </w:t>
            </w:r>
          </w:p>
        </w:tc>
        <w:tc>
          <w:tcPr>
            <w:tcW w:w="425" w:type="dxa"/>
          </w:tcPr>
          <w:p w14:paraId="6C931A2F" w14:textId="77777777" w:rsidR="00B378F1" w:rsidRPr="00516624" w:rsidRDefault="00B378F1" w:rsidP="000E6F0E">
            <w:pPr>
              <w:spacing w:before="0" w:after="0" w:line="240" w:lineRule="auto"/>
              <w:rPr>
                <w:rFonts w:cstheme="minorHAnsi"/>
                <w:sz w:val="18"/>
                <w:szCs w:val="18"/>
              </w:rPr>
            </w:pPr>
          </w:p>
        </w:tc>
        <w:tc>
          <w:tcPr>
            <w:tcW w:w="3402" w:type="dxa"/>
          </w:tcPr>
          <w:p w14:paraId="62607DF3" w14:textId="673AD5AF"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4</w:t>
            </w:r>
            <w:r w:rsidRPr="00D975FD">
              <w:rPr>
                <w:rFonts w:eastAsia="Times New Roman" w:cstheme="minorHAnsi"/>
                <w:b/>
                <w:bCs/>
                <w:sz w:val="18"/>
                <w:szCs w:val="18"/>
                <w:lang w:eastAsia="en-AU"/>
              </w:rPr>
              <w:t>.</w:t>
            </w:r>
            <w:r w:rsidRPr="002D7BC9">
              <w:rPr>
                <w:rFonts w:eastAsia="Times New Roman" w:cstheme="minorHAnsi"/>
                <w:b/>
                <w:bCs/>
                <w:sz w:val="18"/>
                <w:szCs w:val="18"/>
                <w:lang w:eastAsia="en-AU"/>
              </w:rPr>
              <w:t>Stakeholder</w:t>
            </w:r>
            <w:r>
              <w:rPr>
                <w:rFonts w:eastAsia="Times New Roman" w:cstheme="minorHAnsi"/>
                <w:b/>
                <w:bCs/>
                <w:sz w:val="18"/>
                <w:szCs w:val="18"/>
                <w:lang w:eastAsia="en-AU"/>
              </w:rPr>
              <w:t xml:space="preserve"> </w:t>
            </w:r>
            <w:r w:rsidR="00D97D1B">
              <w:rPr>
                <w:rFonts w:eastAsia="Times New Roman" w:cstheme="minorHAnsi"/>
                <w:b/>
                <w:bCs/>
                <w:sz w:val="18"/>
                <w:szCs w:val="18"/>
                <w:lang w:eastAsia="en-AU"/>
              </w:rPr>
              <w:t>resources and training</w:t>
            </w:r>
          </w:p>
          <w:p w14:paraId="2ACCBD4D" w14:textId="77777777" w:rsidR="00B378F1" w:rsidRDefault="00B378F1" w:rsidP="000E6F0E">
            <w:pPr>
              <w:spacing w:before="0" w:after="0" w:line="240" w:lineRule="auto"/>
              <w:rPr>
                <w:rFonts w:eastAsia="Times New Roman" w:cstheme="minorHAnsi"/>
                <w:sz w:val="18"/>
                <w:szCs w:val="18"/>
                <w:lang w:eastAsia="en-AU"/>
              </w:rPr>
            </w:pPr>
          </w:p>
          <w:p w14:paraId="0B870DA4" w14:textId="77777777" w:rsidR="00B378F1" w:rsidRPr="00D975FD" w:rsidRDefault="00B378F1" w:rsidP="000E6F0E">
            <w:pPr>
              <w:spacing w:before="0" w:after="0" w:line="240" w:lineRule="auto"/>
              <w:rPr>
                <w:rFonts w:cstheme="minorHAnsi"/>
                <w:sz w:val="18"/>
                <w:szCs w:val="18"/>
              </w:rPr>
            </w:pPr>
            <w:r>
              <w:rPr>
                <w:rFonts w:eastAsia="Times New Roman" w:cstheme="minorHAnsi"/>
                <w:sz w:val="18"/>
                <w:szCs w:val="18"/>
                <w:lang w:eastAsia="en-AU"/>
              </w:rPr>
              <w:t>Establish a central</w:t>
            </w:r>
            <w:r w:rsidRPr="00D975FD">
              <w:rPr>
                <w:rFonts w:eastAsia="Times New Roman" w:cstheme="minorHAnsi"/>
                <w:sz w:val="18"/>
                <w:szCs w:val="18"/>
                <w:lang w:eastAsia="en-AU"/>
              </w:rPr>
              <w:t xml:space="preserve"> unit offering training </w:t>
            </w:r>
            <w:r>
              <w:rPr>
                <w:rFonts w:eastAsia="Times New Roman" w:cstheme="minorHAnsi"/>
                <w:sz w:val="18"/>
                <w:szCs w:val="18"/>
                <w:lang w:eastAsia="en-AU"/>
              </w:rPr>
              <w:t>and resources</w:t>
            </w:r>
            <w:r w:rsidRPr="00D975FD">
              <w:rPr>
                <w:rFonts w:eastAsia="Times New Roman" w:cstheme="minorHAnsi"/>
                <w:sz w:val="18"/>
                <w:szCs w:val="18"/>
                <w:lang w:eastAsia="en-AU"/>
              </w:rPr>
              <w:t xml:space="preserve"> to government, industry, and consumers.</w:t>
            </w:r>
          </w:p>
        </w:tc>
        <w:tc>
          <w:tcPr>
            <w:tcW w:w="3683" w:type="dxa"/>
          </w:tcPr>
          <w:p w14:paraId="5722F7D0" w14:textId="77777777" w:rsidR="00B378F1" w:rsidRPr="00516624" w:rsidRDefault="00B378F1" w:rsidP="000E6F0E">
            <w:pPr>
              <w:pStyle w:val="TableBullet"/>
              <w:spacing w:before="0" w:after="0" w:line="240" w:lineRule="auto"/>
              <w:rPr>
                <w:sz w:val="18"/>
                <w:szCs w:val="18"/>
              </w:rPr>
            </w:pPr>
            <w:r w:rsidRPr="00516624">
              <w:rPr>
                <w:sz w:val="18"/>
                <w:szCs w:val="18"/>
              </w:rPr>
              <w:t xml:space="preserve">Increase knowledge and capacity of </w:t>
            </w:r>
            <w:r>
              <w:rPr>
                <w:sz w:val="18"/>
                <w:szCs w:val="18"/>
              </w:rPr>
              <w:t>all</w:t>
            </w:r>
            <w:r w:rsidRPr="00516624">
              <w:rPr>
                <w:sz w:val="18"/>
                <w:szCs w:val="18"/>
              </w:rPr>
              <w:t xml:space="preserve"> stakeholders in consumer engagement methods, and the value of consumer evidence and experience.</w:t>
            </w:r>
          </w:p>
          <w:p w14:paraId="7389B8FB" w14:textId="385ED1FB" w:rsidR="00B378F1" w:rsidRPr="00516624" w:rsidRDefault="00B378F1" w:rsidP="000E6F0E">
            <w:pPr>
              <w:pStyle w:val="TableBullet"/>
              <w:spacing w:before="0" w:after="0" w:line="240" w:lineRule="auto"/>
              <w:rPr>
                <w:sz w:val="18"/>
                <w:szCs w:val="18"/>
              </w:rPr>
            </w:pPr>
            <w:r>
              <w:rPr>
                <w:sz w:val="18"/>
                <w:szCs w:val="18"/>
              </w:rPr>
              <w:t xml:space="preserve">Increase </w:t>
            </w:r>
            <w:r w:rsidRPr="00516624">
              <w:rPr>
                <w:sz w:val="18"/>
                <w:szCs w:val="18"/>
              </w:rPr>
              <w:t>consumers</w:t>
            </w:r>
            <w:r w:rsidR="0034447D">
              <w:rPr>
                <w:sz w:val="18"/>
                <w:szCs w:val="18"/>
              </w:rPr>
              <w:t>’</w:t>
            </w:r>
            <w:r w:rsidRPr="00516624">
              <w:rPr>
                <w:sz w:val="18"/>
                <w:szCs w:val="18"/>
              </w:rPr>
              <w:t xml:space="preserve"> </w:t>
            </w:r>
            <w:r>
              <w:rPr>
                <w:sz w:val="18"/>
                <w:szCs w:val="18"/>
              </w:rPr>
              <w:t xml:space="preserve">capacity as </w:t>
            </w:r>
            <w:r w:rsidRPr="00516624">
              <w:rPr>
                <w:sz w:val="18"/>
                <w:szCs w:val="18"/>
              </w:rPr>
              <w:t>independent, informed, and equal partners in HTA process</w:t>
            </w:r>
            <w:r>
              <w:rPr>
                <w:sz w:val="18"/>
                <w:szCs w:val="18"/>
              </w:rPr>
              <w:t>es</w:t>
            </w:r>
            <w:r w:rsidRPr="00516624">
              <w:rPr>
                <w:sz w:val="18"/>
                <w:szCs w:val="18"/>
              </w:rPr>
              <w:t>.</w:t>
            </w:r>
          </w:p>
          <w:p w14:paraId="058A6DE6" w14:textId="3B1556F1" w:rsidR="00B378F1" w:rsidRPr="00516624" w:rsidRDefault="00B378F1" w:rsidP="000E6F0E">
            <w:pPr>
              <w:pStyle w:val="TableBullet"/>
              <w:spacing w:before="0" w:after="0" w:line="240" w:lineRule="auto"/>
              <w:rPr>
                <w:sz w:val="18"/>
                <w:szCs w:val="18"/>
              </w:rPr>
            </w:pPr>
            <w:r>
              <w:rPr>
                <w:sz w:val="18"/>
                <w:szCs w:val="18"/>
              </w:rPr>
              <w:t>Embed</w:t>
            </w:r>
            <w:r w:rsidRPr="00516624">
              <w:rPr>
                <w:sz w:val="18"/>
                <w:szCs w:val="18"/>
              </w:rPr>
              <w:t xml:space="preserve"> equity and inclusion</w:t>
            </w:r>
            <w:r>
              <w:rPr>
                <w:sz w:val="18"/>
                <w:szCs w:val="18"/>
              </w:rPr>
              <w:t xml:space="preserve"> principles in training to support engagement with First Nations representatives and people from culturally and socially diverse and underrepresented groups.</w:t>
            </w:r>
          </w:p>
        </w:tc>
      </w:tr>
      <w:tr w:rsidR="00B378F1" w:rsidRPr="00881585" w14:paraId="621048AC"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58935168" w14:textId="77777777" w:rsidR="00B378F1"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The Strategic Agreement between the Commonwealth and </w:t>
            </w:r>
            <w:r w:rsidRPr="00516624">
              <w:rPr>
                <w:rFonts w:eastAsia="Times New Roman" w:cstheme="minorHAnsi"/>
                <w:sz w:val="18"/>
                <w:szCs w:val="18"/>
                <w:lang w:eastAsia="en-AU"/>
              </w:rPr>
              <w:t xml:space="preserve">Medicines Australia </w:t>
            </w:r>
            <w:r>
              <w:rPr>
                <w:rFonts w:eastAsia="Times New Roman" w:cstheme="minorHAnsi"/>
                <w:sz w:val="18"/>
                <w:szCs w:val="18"/>
                <w:lang w:eastAsia="en-AU"/>
              </w:rPr>
              <w:t xml:space="preserve">initiated the first annual </w:t>
            </w:r>
            <w:r w:rsidRPr="00516624">
              <w:rPr>
                <w:rFonts w:eastAsia="Times New Roman" w:cstheme="minorHAnsi"/>
                <w:sz w:val="18"/>
                <w:szCs w:val="18"/>
                <w:lang w:eastAsia="en-AU"/>
              </w:rPr>
              <w:t xml:space="preserve">horizon scanning forum </w:t>
            </w:r>
            <w:r>
              <w:rPr>
                <w:rFonts w:eastAsia="Times New Roman" w:cstheme="minorHAnsi"/>
                <w:sz w:val="18"/>
                <w:szCs w:val="18"/>
                <w:lang w:eastAsia="en-AU"/>
              </w:rPr>
              <w:t xml:space="preserve">in 2022; however, a more formally coordinated horizon scanning system with an embedded role for consumers is not yet established. </w:t>
            </w:r>
          </w:p>
        </w:tc>
        <w:tc>
          <w:tcPr>
            <w:tcW w:w="425" w:type="dxa"/>
          </w:tcPr>
          <w:p w14:paraId="26A6F426" w14:textId="77777777" w:rsidR="00B378F1" w:rsidRPr="00516624" w:rsidRDefault="00B378F1" w:rsidP="000E6F0E">
            <w:pPr>
              <w:spacing w:before="0" w:after="0" w:line="240" w:lineRule="auto"/>
              <w:rPr>
                <w:rFonts w:cstheme="minorHAnsi"/>
                <w:sz w:val="18"/>
                <w:szCs w:val="18"/>
              </w:rPr>
            </w:pPr>
          </w:p>
        </w:tc>
        <w:tc>
          <w:tcPr>
            <w:tcW w:w="3402" w:type="dxa"/>
          </w:tcPr>
          <w:p w14:paraId="6DF128D3" w14:textId="72365231" w:rsidR="00B378F1"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5</w:t>
            </w:r>
            <w:r w:rsidRPr="00D975FD">
              <w:rPr>
                <w:rFonts w:eastAsia="Times New Roman" w:cstheme="minorHAnsi"/>
                <w:b/>
                <w:bCs/>
                <w:sz w:val="18"/>
                <w:szCs w:val="18"/>
                <w:lang w:eastAsia="en-AU"/>
              </w:rPr>
              <w:t xml:space="preserve">.Consumer-informed </w:t>
            </w:r>
            <w:r w:rsidR="00D97D1B">
              <w:rPr>
                <w:rFonts w:eastAsia="Times New Roman" w:cstheme="minorHAnsi"/>
                <w:b/>
                <w:bCs/>
                <w:sz w:val="18"/>
                <w:szCs w:val="18"/>
                <w:lang w:eastAsia="en-AU"/>
              </w:rPr>
              <w:t>h</w:t>
            </w:r>
            <w:r w:rsidRPr="00D975FD">
              <w:rPr>
                <w:rFonts w:eastAsia="Times New Roman" w:cstheme="minorHAnsi"/>
                <w:b/>
                <w:bCs/>
                <w:sz w:val="18"/>
                <w:szCs w:val="18"/>
                <w:lang w:eastAsia="en-AU"/>
              </w:rPr>
              <w:t xml:space="preserve">orizon </w:t>
            </w:r>
            <w:r w:rsidR="00D97D1B">
              <w:rPr>
                <w:rFonts w:eastAsia="Times New Roman" w:cstheme="minorHAnsi"/>
                <w:b/>
                <w:bCs/>
                <w:sz w:val="18"/>
                <w:szCs w:val="18"/>
                <w:lang w:eastAsia="en-AU"/>
              </w:rPr>
              <w:t>s</w:t>
            </w:r>
            <w:r w:rsidRPr="00D975FD">
              <w:rPr>
                <w:rFonts w:eastAsia="Times New Roman" w:cstheme="minorHAnsi"/>
                <w:b/>
                <w:bCs/>
                <w:sz w:val="18"/>
                <w:szCs w:val="18"/>
                <w:lang w:eastAsia="en-AU"/>
              </w:rPr>
              <w:t>canning</w:t>
            </w:r>
          </w:p>
          <w:p w14:paraId="57B80A61" w14:textId="77777777" w:rsidR="00B378F1" w:rsidRPr="00D975FD" w:rsidRDefault="00B378F1" w:rsidP="000E6F0E">
            <w:pPr>
              <w:spacing w:before="0" w:after="0" w:line="240" w:lineRule="auto"/>
              <w:rPr>
                <w:rFonts w:eastAsia="Times New Roman" w:cstheme="minorHAnsi"/>
                <w:b/>
                <w:bCs/>
                <w:sz w:val="18"/>
                <w:szCs w:val="18"/>
                <w:lang w:eastAsia="en-AU"/>
              </w:rPr>
            </w:pPr>
          </w:p>
          <w:p w14:paraId="3DFD6F3E" w14:textId="4AB45916" w:rsidR="00B378F1" w:rsidRDefault="00B378F1" w:rsidP="00C4046E">
            <w:pPr>
              <w:spacing w:before="0" w:after="0" w:line="240" w:lineRule="auto"/>
              <w:rPr>
                <w:rFonts w:eastAsia="Times New Roman" w:cstheme="minorHAnsi"/>
                <w:b/>
                <w:bCs/>
                <w:sz w:val="18"/>
                <w:szCs w:val="18"/>
                <w:lang w:eastAsia="en-AU"/>
              </w:rPr>
            </w:pPr>
            <w:r>
              <w:rPr>
                <w:rFonts w:eastAsia="Times New Roman" w:cstheme="minorHAnsi"/>
                <w:sz w:val="18"/>
                <w:szCs w:val="18"/>
                <w:lang w:eastAsia="en-AU"/>
              </w:rPr>
              <w:t>Formally recognise c</w:t>
            </w:r>
            <w:r w:rsidRPr="00D975FD">
              <w:rPr>
                <w:rFonts w:eastAsia="Times New Roman" w:cstheme="minorHAnsi"/>
                <w:sz w:val="18"/>
                <w:szCs w:val="18"/>
                <w:lang w:eastAsia="en-AU"/>
              </w:rPr>
              <w:t>onsumers</w:t>
            </w:r>
            <w:r>
              <w:rPr>
                <w:rFonts w:eastAsia="Times New Roman" w:cstheme="minorHAnsi"/>
                <w:sz w:val="18"/>
                <w:szCs w:val="18"/>
                <w:lang w:eastAsia="en-AU"/>
              </w:rPr>
              <w:t xml:space="preserve"> as active contributors to the </w:t>
            </w:r>
            <w:r w:rsidRPr="00D975FD">
              <w:rPr>
                <w:rFonts w:eastAsia="Times New Roman" w:cstheme="minorHAnsi"/>
                <w:sz w:val="18"/>
                <w:szCs w:val="18"/>
                <w:lang w:eastAsia="en-AU"/>
              </w:rPr>
              <w:t>evolving horizon scanning system</w:t>
            </w:r>
            <w:r>
              <w:rPr>
                <w:rFonts w:eastAsia="Times New Roman" w:cstheme="minorHAnsi"/>
                <w:sz w:val="18"/>
                <w:szCs w:val="18"/>
                <w:lang w:eastAsia="en-AU"/>
              </w:rPr>
              <w:t xml:space="preserve"> and embed</w:t>
            </w:r>
            <w:r w:rsidR="00CC2F33">
              <w:rPr>
                <w:rFonts w:eastAsia="Times New Roman" w:cstheme="minorHAnsi"/>
                <w:sz w:val="18"/>
                <w:szCs w:val="18"/>
                <w:lang w:eastAsia="en-AU"/>
              </w:rPr>
              <w:t xml:space="preserve"> </w:t>
            </w:r>
            <w:r>
              <w:rPr>
                <w:rFonts w:eastAsia="Times New Roman" w:cstheme="minorHAnsi"/>
                <w:sz w:val="18"/>
                <w:szCs w:val="18"/>
                <w:lang w:eastAsia="en-AU"/>
              </w:rPr>
              <w:t>inclusion of consumer feedback sessions in</w:t>
            </w:r>
            <w:r w:rsidR="00C4046E">
              <w:rPr>
                <w:rFonts w:eastAsia="Times New Roman" w:cstheme="minorHAnsi"/>
                <w:sz w:val="18"/>
                <w:szCs w:val="18"/>
                <w:lang w:eastAsia="en-AU"/>
              </w:rPr>
              <w:t xml:space="preserve"> </w:t>
            </w:r>
            <w:r w:rsidRPr="00D975FD">
              <w:rPr>
                <w:rFonts w:eastAsia="Times New Roman" w:cstheme="minorHAnsi"/>
                <w:sz w:val="18"/>
                <w:szCs w:val="18"/>
                <w:lang w:eastAsia="en-AU"/>
              </w:rPr>
              <w:t>annual horizon scanning forums.</w:t>
            </w:r>
          </w:p>
        </w:tc>
        <w:tc>
          <w:tcPr>
            <w:tcW w:w="3683" w:type="dxa"/>
          </w:tcPr>
          <w:p w14:paraId="3EA172B8" w14:textId="42712168" w:rsidR="00B378F1" w:rsidRPr="00516624" w:rsidRDefault="00C4046E" w:rsidP="000E6F0E">
            <w:pPr>
              <w:pStyle w:val="TableBullet"/>
              <w:spacing w:before="0" w:after="0" w:line="240" w:lineRule="auto"/>
              <w:ind w:left="357" w:hanging="357"/>
              <w:rPr>
                <w:sz w:val="18"/>
                <w:szCs w:val="18"/>
              </w:rPr>
            </w:pPr>
            <w:r>
              <w:rPr>
                <w:sz w:val="18"/>
                <w:szCs w:val="18"/>
              </w:rPr>
              <w:t>Include c</w:t>
            </w:r>
            <w:r w:rsidR="00B378F1">
              <w:rPr>
                <w:sz w:val="18"/>
                <w:szCs w:val="18"/>
              </w:rPr>
              <w:t>onsumers</w:t>
            </w:r>
            <w:r>
              <w:rPr>
                <w:sz w:val="18"/>
                <w:szCs w:val="18"/>
              </w:rPr>
              <w:t xml:space="preserve">’ expertise in </w:t>
            </w:r>
            <w:r w:rsidR="00B378F1">
              <w:rPr>
                <w:sz w:val="18"/>
                <w:szCs w:val="18"/>
              </w:rPr>
              <w:t xml:space="preserve">horizon scanning </w:t>
            </w:r>
            <w:r w:rsidR="00A76F95">
              <w:rPr>
                <w:sz w:val="18"/>
                <w:szCs w:val="18"/>
              </w:rPr>
              <w:t xml:space="preserve">to </w:t>
            </w:r>
            <w:r>
              <w:rPr>
                <w:sz w:val="18"/>
                <w:szCs w:val="18"/>
              </w:rPr>
              <w:t>identify potential</w:t>
            </w:r>
            <w:r w:rsidR="00B378F1">
              <w:rPr>
                <w:sz w:val="18"/>
                <w:szCs w:val="18"/>
              </w:rPr>
              <w:t xml:space="preserve"> health technologies</w:t>
            </w:r>
            <w:r>
              <w:rPr>
                <w:sz w:val="18"/>
                <w:szCs w:val="18"/>
              </w:rPr>
              <w:t xml:space="preserve"> relevant to specific </w:t>
            </w:r>
            <w:r w:rsidR="00B378F1">
              <w:rPr>
                <w:sz w:val="18"/>
                <w:szCs w:val="18"/>
              </w:rPr>
              <w:t>disease areas and u</w:t>
            </w:r>
            <w:r w:rsidR="00B378F1" w:rsidRPr="00516624">
              <w:rPr>
                <w:sz w:val="18"/>
                <w:szCs w:val="18"/>
              </w:rPr>
              <w:t xml:space="preserve">nmet clinical needs. </w:t>
            </w:r>
          </w:p>
          <w:p w14:paraId="52BAC479" w14:textId="77777777" w:rsidR="00B378F1" w:rsidRPr="00516624" w:rsidRDefault="00B378F1" w:rsidP="000E6F0E">
            <w:pPr>
              <w:pStyle w:val="TableBullet"/>
              <w:spacing w:before="0" w:after="0" w:line="240" w:lineRule="auto"/>
              <w:ind w:left="357" w:hanging="357"/>
              <w:rPr>
                <w:sz w:val="18"/>
                <w:szCs w:val="18"/>
              </w:rPr>
            </w:pPr>
            <w:r w:rsidRPr="00516624">
              <w:rPr>
                <w:sz w:val="18"/>
                <w:szCs w:val="18"/>
              </w:rPr>
              <w:t xml:space="preserve">Enable informed consumers and other stakeholders to prepare for the impact and implementation needs of emerging </w:t>
            </w:r>
            <w:r>
              <w:rPr>
                <w:sz w:val="18"/>
                <w:szCs w:val="18"/>
              </w:rPr>
              <w:t>health technologies</w:t>
            </w:r>
            <w:r w:rsidRPr="00516624">
              <w:rPr>
                <w:sz w:val="18"/>
                <w:szCs w:val="18"/>
              </w:rPr>
              <w:t>.</w:t>
            </w:r>
          </w:p>
        </w:tc>
      </w:tr>
      <w:tr w:rsidR="00B378F1" w:rsidRPr="00881585" w14:paraId="0037F920"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25C0CBD9" w14:textId="06DD69A1" w:rsidR="00B378F1" w:rsidRPr="00516624" w:rsidRDefault="00B378F1" w:rsidP="000E6F0E">
            <w:pPr>
              <w:spacing w:before="0" w:after="0" w:line="240" w:lineRule="auto"/>
              <w:rPr>
                <w:rFonts w:cstheme="minorHAnsi"/>
                <w:sz w:val="18"/>
                <w:szCs w:val="18"/>
              </w:rPr>
            </w:pPr>
            <w:r>
              <w:rPr>
                <w:rFonts w:eastAsia="Times New Roman" w:cstheme="minorHAnsi"/>
                <w:sz w:val="18"/>
                <w:szCs w:val="18"/>
                <w:lang w:eastAsia="en-AU"/>
              </w:rPr>
              <w:t xml:space="preserve">Consumer engagement </w:t>
            </w:r>
            <w:r w:rsidR="00540194">
              <w:rPr>
                <w:rFonts w:eastAsia="Times New Roman" w:cstheme="minorHAnsi"/>
                <w:sz w:val="18"/>
                <w:szCs w:val="18"/>
                <w:lang w:eastAsia="en-AU"/>
              </w:rPr>
              <w:t>is</w:t>
            </w:r>
            <w:r w:rsidR="00BA0FB0">
              <w:rPr>
                <w:rFonts w:eastAsia="Times New Roman" w:cstheme="minorHAnsi"/>
                <w:sz w:val="18"/>
                <w:szCs w:val="18"/>
                <w:lang w:eastAsia="en-AU"/>
              </w:rPr>
              <w:t xml:space="preserve"> currently </w:t>
            </w:r>
            <w:r w:rsidR="00540194">
              <w:rPr>
                <w:rFonts w:eastAsia="Times New Roman" w:cstheme="minorHAnsi"/>
                <w:sz w:val="18"/>
                <w:szCs w:val="18"/>
                <w:lang w:eastAsia="en-AU"/>
              </w:rPr>
              <w:t>overly reliant on consumers themselves pro-actively participating</w:t>
            </w:r>
            <w:r w:rsidR="00A0278B">
              <w:rPr>
                <w:rFonts w:eastAsia="Times New Roman" w:cstheme="minorHAnsi"/>
                <w:sz w:val="18"/>
                <w:szCs w:val="18"/>
                <w:lang w:eastAsia="en-AU"/>
              </w:rPr>
              <w:t xml:space="preserve"> in HTA processes. </w:t>
            </w:r>
          </w:p>
        </w:tc>
        <w:tc>
          <w:tcPr>
            <w:tcW w:w="425" w:type="dxa"/>
          </w:tcPr>
          <w:p w14:paraId="705903BE" w14:textId="77777777" w:rsidR="00B378F1" w:rsidRPr="00516624" w:rsidRDefault="00B378F1" w:rsidP="000E6F0E">
            <w:pPr>
              <w:spacing w:before="0" w:after="0" w:line="240" w:lineRule="auto"/>
              <w:rPr>
                <w:rFonts w:cstheme="minorHAnsi"/>
                <w:sz w:val="18"/>
                <w:szCs w:val="18"/>
              </w:rPr>
            </w:pPr>
          </w:p>
        </w:tc>
        <w:tc>
          <w:tcPr>
            <w:tcW w:w="3402" w:type="dxa"/>
          </w:tcPr>
          <w:p w14:paraId="21F18DE8" w14:textId="39BA153D"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6</w:t>
            </w:r>
            <w:r w:rsidRPr="00D975FD">
              <w:rPr>
                <w:rFonts w:eastAsia="Times New Roman" w:cstheme="minorHAnsi"/>
                <w:b/>
                <w:bCs/>
                <w:sz w:val="18"/>
                <w:szCs w:val="18"/>
                <w:lang w:eastAsia="en-AU"/>
              </w:rPr>
              <w:t>.Consumer</w:t>
            </w:r>
            <w:r>
              <w:rPr>
                <w:rFonts w:eastAsia="Times New Roman" w:cstheme="minorHAnsi"/>
                <w:b/>
                <w:bCs/>
                <w:sz w:val="18"/>
                <w:szCs w:val="18"/>
                <w:lang w:eastAsia="en-AU"/>
              </w:rPr>
              <w:t xml:space="preserve"> </w:t>
            </w:r>
            <w:r w:rsidR="00D97D1B">
              <w:rPr>
                <w:rFonts w:eastAsia="Times New Roman" w:cstheme="minorHAnsi"/>
                <w:b/>
                <w:bCs/>
                <w:sz w:val="18"/>
                <w:szCs w:val="18"/>
                <w:lang w:eastAsia="en-AU"/>
              </w:rPr>
              <w:t>i</w:t>
            </w:r>
            <w:r>
              <w:rPr>
                <w:rFonts w:eastAsia="Times New Roman" w:cstheme="minorHAnsi"/>
                <w:b/>
                <w:bCs/>
                <w:sz w:val="18"/>
                <w:szCs w:val="18"/>
                <w:lang w:eastAsia="en-AU"/>
              </w:rPr>
              <w:t xml:space="preserve">dentification and </w:t>
            </w:r>
            <w:r w:rsidR="00D97D1B">
              <w:rPr>
                <w:rFonts w:eastAsia="Times New Roman" w:cstheme="minorHAnsi"/>
                <w:b/>
                <w:bCs/>
                <w:sz w:val="18"/>
                <w:szCs w:val="18"/>
                <w:lang w:eastAsia="en-AU"/>
              </w:rPr>
              <w:t>d</w:t>
            </w:r>
            <w:r>
              <w:rPr>
                <w:rFonts w:eastAsia="Times New Roman" w:cstheme="minorHAnsi"/>
                <w:b/>
                <w:bCs/>
                <w:sz w:val="18"/>
                <w:szCs w:val="18"/>
                <w:lang w:eastAsia="en-AU"/>
              </w:rPr>
              <w:t>evelopment</w:t>
            </w:r>
          </w:p>
          <w:p w14:paraId="4ADDB6C0" w14:textId="77777777" w:rsidR="00B378F1" w:rsidRDefault="00B378F1" w:rsidP="000E6F0E">
            <w:pPr>
              <w:spacing w:before="0" w:after="0" w:line="240" w:lineRule="auto"/>
              <w:rPr>
                <w:rFonts w:eastAsia="Times New Roman" w:cstheme="minorHAnsi"/>
                <w:sz w:val="18"/>
                <w:szCs w:val="18"/>
                <w:lang w:eastAsia="en-AU"/>
              </w:rPr>
            </w:pPr>
          </w:p>
          <w:p w14:paraId="36B8C9CE" w14:textId="329A8C35" w:rsidR="00B378F1" w:rsidRPr="00D975FD"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Establish a process </w:t>
            </w:r>
            <w:r w:rsidR="00BA0FB0">
              <w:rPr>
                <w:rFonts w:eastAsia="Times New Roman" w:cstheme="minorHAnsi"/>
                <w:sz w:val="18"/>
                <w:szCs w:val="18"/>
                <w:lang w:eastAsia="en-AU"/>
              </w:rPr>
              <w:t xml:space="preserve">whereby the Department proactively </w:t>
            </w:r>
            <w:r>
              <w:rPr>
                <w:rFonts w:eastAsia="Times New Roman" w:cstheme="minorHAnsi"/>
                <w:sz w:val="18"/>
                <w:szCs w:val="18"/>
                <w:lang w:eastAsia="en-AU"/>
              </w:rPr>
              <w:t>identif</w:t>
            </w:r>
            <w:r w:rsidR="00BA0FB0">
              <w:rPr>
                <w:rFonts w:eastAsia="Times New Roman" w:cstheme="minorHAnsi"/>
                <w:sz w:val="18"/>
                <w:szCs w:val="18"/>
                <w:lang w:eastAsia="en-AU"/>
              </w:rPr>
              <w:t xml:space="preserve">ies </w:t>
            </w:r>
            <w:r w:rsidR="002A7DE4">
              <w:rPr>
                <w:rFonts w:eastAsia="Times New Roman" w:cstheme="minorHAnsi"/>
                <w:sz w:val="18"/>
                <w:szCs w:val="18"/>
                <w:lang w:eastAsia="en-AU"/>
              </w:rPr>
              <w:t xml:space="preserve">consumers and </w:t>
            </w:r>
            <w:r w:rsidR="00CB0AEC">
              <w:rPr>
                <w:rFonts w:eastAsia="Times New Roman" w:cstheme="minorHAnsi"/>
                <w:sz w:val="18"/>
                <w:szCs w:val="18"/>
                <w:lang w:eastAsia="en-AU"/>
              </w:rPr>
              <w:t>develop</w:t>
            </w:r>
            <w:r w:rsidR="002A7DE4">
              <w:rPr>
                <w:rFonts w:eastAsia="Times New Roman" w:cstheme="minorHAnsi"/>
                <w:sz w:val="18"/>
                <w:szCs w:val="18"/>
                <w:lang w:eastAsia="en-AU"/>
              </w:rPr>
              <w:t>s</w:t>
            </w:r>
            <w:r w:rsidR="00CB0AEC">
              <w:rPr>
                <w:rFonts w:eastAsia="Times New Roman" w:cstheme="minorHAnsi"/>
                <w:sz w:val="18"/>
                <w:szCs w:val="18"/>
                <w:lang w:eastAsia="en-AU"/>
              </w:rPr>
              <w:t xml:space="preserve"> their capabilities</w:t>
            </w:r>
            <w:r w:rsidR="005C5C03">
              <w:rPr>
                <w:rFonts w:eastAsia="Times New Roman" w:cstheme="minorHAnsi"/>
                <w:sz w:val="18"/>
                <w:szCs w:val="18"/>
                <w:lang w:eastAsia="en-AU"/>
              </w:rPr>
              <w:t xml:space="preserve"> as exper</w:t>
            </w:r>
            <w:r w:rsidR="006454CA">
              <w:rPr>
                <w:rFonts w:eastAsia="Times New Roman" w:cstheme="minorHAnsi"/>
                <w:sz w:val="18"/>
                <w:szCs w:val="18"/>
                <w:lang w:eastAsia="en-AU"/>
              </w:rPr>
              <w:t>ts in their relevant disease areas.</w:t>
            </w:r>
          </w:p>
        </w:tc>
        <w:tc>
          <w:tcPr>
            <w:tcW w:w="3683" w:type="dxa"/>
          </w:tcPr>
          <w:p w14:paraId="7AAE92BD" w14:textId="77777777" w:rsidR="000A021D" w:rsidRDefault="00B378F1" w:rsidP="000A021D">
            <w:pPr>
              <w:pStyle w:val="TableBullet"/>
              <w:spacing w:before="0" w:after="0" w:line="240" w:lineRule="auto"/>
              <w:ind w:left="357" w:hanging="357"/>
              <w:rPr>
                <w:sz w:val="18"/>
                <w:szCs w:val="18"/>
              </w:rPr>
            </w:pPr>
            <w:r w:rsidRPr="00BC7737">
              <w:rPr>
                <w:sz w:val="18"/>
                <w:szCs w:val="18"/>
              </w:rPr>
              <w:t xml:space="preserve">Provide visibility to government about consumer interest in specific health technologies relevant to disease areas. </w:t>
            </w:r>
          </w:p>
          <w:p w14:paraId="2CF2F89A" w14:textId="455C0CC4" w:rsidR="00B378F1" w:rsidRPr="000A021D" w:rsidRDefault="00B378F1" w:rsidP="000A021D">
            <w:pPr>
              <w:pStyle w:val="TableBullet"/>
              <w:spacing w:before="0" w:after="0" w:line="240" w:lineRule="auto"/>
              <w:ind w:left="357" w:hanging="357"/>
              <w:rPr>
                <w:sz w:val="18"/>
                <w:szCs w:val="18"/>
              </w:rPr>
            </w:pPr>
            <w:r w:rsidRPr="000A021D">
              <w:rPr>
                <w:sz w:val="18"/>
                <w:szCs w:val="18"/>
              </w:rPr>
              <w:t xml:space="preserve">Enhance consumers capacity </w:t>
            </w:r>
            <w:r w:rsidRPr="000A021D">
              <w:rPr>
                <w:rFonts w:cstheme="minorHAnsi"/>
                <w:sz w:val="18"/>
                <w:szCs w:val="18"/>
              </w:rPr>
              <w:t>to provide expert advice in relation to consumer evidence and experience</w:t>
            </w:r>
            <w:r w:rsidRPr="000A021D">
              <w:rPr>
                <w:sz w:val="18"/>
                <w:szCs w:val="18"/>
              </w:rPr>
              <w:t xml:space="preserve"> into HTA </w:t>
            </w:r>
            <w:r w:rsidR="00A0278B">
              <w:rPr>
                <w:sz w:val="18"/>
                <w:szCs w:val="18"/>
              </w:rPr>
              <w:t>processes</w:t>
            </w:r>
            <w:r w:rsidRPr="000A021D">
              <w:rPr>
                <w:sz w:val="18"/>
                <w:szCs w:val="18"/>
              </w:rPr>
              <w:t>.</w:t>
            </w:r>
          </w:p>
        </w:tc>
      </w:tr>
      <w:tr w:rsidR="00B378F1" w:rsidRPr="00881585" w14:paraId="55ADE3ED"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7E5CF78B" w14:textId="11970530" w:rsidR="00B378F1" w:rsidRPr="00516624"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There are no formal </w:t>
            </w:r>
            <w:r w:rsidR="00964EE8">
              <w:rPr>
                <w:rFonts w:eastAsia="Times New Roman" w:cstheme="minorHAnsi"/>
                <w:sz w:val="18"/>
                <w:szCs w:val="18"/>
                <w:lang w:eastAsia="en-AU"/>
              </w:rPr>
              <w:t xml:space="preserve">embedded </w:t>
            </w:r>
            <w:r>
              <w:rPr>
                <w:rFonts w:eastAsia="Times New Roman" w:cstheme="minorHAnsi"/>
                <w:sz w:val="18"/>
                <w:szCs w:val="18"/>
                <w:lang w:eastAsia="en-AU"/>
              </w:rPr>
              <w:t xml:space="preserve">pathways for industry sponsors and consumers to collaborate when applications and submissions are prepared for </w:t>
            </w:r>
            <w:r w:rsidR="00A0278B">
              <w:rPr>
                <w:rFonts w:eastAsia="Times New Roman" w:cstheme="minorHAnsi"/>
                <w:sz w:val="18"/>
                <w:szCs w:val="18"/>
                <w:lang w:eastAsia="en-AU"/>
              </w:rPr>
              <w:t xml:space="preserve">the </w:t>
            </w:r>
            <w:r>
              <w:rPr>
                <w:rFonts w:eastAsia="Times New Roman" w:cstheme="minorHAnsi"/>
                <w:sz w:val="18"/>
                <w:szCs w:val="18"/>
                <w:lang w:eastAsia="en-AU"/>
              </w:rPr>
              <w:t xml:space="preserve">TGA </w:t>
            </w:r>
            <w:r w:rsidR="0004495E">
              <w:rPr>
                <w:rFonts w:eastAsia="Times New Roman" w:cstheme="minorHAnsi"/>
                <w:sz w:val="18"/>
                <w:szCs w:val="18"/>
                <w:lang w:eastAsia="en-AU"/>
              </w:rPr>
              <w:t>and HTA committees.</w:t>
            </w:r>
            <w:r>
              <w:rPr>
                <w:rFonts w:eastAsia="Times New Roman" w:cstheme="minorHAnsi"/>
                <w:sz w:val="18"/>
                <w:szCs w:val="18"/>
                <w:lang w:eastAsia="en-AU"/>
              </w:rPr>
              <w:t xml:space="preserve"> </w:t>
            </w:r>
          </w:p>
        </w:tc>
        <w:tc>
          <w:tcPr>
            <w:tcW w:w="425" w:type="dxa"/>
          </w:tcPr>
          <w:p w14:paraId="4F91952B" w14:textId="386AF233" w:rsidR="00B378F1" w:rsidRPr="00516624" w:rsidRDefault="00B378F1" w:rsidP="000E6F0E">
            <w:pPr>
              <w:spacing w:before="0" w:after="0" w:line="240" w:lineRule="auto"/>
              <w:rPr>
                <w:rFonts w:cstheme="minorHAnsi"/>
                <w:sz w:val="18"/>
                <w:szCs w:val="18"/>
              </w:rPr>
            </w:pPr>
          </w:p>
        </w:tc>
        <w:tc>
          <w:tcPr>
            <w:tcW w:w="3402" w:type="dxa"/>
          </w:tcPr>
          <w:p w14:paraId="1F147CA6" w14:textId="14A677CD" w:rsidR="00B378F1"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7</w:t>
            </w:r>
            <w:r w:rsidRPr="00D975FD">
              <w:rPr>
                <w:rFonts w:eastAsia="Times New Roman" w:cstheme="minorHAnsi"/>
                <w:b/>
                <w:bCs/>
                <w:sz w:val="18"/>
                <w:szCs w:val="18"/>
                <w:lang w:eastAsia="en-AU"/>
              </w:rPr>
              <w:t xml:space="preserve">.Facilitated </w:t>
            </w:r>
            <w:r w:rsidR="00D97D1B">
              <w:rPr>
                <w:rFonts w:eastAsia="Times New Roman" w:cstheme="minorHAnsi"/>
                <w:b/>
                <w:bCs/>
                <w:sz w:val="18"/>
                <w:szCs w:val="18"/>
                <w:lang w:eastAsia="en-AU"/>
              </w:rPr>
              <w:t>c</w:t>
            </w:r>
            <w:r w:rsidRPr="00D975FD">
              <w:rPr>
                <w:rFonts w:eastAsia="Times New Roman" w:cstheme="minorHAnsi"/>
                <w:b/>
                <w:bCs/>
                <w:sz w:val="18"/>
                <w:szCs w:val="18"/>
                <w:lang w:eastAsia="en-AU"/>
              </w:rPr>
              <w:t>ollaboration</w:t>
            </w:r>
            <w:r>
              <w:rPr>
                <w:rFonts w:eastAsia="Times New Roman" w:cstheme="minorHAnsi"/>
                <w:b/>
                <w:bCs/>
                <w:sz w:val="18"/>
                <w:szCs w:val="18"/>
                <w:lang w:eastAsia="en-AU"/>
              </w:rPr>
              <w:t xml:space="preserve"> with </w:t>
            </w:r>
            <w:r w:rsidR="00D97D1B">
              <w:rPr>
                <w:rFonts w:eastAsia="Times New Roman" w:cstheme="minorHAnsi"/>
                <w:b/>
                <w:bCs/>
                <w:sz w:val="18"/>
                <w:szCs w:val="18"/>
                <w:lang w:eastAsia="en-AU"/>
              </w:rPr>
              <w:t>i</w:t>
            </w:r>
            <w:r>
              <w:rPr>
                <w:rFonts w:eastAsia="Times New Roman" w:cstheme="minorHAnsi"/>
                <w:b/>
                <w:bCs/>
                <w:sz w:val="18"/>
                <w:szCs w:val="18"/>
                <w:lang w:eastAsia="en-AU"/>
              </w:rPr>
              <w:t>ndustry</w:t>
            </w:r>
          </w:p>
          <w:p w14:paraId="6FFEA09A" w14:textId="77777777" w:rsidR="00B378F1" w:rsidRDefault="00B378F1" w:rsidP="000E6F0E">
            <w:pPr>
              <w:spacing w:before="0" w:after="0" w:line="240" w:lineRule="auto"/>
              <w:rPr>
                <w:rFonts w:eastAsia="Times New Roman" w:cstheme="minorHAnsi"/>
                <w:b/>
                <w:bCs/>
                <w:sz w:val="18"/>
                <w:szCs w:val="18"/>
                <w:lang w:eastAsia="en-AU"/>
              </w:rPr>
            </w:pPr>
          </w:p>
          <w:p w14:paraId="16642BE9" w14:textId="501213E9" w:rsidR="00B378F1" w:rsidRPr="00167DB7"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Develop</w:t>
            </w:r>
            <w:r w:rsidR="00876DAD">
              <w:rPr>
                <w:rFonts w:eastAsia="Times New Roman" w:cstheme="minorHAnsi"/>
                <w:sz w:val="18"/>
                <w:szCs w:val="18"/>
                <w:lang w:eastAsia="en-AU"/>
              </w:rPr>
              <w:t xml:space="preserve"> Departmental</w:t>
            </w:r>
            <w:r>
              <w:rPr>
                <w:rFonts w:eastAsia="Times New Roman" w:cstheme="minorHAnsi"/>
                <w:sz w:val="18"/>
                <w:szCs w:val="18"/>
                <w:lang w:eastAsia="en-AU"/>
              </w:rPr>
              <w:t xml:space="preserve"> p</w:t>
            </w:r>
            <w:r w:rsidRPr="00167DB7">
              <w:rPr>
                <w:rFonts w:eastAsia="Times New Roman" w:cstheme="minorHAnsi"/>
                <w:sz w:val="18"/>
                <w:szCs w:val="18"/>
                <w:lang w:eastAsia="en-AU"/>
              </w:rPr>
              <w:t xml:space="preserve">rocesses to </w:t>
            </w:r>
            <w:r w:rsidR="00876DAD">
              <w:rPr>
                <w:rFonts w:eastAsia="Times New Roman" w:cstheme="minorHAnsi"/>
                <w:sz w:val="18"/>
                <w:szCs w:val="18"/>
                <w:lang w:eastAsia="en-AU"/>
              </w:rPr>
              <w:t xml:space="preserve">facilitate </w:t>
            </w:r>
            <w:r w:rsidRPr="00167DB7">
              <w:rPr>
                <w:rFonts w:eastAsia="Times New Roman" w:cstheme="minorHAnsi"/>
                <w:sz w:val="18"/>
                <w:szCs w:val="18"/>
                <w:lang w:eastAsia="en-AU"/>
              </w:rPr>
              <w:t xml:space="preserve">collaborations </w:t>
            </w:r>
            <w:r w:rsidR="00876DAD">
              <w:rPr>
                <w:rFonts w:eastAsia="Times New Roman" w:cstheme="minorHAnsi"/>
                <w:sz w:val="18"/>
                <w:szCs w:val="18"/>
                <w:lang w:eastAsia="en-AU"/>
              </w:rPr>
              <w:t>between</w:t>
            </w:r>
            <w:r>
              <w:rPr>
                <w:rFonts w:eastAsia="Times New Roman" w:cstheme="minorHAnsi"/>
                <w:sz w:val="18"/>
                <w:szCs w:val="18"/>
                <w:lang w:eastAsia="en-AU"/>
              </w:rPr>
              <w:t xml:space="preserve"> industry and consumers to prepare applications</w:t>
            </w:r>
            <w:r w:rsidR="00765240">
              <w:rPr>
                <w:rFonts w:eastAsia="Times New Roman" w:cstheme="minorHAnsi"/>
                <w:sz w:val="18"/>
                <w:szCs w:val="18"/>
                <w:lang w:eastAsia="en-AU"/>
              </w:rPr>
              <w:t xml:space="preserve"> and submissions</w:t>
            </w:r>
            <w:r w:rsidR="001941BF">
              <w:rPr>
                <w:rFonts w:eastAsia="Times New Roman" w:cstheme="minorHAnsi"/>
                <w:sz w:val="18"/>
                <w:szCs w:val="18"/>
                <w:lang w:eastAsia="en-AU"/>
              </w:rPr>
              <w:t>.</w:t>
            </w:r>
            <w:r>
              <w:rPr>
                <w:rFonts w:eastAsia="Times New Roman" w:cstheme="minorHAnsi"/>
                <w:sz w:val="18"/>
                <w:szCs w:val="18"/>
                <w:lang w:eastAsia="en-AU"/>
              </w:rPr>
              <w:t xml:space="preserve"> </w:t>
            </w:r>
          </w:p>
        </w:tc>
        <w:tc>
          <w:tcPr>
            <w:tcW w:w="3683" w:type="dxa"/>
          </w:tcPr>
          <w:p w14:paraId="1BF535C8" w14:textId="01247319" w:rsidR="00B378F1" w:rsidRPr="00BC7737" w:rsidRDefault="00B378F1" w:rsidP="000E6F0E">
            <w:pPr>
              <w:pStyle w:val="TableBullet"/>
              <w:rPr>
                <w:sz w:val="18"/>
                <w:szCs w:val="18"/>
              </w:rPr>
            </w:pPr>
            <w:r w:rsidRPr="00BC7737">
              <w:rPr>
                <w:sz w:val="18"/>
                <w:szCs w:val="18"/>
              </w:rPr>
              <w:t xml:space="preserve">Enhance the quality of </w:t>
            </w:r>
            <w:r w:rsidR="00857ECD">
              <w:rPr>
                <w:sz w:val="18"/>
                <w:szCs w:val="18"/>
              </w:rPr>
              <w:t>applications</w:t>
            </w:r>
            <w:r w:rsidR="00876DAD">
              <w:rPr>
                <w:sz w:val="18"/>
                <w:szCs w:val="18"/>
              </w:rPr>
              <w:t xml:space="preserve">/submissions </w:t>
            </w:r>
            <w:r w:rsidR="001941BF">
              <w:rPr>
                <w:sz w:val="18"/>
                <w:szCs w:val="18"/>
              </w:rPr>
              <w:t>with consumer evidence and experience.</w:t>
            </w:r>
          </w:p>
          <w:p w14:paraId="291CEC9C" w14:textId="261EB786" w:rsidR="00B378F1" w:rsidRPr="00BC7737" w:rsidRDefault="00B378F1" w:rsidP="000E6F0E">
            <w:pPr>
              <w:pStyle w:val="TableBullet"/>
              <w:rPr>
                <w:sz w:val="18"/>
                <w:szCs w:val="18"/>
              </w:rPr>
            </w:pPr>
            <w:r w:rsidRPr="00A73043">
              <w:rPr>
                <w:sz w:val="18"/>
                <w:szCs w:val="18"/>
              </w:rPr>
              <w:t xml:space="preserve">Support the medicines industry to </w:t>
            </w:r>
            <w:r w:rsidR="00512A91">
              <w:rPr>
                <w:sz w:val="18"/>
                <w:szCs w:val="18"/>
              </w:rPr>
              <w:t>work</w:t>
            </w:r>
            <w:r w:rsidRPr="00A73043">
              <w:rPr>
                <w:sz w:val="18"/>
                <w:szCs w:val="18"/>
              </w:rPr>
              <w:t xml:space="preserve"> with consumers </w:t>
            </w:r>
            <w:r w:rsidR="00D9273D">
              <w:rPr>
                <w:sz w:val="18"/>
                <w:szCs w:val="18"/>
              </w:rPr>
              <w:t xml:space="preserve">to prepare </w:t>
            </w:r>
            <w:r w:rsidRPr="00A73043">
              <w:rPr>
                <w:sz w:val="18"/>
                <w:szCs w:val="18"/>
              </w:rPr>
              <w:t>industry sponsored applications</w:t>
            </w:r>
            <w:r w:rsidR="0004495E">
              <w:rPr>
                <w:sz w:val="18"/>
                <w:szCs w:val="18"/>
              </w:rPr>
              <w:t>/submissions</w:t>
            </w:r>
            <w:r w:rsidR="00D9273D">
              <w:rPr>
                <w:sz w:val="18"/>
                <w:szCs w:val="18"/>
              </w:rPr>
              <w:t xml:space="preserve"> while also respecting ethical and legal limitations</w:t>
            </w:r>
            <w:r>
              <w:rPr>
                <w:sz w:val="18"/>
                <w:szCs w:val="18"/>
              </w:rPr>
              <w:t>.</w:t>
            </w:r>
          </w:p>
        </w:tc>
      </w:tr>
      <w:tr w:rsidR="00B378F1" w:rsidRPr="00881585" w14:paraId="3CF90525"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0B0DF157" w14:textId="3054A8EF" w:rsidR="00B378F1" w:rsidRDefault="00B378F1" w:rsidP="000E6F0E">
            <w:pPr>
              <w:spacing w:before="0" w:after="0" w:line="240" w:lineRule="auto"/>
              <w:rPr>
                <w:rFonts w:eastAsia="Times New Roman" w:cstheme="minorHAnsi"/>
                <w:sz w:val="18"/>
                <w:szCs w:val="18"/>
                <w:lang w:eastAsia="en-AU"/>
              </w:rPr>
            </w:pPr>
            <w:r w:rsidRPr="00516624">
              <w:rPr>
                <w:rFonts w:eastAsia="Times New Roman" w:cstheme="minorHAnsi"/>
                <w:sz w:val="18"/>
                <w:szCs w:val="18"/>
                <w:lang w:eastAsia="en-AU"/>
              </w:rPr>
              <w:t xml:space="preserve">The </w:t>
            </w:r>
            <w:r>
              <w:rPr>
                <w:rFonts w:eastAsia="Times New Roman" w:cstheme="minorHAnsi"/>
                <w:sz w:val="18"/>
                <w:szCs w:val="18"/>
                <w:lang w:eastAsia="en-AU"/>
              </w:rPr>
              <w:t>CEEU</w:t>
            </w:r>
            <w:r w:rsidRPr="00516624">
              <w:rPr>
                <w:rFonts w:eastAsia="Times New Roman" w:cstheme="minorHAnsi"/>
                <w:sz w:val="18"/>
                <w:szCs w:val="18"/>
                <w:lang w:eastAsia="en-AU"/>
              </w:rPr>
              <w:t xml:space="preserve"> </w:t>
            </w:r>
            <w:r w:rsidR="00A40C93">
              <w:rPr>
                <w:rFonts w:eastAsia="Times New Roman" w:cstheme="minorHAnsi"/>
                <w:sz w:val="18"/>
                <w:szCs w:val="18"/>
                <w:lang w:eastAsia="en-AU"/>
              </w:rPr>
              <w:t>supports</w:t>
            </w:r>
            <w:r w:rsidRPr="00516624">
              <w:rPr>
                <w:rFonts w:eastAsia="Times New Roman" w:cstheme="minorHAnsi"/>
                <w:sz w:val="18"/>
                <w:szCs w:val="18"/>
                <w:lang w:eastAsia="en-AU"/>
              </w:rPr>
              <w:t xml:space="preserve"> consumers to engage </w:t>
            </w:r>
            <w:r>
              <w:rPr>
                <w:rFonts w:eastAsia="Times New Roman" w:cstheme="minorHAnsi"/>
                <w:sz w:val="18"/>
                <w:szCs w:val="18"/>
                <w:lang w:eastAsia="en-AU"/>
              </w:rPr>
              <w:t>with</w:t>
            </w:r>
            <w:r w:rsidRPr="00516624">
              <w:rPr>
                <w:rFonts w:eastAsia="Times New Roman" w:cstheme="minorHAnsi"/>
                <w:sz w:val="18"/>
                <w:szCs w:val="18"/>
                <w:lang w:eastAsia="en-AU"/>
              </w:rPr>
              <w:t xml:space="preserve"> </w:t>
            </w:r>
            <w:r w:rsidR="00A40C93">
              <w:rPr>
                <w:rFonts w:eastAsia="Times New Roman" w:cstheme="minorHAnsi"/>
                <w:sz w:val="18"/>
                <w:szCs w:val="18"/>
                <w:lang w:eastAsia="en-AU"/>
              </w:rPr>
              <w:t xml:space="preserve">HTA processes, </w:t>
            </w:r>
            <w:r w:rsidR="00A30940">
              <w:rPr>
                <w:rFonts w:eastAsia="Times New Roman" w:cstheme="minorHAnsi"/>
                <w:sz w:val="18"/>
                <w:szCs w:val="18"/>
                <w:lang w:eastAsia="en-AU"/>
              </w:rPr>
              <w:t>however, this support requires ongoing commitment</w:t>
            </w:r>
            <w:r w:rsidR="00A40C93">
              <w:rPr>
                <w:rFonts w:eastAsia="Times New Roman" w:cstheme="minorHAnsi"/>
                <w:sz w:val="18"/>
                <w:szCs w:val="18"/>
                <w:lang w:eastAsia="en-AU"/>
              </w:rPr>
              <w:t>s</w:t>
            </w:r>
            <w:r w:rsidR="00A30940">
              <w:rPr>
                <w:rFonts w:eastAsia="Times New Roman" w:cstheme="minorHAnsi"/>
                <w:sz w:val="18"/>
                <w:szCs w:val="18"/>
                <w:lang w:eastAsia="en-AU"/>
              </w:rPr>
              <w:t xml:space="preserve"> to enable enhanced consumer engagement</w:t>
            </w:r>
            <w:r w:rsidR="006C5BFA">
              <w:rPr>
                <w:rFonts w:eastAsia="Times New Roman" w:cstheme="minorHAnsi"/>
                <w:sz w:val="18"/>
                <w:szCs w:val="18"/>
                <w:lang w:eastAsia="en-AU"/>
              </w:rPr>
              <w:t xml:space="preserve">. </w:t>
            </w:r>
          </w:p>
        </w:tc>
        <w:tc>
          <w:tcPr>
            <w:tcW w:w="425" w:type="dxa"/>
          </w:tcPr>
          <w:p w14:paraId="30F03BD9" w14:textId="77777777" w:rsidR="00B378F1" w:rsidRPr="00516624" w:rsidRDefault="00B378F1" w:rsidP="000E6F0E">
            <w:pPr>
              <w:spacing w:before="0" w:after="0" w:line="240" w:lineRule="auto"/>
              <w:rPr>
                <w:rFonts w:cstheme="minorHAnsi"/>
                <w:sz w:val="18"/>
                <w:szCs w:val="18"/>
              </w:rPr>
            </w:pPr>
          </w:p>
        </w:tc>
        <w:tc>
          <w:tcPr>
            <w:tcW w:w="3402" w:type="dxa"/>
          </w:tcPr>
          <w:p w14:paraId="0B34B1E0" w14:textId="77777777" w:rsidR="00B378F1"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8</w:t>
            </w:r>
            <w:r w:rsidRPr="00D975FD">
              <w:rPr>
                <w:rFonts w:eastAsia="Times New Roman" w:cstheme="minorHAnsi"/>
                <w:b/>
                <w:bCs/>
                <w:sz w:val="18"/>
                <w:szCs w:val="18"/>
                <w:lang w:eastAsia="en-AU"/>
              </w:rPr>
              <w:t>.</w:t>
            </w:r>
            <w:r>
              <w:rPr>
                <w:rFonts w:eastAsia="Times New Roman" w:cstheme="minorHAnsi"/>
                <w:b/>
                <w:bCs/>
                <w:sz w:val="18"/>
                <w:szCs w:val="18"/>
                <w:lang w:eastAsia="en-AU"/>
              </w:rPr>
              <w:t xml:space="preserve"> Centralised and expanded c</w:t>
            </w:r>
            <w:r w:rsidRPr="00D975FD">
              <w:rPr>
                <w:rFonts w:eastAsia="Times New Roman" w:cstheme="minorHAnsi"/>
                <w:b/>
                <w:bCs/>
                <w:sz w:val="18"/>
                <w:szCs w:val="18"/>
                <w:lang w:eastAsia="en-AU"/>
              </w:rPr>
              <w:t xml:space="preserve">onsumer </w:t>
            </w:r>
            <w:r>
              <w:rPr>
                <w:rFonts w:eastAsia="Times New Roman" w:cstheme="minorHAnsi"/>
                <w:b/>
                <w:bCs/>
                <w:sz w:val="18"/>
                <w:szCs w:val="18"/>
                <w:lang w:eastAsia="en-AU"/>
              </w:rPr>
              <w:t>support</w:t>
            </w:r>
          </w:p>
          <w:p w14:paraId="7F98A122" w14:textId="77777777" w:rsidR="00B378F1" w:rsidRPr="00D975FD" w:rsidRDefault="00B378F1" w:rsidP="000E6F0E">
            <w:pPr>
              <w:spacing w:before="0" w:after="0" w:line="240" w:lineRule="auto"/>
              <w:rPr>
                <w:rFonts w:eastAsia="Times New Roman" w:cstheme="minorHAnsi"/>
                <w:b/>
                <w:bCs/>
                <w:sz w:val="18"/>
                <w:szCs w:val="18"/>
                <w:lang w:eastAsia="en-AU"/>
              </w:rPr>
            </w:pPr>
          </w:p>
          <w:p w14:paraId="1D6A8F7D" w14:textId="2ED474C7" w:rsidR="00B378F1" w:rsidRPr="00D975FD" w:rsidRDefault="00B378F1" w:rsidP="000E6F0E">
            <w:pPr>
              <w:spacing w:before="0" w:after="0" w:line="240" w:lineRule="auto"/>
              <w:rPr>
                <w:rFonts w:eastAsia="Times New Roman" w:cstheme="minorHAnsi"/>
                <w:b/>
                <w:bCs/>
                <w:sz w:val="18"/>
                <w:szCs w:val="18"/>
                <w:lang w:eastAsia="en-AU"/>
              </w:rPr>
            </w:pPr>
            <w:r>
              <w:rPr>
                <w:rFonts w:eastAsia="Times New Roman" w:cstheme="minorHAnsi"/>
                <w:sz w:val="18"/>
                <w:szCs w:val="18"/>
                <w:lang w:eastAsia="en-AU"/>
              </w:rPr>
              <w:t xml:space="preserve">Expand dedicated Departmental </w:t>
            </w:r>
            <w:r w:rsidRPr="00D975FD">
              <w:rPr>
                <w:rFonts w:eastAsia="Times New Roman" w:cstheme="minorHAnsi"/>
                <w:sz w:val="18"/>
                <w:szCs w:val="18"/>
                <w:lang w:eastAsia="en-AU"/>
              </w:rPr>
              <w:t xml:space="preserve">support to facilitate consumer engagement </w:t>
            </w:r>
            <w:r w:rsidR="00FC7696">
              <w:rPr>
                <w:rFonts w:eastAsia="Times New Roman" w:cstheme="minorHAnsi"/>
                <w:sz w:val="18"/>
                <w:szCs w:val="18"/>
                <w:lang w:eastAsia="en-AU"/>
              </w:rPr>
              <w:t>across the</w:t>
            </w:r>
            <w:r w:rsidRPr="00D975FD">
              <w:rPr>
                <w:rFonts w:eastAsia="Times New Roman" w:cstheme="minorHAnsi"/>
                <w:sz w:val="18"/>
                <w:szCs w:val="18"/>
                <w:lang w:eastAsia="en-AU"/>
              </w:rPr>
              <w:t xml:space="preserve"> health technology pathway</w:t>
            </w:r>
            <w:r w:rsidR="00784593">
              <w:rPr>
                <w:rFonts w:eastAsia="Times New Roman" w:cstheme="minorHAnsi"/>
                <w:sz w:val="18"/>
                <w:szCs w:val="18"/>
                <w:lang w:eastAsia="en-AU"/>
              </w:rPr>
              <w:t xml:space="preserve"> and </w:t>
            </w:r>
            <w:r w:rsidRPr="00D975FD">
              <w:rPr>
                <w:rFonts w:eastAsia="Times New Roman" w:cstheme="minorHAnsi"/>
                <w:sz w:val="18"/>
                <w:szCs w:val="18"/>
                <w:lang w:eastAsia="en-AU"/>
              </w:rPr>
              <w:t>implement the recommendations of this report.</w:t>
            </w:r>
          </w:p>
        </w:tc>
        <w:tc>
          <w:tcPr>
            <w:tcW w:w="3683" w:type="dxa"/>
          </w:tcPr>
          <w:p w14:paraId="159E0DF7" w14:textId="260EE63F" w:rsidR="00B378F1" w:rsidRDefault="00B378F1" w:rsidP="000E6F0E">
            <w:pPr>
              <w:pStyle w:val="TableBullet"/>
              <w:spacing w:before="0" w:after="0" w:line="240" w:lineRule="auto"/>
              <w:rPr>
                <w:sz w:val="18"/>
                <w:szCs w:val="18"/>
              </w:rPr>
            </w:pPr>
            <w:r>
              <w:rPr>
                <w:sz w:val="18"/>
                <w:szCs w:val="18"/>
              </w:rPr>
              <w:t>S</w:t>
            </w:r>
            <w:r w:rsidRPr="00516624">
              <w:rPr>
                <w:sz w:val="18"/>
                <w:szCs w:val="18"/>
              </w:rPr>
              <w:t>upport collaboration</w:t>
            </w:r>
            <w:r>
              <w:rPr>
                <w:sz w:val="18"/>
                <w:szCs w:val="18"/>
              </w:rPr>
              <w:t xml:space="preserve"> and partnerships </w:t>
            </w:r>
            <w:r w:rsidRPr="00516624">
              <w:rPr>
                <w:sz w:val="18"/>
                <w:szCs w:val="18"/>
              </w:rPr>
              <w:t xml:space="preserve">between </w:t>
            </w:r>
            <w:r w:rsidR="00E6292B">
              <w:rPr>
                <w:sz w:val="18"/>
                <w:szCs w:val="18"/>
              </w:rPr>
              <w:t>g</w:t>
            </w:r>
            <w:r>
              <w:rPr>
                <w:sz w:val="18"/>
                <w:szCs w:val="18"/>
              </w:rPr>
              <w:t xml:space="preserve">overnment, </w:t>
            </w:r>
            <w:r w:rsidRPr="00516624">
              <w:rPr>
                <w:sz w:val="18"/>
                <w:szCs w:val="18"/>
              </w:rPr>
              <w:t>industry</w:t>
            </w:r>
            <w:r>
              <w:rPr>
                <w:sz w:val="18"/>
                <w:szCs w:val="18"/>
              </w:rPr>
              <w:t>,</w:t>
            </w:r>
            <w:r w:rsidRPr="00516624">
              <w:rPr>
                <w:sz w:val="18"/>
                <w:szCs w:val="18"/>
              </w:rPr>
              <w:t xml:space="preserve"> and consume</w:t>
            </w:r>
            <w:r>
              <w:rPr>
                <w:sz w:val="18"/>
                <w:szCs w:val="18"/>
              </w:rPr>
              <w:t xml:space="preserve">rs. </w:t>
            </w:r>
          </w:p>
          <w:p w14:paraId="6B8A8ABA" w14:textId="524015FA" w:rsidR="00B378F1" w:rsidRDefault="00B378F1" w:rsidP="000E6F0E">
            <w:pPr>
              <w:pStyle w:val="TableBullet"/>
              <w:spacing w:before="0" w:after="0" w:line="240" w:lineRule="auto"/>
              <w:rPr>
                <w:sz w:val="18"/>
                <w:szCs w:val="18"/>
              </w:rPr>
            </w:pPr>
            <w:r>
              <w:rPr>
                <w:sz w:val="18"/>
                <w:szCs w:val="18"/>
              </w:rPr>
              <w:t>Lead</w:t>
            </w:r>
            <w:r w:rsidRPr="00516624">
              <w:rPr>
                <w:sz w:val="18"/>
                <w:szCs w:val="18"/>
              </w:rPr>
              <w:t xml:space="preserve"> implementation </w:t>
            </w:r>
            <w:r>
              <w:rPr>
                <w:sz w:val="18"/>
                <w:szCs w:val="18"/>
              </w:rPr>
              <w:t xml:space="preserve">of </w:t>
            </w:r>
            <w:r w:rsidRPr="00516624">
              <w:rPr>
                <w:sz w:val="18"/>
                <w:szCs w:val="18"/>
              </w:rPr>
              <w:t>inter</w:t>
            </w:r>
            <w:r>
              <w:rPr>
                <w:sz w:val="18"/>
                <w:szCs w:val="18"/>
              </w:rPr>
              <w:t xml:space="preserve">dependent </w:t>
            </w:r>
            <w:r w:rsidRPr="00516624">
              <w:rPr>
                <w:sz w:val="18"/>
                <w:szCs w:val="18"/>
              </w:rPr>
              <w:t>recommendation</w:t>
            </w:r>
            <w:r>
              <w:rPr>
                <w:sz w:val="18"/>
                <w:szCs w:val="18"/>
              </w:rPr>
              <w:t xml:space="preserve">s to </w:t>
            </w:r>
            <w:r w:rsidR="001D2A61">
              <w:rPr>
                <w:sz w:val="18"/>
                <w:szCs w:val="18"/>
              </w:rPr>
              <w:t xml:space="preserve">enable the flow-on effects of </w:t>
            </w:r>
            <w:r w:rsidR="000A1496">
              <w:rPr>
                <w:sz w:val="18"/>
                <w:szCs w:val="18"/>
              </w:rPr>
              <w:t xml:space="preserve">enhanced </w:t>
            </w:r>
            <w:r>
              <w:rPr>
                <w:sz w:val="18"/>
                <w:szCs w:val="18"/>
              </w:rPr>
              <w:t>consumer engagement</w:t>
            </w:r>
            <w:r w:rsidR="000A1496">
              <w:rPr>
                <w:sz w:val="18"/>
                <w:szCs w:val="18"/>
              </w:rPr>
              <w:t xml:space="preserve"> processes</w:t>
            </w:r>
            <w:r>
              <w:rPr>
                <w:sz w:val="18"/>
                <w:szCs w:val="18"/>
              </w:rPr>
              <w:t>.</w:t>
            </w:r>
            <w:r w:rsidRPr="00516624">
              <w:rPr>
                <w:sz w:val="18"/>
                <w:szCs w:val="18"/>
              </w:rPr>
              <w:t xml:space="preserve"> </w:t>
            </w:r>
          </w:p>
        </w:tc>
      </w:tr>
    </w:tbl>
    <w:p w14:paraId="384734C8" w14:textId="77777777" w:rsidR="00B378F1" w:rsidRDefault="00B378F1" w:rsidP="00B378F1">
      <w:pPr>
        <w:suppressAutoHyphens w:val="0"/>
        <w:spacing w:before="0" w:after="0" w:line="240" w:lineRule="auto"/>
      </w:pPr>
    </w:p>
    <w:p w14:paraId="63090D97" w14:textId="4E528684" w:rsidR="00B378F1" w:rsidRDefault="00B378F1" w:rsidP="00AC7943">
      <w:pPr>
        <w:suppressAutoHyphens w:val="0"/>
        <w:spacing w:before="0" w:line="240" w:lineRule="auto"/>
      </w:pPr>
      <w:r w:rsidRPr="00043CB4">
        <w:rPr>
          <w:b/>
          <w:bCs/>
        </w:rPr>
        <w:t>PRE-HTA ENHANCEMENTS</w:t>
      </w:r>
    </w:p>
    <w:tbl>
      <w:tblPr>
        <w:tblStyle w:val="UniofMelTable3"/>
        <w:tblW w:w="5005" w:type="pct"/>
        <w:tblLook w:val="04A0" w:firstRow="1" w:lastRow="0" w:firstColumn="1" w:lastColumn="0" w:noHBand="0" w:noVBand="1"/>
      </w:tblPr>
      <w:tblGrid>
        <w:gridCol w:w="2697"/>
        <w:gridCol w:w="425"/>
        <w:gridCol w:w="3405"/>
        <w:gridCol w:w="3687"/>
      </w:tblGrid>
      <w:tr w:rsidR="00B378F1" w:rsidRPr="00516624" w14:paraId="3DAE5390" w14:textId="77777777" w:rsidTr="00471587">
        <w:trPr>
          <w:cnfStyle w:val="100000000000" w:firstRow="1" w:lastRow="0" w:firstColumn="0" w:lastColumn="0" w:oddVBand="0" w:evenVBand="0" w:oddHBand="0" w:evenHBand="0" w:firstRowFirstColumn="0" w:firstRowLastColumn="0" w:lastRowFirstColumn="0" w:lastRowLastColumn="0"/>
          <w:trHeight w:val="303"/>
        </w:trPr>
        <w:tc>
          <w:tcPr>
            <w:tcW w:w="2697" w:type="dxa"/>
          </w:tcPr>
          <w:p w14:paraId="67E8B71C" w14:textId="77777777" w:rsidR="00B378F1" w:rsidRDefault="00B378F1" w:rsidP="000E6F0E">
            <w:pPr>
              <w:spacing w:before="0" w:after="0" w:line="240" w:lineRule="auto"/>
              <w:rPr>
                <w:rFonts w:cstheme="minorHAnsi"/>
                <w:b/>
                <w:bCs/>
                <w:sz w:val="18"/>
                <w:szCs w:val="18"/>
              </w:rPr>
            </w:pPr>
            <w:r w:rsidRPr="00516624">
              <w:rPr>
                <w:rFonts w:cstheme="minorHAnsi"/>
                <w:b/>
                <w:bCs/>
                <w:sz w:val="18"/>
                <w:szCs w:val="18"/>
              </w:rPr>
              <w:t xml:space="preserve">Current Process </w:t>
            </w:r>
          </w:p>
          <w:p w14:paraId="4818DB9B" w14:textId="3A3808E0" w:rsidR="00C2632A" w:rsidRPr="00C2632A" w:rsidRDefault="00C2632A" w:rsidP="000E6F0E">
            <w:pPr>
              <w:spacing w:before="0" w:after="0" w:line="240" w:lineRule="auto"/>
              <w:rPr>
                <w:rFonts w:cstheme="minorHAnsi"/>
                <w:b/>
                <w:bCs/>
                <w:sz w:val="18"/>
                <w:szCs w:val="18"/>
              </w:rPr>
            </w:pPr>
          </w:p>
        </w:tc>
        <w:tc>
          <w:tcPr>
            <w:tcW w:w="425" w:type="dxa"/>
          </w:tcPr>
          <w:p w14:paraId="7CADB20E" w14:textId="40299FC0" w:rsidR="00B378F1" w:rsidRPr="00516624" w:rsidRDefault="00B378F1" w:rsidP="000E6F0E">
            <w:pPr>
              <w:spacing w:before="0" w:after="0" w:line="240" w:lineRule="auto"/>
              <w:rPr>
                <w:rFonts w:cstheme="minorHAnsi"/>
                <w:sz w:val="18"/>
                <w:szCs w:val="18"/>
              </w:rPr>
            </w:pPr>
          </w:p>
        </w:tc>
        <w:tc>
          <w:tcPr>
            <w:tcW w:w="3405" w:type="dxa"/>
          </w:tcPr>
          <w:p w14:paraId="2E94C0BE" w14:textId="77777777" w:rsidR="00B378F1" w:rsidRPr="00D975FD" w:rsidRDefault="00B378F1" w:rsidP="000E6F0E">
            <w:pPr>
              <w:spacing w:before="0" w:after="0" w:line="240" w:lineRule="auto"/>
              <w:rPr>
                <w:rFonts w:eastAsia="Times New Roman" w:cstheme="minorHAnsi"/>
                <w:b/>
                <w:bCs/>
                <w:sz w:val="18"/>
                <w:szCs w:val="18"/>
                <w:lang w:eastAsia="en-AU"/>
              </w:rPr>
            </w:pPr>
            <w:r w:rsidRPr="00516624">
              <w:rPr>
                <w:rFonts w:cstheme="minorHAnsi"/>
                <w:b/>
                <w:bCs/>
                <w:sz w:val="18"/>
                <w:szCs w:val="18"/>
              </w:rPr>
              <w:t xml:space="preserve">Proposed Recommendation </w:t>
            </w:r>
          </w:p>
        </w:tc>
        <w:tc>
          <w:tcPr>
            <w:tcW w:w="3687" w:type="dxa"/>
          </w:tcPr>
          <w:p w14:paraId="1BB30407" w14:textId="77777777" w:rsidR="00B378F1" w:rsidRPr="00516624" w:rsidRDefault="00B378F1" w:rsidP="000E6F0E">
            <w:pPr>
              <w:pStyle w:val="TableBullet"/>
              <w:numPr>
                <w:ilvl w:val="0"/>
                <w:numId w:val="0"/>
              </w:numPr>
              <w:spacing w:before="0" w:after="0" w:line="240" w:lineRule="auto"/>
              <w:ind w:left="360" w:hanging="360"/>
              <w:rPr>
                <w:sz w:val="18"/>
                <w:szCs w:val="18"/>
              </w:rPr>
            </w:pPr>
            <w:r w:rsidRPr="00516624">
              <w:rPr>
                <w:rFonts w:cstheme="minorHAnsi"/>
                <w:b/>
                <w:bCs/>
                <w:sz w:val="18"/>
                <w:szCs w:val="18"/>
              </w:rPr>
              <w:t>Purpose of Recommendation</w:t>
            </w:r>
          </w:p>
        </w:tc>
      </w:tr>
      <w:tr w:rsidR="00B378F1" w:rsidRPr="00516624" w14:paraId="788476B6"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7" w:type="dxa"/>
          </w:tcPr>
          <w:p w14:paraId="63C89F0A" w14:textId="4B904E19" w:rsidR="00B378F1" w:rsidRPr="008A3DD6" w:rsidRDefault="00B378F1" w:rsidP="000E6F0E">
            <w:pPr>
              <w:spacing w:before="0" w:after="0" w:line="240" w:lineRule="auto"/>
              <w:rPr>
                <w:rFonts w:eastAsia="Times New Roman" w:cstheme="minorHAnsi"/>
                <w:sz w:val="18"/>
                <w:szCs w:val="18"/>
                <w:lang w:eastAsia="en-AU"/>
              </w:rPr>
            </w:pPr>
            <w:r w:rsidRPr="00516624">
              <w:rPr>
                <w:rFonts w:eastAsia="Times New Roman" w:cstheme="minorHAnsi"/>
                <w:sz w:val="18"/>
                <w:szCs w:val="18"/>
                <w:lang w:eastAsia="en-AU"/>
              </w:rPr>
              <w:t xml:space="preserve">Guidance from funding schemes such as </w:t>
            </w:r>
            <w:r>
              <w:rPr>
                <w:rFonts w:eastAsia="Times New Roman" w:cstheme="minorHAnsi"/>
                <w:sz w:val="18"/>
                <w:szCs w:val="18"/>
                <w:lang w:eastAsia="en-AU"/>
              </w:rPr>
              <w:t>the NHMRC and MRFF outline</w:t>
            </w:r>
            <w:r w:rsidRPr="00516624">
              <w:rPr>
                <w:rFonts w:eastAsia="Times New Roman" w:cstheme="minorHAnsi"/>
                <w:sz w:val="18"/>
                <w:szCs w:val="18"/>
                <w:lang w:eastAsia="en-AU"/>
              </w:rPr>
              <w:t xml:space="preserve"> the important benefits of consumer </w:t>
            </w:r>
            <w:r w:rsidR="00BE1287">
              <w:rPr>
                <w:rFonts w:eastAsia="Times New Roman" w:cstheme="minorHAnsi"/>
                <w:sz w:val="18"/>
                <w:szCs w:val="18"/>
                <w:lang w:eastAsia="en-AU"/>
              </w:rPr>
              <w:t>involvement</w:t>
            </w:r>
            <w:r w:rsidRPr="00516624">
              <w:rPr>
                <w:rFonts w:eastAsia="Times New Roman" w:cstheme="minorHAnsi"/>
                <w:sz w:val="18"/>
                <w:szCs w:val="18"/>
                <w:lang w:eastAsia="en-AU"/>
              </w:rPr>
              <w:t xml:space="preserve"> in clinical research</w:t>
            </w:r>
            <w:r>
              <w:rPr>
                <w:rFonts w:eastAsia="Times New Roman" w:cstheme="minorHAnsi"/>
                <w:sz w:val="18"/>
                <w:szCs w:val="18"/>
                <w:lang w:eastAsia="en-AU"/>
              </w:rPr>
              <w:t>, however, consumers are not consistently engaged to provide their expertise in the research lifecycle.</w:t>
            </w:r>
          </w:p>
        </w:tc>
        <w:tc>
          <w:tcPr>
            <w:tcW w:w="425" w:type="dxa"/>
          </w:tcPr>
          <w:p w14:paraId="228A39C5" w14:textId="17E26B0F" w:rsidR="00B378F1" w:rsidRPr="008A3DD6" w:rsidRDefault="00C2632A" w:rsidP="000E6F0E">
            <w:pPr>
              <w:spacing w:before="0" w:after="0" w:line="240" w:lineRule="auto"/>
              <w:rPr>
                <w:rFonts w:eastAsia="Times New Roman" w:cstheme="minorHAnsi"/>
                <w:sz w:val="18"/>
                <w:szCs w:val="18"/>
                <w:lang w:eastAsia="en-AU"/>
              </w:rPr>
            </w:pPr>
            <w:r w:rsidRPr="00516624">
              <w:rPr>
                <w:rFonts w:cstheme="minorHAnsi"/>
                <w:b/>
                <w:bCs/>
                <w:noProof/>
                <w:sz w:val="18"/>
                <w:szCs w:val="18"/>
              </w:rPr>
              <mc:AlternateContent>
                <mc:Choice Requires="wps">
                  <w:drawing>
                    <wp:anchor distT="0" distB="0" distL="114300" distR="114300" simplePos="0" relativeHeight="251658242" behindDoc="0" locked="0" layoutInCell="1" allowOverlap="1" wp14:anchorId="5722CF4B" wp14:editId="39EECC95">
                      <wp:simplePos x="0" y="0"/>
                      <wp:positionH relativeFrom="column">
                        <wp:posOffset>-3810</wp:posOffset>
                      </wp:positionH>
                      <wp:positionV relativeFrom="paragraph">
                        <wp:posOffset>-229870</wp:posOffset>
                      </wp:positionV>
                      <wp:extent cx="134620" cy="190500"/>
                      <wp:effectExtent l="0" t="0" r="0" b="0"/>
                      <wp:wrapNone/>
                      <wp:docPr id="917205328" name="Arrow: Righ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4620" cy="190500"/>
                              </a:xfrm>
                              <a:prstGeom prst="rightArrow">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4A74A18" id="Arrow: Right 1" o:spid="_x0000_s1026" type="#_x0000_t13" alt="&quot;&quot;" style="position:absolute;margin-left:-.3pt;margin-top:-18.1pt;width:10.6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" adj="10800" fillcolor="white [3212]" stroked="f" strokeweight="2pt">
                      <v:textbox inset="0,0,0,0"/>
                    </v:shape>
                  </w:pict>
                </mc:Fallback>
              </mc:AlternateContent>
            </w:r>
          </w:p>
        </w:tc>
        <w:tc>
          <w:tcPr>
            <w:tcW w:w="3405" w:type="dxa"/>
          </w:tcPr>
          <w:p w14:paraId="2BD70D10" w14:textId="77777777" w:rsidR="00B378F1" w:rsidRDefault="00B378F1" w:rsidP="000E6F0E">
            <w:pPr>
              <w:spacing w:before="0" w:after="0" w:line="240" w:lineRule="auto"/>
              <w:rPr>
                <w:rFonts w:eastAsia="Times New Roman" w:cstheme="minorHAnsi"/>
                <w:b/>
                <w:bCs/>
                <w:sz w:val="18"/>
                <w:szCs w:val="18"/>
                <w:lang w:eastAsia="en-AU"/>
              </w:rPr>
            </w:pPr>
            <w:r w:rsidRPr="00043CB4">
              <w:rPr>
                <w:rFonts w:eastAsia="Times New Roman" w:cstheme="minorHAnsi"/>
                <w:b/>
                <w:bCs/>
                <w:sz w:val="18"/>
                <w:szCs w:val="18"/>
                <w:lang w:eastAsia="en-AU"/>
              </w:rPr>
              <w:t>9.Consumer evidence in Australian clinical research</w:t>
            </w:r>
          </w:p>
          <w:p w14:paraId="741CF820" w14:textId="77777777" w:rsidR="00B378F1" w:rsidRPr="00043CB4" w:rsidRDefault="00B378F1" w:rsidP="000E6F0E">
            <w:pPr>
              <w:spacing w:before="0" w:after="0" w:line="240" w:lineRule="auto"/>
              <w:rPr>
                <w:rFonts w:eastAsia="Times New Roman" w:cstheme="minorHAnsi"/>
                <w:b/>
                <w:bCs/>
                <w:sz w:val="18"/>
                <w:szCs w:val="18"/>
                <w:lang w:eastAsia="en-AU"/>
              </w:rPr>
            </w:pPr>
          </w:p>
          <w:p w14:paraId="1667D13F" w14:textId="77777777" w:rsidR="00B378F1" w:rsidRPr="00D975FD" w:rsidRDefault="00B378F1" w:rsidP="000E6F0E">
            <w:pPr>
              <w:spacing w:before="0" w:after="0" w:line="240" w:lineRule="auto"/>
              <w:rPr>
                <w:rFonts w:eastAsia="Times New Roman" w:cstheme="minorHAnsi"/>
                <w:sz w:val="18"/>
                <w:szCs w:val="18"/>
                <w:lang w:eastAsia="en-AU"/>
              </w:rPr>
            </w:pPr>
            <w:r w:rsidRPr="00D975FD">
              <w:rPr>
                <w:rFonts w:eastAsia="Times New Roman" w:cstheme="minorHAnsi"/>
                <w:sz w:val="18"/>
                <w:szCs w:val="18"/>
                <w:lang w:eastAsia="en-AU"/>
              </w:rPr>
              <w:t>Strengthen existing guidance</w:t>
            </w:r>
            <w:r>
              <w:rPr>
                <w:rFonts w:eastAsia="Times New Roman" w:cstheme="minorHAnsi"/>
                <w:sz w:val="18"/>
                <w:szCs w:val="18"/>
                <w:lang w:eastAsia="en-AU"/>
              </w:rPr>
              <w:t xml:space="preserve"> to establish a designated and mandatory role for consumers in the design and execution of Australian</w:t>
            </w:r>
            <w:r w:rsidRPr="00D975FD">
              <w:rPr>
                <w:rFonts w:eastAsia="Times New Roman" w:cstheme="minorHAnsi"/>
                <w:sz w:val="18"/>
                <w:szCs w:val="18"/>
                <w:lang w:eastAsia="en-AU"/>
              </w:rPr>
              <w:t xml:space="preserve"> clinical research.</w:t>
            </w:r>
          </w:p>
          <w:p w14:paraId="27D32DD6" w14:textId="77777777" w:rsidR="00B378F1" w:rsidRPr="008A3DD6" w:rsidRDefault="00B378F1" w:rsidP="000E6F0E">
            <w:pPr>
              <w:spacing w:before="0" w:after="0" w:line="240" w:lineRule="auto"/>
              <w:rPr>
                <w:rFonts w:eastAsia="Times New Roman" w:cstheme="minorHAnsi"/>
                <w:sz w:val="18"/>
                <w:szCs w:val="18"/>
                <w:lang w:eastAsia="en-AU"/>
              </w:rPr>
            </w:pPr>
          </w:p>
        </w:tc>
        <w:tc>
          <w:tcPr>
            <w:tcW w:w="3687" w:type="dxa"/>
          </w:tcPr>
          <w:p w14:paraId="6B923D50" w14:textId="3F1AFEB6" w:rsidR="00B378F1" w:rsidRDefault="00B378F1" w:rsidP="000E6F0E">
            <w:pPr>
              <w:pStyle w:val="TableBullet"/>
              <w:spacing w:before="0" w:after="0" w:line="240" w:lineRule="auto"/>
              <w:rPr>
                <w:rFonts w:cstheme="minorHAnsi"/>
                <w:sz w:val="18"/>
                <w:szCs w:val="18"/>
              </w:rPr>
            </w:pPr>
            <w:r>
              <w:rPr>
                <w:rFonts w:cstheme="minorHAnsi"/>
                <w:sz w:val="18"/>
                <w:szCs w:val="18"/>
              </w:rPr>
              <w:t xml:space="preserve">Formalise consumers as </w:t>
            </w:r>
            <w:r w:rsidR="004918B8">
              <w:rPr>
                <w:rFonts w:cstheme="minorHAnsi"/>
                <w:sz w:val="18"/>
                <w:szCs w:val="18"/>
              </w:rPr>
              <w:t xml:space="preserve">early and </w:t>
            </w:r>
            <w:r>
              <w:rPr>
                <w:rFonts w:cstheme="minorHAnsi"/>
                <w:sz w:val="18"/>
                <w:szCs w:val="18"/>
              </w:rPr>
              <w:t>active contributors in the research lifecycle to ensure that their priorities, evidence, and unmet needs are consistently considered in study designs and outcomes.</w:t>
            </w:r>
          </w:p>
          <w:p w14:paraId="13CB478C" w14:textId="04C2CD57" w:rsidR="00B378F1" w:rsidRPr="004918B8" w:rsidRDefault="00B378F1" w:rsidP="004918B8">
            <w:pPr>
              <w:pStyle w:val="TableBullet"/>
              <w:spacing w:before="0" w:after="0" w:line="240" w:lineRule="auto"/>
              <w:rPr>
                <w:rFonts w:cstheme="minorHAnsi"/>
                <w:sz w:val="18"/>
                <w:szCs w:val="18"/>
              </w:rPr>
            </w:pPr>
            <w:r>
              <w:rPr>
                <w:rFonts w:cstheme="minorHAnsi"/>
                <w:sz w:val="18"/>
                <w:szCs w:val="18"/>
              </w:rPr>
              <w:t xml:space="preserve">Enable a broader array of methodologies to collect evidence about consumers’ clinical needs and experiences (e.g., PREMS, PROMS, qualitative studies). </w:t>
            </w:r>
          </w:p>
        </w:tc>
      </w:tr>
      <w:tr w:rsidR="00B378F1" w:rsidRPr="00516624" w14:paraId="700D5BF3"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7" w:type="dxa"/>
          </w:tcPr>
          <w:p w14:paraId="0CCB0E72" w14:textId="6195E788" w:rsidR="00B378F1" w:rsidRPr="00A82DC4" w:rsidRDefault="00B378F1" w:rsidP="000E6F0E">
            <w:pPr>
              <w:spacing w:before="0" w:after="0" w:line="240" w:lineRule="auto"/>
              <w:rPr>
                <w:rFonts w:cstheme="minorHAnsi"/>
                <w:sz w:val="18"/>
                <w:szCs w:val="18"/>
                <w:lang w:eastAsia="en-AU"/>
              </w:rPr>
            </w:pPr>
            <w:r w:rsidRPr="00CD40D3">
              <w:rPr>
                <w:rFonts w:eastAsia="Times New Roman" w:cstheme="minorHAnsi"/>
                <w:sz w:val="18"/>
                <w:szCs w:val="18"/>
                <w:lang w:eastAsia="en-AU"/>
              </w:rPr>
              <w:t xml:space="preserve">Consumers are not </w:t>
            </w:r>
            <w:r w:rsidR="00BC6632">
              <w:rPr>
                <w:rFonts w:eastAsia="Times New Roman" w:cstheme="minorHAnsi"/>
                <w:sz w:val="18"/>
                <w:szCs w:val="18"/>
                <w:lang w:eastAsia="en-AU"/>
              </w:rPr>
              <w:t>generall</w:t>
            </w:r>
            <w:r w:rsidRPr="00CD40D3">
              <w:rPr>
                <w:rFonts w:eastAsia="Times New Roman" w:cstheme="minorHAnsi"/>
                <w:sz w:val="18"/>
                <w:szCs w:val="18"/>
                <w:lang w:eastAsia="en-AU"/>
              </w:rPr>
              <w:t xml:space="preserve">y informed about how consumer evidence and experience is used in </w:t>
            </w:r>
            <w:r>
              <w:rPr>
                <w:rFonts w:eastAsia="Times New Roman" w:cstheme="minorHAnsi"/>
                <w:sz w:val="18"/>
                <w:szCs w:val="18"/>
                <w:lang w:eastAsia="en-AU"/>
              </w:rPr>
              <w:t xml:space="preserve">TGA </w:t>
            </w:r>
            <w:r w:rsidRPr="00CD40D3">
              <w:rPr>
                <w:rFonts w:eastAsia="Times New Roman" w:cstheme="minorHAnsi"/>
                <w:sz w:val="18"/>
                <w:szCs w:val="18"/>
                <w:lang w:eastAsia="en-AU"/>
              </w:rPr>
              <w:t>applications and decision-making.</w:t>
            </w:r>
          </w:p>
        </w:tc>
        <w:tc>
          <w:tcPr>
            <w:tcW w:w="425" w:type="dxa"/>
          </w:tcPr>
          <w:p w14:paraId="64F5D54C" w14:textId="77777777" w:rsidR="00B378F1" w:rsidRPr="00A82DC4" w:rsidRDefault="00B378F1" w:rsidP="000E6F0E">
            <w:pPr>
              <w:spacing w:before="0" w:after="0" w:line="240" w:lineRule="auto"/>
              <w:rPr>
                <w:rFonts w:cstheme="minorHAnsi"/>
                <w:sz w:val="18"/>
                <w:szCs w:val="18"/>
              </w:rPr>
            </w:pPr>
          </w:p>
        </w:tc>
        <w:tc>
          <w:tcPr>
            <w:tcW w:w="3405" w:type="dxa"/>
          </w:tcPr>
          <w:p w14:paraId="4604B30E" w14:textId="77777777" w:rsidR="00B378F1" w:rsidRDefault="00B378F1" w:rsidP="000E6F0E">
            <w:pPr>
              <w:spacing w:before="0" w:after="0" w:line="240" w:lineRule="auto"/>
              <w:rPr>
                <w:rFonts w:eastAsia="Times New Roman" w:cstheme="minorHAnsi"/>
                <w:b/>
                <w:bCs/>
                <w:sz w:val="18"/>
                <w:szCs w:val="18"/>
                <w:lang w:eastAsia="en-AU"/>
              </w:rPr>
            </w:pPr>
            <w:r w:rsidRPr="00A82DC4">
              <w:rPr>
                <w:rFonts w:eastAsia="Times New Roman" w:cstheme="minorHAnsi"/>
                <w:b/>
                <w:bCs/>
                <w:sz w:val="18"/>
                <w:szCs w:val="18"/>
                <w:lang w:eastAsia="en-AU"/>
              </w:rPr>
              <w:t>10.Consumer evidence in TGA applications</w:t>
            </w:r>
          </w:p>
          <w:p w14:paraId="3D55EFE3" w14:textId="77777777" w:rsidR="00B378F1" w:rsidRPr="00A82DC4" w:rsidRDefault="00B378F1" w:rsidP="000E6F0E">
            <w:pPr>
              <w:spacing w:before="0" w:after="0" w:line="240" w:lineRule="auto"/>
              <w:rPr>
                <w:rFonts w:eastAsia="Times New Roman" w:cstheme="minorHAnsi"/>
                <w:b/>
                <w:bCs/>
                <w:sz w:val="18"/>
                <w:szCs w:val="18"/>
                <w:lang w:eastAsia="en-AU"/>
              </w:rPr>
            </w:pPr>
          </w:p>
          <w:p w14:paraId="57D1539B" w14:textId="4EE02F9C" w:rsidR="00B378F1" w:rsidRPr="00C005C4" w:rsidRDefault="00B378F1" w:rsidP="000E6F0E">
            <w:pPr>
              <w:spacing w:before="0" w:after="0" w:line="240" w:lineRule="auto"/>
              <w:rPr>
                <w:rFonts w:eastAsia="Times New Roman" w:cstheme="minorHAnsi"/>
                <w:sz w:val="18"/>
                <w:szCs w:val="18"/>
                <w:lang w:eastAsia="en-AU"/>
              </w:rPr>
            </w:pPr>
            <w:r w:rsidRPr="00A82DC4">
              <w:rPr>
                <w:rFonts w:eastAsia="Times New Roman" w:cstheme="minorHAnsi"/>
                <w:sz w:val="18"/>
                <w:szCs w:val="18"/>
                <w:lang w:eastAsia="en-AU"/>
              </w:rPr>
              <w:t xml:space="preserve">Implement checks to ensure TGA applications demonstrate inclusion of </w:t>
            </w:r>
            <w:r>
              <w:rPr>
                <w:rFonts w:eastAsia="Times New Roman" w:cstheme="minorHAnsi"/>
                <w:sz w:val="18"/>
                <w:szCs w:val="18"/>
                <w:lang w:eastAsia="en-AU"/>
              </w:rPr>
              <w:t>consumer</w:t>
            </w:r>
            <w:r w:rsidRPr="00A82DC4">
              <w:rPr>
                <w:rFonts w:eastAsia="Times New Roman" w:cstheme="minorHAnsi"/>
                <w:sz w:val="18"/>
                <w:szCs w:val="18"/>
                <w:lang w:eastAsia="en-AU"/>
              </w:rPr>
              <w:t xml:space="preserve"> evidence and experience</w:t>
            </w:r>
            <w:r>
              <w:rPr>
                <w:rFonts w:eastAsia="Times New Roman" w:cstheme="minorHAnsi"/>
                <w:sz w:val="18"/>
                <w:szCs w:val="18"/>
                <w:lang w:eastAsia="en-AU"/>
              </w:rPr>
              <w:t>.</w:t>
            </w:r>
          </w:p>
        </w:tc>
        <w:tc>
          <w:tcPr>
            <w:tcW w:w="3687" w:type="dxa"/>
          </w:tcPr>
          <w:p w14:paraId="14814A10" w14:textId="26A151B5" w:rsidR="00B378F1" w:rsidRDefault="0053685C" w:rsidP="000E6F0E">
            <w:pPr>
              <w:pStyle w:val="TableBullet"/>
              <w:spacing w:before="0" w:after="0" w:line="240" w:lineRule="auto"/>
              <w:rPr>
                <w:sz w:val="18"/>
                <w:szCs w:val="18"/>
              </w:rPr>
            </w:pPr>
            <w:r>
              <w:rPr>
                <w:sz w:val="18"/>
                <w:szCs w:val="18"/>
              </w:rPr>
              <w:t>Enable a</w:t>
            </w:r>
            <w:r w:rsidR="00B378F1">
              <w:rPr>
                <w:sz w:val="18"/>
                <w:szCs w:val="18"/>
              </w:rPr>
              <w:t>lign</w:t>
            </w:r>
            <w:r>
              <w:rPr>
                <w:sz w:val="18"/>
                <w:szCs w:val="18"/>
              </w:rPr>
              <w:t>ment of</w:t>
            </w:r>
            <w:r w:rsidR="00B378F1">
              <w:rPr>
                <w:sz w:val="18"/>
                <w:szCs w:val="18"/>
              </w:rPr>
              <w:t xml:space="preserve"> </w:t>
            </w:r>
            <w:r w:rsidR="00C005C4">
              <w:rPr>
                <w:sz w:val="18"/>
                <w:szCs w:val="18"/>
              </w:rPr>
              <w:t xml:space="preserve">TGA </w:t>
            </w:r>
            <w:r w:rsidR="00B378F1">
              <w:rPr>
                <w:sz w:val="18"/>
                <w:szCs w:val="18"/>
              </w:rPr>
              <w:t>decision-making about health technology approvals with c</w:t>
            </w:r>
            <w:r w:rsidR="00B378F1" w:rsidRPr="00A82DC4">
              <w:rPr>
                <w:sz w:val="18"/>
                <w:szCs w:val="18"/>
              </w:rPr>
              <w:t xml:space="preserve">onsumer </w:t>
            </w:r>
            <w:r w:rsidR="004918B8">
              <w:rPr>
                <w:sz w:val="18"/>
                <w:szCs w:val="18"/>
              </w:rPr>
              <w:t xml:space="preserve">clinical </w:t>
            </w:r>
            <w:r w:rsidR="00B378F1">
              <w:rPr>
                <w:sz w:val="18"/>
                <w:szCs w:val="18"/>
              </w:rPr>
              <w:t>needs</w:t>
            </w:r>
            <w:r w:rsidR="00C005C4">
              <w:rPr>
                <w:sz w:val="18"/>
                <w:szCs w:val="18"/>
              </w:rPr>
              <w:t>, evidence, and experience</w:t>
            </w:r>
            <w:r w:rsidR="00B378F1">
              <w:rPr>
                <w:sz w:val="18"/>
                <w:szCs w:val="18"/>
              </w:rPr>
              <w:t>.</w:t>
            </w:r>
          </w:p>
          <w:p w14:paraId="3F02F8BE" w14:textId="77777777" w:rsidR="00B378F1" w:rsidRPr="003C084C" w:rsidRDefault="00B378F1" w:rsidP="000E6F0E">
            <w:pPr>
              <w:pStyle w:val="TableBullet"/>
              <w:spacing w:before="0" w:after="0" w:line="240" w:lineRule="auto"/>
              <w:rPr>
                <w:sz w:val="18"/>
                <w:szCs w:val="18"/>
              </w:rPr>
            </w:pPr>
            <w:r w:rsidRPr="00A82DC4">
              <w:rPr>
                <w:sz w:val="18"/>
                <w:szCs w:val="18"/>
              </w:rPr>
              <w:t>Provide</w:t>
            </w:r>
            <w:r>
              <w:rPr>
                <w:sz w:val="18"/>
                <w:szCs w:val="18"/>
              </w:rPr>
              <w:t xml:space="preserve"> </w:t>
            </w:r>
            <w:r w:rsidRPr="00A82DC4">
              <w:rPr>
                <w:sz w:val="18"/>
                <w:szCs w:val="18"/>
              </w:rPr>
              <w:t xml:space="preserve">transparency </w:t>
            </w:r>
            <w:r>
              <w:rPr>
                <w:sz w:val="18"/>
                <w:szCs w:val="18"/>
              </w:rPr>
              <w:t>to consumers about how their evidence and experience is considered by the TGA.</w:t>
            </w:r>
          </w:p>
        </w:tc>
      </w:tr>
      <w:tr w:rsidR="00B378F1" w:rsidRPr="00516624" w14:paraId="27DABEBE"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7" w:type="dxa"/>
          </w:tcPr>
          <w:p w14:paraId="4B8D6BB1" w14:textId="77777777" w:rsidR="00B378F1" w:rsidRPr="00516624" w:rsidRDefault="00B378F1" w:rsidP="000E6F0E">
            <w:pPr>
              <w:spacing w:before="0" w:after="0" w:line="240" w:lineRule="auto"/>
              <w:rPr>
                <w:rFonts w:cstheme="minorHAnsi"/>
                <w:sz w:val="18"/>
                <w:szCs w:val="18"/>
              </w:rPr>
            </w:pPr>
            <w:r w:rsidRPr="00516624">
              <w:rPr>
                <w:rFonts w:eastAsia="Times New Roman" w:cstheme="minorHAnsi"/>
                <w:sz w:val="18"/>
                <w:szCs w:val="18"/>
                <w:lang w:eastAsia="en-AU"/>
              </w:rPr>
              <w:t xml:space="preserve">TGA processes are </w:t>
            </w:r>
            <w:r>
              <w:rPr>
                <w:rFonts w:eastAsia="Times New Roman" w:cstheme="minorHAnsi"/>
                <w:sz w:val="18"/>
                <w:szCs w:val="18"/>
                <w:lang w:eastAsia="en-AU"/>
              </w:rPr>
              <w:t>currently experienced as a ‘closed system’ to consumers.</w:t>
            </w:r>
          </w:p>
        </w:tc>
        <w:tc>
          <w:tcPr>
            <w:tcW w:w="425" w:type="dxa"/>
          </w:tcPr>
          <w:p w14:paraId="0B694D3B" w14:textId="77777777" w:rsidR="00B378F1" w:rsidRPr="00516624" w:rsidRDefault="00B378F1" w:rsidP="000E6F0E">
            <w:pPr>
              <w:spacing w:before="0" w:after="0" w:line="240" w:lineRule="auto"/>
              <w:rPr>
                <w:rFonts w:cstheme="minorHAnsi"/>
                <w:sz w:val="18"/>
                <w:szCs w:val="18"/>
              </w:rPr>
            </w:pPr>
          </w:p>
        </w:tc>
        <w:tc>
          <w:tcPr>
            <w:tcW w:w="3405" w:type="dxa"/>
          </w:tcPr>
          <w:p w14:paraId="61C4816F"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 xml:space="preserve">11.Consumer notifications </w:t>
            </w:r>
            <w:r>
              <w:rPr>
                <w:rFonts w:eastAsia="Times New Roman" w:cstheme="minorHAnsi"/>
                <w:b/>
                <w:bCs/>
                <w:sz w:val="18"/>
                <w:szCs w:val="18"/>
                <w:lang w:eastAsia="en-AU"/>
              </w:rPr>
              <w:t>about TGA applications</w:t>
            </w:r>
          </w:p>
          <w:p w14:paraId="4AA67795" w14:textId="77777777" w:rsidR="00B378F1" w:rsidRPr="00D975FD" w:rsidRDefault="00B378F1" w:rsidP="000E6F0E">
            <w:pPr>
              <w:spacing w:before="0" w:after="0" w:line="240" w:lineRule="auto"/>
              <w:rPr>
                <w:rFonts w:eastAsia="Times New Roman" w:cstheme="minorHAnsi"/>
                <w:b/>
                <w:bCs/>
                <w:sz w:val="18"/>
                <w:szCs w:val="18"/>
                <w:lang w:eastAsia="en-AU"/>
              </w:rPr>
            </w:pPr>
          </w:p>
          <w:p w14:paraId="6F467D6C" w14:textId="2D08F17A" w:rsidR="00B378F1" w:rsidRPr="00D975FD" w:rsidRDefault="00B378F1" w:rsidP="000E6F0E">
            <w:pPr>
              <w:spacing w:before="0" w:after="0" w:line="240" w:lineRule="auto"/>
              <w:rPr>
                <w:rFonts w:cstheme="minorHAnsi"/>
                <w:sz w:val="18"/>
                <w:szCs w:val="18"/>
              </w:rPr>
            </w:pPr>
            <w:r>
              <w:rPr>
                <w:rFonts w:eastAsia="Times New Roman" w:cstheme="minorHAnsi"/>
                <w:sz w:val="18"/>
                <w:szCs w:val="18"/>
                <w:lang w:eastAsia="en-AU"/>
              </w:rPr>
              <w:t>Notify consumers</w:t>
            </w:r>
            <w:r w:rsidRPr="00D975FD">
              <w:rPr>
                <w:rFonts w:eastAsia="Times New Roman" w:cstheme="minorHAnsi"/>
                <w:sz w:val="18"/>
                <w:szCs w:val="18"/>
                <w:lang w:eastAsia="en-AU"/>
              </w:rPr>
              <w:t xml:space="preserve"> </w:t>
            </w:r>
            <w:r>
              <w:rPr>
                <w:rFonts w:eastAsia="Times New Roman" w:cstheme="minorHAnsi"/>
                <w:sz w:val="18"/>
                <w:szCs w:val="18"/>
                <w:lang w:eastAsia="en-AU"/>
              </w:rPr>
              <w:t xml:space="preserve">about </w:t>
            </w:r>
            <w:r w:rsidRPr="00D975FD">
              <w:rPr>
                <w:rFonts w:eastAsia="Times New Roman" w:cstheme="minorHAnsi"/>
                <w:sz w:val="18"/>
                <w:szCs w:val="18"/>
                <w:lang w:eastAsia="en-AU"/>
              </w:rPr>
              <w:t xml:space="preserve">TGA applications </w:t>
            </w:r>
            <w:r>
              <w:rPr>
                <w:rFonts w:eastAsia="Times New Roman" w:cstheme="minorHAnsi"/>
                <w:sz w:val="18"/>
                <w:szCs w:val="18"/>
                <w:lang w:eastAsia="en-AU"/>
              </w:rPr>
              <w:t xml:space="preserve">and agendas </w:t>
            </w:r>
            <w:r w:rsidRPr="00D975FD">
              <w:rPr>
                <w:rFonts w:eastAsia="Times New Roman" w:cstheme="minorHAnsi"/>
                <w:sz w:val="18"/>
                <w:szCs w:val="18"/>
                <w:lang w:eastAsia="en-AU"/>
              </w:rPr>
              <w:t xml:space="preserve">and </w:t>
            </w:r>
            <w:r>
              <w:rPr>
                <w:rFonts w:eastAsia="Times New Roman" w:cstheme="minorHAnsi"/>
                <w:sz w:val="18"/>
                <w:szCs w:val="18"/>
                <w:lang w:eastAsia="en-AU"/>
              </w:rPr>
              <w:t xml:space="preserve">provide opportunities for consumers to </w:t>
            </w:r>
            <w:r w:rsidR="00A40770">
              <w:rPr>
                <w:rFonts w:eastAsia="Times New Roman" w:cstheme="minorHAnsi"/>
                <w:sz w:val="18"/>
                <w:szCs w:val="18"/>
                <w:lang w:eastAsia="en-AU"/>
              </w:rPr>
              <w:t xml:space="preserve">have input into </w:t>
            </w:r>
            <w:r>
              <w:rPr>
                <w:rFonts w:eastAsia="Times New Roman" w:cstheme="minorHAnsi"/>
                <w:sz w:val="18"/>
                <w:szCs w:val="18"/>
                <w:lang w:eastAsia="en-AU"/>
              </w:rPr>
              <w:t>health technologies under assessment.</w:t>
            </w:r>
          </w:p>
        </w:tc>
        <w:tc>
          <w:tcPr>
            <w:tcW w:w="3687" w:type="dxa"/>
          </w:tcPr>
          <w:p w14:paraId="05EAE0B9" w14:textId="2AC5DF03" w:rsidR="00C476C2" w:rsidRDefault="00C476C2" w:rsidP="000E6F0E">
            <w:pPr>
              <w:pStyle w:val="TableBullet"/>
              <w:spacing w:before="0" w:after="0" w:line="240" w:lineRule="auto"/>
              <w:rPr>
                <w:sz w:val="18"/>
                <w:szCs w:val="18"/>
              </w:rPr>
            </w:pPr>
            <w:r w:rsidRPr="00516624">
              <w:rPr>
                <w:sz w:val="18"/>
                <w:szCs w:val="18"/>
              </w:rPr>
              <w:t xml:space="preserve">Embed consumer evidence </w:t>
            </w:r>
            <w:r w:rsidR="00BC6632">
              <w:rPr>
                <w:sz w:val="18"/>
                <w:szCs w:val="18"/>
              </w:rPr>
              <w:t xml:space="preserve">and experience </w:t>
            </w:r>
            <w:r w:rsidRPr="00516624">
              <w:rPr>
                <w:sz w:val="18"/>
                <w:szCs w:val="18"/>
              </w:rPr>
              <w:t xml:space="preserve">in TGA hearings and </w:t>
            </w:r>
            <w:r>
              <w:rPr>
                <w:sz w:val="18"/>
                <w:szCs w:val="18"/>
              </w:rPr>
              <w:t>decision-making processes.</w:t>
            </w:r>
          </w:p>
          <w:p w14:paraId="7E468075" w14:textId="0769EE62" w:rsidR="00B378F1" w:rsidRDefault="00B378F1" w:rsidP="000E6F0E">
            <w:pPr>
              <w:pStyle w:val="TableBullet"/>
              <w:spacing w:before="0" w:after="0" w:line="240" w:lineRule="auto"/>
              <w:rPr>
                <w:sz w:val="18"/>
                <w:szCs w:val="18"/>
              </w:rPr>
            </w:pPr>
            <w:r>
              <w:rPr>
                <w:sz w:val="18"/>
                <w:szCs w:val="18"/>
              </w:rPr>
              <w:t>Enable greater alignment between consumer engagement in</w:t>
            </w:r>
            <w:r w:rsidR="00FF1DBA">
              <w:rPr>
                <w:sz w:val="18"/>
                <w:szCs w:val="18"/>
              </w:rPr>
              <w:t xml:space="preserve"> the</w:t>
            </w:r>
            <w:r>
              <w:rPr>
                <w:sz w:val="18"/>
                <w:szCs w:val="18"/>
              </w:rPr>
              <w:t xml:space="preserve"> TGA and downstream HTA processes in PBAC and other committees. </w:t>
            </w:r>
          </w:p>
          <w:p w14:paraId="2D5B6FBF" w14:textId="77777777" w:rsidR="00B378F1" w:rsidRPr="00CB0F79" w:rsidRDefault="00B378F1" w:rsidP="000E6F0E">
            <w:pPr>
              <w:pStyle w:val="TableBullet"/>
              <w:spacing w:before="0" w:after="0" w:line="240" w:lineRule="auto"/>
              <w:rPr>
                <w:sz w:val="18"/>
                <w:szCs w:val="18"/>
              </w:rPr>
            </w:pPr>
            <w:r>
              <w:rPr>
                <w:sz w:val="18"/>
                <w:szCs w:val="18"/>
              </w:rPr>
              <w:t>Increase c</w:t>
            </w:r>
            <w:r w:rsidRPr="00516624">
              <w:rPr>
                <w:sz w:val="18"/>
                <w:szCs w:val="18"/>
              </w:rPr>
              <w:t>onsumer</w:t>
            </w:r>
            <w:r>
              <w:rPr>
                <w:sz w:val="18"/>
                <w:szCs w:val="18"/>
              </w:rPr>
              <w:t xml:space="preserve"> involvement and understanding of </w:t>
            </w:r>
            <w:r w:rsidRPr="00516624">
              <w:rPr>
                <w:sz w:val="18"/>
                <w:szCs w:val="18"/>
              </w:rPr>
              <w:t>TGA processes</w:t>
            </w:r>
            <w:r>
              <w:rPr>
                <w:sz w:val="18"/>
                <w:szCs w:val="18"/>
              </w:rPr>
              <w:t>.</w:t>
            </w:r>
          </w:p>
        </w:tc>
      </w:tr>
    </w:tbl>
    <w:p w14:paraId="26670701" w14:textId="77777777" w:rsidR="00471587" w:rsidRDefault="00471587" w:rsidP="00B378F1">
      <w:pPr>
        <w:suppressAutoHyphens w:val="0"/>
        <w:spacing w:before="0" w:after="0" w:line="240" w:lineRule="auto"/>
        <w:rPr>
          <w:b/>
          <w:bCs/>
        </w:rPr>
      </w:pPr>
    </w:p>
    <w:p w14:paraId="7FCE914A" w14:textId="04ED9E1A" w:rsidR="00B378F1" w:rsidRDefault="00B378F1" w:rsidP="00AC7943">
      <w:pPr>
        <w:suppressAutoHyphens w:val="0"/>
        <w:spacing w:before="0" w:line="240" w:lineRule="auto"/>
      </w:pPr>
      <w:r w:rsidRPr="000B72FD">
        <w:rPr>
          <w:b/>
          <w:bCs/>
        </w:rPr>
        <w:t>HTA PROCESS ENHANCEMENTS</w:t>
      </w:r>
    </w:p>
    <w:tbl>
      <w:tblPr>
        <w:tblStyle w:val="UniofMelTable3"/>
        <w:tblW w:w="5005" w:type="pct"/>
        <w:tblLook w:val="04A0" w:firstRow="1" w:lastRow="0" w:firstColumn="1" w:lastColumn="0" w:noHBand="0" w:noVBand="1"/>
      </w:tblPr>
      <w:tblGrid>
        <w:gridCol w:w="2697"/>
        <w:gridCol w:w="425"/>
        <w:gridCol w:w="3405"/>
        <w:gridCol w:w="3687"/>
      </w:tblGrid>
      <w:tr w:rsidR="00B378F1" w:rsidRPr="00516624" w14:paraId="7527D11B" w14:textId="77777777" w:rsidTr="00471587">
        <w:trPr>
          <w:cnfStyle w:val="100000000000" w:firstRow="1" w:lastRow="0" w:firstColumn="0" w:lastColumn="0" w:oddVBand="0" w:evenVBand="0" w:oddHBand="0" w:evenHBand="0" w:firstRowFirstColumn="0" w:firstRowLastColumn="0" w:lastRowFirstColumn="0" w:lastRowLastColumn="0"/>
          <w:trHeight w:val="226"/>
        </w:trPr>
        <w:tc>
          <w:tcPr>
            <w:tcW w:w="2697" w:type="dxa"/>
          </w:tcPr>
          <w:p w14:paraId="32A8B76C" w14:textId="77777777" w:rsidR="00B378F1" w:rsidRDefault="00B378F1" w:rsidP="000E6F0E">
            <w:pPr>
              <w:spacing w:before="0" w:after="0" w:line="240" w:lineRule="auto"/>
              <w:rPr>
                <w:rFonts w:cstheme="minorHAnsi"/>
                <w:b/>
                <w:bCs/>
                <w:sz w:val="18"/>
                <w:szCs w:val="18"/>
              </w:rPr>
            </w:pPr>
            <w:r w:rsidRPr="00516624">
              <w:rPr>
                <w:rFonts w:cstheme="minorHAnsi"/>
                <w:b/>
                <w:bCs/>
                <w:sz w:val="18"/>
                <w:szCs w:val="18"/>
              </w:rPr>
              <w:t xml:space="preserve">Current Process </w:t>
            </w:r>
          </w:p>
          <w:p w14:paraId="230E985E" w14:textId="77777777" w:rsidR="00B378F1" w:rsidRPr="00516624" w:rsidRDefault="00B378F1" w:rsidP="000E6F0E">
            <w:pPr>
              <w:spacing w:before="0" w:after="0" w:line="240" w:lineRule="auto"/>
              <w:rPr>
                <w:rFonts w:eastAsia="Times New Roman" w:cstheme="minorHAnsi"/>
                <w:sz w:val="18"/>
                <w:szCs w:val="18"/>
                <w:lang w:eastAsia="en-AU"/>
              </w:rPr>
            </w:pPr>
          </w:p>
        </w:tc>
        <w:tc>
          <w:tcPr>
            <w:tcW w:w="425" w:type="dxa"/>
          </w:tcPr>
          <w:p w14:paraId="01F8218C" w14:textId="77777777" w:rsidR="00B378F1" w:rsidRPr="00516624" w:rsidRDefault="00B378F1" w:rsidP="000E6F0E">
            <w:pPr>
              <w:spacing w:before="0" w:after="0" w:line="240" w:lineRule="auto"/>
              <w:rPr>
                <w:rFonts w:cstheme="minorHAnsi"/>
                <w:sz w:val="18"/>
                <w:szCs w:val="18"/>
              </w:rPr>
            </w:pPr>
            <w:r w:rsidRPr="00516624">
              <w:rPr>
                <w:rFonts w:cstheme="minorHAnsi"/>
                <w:b/>
                <w:bCs/>
                <w:noProof/>
                <w:sz w:val="18"/>
                <w:szCs w:val="18"/>
              </w:rPr>
              <mc:AlternateContent>
                <mc:Choice Requires="wps">
                  <w:drawing>
                    <wp:anchor distT="0" distB="0" distL="114300" distR="114300" simplePos="0" relativeHeight="251658243" behindDoc="0" locked="0" layoutInCell="1" allowOverlap="1" wp14:anchorId="18AEEE23" wp14:editId="192B39A3">
                      <wp:simplePos x="0" y="0"/>
                      <wp:positionH relativeFrom="column">
                        <wp:posOffset>5080</wp:posOffset>
                      </wp:positionH>
                      <wp:positionV relativeFrom="paragraph">
                        <wp:posOffset>24968</wp:posOffset>
                      </wp:positionV>
                      <wp:extent cx="134620" cy="190500"/>
                      <wp:effectExtent l="0" t="0" r="0" b="0"/>
                      <wp:wrapNone/>
                      <wp:docPr id="1959122104" name="Arrow: Righ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4620" cy="190500"/>
                              </a:xfrm>
                              <a:prstGeom prst="rightArrow">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DED2150" id="Arrow: Right 1" o:spid="_x0000_s1026" type="#_x0000_t13" alt="&quot;&quot;" style="position:absolute;margin-left:.4pt;margin-top:1.95pt;width:10.6pt;height: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" adj="10800" fillcolor="white [3212]" stroked="f" strokeweight="2pt">
                      <v:textbox inset="0,0,0,0"/>
                    </v:shape>
                  </w:pict>
                </mc:Fallback>
              </mc:AlternateContent>
            </w:r>
          </w:p>
        </w:tc>
        <w:tc>
          <w:tcPr>
            <w:tcW w:w="3405" w:type="dxa"/>
          </w:tcPr>
          <w:p w14:paraId="272BB1B5" w14:textId="77777777" w:rsidR="00B378F1" w:rsidRPr="00D975FD" w:rsidRDefault="00B378F1" w:rsidP="000E6F0E">
            <w:pPr>
              <w:spacing w:before="0" w:after="0" w:line="240" w:lineRule="auto"/>
              <w:rPr>
                <w:rFonts w:eastAsia="Times New Roman" w:cstheme="minorHAnsi"/>
                <w:b/>
                <w:bCs/>
                <w:sz w:val="18"/>
                <w:szCs w:val="18"/>
                <w:lang w:eastAsia="en-AU"/>
              </w:rPr>
            </w:pPr>
            <w:r w:rsidRPr="00516624">
              <w:rPr>
                <w:rFonts w:cstheme="minorHAnsi"/>
                <w:b/>
                <w:bCs/>
                <w:sz w:val="18"/>
                <w:szCs w:val="18"/>
              </w:rPr>
              <w:t xml:space="preserve">Proposed Recommendation </w:t>
            </w:r>
          </w:p>
        </w:tc>
        <w:tc>
          <w:tcPr>
            <w:tcW w:w="3687" w:type="dxa"/>
          </w:tcPr>
          <w:p w14:paraId="524D28EC" w14:textId="77777777" w:rsidR="00B378F1" w:rsidRPr="00516624" w:rsidRDefault="00B378F1" w:rsidP="000E6F0E">
            <w:pPr>
              <w:pStyle w:val="TableBullet"/>
              <w:spacing w:before="0" w:after="0" w:line="240" w:lineRule="auto"/>
              <w:rPr>
                <w:sz w:val="18"/>
                <w:szCs w:val="18"/>
              </w:rPr>
            </w:pPr>
            <w:r w:rsidRPr="00516624">
              <w:rPr>
                <w:rFonts w:cstheme="minorHAnsi"/>
                <w:b/>
                <w:bCs/>
                <w:sz w:val="18"/>
                <w:szCs w:val="18"/>
              </w:rPr>
              <w:t>Purpose of Recommendation</w:t>
            </w:r>
          </w:p>
        </w:tc>
      </w:tr>
      <w:tr w:rsidR="00B378F1" w:rsidRPr="00516624" w14:paraId="6E60E611" w14:textId="77777777" w:rsidTr="00471587">
        <w:trPr>
          <w:cnfStyle w:val="000000100000" w:firstRow="0" w:lastRow="0" w:firstColumn="0" w:lastColumn="0" w:oddVBand="0" w:evenVBand="0" w:oddHBand="1" w:evenHBand="0" w:firstRowFirstColumn="0" w:firstRowLastColumn="0" w:lastRowFirstColumn="0" w:lastRowLastColumn="0"/>
          <w:trHeight w:val="1453"/>
        </w:trPr>
        <w:tc>
          <w:tcPr>
            <w:tcW w:w="2697" w:type="dxa"/>
          </w:tcPr>
          <w:p w14:paraId="138DDDD1" w14:textId="46A17437" w:rsidR="00B378F1"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Consumers do not currently have a facilitated and formal pathway to initiate submissions to PBAC</w:t>
            </w:r>
            <w:r w:rsidR="003945B7">
              <w:rPr>
                <w:rFonts w:eastAsia="Times New Roman" w:cstheme="minorHAnsi"/>
                <w:sz w:val="18"/>
                <w:szCs w:val="18"/>
                <w:lang w:eastAsia="en-AU"/>
              </w:rPr>
              <w:t>.</w:t>
            </w:r>
            <w:r>
              <w:rPr>
                <w:rFonts w:eastAsia="Times New Roman" w:cstheme="minorHAnsi"/>
                <w:sz w:val="18"/>
                <w:szCs w:val="18"/>
                <w:lang w:eastAsia="en-AU"/>
              </w:rPr>
              <w:t xml:space="preserve"> </w:t>
            </w:r>
          </w:p>
        </w:tc>
        <w:tc>
          <w:tcPr>
            <w:tcW w:w="425" w:type="dxa"/>
          </w:tcPr>
          <w:p w14:paraId="448348B5" w14:textId="77777777" w:rsidR="00B378F1" w:rsidRPr="00516624" w:rsidRDefault="00B378F1" w:rsidP="000E6F0E">
            <w:pPr>
              <w:spacing w:before="0" w:after="0" w:line="240" w:lineRule="auto"/>
              <w:rPr>
                <w:rFonts w:cstheme="minorHAnsi"/>
                <w:sz w:val="18"/>
                <w:szCs w:val="18"/>
              </w:rPr>
            </w:pPr>
          </w:p>
        </w:tc>
        <w:tc>
          <w:tcPr>
            <w:tcW w:w="3405" w:type="dxa"/>
          </w:tcPr>
          <w:p w14:paraId="7B8920EA" w14:textId="77777777" w:rsidR="00B378F1" w:rsidRDefault="00B378F1" w:rsidP="000E6F0E">
            <w:pPr>
              <w:spacing w:before="0" w:after="0" w:line="240" w:lineRule="auto"/>
              <w:rPr>
                <w:rFonts w:eastAsia="Times New Roman" w:cstheme="minorHAnsi"/>
                <w:b/>
                <w:bCs/>
                <w:sz w:val="18"/>
                <w:szCs w:val="18"/>
                <w:lang w:eastAsia="en-AU"/>
              </w:rPr>
            </w:pPr>
            <w:r>
              <w:rPr>
                <w:rFonts w:eastAsia="Times New Roman" w:cstheme="minorHAnsi"/>
                <w:b/>
                <w:bCs/>
                <w:sz w:val="18"/>
                <w:szCs w:val="18"/>
                <w:lang w:eastAsia="en-AU"/>
              </w:rPr>
              <w:t>12. Consumer-initiated submissions to PBAC</w:t>
            </w:r>
          </w:p>
          <w:p w14:paraId="56C0B70E" w14:textId="77777777" w:rsidR="00B378F1" w:rsidRDefault="00B378F1" w:rsidP="000E6F0E">
            <w:pPr>
              <w:spacing w:before="0" w:after="0" w:line="240" w:lineRule="auto"/>
              <w:rPr>
                <w:rFonts w:eastAsia="Times New Roman" w:cstheme="minorHAnsi"/>
                <w:b/>
                <w:bCs/>
                <w:sz w:val="18"/>
                <w:szCs w:val="18"/>
                <w:lang w:eastAsia="en-AU"/>
              </w:rPr>
            </w:pPr>
          </w:p>
          <w:p w14:paraId="14B5B19E" w14:textId="7F0B0031" w:rsidR="0069599A" w:rsidRPr="00F1429C"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Establish </w:t>
            </w:r>
            <w:r w:rsidR="00D83FB2">
              <w:rPr>
                <w:rFonts w:eastAsia="Times New Roman" w:cstheme="minorHAnsi"/>
                <w:sz w:val="18"/>
                <w:szCs w:val="18"/>
                <w:lang w:eastAsia="en-AU"/>
              </w:rPr>
              <w:t xml:space="preserve">a </w:t>
            </w:r>
            <w:r>
              <w:rPr>
                <w:rFonts w:eastAsia="Times New Roman" w:cstheme="minorHAnsi"/>
                <w:sz w:val="18"/>
                <w:szCs w:val="18"/>
                <w:lang w:eastAsia="en-AU"/>
              </w:rPr>
              <w:t>pathway</w:t>
            </w:r>
            <w:r w:rsidRPr="00F1429C">
              <w:rPr>
                <w:rFonts w:eastAsia="Times New Roman" w:cstheme="minorHAnsi"/>
                <w:sz w:val="18"/>
                <w:szCs w:val="18"/>
                <w:lang w:eastAsia="en-AU"/>
              </w:rPr>
              <w:t xml:space="preserve"> to enable consumer-initiated submissions to PBAC</w:t>
            </w:r>
            <w:r>
              <w:rPr>
                <w:rFonts w:eastAsia="Times New Roman" w:cstheme="minorHAnsi"/>
                <w:sz w:val="18"/>
                <w:szCs w:val="18"/>
                <w:lang w:eastAsia="en-AU"/>
              </w:rPr>
              <w:t xml:space="preserve"> via Departmental facilitated collaboration with industry.</w:t>
            </w:r>
          </w:p>
        </w:tc>
        <w:tc>
          <w:tcPr>
            <w:tcW w:w="3687" w:type="dxa"/>
          </w:tcPr>
          <w:p w14:paraId="196BBB5D" w14:textId="77777777" w:rsidR="00B378F1" w:rsidRDefault="00B378F1" w:rsidP="003D36E5">
            <w:pPr>
              <w:pStyle w:val="TableBullet"/>
              <w:spacing w:before="0" w:after="0" w:line="240" w:lineRule="auto"/>
              <w:ind w:left="357" w:hanging="357"/>
              <w:rPr>
                <w:sz w:val="18"/>
                <w:szCs w:val="18"/>
              </w:rPr>
            </w:pPr>
            <w:r>
              <w:rPr>
                <w:sz w:val="18"/>
                <w:szCs w:val="18"/>
              </w:rPr>
              <w:t>Empower consumers to initiate PBAC submissions.</w:t>
            </w:r>
          </w:p>
          <w:p w14:paraId="56E75F16" w14:textId="77777777" w:rsidR="00B378F1" w:rsidRDefault="00B378F1" w:rsidP="003D36E5">
            <w:pPr>
              <w:pStyle w:val="TableBullet"/>
              <w:spacing w:before="0" w:after="0" w:line="240" w:lineRule="auto"/>
              <w:ind w:left="357" w:hanging="357"/>
              <w:rPr>
                <w:sz w:val="18"/>
                <w:szCs w:val="18"/>
              </w:rPr>
            </w:pPr>
            <w:r>
              <w:rPr>
                <w:sz w:val="18"/>
                <w:szCs w:val="18"/>
              </w:rPr>
              <w:t xml:space="preserve">Value consumers as equal partners </w:t>
            </w:r>
            <w:r w:rsidR="00C84C1B">
              <w:rPr>
                <w:sz w:val="18"/>
                <w:szCs w:val="18"/>
              </w:rPr>
              <w:t xml:space="preserve">and leaders </w:t>
            </w:r>
            <w:r>
              <w:rPr>
                <w:sz w:val="18"/>
                <w:szCs w:val="18"/>
              </w:rPr>
              <w:t xml:space="preserve">in </w:t>
            </w:r>
            <w:r w:rsidR="00C84C1B">
              <w:rPr>
                <w:sz w:val="18"/>
                <w:szCs w:val="18"/>
              </w:rPr>
              <w:t xml:space="preserve">driving </w:t>
            </w:r>
            <w:r>
              <w:rPr>
                <w:sz w:val="18"/>
                <w:szCs w:val="18"/>
              </w:rPr>
              <w:t>HTA processes.</w:t>
            </w:r>
          </w:p>
          <w:p w14:paraId="54FFA4C4" w14:textId="207A1C6E" w:rsidR="005B0E54" w:rsidRDefault="005B0E54" w:rsidP="003D36E5">
            <w:pPr>
              <w:pStyle w:val="TableBullet"/>
              <w:spacing w:before="0" w:after="0" w:line="240" w:lineRule="auto"/>
              <w:ind w:left="357" w:hanging="357"/>
              <w:rPr>
                <w:sz w:val="18"/>
                <w:szCs w:val="18"/>
              </w:rPr>
            </w:pPr>
            <w:r>
              <w:rPr>
                <w:sz w:val="18"/>
                <w:szCs w:val="18"/>
              </w:rPr>
              <w:t xml:space="preserve">Create opportunities </w:t>
            </w:r>
            <w:r w:rsidR="006643CC">
              <w:rPr>
                <w:sz w:val="18"/>
                <w:szCs w:val="18"/>
              </w:rPr>
              <w:t xml:space="preserve">to </w:t>
            </w:r>
            <w:r w:rsidR="00855B7A">
              <w:rPr>
                <w:sz w:val="18"/>
                <w:szCs w:val="18"/>
              </w:rPr>
              <w:t xml:space="preserve">assess </w:t>
            </w:r>
            <w:r w:rsidR="00BC2DF4" w:rsidRPr="00BC2DF4">
              <w:rPr>
                <w:sz w:val="18"/>
                <w:szCs w:val="18"/>
              </w:rPr>
              <w:t xml:space="preserve">health technologies </w:t>
            </w:r>
            <w:r w:rsidR="00855B7A">
              <w:rPr>
                <w:sz w:val="18"/>
                <w:szCs w:val="18"/>
              </w:rPr>
              <w:t>for subsidisation that may address unmet clinical needs.</w:t>
            </w:r>
          </w:p>
        </w:tc>
      </w:tr>
      <w:tr w:rsidR="00B378F1" w:rsidRPr="00516624" w14:paraId="70402118"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7" w:type="dxa"/>
          </w:tcPr>
          <w:p w14:paraId="1667057A" w14:textId="46633192" w:rsidR="00B378F1" w:rsidRPr="00516624" w:rsidRDefault="00B378F1" w:rsidP="000E6F0E">
            <w:pPr>
              <w:spacing w:before="0" w:after="0" w:line="240" w:lineRule="auto"/>
              <w:rPr>
                <w:rFonts w:cstheme="minorHAnsi"/>
                <w:sz w:val="18"/>
                <w:szCs w:val="18"/>
              </w:rPr>
            </w:pPr>
            <w:r>
              <w:rPr>
                <w:rFonts w:eastAsia="Times New Roman" w:cstheme="minorHAnsi"/>
                <w:sz w:val="18"/>
                <w:szCs w:val="18"/>
                <w:lang w:eastAsia="en-AU"/>
              </w:rPr>
              <w:t xml:space="preserve">Consumers are not </w:t>
            </w:r>
            <w:r w:rsidR="009007AE">
              <w:rPr>
                <w:rFonts w:eastAsia="Times New Roman" w:cstheme="minorHAnsi"/>
                <w:sz w:val="18"/>
                <w:szCs w:val="18"/>
                <w:lang w:eastAsia="en-AU"/>
              </w:rPr>
              <w:t>generally</w:t>
            </w:r>
            <w:r>
              <w:rPr>
                <w:rFonts w:eastAsia="Times New Roman" w:cstheme="minorHAnsi"/>
                <w:sz w:val="18"/>
                <w:szCs w:val="18"/>
                <w:lang w:eastAsia="en-AU"/>
              </w:rPr>
              <w:t xml:space="preserve"> informed about how consumer evidence and experience is used in PBAC submissions and decision-making.</w:t>
            </w:r>
          </w:p>
        </w:tc>
        <w:tc>
          <w:tcPr>
            <w:tcW w:w="425" w:type="dxa"/>
          </w:tcPr>
          <w:p w14:paraId="0949D0FF" w14:textId="77777777" w:rsidR="00B378F1" w:rsidRPr="00516624" w:rsidRDefault="00B378F1" w:rsidP="000E6F0E">
            <w:pPr>
              <w:spacing w:before="0" w:after="0" w:line="240" w:lineRule="auto"/>
              <w:rPr>
                <w:rFonts w:cstheme="minorHAnsi"/>
                <w:sz w:val="18"/>
                <w:szCs w:val="18"/>
              </w:rPr>
            </w:pPr>
          </w:p>
        </w:tc>
        <w:tc>
          <w:tcPr>
            <w:tcW w:w="3405" w:type="dxa"/>
          </w:tcPr>
          <w:p w14:paraId="6FE37889"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3</w:t>
            </w:r>
            <w:r w:rsidRPr="00D975FD">
              <w:rPr>
                <w:rFonts w:eastAsia="Times New Roman" w:cstheme="minorHAnsi"/>
                <w:b/>
                <w:bCs/>
                <w:sz w:val="18"/>
                <w:szCs w:val="18"/>
                <w:lang w:eastAsia="en-AU"/>
              </w:rPr>
              <w:t>.</w:t>
            </w:r>
            <w:r>
              <w:rPr>
                <w:rFonts w:eastAsia="Times New Roman" w:cstheme="minorHAnsi"/>
                <w:b/>
                <w:bCs/>
                <w:sz w:val="18"/>
                <w:szCs w:val="18"/>
                <w:lang w:eastAsia="en-AU"/>
              </w:rPr>
              <w:t xml:space="preserve">Consumer evidence in </w:t>
            </w:r>
            <w:r w:rsidRPr="00D975FD">
              <w:rPr>
                <w:rFonts w:eastAsia="Times New Roman" w:cstheme="minorHAnsi"/>
                <w:b/>
                <w:bCs/>
                <w:sz w:val="18"/>
                <w:szCs w:val="18"/>
                <w:lang w:eastAsia="en-AU"/>
              </w:rPr>
              <w:t xml:space="preserve">PBAC </w:t>
            </w:r>
            <w:r>
              <w:rPr>
                <w:rFonts w:eastAsia="Times New Roman" w:cstheme="minorHAnsi"/>
                <w:b/>
                <w:bCs/>
                <w:sz w:val="18"/>
                <w:szCs w:val="18"/>
                <w:lang w:eastAsia="en-AU"/>
              </w:rPr>
              <w:t>submissions</w:t>
            </w:r>
          </w:p>
          <w:p w14:paraId="04941EED" w14:textId="77777777" w:rsidR="00B378F1" w:rsidRPr="00D975FD" w:rsidRDefault="00B378F1" w:rsidP="000E6F0E">
            <w:pPr>
              <w:spacing w:before="0" w:after="0" w:line="240" w:lineRule="auto"/>
              <w:rPr>
                <w:rFonts w:eastAsia="Times New Roman" w:cstheme="minorHAnsi"/>
                <w:b/>
                <w:bCs/>
                <w:sz w:val="18"/>
                <w:szCs w:val="18"/>
                <w:lang w:eastAsia="en-AU"/>
              </w:rPr>
            </w:pPr>
          </w:p>
          <w:p w14:paraId="41732704" w14:textId="651C7ADB" w:rsidR="00B378F1" w:rsidRPr="00516624" w:rsidRDefault="00B378F1" w:rsidP="000E6F0E">
            <w:pPr>
              <w:spacing w:before="0" w:after="0" w:line="240" w:lineRule="auto"/>
              <w:rPr>
                <w:rFonts w:cstheme="minorHAnsi"/>
                <w:sz w:val="18"/>
                <w:szCs w:val="18"/>
              </w:rPr>
            </w:pPr>
            <w:r w:rsidRPr="00A82DC4">
              <w:rPr>
                <w:rFonts w:eastAsia="Times New Roman" w:cstheme="minorHAnsi"/>
                <w:sz w:val="18"/>
                <w:szCs w:val="18"/>
                <w:lang w:eastAsia="en-AU"/>
              </w:rPr>
              <w:t xml:space="preserve">Implement checks to ensure </w:t>
            </w:r>
            <w:r>
              <w:rPr>
                <w:rFonts w:eastAsia="Times New Roman" w:cstheme="minorHAnsi"/>
                <w:sz w:val="18"/>
                <w:szCs w:val="18"/>
                <w:lang w:eastAsia="en-AU"/>
              </w:rPr>
              <w:t>PBAC submissions</w:t>
            </w:r>
            <w:r w:rsidRPr="00A82DC4">
              <w:rPr>
                <w:rFonts w:eastAsia="Times New Roman" w:cstheme="minorHAnsi"/>
                <w:sz w:val="18"/>
                <w:szCs w:val="18"/>
                <w:lang w:eastAsia="en-AU"/>
              </w:rPr>
              <w:t xml:space="preserve"> demonstrate</w:t>
            </w:r>
            <w:r w:rsidR="009007AE">
              <w:rPr>
                <w:rFonts w:eastAsia="Times New Roman" w:cstheme="minorHAnsi"/>
                <w:sz w:val="18"/>
                <w:szCs w:val="18"/>
                <w:lang w:eastAsia="en-AU"/>
              </w:rPr>
              <w:t xml:space="preserve"> t</w:t>
            </w:r>
            <w:r>
              <w:rPr>
                <w:rFonts w:eastAsia="Times New Roman" w:cstheme="minorHAnsi"/>
                <w:sz w:val="18"/>
                <w:szCs w:val="18"/>
                <w:lang w:eastAsia="en-AU"/>
              </w:rPr>
              <w:t xml:space="preserve">he </w:t>
            </w:r>
            <w:r w:rsidRPr="00A82DC4">
              <w:rPr>
                <w:rFonts w:eastAsia="Times New Roman" w:cstheme="minorHAnsi"/>
                <w:sz w:val="18"/>
                <w:szCs w:val="18"/>
                <w:lang w:eastAsia="en-AU"/>
              </w:rPr>
              <w:t>inclusion of consumer evidence and experience</w:t>
            </w:r>
            <w:r>
              <w:rPr>
                <w:rFonts w:eastAsia="Times New Roman" w:cstheme="minorHAnsi"/>
                <w:sz w:val="18"/>
                <w:szCs w:val="18"/>
                <w:lang w:eastAsia="en-AU"/>
              </w:rPr>
              <w:t>.</w:t>
            </w:r>
          </w:p>
        </w:tc>
        <w:tc>
          <w:tcPr>
            <w:tcW w:w="3687" w:type="dxa"/>
          </w:tcPr>
          <w:p w14:paraId="27D3107A" w14:textId="6B09AC6A" w:rsidR="0053685C" w:rsidRDefault="0053685C" w:rsidP="000E6F0E">
            <w:pPr>
              <w:pStyle w:val="TableBullet"/>
              <w:spacing w:before="0" w:after="0" w:line="240" w:lineRule="auto"/>
              <w:rPr>
                <w:sz w:val="18"/>
                <w:szCs w:val="18"/>
              </w:rPr>
            </w:pPr>
            <w:r>
              <w:rPr>
                <w:sz w:val="18"/>
                <w:szCs w:val="18"/>
              </w:rPr>
              <w:t>Enable alignment of PBAC decision-making about subsidisation with c</w:t>
            </w:r>
            <w:r w:rsidRPr="00A82DC4">
              <w:rPr>
                <w:sz w:val="18"/>
                <w:szCs w:val="18"/>
              </w:rPr>
              <w:t xml:space="preserve">onsumer </w:t>
            </w:r>
            <w:r>
              <w:rPr>
                <w:sz w:val="18"/>
                <w:szCs w:val="18"/>
              </w:rPr>
              <w:t>clinical needs, evidence, and experience.</w:t>
            </w:r>
          </w:p>
          <w:p w14:paraId="6C616A83" w14:textId="5E5FCF8F" w:rsidR="00B378F1" w:rsidRPr="009717F7" w:rsidRDefault="00B378F1" w:rsidP="000E6F0E">
            <w:pPr>
              <w:pStyle w:val="TableBullet"/>
              <w:spacing w:before="0" w:after="0" w:line="240" w:lineRule="auto"/>
              <w:rPr>
                <w:sz w:val="18"/>
                <w:szCs w:val="18"/>
              </w:rPr>
            </w:pPr>
            <w:r w:rsidRPr="00A82DC4">
              <w:rPr>
                <w:sz w:val="18"/>
                <w:szCs w:val="18"/>
              </w:rPr>
              <w:t>Provide</w:t>
            </w:r>
            <w:r>
              <w:rPr>
                <w:sz w:val="18"/>
                <w:szCs w:val="18"/>
              </w:rPr>
              <w:t xml:space="preserve"> </w:t>
            </w:r>
            <w:r w:rsidRPr="00A82DC4">
              <w:rPr>
                <w:sz w:val="18"/>
                <w:szCs w:val="18"/>
              </w:rPr>
              <w:t xml:space="preserve">transparency </w:t>
            </w:r>
            <w:r>
              <w:rPr>
                <w:sz w:val="18"/>
                <w:szCs w:val="18"/>
              </w:rPr>
              <w:t>to consumers about how their evidence and experience is considered by</w:t>
            </w:r>
            <w:r w:rsidR="00DF51B5">
              <w:rPr>
                <w:sz w:val="18"/>
                <w:szCs w:val="18"/>
              </w:rPr>
              <w:t xml:space="preserve"> </w:t>
            </w:r>
            <w:r>
              <w:rPr>
                <w:sz w:val="18"/>
                <w:szCs w:val="18"/>
              </w:rPr>
              <w:t>PBAC.</w:t>
            </w:r>
          </w:p>
        </w:tc>
      </w:tr>
      <w:tr w:rsidR="00B378F1" w:rsidRPr="00516624" w14:paraId="17980E71"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7" w:type="dxa"/>
          </w:tcPr>
          <w:p w14:paraId="67427926" w14:textId="77777777" w:rsidR="00B378F1" w:rsidRPr="00516624"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Consumers must navigate PBAC agendas to locate items relevant to their disease areas and health technology interests.</w:t>
            </w:r>
          </w:p>
          <w:p w14:paraId="7C2E8224" w14:textId="77777777" w:rsidR="00B378F1" w:rsidRPr="00516624" w:rsidRDefault="00B378F1" w:rsidP="000E6F0E">
            <w:pPr>
              <w:spacing w:before="0" w:after="0" w:line="240" w:lineRule="auto"/>
              <w:rPr>
                <w:rFonts w:cstheme="minorHAnsi"/>
                <w:sz w:val="18"/>
                <w:szCs w:val="18"/>
              </w:rPr>
            </w:pPr>
          </w:p>
        </w:tc>
        <w:tc>
          <w:tcPr>
            <w:tcW w:w="425" w:type="dxa"/>
          </w:tcPr>
          <w:p w14:paraId="1F438907" w14:textId="77777777" w:rsidR="00B378F1" w:rsidRPr="00516624" w:rsidRDefault="00B378F1" w:rsidP="000E6F0E">
            <w:pPr>
              <w:spacing w:before="0" w:after="0" w:line="240" w:lineRule="auto"/>
              <w:rPr>
                <w:rFonts w:cstheme="minorHAnsi"/>
                <w:sz w:val="18"/>
                <w:szCs w:val="18"/>
              </w:rPr>
            </w:pPr>
          </w:p>
        </w:tc>
        <w:tc>
          <w:tcPr>
            <w:tcW w:w="3405" w:type="dxa"/>
          </w:tcPr>
          <w:p w14:paraId="7CECA562"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4</w:t>
            </w:r>
            <w:r w:rsidRPr="00D975FD">
              <w:rPr>
                <w:rFonts w:eastAsia="Times New Roman" w:cstheme="minorHAnsi"/>
                <w:b/>
                <w:bCs/>
                <w:sz w:val="18"/>
                <w:szCs w:val="18"/>
                <w:lang w:eastAsia="en-AU"/>
              </w:rPr>
              <w:t xml:space="preserve">.Consumer notifications </w:t>
            </w:r>
            <w:r>
              <w:rPr>
                <w:rFonts w:eastAsia="Times New Roman" w:cstheme="minorHAnsi"/>
                <w:b/>
                <w:bCs/>
                <w:sz w:val="18"/>
                <w:szCs w:val="18"/>
                <w:lang w:eastAsia="en-AU"/>
              </w:rPr>
              <w:t>about PBAC submissions</w:t>
            </w:r>
          </w:p>
          <w:p w14:paraId="1D91AA9F" w14:textId="77777777" w:rsidR="00B378F1" w:rsidRPr="00D975FD" w:rsidRDefault="00B378F1" w:rsidP="000E6F0E">
            <w:pPr>
              <w:spacing w:before="0" w:after="0" w:line="240" w:lineRule="auto"/>
              <w:rPr>
                <w:rFonts w:eastAsia="Times New Roman" w:cstheme="minorHAnsi"/>
                <w:b/>
                <w:bCs/>
                <w:sz w:val="18"/>
                <w:szCs w:val="18"/>
                <w:lang w:eastAsia="en-AU"/>
              </w:rPr>
            </w:pPr>
          </w:p>
          <w:p w14:paraId="784B5FB6" w14:textId="68BC454B" w:rsidR="00B378F1" w:rsidRPr="00D975FD" w:rsidRDefault="00B378F1" w:rsidP="000E6F0E">
            <w:pPr>
              <w:spacing w:before="0" w:after="0" w:line="240" w:lineRule="auto"/>
              <w:rPr>
                <w:rFonts w:eastAsia="Times New Roman" w:cstheme="minorHAnsi"/>
                <w:sz w:val="18"/>
                <w:szCs w:val="18"/>
                <w:lang w:eastAsia="en-AU"/>
              </w:rPr>
            </w:pPr>
            <w:r w:rsidRPr="00D975FD">
              <w:rPr>
                <w:rFonts w:eastAsia="Times New Roman" w:cstheme="minorHAnsi"/>
                <w:sz w:val="18"/>
                <w:szCs w:val="18"/>
                <w:lang w:eastAsia="en-AU"/>
              </w:rPr>
              <w:t>Implement automated and early notification of PBAC</w:t>
            </w:r>
            <w:r w:rsidR="00DF51B5">
              <w:rPr>
                <w:rFonts w:eastAsia="Times New Roman" w:cstheme="minorHAnsi"/>
                <w:sz w:val="18"/>
                <w:szCs w:val="18"/>
                <w:lang w:eastAsia="en-AU"/>
              </w:rPr>
              <w:t xml:space="preserve"> agenda items and</w:t>
            </w:r>
            <w:r>
              <w:rPr>
                <w:rFonts w:eastAsia="Times New Roman" w:cstheme="minorHAnsi"/>
                <w:sz w:val="18"/>
                <w:szCs w:val="18"/>
                <w:lang w:eastAsia="en-AU"/>
              </w:rPr>
              <w:t xml:space="preserve"> submissions</w:t>
            </w:r>
            <w:r w:rsidRPr="00D975FD">
              <w:rPr>
                <w:rFonts w:eastAsia="Times New Roman" w:cstheme="minorHAnsi"/>
                <w:sz w:val="18"/>
                <w:szCs w:val="18"/>
                <w:lang w:eastAsia="en-AU"/>
              </w:rPr>
              <w:t xml:space="preserve">, including targeted notifications for specific </w:t>
            </w:r>
            <w:r>
              <w:rPr>
                <w:rFonts w:eastAsia="Times New Roman" w:cstheme="minorHAnsi"/>
                <w:sz w:val="18"/>
                <w:szCs w:val="18"/>
                <w:lang w:eastAsia="en-AU"/>
              </w:rPr>
              <w:t>disease areas</w:t>
            </w:r>
            <w:r w:rsidRPr="00D975FD">
              <w:rPr>
                <w:rFonts w:eastAsia="Times New Roman" w:cstheme="minorHAnsi"/>
                <w:sz w:val="18"/>
                <w:szCs w:val="18"/>
                <w:lang w:eastAsia="en-AU"/>
              </w:rPr>
              <w:t>.</w:t>
            </w:r>
          </w:p>
        </w:tc>
        <w:tc>
          <w:tcPr>
            <w:tcW w:w="3687" w:type="dxa"/>
          </w:tcPr>
          <w:p w14:paraId="6B86E353" w14:textId="07C929DE" w:rsidR="004A7F36" w:rsidRDefault="00B378F1" w:rsidP="000E6F0E">
            <w:pPr>
              <w:pStyle w:val="TableBullet"/>
              <w:spacing w:before="0" w:after="0" w:line="240" w:lineRule="auto"/>
              <w:rPr>
                <w:sz w:val="18"/>
                <w:szCs w:val="18"/>
              </w:rPr>
            </w:pPr>
            <w:r w:rsidRPr="00516624">
              <w:rPr>
                <w:sz w:val="18"/>
                <w:szCs w:val="18"/>
              </w:rPr>
              <w:t xml:space="preserve">Consumers </w:t>
            </w:r>
            <w:r>
              <w:rPr>
                <w:sz w:val="18"/>
                <w:szCs w:val="18"/>
              </w:rPr>
              <w:t>receive targeted</w:t>
            </w:r>
            <w:r w:rsidRPr="00516624">
              <w:rPr>
                <w:sz w:val="18"/>
                <w:szCs w:val="18"/>
              </w:rPr>
              <w:t xml:space="preserve"> notifications </w:t>
            </w:r>
            <w:r>
              <w:rPr>
                <w:sz w:val="18"/>
                <w:szCs w:val="18"/>
              </w:rPr>
              <w:t>a</w:t>
            </w:r>
            <w:r w:rsidRPr="00516624">
              <w:rPr>
                <w:sz w:val="18"/>
                <w:szCs w:val="18"/>
              </w:rPr>
              <w:t xml:space="preserve">ssisted by </w:t>
            </w:r>
            <w:r>
              <w:rPr>
                <w:sz w:val="18"/>
                <w:szCs w:val="18"/>
              </w:rPr>
              <w:t xml:space="preserve">other recommendations including the single digital portal, </w:t>
            </w:r>
            <w:r w:rsidRPr="00E471EE">
              <w:rPr>
                <w:sz w:val="18"/>
                <w:szCs w:val="18"/>
              </w:rPr>
              <w:t>consumer identification</w:t>
            </w:r>
            <w:r w:rsidR="004A7F36">
              <w:rPr>
                <w:sz w:val="18"/>
                <w:szCs w:val="18"/>
              </w:rPr>
              <w:t xml:space="preserve">, </w:t>
            </w:r>
            <w:r w:rsidRPr="00E471EE">
              <w:rPr>
                <w:sz w:val="18"/>
                <w:szCs w:val="18"/>
              </w:rPr>
              <w:t>a</w:t>
            </w:r>
            <w:r>
              <w:rPr>
                <w:sz w:val="18"/>
                <w:szCs w:val="18"/>
              </w:rPr>
              <w:t>nd facilitated collaborations</w:t>
            </w:r>
            <w:r w:rsidR="004A7F36">
              <w:rPr>
                <w:sz w:val="18"/>
                <w:szCs w:val="18"/>
              </w:rPr>
              <w:t xml:space="preserve"> with industry</w:t>
            </w:r>
            <w:r>
              <w:rPr>
                <w:sz w:val="18"/>
                <w:szCs w:val="18"/>
              </w:rPr>
              <w:t>.</w:t>
            </w:r>
          </w:p>
          <w:p w14:paraId="61A4ACD3" w14:textId="4B57D555" w:rsidR="00337900" w:rsidRDefault="00337900" w:rsidP="000E6F0E">
            <w:pPr>
              <w:pStyle w:val="TableBullet"/>
              <w:spacing w:before="0" w:after="0" w:line="240" w:lineRule="auto"/>
              <w:rPr>
                <w:sz w:val="18"/>
                <w:szCs w:val="18"/>
              </w:rPr>
            </w:pPr>
            <w:r>
              <w:rPr>
                <w:sz w:val="18"/>
                <w:szCs w:val="18"/>
              </w:rPr>
              <w:t xml:space="preserve">Consumers have visibility of </w:t>
            </w:r>
            <w:r w:rsidR="00E30AE7">
              <w:rPr>
                <w:sz w:val="18"/>
                <w:szCs w:val="18"/>
              </w:rPr>
              <w:t>the content within submissions including details of the comparato</w:t>
            </w:r>
            <w:r w:rsidR="00116957">
              <w:rPr>
                <w:sz w:val="18"/>
                <w:szCs w:val="18"/>
              </w:rPr>
              <w:t xml:space="preserve">r and restrictions to enable input on implementation considerations. </w:t>
            </w:r>
          </w:p>
          <w:p w14:paraId="6E0A2E1D" w14:textId="71453D22" w:rsidR="00B378F1" w:rsidRPr="00FD5AA5" w:rsidRDefault="00B378F1" w:rsidP="000E6F0E">
            <w:pPr>
              <w:pStyle w:val="TableBullet"/>
              <w:spacing w:before="0" w:after="0" w:line="240" w:lineRule="auto"/>
              <w:rPr>
                <w:sz w:val="18"/>
                <w:szCs w:val="18"/>
              </w:rPr>
            </w:pPr>
            <w:r w:rsidRPr="00516624">
              <w:rPr>
                <w:sz w:val="18"/>
                <w:szCs w:val="18"/>
              </w:rPr>
              <w:t xml:space="preserve">Consumers </w:t>
            </w:r>
            <w:r>
              <w:rPr>
                <w:sz w:val="18"/>
                <w:szCs w:val="18"/>
              </w:rPr>
              <w:t>have</w:t>
            </w:r>
            <w:r w:rsidRPr="00516624">
              <w:rPr>
                <w:sz w:val="18"/>
                <w:szCs w:val="18"/>
              </w:rPr>
              <w:t xml:space="preserve"> adequate</w:t>
            </w:r>
            <w:r>
              <w:rPr>
                <w:sz w:val="18"/>
                <w:szCs w:val="18"/>
              </w:rPr>
              <w:t xml:space="preserve"> </w:t>
            </w:r>
            <w:r w:rsidRPr="00516624">
              <w:rPr>
                <w:sz w:val="18"/>
                <w:szCs w:val="18"/>
              </w:rPr>
              <w:t xml:space="preserve">time to prepare </w:t>
            </w:r>
            <w:r w:rsidR="004E0815">
              <w:rPr>
                <w:sz w:val="18"/>
                <w:szCs w:val="18"/>
              </w:rPr>
              <w:t xml:space="preserve">input for relevant submissions </w:t>
            </w:r>
            <w:r w:rsidRPr="00516624">
              <w:rPr>
                <w:sz w:val="18"/>
                <w:szCs w:val="18"/>
              </w:rPr>
              <w:t xml:space="preserve">and </w:t>
            </w:r>
            <w:r>
              <w:rPr>
                <w:sz w:val="18"/>
                <w:szCs w:val="18"/>
              </w:rPr>
              <w:t>initiate</w:t>
            </w:r>
            <w:r w:rsidRPr="00516624">
              <w:rPr>
                <w:sz w:val="18"/>
                <w:szCs w:val="18"/>
              </w:rPr>
              <w:t xml:space="preserve"> consumer hearings</w:t>
            </w:r>
            <w:r w:rsidR="00A969E3">
              <w:rPr>
                <w:sz w:val="18"/>
                <w:szCs w:val="18"/>
              </w:rPr>
              <w:t>.</w:t>
            </w:r>
          </w:p>
        </w:tc>
      </w:tr>
      <w:tr w:rsidR="00B378F1" w:rsidRPr="00516624" w14:paraId="424525E2"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7" w:type="dxa"/>
          </w:tcPr>
          <w:p w14:paraId="3F6EBAED" w14:textId="3078021F" w:rsidR="00B378F1" w:rsidRPr="00516624" w:rsidRDefault="00B378F1" w:rsidP="000E6F0E">
            <w:pPr>
              <w:spacing w:before="0" w:after="0" w:line="240" w:lineRule="auto"/>
              <w:rPr>
                <w:rFonts w:cstheme="minorHAnsi"/>
                <w:sz w:val="18"/>
                <w:szCs w:val="18"/>
              </w:rPr>
            </w:pPr>
            <w:r w:rsidRPr="00516624">
              <w:rPr>
                <w:rFonts w:eastAsia="Times New Roman" w:cstheme="minorHAnsi"/>
                <w:sz w:val="18"/>
                <w:szCs w:val="18"/>
                <w:lang w:eastAsia="en-AU"/>
              </w:rPr>
              <w:t xml:space="preserve">Procedural </w:t>
            </w:r>
            <w:r w:rsidR="00A969E3">
              <w:rPr>
                <w:rFonts w:eastAsia="Times New Roman" w:cstheme="minorHAnsi"/>
                <w:sz w:val="18"/>
                <w:szCs w:val="18"/>
                <w:lang w:eastAsia="en-AU"/>
              </w:rPr>
              <w:t>g</w:t>
            </w:r>
            <w:r w:rsidRPr="00516624">
              <w:rPr>
                <w:rFonts w:eastAsia="Times New Roman" w:cstheme="minorHAnsi"/>
                <w:sz w:val="18"/>
                <w:szCs w:val="18"/>
                <w:lang w:eastAsia="en-AU"/>
              </w:rPr>
              <w:t xml:space="preserve">uidance </w:t>
            </w:r>
            <w:r>
              <w:rPr>
                <w:rFonts w:eastAsia="Times New Roman" w:cstheme="minorHAnsi"/>
                <w:sz w:val="18"/>
                <w:szCs w:val="18"/>
                <w:lang w:eastAsia="en-AU"/>
              </w:rPr>
              <w:t>advises</w:t>
            </w:r>
            <w:r w:rsidR="00094C01">
              <w:rPr>
                <w:rFonts w:eastAsia="Times New Roman" w:cstheme="minorHAnsi"/>
                <w:sz w:val="18"/>
                <w:szCs w:val="18"/>
                <w:lang w:eastAsia="en-AU"/>
              </w:rPr>
              <w:t xml:space="preserve"> </w:t>
            </w:r>
            <w:r>
              <w:rPr>
                <w:rFonts w:eastAsia="Times New Roman" w:cstheme="minorHAnsi"/>
                <w:sz w:val="18"/>
                <w:szCs w:val="18"/>
                <w:lang w:eastAsia="en-AU"/>
              </w:rPr>
              <w:t xml:space="preserve">PBAC to call consumer hearings and stakeholder meetings, however, </w:t>
            </w:r>
            <w:r w:rsidR="00094C01">
              <w:rPr>
                <w:rFonts w:eastAsia="Times New Roman" w:cstheme="minorHAnsi"/>
                <w:sz w:val="18"/>
                <w:szCs w:val="18"/>
                <w:lang w:eastAsia="en-AU"/>
              </w:rPr>
              <w:t xml:space="preserve">the </w:t>
            </w:r>
            <w:r>
              <w:rPr>
                <w:rFonts w:eastAsia="Times New Roman" w:cstheme="minorHAnsi"/>
                <w:sz w:val="18"/>
                <w:szCs w:val="18"/>
                <w:lang w:eastAsia="en-AU"/>
              </w:rPr>
              <w:t xml:space="preserve">criteria for such meetings are unclear. </w:t>
            </w:r>
          </w:p>
        </w:tc>
        <w:tc>
          <w:tcPr>
            <w:tcW w:w="425" w:type="dxa"/>
          </w:tcPr>
          <w:p w14:paraId="1605E094" w14:textId="77777777" w:rsidR="00B378F1" w:rsidRPr="00516624" w:rsidRDefault="00B378F1" w:rsidP="000E6F0E">
            <w:pPr>
              <w:spacing w:before="0" w:after="0" w:line="240" w:lineRule="auto"/>
              <w:rPr>
                <w:rFonts w:cstheme="minorHAnsi"/>
                <w:sz w:val="18"/>
                <w:szCs w:val="18"/>
              </w:rPr>
            </w:pPr>
          </w:p>
        </w:tc>
        <w:tc>
          <w:tcPr>
            <w:tcW w:w="3405" w:type="dxa"/>
          </w:tcPr>
          <w:p w14:paraId="7A85565E" w14:textId="77777777" w:rsidR="00B378F1" w:rsidRPr="00D975FD"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5</w:t>
            </w:r>
            <w:r w:rsidRPr="00D975FD">
              <w:rPr>
                <w:rFonts w:eastAsia="Times New Roman" w:cstheme="minorHAnsi"/>
                <w:b/>
                <w:bCs/>
                <w:sz w:val="18"/>
                <w:szCs w:val="18"/>
                <w:lang w:eastAsia="en-AU"/>
              </w:rPr>
              <w:t>.Criteria for consumer hearings and stakeholder meetings</w:t>
            </w:r>
          </w:p>
          <w:p w14:paraId="684F54B9" w14:textId="77777777" w:rsidR="00B378F1" w:rsidRDefault="00B378F1" w:rsidP="000E6F0E">
            <w:pPr>
              <w:spacing w:before="0" w:after="0" w:line="240" w:lineRule="auto"/>
              <w:rPr>
                <w:rFonts w:eastAsia="Times New Roman" w:cstheme="minorHAnsi"/>
                <w:sz w:val="18"/>
                <w:szCs w:val="18"/>
                <w:lang w:eastAsia="en-AU"/>
              </w:rPr>
            </w:pPr>
          </w:p>
          <w:p w14:paraId="467231B8" w14:textId="57BFD193" w:rsidR="00B378F1" w:rsidRPr="00D975FD"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Develop</w:t>
            </w:r>
            <w:r w:rsidRPr="00D975FD">
              <w:rPr>
                <w:rFonts w:eastAsia="Times New Roman" w:cstheme="minorHAnsi"/>
                <w:sz w:val="18"/>
                <w:szCs w:val="18"/>
                <w:lang w:eastAsia="en-AU"/>
              </w:rPr>
              <w:t xml:space="preserve"> </w:t>
            </w:r>
            <w:r>
              <w:rPr>
                <w:rFonts w:eastAsia="Times New Roman" w:cstheme="minorHAnsi"/>
                <w:sz w:val="18"/>
                <w:szCs w:val="18"/>
                <w:lang w:eastAsia="en-AU"/>
              </w:rPr>
              <w:t>transparent c</w:t>
            </w:r>
            <w:r w:rsidRPr="00D975FD">
              <w:rPr>
                <w:rFonts w:eastAsia="Times New Roman" w:cstheme="minorHAnsi"/>
                <w:sz w:val="18"/>
                <w:szCs w:val="18"/>
                <w:lang w:eastAsia="en-AU"/>
              </w:rPr>
              <w:t xml:space="preserve">riteria </w:t>
            </w:r>
            <w:r>
              <w:rPr>
                <w:rFonts w:eastAsia="Times New Roman" w:cstheme="minorHAnsi"/>
                <w:sz w:val="18"/>
                <w:szCs w:val="18"/>
                <w:lang w:eastAsia="en-AU"/>
              </w:rPr>
              <w:t xml:space="preserve">for </w:t>
            </w:r>
            <w:r w:rsidRPr="00D975FD">
              <w:rPr>
                <w:rFonts w:eastAsia="Times New Roman" w:cstheme="minorHAnsi"/>
                <w:sz w:val="18"/>
                <w:szCs w:val="18"/>
                <w:lang w:eastAsia="en-AU"/>
              </w:rPr>
              <w:t>consumer</w:t>
            </w:r>
            <w:r>
              <w:rPr>
                <w:rFonts w:eastAsia="Times New Roman" w:cstheme="minorHAnsi"/>
                <w:sz w:val="18"/>
                <w:szCs w:val="18"/>
                <w:lang w:eastAsia="en-AU"/>
              </w:rPr>
              <w:t xml:space="preserve"> </w:t>
            </w:r>
            <w:r w:rsidRPr="00D975FD">
              <w:rPr>
                <w:rFonts w:eastAsia="Times New Roman" w:cstheme="minorHAnsi"/>
                <w:sz w:val="18"/>
                <w:szCs w:val="18"/>
                <w:lang w:eastAsia="en-AU"/>
              </w:rPr>
              <w:t>hearings and stakeholder meetings</w:t>
            </w:r>
            <w:r w:rsidR="00094C01">
              <w:rPr>
                <w:rFonts w:eastAsia="Times New Roman" w:cstheme="minorHAnsi"/>
                <w:sz w:val="18"/>
                <w:szCs w:val="18"/>
                <w:lang w:eastAsia="en-AU"/>
              </w:rPr>
              <w:t xml:space="preserve"> within HTA processes</w:t>
            </w:r>
            <w:r w:rsidRPr="00D975FD">
              <w:rPr>
                <w:rFonts w:eastAsia="Times New Roman" w:cstheme="minorHAnsi"/>
                <w:sz w:val="18"/>
                <w:szCs w:val="18"/>
                <w:lang w:eastAsia="en-AU"/>
              </w:rPr>
              <w:t>.</w:t>
            </w:r>
          </w:p>
          <w:p w14:paraId="25EA4AFE" w14:textId="77777777" w:rsidR="00B378F1" w:rsidRPr="00516624" w:rsidRDefault="00B378F1" w:rsidP="000E6F0E">
            <w:pPr>
              <w:spacing w:before="0" w:after="0" w:line="240" w:lineRule="auto"/>
              <w:rPr>
                <w:rFonts w:cstheme="minorHAnsi"/>
                <w:sz w:val="18"/>
                <w:szCs w:val="18"/>
              </w:rPr>
            </w:pPr>
          </w:p>
        </w:tc>
        <w:tc>
          <w:tcPr>
            <w:tcW w:w="3687" w:type="dxa"/>
          </w:tcPr>
          <w:p w14:paraId="284BC260" w14:textId="623EE1D2" w:rsidR="00B378F1" w:rsidRDefault="00B378F1" w:rsidP="000E6F0E">
            <w:pPr>
              <w:pStyle w:val="TableBullet"/>
              <w:spacing w:before="0" w:after="0" w:line="240" w:lineRule="auto"/>
              <w:rPr>
                <w:sz w:val="18"/>
                <w:szCs w:val="18"/>
              </w:rPr>
            </w:pPr>
            <w:r>
              <w:rPr>
                <w:sz w:val="18"/>
                <w:szCs w:val="18"/>
              </w:rPr>
              <w:t xml:space="preserve">Increase transparency </w:t>
            </w:r>
            <w:r w:rsidR="006259DD">
              <w:rPr>
                <w:sz w:val="18"/>
                <w:szCs w:val="18"/>
              </w:rPr>
              <w:t>about the purpose for hearings and meetings</w:t>
            </w:r>
            <w:r w:rsidR="001D2029">
              <w:rPr>
                <w:sz w:val="18"/>
                <w:szCs w:val="18"/>
              </w:rPr>
              <w:t xml:space="preserve"> and support consumer to provide input in an inclusive and accessible way</w:t>
            </w:r>
            <w:r w:rsidR="006259DD">
              <w:rPr>
                <w:sz w:val="18"/>
                <w:szCs w:val="18"/>
              </w:rPr>
              <w:t xml:space="preserve">. </w:t>
            </w:r>
          </w:p>
          <w:p w14:paraId="7D6C9704" w14:textId="5EC49525" w:rsidR="00B378F1" w:rsidRDefault="00B378F1" w:rsidP="000E6F0E">
            <w:pPr>
              <w:pStyle w:val="TableBullet"/>
              <w:spacing w:before="0" w:after="0" w:line="240" w:lineRule="auto"/>
              <w:rPr>
                <w:sz w:val="18"/>
                <w:szCs w:val="18"/>
              </w:rPr>
            </w:pPr>
            <w:r>
              <w:rPr>
                <w:sz w:val="18"/>
                <w:szCs w:val="18"/>
              </w:rPr>
              <w:t>Empower consumers to initiate hearings when criteria are met.</w:t>
            </w:r>
          </w:p>
          <w:p w14:paraId="49EA72DB" w14:textId="77777777" w:rsidR="00B378F1" w:rsidRPr="00761635" w:rsidRDefault="00B378F1" w:rsidP="000E6F0E">
            <w:pPr>
              <w:pStyle w:val="TableBullet"/>
              <w:spacing w:before="0" w:after="0" w:line="240" w:lineRule="auto"/>
              <w:rPr>
                <w:sz w:val="18"/>
                <w:szCs w:val="18"/>
              </w:rPr>
            </w:pPr>
            <w:r>
              <w:rPr>
                <w:sz w:val="18"/>
                <w:szCs w:val="18"/>
              </w:rPr>
              <w:t xml:space="preserve">Increase opportunities for PBAC decision-making to be informed by consumer evidence and experience. </w:t>
            </w:r>
          </w:p>
        </w:tc>
      </w:tr>
      <w:tr w:rsidR="00B378F1" w:rsidRPr="00516624" w14:paraId="086BB01A" w14:textId="77777777" w:rsidTr="00471587">
        <w:trPr>
          <w:cnfStyle w:val="000000100000" w:firstRow="0" w:lastRow="0" w:firstColumn="0" w:lastColumn="0" w:oddVBand="0" w:evenVBand="0" w:oddHBand="1" w:evenHBand="0" w:firstRowFirstColumn="0" w:firstRowLastColumn="0" w:lastRowFirstColumn="0" w:lastRowLastColumn="0"/>
          <w:trHeight w:val="302"/>
        </w:trPr>
        <w:tc>
          <w:tcPr>
            <w:tcW w:w="2697" w:type="dxa"/>
          </w:tcPr>
          <w:p w14:paraId="71CB1F46" w14:textId="77777777" w:rsidR="00B378F1" w:rsidRPr="00516624" w:rsidRDefault="00B378F1" w:rsidP="000E6F0E">
            <w:pPr>
              <w:spacing w:before="0" w:after="0" w:line="240" w:lineRule="auto"/>
              <w:rPr>
                <w:rFonts w:cstheme="minorHAnsi"/>
                <w:sz w:val="18"/>
                <w:szCs w:val="18"/>
              </w:rPr>
            </w:pPr>
            <w:r w:rsidRPr="00516624">
              <w:rPr>
                <w:rFonts w:eastAsia="Times New Roman" w:cstheme="minorHAnsi"/>
                <w:sz w:val="18"/>
                <w:szCs w:val="18"/>
                <w:lang w:eastAsia="en-AU"/>
              </w:rPr>
              <w:t xml:space="preserve">PBAC Public Summary </w:t>
            </w:r>
            <w:r>
              <w:rPr>
                <w:rFonts w:eastAsia="Times New Roman" w:cstheme="minorHAnsi"/>
                <w:sz w:val="18"/>
                <w:szCs w:val="18"/>
                <w:lang w:eastAsia="en-AU"/>
              </w:rPr>
              <w:t>D</w:t>
            </w:r>
            <w:r w:rsidRPr="00516624">
              <w:rPr>
                <w:rFonts w:eastAsia="Times New Roman" w:cstheme="minorHAnsi"/>
                <w:sz w:val="18"/>
                <w:szCs w:val="18"/>
                <w:lang w:eastAsia="en-AU"/>
              </w:rPr>
              <w:t xml:space="preserve">ocuments </w:t>
            </w:r>
            <w:r>
              <w:rPr>
                <w:rFonts w:eastAsia="Times New Roman" w:cstheme="minorHAnsi"/>
                <w:sz w:val="18"/>
                <w:szCs w:val="18"/>
                <w:lang w:eastAsia="en-AU"/>
              </w:rPr>
              <w:t xml:space="preserve">provide information about HTA </w:t>
            </w:r>
            <w:r w:rsidRPr="00516624">
              <w:rPr>
                <w:rFonts w:eastAsia="Times New Roman" w:cstheme="minorHAnsi"/>
                <w:sz w:val="18"/>
                <w:szCs w:val="18"/>
                <w:lang w:eastAsia="en-AU"/>
              </w:rPr>
              <w:t>outcome</w:t>
            </w:r>
            <w:r>
              <w:rPr>
                <w:rFonts w:eastAsia="Times New Roman" w:cstheme="minorHAnsi"/>
                <w:sz w:val="18"/>
                <w:szCs w:val="18"/>
                <w:lang w:eastAsia="en-AU"/>
              </w:rPr>
              <w:t>s, however, these communications lack information about how consumer input informed decision-making</w:t>
            </w:r>
            <w:r w:rsidRPr="00516624">
              <w:rPr>
                <w:rFonts w:eastAsia="Times New Roman" w:cstheme="minorHAnsi"/>
                <w:sz w:val="18"/>
                <w:szCs w:val="18"/>
                <w:lang w:eastAsia="en-AU"/>
              </w:rPr>
              <w:t>.</w:t>
            </w:r>
          </w:p>
        </w:tc>
        <w:tc>
          <w:tcPr>
            <w:tcW w:w="425" w:type="dxa"/>
          </w:tcPr>
          <w:p w14:paraId="187BA7E9" w14:textId="77777777" w:rsidR="00B378F1" w:rsidRPr="00516624" w:rsidRDefault="00B378F1" w:rsidP="000E6F0E">
            <w:pPr>
              <w:spacing w:before="0" w:after="0" w:line="240" w:lineRule="auto"/>
              <w:rPr>
                <w:rFonts w:cstheme="minorHAnsi"/>
                <w:sz w:val="18"/>
                <w:szCs w:val="18"/>
              </w:rPr>
            </w:pPr>
          </w:p>
        </w:tc>
        <w:tc>
          <w:tcPr>
            <w:tcW w:w="3405" w:type="dxa"/>
          </w:tcPr>
          <w:p w14:paraId="5AE54346"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6</w:t>
            </w:r>
            <w:r w:rsidRPr="00D975FD">
              <w:rPr>
                <w:rFonts w:eastAsia="Times New Roman" w:cstheme="minorHAnsi"/>
                <w:b/>
                <w:bCs/>
                <w:sz w:val="18"/>
                <w:szCs w:val="18"/>
                <w:lang w:eastAsia="en-AU"/>
              </w:rPr>
              <w:t xml:space="preserve">.Consumer </w:t>
            </w:r>
            <w:r>
              <w:rPr>
                <w:rFonts w:eastAsia="Times New Roman" w:cstheme="minorHAnsi"/>
                <w:b/>
                <w:bCs/>
                <w:sz w:val="18"/>
                <w:szCs w:val="18"/>
                <w:lang w:eastAsia="en-AU"/>
              </w:rPr>
              <w:t xml:space="preserve">input </w:t>
            </w:r>
            <w:r w:rsidRPr="00D975FD">
              <w:rPr>
                <w:rFonts w:eastAsia="Times New Roman" w:cstheme="minorHAnsi"/>
                <w:b/>
                <w:bCs/>
                <w:sz w:val="18"/>
                <w:szCs w:val="18"/>
                <w:lang w:eastAsia="en-AU"/>
              </w:rPr>
              <w:t>feedback loop</w:t>
            </w:r>
          </w:p>
          <w:p w14:paraId="2852C606" w14:textId="77777777" w:rsidR="00B378F1" w:rsidRPr="00D975FD" w:rsidRDefault="00B378F1" w:rsidP="000E6F0E">
            <w:pPr>
              <w:spacing w:before="0" w:after="0" w:line="240" w:lineRule="auto"/>
              <w:rPr>
                <w:rFonts w:eastAsia="Times New Roman" w:cstheme="minorHAnsi"/>
                <w:b/>
                <w:bCs/>
                <w:sz w:val="18"/>
                <w:szCs w:val="18"/>
                <w:lang w:eastAsia="en-AU"/>
              </w:rPr>
            </w:pPr>
          </w:p>
          <w:p w14:paraId="0A8395BF" w14:textId="77777777" w:rsidR="00B378F1" w:rsidRPr="00D975FD" w:rsidRDefault="00B378F1" w:rsidP="000E6F0E">
            <w:pPr>
              <w:spacing w:before="0" w:after="0" w:line="240" w:lineRule="auto"/>
              <w:rPr>
                <w:rFonts w:cstheme="minorHAnsi"/>
                <w:sz w:val="18"/>
                <w:szCs w:val="18"/>
              </w:rPr>
            </w:pPr>
            <w:r w:rsidRPr="00D975FD">
              <w:rPr>
                <w:rFonts w:eastAsia="Times New Roman" w:cstheme="minorHAnsi"/>
                <w:sz w:val="18"/>
                <w:szCs w:val="18"/>
                <w:lang w:eastAsia="en-AU"/>
              </w:rPr>
              <w:t xml:space="preserve">PBAC to provide information and feedback </w:t>
            </w:r>
            <w:r>
              <w:rPr>
                <w:rFonts w:eastAsia="Times New Roman" w:cstheme="minorHAnsi"/>
                <w:sz w:val="18"/>
                <w:szCs w:val="18"/>
                <w:lang w:eastAsia="en-AU"/>
              </w:rPr>
              <w:t xml:space="preserve">about the use of consumer input in decision-making. </w:t>
            </w:r>
          </w:p>
        </w:tc>
        <w:tc>
          <w:tcPr>
            <w:tcW w:w="3687" w:type="dxa"/>
          </w:tcPr>
          <w:p w14:paraId="75147163" w14:textId="425C58BE" w:rsidR="00B378F1" w:rsidRDefault="00094C01" w:rsidP="000E6F0E">
            <w:pPr>
              <w:pStyle w:val="TableBullet"/>
              <w:spacing w:before="0" w:after="0" w:line="240" w:lineRule="auto"/>
              <w:rPr>
                <w:sz w:val="18"/>
                <w:szCs w:val="18"/>
              </w:rPr>
            </w:pPr>
            <w:r>
              <w:rPr>
                <w:sz w:val="18"/>
                <w:szCs w:val="18"/>
              </w:rPr>
              <w:t>Demonstrate</w:t>
            </w:r>
            <w:r w:rsidR="00B378F1" w:rsidRPr="00516624">
              <w:rPr>
                <w:sz w:val="18"/>
                <w:szCs w:val="18"/>
              </w:rPr>
              <w:t xml:space="preserve"> the impact of consumer </w:t>
            </w:r>
            <w:r w:rsidR="004E0815">
              <w:rPr>
                <w:sz w:val="18"/>
                <w:szCs w:val="18"/>
              </w:rPr>
              <w:t xml:space="preserve">input </w:t>
            </w:r>
            <w:r w:rsidR="00B378F1" w:rsidRPr="00516624">
              <w:rPr>
                <w:sz w:val="18"/>
                <w:szCs w:val="18"/>
              </w:rPr>
              <w:t xml:space="preserve">on </w:t>
            </w:r>
            <w:r w:rsidR="004E0815">
              <w:rPr>
                <w:sz w:val="18"/>
                <w:szCs w:val="18"/>
              </w:rPr>
              <w:t xml:space="preserve">PBAC </w:t>
            </w:r>
            <w:r w:rsidR="00B378F1" w:rsidRPr="00516624">
              <w:rPr>
                <w:sz w:val="18"/>
                <w:szCs w:val="18"/>
              </w:rPr>
              <w:t>decision-making.</w:t>
            </w:r>
          </w:p>
          <w:p w14:paraId="683D0813" w14:textId="3F65936E" w:rsidR="00B378F1" w:rsidRPr="00516624" w:rsidRDefault="00B378F1" w:rsidP="000E6F0E">
            <w:pPr>
              <w:pStyle w:val="TableBullet"/>
              <w:spacing w:before="0" w:after="0" w:line="240" w:lineRule="auto"/>
              <w:rPr>
                <w:sz w:val="18"/>
                <w:szCs w:val="18"/>
              </w:rPr>
            </w:pPr>
            <w:r w:rsidRPr="00516624">
              <w:rPr>
                <w:sz w:val="18"/>
                <w:szCs w:val="18"/>
              </w:rPr>
              <w:t xml:space="preserve">Enable consumers to </w:t>
            </w:r>
            <w:r w:rsidR="00AB47DF">
              <w:rPr>
                <w:sz w:val="18"/>
                <w:szCs w:val="18"/>
              </w:rPr>
              <w:t>develop t</w:t>
            </w:r>
            <w:r w:rsidRPr="00516624">
              <w:rPr>
                <w:sz w:val="18"/>
                <w:szCs w:val="18"/>
              </w:rPr>
              <w:t xml:space="preserve">he quality of </w:t>
            </w:r>
            <w:r>
              <w:rPr>
                <w:sz w:val="18"/>
                <w:szCs w:val="18"/>
              </w:rPr>
              <w:t xml:space="preserve">their input </w:t>
            </w:r>
            <w:r w:rsidR="004637CB">
              <w:rPr>
                <w:sz w:val="18"/>
                <w:szCs w:val="18"/>
              </w:rPr>
              <w:t xml:space="preserve">and evidence relevant to </w:t>
            </w:r>
            <w:r>
              <w:rPr>
                <w:sz w:val="18"/>
                <w:szCs w:val="18"/>
              </w:rPr>
              <w:t>health technologies considered by PBAC</w:t>
            </w:r>
            <w:r w:rsidRPr="00516624">
              <w:rPr>
                <w:sz w:val="18"/>
                <w:szCs w:val="18"/>
              </w:rPr>
              <w:t>.</w:t>
            </w:r>
          </w:p>
        </w:tc>
      </w:tr>
      <w:tr w:rsidR="00B378F1" w:rsidRPr="00516624" w14:paraId="1CE656F2" w14:textId="77777777" w:rsidTr="00471587">
        <w:trPr>
          <w:cnfStyle w:val="000000010000" w:firstRow="0" w:lastRow="0" w:firstColumn="0" w:lastColumn="0" w:oddVBand="0" w:evenVBand="0" w:oddHBand="0" w:evenHBand="1" w:firstRowFirstColumn="0" w:firstRowLastColumn="0" w:lastRowFirstColumn="0" w:lastRowLastColumn="0"/>
          <w:trHeight w:val="302"/>
        </w:trPr>
        <w:tc>
          <w:tcPr>
            <w:tcW w:w="2697" w:type="dxa"/>
          </w:tcPr>
          <w:p w14:paraId="264F77D7" w14:textId="0C3491BB" w:rsidR="00B378F1" w:rsidRPr="00F72AF1" w:rsidRDefault="00B378F1" w:rsidP="000E6F0E">
            <w:pPr>
              <w:spacing w:before="0" w:after="0" w:line="240" w:lineRule="auto"/>
              <w:rPr>
                <w:rFonts w:cstheme="minorHAnsi"/>
                <w:sz w:val="18"/>
                <w:szCs w:val="18"/>
                <w:highlight w:val="yellow"/>
              </w:rPr>
            </w:pPr>
            <w:r w:rsidRPr="00602E4D">
              <w:rPr>
                <w:rFonts w:eastAsia="Times New Roman" w:cstheme="minorHAnsi"/>
                <w:sz w:val="18"/>
                <w:szCs w:val="18"/>
                <w:lang w:eastAsia="en-AU"/>
              </w:rPr>
              <w:t>PBAC recommendations</w:t>
            </w:r>
            <w:r>
              <w:rPr>
                <w:rFonts w:eastAsia="Times New Roman" w:cstheme="minorHAnsi"/>
                <w:sz w:val="18"/>
                <w:szCs w:val="18"/>
                <w:lang w:eastAsia="en-AU"/>
              </w:rPr>
              <w:t xml:space="preserve"> are made after careful consideration, however</w:t>
            </w:r>
            <w:r w:rsidR="00D23726">
              <w:rPr>
                <w:rFonts w:eastAsia="Times New Roman" w:cstheme="minorHAnsi"/>
                <w:sz w:val="18"/>
                <w:szCs w:val="18"/>
                <w:lang w:eastAsia="en-AU"/>
              </w:rPr>
              <w:t>,</w:t>
            </w:r>
            <w:r>
              <w:rPr>
                <w:rFonts w:eastAsia="Times New Roman" w:cstheme="minorHAnsi"/>
                <w:sz w:val="18"/>
                <w:szCs w:val="18"/>
                <w:lang w:eastAsia="en-AU"/>
              </w:rPr>
              <w:t xml:space="preserve"> there is no</w:t>
            </w:r>
            <w:r w:rsidRPr="00F72AF1">
              <w:rPr>
                <w:rFonts w:eastAsia="Times New Roman" w:cstheme="minorHAnsi"/>
                <w:sz w:val="18"/>
                <w:szCs w:val="18"/>
                <w:lang w:eastAsia="en-AU"/>
              </w:rPr>
              <w:t xml:space="preserve"> established process </w:t>
            </w:r>
            <w:r>
              <w:rPr>
                <w:rFonts w:eastAsia="Times New Roman" w:cstheme="minorHAnsi"/>
                <w:sz w:val="18"/>
                <w:szCs w:val="18"/>
                <w:lang w:eastAsia="en-AU"/>
              </w:rPr>
              <w:t>for consumers to provide input</w:t>
            </w:r>
            <w:r w:rsidRPr="00FB50D3">
              <w:rPr>
                <w:rFonts w:eastAsia="Times New Roman" w:cstheme="minorHAnsi"/>
                <w:sz w:val="18"/>
                <w:szCs w:val="18"/>
                <w:lang w:eastAsia="en-AU"/>
              </w:rPr>
              <w:t xml:space="preserve"> </w:t>
            </w:r>
            <w:r w:rsidR="00D23726">
              <w:rPr>
                <w:rFonts w:eastAsia="Times New Roman" w:cstheme="minorHAnsi"/>
                <w:sz w:val="18"/>
                <w:szCs w:val="18"/>
                <w:lang w:eastAsia="en-AU"/>
              </w:rPr>
              <w:t xml:space="preserve">about </w:t>
            </w:r>
            <w:r w:rsidRPr="00F72AF1">
              <w:rPr>
                <w:rFonts w:eastAsia="Times New Roman" w:cstheme="minorHAnsi"/>
                <w:sz w:val="18"/>
                <w:szCs w:val="18"/>
                <w:lang w:eastAsia="en-AU"/>
              </w:rPr>
              <w:t xml:space="preserve">potential implementation issues prior to </w:t>
            </w:r>
            <w:r w:rsidRPr="00602E4D">
              <w:rPr>
                <w:rFonts w:eastAsia="Times New Roman" w:cstheme="minorHAnsi"/>
                <w:sz w:val="18"/>
                <w:szCs w:val="18"/>
                <w:lang w:eastAsia="en-AU"/>
              </w:rPr>
              <w:t>listing</w:t>
            </w:r>
            <w:r>
              <w:rPr>
                <w:rFonts w:eastAsia="Times New Roman" w:cstheme="minorHAnsi"/>
                <w:sz w:val="18"/>
                <w:szCs w:val="18"/>
                <w:lang w:eastAsia="en-AU"/>
              </w:rPr>
              <w:t>.</w:t>
            </w:r>
            <w:r w:rsidRPr="00602E4D">
              <w:rPr>
                <w:rFonts w:eastAsia="Times New Roman" w:cstheme="minorHAnsi"/>
                <w:sz w:val="18"/>
                <w:szCs w:val="18"/>
                <w:lang w:eastAsia="en-AU"/>
              </w:rPr>
              <w:t xml:space="preserve"> </w:t>
            </w:r>
          </w:p>
        </w:tc>
        <w:tc>
          <w:tcPr>
            <w:tcW w:w="425" w:type="dxa"/>
          </w:tcPr>
          <w:p w14:paraId="51B534E4" w14:textId="77777777" w:rsidR="00B378F1" w:rsidRPr="00516624" w:rsidRDefault="00B378F1" w:rsidP="000E6F0E">
            <w:pPr>
              <w:spacing w:before="0" w:after="0" w:line="240" w:lineRule="auto"/>
              <w:rPr>
                <w:rFonts w:cstheme="minorHAnsi"/>
                <w:sz w:val="18"/>
                <w:szCs w:val="18"/>
              </w:rPr>
            </w:pPr>
          </w:p>
        </w:tc>
        <w:tc>
          <w:tcPr>
            <w:tcW w:w="3405" w:type="dxa"/>
          </w:tcPr>
          <w:p w14:paraId="2FBAFB1A"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7</w:t>
            </w:r>
            <w:r w:rsidRPr="00D975FD">
              <w:rPr>
                <w:rFonts w:eastAsia="Times New Roman" w:cstheme="minorHAnsi"/>
                <w:b/>
                <w:bCs/>
                <w:sz w:val="18"/>
                <w:szCs w:val="18"/>
                <w:lang w:eastAsia="en-AU"/>
              </w:rPr>
              <w:t>.</w:t>
            </w:r>
            <w:r>
              <w:rPr>
                <w:rFonts w:eastAsia="Times New Roman" w:cstheme="minorHAnsi"/>
                <w:b/>
                <w:bCs/>
                <w:sz w:val="18"/>
                <w:szCs w:val="18"/>
                <w:lang w:eastAsia="en-AU"/>
              </w:rPr>
              <w:t xml:space="preserve"> Consumer input on implementation considerations following PBAC recommendations</w:t>
            </w:r>
          </w:p>
          <w:p w14:paraId="333FD9FB" w14:textId="77777777" w:rsidR="00B378F1" w:rsidRDefault="00B378F1" w:rsidP="000E6F0E">
            <w:pPr>
              <w:spacing w:before="0" w:after="0" w:line="240" w:lineRule="auto"/>
              <w:rPr>
                <w:rFonts w:eastAsia="Times New Roman" w:cstheme="minorHAnsi"/>
                <w:b/>
                <w:bCs/>
                <w:sz w:val="18"/>
                <w:szCs w:val="18"/>
                <w:lang w:eastAsia="en-AU"/>
              </w:rPr>
            </w:pPr>
          </w:p>
          <w:p w14:paraId="339A3B3D" w14:textId="01BF70D3" w:rsidR="00B378F1" w:rsidRPr="00A87BB2"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Establish efficient process for input by expert </w:t>
            </w:r>
            <w:r w:rsidR="002E458B">
              <w:rPr>
                <w:rFonts w:eastAsia="Times New Roman" w:cstheme="minorHAnsi"/>
                <w:sz w:val="18"/>
                <w:szCs w:val="18"/>
                <w:lang w:eastAsia="en-AU"/>
              </w:rPr>
              <w:t xml:space="preserve">identified </w:t>
            </w:r>
            <w:r>
              <w:rPr>
                <w:rFonts w:eastAsia="Times New Roman" w:cstheme="minorHAnsi"/>
                <w:sz w:val="18"/>
                <w:szCs w:val="18"/>
                <w:lang w:eastAsia="en-AU"/>
              </w:rPr>
              <w:t>consumer</w:t>
            </w:r>
            <w:r w:rsidR="002E458B">
              <w:rPr>
                <w:rFonts w:eastAsia="Times New Roman" w:cstheme="minorHAnsi"/>
                <w:sz w:val="18"/>
                <w:szCs w:val="18"/>
                <w:lang w:eastAsia="en-AU"/>
              </w:rPr>
              <w:t xml:space="preserve">s </w:t>
            </w:r>
            <w:r>
              <w:rPr>
                <w:rFonts w:eastAsia="Times New Roman" w:cstheme="minorHAnsi"/>
                <w:sz w:val="18"/>
                <w:szCs w:val="18"/>
                <w:lang w:eastAsia="en-AU"/>
              </w:rPr>
              <w:t xml:space="preserve">on implementation issues for </w:t>
            </w:r>
            <w:r w:rsidR="00D23726">
              <w:rPr>
                <w:rFonts w:eastAsia="Times New Roman" w:cstheme="minorHAnsi"/>
                <w:sz w:val="18"/>
                <w:szCs w:val="18"/>
                <w:lang w:eastAsia="en-AU"/>
              </w:rPr>
              <w:t xml:space="preserve">positive </w:t>
            </w:r>
            <w:r>
              <w:rPr>
                <w:rFonts w:eastAsia="Times New Roman" w:cstheme="minorHAnsi"/>
                <w:sz w:val="18"/>
                <w:szCs w:val="18"/>
                <w:lang w:eastAsia="en-AU"/>
              </w:rPr>
              <w:t xml:space="preserve">PBAC recommendations. </w:t>
            </w:r>
          </w:p>
        </w:tc>
        <w:tc>
          <w:tcPr>
            <w:tcW w:w="3687" w:type="dxa"/>
          </w:tcPr>
          <w:p w14:paraId="68803311" w14:textId="193412C8" w:rsidR="005A242F" w:rsidRDefault="005A242F" w:rsidP="005A242F">
            <w:pPr>
              <w:pStyle w:val="TableBullet"/>
              <w:spacing w:before="0" w:after="0" w:line="240" w:lineRule="auto"/>
              <w:rPr>
                <w:sz w:val="18"/>
                <w:szCs w:val="18"/>
              </w:rPr>
            </w:pPr>
            <w:r>
              <w:rPr>
                <w:sz w:val="18"/>
                <w:szCs w:val="18"/>
              </w:rPr>
              <w:t>Engage c</w:t>
            </w:r>
            <w:r w:rsidR="00B378F1" w:rsidRPr="00516624">
              <w:rPr>
                <w:sz w:val="18"/>
                <w:szCs w:val="18"/>
              </w:rPr>
              <w:t>onsumer</w:t>
            </w:r>
            <w:r w:rsidR="00B378F1">
              <w:rPr>
                <w:sz w:val="18"/>
                <w:szCs w:val="18"/>
              </w:rPr>
              <w:t xml:space="preserve"> </w:t>
            </w:r>
            <w:r w:rsidR="00924685">
              <w:rPr>
                <w:sz w:val="18"/>
                <w:szCs w:val="18"/>
              </w:rPr>
              <w:t>expertise</w:t>
            </w:r>
            <w:r w:rsidR="00B378F1">
              <w:rPr>
                <w:sz w:val="18"/>
                <w:szCs w:val="18"/>
              </w:rPr>
              <w:t xml:space="preserve"> </w:t>
            </w:r>
            <w:r w:rsidR="00924685">
              <w:rPr>
                <w:sz w:val="18"/>
                <w:szCs w:val="18"/>
              </w:rPr>
              <w:t>about the medical, practical</w:t>
            </w:r>
            <w:r>
              <w:rPr>
                <w:sz w:val="18"/>
                <w:szCs w:val="18"/>
              </w:rPr>
              <w:t>,</w:t>
            </w:r>
            <w:r w:rsidR="00924685">
              <w:rPr>
                <w:sz w:val="18"/>
                <w:szCs w:val="18"/>
              </w:rPr>
              <w:t xml:space="preserve"> and equitable </w:t>
            </w:r>
            <w:r>
              <w:rPr>
                <w:sz w:val="18"/>
                <w:szCs w:val="18"/>
              </w:rPr>
              <w:t>implementation issues for recommended health technologies.</w:t>
            </w:r>
          </w:p>
          <w:p w14:paraId="71C13A4C" w14:textId="5D4E1D94" w:rsidR="00B378F1" w:rsidRPr="00972931" w:rsidRDefault="00224EF6" w:rsidP="00972931">
            <w:pPr>
              <w:pStyle w:val="TableBullet"/>
              <w:spacing w:before="0" w:after="0" w:line="240" w:lineRule="auto"/>
              <w:rPr>
                <w:sz w:val="18"/>
                <w:szCs w:val="18"/>
              </w:rPr>
            </w:pPr>
            <w:r>
              <w:rPr>
                <w:sz w:val="18"/>
                <w:szCs w:val="18"/>
              </w:rPr>
              <w:t>Ensure t</w:t>
            </w:r>
            <w:r w:rsidR="00761110">
              <w:rPr>
                <w:sz w:val="18"/>
                <w:szCs w:val="18"/>
              </w:rPr>
              <w:t>here is a</w:t>
            </w:r>
            <w:r w:rsidR="007C3EE8">
              <w:rPr>
                <w:sz w:val="18"/>
                <w:szCs w:val="18"/>
              </w:rPr>
              <w:t xml:space="preserve">n efficient </w:t>
            </w:r>
            <w:r w:rsidR="00761110">
              <w:rPr>
                <w:sz w:val="18"/>
                <w:szCs w:val="18"/>
              </w:rPr>
              <w:t>pre-listing opportunity</w:t>
            </w:r>
            <w:r w:rsidR="007C3EE8">
              <w:rPr>
                <w:sz w:val="18"/>
                <w:szCs w:val="18"/>
              </w:rPr>
              <w:t xml:space="preserve">, </w:t>
            </w:r>
            <w:r w:rsidR="00F232F9">
              <w:rPr>
                <w:sz w:val="18"/>
                <w:szCs w:val="18"/>
              </w:rPr>
              <w:t>which</w:t>
            </w:r>
            <w:r w:rsidR="007C3EE8">
              <w:rPr>
                <w:sz w:val="18"/>
                <w:szCs w:val="18"/>
              </w:rPr>
              <w:t xml:space="preserve"> does not delay timelines, for consumers to have</w:t>
            </w:r>
            <w:r w:rsidR="00DF4ACB">
              <w:rPr>
                <w:sz w:val="18"/>
                <w:szCs w:val="18"/>
              </w:rPr>
              <w:t xml:space="preserve"> </w:t>
            </w:r>
            <w:r w:rsidR="00761110">
              <w:rPr>
                <w:sz w:val="18"/>
                <w:szCs w:val="18"/>
              </w:rPr>
              <w:t xml:space="preserve">input </w:t>
            </w:r>
            <w:r w:rsidR="00E67CCB">
              <w:rPr>
                <w:sz w:val="18"/>
                <w:szCs w:val="18"/>
              </w:rPr>
              <w:t xml:space="preserve">on implementation issues </w:t>
            </w:r>
            <w:r w:rsidR="00972931">
              <w:rPr>
                <w:sz w:val="18"/>
                <w:szCs w:val="18"/>
              </w:rPr>
              <w:t xml:space="preserve">ideally identified through </w:t>
            </w:r>
            <w:r w:rsidR="00193514">
              <w:rPr>
                <w:sz w:val="18"/>
                <w:szCs w:val="18"/>
              </w:rPr>
              <w:t xml:space="preserve">earlier engagement </w:t>
            </w:r>
            <w:r w:rsidR="00972931">
              <w:rPr>
                <w:sz w:val="18"/>
                <w:szCs w:val="18"/>
              </w:rPr>
              <w:t xml:space="preserve">in HTA processes. </w:t>
            </w:r>
          </w:p>
        </w:tc>
      </w:tr>
    </w:tbl>
    <w:p w14:paraId="4685D35C" w14:textId="77777777" w:rsidR="007024A6" w:rsidRDefault="007024A6" w:rsidP="00B378F1">
      <w:pPr>
        <w:suppressAutoHyphens w:val="0"/>
        <w:spacing w:before="0" w:after="0" w:line="240" w:lineRule="auto"/>
        <w:rPr>
          <w:b/>
          <w:bCs/>
        </w:rPr>
      </w:pPr>
    </w:p>
    <w:p w14:paraId="28A2121B" w14:textId="4B243158" w:rsidR="00B378F1" w:rsidRPr="00164DE0" w:rsidRDefault="00B378F1" w:rsidP="00B378F1">
      <w:pPr>
        <w:suppressAutoHyphens w:val="0"/>
        <w:spacing w:before="0" w:after="0" w:line="240" w:lineRule="auto"/>
        <w:rPr>
          <w:b/>
          <w:bCs/>
        </w:rPr>
      </w:pPr>
      <w:r w:rsidRPr="00164DE0">
        <w:rPr>
          <w:b/>
          <w:bCs/>
        </w:rPr>
        <w:t>POST-HTA ENHANCEMENTS</w:t>
      </w:r>
    </w:p>
    <w:p w14:paraId="6C9D5F03" w14:textId="77777777" w:rsidR="00B378F1" w:rsidRDefault="00B378F1" w:rsidP="00B378F1">
      <w:pPr>
        <w:suppressAutoHyphens w:val="0"/>
        <w:spacing w:before="0" w:after="0" w:line="240" w:lineRule="auto"/>
      </w:pPr>
    </w:p>
    <w:tbl>
      <w:tblPr>
        <w:tblStyle w:val="UniofMelTable3"/>
        <w:tblW w:w="5005" w:type="pct"/>
        <w:tblLook w:val="04A0" w:firstRow="1" w:lastRow="0" w:firstColumn="1" w:lastColumn="0" w:noHBand="0" w:noVBand="1"/>
      </w:tblPr>
      <w:tblGrid>
        <w:gridCol w:w="2697"/>
        <w:gridCol w:w="425"/>
        <w:gridCol w:w="3405"/>
        <w:gridCol w:w="3687"/>
      </w:tblGrid>
      <w:tr w:rsidR="00B378F1" w:rsidRPr="00516624" w14:paraId="30577277" w14:textId="77777777" w:rsidTr="00AC7943">
        <w:trPr>
          <w:cnfStyle w:val="100000000000" w:firstRow="1" w:lastRow="0" w:firstColumn="0" w:lastColumn="0" w:oddVBand="0" w:evenVBand="0" w:oddHBand="0" w:evenHBand="0" w:firstRowFirstColumn="0" w:firstRowLastColumn="0" w:lastRowFirstColumn="0" w:lastRowLastColumn="0"/>
          <w:trHeight w:val="302"/>
        </w:trPr>
        <w:tc>
          <w:tcPr>
            <w:tcW w:w="2694" w:type="dxa"/>
          </w:tcPr>
          <w:p w14:paraId="6C52E1AF" w14:textId="77777777" w:rsidR="00B378F1" w:rsidRDefault="00B378F1" w:rsidP="000E6F0E">
            <w:pPr>
              <w:spacing w:before="0" w:after="0" w:line="240" w:lineRule="auto"/>
              <w:rPr>
                <w:rFonts w:cstheme="minorHAnsi"/>
                <w:b/>
                <w:bCs/>
                <w:sz w:val="18"/>
                <w:szCs w:val="18"/>
              </w:rPr>
            </w:pPr>
            <w:r w:rsidRPr="00516624">
              <w:rPr>
                <w:rFonts w:cstheme="minorHAnsi"/>
                <w:b/>
                <w:bCs/>
                <w:sz w:val="18"/>
                <w:szCs w:val="18"/>
              </w:rPr>
              <w:t xml:space="preserve">Current Process </w:t>
            </w:r>
          </w:p>
          <w:p w14:paraId="661E8CE7" w14:textId="77777777" w:rsidR="00B378F1" w:rsidRPr="00516624" w:rsidRDefault="00B378F1" w:rsidP="000E6F0E">
            <w:pPr>
              <w:spacing w:before="0" w:after="0" w:line="240" w:lineRule="auto"/>
              <w:rPr>
                <w:rFonts w:eastAsia="Times New Roman" w:cstheme="minorHAnsi"/>
                <w:sz w:val="18"/>
                <w:szCs w:val="18"/>
                <w:lang w:eastAsia="en-AU"/>
              </w:rPr>
            </w:pPr>
          </w:p>
        </w:tc>
        <w:tc>
          <w:tcPr>
            <w:tcW w:w="425" w:type="dxa"/>
          </w:tcPr>
          <w:p w14:paraId="3D105B2D" w14:textId="531E41D6" w:rsidR="00B378F1" w:rsidRPr="00516624" w:rsidRDefault="00B378F1" w:rsidP="000E6F0E">
            <w:pPr>
              <w:spacing w:before="0" w:after="0" w:line="240" w:lineRule="auto"/>
              <w:rPr>
                <w:rFonts w:cstheme="minorHAnsi"/>
                <w:sz w:val="18"/>
                <w:szCs w:val="18"/>
              </w:rPr>
            </w:pPr>
          </w:p>
        </w:tc>
        <w:tc>
          <w:tcPr>
            <w:tcW w:w="3402" w:type="dxa"/>
          </w:tcPr>
          <w:p w14:paraId="37869E59" w14:textId="77777777" w:rsidR="00B378F1" w:rsidRPr="00D975FD" w:rsidRDefault="00B378F1" w:rsidP="000E6F0E">
            <w:pPr>
              <w:spacing w:before="0" w:after="0" w:line="240" w:lineRule="auto"/>
              <w:rPr>
                <w:rFonts w:eastAsia="Times New Roman" w:cstheme="minorHAnsi"/>
                <w:b/>
                <w:bCs/>
                <w:sz w:val="18"/>
                <w:szCs w:val="18"/>
                <w:lang w:eastAsia="en-AU"/>
              </w:rPr>
            </w:pPr>
            <w:r w:rsidRPr="00516624">
              <w:rPr>
                <w:rFonts w:cstheme="minorHAnsi"/>
                <w:b/>
                <w:bCs/>
                <w:sz w:val="18"/>
                <w:szCs w:val="18"/>
              </w:rPr>
              <w:t xml:space="preserve">Proposed Recommendation </w:t>
            </w:r>
          </w:p>
        </w:tc>
        <w:tc>
          <w:tcPr>
            <w:tcW w:w="3683" w:type="dxa"/>
          </w:tcPr>
          <w:p w14:paraId="42757D5F" w14:textId="77777777" w:rsidR="00B378F1" w:rsidRPr="00516624" w:rsidRDefault="00B378F1" w:rsidP="000E6F0E">
            <w:pPr>
              <w:pStyle w:val="TableBullet"/>
              <w:numPr>
                <w:ilvl w:val="0"/>
                <w:numId w:val="0"/>
              </w:numPr>
              <w:spacing w:before="0" w:after="0" w:line="240" w:lineRule="auto"/>
              <w:ind w:left="360" w:hanging="360"/>
              <w:rPr>
                <w:sz w:val="18"/>
                <w:szCs w:val="18"/>
              </w:rPr>
            </w:pPr>
            <w:r w:rsidRPr="00516624">
              <w:rPr>
                <w:rFonts w:cstheme="minorHAnsi"/>
                <w:b/>
                <w:bCs/>
                <w:sz w:val="18"/>
                <w:szCs w:val="18"/>
              </w:rPr>
              <w:t>Purpose of Recommendation</w:t>
            </w:r>
          </w:p>
        </w:tc>
      </w:tr>
      <w:tr w:rsidR="00B378F1" w:rsidRPr="00516624" w14:paraId="2B2591ED" w14:textId="77777777" w:rsidTr="00AC7943">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25CF079D" w14:textId="72B1CB11" w:rsidR="00B378F1" w:rsidRPr="00516624"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 xml:space="preserve">The </w:t>
            </w:r>
            <w:r w:rsidRPr="00516624">
              <w:rPr>
                <w:rFonts w:eastAsia="Times New Roman" w:cstheme="minorHAnsi"/>
                <w:sz w:val="18"/>
                <w:szCs w:val="18"/>
                <w:lang w:eastAsia="en-AU"/>
              </w:rPr>
              <w:t xml:space="preserve">Medicines Status Website </w:t>
            </w:r>
            <w:r>
              <w:rPr>
                <w:rFonts w:eastAsia="Times New Roman" w:cstheme="minorHAnsi"/>
                <w:sz w:val="18"/>
                <w:szCs w:val="18"/>
                <w:lang w:eastAsia="en-AU"/>
              </w:rPr>
              <w:t>provides minimal information about the status of a health technology after it is approved</w:t>
            </w:r>
            <w:r w:rsidR="000A7C91">
              <w:rPr>
                <w:rFonts w:eastAsia="Times New Roman" w:cstheme="minorHAnsi"/>
                <w:sz w:val="18"/>
                <w:szCs w:val="18"/>
                <w:lang w:eastAsia="en-AU"/>
              </w:rPr>
              <w:t>,</w:t>
            </w:r>
            <w:r>
              <w:rPr>
                <w:rFonts w:eastAsia="Times New Roman" w:cstheme="minorHAnsi"/>
                <w:sz w:val="18"/>
                <w:szCs w:val="18"/>
                <w:lang w:eastAsia="en-AU"/>
              </w:rPr>
              <w:t xml:space="preserve"> but not yet listed</w:t>
            </w:r>
            <w:r w:rsidR="000A7C91">
              <w:rPr>
                <w:rFonts w:eastAsia="Times New Roman" w:cstheme="minorHAnsi"/>
                <w:sz w:val="18"/>
                <w:szCs w:val="18"/>
                <w:lang w:eastAsia="en-AU"/>
              </w:rPr>
              <w:t>,</w:t>
            </w:r>
            <w:r>
              <w:rPr>
                <w:rFonts w:eastAsia="Times New Roman" w:cstheme="minorHAnsi"/>
                <w:sz w:val="18"/>
                <w:szCs w:val="18"/>
                <w:lang w:eastAsia="en-AU"/>
              </w:rPr>
              <w:t xml:space="preserve"> while pricing negotiations are underway. </w:t>
            </w:r>
          </w:p>
        </w:tc>
        <w:tc>
          <w:tcPr>
            <w:tcW w:w="425" w:type="dxa"/>
          </w:tcPr>
          <w:p w14:paraId="1263D759" w14:textId="4AD0A37B" w:rsidR="00B378F1" w:rsidRPr="00516624" w:rsidRDefault="00AC7943" w:rsidP="000E6F0E">
            <w:pPr>
              <w:spacing w:before="0" w:after="0" w:line="240" w:lineRule="auto"/>
              <w:rPr>
                <w:rFonts w:cstheme="minorHAnsi"/>
                <w:sz w:val="18"/>
                <w:szCs w:val="18"/>
              </w:rPr>
            </w:pPr>
            <w:r w:rsidRPr="00516624">
              <w:rPr>
                <w:rFonts w:cstheme="minorHAnsi"/>
                <w:b/>
                <w:bCs/>
                <w:noProof/>
                <w:sz w:val="18"/>
                <w:szCs w:val="18"/>
              </w:rPr>
              <mc:AlternateContent>
                <mc:Choice Requires="wps">
                  <w:drawing>
                    <wp:anchor distT="0" distB="0" distL="114300" distR="114300" simplePos="0" relativeHeight="251658244" behindDoc="0" locked="0" layoutInCell="1" allowOverlap="1" wp14:anchorId="32B3BB90" wp14:editId="2A4EDCF6">
                      <wp:simplePos x="0" y="0"/>
                      <wp:positionH relativeFrom="column">
                        <wp:posOffset>-3810</wp:posOffset>
                      </wp:positionH>
                      <wp:positionV relativeFrom="paragraph">
                        <wp:posOffset>-236220</wp:posOffset>
                      </wp:positionV>
                      <wp:extent cx="134620" cy="190500"/>
                      <wp:effectExtent l="0" t="0" r="0" b="0"/>
                      <wp:wrapNone/>
                      <wp:docPr id="52618275" name="Arrow: Righ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4620" cy="190500"/>
                              </a:xfrm>
                              <a:prstGeom prst="rightArrow">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437A9E" id="Arrow: Right 1" o:spid="_x0000_s1026" type="#_x0000_t13" alt="&quot;&quot;" style="position:absolute;margin-left:-.3pt;margin-top:-18.6pt;width:10.6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" adj="10800" fillcolor="white [3212]" stroked="f" strokeweight="2pt">
                      <v:textbox inset="0,0,0,0"/>
                    </v:shape>
                  </w:pict>
                </mc:Fallback>
              </mc:AlternateContent>
            </w:r>
          </w:p>
        </w:tc>
        <w:tc>
          <w:tcPr>
            <w:tcW w:w="3402" w:type="dxa"/>
          </w:tcPr>
          <w:p w14:paraId="1B49257C" w14:textId="77777777" w:rsidR="00B378F1"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8</w:t>
            </w:r>
            <w:r w:rsidRPr="00D975FD">
              <w:rPr>
                <w:rFonts w:eastAsia="Times New Roman" w:cstheme="minorHAnsi"/>
                <w:b/>
                <w:bCs/>
                <w:sz w:val="18"/>
                <w:szCs w:val="18"/>
                <w:lang w:eastAsia="en-AU"/>
              </w:rPr>
              <w:t>.Pre-listing status reports</w:t>
            </w:r>
          </w:p>
          <w:p w14:paraId="602FC9B5" w14:textId="77777777" w:rsidR="00B378F1" w:rsidRPr="00D975FD" w:rsidRDefault="00B378F1" w:rsidP="000E6F0E">
            <w:pPr>
              <w:spacing w:before="0" w:after="0" w:line="240" w:lineRule="auto"/>
              <w:rPr>
                <w:rFonts w:eastAsia="Times New Roman" w:cstheme="minorHAnsi"/>
                <w:b/>
                <w:bCs/>
                <w:sz w:val="18"/>
                <w:szCs w:val="18"/>
                <w:lang w:eastAsia="en-AU"/>
              </w:rPr>
            </w:pPr>
          </w:p>
          <w:p w14:paraId="2459FF6B" w14:textId="4C4B21DE" w:rsidR="00B378F1" w:rsidRPr="00D975FD" w:rsidRDefault="00B378F1" w:rsidP="000E6F0E">
            <w:pPr>
              <w:spacing w:before="0" w:after="0" w:line="240" w:lineRule="auto"/>
              <w:rPr>
                <w:rFonts w:eastAsia="Times New Roman" w:cstheme="minorHAnsi"/>
                <w:sz w:val="18"/>
                <w:szCs w:val="18"/>
                <w:lang w:eastAsia="en-AU"/>
              </w:rPr>
            </w:pPr>
            <w:r>
              <w:rPr>
                <w:rFonts w:eastAsia="Times New Roman" w:cstheme="minorHAnsi"/>
                <w:sz w:val="18"/>
                <w:szCs w:val="18"/>
                <w:lang w:eastAsia="en-AU"/>
              </w:rPr>
              <w:t>Implement a</w:t>
            </w:r>
            <w:r w:rsidRPr="00D975FD">
              <w:rPr>
                <w:rFonts w:eastAsia="Times New Roman" w:cstheme="minorHAnsi"/>
                <w:sz w:val="18"/>
                <w:szCs w:val="18"/>
                <w:lang w:eastAsia="en-AU"/>
              </w:rPr>
              <w:t xml:space="preserve"> </w:t>
            </w:r>
            <w:r>
              <w:rPr>
                <w:rFonts w:eastAsia="Times New Roman" w:cstheme="minorHAnsi"/>
                <w:sz w:val="18"/>
                <w:szCs w:val="18"/>
                <w:lang w:eastAsia="en-AU"/>
              </w:rPr>
              <w:t xml:space="preserve">plain language status </w:t>
            </w:r>
            <w:r w:rsidRPr="00D975FD">
              <w:rPr>
                <w:rFonts w:eastAsia="Times New Roman" w:cstheme="minorHAnsi"/>
                <w:sz w:val="18"/>
                <w:szCs w:val="18"/>
                <w:lang w:eastAsia="en-AU"/>
              </w:rPr>
              <w:t xml:space="preserve">report </w:t>
            </w:r>
            <w:r>
              <w:rPr>
                <w:rFonts w:eastAsia="Times New Roman" w:cstheme="minorHAnsi"/>
                <w:sz w:val="18"/>
                <w:szCs w:val="18"/>
                <w:lang w:eastAsia="en-AU"/>
              </w:rPr>
              <w:t>providing essential information about the timeline for pricing negotiations and reason</w:t>
            </w:r>
            <w:r w:rsidR="00F85085">
              <w:rPr>
                <w:rFonts w:eastAsia="Times New Roman" w:cstheme="minorHAnsi"/>
                <w:sz w:val="18"/>
                <w:szCs w:val="18"/>
                <w:lang w:eastAsia="en-AU"/>
              </w:rPr>
              <w:t>s</w:t>
            </w:r>
            <w:r>
              <w:rPr>
                <w:rFonts w:eastAsia="Times New Roman" w:cstheme="minorHAnsi"/>
                <w:sz w:val="18"/>
                <w:szCs w:val="18"/>
                <w:lang w:eastAsia="en-AU"/>
              </w:rPr>
              <w:t xml:space="preserve"> for delay.</w:t>
            </w:r>
            <w:r w:rsidRPr="00D975FD">
              <w:rPr>
                <w:rFonts w:eastAsia="Times New Roman" w:cstheme="minorHAnsi"/>
                <w:sz w:val="18"/>
                <w:szCs w:val="18"/>
                <w:lang w:eastAsia="en-AU"/>
              </w:rPr>
              <w:t xml:space="preserve"> </w:t>
            </w:r>
          </w:p>
          <w:p w14:paraId="2BA87D78" w14:textId="77777777" w:rsidR="00B378F1" w:rsidRPr="00516624" w:rsidRDefault="00B378F1" w:rsidP="000E6F0E">
            <w:pPr>
              <w:spacing w:before="0" w:after="0" w:line="240" w:lineRule="auto"/>
              <w:rPr>
                <w:rFonts w:cstheme="minorHAnsi"/>
                <w:sz w:val="18"/>
                <w:szCs w:val="18"/>
              </w:rPr>
            </w:pPr>
          </w:p>
        </w:tc>
        <w:tc>
          <w:tcPr>
            <w:tcW w:w="3683" w:type="dxa"/>
          </w:tcPr>
          <w:p w14:paraId="79E23703" w14:textId="77777777" w:rsidR="00B378F1" w:rsidRPr="00516624" w:rsidRDefault="00B378F1" w:rsidP="000E6F0E">
            <w:pPr>
              <w:pStyle w:val="TableBullet"/>
              <w:spacing w:before="0" w:after="0" w:line="240" w:lineRule="auto"/>
              <w:rPr>
                <w:sz w:val="18"/>
                <w:szCs w:val="18"/>
              </w:rPr>
            </w:pPr>
            <w:r w:rsidRPr="00516624">
              <w:rPr>
                <w:sz w:val="18"/>
                <w:szCs w:val="18"/>
              </w:rPr>
              <w:t>Consumers are kept informe</w:t>
            </w:r>
            <w:r>
              <w:rPr>
                <w:sz w:val="18"/>
                <w:szCs w:val="18"/>
              </w:rPr>
              <w:t>d about the status of approved health technologies prior to listing.</w:t>
            </w:r>
          </w:p>
          <w:p w14:paraId="766566CC" w14:textId="0BFBA6CE" w:rsidR="00B378F1" w:rsidRPr="00AE6F3B" w:rsidRDefault="00D739DE" w:rsidP="000E6F0E">
            <w:pPr>
              <w:pStyle w:val="TableBullet"/>
              <w:spacing w:before="0" w:after="0" w:line="240" w:lineRule="auto"/>
              <w:rPr>
                <w:sz w:val="18"/>
                <w:szCs w:val="18"/>
              </w:rPr>
            </w:pPr>
            <w:r>
              <w:rPr>
                <w:sz w:val="18"/>
                <w:szCs w:val="18"/>
              </w:rPr>
              <w:t xml:space="preserve">Support </w:t>
            </w:r>
            <w:r w:rsidR="00B378F1">
              <w:rPr>
                <w:sz w:val="18"/>
                <w:szCs w:val="18"/>
              </w:rPr>
              <w:t xml:space="preserve">opportunities </w:t>
            </w:r>
            <w:r w:rsidR="00B378F1" w:rsidRPr="00516624">
              <w:rPr>
                <w:sz w:val="18"/>
                <w:szCs w:val="18"/>
              </w:rPr>
              <w:t xml:space="preserve">for consumers to offer expertise </w:t>
            </w:r>
            <w:r>
              <w:rPr>
                <w:sz w:val="18"/>
                <w:szCs w:val="18"/>
              </w:rPr>
              <w:t>that may help to</w:t>
            </w:r>
            <w:r w:rsidR="00B378F1" w:rsidRPr="00516624">
              <w:rPr>
                <w:sz w:val="18"/>
                <w:szCs w:val="18"/>
              </w:rPr>
              <w:t xml:space="preserve"> alleviate delays and improve timely access to medicines. </w:t>
            </w:r>
          </w:p>
        </w:tc>
      </w:tr>
      <w:tr w:rsidR="00B378F1" w:rsidRPr="00516624" w14:paraId="2B1E632B" w14:textId="77777777" w:rsidTr="00AC7943">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5B5C07A3" w14:textId="77777777" w:rsidR="00B378F1" w:rsidRPr="00516624" w:rsidRDefault="00B378F1" w:rsidP="000E6F0E">
            <w:pPr>
              <w:spacing w:before="0" w:after="0" w:line="240" w:lineRule="auto"/>
              <w:rPr>
                <w:rFonts w:cstheme="minorHAnsi"/>
                <w:sz w:val="18"/>
                <w:szCs w:val="18"/>
              </w:rPr>
            </w:pPr>
            <w:r w:rsidRPr="00516624">
              <w:rPr>
                <w:rFonts w:eastAsia="Times New Roman" w:cstheme="minorHAnsi"/>
                <w:sz w:val="18"/>
                <w:szCs w:val="18"/>
                <w:lang w:eastAsia="en-AU"/>
              </w:rPr>
              <w:t xml:space="preserve">Post-market reviews are initiated by PBAC based on </w:t>
            </w:r>
            <w:r>
              <w:rPr>
                <w:rFonts w:eastAsia="Times New Roman" w:cstheme="minorHAnsi"/>
                <w:sz w:val="18"/>
                <w:szCs w:val="18"/>
                <w:lang w:eastAsia="en-AU"/>
              </w:rPr>
              <w:t xml:space="preserve">stakeholder </w:t>
            </w:r>
            <w:r w:rsidRPr="00516624">
              <w:rPr>
                <w:rFonts w:eastAsia="Times New Roman" w:cstheme="minorHAnsi"/>
                <w:sz w:val="18"/>
                <w:szCs w:val="18"/>
                <w:lang w:eastAsia="en-AU"/>
              </w:rPr>
              <w:t xml:space="preserve">recommendations </w:t>
            </w:r>
            <w:r>
              <w:rPr>
                <w:rFonts w:eastAsia="Times New Roman" w:cstheme="minorHAnsi"/>
                <w:sz w:val="18"/>
                <w:szCs w:val="18"/>
                <w:lang w:eastAsia="en-AU"/>
              </w:rPr>
              <w:t xml:space="preserve">however, consumers do not yet have a clear pathway in this process. </w:t>
            </w:r>
          </w:p>
        </w:tc>
        <w:tc>
          <w:tcPr>
            <w:tcW w:w="425" w:type="dxa"/>
          </w:tcPr>
          <w:p w14:paraId="749DF08C" w14:textId="77777777" w:rsidR="00B378F1" w:rsidRPr="00516624" w:rsidRDefault="00B378F1" w:rsidP="000E6F0E">
            <w:pPr>
              <w:spacing w:before="0" w:after="0" w:line="240" w:lineRule="auto"/>
              <w:rPr>
                <w:rFonts w:cstheme="minorHAnsi"/>
                <w:sz w:val="18"/>
                <w:szCs w:val="18"/>
              </w:rPr>
            </w:pPr>
          </w:p>
        </w:tc>
        <w:tc>
          <w:tcPr>
            <w:tcW w:w="3402" w:type="dxa"/>
          </w:tcPr>
          <w:p w14:paraId="6A22201F" w14:textId="77E7E1E1" w:rsidR="00B378F1" w:rsidRPr="00D975FD" w:rsidRDefault="00B378F1" w:rsidP="000E6F0E">
            <w:pPr>
              <w:spacing w:before="0" w:after="0" w:line="240" w:lineRule="auto"/>
              <w:rPr>
                <w:rFonts w:eastAsia="Times New Roman" w:cstheme="minorHAnsi"/>
                <w:b/>
                <w:bCs/>
                <w:sz w:val="18"/>
                <w:szCs w:val="18"/>
                <w:lang w:eastAsia="en-AU"/>
              </w:rPr>
            </w:pPr>
            <w:r w:rsidRPr="00D975FD">
              <w:rPr>
                <w:rFonts w:eastAsia="Times New Roman" w:cstheme="minorHAnsi"/>
                <w:b/>
                <w:bCs/>
                <w:sz w:val="18"/>
                <w:szCs w:val="18"/>
                <w:lang w:eastAsia="en-AU"/>
              </w:rPr>
              <w:t>1</w:t>
            </w:r>
            <w:r>
              <w:rPr>
                <w:rFonts w:eastAsia="Times New Roman" w:cstheme="minorHAnsi"/>
                <w:b/>
                <w:bCs/>
                <w:sz w:val="18"/>
                <w:szCs w:val="18"/>
                <w:lang w:eastAsia="en-AU"/>
              </w:rPr>
              <w:t>9</w:t>
            </w:r>
            <w:r w:rsidRPr="00D975FD">
              <w:rPr>
                <w:rFonts w:eastAsia="Times New Roman" w:cstheme="minorHAnsi"/>
                <w:b/>
                <w:bCs/>
                <w:sz w:val="18"/>
                <w:szCs w:val="18"/>
                <w:lang w:eastAsia="en-AU"/>
              </w:rPr>
              <w:t>.Consumer pathway to post-market review</w:t>
            </w:r>
            <w:r w:rsidR="001752B4">
              <w:rPr>
                <w:rFonts w:eastAsia="Times New Roman" w:cstheme="minorHAnsi"/>
                <w:b/>
                <w:bCs/>
                <w:sz w:val="18"/>
                <w:szCs w:val="18"/>
                <w:lang w:eastAsia="en-AU"/>
              </w:rPr>
              <w:t>s</w:t>
            </w:r>
          </w:p>
          <w:p w14:paraId="3A372971" w14:textId="77777777" w:rsidR="00B378F1" w:rsidRDefault="00B378F1" w:rsidP="000E6F0E">
            <w:pPr>
              <w:spacing w:before="0" w:after="0" w:line="240" w:lineRule="auto"/>
              <w:rPr>
                <w:rFonts w:eastAsia="Times New Roman" w:cstheme="minorHAnsi"/>
                <w:sz w:val="18"/>
                <w:szCs w:val="18"/>
                <w:lang w:eastAsia="en-AU"/>
              </w:rPr>
            </w:pPr>
          </w:p>
          <w:p w14:paraId="713DA844" w14:textId="77777777" w:rsidR="00B378F1" w:rsidRPr="00D975FD" w:rsidRDefault="00B378F1" w:rsidP="000E6F0E">
            <w:pPr>
              <w:spacing w:before="0" w:after="0" w:line="240" w:lineRule="auto"/>
              <w:rPr>
                <w:rFonts w:cstheme="minorHAnsi"/>
                <w:sz w:val="18"/>
                <w:szCs w:val="18"/>
              </w:rPr>
            </w:pPr>
            <w:r>
              <w:rPr>
                <w:rFonts w:eastAsia="Times New Roman" w:cstheme="minorHAnsi"/>
                <w:sz w:val="18"/>
                <w:szCs w:val="18"/>
                <w:lang w:eastAsia="en-AU"/>
              </w:rPr>
              <w:t xml:space="preserve">Establish </w:t>
            </w:r>
            <w:r w:rsidRPr="00D975FD">
              <w:rPr>
                <w:rFonts w:eastAsia="Times New Roman" w:cstheme="minorHAnsi"/>
                <w:sz w:val="18"/>
                <w:szCs w:val="18"/>
                <w:lang w:eastAsia="en-AU"/>
              </w:rPr>
              <w:t>a pat</w:t>
            </w:r>
            <w:r>
              <w:rPr>
                <w:rFonts w:eastAsia="Times New Roman" w:cstheme="minorHAnsi"/>
                <w:sz w:val="18"/>
                <w:szCs w:val="18"/>
                <w:lang w:eastAsia="en-AU"/>
              </w:rPr>
              <w:t>h</w:t>
            </w:r>
            <w:r w:rsidRPr="00D975FD">
              <w:rPr>
                <w:rFonts w:eastAsia="Times New Roman" w:cstheme="minorHAnsi"/>
                <w:sz w:val="18"/>
                <w:szCs w:val="18"/>
                <w:lang w:eastAsia="en-AU"/>
              </w:rPr>
              <w:t xml:space="preserve">way for consumers to </w:t>
            </w:r>
            <w:r>
              <w:rPr>
                <w:rFonts w:eastAsia="Times New Roman" w:cstheme="minorHAnsi"/>
                <w:sz w:val="18"/>
                <w:szCs w:val="18"/>
                <w:lang w:eastAsia="en-AU"/>
              </w:rPr>
              <w:t xml:space="preserve">initiate </w:t>
            </w:r>
            <w:r w:rsidRPr="00D975FD">
              <w:rPr>
                <w:rFonts w:eastAsia="Times New Roman" w:cstheme="minorHAnsi"/>
                <w:sz w:val="18"/>
                <w:szCs w:val="18"/>
                <w:lang w:eastAsia="en-AU"/>
              </w:rPr>
              <w:t>a post-market review</w:t>
            </w:r>
            <w:r>
              <w:rPr>
                <w:rFonts w:eastAsia="Times New Roman" w:cstheme="minorHAnsi"/>
                <w:sz w:val="18"/>
                <w:szCs w:val="18"/>
                <w:lang w:eastAsia="en-AU"/>
              </w:rPr>
              <w:t xml:space="preserve"> of a listed health technology.</w:t>
            </w:r>
          </w:p>
        </w:tc>
        <w:tc>
          <w:tcPr>
            <w:tcW w:w="3683" w:type="dxa"/>
          </w:tcPr>
          <w:p w14:paraId="656D3F33" w14:textId="77777777" w:rsidR="00B378F1" w:rsidRPr="00406D77" w:rsidRDefault="00B378F1" w:rsidP="000E6F0E">
            <w:pPr>
              <w:pStyle w:val="TableBullet"/>
              <w:spacing w:before="0" w:after="0" w:line="240" w:lineRule="auto"/>
              <w:rPr>
                <w:sz w:val="18"/>
                <w:szCs w:val="18"/>
              </w:rPr>
            </w:pPr>
            <w:r w:rsidRPr="00516624">
              <w:rPr>
                <w:sz w:val="18"/>
                <w:szCs w:val="18"/>
              </w:rPr>
              <w:t>Consumers provide valuable post-market evidence regarding the real-world impacts and experiences of using a health technology after it is subsidised</w:t>
            </w:r>
            <w:r>
              <w:rPr>
                <w:sz w:val="18"/>
                <w:szCs w:val="18"/>
              </w:rPr>
              <w:t xml:space="preserve"> and available to the public.</w:t>
            </w:r>
            <w:r w:rsidRPr="00516624">
              <w:rPr>
                <w:sz w:val="18"/>
                <w:szCs w:val="18"/>
              </w:rPr>
              <w:t xml:space="preserve"> </w:t>
            </w:r>
          </w:p>
        </w:tc>
      </w:tr>
    </w:tbl>
    <w:p w14:paraId="188C171F" w14:textId="6A5C49B2" w:rsidR="00EF0089" w:rsidRDefault="000E34B4" w:rsidP="00B378F1">
      <w:pPr>
        <w:suppressAutoHyphens w:val="0"/>
        <w:spacing w:before="0" w:after="0" w:line="240" w:lineRule="auto"/>
      </w:pPr>
      <w:r>
        <w:br w:type="page"/>
      </w:r>
    </w:p>
    <w:p w14:paraId="027110CD" w14:textId="77777777" w:rsidR="001F5103" w:rsidRDefault="001F5103" w:rsidP="001F5103">
      <w:pPr>
        <w:pStyle w:val="Heading2"/>
        <w:spacing w:before="0"/>
      </w:pPr>
      <w:bookmarkStart w:id="24" w:name="_Toc160023614"/>
      <w:r>
        <w:t>Implementation Considerations</w:t>
      </w:r>
      <w:bookmarkEnd w:id="23"/>
      <w:bookmarkEnd w:id="24"/>
    </w:p>
    <w:p w14:paraId="469E42D7" w14:textId="71841504" w:rsidR="001F5103" w:rsidRDefault="001F5103" w:rsidP="001F5103">
      <w:r>
        <w:t xml:space="preserve">The CWG accounted for various implementation considerations </w:t>
      </w:r>
      <w:r w:rsidR="000F75FC">
        <w:t>for the</w:t>
      </w:r>
      <w:r>
        <w:t xml:space="preserve"> proposed recommendations as shown </w:t>
      </w:r>
      <w:r w:rsidR="00A113F2">
        <w:t xml:space="preserve">below </w:t>
      </w:r>
      <w:r>
        <w:t xml:space="preserve">in </w:t>
      </w:r>
      <w:r w:rsidRPr="003A7BBE">
        <w:rPr>
          <w:b/>
          <w:bCs/>
        </w:rPr>
        <w:t>Table 2</w:t>
      </w:r>
      <w:r>
        <w:t>.</w:t>
      </w:r>
    </w:p>
    <w:p w14:paraId="40771F0E" w14:textId="0B5EE450" w:rsidR="001F5103" w:rsidRPr="006128F9" w:rsidRDefault="001F5103" w:rsidP="001F5103">
      <w:pPr>
        <w:rPr>
          <w:b/>
          <w:bCs/>
        </w:rPr>
      </w:pPr>
      <w:r>
        <w:rPr>
          <w:b/>
          <w:bCs/>
        </w:rPr>
        <w:t xml:space="preserve">Table 2: </w:t>
      </w:r>
      <w:r w:rsidRPr="006128F9">
        <w:rPr>
          <w:b/>
          <w:bCs/>
        </w:rPr>
        <w:t xml:space="preserve">Implementation Considerations for </w:t>
      </w:r>
      <w:r w:rsidR="00016F7E">
        <w:rPr>
          <w:b/>
          <w:bCs/>
        </w:rPr>
        <w:t xml:space="preserve">the </w:t>
      </w:r>
      <w:r w:rsidR="001E561D">
        <w:rPr>
          <w:b/>
          <w:bCs/>
        </w:rPr>
        <w:t>Proposed Recommendations</w:t>
      </w:r>
    </w:p>
    <w:tbl>
      <w:tblPr>
        <w:tblStyle w:val="UniofMelTable3"/>
        <w:tblW w:w="5000" w:type="pct"/>
        <w:tblLook w:val="04A0" w:firstRow="1" w:lastRow="0" w:firstColumn="1" w:lastColumn="0" w:noHBand="0" w:noVBand="1"/>
      </w:tblPr>
      <w:tblGrid>
        <w:gridCol w:w="2694"/>
        <w:gridCol w:w="7510"/>
      </w:tblGrid>
      <w:tr w:rsidR="001F5103" w:rsidRPr="00D11A7A" w14:paraId="7255FF2A" w14:textId="77777777" w:rsidTr="00FA5FA6">
        <w:trPr>
          <w:cnfStyle w:val="100000000000" w:firstRow="1" w:lastRow="0" w:firstColumn="0" w:lastColumn="0" w:oddVBand="0" w:evenVBand="0" w:oddHBand="0" w:evenHBand="0" w:firstRowFirstColumn="0" w:firstRowLastColumn="0" w:lastRowFirstColumn="0" w:lastRowLastColumn="0"/>
          <w:trHeight w:val="302"/>
        </w:trPr>
        <w:tc>
          <w:tcPr>
            <w:tcW w:w="2694" w:type="dxa"/>
          </w:tcPr>
          <w:p w14:paraId="608E3216" w14:textId="77777777" w:rsidR="001F5103" w:rsidRPr="00D11A7A" w:rsidRDefault="001F5103" w:rsidP="00FA5FA6">
            <w:pPr>
              <w:spacing w:before="0" w:after="0" w:line="240" w:lineRule="auto"/>
              <w:rPr>
                <w:b/>
                <w:bCs/>
                <w:sz w:val="18"/>
                <w:szCs w:val="18"/>
              </w:rPr>
            </w:pPr>
            <w:r w:rsidRPr="00D11A7A">
              <w:rPr>
                <w:b/>
                <w:bCs/>
                <w:sz w:val="18"/>
                <w:szCs w:val="18"/>
              </w:rPr>
              <w:t>Implementation considerations</w:t>
            </w:r>
          </w:p>
        </w:tc>
        <w:tc>
          <w:tcPr>
            <w:tcW w:w="7510" w:type="dxa"/>
          </w:tcPr>
          <w:p w14:paraId="4A246C27" w14:textId="77777777" w:rsidR="001F5103" w:rsidRPr="00D11A7A" w:rsidRDefault="001F5103" w:rsidP="00FA5FA6">
            <w:pPr>
              <w:spacing w:before="0" w:after="0" w:line="240" w:lineRule="auto"/>
              <w:rPr>
                <w:b/>
                <w:bCs/>
                <w:sz w:val="18"/>
                <w:szCs w:val="18"/>
              </w:rPr>
            </w:pPr>
            <w:r w:rsidRPr="00D11A7A">
              <w:rPr>
                <w:b/>
                <w:bCs/>
                <w:sz w:val="18"/>
                <w:szCs w:val="18"/>
              </w:rPr>
              <w:t>Key points</w:t>
            </w:r>
          </w:p>
        </w:tc>
      </w:tr>
      <w:tr w:rsidR="001F5103" w:rsidRPr="00D11A7A" w14:paraId="58A57DB8" w14:textId="77777777" w:rsidTr="00FA5FA6">
        <w:trPr>
          <w:cnfStyle w:val="000000100000" w:firstRow="0" w:lastRow="0" w:firstColumn="0" w:lastColumn="0" w:oddVBand="0" w:evenVBand="0" w:oddHBand="1" w:evenHBand="0" w:firstRowFirstColumn="0" w:firstRowLastColumn="0" w:lastRowFirstColumn="0" w:lastRowLastColumn="0"/>
          <w:trHeight w:val="288"/>
        </w:trPr>
        <w:tc>
          <w:tcPr>
            <w:tcW w:w="2694" w:type="dxa"/>
          </w:tcPr>
          <w:p w14:paraId="682AD6C8" w14:textId="74468D61" w:rsidR="001F5103" w:rsidRPr="007456D2" w:rsidRDefault="001F5103" w:rsidP="00FA5FA6">
            <w:pPr>
              <w:spacing w:before="0" w:after="0" w:line="240" w:lineRule="auto"/>
              <w:rPr>
                <w:b/>
                <w:bCs/>
                <w:sz w:val="18"/>
                <w:szCs w:val="18"/>
              </w:rPr>
            </w:pPr>
            <w:r w:rsidRPr="007456D2">
              <w:rPr>
                <w:b/>
                <w:bCs/>
                <w:sz w:val="18"/>
                <w:szCs w:val="18"/>
              </w:rPr>
              <w:t xml:space="preserve">Leverage existing and emerging strengths </w:t>
            </w:r>
            <w:r w:rsidR="00FF1D45">
              <w:rPr>
                <w:b/>
                <w:bCs/>
                <w:sz w:val="18"/>
                <w:szCs w:val="18"/>
              </w:rPr>
              <w:t>for consumer engagement</w:t>
            </w:r>
          </w:p>
        </w:tc>
        <w:tc>
          <w:tcPr>
            <w:tcW w:w="7510" w:type="dxa"/>
          </w:tcPr>
          <w:p w14:paraId="4E7E9F7B" w14:textId="0B7E4EB4" w:rsidR="001F5103" w:rsidRPr="00D11A7A" w:rsidRDefault="001F5103" w:rsidP="0056549E">
            <w:pPr>
              <w:pStyle w:val="TableBullet"/>
              <w:spacing w:before="0" w:after="0" w:line="240" w:lineRule="auto"/>
              <w:ind w:left="284" w:hanging="284"/>
              <w:rPr>
                <w:sz w:val="18"/>
                <w:szCs w:val="18"/>
              </w:rPr>
            </w:pPr>
            <w:r w:rsidRPr="00D11A7A">
              <w:rPr>
                <w:sz w:val="18"/>
                <w:szCs w:val="18"/>
              </w:rPr>
              <w:t xml:space="preserve">The </w:t>
            </w:r>
            <w:r w:rsidR="00EC320B">
              <w:rPr>
                <w:sz w:val="18"/>
                <w:szCs w:val="18"/>
              </w:rPr>
              <w:t xml:space="preserve">recommendations </w:t>
            </w:r>
            <w:r w:rsidRPr="00D11A7A">
              <w:rPr>
                <w:sz w:val="18"/>
                <w:szCs w:val="18"/>
              </w:rPr>
              <w:t xml:space="preserve">leverage and build upon the existing and emerging strengths </w:t>
            </w:r>
            <w:r w:rsidR="008D3320">
              <w:rPr>
                <w:sz w:val="18"/>
                <w:szCs w:val="18"/>
              </w:rPr>
              <w:t xml:space="preserve">in the health technology pathway to </w:t>
            </w:r>
            <w:r w:rsidRPr="00D11A7A">
              <w:rPr>
                <w:sz w:val="18"/>
                <w:szCs w:val="18"/>
              </w:rPr>
              <w:t xml:space="preserve">enhance consumer engagement and prioritise the inclusion of consumer evidence and experience. </w:t>
            </w:r>
          </w:p>
          <w:p w14:paraId="6AB90FF1" w14:textId="3F3FE6F5" w:rsidR="001F5103" w:rsidRPr="00D11A7A" w:rsidRDefault="001F5103" w:rsidP="0056549E">
            <w:pPr>
              <w:pStyle w:val="TableBullet"/>
              <w:spacing w:before="0" w:after="0" w:line="240" w:lineRule="auto"/>
              <w:ind w:left="284" w:hanging="284"/>
              <w:rPr>
                <w:sz w:val="18"/>
                <w:szCs w:val="18"/>
              </w:rPr>
            </w:pPr>
            <w:r w:rsidRPr="00D11A7A">
              <w:rPr>
                <w:sz w:val="18"/>
                <w:szCs w:val="18"/>
              </w:rPr>
              <w:t xml:space="preserve">Examples of such strengths </w:t>
            </w:r>
            <w:r w:rsidR="00F232F9" w:rsidRPr="00D11A7A">
              <w:rPr>
                <w:sz w:val="18"/>
                <w:szCs w:val="18"/>
              </w:rPr>
              <w:t>include</w:t>
            </w:r>
            <w:r w:rsidRPr="00D11A7A">
              <w:rPr>
                <w:sz w:val="18"/>
                <w:szCs w:val="18"/>
              </w:rPr>
              <w:t xml:space="preserve"> </w:t>
            </w:r>
            <w:r w:rsidR="007607B5">
              <w:rPr>
                <w:sz w:val="18"/>
                <w:szCs w:val="18"/>
              </w:rPr>
              <w:t>Consumer</w:t>
            </w:r>
            <w:r w:rsidRPr="00D11A7A">
              <w:rPr>
                <w:sz w:val="18"/>
                <w:szCs w:val="18"/>
              </w:rPr>
              <w:t xml:space="preserve"> engagement guidelines</w:t>
            </w:r>
            <w:r w:rsidR="007607B5">
              <w:rPr>
                <w:sz w:val="18"/>
                <w:szCs w:val="18"/>
              </w:rPr>
              <w:t xml:space="preserve"> for research funding (e.g., NHMRC, MRFF)</w:t>
            </w:r>
            <w:r w:rsidRPr="00D11A7A">
              <w:rPr>
                <w:sz w:val="18"/>
                <w:szCs w:val="18"/>
              </w:rPr>
              <w:t xml:space="preserve">; PBAC procedural guidelines; the Summary of Information Pilot; the DCAR process in MSAC; the Department’s CEEU and the Consumer Consultative Committee (CCC); </w:t>
            </w:r>
            <w:r w:rsidR="00B0421D">
              <w:rPr>
                <w:sz w:val="18"/>
                <w:szCs w:val="18"/>
              </w:rPr>
              <w:t>h</w:t>
            </w:r>
            <w:r w:rsidRPr="00D11A7A">
              <w:rPr>
                <w:sz w:val="18"/>
                <w:szCs w:val="18"/>
              </w:rPr>
              <w:t>orizon scanning forums; and the HTA Policy and Methods Review.</w:t>
            </w:r>
          </w:p>
        </w:tc>
      </w:tr>
      <w:tr w:rsidR="001F5103" w:rsidRPr="00D11A7A" w14:paraId="7FDB43DD" w14:textId="77777777" w:rsidTr="00FA5FA6">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5FD4EEA2" w14:textId="77777777" w:rsidR="001F5103" w:rsidRPr="007456D2" w:rsidRDefault="001F5103" w:rsidP="00FA5FA6">
            <w:pPr>
              <w:spacing w:before="0" w:after="0" w:line="240" w:lineRule="auto"/>
              <w:rPr>
                <w:b/>
                <w:bCs/>
                <w:sz w:val="18"/>
                <w:szCs w:val="18"/>
              </w:rPr>
            </w:pPr>
            <w:r w:rsidRPr="007456D2">
              <w:rPr>
                <w:b/>
                <w:bCs/>
                <w:sz w:val="18"/>
                <w:szCs w:val="18"/>
              </w:rPr>
              <w:t>Commit to timely consumer-focused reform</w:t>
            </w:r>
          </w:p>
        </w:tc>
        <w:tc>
          <w:tcPr>
            <w:tcW w:w="7510" w:type="dxa"/>
          </w:tcPr>
          <w:p w14:paraId="06D3A12F" w14:textId="537C8241" w:rsidR="001F5103" w:rsidRPr="00D11A7A" w:rsidRDefault="001F5103" w:rsidP="00FA5FA6">
            <w:pPr>
              <w:pStyle w:val="TableBullet"/>
              <w:spacing w:before="0" w:after="0" w:line="240" w:lineRule="auto"/>
              <w:ind w:left="284" w:hanging="284"/>
              <w:rPr>
                <w:sz w:val="18"/>
                <w:szCs w:val="18"/>
              </w:rPr>
            </w:pPr>
            <w:r w:rsidRPr="00D11A7A">
              <w:rPr>
                <w:sz w:val="18"/>
                <w:szCs w:val="18"/>
              </w:rPr>
              <w:t xml:space="preserve">Harnessing the focus and momentum emerging from this co-design project in a timely way </w:t>
            </w:r>
            <w:r w:rsidR="004E1B01">
              <w:rPr>
                <w:sz w:val="18"/>
                <w:szCs w:val="18"/>
              </w:rPr>
              <w:t>will result</w:t>
            </w:r>
            <w:r w:rsidRPr="00D11A7A">
              <w:rPr>
                <w:sz w:val="18"/>
                <w:szCs w:val="18"/>
              </w:rPr>
              <w:t xml:space="preserve"> in significant</w:t>
            </w:r>
            <w:r w:rsidR="004E1B01">
              <w:rPr>
                <w:sz w:val="18"/>
                <w:szCs w:val="18"/>
              </w:rPr>
              <w:t>ly</w:t>
            </w:r>
            <w:r w:rsidRPr="00D11A7A">
              <w:rPr>
                <w:sz w:val="18"/>
                <w:szCs w:val="18"/>
              </w:rPr>
              <w:t xml:space="preserve"> strengthening consumer engagement and demonstrate the </w:t>
            </w:r>
            <w:r w:rsidR="00B0421D">
              <w:rPr>
                <w:sz w:val="18"/>
                <w:szCs w:val="18"/>
              </w:rPr>
              <w:t>G</w:t>
            </w:r>
            <w:r w:rsidRPr="00D11A7A">
              <w:rPr>
                <w:sz w:val="18"/>
                <w:szCs w:val="18"/>
              </w:rPr>
              <w:t xml:space="preserve">overnment’s commitment </w:t>
            </w:r>
            <w:r w:rsidR="0056549E">
              <w:rPr>
                <w:sz w:val="18"/>
                <w:szCs w:val="18"/>
              </w:rPr>
              <w:t>to</w:t>
            </w:r>
            <w:r w:rsidRPr="00D11A7A">
              <w:rPr>
                <w:sz w:val="18"/>
                <w:szCs w:val="18"/>
              </w:rPr>
              <w:t xml:space="preserve"> </w:t>
            </w:r>
            <w:r w:rsidR="004D00F4">
              <w:rPr>
                <w:sz w:val="18"/>
                <w:szCs w:val="18"/>
              </w:rPr>
              <w:t>enhanced processes</w:t>
            </w:r>
            <w:r w:rsidRPr="00D11A7A">
              <w:rPr>
                <w:sz w:val="18"/>
                <w:szCs w:val="18"/>
              </w:rPr>
              <w:t xml:space="preserve"> that </w:t>
            </w:r>
            <w:r w:rsidR="004D00F4">
              <w:rPr>
                <w:sz w:val="18"/>
                <w:szCs w:val="18"/>
              </w:rPr>
              <w:t>are</w:t>
            </w:r>
            <w:r w:rsidRPr="00D11A7A">
              <w:rPr>
                <w:sz w:val="18"/>
                <w:szCs w:val="18"/>
              </w:rPr>
              <w:t xml:space="preserve"> co-designed with consumers </w:t>
            </w:r>
            <w:r w:rsidR="00376B2F">
              <w:rPr>
                <w:sz w:val="18"/>
                <w:szCs w:val="18"/>
              </w:rPr>
              <w:t xml:space="preserve">and </w:t>
            </w:r>
            <w:r w:rsidRPr="00D11A7A">
              <w:rPr>
                <w:sz w:val="18"/>
                <w:szCs w:val="18"/>
              </w:rPr>
              <w:t>for consumers.</w:t>
            </w:r>
          </w:p>
        </w:tc>
      </w:tr>
      <w:tr w:rsidR="001F5103" w:rsidRPr="00D11A7A" w14:paraId="6986F55B" w14:textId="77777777" w:rsidTr="00FA5FA6">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19C7738B" w14:textId="77777777" w:rsidR="001F5103" w:rsidRPr="007456D2" w:rsidRDefault="001F5103" w:rsidP="00FA5FA6">
            <w:pPr>
              <w:spacing w:before="0" w:after="0" w:line="240" w:lineRule="auto"/>
              <w:rPr>
                <w:b/>
                <w:bCs/>
                <w:sz w:val="18"/>
                <w:szCs w:val="18"/>
              </w:rPr>
            </w:pPr>
            <w:r w:rsidRPr="007456D2">
              <w:rPr>
                <w:b/>
                <w:bCs/>
                <w:sz w:val="18"/>
                <w:szCs w:val="18"/>
              </w:rPr>
              <w:t xml:space="preserve">Partnership work for positive flow-on effects </w:t>
            </w:r>
          </w:p>
        </w:tc>
        <w:tc>
          <w:tcPr>
            <w:tcW w:w="7510" w:type="dxa"/>
          </w:tcPr>
          <w:p w14:paraId="13387FE5" w14:textId="1E3CC9E3" w:rsidR="00324CC2" w:rsidRPr="006427AC" w:rsidRDefault="001F5103">
            <w:pPr>
              <w:pStyle w:val="TableBullet"/>
              <w:spacing w:before="0" w:after="0" w:line="240" w:lineRule="auto"/>
              <w:ind w:left="284" w:hanging="284"/>
              <w:rPr>
                <w:sz w:val="18"/>
                <w:szCs w:val="18"/>
              </w:rPr>
            </w:pPr>
            <w:r w:rsidRPr="006427AC">
              <w:rPr>
                <w:sz w:val="18"/>
                <w:szCs w:val="18"/>
              </w:rPr>
              <w:t xml:space="preserve">The </w:t>
            </w:r>
            <w:r w:rsidR="00376B2F" w:rsidRPr="006427AC">
              <w:rPr>
                <w:sz w:val="18"/>
                <w:szCs w:val="18"/>
              </w:rPr>
              <w:t>recommendations</w:t>
            </w:r>
            <w:r w:rsidRPr="006427AC">
              <w:rPr>
                <w:sz w:val="18"/>
                <w:szCs w:val="18"/>
              </w:rPr>
              <w:t xml:space="preserve"> create an opportunity to strengthen partnership work across government bodies</w:t>
            </w:r>
            <w:r w:rsidR="00376B2F" w:rsidRPr="006427AC">
              <w:rPr>
                <w:sz w:val="18"/>
                <w:szCs w:val="18"/>
              </w:rPr>
              <w:t>, consumer groups,</w:t>
            </w:r>
            <w:r w:rsidRPr="006427AC">
              <w:rPr>
                <w:sz w:val="18"/>
                <w:szCs w:val="18"/>
              </w:rPr>
              <w:t xml:space="preserve"> and industry partners</w:t>
            </w:r>
            <w:r w:rsidR="006427AC" w:rsidRPr="006427AC">
              <w:rPr>
                <w:sz w:val="18"/>
                <w:szCs w:val="18"/>
              </w:rPr>
              <w:t xml:space="preserve"> to </w:t>
            </w:r>
            <w:r w:rsidRPr="006427AC">
              <w:rPr>
                <w:sz w:val="18"/>
                <w:szCs w:val="18"/>
              </w:rPr>
              <w:t>enable positive flow-on-effects to support consumer engagement across the health technology pathway</w:t>
            </w:r>
            <w:r w:rsidR="00324CC2" w:rsidRPr="006427AC">
              <w:rPr>
                <w:sz w:val="18"/>
                <w:szCs w:val="18"/>
              </w:rPr>
              <w:t>.</w:t>
            </w:r>
          </w:p>
          <w:p w14:paraId="756973A8" w14:textId="3B2A3BD7" w:rsidR="001F5103" w:rsidRPr="00D11A7A" w:rsidRDefault="001F5103" w:rsidP="00324CC2">
            <w:pPr>
              <w:pStyle w:val="TableBullet"/>
              <w:spacing w:before="0" w:after="0" w:line="240" w:lineRule="auto"/>
              <w:ind w:left="284" w:hanging="284"/>
              <w:rPr>
                <w:sz w:val="18"/>
                <w:szCs w:val="18"/>
              </w:rPr>
            </w:pPr>
            <w:r w:rsidRPr="00D11A7A">
              <w:rPr>
                <w:sz w:val="18"/>
                <w:szCs w:val="18"/>
              </w:rPr>
              <w:t>While a commitment to timely reform ought to be a priority, it is also acknowledged that some flow-on-effects may take time to bear results</w:t>
            </w:r>
            <w:r w:rsidR="00B148E8">
              <w:rPr>
                <w:sz w:val="18"/>
                <w:szCs w:val="18"/>
              </w:rPr>
              <w:t xml:space="preserve"> - e</w:t>
            </w:r>
            <w:r w:rsidRPr="00D11A7A">
              <w:rPr>
                <w:sz w:val="18"/>
                <w:szCs w:val="18"/>
              </w:rPr>
              <w:t>nhancements in earlier stages (e.g., clinical research and TGA), may not be feasibly implemented before</w:t>
            </w:r>
            <w:r w:rsidR="005E6A70">
              <w:rPr>
                <w:sz w:val="18"/>
                <w:szCs w:val="18"/>
              </w:rPr>
              <w:t xml:space="preserve"> downstream</w:t>
            </w:r>
            <w:r w:rsidRPr="00D11A7A">
              <w:rPr>
                <w:sz w:val="18"/>
                <w:szCs w:val="18"/>
              </w:rPr>
              <w:t xml:space="preserve"> enhancements </w:t>
            </w:r>
            <w:r w:rsidR="00305A45">
              <w:rPr>
                <w:sz w:val="18"/>
                <w:szCs w:val="18"/>
              </w:rPr>
              <w:t>(e.g., in PBAC and post-market reviews).</w:t>
            </w:r>
          </w:p>
        </w:tc>
      </w:tr>
      <w:tr w:rsidR="001F5103" w:rsidRPr="00D11A7A" w14:paraId="001867C0" w14:textId="77777777" w:rsidTr="00FA5FA6">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797F91AD" w14:textId="77777777" w:rsidR="001F5103" w:rsidRPr="007456D2" w:rsidRDefault="001F5103" w:rsidP="00FA5FA6">
            <w:pPr>
              <w:spacing w:before="0" w:after="0" w:line="240" w:lineRule="auto"/>
              <w:rPr>
                <w:b/>
                <w:bCs/>
                <w:sz w:val="18"/>
                <w:szCs w:val="18"/>
              </w:rPr>
            </w:pPr>
            <w:r w:rsidRPr="007456D2">
              <w:rPr>
                <w:b/>
                <w:bCs/>
                <w:sz w:val="18"/>
                <w:szCs w:val="18"/>
              </w:rPr>
              <w:t xml:space="preserve">Address health equity and access needs </w:t>
            </w:r>
          </w:p>
        </w:tc>
        <w:tc>
          <w:tcPr>
            <w:tcW w:w="7510" w:type="dxa"/>
          </w:tcPr>
          <w:p w14:paraId="2E049016" w14:textId="7EA6D144" w:rsidR="003A058C" w:rsidRPr="006427AC" w:rsidRDefault="001F5103" w:rsidP="006427AC">
            <w:pPr>
              <w:pStyle w:val="TableBullet"/>
              <w:spacing w:before="0" w:after="0" w:line="240" w:lineRule="auto"/>
              <w:ind w:left="284" w:hanging="284"/>
              <w:rPr>
                <w:sz w:val="18"/>
                <w:szCs w:val="18"/>
              </w:rPr>
            </w:pPr>
            <w:r w:rsidRPr="00D11A7A">
              <w:rPr>
                <w:sz w:val="18"/>
                <w:szCs w:val="18"/>
              </w:rPr>
              <w:t>The implementation and evaluation of the recommended enhancements must prioritise principles of equity, access, and inclusion to ensure that changes meet the needs of First Nations communities and diverse and underrepresented groups across Australia.</w:t>
            </w:r>
          </w:p>
        </w:tc>
      </w:tr>
      <w:tr w:rsidR="001F5103" w:rsidRPr="00D11A7A" w14:paraId="51459CE3" w14:textId="77777777" w:rsidTr="00FA5FA6">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4350D65D" w14:textId="77777777" w:rsidR="001F5103" w:rsidRPr="007456D2" w:rsidRDefault="001F5103" w:rsidP="00FA5FA6">
            <w:pPr>
              <w:spacing w:before="0" w:after="0" w:line="240" w:lineRule="auto"/>
              <w:rPr>
                <w:b/>
                <w:bCs/>
                <w:sz w:val="18"/>
                <w:szCs w:val="18"/>
              </w:rPr>
            </w:pPr>
            <w:r w:rsidRPr="007456D2">
              <w:rPr>
                <w:b/>
                <w:bCs/>
                <w:sz w:val="18"/>
                <w:szCs w:val="18"/>
              </w:rPr>
              <w:t xml:space="preserve">Invest in systemic change </w:t>
            </w:r>
          </w:p>
        </w:tc>
        <w:tc>
          <w:tcPr>
            <w:tcW w:w="7510" w:type="dxa"/>
          </w:tcPr>
          <w:p w14:paraId="4360E5F5" w14:textId="55B10FE9" w:rsidR="00296064" w:rsidRDefault="001F5103" w:rsidP="00FA5FA6">
            <w:pPr>
              <w:pStyle w:val="TableBullet"/>
              <w:spacing w:before="0" w:after="0" w:line="240" w:lineRule="auto"/>
              <w:ind w:left="284" w:hanging="284"/>
              <w:rPr>
                <w:sz w:val="18"/>
                <w:szCs w:val="18"/>
              </w:rPr>
            </w:pPr>
            <w:r w:rsidRPr="00296064">
              <w:rPr>
                <w:sz w:val="18"/>
                <w:szCs w:val="18"/>
              </w:rPr>
              <w:t>Many of the recommended enhancements represent discreet projects and new processes that will require funding to bodies within</w:t>
            </w:r>
            <w:r w:rsidR="001E2A7E">
              <w:rPr>
                <w:sz w:val="18"/>
                <w:szCs w:val="18"/>
              </w:rPr>
              <w:t>,</w:t>
            </w:r>
            <w:r w:rsidR="00F252AE" w:rsidRPr="00296064">
              <w:rPr>
                <w:sz w:val="18"/>
                <w:szCs w:val="18"/>
              </w:rPr>
              <w:t xml:space="preserve"> and outside</w:t>
            </w:r>
            <w:r w:rsidR="001E2A7E">
              <w:rPr>
                <w:sz w:val="18"/>
                <w:szCs w:val="18"/>
              </w:rPr>
              <w:t xml:space="preserve"> of,</w:t>
            </w:r>
            <w:r w:rsidRPr="00296064">
              <w:rPr>
                <w:sz w:val="18"/>
                <w:szCs w:val="18"/>
              </w:rPr>
              <w:t xml:space="preserve"> the Department</w:t>
            </w:r>
            <w:r w:rsidR="004E1A05" w:rsidRPr="00296064">
              <w:rPr>
                <w:sz w:val="18"/>
                <w:szCs w:val="18"/>
              </w:rPr>
              <w:t xml:space="preserve"> </w:t>
            </w:r>
            <w:r w:rsidR="00F252AE" w:rsidRPr="00296064">
              <w:rPr>
                <w:sz w:val="18"/>
                <w:szCs w:val="18"/>
              </w:rPr>
              <w:t>to enable</w:t>
            </w:r>
            <w:r w:rsidR="004E1A05" w:rsidRPr="00296064">
              <w:rPr>
                <w:sz w:val="18"/>
                <w:szCs w:val="18"/>
              </w:rPr>
              <w:t xml:space="preserve"> consumer engagement</w:t>
            </w:r>
            <w:r w:rsidRPr="00296064">
              <w:rPr>
                <w:sz w:val="18"/>
                <w:szCs w:val="18"/>
              </w:rPr>
              <w:t xml:space="preserve">. </w:t>
            </w:r>
          </w:p>
          <w:p w14:paraId="3C26BD29" w14:textId="480C4A7C" w:rsidR="00286DEB" w:rsidRPr="00286DEB" w:rsidRDefault="001F5103" w:rsidP="00286DEB">
            <w:pPr>
              <w:pStyle w:val="TableBullet"/>
              <w:spacing w:before="0" w:after="0" w:line="240" w:lineRule="auto"/>
              <w:ind w:left="284" w:hanging="284"/>
              <w:rPr>
                <w:sz w:val="18"/>
                <w:szCs w:val="18"/>
              </w:rPr>
            </w:pPr>
            <w:r w:rsidRPr="00296064">
              <w:rPr>
                <w:sz w:val="18"/>
                <w:szCs w:val="18"/>
              </w:rPr>
              <w:t>Such investment is needed to support</w:t>
            </w:r>
            <w:r w:rsidR="001E2A7E">
              <w:rPr>
                <w:sz w:val="18"/>
                <w:szCs w:val="18"/>
              </w:rPr>
              <w:t xml:space="preserve"> the participation of</w:t>
            </w:r>
            <w:r w:rsidRPr="00296064">
              <w:rPr>
                <w:sz w:val="18"/>
                <w:szCs w:val="18"/>
              </w:rPr>
              <w:t xml:space="preserve"> individual consumers and </w:t>
            </w:r>
            <w:r w:rsidR="00296064">
              <w:rPr>
                <w:sz w:val="18"/>
                <w:szCs w:val="18"/>
              </w:rPr>
              <w:t xml:space="preserve">consumer </w:t>
            </w:r>
            <w:r w:rsidR="001E2A7E">
              <w:rPr>
                <w:sz w:val="18"/>
                <w:szCs w:val="18"/>
              </w:rPr>
              <w:t>groups</w:t>
            </w:r>
            <w:r w:rsidRPr="00296064">
              <w:rPr>
                <w:sz w:val="18"/>
                <w:szCs w:val="18"/>
              </w:rPr>
              <w:t xml:space="preserve">, as they </w:t>
            </w:r>
            <w:r w:rsidR="001E2A7E">
              <w:rPr>
                <w:sz w:val="18"/>
                <w:szCs w:val="18"/>
              </w:rPr>
              <w:t>d</w:t>
            </w:r>
            <w:r w:rsidRPr="00296064">
              <w:rPr>
                <w:sz w:val="18"/>
                <w:szCs w:val="18"/>
              </w:rPr>
              <w:t xml:space="preserve">o not </w:t>
            </w:r>
            <w:r w:rsidR="001E2A7E">
              <w:rPr>
                <w:sz w:val="18"/>
                <w:szCs w:val="18"/>
              </w:rPr>
              <w:t xml:space="preserve">typically </w:t>
            </w:r>
            <w:r w:rsidRPr="00296064">
              <w:rPr>
                <w:sz w:val="18"/>
                <w:szCs w:val="18"/>
              </w:rPr>
              <w:t>have the resources</w:t>
            </w:r>
            <w:r w:rsidR="00296064">
              <w:rPr>
                <w:sz w:val="18"/>
                <w:szCs w:val="18"/>
              </w:rPr>
              <w:t xml:space="preserve"> or time</w:t>
            </w:r>
            <w:r w:rsidRPr="00296064">
              <w:rPr>
                <w:sz w:val="18"/>
                <w:szCs w:val="18"/>
              </w:rPr>
              <w:t xml:space="preserve"> to provide extensive input</w:t>
            </w:r>
            <w:r w:rsidR="00286DEB">
              <w:rPr>
                <w:sz w:val="18"/>
                <w:szCs w:val="18"/>
              </w:rPr>
              <w:t xml:space="preserve"> into HTA processes</w:t>
            </w:r>
            <w:r w:rsidRPr="00296064">
              <w:rPr>
                <w:sz w:val="18"/>
                <w:szCs w:val="18"/>
              </w:rPr>
              <w:t xml:space="preserve"> while managing health concerns and caring </w:t>
            </w:r>
            <w:r w:rsidR="00BD287D">
              <w:rPr>
                <w:sz w:val="18"/>
                <w:szCs w:val="18"/>
              </w:rPr>
              <w:t>responsibilities</w:t>
            </w:r>
            <w:r w:rsidR="00894A17">
              <w:rPr>
                <w:sz w:val="18"/>
                <w:szCs w:val="18"/>
              </w:rPr>
              <w:t>.</w:t>
            </w:r>
          </w:p>
          <w:p w14:paraId="4CC233AF" w14:textId="1897719E" w:rsidR="001F5103" w:rsidRPr="00286DEB" w:rsidRDefault="0044291A" w:rsidP="00286DEB">
            <w:pPr>
              <w:pStyle w:val="TableBullet"/>
              <w:spacing w:before="0" w:after="0" w:line="240" w:lineRule="auto"/>
              <w:ind w:left="284" w:hanging="284"/>
              <w:rPr>
                <w:sz w:val="18"/>
                <w:szCs w:val="18"/>
              </w:rPr>
            </w:pPr>
            <w:r>
              <w:rPr>
                <w:sz w:val="18"/>
                <w:szCs w:val="18"/>
              </w:rPr>
              <w:t xml:space="preserve">Legislating </w:t>
            </w:r>
            <w:r w:rsidR="002D7BC9">
              <w:rPr>
                <w:sz w:val="18"/>
                <w:szCs w:val="18"/>
              </w:rPr>
              <w:t>a</w:t>
            </w:r>
            <w:r>
              <w:rPr>
                <w:sz w:val="18"/>
                <w:szCs w:val="18"/>
              </w:rPr>
              <w:t xml:space="preserve"> consumer voice in HTA</w:t>
            </w:r>
            <w:r w:rsidR="00286DEB">
              <w:rPr>
                <w:sz w:val="18"/>
                <w:szCs w:val="18"/>
              </w:rPr>
              <w:t xml:space="preserve"> processes</w:t>
            </w:r>
            <w:r w:rsidR="001B0B45">
              <w:rPr>
                <w:sz w:val="18"/>
                <w:szCs w:val="18"/>
              </w:rPr>
              <w:t xml:space="preserve"> may be a mechanism to</w:t>
            </w:r>
            <w:r>
              <w:rPr>
                <w:sz w:val="18"/>
                <w:szCs w:val="18"/>
              </w:rPr>
              <w:t xml:space="preserve"> </w:t>
            </w:r>
            <w:r w:rsidR="002D7BC9">
              <w:rPr>
                <w:sz w:val="18"/>
                <w:szCs w:val="18"/>
              </w:rPr>
              <w:t>ensure a</w:t>
            </w:r>
            <w:r w:rsidR="00BC7737">
              <w:rPr>
                <w:sz w:val="18"/>
                <w:szCs w:val="18"/>
              </w:rPr>
              <w:t xml:space="preserve"> lasting</w:t>
            </w:r>
            <w:r w:rsidR="002D7BC9">
              <w:rPr>
                <w:sz w:val="18"/>
                <w:szCs w:val="18"/>
              </w:rPr>
              <w:t xml:space="preserve"> investment in</w:t>
            </w:r>
            <w:r w:rsidR="00BC7737">
              <w:rPr>
                <w:sz w:val="18"/>
                <w:szCs w:val="18"/>
              </w:rPr>
              <w:t xml:space="preserve"> systemic change. </w:t>
            </w:r>
          </w:p>
        </w:tc>
      </w:tr>
      <w:tr w:rsidR="001F5103" w:rsidRPr="00D11A7A" w14:paraId="48498828" w14:textId="77777777" w:rsidTr="00FA5FA6">
        <w:trPr>
          <w:cnfStyle w:val="000000010000" w:firstRow="0" w:lastRow="0" w:firstColumn="0" w:lastColumn="0" w:oddVBand="0" w:evenVBand="0" w:oddHBand="0" w:evenHBand="1" w:firstRowFirstColumn="0" w:firstRowLastColumn="0" w:lastRowFirstColumn="0" w:lastRowLastColumn="0"/>
          <w:trHeight w:val="302"/>
        </w:trPr>
        <w:tc>
          <w:tcPr>
            <w:tcW w:w="2694" w:type="dxa"/>
          </w:tcPr>
          <w:p w14:paraId="76A081E9" w14:textId="77777777" w:rsidR="001F5103" w:rsidRPr="007456D2" w:rsidRDefault="001F5103" w:rsidP="00FA5FA6">
            <w:pPr>
              <w:spacing w:before="0" w:after="0" w:line="240" w:lineRule="auto"/>
              <w:rPr>
                <w:b/>
                <w:bCs/>
                <w:sz w:val="18"/>
                <w:szCs w:val="18"/>
              </w:rPr>
            </w:pPr>
            <w:r w:rsidRPr="007456D2">
              <w:rPr>
                <w:b/>
                <w:bCs/>
                <w:sz w:val="18"/>
                <w:szCs w:val="18"/>
              </w:rPr>
              <w:t xml:space="preserve">Strengthen the use of consumer evidence and experience </w:t>
            </w:r>
          </w:p>
        </w:tc>
        <w:tc>
          <w:tcPr>
            <w:tcW w:w="7510" w:type="dxa"/>
          </w:tcPr>
          <w:p w14:paraId="5700643B" w14:textId="684B8B30" w:rsidR="004D7332" w:rsidRPr="00D11A7A" w:rsidRDefault="001F5103" w:rsidP="00972F33">
            <w:pPr>
              <w:pStyle w:val="TableBullet"/>
              <w:spacing w:before="0" w:after="0" w:line="240" w:lineRule="auto"/>
              <w:ind w:left="284" w:hanging="284"/>
              <w:rPr>
                <w:sz w:val="18"/>
                <w:szCs w:val="18"/>
              </w:rPr>
            </w:pPr>
            <w:r w:rsidRPr="00D11A7A">
              <w:rPr>
                <w:sz w:val="18"/>
                <w:szCs w:val="18"/>
              </w:rPr>
              <w:t>Implementing the recommended enhancements requires a new vision to strengthen and embed consumer evidence and experience into the health technology pathway from clinical research through to the examination of evidence during TGA approvals and HTA processes</w:t>
            </w:r>
            <w:r w:rsidR="00B6723B">
              <w:rPr>
                <w:sz w:val="18"/>
                <w:szCs w:val="18"/>
              </w:rPr>
              <w:t xml:space="preserve"> overseen by PBAC and other committees</w:t>
            </w:r>
            <w:r w:rsidRPr="00D11A7A">
              <w:rPr>
                <w:sz w:val="18"/>
                <w:szCs w:val="18"/>
              </w:rPr>
              <w:t xml:space="preserve">. </w:t>
            </w:r>
          </w:p>
          <w:p w14:paraId="77606682" w14:textId="548C05CB" w:rsidR="001F5103" w:rsidRPr="00D11A7A" w:rsidRDefault="001F5103" w:rsidP="00972F33">
            <w:pPr>
              <w:pStyle w:val="TableBullet"/>
              <w:spacing w:before="0" w:after="0" w:line="240" w:lineRule="auto"/>
              <w:ind w:left="284" w:hanging="284"/>
              <w:rPr>
                <w:sz w:val="18"/>
                <w:szCs w:val="18"/>
              </w:rPr>
            </w:pPr>
            <w:r w:rsidRPr="00D11A7A">
              <w:rPr>
                <w:sz w:val="18"/>
                <w:szCs w:val="18"/>
              </w:rPr>
              <w:t xml:space="preserve">This vision entails the acceptance of consumers’ input </w:t>
            </w:r>
            <w:r w:rsidR="00BB0125">
              <w:rPr>
                <w:sz w:val="18"/>
                <w:szCs w:val="18"/>
              </w:rPr>
              <w:t xml:space="preserve">into </w:t>
            </w:r>
            <w:r w:rsidR="00F55C8E">
              <w:rPr>
                <w:sz w:val="18"/>
                <w:szCs w:val="18"/>
              </w:rPr>
              <w:t>PICO</w:t>
            </w:r>
            <w:r w:rsidRPr="00D11A7A">
              <w:rPr>
                <w:sz w:val="18"/>
                <w:szCs w:val="18"/>
              </w:rPr>
              <w:t xml:space="preserve"> scoping and methodologies that account for consumer evidence, such as PREMS, PROMS, </w:t>
            </w:r>
            <w:r w:rsidR="00F55C8E">
              <w:rPr>
                <w:sz w:val="18"/>
                <w:szCs w:val="18"/>
              </w:rPr>
              <w:t xml:space="preserve">RWE, </w:t>
            </w:r>
            <w:r w:rsidRPr="00D11A7A">
              <w:rPr>
                <w:sz w:val="18"/>
                <w:szCs w:val="18"/>
              </w:rPr>
              <w:t>qualitative studies,</w:t>
            </w:r>
            <w:r w:rsidR="00F55C8E">
              <w:rPr>
                <w:sz w:val="18"/>
                <w:szCs w:val="18"/>
              </w:rPr>
              <w:t xml:space="preserve"> and </w:t>
            </w:r>
            <w:r w:rsidRPr="00D11A7A">
              <w:rPr>
                <w:sz w:val="18"/>
                <w:szCs w:val="18"/>
              </w:rPr>
              <w:t>health equity studies</w:t>
            </w:r>
            <w:r w:rsidR="00F55C8E">
              <w:rPr>
                <w:sz w:val="18"/>
                <w:szCs w:val="18"/>
              </w:rPr>
              <w:t>.</w:t>
            </w:r>
          </w:p>
        </w:tc>
      </w:tr>
      <w:tr w:rsidR="001F5103" w:rsidRPr="00D11A7A" w14:paraId="055316A4" w14:textId="77777777" w:rsidTr="00FA5FA6">
        <w:trPr>
          <w:cnfStyle w:val="000000100000" w:firstRow="0" w:lastRow="0" w:firstColumn="0" w:lastColumn="0" w:oddVBand="0" w:evenVBand="0" w:oddHBand="1" w:evenHBand="0" w:firstRowFirstColumn="0" w:firstRowLastColumn="0" w:lastRowFirstColumn="0" w:lastRowLastColumn="0"/>
          <w:trHeight w:val="302"/>
        </w:trPr>
        <w:tc>
          <w:tcPr>
            <w:tcW w:w="2694" w:type="dxa"/>
          </w:tcPr>
          <w:p w14:paraId="47F934FB" w14:textId="0CE13D89" w:rsidR="001F5103" w:rsidRPr="007456D2" w:rsidRDefault="001F5103" w:rsidP="00FA5FA6">
            <w:pPr>
              <w:spacing w:before="0" w:after="0" w:line="240" w:lineRule="auto"/>
              <w:rPr>
                <w:b/>
                <w:bCs/>
                <w:sz w:val="18"/>
                <w:szCs w:val="18"/>
              </w:rPr>
            </w:pPr>
            <w:r w:rsidRPr="007456D2">
              <w:rPr>
                <w:b/>
                <w:bCs/>
                <w:sz w:val="18"/>
                <w:szCs w:val="18"/>
              </w:rPr>
              <w:t xml:space="preserve">Facilitate beneficial communication between </w:t>
            </w:r>
            <w:r w:rsidR="001B7137">
              <w:rPr>
                <w:b/>
                <w:bCs/>
                <w:sz w:val="18"/>
                <w:szCs w:val="18"/>
              </w:rPr>
              <w:t xml:space="preserve">the medicines </w:t>
            </w:r>
            <w:r w:rsidRPr="007456D2">
              <w:rPr>
                <w:b/>
                <w:bCs/>
                <w:sz w:val="18"/>
                <w:szCs w:val="18"/>
              </w:rPr>
              <w:t xml:space="preserve">industry and consumers </w:t>
            </w:r>
          </w:p>
        </w:tc>
        <w:tc>
          <w:tcPr>
            <w:tcW w:w="7510" w:type="dxa"/>
          </w:tcPr>
          <w:p w14:paraId="1E95297F" w14:textId="473799C3" w:rsidR="000A77DE" w:rsidRDefault="001F7958" w:rsidP="000A77DE">
            <w:pPr>
              <w:pStyle w:val="TableBullet"/>
              <w:spacing w:before="0" w:after="0" w:line="240" w:lineRule="auto"/>
              <w:ind w:left="284" w:hanging="284"/>
              <w:rPr>
                <w:sz w:val="18"/>
                <w:szCs w:val="18"/>
              </w:rPr>
            </w:pPr>
            <w:r>
              <w:rPr>
                <w:sz w:val="18"/>
                <w:szCs w:val="18"/>
              </w:rPr>
              <w:t>Legislative</w:t>
            </w:r>
            <w:r w:rsidR="001F5103" w:rsidRPr="00D11A7A">
              <w:rPr>
                <w:sz w:val="18"/>
                <w:szCs w:val="18"/>
              </w:rPr>
              <w:t xml:space="preserve"> restrictions </w:t>
            </w:r>
            <w:r w:rsidR="00F232F9" w:rsidRPr="00D11A7A">
              <w:rPr>
                <w:sz w:val="18"/>
                <w:szCs w:val="18"/>
              </w:rPr>
              <w:t>prohibit</w:t>
            </w:r>
            <w:r w:rsidR="001F5103" w:rsidRPr="00D11A7A">
              <w:rPr>
                <w:sz w:val="18"/>
                <w:szCs w:val="18"/>
              </w:rPr>
              <w:t xml:space="preserve"> information sharing </w:t>
            </w:r>
            <w:r>
              <w:rPr>
                <w:sz w:val="18"/>
                <w:szCs w:val="18"/>
              </w:rPr>
              <w:t>between</w:t>
            </w:r>
            <w:r w:rsidR="001F5103" w:rsidRPr="00D11A7A">
              <w:rPr>
                <w:sz w:val="18"/>
                <w:szCs w:val="18"/>
              </w:rPr>
              <w:t xml:space="preserve"> industry and consumers to mitigate the risk of direct-to-consumer advertising and exposing</w:t>
            </w:r>
            <w:r>
              <w:rPr>
                <w:sz w:val="18"/>
                <w:szCs w:val="18"/>
              </w:rPr>
              <w:t xml:space="preserve"> </w:t>
            </w:r>
            <w:r w:rsidR="001F5103" w:rsidRPr="00D11A7A">
              <w:rPr>
                <w:sz w:val="18"/>
                <w:szCs w:val="18"/>
              </w:rPr>
              <w:t>confidential information. While these prohibitions intend to protect the Australian public, they also create barriers to consumer engagement</w:t>
            </w:r>
            <w:r w:rsidR="000A77DE">
              <w:rPr>
                <w:sz w:val="18"/>
                <w:szCs w:val="18"/>
              </w:rPr>
              <w:t xml:space="preserve"> in early stages.</w:t>
            </w:r>
          </w:p>
          <w:p w14:paraId="12C2B8AA" w14:textId="77777777" w:rsidR="003B4F71" w:rsidRDefault="001F5103" w:rsidP="000A77DE">
            <w:pPr>
              <w:pStyle w:val="TableBullet"/>
              <w:spacing w:before="0" w:after="0" w:line="240" w:lineRule="auto"/>
              <w:ind w:left="284" w:hanging="284"/>
              <w:rPr>
                <w:sz w:val="18"/>
                <w:szCs w:val="18"/>
              </w:rPr>
            </w:pPr>
            <w:r w:rsidRPr="00D11A7A">
              <w:rPr>
                <w:sz w:val="18"/>
                <w:szCs w:val="18"/>
              </w:rPr>
              <w:t xml:space="preserve">Some of the recommended enhancements intend to maintain these important protections while also carefully facilitating opportunities to harness the value of consumer input and evidence early in the health technology pathway. </w:t>
            </w:r>
          </w:p>
          <w:p w14:paraId="45205B15" w14:textId="313D2BB6" w:rsidR="001F5103" w:rsidRPr="00D11A7A" w:rsidRDefault="001F5103" w:rsidP="000A77DE">
            <w:pPr>
              <w:pStyle w:val="TableBullet"/>
              <w:spacing w:before="0" w:after="0" w:line="240" w:lineRule="auto"/>
              <w:ind w:left="284" w:hanging="284"/>
              <w:rPr>
                <w:sz w:val="18"/>
                <w:szCs w:val="18"/>
              </w:rPr>
            </w:pPr>
            <w:r w:rsidRPr="00D11A7A">
              <w:rPr>
                <w:sz w:val="18"/>
                <w:szCs w:val="18"/>
              </w:rPr>
              <w:t xml:space="preserve">Implementation will require careful consideration to ensure that the benefits of consumer engagement </w:t>
            </w:r>
            <w:r w:rsidR="00BB25D8">
              <w:rPr>
                <w:sz w:val="18"/>
                <w:szCs w:val="18"/>
              </w:rPr>
              <w:t xml:space="preserve">in the proposed recommendations </w:t>
            </w:r>
            <w:r w:rsidRPr="00D11A7A">
              <w:rPr>
                <w:sz w:val="18"/>
                <w:szCs w:val="18"/>
              </w:rPr>
              <w:t xml:space="preserve">do not exacerbate </w:t>
            </w:r>
            <w:r w:rsidR="00BB25D8">
              <w:rPr>
                <w:sz w:val="18"/>
                <w:szCs w:val="18"/>
              </w:rPr>
              <w:t xml:space="preserve">risks to </w:t>
            </w:r>
            <w:r w:rsidRPr="00D11A7A">
              <w:rPr>
                <w:sz w:val="18"/>
                <w:szCs w:val="18"/>
              </w:rPr>
              <w:t xml:space="preserve">confidentiality and conflicts of interest. </w:t>
            </w:r>
          </w:p>
        </w:tc>
      </w:tr>
    </w:tbl>
    <w:p w14:paraId="3FA30A37" w14:textId="25F64EF8" w:rsidR="00FB585B" w:rsidRDefault="001523D4" w:rsidP="001F5103">
      <w:pPr>
        <w:pStyle w:val="Heading1"/>
      </w:pPr>
      <w:bookmarkStart w:id="25" w:name="_Introduction"/>
      <w:bookmarkStart w:id="26" w:name="_Toc160023615"/>
      <w:bookmarkStart w:id="27" w:name="_Toc157615856"/>
      <w:bookmarkEnd w:id="25"/>
      <w:r>
        <w:t>Section 2</w:t>
      </w:r>
      <w:r w:rsidR="00527DC1">
        <w:t>:</w:t>
      </w:r>
      <w:bookmarkEnd w:id="26"/>
    </w:p>
    <w:p w14:paraId="3B9AB8D2" w14:textId="5543153F" w:rsidR="00FB585B" w:rsidRPr="001523D4" w:rsidRDefault="001523D4" w:rsidP="00527DC1">
      <w:pPr>
        <w:pStyle w:val="Heading1"/>
      </w:pPr>
      <w:bookmarkStart w:id="28" w:name="_Toc160023616"/>
      <w:r>
        <w:t xml:space="preserve">Detailed </w:t>
      </w:r>
      <w:r w:rsidR="00F15A20">
        <w:t>D</w:t>
      </w:r>
      <w:r>
        <w:t>escription</w:t>
      </w:r>
      <w:r w:rsidR="00F15A20">
        <w:t>s</w:t>
      </w:r>
      <w:r>
        <w:t xml:space="preserve"> of</w:t>
      </w:r>
      <w:r w:rsidR="00527DC1">
        <w:t xml:space="preserve"> Proposed</w:t>
      </w:r>
      <w:r>
        <w:t xml:space="preserve"> Recommendations</w:t>
      </w:r>
      <w:bookmarkStart w:id="29" w:name="Section_2"/>
      <w:bookmarkEnd w:id="29"/>
      <w:r w:rsidRPr="001523D4">
        <w:rPr>
          <w:noProof/>
        </w:rPr>
        <w:t xml:space="preserve"> </w:t>
      </w:r>
      <w:r w:rsidR="00A60159">
        <w:rPr>
          <w:noProof/>
        </w:rPr>
        <w:t>for Enhanced Consumer Engagement</w:t>
      </w:r>
      <w:bookmarkEnd w:id="28"/>
    </w:p>
    <w:p w14:paraId="7770E887" w14:textId="4877A83C" w:rsidR="00B22773" w:rsidRPr="000E50AB" w:rsidRDefault="00696B60" w:rsidP="00696B60">
      <w:pPr>
        <w:suppressAutoHyphens w:val="0"/>
        <w:spacing w:before="0" w:after="0" w:line="240" w:lineRule="auto"/>
      </w:pPr>
      <w:r>
        <w:br w:type="page"/>
      </w:r>
    </w:p>
    <w:p w14:paraId="3E885184" w14:textId="05E317ED" w:rsidR="001F5103" w:rsidRPr="00301177" w:rsidRDefault="001F5103" w:rsidP="001F5103">
      <w:pPr>
        <w:pStyle w:val="Heading1"/>
      </w:pPr>
      <w:bookmarkStart w:id="30" w:name="_Introduction_1"/>
      <w:bookmarkStart w:id="31" w:name="_Toc160023617"/>
      <w:bookmarkEnd w:id="30"/>
      <w:r w:rsidRPr="00301177">
        <w:t>Introduction</w:t>
      </w:r>
      <w:bookmarkEnd w:id="27"/>
      <w:bookmarkEnd w:id="31"/>
    </w:p>
    <w:p w14:paraId="6CC514FB" w14:textId="52377501" w:rsidR="00ED6481" w:rsidRDefault="00ED6481" w:rsidP="00ED6481">
      <w:pPr>
        <w:pStyle w:val="Heading2"/>
      </w:pPr>
      <w:bookmarkStart w:id="32" w:name="_Toc160023618"/>
      <w:r>
        <w:t>Background</w:t>
      </w:r>
      <w:bookmarkEnd w:id="32"/>
    </w:p>
    <w:p w14:paraId="1FBDB096" w14:textId="4876EDC1" w:rsidR="00203A67" w:rsidRDefault="00203A67" w:rsidP="00327015">
      <w:r>
        <w:t xml:space="preserve">The </w:t>
      </w:r>
      <w:hyperlink r:id="rId30" w:history="1">
        <w:r w:rsidRPr="00D01B62">
          <w:rPr>
            <w:rStyle w:val="Hyperlink"/>
          </w:rPr>
          <w:t>2022–2027 Strategic Agreement between the Commonwealth Government and Medicines Australia</w:t>
        </w:r>
      </w:hyperlink>
      <w:r>
        <w:t xml:space="preserve"> includes a </w:t>
      </w:r>
      <w:r w:rsidR="00327015">
        <w:t>project to “co-design and agree upon an Enhanced Consumer</w:t>
      </w:r>
      <w:r>
        <w:t xml:space="preserve"> </w:t>
      </w:r>
      <w:r w:rsidR="00327015">
        <w:t xml:space="preserve">Engagement Process, for consideration by the Minister </w:t>
      </w:r>
      <w:r w:rsidR="002E024A">
        <w:t>for</w:t>
      </w:r>
      <w:r w:rsidR="00327015">
        <w:t xml:space="preserve"> Health and Aged Care, to capture consumer voices in respect to applications to list new medicines on the Pharmaceutical Benefits Scheme</w:t>
      </w:r>
      <w:r w:rsidR="00C56B38">
        <w:t xml:space="preserve"> (PBS)”.</w:t>
      </w:r>
    </w:p>
    <w:p w14:paraId="7AEB45F7" w14:textId="637F4EF4" w:rsidR="001F5103" w:rsidRDefault="001F5103" w:rsidP="001F5103">
      <w:r>
        <w:t>This co-design project was commissioned by the Department of Health and Aged Care (</w:t>
      </w:r>
      <w:r w:rsidR="00FB30B6">
        <w:t>the Department</w:t>
      </w:r>
      <w:r>
        <w:t>)</w:t>
      </w:r>
      <w:r w:rsidR="00DD51D5">
        <w:t xml:space="preserve"> </w:t>
      </w:r>
      <w:r>
        <w:t xml:space="preserve">and is managed by the Consumer Evidence and Engagement Unit (CEEU), in the Office of Health Technology Assessment (OHTA). A ‘consumer-led proposal’ developed by a reference group of consumer advocates provided initial guidance to the CEEU to secure independent co-design facilitators from The University of Melbourne and establish a Co-design Working Group (CWG) of consumer, government, and medicines industry representatives. </w:t>
      </w:r>
    </w:p>
    <w:p w14:paraId="19AEBFD8" w14:textId="276F3D75" w:rsidR="00ED6481" w:rsidRDefault="00ED6481" w:rsidP="00ED6481">
      <w:pPr>
        <w:pStyle w:val="Heading2"/>
      </w:pPr>
      <w:bookmarkStart w:id="33" w:name="_Purpose_and_Scope"/>
      <w:bookmarkStart w:id="34" w:name="_Toc160023619"/>
      <w:bookmarkEnd w:id="33"/>
      <w:r>
        <w:t>Purpose and Scope</w:t>
      </w:r>
      <w:bookmarkEnd w:id="34"/>
    </w:p>
    <w:p w14:paraId="488A7C85" w14:textId="77777777" w:rsidR="009C4A04" w:rsidRDefault="009C4A04" w:rsidP="009C4A04">
      <w:r>
        <w:t xml:space="preserve">The </w:t>
      </w:r>
      <w:r w:rsidRPr="0024178D">
        <w:t xml:space="preserve">purpose </w:t>
      </w:r>
      <w:r>
        <w:t xml:space="preserve">of the project is to: </w:t>
      </w:r>
    </w:p>
    <w:p w14:paraId="03D7DFD9" w14:textId="7B497D25" w:rsidR="009C4A04" w:rsidRPr="007C024C" w:rsidRDefault="009C4A04" w:rsidP="009C4A04">
      <w:pPr>
        <w:rPr>
          <w:i/>
          <w:iCs/>
        </w:rPr>
      </w:pPr>
      <w:r w:rsidRPr="007C024C">
        <w:rPr>
          <w:i/>
          <w:iCs/>
        </w:rPr>
        <w:t xml:space="preserve">Develop a report with recommendations, for the consideration of the Minister for Health and Aged Care, on the design and implementation of the Enhanced Consumer Engagement Process for Health Technology Assessments relevant to Pharmaceutical Benefits Advisory Committee, as per </w:t>
      </w:r>
      <w:r>
        <w:rPr>
          <w:i/>
          <w:iCs/>
        </w:rPr>
        <w:t xml:space="preserve">the </w:t>
      </w:r>
      <w:r w:rsidRPr="0016317E">
        <w:rPr>
          <w:i/>
        </w:rPr>
        <w:t>2022-2027 Strategic agreement between the Commonwealth and Medicines Australia.</w:t>
      </w:r>
    </w:p>
    <w:p w14:paraId="4CFA6DAD" w14:textId="25C4467F" w:rsidR="001F5103" w:rsidRDefault="001F5103" w:rsidP="001F5103">
      <w:r>
        <w:t xml:space="preserve">The scope includes: </w:t>
      </w:r>
    </w:p>
    <w:p w14:paraId="3E4E5319" w14:textId="4B028776" w:rsidR="001F5103" w:rsidRDefault="001F5103" w:rsidP="001F0473">
      <w:pPr>
        <w:pStyle w:val="ListBullet"/>
        <w:numPr>
          <w:ilvl w:val="0"/>
          <w:numId w:val="19"/>
        </w:numPr>
      </w:pPr>
      <w:r>
        <w:t xml:space="preserve">applications to list new health technologies (single or class) on the </w:t>
      </w:r>
      <w:r w:rsidR="00CE59D1">
        <w:t>PBS</w:t>
      </w:r>
      <w:r>
        <w:t xml:space="preserve"> (i.e., medicines, vaccines, nutritional products, codependent technologies)</w:t>
      </w:r>
    </w:p>
    <w:p w14:paraId="5DD6CA56" w14:textId="77777777" w:rsidR="001F5103" w:rsidRDefault="001F5103" w:rsidP="001F0473">
      <w:pPr>
        <w:pStyle w:val="ListBullet"/>
        <w:numPr>
          <w:ilvl w:val="0"/>
          <w:numId w:val="19"/>
        </w:numPr>
      </w:pPr>
      <w:r>
        <w:t xml:space="preserve">changes to early stages of the HTA pathway </w:t>
      </w:r>
    </w:p>
    <w:p w14:paraId="141D206F" w14:textId="77777777" w:rsidR="001F5103" w:rsidRDefault="001F5103" w:rsidP="001F0473">
      <w:pPr>
        <w:pStyle w:val="ListBullet"/>
        <w:numPr>
          <w:ilvl w:val="0"/>
          <w:numId w:val="19"/>
        </w:numPr>
      </w:pPr>
      <w:r>
        <w:t>clarifying the relationship with horizon scanning information</w:t>
      </w:r>
    </w:p>
    <w:p w14:paraId="3C71F7F9" w14:textId="77777777" w:rsidR="001F5103" w:rsidRDefault="001F5103" w:rsidP="001F0473">
      <w:pPr>
        <w:pStyle w:val="ListBullet"/>
        <w:numPr>
          <w:ilvl w:val="0"/>
          <w:numId w:val="19"/>
        </w:numPr>
      </w:pPr>
      <w:r>
        <w:t xml:space="preserve">understanding where conflicts of interest may need to be managed. </w:t>
      </w:r>
    </w:p>
    <w:p w14:paraId="7B42E764" w14:textId="3C40E02D" w:rsidR="001F5103" w:rsidRDefault="001F5103" w:rsidP="001F5103">
      <w:r>
        <w:t>Importantly, while the purpose and scope focus on enhancing consumer engagement in relation to</w:t>
      </w:r>
      <w:r w:rsidR="009F1244">
        <w:t xml:space="preserve"> the Pharmaceutical Benefits Advisory Committee (</w:t>
      </w:r>
      <w:r>
        <w:t>PBAC</w:t>
      </w:r>
      <w:r w:rsidR="009F1244">
        <w:t xml:space="preserve">), </w:t>
      </w:r>
      <w:r>
        <w:t>as per the Strategic Agreement</w:t>
      </w:r>
      <w:r w:rsidR="009F1244">
        <w:t xml:space="preserve">, </w:t>
      </w:r>
      <w:r>
        <w:t>the CWG identified the importance of strengthen</w:t>
      </w:r>
      <w:r w:rsidR="00336CED">
        <w:t>ing</w:t>
      </w:r>
      <w:r>
        <w:t xml:space="preserve"> consumer engagement across the entire health technology pathway, including in pre and post PBAC processes such as those involved in clinical research, the </w:t>
      </w:r>
      <w:r w:rsidR="005946B6">
        <w:t xml:space="preserve">Therapeutic </w:t>
      </w:r>
      <w:r>
        <w:t>G</w:t>
      </w:r>
      <w:r w:rsidR="005946B6">
        <w:t xml:space="preserve">oods </w:t>
      </w:r>
      <w:r>
        <w:t>A</w:t>
      </w:r>
      <w:r w:rsidR="005946B6">
        <w:t>dministration (TGA</w:t>
      </w:r>
      <w:r w:rsidR="00A96487">
        <w:t>), and</w:t>
      </w:r>
      <w:r>
        <w:t xml:space="preserve"> post-market reviews.</w:t>
      </w:r>
      <w:r w:rsidR="00867BDD">
        <w:t xml:space="preserve"> Additionally, the proposed recommendations </w:t>
      </w:r>
      <w:r w:rsidR="001622FF">
        <w:t>for PBAC processes may be transferable to other HTA committees including</w:t>
      </w:r>
      <w:r w:rsidR="007437CD">
        <w:t xml:space="preserve"> the Medical Services Advisory Committee</w:t>
      </w:r>
      <w:r w:rsidR="001622FF">
        <w:t xml:space="preserve"> </w:t>
      </w:r>
      <w:r w:rsidR="007437CD">
        <w:t>(</w:t>
      </w:r>
      <w:r w:rsidR="001622FF">
        <w:t>MSAC</w:t>
      </w:r>
      <w:r w:rsidR="007437CD">
        <w:t>)</w:t>
      </w:r>
      <w:r w:rsidR="001622FF">
        <w:t xml:space="preserve"> and</w:t>
      </w:r>
      <w:r w:rsidR="007437CD">
        <w:t xml:space="preserve"> the Medical Device and Human</w:t>
      </w:r>
      <w:r w:rsidR="00C5239E">
        <w:t xml:space="preserve"> Tissue Advisory Committee</w:t>
      </w:r>
      <w:r w:rsidR="001622FF">
        <w:t xml:space="preserve"> </w:t>
      </w:r>
      <w:r w:rsidR="00C5239E">
        <w:t>(</w:t>
      </w:r>
      <w:r w:rsidR="001622FF">
        <w:t>MDHTAC</w:t>
      </w:r>
      <w:r w:rsidR="00C5239E">
        <w:t>)</w:t>
      </w:r>
      <w:r w:rsidR="007437CD">
        <w:t>.</w:t>
      </w:r>
      <w:r w:rsidR="00044230">
        <w:t xml:space="preserve"> </w:t>
      </w:r>
      <w:r w:rsidR="003A6BCD">
        <w:t xml:space="preserve">Further, the proposed recommendations </w:t>
      </w:r>
      <w:r w:rsidR="00476E32">
        <w:t>provide</w:t>
      </w:r>
      <w:r w:rsidR="003A6BCD">
        <w:t xml:space="preserve"> </w:t>
      </w:r>
      <w:r w:rsidR="00476E32">
        <w:t xml:space="preserve">an opportunity </w:t>
      </w:r>
      <w:r w:rsidR="003A6BCD">
        <w:t xml:space="preserve">to contribute to </w:t>
      </w:r>
      <w:r w:rsidR="00476E32">
        <w:t>the broader reform</w:t>
      </w:r>
      <w:r w:rsidR="007637FC">
        <w:t xml:space="preserve">s of </w:t>
      </w:r>
      <w:r w:rsidR="002B5CBC">
        <w:t xml:space="preserve">the </w:t>
      </w:r>
      <w:hyperlink r:id="rId31" w:history="1">
        <w:r w:rsidR="002B5CBC" w:rsidRPr="001A4287">
          <w:rPr>
            <w:rStyle w:val="Hyperlink"/>
          </w:rPr>
          <w:t>HTA Policy and Methods Review</w:t>
        </w:r>
      </w:hyperlink>
      <w:r w:rsidR="002B5CBC">
        <w:t xml:space="preserve">. </w:t>
      </w:r>
    </w:p>
    <w:p w14:paraId="5CEC1216" w14:textId="6069D099" w:rsidR="0080433B" w:rsidRDefault="00CE3CA7" w:rsidP="001C51C0">
      <w:pPr>
        <w:pStyle w:val="Heading2"/>
      </w:pPr>
      <w:bookmarkStart w:id="35" w:name="_Toc160023620"/>
      <w:r>
        <w:t xml:space="preserve">Co-design </w:t>
      </w:r>
      <w:r w:rsidR="001C51C0">
        <w:t>process</w:t>
      </w:r>
      <w:bookmarkEnd w:id="35"/>
    </w:p>
    <w:p w14:paraId="5975BCAF" w14:textId="5061CE97" w:rsidR="00593473" w:rsidRDefault="00B50E63" w:rsidP="00360E7D">
      <w:r>
        <w:t xml:space="preserve">The CWG </w:t>
      </w:r>
      <w:r w:rsidR="008016AE">
        <w:t xml:space="preserve">developed the </w:t>
      </w:r>
      <w:r w:rsidR="00C9533B">
        <w:t xml:space="preserve">proposed </w:t>
      </w:r>
      <w:r w:rsidR="008016AE">
        <w:t>recommendations in this</w:t>
      </w:r>
      <w:r w:rsidR="00811BDC">
        <w:t xml:space="preserve"> document</w:t>
      </w:r>
      <w:r w:rsidR="00D57C27">
        <w:t xml:space="preserve"> through</w:t>
      </w:r>
      <w:r w:rsidR="00430EFD">
        <w:t xml:space="preserve"> iterative </w:t>
      </w:r>
      <w:r w:rsidR="00940096">
        <w:t xml:space="preserve">co-design </w:t>
      </w:r>
      <w:r w:rsidR="00430EFD">
        <w:t>meetings,</w:t>
      </w:r>
      <w:r w:rsidR="001C51C0">
        <w:t xml:space="preserve"> </w:t>
      </w:r>
      <w:r>
        <w:t xml:space="preserve">workshops and discussions </w:t>
      </w:r>
      <w:r w:rsidR="001C51C0">
        <w:t xml:space="preserve">held </w:t>
      </w:r>
      <w:r>
        <w:t xml:space="preserve">from </w:t>
      </w:r>
      <w:r w:rsidR="00430EFD">
        <w:t>October</w:t>
      </w:r>
      <w:r>
        <w:t xml:space="preserve"> 2023 to </w:t>
      </w:r>
      <w:r w:rsidR="00E05F9A">
        <w:t>February</w:t>
      </w:r>
      <w:r>
        <w:t xml:space="preserve"> 2024. </w:t>
      </w:r>
    </w:p>
    <w:p w14:paraId="618DB93B" w14:textId="758566D4" w:rsidR="00593473" w:rsidRDefault="00593473" w:rsidP="00593473">
      <w:r>
        <w:t>CWG members</w:t>
      </w:r>
      <w:r w:rsidR="00EA2A76">
        <w:t xml:space="preserve"> first</w:t>
      </w:r>
      <w:r>
        <w:t xml:space="preserve"> agreed on the project’s workplan, purpose and scope through planning discussions with the independent facilitators. The workplan is built on a co-design methodology that enables members to iteratively share their ideas, experience, and evidence to design solutions and develop recommendations over time.</w:t>
      </w:r>
      <w:r w:rsidRPr="00307426">
        <w:t xml:space="preserve"> </w:t>
      </w:r>
      <w:r w:rsidR="00C87638">
        <w:t xml:space="preserve">This methodology is underpinned by </w:t>
      </w:r>
      <w:r w:rsidR="00967AD0">
        <w:t>values</w:t>
      </w:r>
      <w:r w:rsidR="00227C65">
        <w:t xml:space="preserve"> of</w:t>
      </w:r>
      <w:r w:rsidR="00060666">
        <w:t xml:space="preserve"> </w:t>
      </w:r>
      <w:r w:rsidR="002A441C">
        <w:t xml:space="preserve">democratic </w:t>
      </w:r>
      <w:r w:rsidR="00060666">
        <w:t>participation, shared decision-making</w:t>
      </w:r>
      <w:r w:rsidR="002A441C">
        <w:t xml:space="preserve">, </w:t>
      </w:r>
      <w:r w:rsidR="000F3E96">
        <w:t xml:space="preserve">critical </w:t>
      </w:r>
      <w:r w:rsidR="00FF4156">
        <w:t>reflection</w:t>
      </w:r>
      <w:r w:rsidR="000F3E96">
        <w:t xml:space="preserve">, </w:t>
      </w:r>
      <w:r w:rsidR="00537B2A">
        <w:t xml:space="preserve">and centralising </w:t>
      </w:r>
      <w:r w:rsidR="007E49D2">
        <w:t xml:space="preserve">consumers’ </w:t>
      </w:r>
      <w:r w:rsidR="00537B2A">
        <w:t>lived experience</w:t>
      </w:r>
      <w:r w:rsidR="00C17494">
        <w:t xml:space="preserve"> and expertise</w:t>
      </w:r>
      <w:r w:rsidR="00FF4156">
        <w:t>.</w:t>
      </w:r>
      <w:r w:rsidR="00060666">
        <w:t xml:space="preserve"> </w:t>
      </w:r>
      <w:r w:rsidRPr="00307426">
        <w:t xml:space="preserve">Gathering feedback from stakeholders through </w:t>
      </w:r>
      <w:r>
        <w:t xml:space="preserve">the survey that accompanies this </w:t>
      </w:r>
      <w:r w:rsidRPr="00307426">
        <w:t>consultation document is a critical part of this iterative, co-design approach.</w:t>
      </w:r>
    </w:p>
    <w:p w14:paraId="2C7D6D4F" w14:textId="4373CD3D" w:rsidR="00360E7D" w:rsidRDefault="005B3C11" w:rsidP="00360E7D">
      <w:r>
        <w:t>Early c</w:t>
      </w:r>
      <w:r w:rsidR="00AF6F86">
        <w:t xml:space="preserve">o-design </w:t>
      </w:r>
      <w:r w:rsidR="008C14CA">
        <w:t xml:space="preserve">activities </w:t>
      </w:r>
      <w:r w:rsidR="00AF6F86">
        <w:t xml:space="preserve">were informed by a design brief prepared by the </w:t>
      </w:r>
      <w:r w:rsidR="00940096">
        <w:t xml:space="preserve">independent </w:t>
      </w:r>
      <w:r w:rsidR="00AF6F86">
        <w:t>facilitators</w:t>
      </w:r>
      <w:r w:rsidR="00A07F13">
        <w:t xml:space="preserve">. The brief </w:t>
      </w:r>
      <w:r w:rsidR="002A4B36">
        <w:t xml:space="preserve">documented </w:t>
      </w:r>
      <w:r w:rsidR="00872D57">
        <w:t xml:space="preserve">relevant </w:t>
      </w:r>
      <w:r w:rsidR="002A4B36">
        <w:t>issues from</w:t>
      </w:r>
      <w:r w:rsidR="001E7CF7">
        <w:t xml:space="preserve"> a range of</w:t>
      </w:r>
      <w:r w:rsidR="002A4B36">
        <w:t xml:space="preserve"> prior consultation reports and policy documents, such as </w:t>
      </w:r>
      <w:r w:rsidR="000A1649">
        <w:t xml:space="preserve">(but not limited to) </w:t>
      </w:r>
      <w:hyperlink r:id="rId32" w:history="1">
        <w:r w:rsidR="002A4B36" w:rsidRPr="006B75AD">
          <w:rPr>
            <w:rStyle w:val="Hyperlink"/>
          </w:rPr>
          <w:t>Conversations for Change</w:t>
        </w:r>
      </w:hyperlink>
      <w:r w:rsidR="002A4B36">
        <w:t xml:space="preserve">, the </w:t>
      </w:r>
      <w:hyperlink r:id="rId33" w:history="1">
        <w:r w:rsidR="002A4B36" w:rsidRPr="006B75AD">
          <w:rPr>
            <w:rStyle w:val="Hyperlink"/>
          </w:rPr>
          <w:t>National Medicines Policy (2022)</w:t>
        </w:r>
      </w:hyperlink>
      <w:r w:rsidR="002A4B36">
        <w:t xml:space="preserve"> and the </w:t>
      </w:r>
      <w:hyperlink r:id="rId34" w:history="1">
        <w:r w:rsidR="002A4B36" w:rsidRPr="00E47B69">
          <w:rPr>
            <w:rStyle w:val="Hyperlink"/>
          </w:rPr>
          <w:t>New Frontier Report – Delivering better health for all Australians (2021)</w:t>
        </w:r>
      </w:hyperlink>
      <w:r w:rsidR="002A4B36">
        <w:t xml:space="preserve">. </w:t>
      </w:r>
    </w:p>
    <w:p w14:paraId="2CED6144" w14:textId="632B7C57" w:rsidR="003B5D84" w:rsidRDefault="00872D57" w:rsidP="00360E7D">
      <w:r>
        <w:t xml:space="preserve">Using this brief, the </w:t>
      </w:r>
      <w:r w:rsidR="00360E7D">
        <w:t xml:space="preserve">CWG members </w:t>
      </w:r>
      <w:r w:rsidR="007C7431">
        <w:t xml:space="preserve">worked together to </w:t>
      </w:r>
      <w:r w:rsidR="00A47ECB">
        <w:t>establish</w:t>
      </w:r>
      <w:r w:rsidR="007C7431">
        <w:t xml:space="preserve"> </w:t>
      </w:r>
      <w:r w:rsidR="00A47ECB">
        <w:t xml:space="preserve">the following design principles to guide the </w:t>
      </w:r>
      <w:r w:rsidR="00E3258A">
        <w:t>development of the proposed recommendations:</w:t>
      </w:r>
    </w:p>
    <w:p w14:paraId="08594CEA" w14:textId="77777777" w:rsidR="00964915" w:rsidRDefault="00964915" w:rsidP="001F0473">
      <w:pPr>
        <w:pStyle w:val="ListBullet"/>
        <w:numPr>
          <w:ilvl w:val="0"/>
          <w:numId w:val="15"/>
        </w:numPr>
      </w:pPr>
      <w:r w:rsidRPr="005A349E">
        <w:t>Consumer evidence and experience is prioritised and integral in health technology assessment processes.</w:t>
      </w:r>
    </w:p>
    <w:p w14:paraId="64E85192" w14:textId="77777777" w:rsidR="00964915" w:rsidRDefault="00964915" w:rsidP="001F0473">
      <w:pPr>
        <w:pStyle w:val="ListBullet"/>
        <w:numPr>
          <w:ilvl w:val="0"/>
          <w:numId w:val="15"/>
        </w:numPr>
      </w:pPr>
      <w:r w:rsidRPr="005A349E">
        <w:t xml:space="preserve">Recommendations to </w:t>
      </w:r>
      <w:sdt>
        <w:sdtPr>
          <w:tag w:val="goog_rdk_97"/>
          <w:id w:val="774598938"/>
        </w:sdtPr>
        <w:sdtContent/>
      </w:sdt>
      <w:r w:rsidRPr="005A349E">
        <w:t>enhance consumer engagement must not delay access to medicines.</w:t>
      </w:r>
    </w:p>
    <w:p w14:paraId="61D3454C" w14:textId="77777777" w:rsidR="00D21A78" w:rsidRDefault="00D21A78" w:rsidP="00D21A78">
      <w:pPr>
        <w:pStyle w:val="ListBullet"/>
        <w:numPr>
          <w:ilvl w:val="0"/>
          <w:numId w:val="15"/>
        </w:numPr>
      </w:pPr>
      <w:r>
        <w:t>E</w:t>
      </w:r>
      <w:r w:rsidRPr="005A349E">
        <w:t xml:space="preserve">nhancements </w:t>
      </w:r>
      <w:r>
        <w:t xml:space="preserve">for consumer engagement </w:t>
      </w:r>
      <w:r w:rsidRPr="005A349E">
        <w:t>may be prioritised to achieve maximum impact through implementation.</w:t>
      </w:r>
    </w:p>
    <w:p w14:paraId="5FCD5615" w14:textId="4C867A2D" w:rsidR="00FC1F32" w:rsidRDefault="00FC1F32" w:rsidP="001F5103">
      <w:r>
        <w:t xml:space="preserve">The </w:t>
      </w:r>
      <w:sdt>
        <w:sdtPr>
          <w:tag w:val="goog_rdk_98"/>
          <w:id w:val="-1026178283"/>
        </w:sdtPr>
        <w:sdtContent/>
      </w:sdt>
      <w:sdt>
        <w:sdtPr>
          <w:tag w:val="goog_rdk_99"/>
          <w:id w:val="1381432520"/>
        </w:sdtPr>
        <w:sdtContent/>
      </w:sdt>
      <w:sdt>
        <w:sdtPr>
          <w:tag w:val="goog_rdk_100"/>
          <w:id w:val="-323122782"/>
        </w:sdtPr>
        <w:sdtContent/>
      </w:sdt>
      <w:r>
        <w:t xml:space="preserve">CWG continuously audit their approach and recommendations against these principles and will return to them again in future workshops </w:t>
      </w:r>
      <w:r w:rsidR="00A6013D">
        <w:t xml:space="preserve">to produce the </w:t>
      </w:r>
      <w:r>
        <w:t>final report</w:t>
      </w:r>
      <w:r w:rsidR="00A6013D">
        <w:t xml:space="preserve"> </w:t>
      </w:r>
      <w:r w:rsidR="00697A78">
        <w:t>for</w:t>
      </w:r>
      <w:r w:rsidR="00A6013D">
        <w:t xml:space="preserve"> the Minister</w:t>
      </w:r>
      <w:r w:rsidR="00E3258A">
        <w:t xml:space="preserve"> </w:t>
      </w:r>
      <w:r w:rsidR="002E024A">
        <w:t>for</w:t>
      </w:r>
      <w:r w:rsidR="00E3258A">
        <w:t xml:space="preserve"> Health and Aged Care. </w:t>
      </w:r>
    </w:p>
    <w:p w14:paraId="1E1861D3" w14:textId="3796F33C" w:rsidR="0090780F" w:rsidRDefault="007E242E" w:rsidP="001F5103">
      <w:r>
        <w:t>More information about the</w:t>
      </w:r>
      <w:r w:rsidR="00A07F13">
        <w:t xml:space="preserve"> co-design</w:t>
      </w:r>
      <w:r>
        <w:t xml:space="preserve"> activities and processes undertaken by the CWG is available in the workshop communiques on the </w:t>
      </w:r>
      <w:hyperlink r:id="rId35" w:history="1">
        <w:r w:rsidRPr="00722805">
          <w:rPr>
            <w:rStyle w:val="Hyperlink"/>
          </w:rPr>
          <w:t>project webpage</w:t>
        </w:r>
      </w:hyperlink>
      <w:r>
        <w:t>.</w:t>
      </w:r>
    </w:p>
    <w:p w14:paraId="1FB17884" w14:textId="77777777" w:rsidR="00696B60" w:rsidRDefault="00696B60">
      <w:pPr>
        <w:suppressAutoHyphens w:val="0"/>
        <w:spacing w:before="0" w:after="0" w:line="240" w:lineRule="auto"/>
        <w:rPr>
          <w:sz w:val="48"/>
          <w:szCs w:val="48"/>
        </w:rPr>
      </w:pPr>
      <w:bookmarkStart w:id="36" w:name="_Toc157615857"/>
      <w:bookmarkStart w:id="37" w:name="_Toc160023621"/>
      <w:r>
        <w:rPr>
          <w:b/>
          <w:sz w:val="48"/>
          <w:szCs w:val="48"/>
        </w:rPr>
        <w:br w:type="page"/>
      </w:r>
    </w:p>
    <w:p w14:paraId="21F94A31" w14:textId="0B0A281C" w:rsidR="001F5103" w:rsidRDefault="001F5103" w:rsidP="004A41DD">
      <w:pPr>
        <w:pStyle w:val="Heading1"/>
      </w:pPr>
      <w:r>
        <w:t xml:space="preserve">Proposed </w:t>
      </w:r>
      <w:r w:rsidRPr="00764961">
        <w:t>Recommendations</w:t>
      </w:r>
      <w:bookmarkEnd w:id="36"/>
      <w:bookmarkEnd w:id="37"/>
      <w:r>
        <w:t xml:space="preserve"> </w:t>
      </w:r>
    </w:p>
    <w:p w14:paraId="00E27E9E" w14:textId="76691839" w:rsidR="002C4431" w:rsidRDefault="00756E34" w:rsidP="008873A0">
      <w:r>
        <w:t xml:space="preserve">As per the project purpose </w:t>
      </w:r>
      <w:r w:rsidR="005347C0">
        <w:t xml:space="preserve">and scope (see </w:t>
      </w:r>
      <w:hyperlink w:anchor="_Introduction_1" w:history="1">
        <w:r w:rsidR="005347C0" w:rsidRPr="005347C0">
          <w:rPr>
            <w:rStyle w:val="Hyperlink"/>
          </w:rPr>
          <w:t>Introduction</w:t>
        </w:r>
      </w:hyperlink>
      <w:r w:rsidR="005347C0">
        <w:t>)</w:t>
      </w:r>
      <w:r>
        <w:t xml:space="preserve">, the </w:t>
      </w:r>
      <w:r w:rsidR="001238E4">
        <w:t xml:space="preserve">proposed recommendations </w:t>
      </w:r>
      <w:r w:rsidR="00BB144E">
        <w:t>described below</w:t>
      </w:r>
      <w:r w:rsidR="001238E4">
        <w:t xml:space="preserve"> pertain to enhancing consumer engagement </w:t>
      </w:r>
      <w:r w:rsidR="008873A0">
        <w:t>across the entire health technology pathway from clinical research through to the TGA, PBAC, and post-market considerations. These recommendations may also be relevant and transferrable to other HTA committees.</w:t>
      </w:r>
    </w:p>
    <w:p w14:paraId="658BE6AD" w14:textId="03D6B997" w:rsidR="001238E4" w:rsidRPr="00530988" w:rsidRDefault="0082534F" w:rsidP="0082534F">
      <w:r>
        <w:t>Given this context, the p</w:t>
      </w:r>
      <w:r w:rsidR="001238E4">
        <w:t>roposed recommendations</w:t>
      </w:r>
      <w:r w:rsidR="00CE4F79">
        <w:t xml:space="preserve"> are</w:t>
      </w:r>
      <w:r w:rsidR="001238E4">
        <w:t xml:space="preserve"> organised into four categories:</w:t>
      </w:r>
    </w:p>
    <w:p w14:paraId="6B1A63F7" w14:textId="77777777" w:rsidR="007456DF" w:rsidRPr="005B5AB5" w:rsidRDefault="007456DF" w:rsidP="007456DF">
      <w:pPr>
        <w:pStyle w:val="ListBullet2"/>
        <w:numPr>
          <w:ilvl w:val="0"/>
          <w:numId w:val="18"/>
        </w:numPr>
      </w:pPr>
      <w:r w:rsidRPr="00865EB4">
        <w:rPr>
          <w:b/>
          <w:bCs/>
        </w:rPr>
        <w:t>System-wide enhancements</w:t>
      </w:r>
      <w:r w:rsidRPr="005B5AB5">
        <w:t xml:space="preserve"> that provide foundational support for embedding consumer </w:t>
      </w:r>
      <w:r>
        <w:t xml:space="preserve">evidence and experience </w:t>
      </w:r>
      <w:sdt>
        <w:sdtPr>
          <w:tag w:val="goog_rdk_108"/>
          <w:id w:val="1547716444"/>
        </w:sdtPr>
        <w:sdtContent/>
      </w:sdt>
      <w:r w:rsidRPr="005B5AB5">
        <w:t>across the</w:t>
      </w:r>
      <w:r>
        <w:t xml:space="preserve"> end-to-end</w:t>
      </w:r>
      <w:r w:rsidRPr="005B5AB5">
        <w:t xml:space="preserve"> health technology pathway. </w:t>
      </w:r>
    </w:p>
    <w:p w14:paraId="6E79F370" w14:textId="77777777" w:rsidR="007456DF" w:rsidRPr="005B5AB5" w:rsidRDefault="007456DF" w:rsidP="007456DF">
      <w:pPr>
        <w:pStyle w:val="ListBullet2"/>
        <w:numPr>
          <w:ilvl w:val="0"/>
          <w:numId w:val="18"/>
        </w:numPr>
      </w:pPr>
      <w:r w:rsidRPr="00865EB4">
        <w:rPr>
          <w:b/>
          <w:bCs/>
        </w:rPr>
        <w:t>Pre-HTA enhancements</w:t>
      </w:r>
      <w:r w:rsidRPr="005B5AB5">
        <w:t xml:space="preserve"> that </w:t>
      </w:r>
      <w:r w:rsidRPr="00EC59C2">
        <w:t xml:space="preserve">enhance consumer engagement before submissions are made to PBAC (or other HTA committees), specifically </w:t>
      </w:r>
      <w:proofErr w:type="gramStart"/>
      <w:r w:rsidRPr="00EC59C2">
        <w:t>with regard to</w:t>
      </w:r>
      <w:proofErr w:type="gramEnd"/>
      <w:r w:rsidRPr="00EC59C2">
        <w:t xml:space="preserve"> clinical research and the TGA.</w:t>
      </w:r>
    </w:p>
    <w:p w14:paraId="577D0181" w14:textId="77777777" w:rsidR="007456DF" w:rsidRPr="005B5AB5" w:rsidRDefault="007456DF" w:rsidP="007456DF">
      <w:pPr>
        <w:pStyle w:val="ListBullet2"/>
        <w:numPr>
          <w:ilvl w:val="0"/>
          <w:numId w:val="18"/>
        </w:numPr>
      </w:pPr>
      <w:r w:rsidRPr="00865EB4">
        <w:rPr>
          <w:b/>
          <w:bCs/>
        </w:rPr>
        <w:t>HTA process enhancements</w:t>
      </w:r>
      <w:r w:rsidRPr="005B5AB5">
        <w:t xml:space="preserve"> that enable consumer engagement when a </w:t>
      </w:r>
      <w:r>
        <w:t>submission</w:t>
      </w:r>
      <w:r w:rsidRPr="005B5AB5">
        <w:t xml:space="preserve"> is under assessment by PBAC</w:t>
      </w:r>
      <w:r>
        <w:t xml:space="preserve"> (or other HTA committees)</w:t>
      </w:r>
      <w:r w:rsidRPr="005B5AB5">
        <w:t>.</w:t>
      </w:r>
    </w:p>
    <w:p w14:paraId="71AF8867" w14:textId="77777777" w:rsidR="007456DF" w:rsidRDefault="007456DF" w:rsidP="007456DF">
      <w:pPr>
        <w:pStyle w:val="ListBullet2"/>
        <w:numPr>
          <w:ilvl w:val="0"/>
          <w:numId w:val="18"/>
        </w:numPr>
      </w:pPr>
      <w:r w:rsidRPr="00865EB4">
        <w:rPr>
          <w:b/>
          <w:bCs/>
        </w:rPr>
        <w:t>Post-HTA enhancements</w:t>
      </w:r>
      <w:r w:rsidRPr="005B5AB5">
        <w:t xml:space="preserve"> that enable consumer engagement after</w:t>
      </w:r>
      <w:r>
        <w:t xml:space="preserve"> HTA</w:t>
      </w:r>
      <w:r w:rsidRPr="005B5AB5">
        <w:t xml:space="preserve"> decision-making and recommendations for </w:t>
      </w:r>
      <w:r>
        <w:t>subsidised listing.</w:t>
      </w:r>
    </w:p>
    <w:p w14:paraId="6D65EAD5" w14:textId="38D32C5B" w:rsidR="001238E4" w:rsidRDefault="00261E41" w:rsidP="001F5103">
      <w:r w:rsidRPr="00F6440D">
        <w:t xml:space="preserve">There are </w:t>
      </w:r>
      <w:r w:rsidR="007456DF">
        <w:t xml:space="preserve">currently </w:t>
      </w:r>
      <w:r w:rsidR="00F6440D" w:rsidRPr="00F6440D">
        <w:t>1</w:t>
      </w:r>
      <w:r w:rsidR="00016F7E">
        <w:t>9</w:t>
      </w:r>
      <w:r w:rsidRPr="00F6440D">
        <w:t xml:space="preserve"> </w:t>
      </w:r>
      <w:r w:rsidR="00C71E11" w:rsidRPr="00F6440D">
        <w:t xml:space="preserve">recommended enhancements proposed in this report. </w:t>
      </w:r>
      <w:r w:rsidR="00BB1CC5" w:rsidRPr="00F6440D">
        <w:t xml:space="preserve">They are </w:t>
      </w:r>
      <w:r w:rsidR="00CE4F79" w:rsidRPr="00F6440D">
        <w:t>number</w:t>
      </w:r>
      <w:r w:rsidR="00BB1CC5" w:rsidRPr="00F6440D">
        <w:t>ed</w:t>
      </w:r>
      <w:r w:rsidR="00CE4F79" w:rsidRPr="00F6440D">
        <w:t xml:space="preserve"> consecutively</w:t>
      </w:r>
      <w:r w:rsidR="00CE4F79">
        <w:t xml:space="preserve"> </w:t>
      </w:r>
      <w:r w:rsidR="000B7C8E">
        <w:t xml:space="preserve">to match with </w:t>
      </w:r>
      <w:r w:rsidR="000C26FB" w:rsidRPr="000C26FB">
        <w:rPr>
          <w:b/>
          <w:bCs/>
        </w:rPr>
        <w:t>Figure 2</w:t>
      </w:r>
      <w:r w:rsidR="000C26FB">
        <w:t xml:space="preserve"> and </w:t>
      </w:r>
      <w:r w:rsidR="006972D6" w:rsidRPr="000C26FB">
        <w:rPr>
          <w:b/>
          <w:bCs/>
        </w:rPr>
        <w:t>Table 1</w:t>
      </w:r>
      <w:r w:rsidR="006972D6">
        <w:t xml:space="preserve"> </w:t>
      </w:r>
      <w:r w:rsidR="00183983">
        <w:t>shown in</w:t>
      </w:r>
      <w:r w:rsidR="00CF76F2">
        <w:t xml:space="preserve"> </w:t>
      </w:r>
      <w:hyperlink w:anchor="_Section_1:" w:history="1">
        <w:r w:rsidR="00E849D3" w:rsidRPr="00E849D3">
          <w:rPr>
            <w:rStyle w:val="Hyperlink"/>
          </w:rPr>
          <w:t>Section 1</w:t>
        </w:r>
      </w:hyperlink>
      <w:r w:rsidR="00E849D3">
        <w:t>.</w:t>
      </w:r>
    </w:p>
    <w:p w14:paraId="5DFBF94F" w14:textId="77777777" w:rsidR="001F5103" w:rsidRDefault="001F5103" w:rsidP="001F5103">
      <w:pPr>
        <w:pStyle w:val="Heading2"/>
      </w:pPr>
      <w:bookmarkStart w:id="38" w:name="_Toc157615858"/>
      <w:bookmarkStart w:id="39" w:name="_Toc160023622"/>
      <w:r w:rsidRPr="00301177">
        <w:t>System-wide Enhancements</w:t>
      </w:r>
      <w:bookmarkEnd w:id="38"/>
      <w:bookmarkEnd w:id="39"/>
    </w:p>
    <w:p w14:paraId="461A761B" w14:textId="04A3026A" w:rsidR="009756A9" w:rsidRDefault="001F5103" w:rsidP="001F5103">
      <w:r>
        <w:t xml:space="preserve">Recommendations for </w:t>
      </w:r>
      <w:r w:rsidR="002022AF">
        <w:t>system-wide enhancements p</w:t>
      </w:r>
      <w:r w:rsidR="002022AF" w:rsidRPr="005B5AB5">
        <w:t xml:space="preserve">rovide foundational support for embedding consumer </w:t>
      </w:r>
      <w:r w:rsidR="002022AF">
        <w:t xml:space="preserve">evidence and experience </w:t>
      </w:r>
      <w:sdt>
        <w:sdtPr>
          <w:tag w:val="goog_rdk_108"/>
          <w:id w:val="-880395700"/>
        </w:sdtPr>
        <w:sdtContent/>
      </w:sdt>
      <w:r w:rsidR="002022AF" w:rsidRPr="005B5AB5">
        <w:t>across the</w:t>
      </w:r>
      <w:r w:rsidR="002022AF">
        <w:t xml:space="preserve"> end-to-end</w:t>
      </w:r>
      <w:r w:rsidR="002022AF" w:rsidRPr="005B5AB5">
        <w:t xml:space="preserve"> health technology pathway</w:t>
      </w:r>
      <w:r w:rsidR="00465551">
        <w:t xml:space="preserve"> and support other </w:t>
      </w:r>
      <w:r w:rsidR="002022AF">
        <w:t xml:space="preserve">recommendations found in the </w:t>
      </w:r>
      <w:r w:rsidR="0051394B">
        <w:t>subsequent sections (pre-HTA, HTA processes, and post-HTA)</w:t>
      </w:r>
      <w:r w:rsidR="002022AF" w:rsidRPr="005B5AB5">
        <w:t>.</w:t>
      </w:r>
    </w:p>
    <w:p w14:paraId="3AB8F932" w14:textId="0F75F9A3" w:rsidR="001F5103" w:rsidRDefault="001F5103" w:rsidP="001C12D3">
      <w:pPr>
        <w:pStyle w:val="Heading3"/>
      </w:pPr>
      <w:r w:rsidRPr="001C12D3">
        <w:t>Consumer</w:t>
      </w:r>
      <w:r>
        <w:t xml:space="preserve"> </w:t>
      </w:r>
      <w:r w:rsidR="009B230C">
        <w:t>e</w:t>
      </w:r>
      <w:r w:rsidR="001E5F4A">
        <w:t xml:space="preserve">ngagement </w:t>
      </w:r>
      <w:r w:rsidR="009B230C">
        <w:t>f</w:t>
      </w:r>
      <w:r w:rsidR="001E5F4A">
        <w:t>ramework</w:t>
      </w:r>
    </w:p>
    <w:p w14:paraId="1975FA0E" w14:textId="3C2C5978" w:rsidR="00DE5065" w:rsidRDefault="00CA1E5E" w:rsidP="00EF673B">
      <w:r>
        <w:t xml:space="preserve">The CWG recommend an overarching framework to </w:t>
      </w:r>
      <w:r w:rsidR="000D082E">
        <w:t xml:space="preserve">align and </w:t>
      </w:r>
      <w:r w:rsidR="001F5103">
        <w:t xml:space="preserve">embed </w:t>
      </w:r>
      <w:r w:rsidR="00B921EF">
        <w:t>the recommendations of this co-design project and other reform initiatives</w:t>
      </w:r>
      <w:r w:rsidR="0048288C">
        <w:t xml:space="preserve"> (e.g., </w:t>
      </w:r>
      <w:r w:rsidR="00B921EF">
        <w:t>the HTA Policy and Methods Review</w:t>
      </w:r>
      <w:r w:rsidR="0048288C">
        <w:t>)</w:t>
      </w:r>
      <w:r w:rsidR="00141E64">
        <w:t>, into government strategies</w:t>
      </w:r>
      <w:r w:rsidR="00855F59">
        <w:t>, implementation planning and evaluation activities.</w:t>
      </w:r>
    </w:p>
    <w:p w14:paraId="7552350D" w14:textId="18597D65" w:rsidR="005E1C90" w:rsidRDefault="007E4362" w:rsidP="00EF673B">
      <w:r>
        <w:t xml:space="preserve">The </w:t>
      </w:r>
      <w:r w:rsidR="00855F59">
        <w:t xml:space="preserve">framework </w:t>
      </w:r>
      <w:r w:rsidR="000B0B99">
        <w:t>should address the principle of</w:t>
      </w:r>
      <w:r w:rsidR="00855F59">
        <w:t xml:space="preserve"> </w:t>
      </w:r>
      <w:r w:rsidR="001F5103">
        <w:t>early and continuous consumer engagement</w:t>
      </w:r>
      <w:r w:rsidR="00714BF9">
        <w:t xml:space="preserve"> </w:t>
      </w:r>
      <w:r w:rsidR="00855F59">
        <w:t>across the</w:t>
      </w:r>
      <w:r w:rsidR="00714BF9">
        <w:t xml:space="preserve"> end-t</w:t>
      </w:r>
      <w:r w:rsidR="00A4057A">
        <w:t>o-end</w:t>
      </w:r>
      <w:r w:rsidR="00714BF9">
        <w:t xml:space="preserve"> health technology pathway</w:t>
      </w:r>
      <w:r w:rsidR="00DE5065">
        <w:t xml:space="preserve"> providing </w:t>
      </w:r>
      <w:r w:rsidR="001F5103">
        <w:t xml:space="preserve">a roadmap and authorising environment </w:t>
      </w:r>
      <w:r w:rsidR="00DE5065">
        <w:t xml:space="preserve">to </w:t>
      </w:r>
      <w:r w:rsidR="005E1C90">
        <w:t xml:space="preserve">involve consumers formally </w:t>
      </w:r>
      <w:r w:rsidR="005E71C1">
        <w:t xml:space="preserve">in </w:t>
      </w:r>
      <w:r w:rsidR="00F64337">
        <w:t xml:space="preserve">clinical research, </w:t>
      </w:r>
      <w:r w:rsidR="005E71C1">
        <w:t>the TGA</w:t>
      </w:r>
      <w:r w:rsidR="00F64337">
        <w:t xml:space="preserve">, </w:t>
      </w:r>
      <w:r w:rsidR="001F5103">
        <w:t xml:space="preserve">HTA committees (e.g., </w:t>
      </w:r>
      <w:r w:rsidR="007179E0">
        <w:t xml:space="preserve">PBAC, </w:t>
      </w:r>
      <w:r w:rsidR="001F5103">
        <w:t xml:space="preserve">MSAC, MDHTAC), </w:t>
      </w:r>
      <w:r w:rsidR="007179E0">
        <w:t xml:space="preserve">subsidisation </w:t>
      </w:r>
      <w:r w:rsidR="001F5103">
        <w:t>funding schemes (e.g., PBS, MBS, PL, NDSS, etc.)</w:t>
      </w:r>
      <w:r w:rsidR="005E1C90">
        <w:t>, and post-market activities</w:t>
      </w:r>
      <w:r w:rsidR="001F5103">
        <w:t>.</w:t>
      </w:r>
    </w:p>
    <w:p w14:paraId="620F3B07" w14:textId="3049E8EC" w:rsidR="001F5103" w:rsidRDefault="005E1C90" w:rsidP="00EF673B">
      <w:r>
        <w:t>The framework</w:t>
      </w:r>
      <w:r w:rsidR="009F1930">
        <w:t xml:space="preserve"> could </w:t>
      </w:r>
      <w:r>
        <w:t xml:space="preserve">also </w:t>
      </w:r>
      <w:r w:rsidR="009F1930">
        <w:t xml:space="preserve">enable the </w:t>
      </w:r>
      <w:r w:rsidR="00C428F8">
        <w:t xml:space="preserve">prioritisation of </w:t>
      </w:r>
      <w:r w:rsidR="001F5103">
        <w:t>consumer engagement in</w:t>
      </w:r>
      <w:r w:rsidR="00F64337">
        <w:t xml:space="preserve"> new strategic agreements between government and industry</w:t>
      </w:r>
      <w:r w:rsidR="00732D17">
        <w:t xml:space="preserve">, </w:t>
      </w:r>
      <w:r w:rsidR="001F5103">
        <w:t xml:space="preserve">national policy documents </w:t>
      </w:r>
      <w:r w:rsidR="00836F44">
        <w:t xml:space="preserve">(e.g., </w:t>
      </w:r>
      <w:r w:rsidR="001F5103">
        <w:t>the National Medicines Policy</w:t>
      </w:r>
      <w:r w:rsidR="00836F44">
        <w:t>)</w:t>
      </w:r>
      <w:r w:rsidR="001F5103">
        <w:t xml:space="preserve">, and </w:t>
      </w:r>
      <w:r w:rsidR="00836F44">
        <w:t>provide the</w:t>
      </w:r>
      <w:r w:rsidR="001F5103">
        <w:t xml:space="preserve"> outcomes measures needed to evaluate the success and impact of</w:t>
      </w:r>
      <w:r w:rsidR="00EB3933">
        <w:t xml:space="preserve"> system-wide</w:t>
      </w:r>
      <w:r w:rsidR="001F5103">
        <w:t xml:space="preserve"> enhanced consumer engagement. These inclusions would demonstrate the value the </w:t>
      </w:r>
      <w:r w:rsidR="00732D17">
        <w:t xml:space="preserve">Government </w:t>
      </w:r>
      <w:r w:rsidR="001F5103">
        <w:t xml:space="preserve">places on consumer experience and evidence </w:t>
      </w:r>
      <w:r w:rsidR="00BD2BA1">
        <w:t>within HTA processes and</w:t>
      </w:r>
      <w:r w:rsidR="001F5103">
        <w:t xml:space="preserve"> </w:t>
      </w:r>
      <w:r w:rsidR="00EB3933">
        <w:t>t</w:t>
      </w:r>
      <w:r w:rsidR="001F5103">
        <w:t xml:space="preserve">he broader Australian healthcare system. </w:t>
      </w:r>
      <w:r w:rsidR="007E4362">
        <w:t>As such, stakeholders for the framework may include consumers, researchers, clinicians, health professionals, government, and the medicines industry.</w:t>
      </w:r>
    </w:p>
    <w:p w14:paraId="44BB9524" w14:textId="62D4340D" w:rsidR="001F5103" w:rsidRDefault="00BF70C4" w:rsidP="001F5103">
      <w:pPr>
        <w:tabs>
          <w:tab w:val="left" w:pos="4536"/>
        </w:tabs>
      </w:pPr>
      <w:r>
        <w:t xml:space="preserve">Importantly, developing this </w:t>
      </w:r>
      <w:r w:rsidR="001F5103">
        <w:t xml:space="preserve">framework presents an opportunity to embed equity and inclusion in the health technology pathway to pro-actively formalise consumer representation </w:t>
      </w:r>
      <w:r w:rsidR="00133DBF">
        <w:t xml:space="preserve">with </w:t>
      </w:r>
      <w:r w:rsidR="001F5103">
        <w:t>First Nations Peoples</w:t>
      </w:r>
      <w:r w:rsidR="00D002E8">
        <w:t xml:space="preserve"> and people from socially and culturally diverse communities and underrepresented groups </w:t>
      </w:r>
      <w:r w:rsidR="00DA0D76">
        <w:t>such as consumers</w:t>
      </w:r>
      <w:r w:rsidR="00133DBF">
        <w:t xml:space="preserve"> from rural and remote areas</w:t>
      </w:r>
      <w:r w:rsidR="001F5103">
        <w:t xml:space="preserve"> and consumers that have other unmet needs, including patients with rare diseases.</w:t>
      </w:r>
    </w:p>
    <w:p w14:paraId="51C18F0D" w14:textId="2E77069D" w:rsidR="00E74588" w:rsidRDefault="00E74588" w:rsidP="00E74588">
      <w:pPr>
        <w:pStyle w:val="Heading3"/>
      </w:pPr>
      <w:bookmarkStart w:id="40" w:name="_Single_Digital_Consumer"/>
      <w:bookmarkEnd w:id="40"/>
      <w:r>
        <w:t xml:space="preserve">Single </w:t>
      </w:r>
      <w:r w:rsidR="009B230C">
        <w:t>d</w:t>
      </w:r>
      <w:r>
        <w:t xml:space="preserve">igital </w:t>
      </w:r>
      <w:r w:rsidR="009B230C">
        <w:t>c</w:t>
      </w:r>
      <w:r>
        <w:t xml:space="preserve">onsumer </w:t>
      </w:r>
      <w:r w:rsidR="009B230C">
        <w:t>p</w:t>
      </w:r>
      <w:r>
        <w:t>ortal</w:t>
      </w:r>
    </w:p>
    <w:p w14:paraId="4D4EC58B" w14:textId="27457853" w:rsidR="00EE3854" w:rsidRDefault="00EE3854" w:rsidP="00E74588">
      <w:r>
        <w:t>The CWG advise that i</w:t>
      </w:r>
      <w:r w:rsidR="00141028">
        <w:t>t</w:t>
      </w:r>
      <w:r w:rsidR="00CD63C6">
        <w:t xml:space="preserve"> is</w:t>
      </w:r>
      <w:r>
        <w:t xml:space="preserve"> challenging to locate and navigate i</w:t>
      </w:r>
      <w:r w:rsidRPr="00EE3854">
        <w:t>nformation and resources to support consumer engagement across different Departmental websites</w:t>
      </w:r>
      <w:r w:rsidR="00CD63C6">
        <w:t xml:space="preserve">. This </w:t>
      </w:r>
      <w:r w:rsidR="003D15B5">
        <w:t xml:space="preserve">fragmentation of information </w:t>
      </w:r>
      <w:r w:rsidR="00C467E7">
        <w:t>makes it difficult for consumers to</w:t>
      </w:r>
      <w:r w:rsidR="00571183">
        <w:t xml:space="preserve"> receive timely </w:t>
      </w:r>
      <w:r w:rsidR="003D15B5">
        <w:t>notifications about</w:t>
      </w:r>
      <w:r w:rsidR="00571183">
        <w:t xml:space="preserve"> </w:t>
      </w:r>
      <w:r w:rsidR="003D15B5">
        <w:t xml:space="preserve">TGA and PBAC (or other HTA committees) </w:t>
      </w:r>
      <w:r w:rsidR="00571183">
        <w:t>agenda items</w:t>
      </w:r>
      <w:r w:rsidR="003D15B5">
        <w:t>, applications, submissions</w:t>
      </w:r>
      <w:r w:rsidR="00160040">
        <w:t>,</w:t>
      </w:r>
      <w:r w:rsidR="00571183">
        <w:t xml:space="preserve"> and </w:t>
      </w:r>
      <w:r w:rsidR="00160040">
        <w:t xml:space="preserve">other relevant </w:t>
      </w:r>
      <w:r w:rsidR="00A92969">
        <w:t>processes</w:t>
      </w:r>
      <w:r w:rsidR="00160040">
        <w:t xml:space="preserve">. Furthermore, this creates a barrier for consumers to </w:t>
      </w:r>
      <w:r w:rsidR="00A92969">
        <w:t xml:space="preserve">effectively offer their expertise </w:t>
      </w:r>
      <w:r w:rsidR="00160040">
        <w:t xml:space="preserve">and input into </w:t>
      </w:r>
      <w:r w:rsidR="00A92969">
        <w:t>health technologies</w:t>
      </w:r>
      <w:r w:rsidR="00160040">
        <w:t xml:space="preserve"> relevant to their </w:t>
      </w:r>
      <w:r w:rsidR="00A92969">
        <w:t>disease areas</w:t>
      </w:r>
      <w:r w:rsidR="00160040">
        <w:t xml:space="preserve"> and health conditions</w:t>
      </w:r>
      <w:r w:rsidR="00A92969">
        <w:t>.</w:t>
      </w:r>
    </w:p>
    <w:p w14:paraId="0999CB41" w14:textId="7901A9C5" w:rsidR="00E74588" w:rsidRDefault="00E74588" w:rsidP="00E74588">
      <w:r>
        <w:t xml:space="preserve">The CWG recommend a single digital portal on a website to provide a ‘one stop shop’ where consumers can access resources </w:t>
      </w:r>
      <w:r w:rsidR="00D6669E">
        <w:t>that</w:t>
      </w:r>
      <w:r>
        <w:t xml:space="preserve"> enable </w:t>
      </w:r>
      <w:r w:rsidR="00D6669E">
        <w:t>their</w:t>
      </w:r>
      <w:r>
        <w:t xml:space="preserve"> engagement across the health technology pathway. The portal could house information and resources relevant to many of the recommended enhancements described in this report, </w:t>
      </w:r>
      <w:r w:rsidR="006A7E54">
        <w:t>such as:</w:t>
      </w:r>
      <w:r>
        <w:t xml:space="preserve"> </w:t>
      </w:r>
    </w:p>
    <w:p w14:paraId="6C1734CF" w14:textId="2F25BFFA" w:rsidR="00E74588" w:rsidRDefault="00E74588"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The consumer engagement framework</w:t>
      </w:r>
    </w:p>
    <w:p w14:paraId="5151CBE1" w14:textId="564299A8" w:rsidR="00E74588" w:rsidRDefault="00154DE9"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Stakeholder resources and training</w:t>
      </w:r>
    </w:p>
    <w:p w14:paraId="4A07591E" w14:textId="4E2732C0" w:rsidR="00E74588" w:rsidRDefault="00E74588"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Tools and templates t</w:t>
      </w:r>
      <w:r w:rsidR="00324CC2">
        <w:rPr>
          <w:color w:val="000000"/>
        </w:rPr>
        <w:t xml:space="preserve">hat support consumers to document their </w:t>
      </w:r>
      <w:r>
        <w:rPr>
          <w:color w:val="000000"/>
        </w:rPr>
        <w:t xml:space="preserve">evidence and </w:t>
      </w:r>
      <w:proofErr w:type="gramStart"/>
      <w:r>
        <w:rPr>
          <w:color w:val="000000"/>
        </w:rPr>
        <w:t>experience</w:t>
      </w:r>
      <w:proofErr w:type="gramEnd"/>
    </w:p>
    <w:p w14:paraId="16F2C0B2" w14:textId="74B19D7F" w:rsidR="00E74588" w:rsidRDefault="00E74588"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 xml:space="preserve">Notifications about </w:t>
      </w:r>
      <w:r w:rsidR="00BC79FB">
        <w:rPr>
          <w:color w:val="000000"/>
        </w:rPr>
        <w:t xml:space="preserve">TGA and PBAC (and other HTA committees) </w:t>
      </w:r>
      <w:r w:rsidR="00B40BDB">
        <w:rPr>
          <w:color w:val="000000"/>
        </w:rPr>
        <w:t xml:space="preserve">agendas and </w:t>
      </w:r>
      <w:r w:rsidR="00BC79FB">
        <w:rPr>
          <w:color w:val="000000"/>
        </w:rPr>
        <w:t>applications/submissions</w:t>
      </w:r>
    </w:p>
    <w:p w14:paraId="79D73C9C" w14:textId="540DB8F1" w:rsidR="00E74588" w:rsidRDefault="00E74588"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Criteria for consumer hearings and stakeholder meetings</w:t>
      </w:r>
    </w:p>
    <w:p w14:paraId="31D88BBE" w14:textId="295EC59E" w:rsidR="00E74588" w:rsidRDefault="00E74588" w:rsidP="001F0473">
      <w:pPr>
        <w:numPr>
          <w:ilvl w:val="0"/>
          <w:numId w:val="14"/>
        </w:numPr>
        <w:pBdr>
          <w:top w:val="nil"/>
          <w:left w:val="nil"/>
          <w:bottom w:val="nil"/>
          <w:right w:val="nil"/>
          <w:between w:val="nil"/>
        </w:pBdr>
        <w:suppressAutoHyphens w:val="0"/>
        <w:spacing w:before="0" w:line="264" w:lineRule="auto"/>
        <w:rPr>
          <w:color w:val="000000"/>
        </w:rPr>
      </w:pPr>
      <w:r>
        <w:rPr>
          <w:color w:val="000000"/>
        </w:rPr>
        <w:t xml:space="preserve">Consolidation of </w:t>
      </w:r>
      <w:r w:rsidR="00A96487">
        <w:rPr>
          <w:color w:val="000000"/>
        </w:rPr>
        <w:t>information currently</w:t>
      </w:r>
      <w:r>
        <w:rPr>
          <w:color w:val="000000"/>
        </w:rPr>
        <w:t xml:space="preserve"> (and disparately) provided on other key websites, such as HTA committee websites, the Medicines Status Website, and the </w:t>
      </w:r>
      <w:r w:rsidR="0016653C">
        <w:rPr>
          <w:color w:val="000000"/>
        </w:rPr>
        <w:t xml:space="preserve">OHTA </w:t>
      </w:r>
      <w:r>
        <w:rPr>
          <w:color w:val="000000"/>
        </w:rPr>
        <w:t>consultation hub.</w:t>
      </w:r>
    </w:p>
    <w:p w14:paraId="5B75C918" w14:textId="77777777" w:rsidR="00E74588" w:rsidRDefault="00E74588" w:rsidP="00E74588">
      <w:r>
        <w:t>These enhancements and other resources developed for the portal must also be accessible to diverse audiences, including the public, consumer groups, First Nations communities, and diverse and underrepresented populations.</w:t>
      </w:r>
    </w:p>
    <w:p w14:paraId="161381AE" w14:textId="08EEDD9D" w:rsidR="00CF1460" w:rsidRDefault="00CF1460" w:rsidP="00CF1460">
      <w:pPr>
        <w:pStyle w:val="Heading3"/>
      </w:pPr>
      <w:bookmarkStart w:id="41" w:name="_Plain_language_communications_1"/>
      <w:bookmarkEnd w:id="41"/>
      <w:r>
        <w:t xml:space="preserve">Plain </w:t>
      </w:r>
      <w:r w:rsidR="009B230C">
        <w:t>l</w:t>
      </w:r>
      <w:r>
        <w:t xml:space="preserve">anguage </w:t>
      </w:r>
      <w:r w:rsidR="009B230C">
        <w:t>c</w:t>
      </w:r>
      <w:r>
        <w:t>ommunications</w:t>
      </w:r>
    </w:p>
    <w:p w14:paraId="0562A125" w14:textId="2B6CCC1A" w:rsidR="00CF1460" w:rsidRDefault="00CF1460" w:rsidP="00CF1460">
      <w:r>
        <w:t xml:space="preserve">Clear, plain language communication is an essential part of enhancing consumer engagement. The CWG identified touchpoints (see </w:t>
      </w:r>
      <w:r w:rsidR="00CF76F2">
        <w:t xml:space="preserve">Figure </w:t>
      </w:r>
      <w:r w:rsidR="0060476A">
        <w:t>2</w:t>
      </w:r>
      <w:r w:rsidR="00CF76F2">
        <w:t xml:space="preserve"> </w:t>
      </w:r>
      <w:r>
        <w:t xml:space="preserve">in </w:t>
      </w:r>
      <w:hyperlink w:anchor="Section_1" w:history="1">
        <w:r w:rsidR="00CF76F2" w:rsidRPr="00CF76F2">
          <w:rPr>
            <w:rStyle w:val="Hyperlink"/>
          </w:rPr>
          <w:t>Section 1</w:t>
        </w:r>
      </w:hyperlink>
      <w:r w:rsidR="00CF76F2">
        <w:t>)</w:t>
      </w:r>
      <w:r>
        <w:t xml:space="preserve"> across the health technology pathway where plain language communication would benefit enhanc</w:t>
      </w:r>
      <w:r w:rsidR="005A5544">
        <w:t xml:space="preserve">ed </w:t>
      </w:r>
      <w:r>
        <w:t>consumer engagement. These touchpoints are:</w:t>
      </w:r>
    </w:p>
    <w:p w14:paraId="33CCAD02" w14:textId="71A90D62" w:rsidR="00CF1460" w:rsidRDefault="00CF1460" w:rsidP="00CF1460">
      <w:pPr>
        <w:pBdr>
          <w:top w:val="nil"/>
          <w:left w:val="nil"/>
          <w:bottom w:val="nil"/>
          <w:right w:val="nil"/>
          <w:between w:val="nil"/>
        </w:pBdr>
        <w:suppressAutoHyphens w:val="0"/>
        <w:spacing w:before="0" w:line="264" w:lineRule="auto"/>
        <w:ind w:firstLine="720"/>
      </w:pPr>
      <w:r>
        <w:rPr>
          <w:color w:val="000000"/>
        </w:rPr>
        <w:t xml:space="preserve">3a. </w:t>
      </w:r>
      <w:r w:rsidR="00793752">
        <w:rPr>
          <w:color w:val="000000"/>
        </w:rPr>
        <w:t>c</w:t>
      </w:r>
      <w:r>
        <w:rPr>
          <w:color w:val="000000"/>
        </w:rPr>
        <w:t>linical trial research protocols</w:t>
      </w:r>
    </w:p>
    <w:p w14:paraId="4E15F1C7" w14:textId="1BDA7FEE" w:rsidR="00CF1460" w:rsidRDefault="00CF1460" w:rsidP="00CF1460">
      <w:pPr>
        <w:pBdr>
          <w:top w:val="nil"/>
          <w:left w:val="nil"/>
          <w:bottom w:val="nil"/>
          <w:right w:val="nil"/>
          <w:between w:val="nil"/>
        </w:pBdr>
        <w:suppressAutoHyphens w:val="0"/>
        <w:spacing w:before="0" w:line="264" w:lineRule="auto"/>
        <w:ind w:firstLine="720"/>
      </w:pPr>
      <w:r>
        <w:t xml:space="preserve">3b. </w:t>
      </w:r>
      <w:r>
        <w:rPr>
          <w:color w:val="000000"/>
        </w:rPr>
        <w:t>TGA applications</w:t>
      </w:r>
    </w:p>
    <w:p w14:paraId="3AE94725" w14:textId="1C22E35B" w:rsidR="00CF1460" w:rsidRDefault="00CF1460" w:rsidP="00CF1460">
      <w:pPr>
        <w:pBdr>
          <w:top w:val="nil"/>
          <w:left w:val="nil"/>
          <w:bottom w:val="nil"/>
          <w:right w:val="nil"/>
          <w:between w:val="nil"/>
        </w:pBdr>
        <w:suppressAutoHyphens w:val="0"/>
        <w:spacing w:before="0" w:line="264" w:lineRule="auto"/>
        <w:ind w:firstLine="720"/>
      </w:pPr>
      <w:r>
        <w:t xml:space="preserve">3c. </w:t>
      </w:r>
      <w:r>
        <w:rPr>
          <w:color w:val="000000"/>
        </w:rPr>
        <w:t>TGA public assessment reports</w:t>
      </w:r>
    </w:p>
    <w:p w14:paraId="225B26D7" w14:textId="112A334C" w:rsidR="00CF1460" w:rsidRDefault="00CF1460" w:rsidP="00CF1460">
      <w:pPr>
        <w:pBdr>
          <w:top w:val="nil"/>
          <w:left w:val="nil"/>
          <w:bottom w:val="nil"/>
          <w:right w:val="nil"/>
          <w:between w:val="nil"/>
        </w:pBdr>
        <w:suppressAutoHyphens w:val="0"/>
        <w:spacing w:before="0" w:line="264" w:lineRule="auto"/>
        <w:ind w:firstLine="720"/>
      </w:pPr>
      <w:r>
        <w:t xml:space="preserve">3d. </w:t>
      </w:r>
      <w:r>
        <w:rPr>
          <w:color w:val="000000"/>
        </w:rPr>
        <w:t xml:space="preserve">PBAC </w:t>
      </w:r>
      <w:r w:rsidR="000C7CD7">
        <w:rPr>
          <w:color w:val="000000"/>
        </w:rPr>
        <w:t>submissions</w:t>
      </w:r>
    </w:p>
    <w:p w14:paraId="1DEDDC20" w14:textId="159D6990" w:rsidR="00CF1460" w:rsidRDefault="00CF1460" w:rsidP="00CF1460">
      <w:pPr>
        <w:pBdr>
          <w:top w:val="nil"/>
          <w:left w:val="nil"/>
          <w:bottom w:val="nil"/>
          <w:right w:val="nil"/>
          <w:between w:val="nil"/>
        </w:pBdr>
        <w:suppressAutoHyphens w:val="0"/>
        <w:spacing w:before="0" w:line="264" w:lineRule="auto"/>
        <w:ind w:firstLine="720"/>
      </w:pPr>
      <w:r>
        <w:t xml:space="preserve">3e. </w:t>
      </w:r>
      <w:r>
        <w:rPr>
          <w:color w:val="000000"/>
        </w:rPr>
        <w:t xml:space="preserve">PBAC meeting outcomes </w:t>
      </w:r>
    </w:p>
    <w:p w14:paraId="49227F2E" w14:textId="46B5867C" w:rsidR="00CF1460" w:rsidRDefault="00CF1460" w:rsidP="00CF1460">
      <w:pPr>
        <w:pBdr>
          <w:top w:val="nil"/>
          <w:left w:val="nil"/>
          <w:bottom w:val="nil"/>
          <w:right w:val="nil"/>
          <w:between w:val="nil"/>
        </w:pBdr>
        <w:suppressAutoHyphens w:val="0"/>
        <w:spacing w:before="0" w:line="264" w:lineRule="auto"/>
        <w:ind w:firstLine="720"/>
      </w:pPr>
      <w:r>
        <w:t>3</w:t>
      </w:r>
      <w:r w:rsidR="00541889">
        <w:t xml:space="preserve">f. </w:t>
      </w:r>
      <w:r>
        <w:rPr>
          <w:color w:val="000000"/>
        </w:rPr>
        <w:t>PBAC public summary documents</w:t>
      </w:r>
    </w:p>
    <w:p w14:paraId="4B75F375" w14:textId="4F0FBE04" w:rsidR="00CF1460" w:rsidRDefault="00CF1460" w:rsidP="00CF1460">
      <w:pPr>
        <w:pBdr>
          <w:top w:val="nil"/>
          <w:left w:val="nil"/>
          <w:bottom w:val="nil"/>
          <w:right w:val="nil"/>
          <w:between w:val="nil"/>
        </w:pBdr>
        <w:suppressAutoHyphens w:val="0"/>
        <w:spacing w:before="0" w:line="264" w:lineRule="auto"/>
        <w:ind w:firstLine="720"/>
      </w:pPr>
      <w:r>
        <w:t xml:space="preserve">3g. </w:t>
      </w:r>
      <w:r w:rsidR="00793752">
        <w:t>p</w:t>
      </w:r>
      <w:r>
        <w:t xml:space="preserve">re-listing </w:t>
      </w:r>
      <w:r>
        <w:rPr>
          <w:color w:val="000000"/>
        </w:rPr>
        <w:t xml:space="preserve">status </w:t>
      </w:r>
      <w:r w:rsidR="00FC2A74">
        <w:rPr>
          <w:color w:val="000000"/>
        </w:rPr>
        <w:t>information</w:t>
      </w:r>
      <w:r>
        <w:rPr>
          <w:color w:val="000000"/>
        </w:rPr>
        <w:t xml:space="preserve"> </w:t>
      </w:r>
    </w:p>
    <w:p w14:paraId="0709B0FD" w14:textId="60DD58DE" w:rsidR="00CF1460" w:rsidRDefault="00CF1460" w:rsidP="00CF1460">
      <w:pPr>
        <w:pBdr>
          <w:top w:val="nil"/>
          <w:left w:val="nil"/>
          <w:bottom w:val="nil"/>
          <w:right w:val="nil"/>
          <w:between w:val="nil"/>
        </w:pBdr>
        <w:suppressAutoHyphens w:val="0"/>
        <w:spacing w:before="0" w:line="264" w:lineRule="auto"/>
        <w:ind w:firstLine="720"/>
      </w:pPr>
      <w:r>
        <w:t xml:space="preserve">3h. </w:t>
      </w:r>
      <w:r w:rsidR="00793752">
        <w:rPr>
          <w:color w:val="000000"/>
        </w:rPr>
        <w:t>p</w:t>
      </w:r>
      <w:r>
        <w:rPr>
          <w:color w:val="000000"/>
        </w:rPr>
        <w:t>ost-market review communications</w:t>
      </w:r>
    </w:p>
    <w:p w14:paraId="19D79974" w14:textId="2905464A" w:rsidR="00CF1460" w:rsidRDefault="00CF1460" w:rsidP="00CF1460">
      <w:r>
        <w:t xml:space="preserve">To start, the CWG </w:t>
      </w:r>
      <w:r w:rsidR="005A5544">
        <w:t>recommend</w:t>
      </w:r>
      <w:r>
        <w:t xml:space="preserve"> that the Summary of Information Pilot be fully operationalised. The Pilot trialled plain language summaries of </w:t>
      </w:r>
      <w:r w:rsidR="00B51510">
        <w:t>submissions</w:t>
      </w:r>
      <w:r>
        <w:t xml:space="preserve"> to PBAC using a template to communicate more effectively with consumers. Building on this approach, the CWG recommend a co-design project to develop additional templates for the other touchpoints to remedy any remaining plain language communication gaps.</w:t>
      </w:r>
    </w:p>
    <w:p w14:paraId="7F26ABD0" w14:textId="2D7CD982" w:rsidR="00CF1460" w:rsidRPr="009E5065" w:rsidRDefault="00CF1460" w:rsidP="00CF1460">
      <w:r>
        <w:t>Notably, implementing these communications may help enhance the flow-on effects of early consumer engagement. For example, plain language summaries of TGA applications may function as a ‘living document’ with further information added to other communications relevant to PBAC, other HTA committees, and further along the health technology pathway.</w:t>
      </w:r>
    </w:p>
    <w:p w14:paraId="1A2A2A42" w14:textId="25B64B4D" w:rsidR="001F5103" w:rsidRDefault="00F72AF1" w:rsidP="001F5103">
      <w:pPr>
        <w:pStyle w:val="Heading3"/>
      </w:pPr>
      <w:bookmarkStart w:id="42" w:name="_Stakeholder_resources_and"/>
      <w:bookmarkEnd w:id="42"/>
      <w:r>
        <w:t xml:space="preserve">Stakeholder </w:t>
      </w:r>
      <w:r w:rsidR="00154DE9">
        <w:t>r</w:t>
      </w:r>
      <w:r>
        <w:t>esources</w:t>
      </w:r>
      <w:r w:rsidR="001A04A7">
        <w:t xml:space="preserve"> and </w:t>
      </w:r>
      <w:r w:rsidR="00154DE9">
        <w:t>t</w:t>
      </w:r>
      <w:r w:rsidR="001A04A7">
        <w:t>raining</w:t>
      </w:r>
    </w:p>
    <w:p w14:paraId="10E8431D" w14:textId="29B10F8B" w:rsidR="00CD71FE" w:rsidRDefault="001F5103" w:rsidP="001F5103">
      <w:r>
        <w:t xml:space="preserve">The CWG </w:t>
      </w:r>
      <w:r w:rsidR="001B457C">
        <w:t>recommend th</w:t>
      </w:r>
      <w:r w:rsidR="007A0514">
        <w:t>at the Department</w:t>
      </w:r>
      <w:r w:rsidR="001B457C">
        <w:t xml:space="preserve"> establish</w:t>
      </w:r>
      <w:r w:rsidR="009122FB">
        <w:t xml:space="preserve"> </w:t>
      </w:r>
      <w:r w:rsidR="00F72AF1">
        <w:t>stakeholder training and resources</w:t>
      </w:r>
      <w:r w:rsidR="009122FB">
        <w:t xml:space="preserve"> </w:t>
      </w:r>
      <w:r w:rsidR="00F72AF1">
        <w:t>for</w:t>
      </w:r>
      <w:r w:rsidR="009122FB">
        <w:t xml:space="preserve"> government</w:t>
      </w:r>
      <w:r w:rsidR="00F72AF1">
        <w:t>,</w:t>
      </w:r>
      <w:r w:rsidR="009122FB">
        <w:t xml:space="preserve"> </w:t>
      </w:r>
      <w:r w:rsidR="004C45EB">
        <w:t>industry,</w:t>
      </w:r>
      <w:r w:rsidR="009122FB">
        <w:t xml:space="preserve"> and consumers. Indeed, the CWG </w:t>
      </w:r>
      <w:r w:rsidR="009068AC">
        <w:t xml:space="preserve">noted that consumers are well-positioned to </w:t>
      </w:r>
      <w:r w:rsidR="00FB3C07">
        <w:t xml:space="preserve">increase the capability of </w:t>
      </w:r>
      <w:r>
        <w:t xml:space="preserve">government and industry stakeholders in consumer engagement methods and understanding the value of consumer evidence and experience. </w:t>
      </w:r>
      <w:r w:rsidR="006C6E4F">
        <w:t xml:space="preserve">At the same time, </w:t>
      </w:r>
      <w:r w:rsidR="00FB3C07">
        <w:t xml:space="preserve">enhancing </w:t>
      </w:r>
      <w:r>
        <w:t>consumer</w:t>
      </w:r>
      <w:r w:rsidR="00FB3C07">
        <w:t xml:space="preserve"> engagement also </w:t>
      </w:r>
      <w:r w:rsidR="00DE160E">
        <w:t xml:space="preserve">necessitates dedicated </w:t>
      </w:r>
      <w:r w:rsidR="00FB3C07">
        <w:t xml:space="preserve">training and </w:t>
      </w:r>
      <w:r w:rsidR="00F72AF1">
        <w:t xml:space="preserve">access to </w:t>
      </w:r>
      <w:r w:rsidR="003C4E54">
        <w:t>resources for</w:t>
      </w:r>
      <w:r w:rsidR="00FB3C07">
        <w:t xml:space="preserve"> consumer</w:t>
      </w:r>
      <w:r w:rsidR="00CD71FE">
        <w:t>s</w:t>
      </w:r>
      <w:r w:rsidR="00FB3C07">
        <w:t xml:space="preserve"> to en</w:t>
      </w:r>
      <w:r w:rsidR="00AB56A3">
        <w:t xml:space="preserve">able their independent, </w:t>
      </w:r>
      <w:r w:rsidR="00AD2D15">
        <w:t>informed,</w:t>
      </w:r>
      <w:r w:rsidR="00AB56A3">
        <w:t xml:space="preserve"> and equal partnership in HTA processes.</w:t>
      </w:r>
    </w:p>
    <w:p w14:paraId="26E7DC4C" w14:textId="184DB3EE" w:rsidR="008A5D3C" w:rsidRDefault="00696068" w:rsidP="008A5D3C">
      <w:r>
        <w:t>This training</w:t>
      </w:r>
      <w:r w:rsidR="00CD71FE">
        <w:t xml:space="preserve"> approach </w:t>
      </w:r>
      <w:r w:rsidR="0054151C">
        <w:t>should be</w:t>
      </w:r>
      <w:r w:rsidR="00CD71FE">
        <w:t xml:space="preserve"> </w:t>
      </w:r>
      <w:r w:rsidR="001F5103">
        <w:t>co-designed</w:t>
      </w:r>
      <w:r w:rsidR="006413CF">
        <w:t xml:space="preserve"> with consumers, </w:t>
      </w:r>
      <w:r w:rsidR="0054151C">
        <w:t>government,</w:t>
      </w:r>
      <w:r w:rsidR="006413CF">
        <w:t xml:space="preserve"> and industry stakeholders</w:t>
      </w:r>
      <w:r w:rsidR="001F5103">
        <w:t xml:space="preserve">. </w:t>
      </w:r>
      <w:r w:rsidR="00D51541">
        <w:t>As a start, t</w:t>
      </w:r>
      <w:r w:rsidR="001F5103">
        <w:t xml:space="preserve">he CWG </w:t>
      </w:r>
      <w:r w:rsidR="00D51541">
        <w:t xml:space="preserve">recommend </w:t>
      </w:r>
      <w:r w:rsidR="001F5103">
        <w:t>bringing together current resources</w:t>
      </w:r>
      <w:r w:rsidR="008A5D3C">
        <w:t xml:space="preserve"> in Departmental websites to provide training about:</w:t>
      </w:r>
    </w:p>
    <w:p w14:paraId="30B28B33" w14:textId="08AE0DA2" w:rsidR="00445DDB" w:rsidRPr="009F7D53" w:rsidRDefault="00000000" w:rsidP="001F0473">
      <w:pPr>
        <w:pStyle w:val="ListBullet"/>
        <w:numPr>
          <w:ilvl w:val="0"/>
          <w:numId w:val="16"/>
        </w:numPr>
      </w:pPr>
      <w:sdt>
        <w:sdtPr>
          <w:tag w:val="goog_rdk_128"/>
          <w:id w:val="347065414"/>
        </w:sdtPr>
        <w:sdtContent/>
      </w:sdt>
      <w:sdt>
        <w:sdtPr>
          <w:tag w:val="goog_rdk_129"/>
          <w:id w:val="-169179228"/>
        </w:sdtPr>
        <w:sdtContent/>
      </w:sdt>
      <w:sdt>
        <w:sdtPr>
          <w:tag w:val="goog_rdk_130"/>
          <w:id w:val="-252280454"/>
        </w:sdtPr>
        <w:sdtContent/>
      </w:sdt>
      <w:r w:rsidR="001F5103" w:rsidRPr="009F7D53">
        <w:t>opportunities for consumers to provide their own input and evidence across the health technology pathway, before, during and after HTA processes and decision-making.</w:t>
      </w:r>
    </w:p>
    <w:p w14:paraId="5CA4A02F" w14:textId="77FC6E26" w:rsidR="009F7D53" w:rsidRPr="009F7D53" w:rsidRDefault="00631583" w:rsidP="001F0473">
      <w:pPr>
        <w:pStyle w:val="ListBullet"/>
        <w:numPr>
          <w:ilvl w:val="0"/>
          <w:numId w:val="16"/>
        </w:numPr>
      </w:pPr>
      <w:r>
        <w:t>the processes used by</w:t>
      </w:r>
      <w:r w:rsidR="001F5103" w:rsidRPr="009F7D53">
        <w:t xml:space="preserve"> clinical researchers, the TGA and HTA committees </w:t>
      </w:r>
      <w:r>
        <w:t xml:space="preserve">to </w:t>
      </w:r>
      <w:r w:rsidR="004E09A8">
        <w:t>consider</w:t>
      </w:r>
      <w:r w:rsidR="001F5103" w:rsidRPr="009F7D53">
        <w:t xml:space="preserve"> consumer input and evidence</w:t>
      </w:r>
      <w:r>
        <w:t xml:space="preserve"> in their </w:t>
      </w:r>
      <w:r w:rsidR="004E09A8">
        <w:t>decision-making.</w:t>
      </w:r>
    </w:p>
    <w:p w14:paraId="7A9711F7" w14:textId="26EAB38A" w:rsidR="001F5103" w:rsidRDefault="001F5103" w:rsidP="001F0473">
      <w:pPr>
        <w:pStyle w:val="ListBullet"/>
        <w:numPr>
          <w:ilvl w:val="0"/>
          <w:numId w:val="16"/>
        </w:numPr>
      </w:pPr>
      <w:r w:rsidRPr="009F7D53">
        <w:t xml:space="preserve">the standard of evidence required for consumer </w:t>
      </w:r>
      <w:r w:rsidR="0084299C">
        <w:t>input</w:t>
      </w:r>
      <w:r w:rsidRPr="009F7D53">
        <w:t xml:space="preserve"> and hearings </w:t>
      </w:r>
      <w:r w:rsidR="004E09A8">
        <w:t xml:space="preserve">to the TGA, PBAC and other HTA committees </w:t>
      </w:r>
      <w:r w:rsidRPr="009F7D53">
        <w:t>with guidance in the form of tools and templates to support the collection and presentation of robust patient data</w:t>
      </w:r>
      <w:r w:rsidR="004E09A8">
        <w:t>.</w:t>
      </w:r>
    </w:p>
    <w:p w14:paraId="10991A4F" w14:textId="2A1AACF4" w:rsidR="001F5103" w:rsidRDefault="001F5103" w:rsidP="001F5103">
      <w:r>
        <w:t>Training must be inclusive and provide equitable access to support a broad spectrum of consumers</w:t>
      </w:r>
      <w:r w:rsidR="00093A71">
        <w:t xml:space="preserve"> from First Nations communities and socially and culturally diverse populations</w:t>
      </w:r>
      <w:r w:rsidR="00D47146">
        <w:t xml:space="preserve"> </w:t>
      </w:r>
      <w:r w:rsidR="00D47146">
        <w:rPr>
          <w:rFonts w:ascii="Arial" w:hAnsi="Arial" w:cs="Arial"/>
        </w:rPr>
        <w:t xml:space="preserve">and underrepresented </w:t>
      </w:r>
      <w:r w:rsidR="008153B0">
        <w:rPr>
          <w:rFonts w:ascii="Arial" w:hAnsi="Arial" w:cs="Arial"/>
        </w:rPr>
        <w:t>groups</w:t>
      </w:r>
      <w:r w:rsidR="008153B0" w:rsidRPr="00EB556D">
        <w:rPr>
          <w:rFonts w:ascii="Arial" w:hAnsi="Arial" w:cs="Arial"/>
        </w:rPr>
        <w:t>.</w:t>
      </w:r>
      <w:r w:rsidR="00306B68">
        <w:t xml:space="preserve"> </w:t>
      </w:r>
      <w:r w:rsidR="00B350EA">
        <w:t>Training should include d</w:t>
      </w:r>
      <w:r w:rsidR="00956CE2">
        <w:t>ifferent levels of standardised training</w:t>
      </w:r>
      <w:r w:rsidR="00B350EA">
        <w:t xml:space="preserve">, </w:t>
      </w:r>
      <w:r w:rsidR="00956CE2">
        <w:t>plain language resources</w:t>
      </w:r>
      <w:r w:rsidR="00B350EA">
        <w:t xml:space="preserve">, and </w:t>
      </w:r>
      <w:r>
        <w:t>mixed media resources such as webinars, videos, and infographics</w:t>
      </w:r>
      <w:r w:rsidR="00976C40">
        <w:t>.</w:t>
      </w:r>
    </w:p>
    <w:p w14:paraId="3A71A03D" w14:textId="5DC2D0DE" w:rsidR="00E419F1" w:rsidRDefault="00E419F1" w:rsidP="00E419F1">
      <w:pPr>
        <w:pStyle w:val="Heading3"/>
      </w:pPr>
      <w:bookmarkStart w:id="43" w:name="_Consumer_Registry_and"/>
      <w:bookmarkEnd w:id="43"/>
      <w:r>
        <w:t xml:space="preserve">Consumer-informed </w:t>
      </w:r>
      <w:r w:rsidR="001A04A7">
        <w:t>h</w:t>
      </w:r>
      <w:r>
        <w:t xml:space="preserve">orizon </w:t>
      </w:r>
      <w:r w:rsidR="001A04A7">
        <w:t>s</w:t>
      </w:r>
      <w:r>
        <w:t>canning</w:t>
      </w:r>
    </w:p>
    <w:p w14:paraId="341D0786" w14:textId="5BB49FCE" w:rsidR="00E419F1" w:rsidRDefault="00E419F1" w:rsidP="00E419F1">
      <w:r>
        <w:t xml:space="preserve">Horizon scanning is a process that systematically identifies, assesses, and plans for the potential impact of new and emerging technologies. The </w:t>
      </w:r>
      <w:r w:rsidRPr="00C938D9">
        <w:t xml:space="preserve">Strategic Agreement </w:t>
      </w:r>
      <w:r>
        <w:t xml:space="preserve">sets a foundation for an annual horizon scanning forum with the </w:t>
      </w:r>
      <w:r w:rsidRPr="00C3434D">
        <w:t>first forum</w:t>
      </w:r>
      <w:r>
        <w:t xml:space="preserve"> held by Medicines Australia in December 2022. The forum brought together stakeholders from across the Commonwealth Government, State and Territory Governments, the medicines industry, life sciences companies, researchers, clinicians, and consumer organisations.</w:t>
      </w:r>
    </w:p>
    <w:p w14:paraId="58B65E78" w14:textId="5C69DDF0" w:rsidR="00E419F1" w:rsidRDefault="00E419F1" w:rsidP="00E419F1">
      <w:r>
        <w:t xml:space="preserve">The CWG recognised that horizon scanning is new and evolving in Australia. They considered recent reports from </w:t>
      </w:r>
      <w:hyperlink r:id="rId36" w:history="1">
        <w:r w:rsidRPr="00F100D4">
          <w:rPr>
            <w:rStyle w:val="Hyperlink"/>
          </w:rPr>
          <w:t>Medicines Australia</w:t>
        </w:r>
      </w:hyperlink>
      <w:r>
        <w:t xml:space="preserve"> and industry stakeholders such as </w:t>
      </w:r>
      <w:hyperlink r:id="rId37" w:history="1">
        <w:r w:rsidRPr="00D67F49">
          <w:rPr>
            <w:rStyle w:val="Hyperlink"/>
          </w:rPr>
          <w:t>Bristol Myers Squibb</w:t>
        </w:r>
      </w:hyperlink>
      <w:r>
        <w:t>, which both recommend the inclusion of consumer evidence and experience in horizon scanning processes. Such processes include the annual forum, however, the CWG noted that a coordinated and centralised horizon scanning system is also recommended by these reports.</w:t>
      </w:r>
    </w:p>
    <w:p w14:paraId="675303AC" w14:textId="77777777" w:rsidR="00E419F1" w:rsidRDefault="00E419F1" w:rsidP="00E419F1">
      <w:r>
        <w:t>The CWG recommend that consumers have an active role in the evolving horizon scanning system and annual forums via a dedicated consumer feedback opportunities and forum sessions. Consumer-informed horizon scanning recognises that consumers have a unique and significant role in providing insights into unmet patient needs and emerging health technologies for specific diseases and conditions. Consumer engagement in horizon scanning must also involve an equity lens to ensure that diverse and underserved populations are included, and a distinct recognition and engagement process dedicated to First Nations communities.</w:t>
      </w:r>
    </w:p>
    <w:p w14:paraId="0D7F606C" w14:textId="25EFBF81" w:rsidR="001F5103" w:rsidRDefault="00F72AF1" w:rsidP="001F5103">
      <w:pPr>
        <w:pStyle w:val="Heading3"/>
      </w:pPr>
      <w:bookmarkStart w:id="44" w:name="_Consumer_identification_and"/>
      <w:bookmarkEnd w:id="44"/>
      <w:r>
        <w:t xml:space="preserve">Consumer </w:t>
      </w:r>
      <w:r w:rsidR="001A04A7">
        <w:t>i</w:t>
      </w:r>
      <w:r>
        <w:t xml:space="preserve">dentification and </w:t>
      </w:r>
      <w:r w:rsidR="001A04A7">
        <w:t>d</w:t>
      </w:r>
      <w:r>
        <w:t>evelopment</w:t>
      </w:r>
    </w:p>
    <w:p w14:paraId="31B89574" w14:textId="64741D19" w:rsidR="00F93D93" w:rsidRDefault="00383395" w:rsidP="001F5103">
      <w:r w:rsidRPr="0026167C">
        <w:rPr>
          <w:rFonts w:ascii="Arial" w:hAnsi="Arial" w:cs="Arial"/>
        </w:rPr>
        <w:t xml:space="preserve">Consumer engagement </w:t>
      </w:r>
      <w:r w:rsidR="002C495C">
        <w:rPr>
          <w:rFonts w:ascii="Arial" w:hAnsi="Arial" w:cs="Arial"/>
        </w:rPr>
        <w:t>in the heath technology pathway c</w:t>
      </w:r>
      <w:r>
        <w:rPr>
          <w:rFonts w:ascii="Arial" w:hAnsi="Arial" w:cs="Arial"/>
        </w:rPr>
        <w:t>urrently relies</w:t>
      </w:r>
      <w:r w:rsidR="002C495C">
        <w:rPr>
          <w:rFonts w:ascii="Arial" w:hAnsi="Arial" w:cs="Arial"/>
        </w:rPr>
        <w:t xml:space="preserve"> substantially</w:t>
      </w:r>
      <w:r>
        <w:rPr>
          <w:rFonts w:ascii="Arial" w:hAnsi="Arial" w:cs="Arial"/>
        </w:rPr>
        <w:t xml:space="preserve"> on consumers themselves </w:t>
      </w:r>
      <w:r w:rsidR="00356887">
        <w:rPr>
          <w:rFonts w:ascii="Arial" w:hAnsi="Arial" w:cs="Arial"/>
        </w:rPr>
        <w:t xml:space="preserve">navigating complex online information about </w:t>
      </w:r>
      <w:r>
        <w:rPr>
          <w:rFonts w:ascii="Arial" w:hAnsi="Arial" w:cs="Arial"/>
        </w:rPr>
        <w:t>health technologies</w:t>
      </w:r>
      <w:r w:rsidR="002319EF">
        <w:rPr>
          <w:rFonts w:ascii="Arial" w:hAnsi="Arial" w:cs="Arial"/>
        </w:rPr>
        <w:t xml:space="preserve"> undergoing</w:t>
      </w:r>
      <w:r>
        <w:rPr>
          <w:rFonts w:ascii="Arial" w:hAnsi="Arial" w:cs="Arial"/>
        </w:rPr>
        <w:t xml:space="preserve"> approvals and subsidisation assessments. The aforementioned </w:t>
      </w:r>
      <w:hyperlink w:anchor="_Single_Digital_Consumer" w:history="1">
        <w:r w:rsidRPr="000F3534">
          <w:rPr>
            <w:rStyle w:val="Hyperlink"/>
            <w:rFonts w:ascii="Arial" w:hAnsi="Arial" w:cs="Arial"/>
          </w:rPr>
          <w:t>single digital portal</w:t>
        </w:r>
      </w:hyperlink>
      <w:r>
        <w:rPr>
          <w:rFonts w:ascii="Arial" w:hAnsi="Arial" w:cs="Arial"/>
        </w:rPr>
        <w:t xml:space="preserve"> will help to consolidate some of this information; however, </w:t>
      </w:r>
      <w:r w:rsidR="002319EF">
        <w:rPr>
          <w:rFonts w:ascii="Arial" w:hAnsi="Arial" w:cs="Arial"/>
        </w:rPr>
        <w:t>t</w:t>
      </w:r>
      <w:r w:rsidR="00A0014D">
        <w:t xml:space="preserve">he CWG recommend </w:t>
      </w:r>
      <w:r w:rsidR="00F9565F">
        <w:t xml:space="preserve">that the Department </w:t>
      </w:r>
      <w:r w:rsidR="004A6E35">
        <w:t xml:space="preserve">also </w:t>
      </w:r>
      <w:r w:rsidR="00F9565F">
        <w:t>establish</w:t>
      </w:r>
      <w:r w:rsidR="0043047E">
        <w:t xml:space="preserve"> a</w:t>
      </w:r>
      <w:r w:rsidR="00F9565F">
        <w:t xml:space="preserve"> process</w:t>
      </w:r>
      <w:r w:rsidR="0043047E">
        <w:t xml:space="preserve"> to identify</w:t>
      </w:r>
      <w:r w:rsidR="00F9565F">
        <w:t xml:space="preserve"> individual consumers and </w:t>
      </w:r>
      <w:r w:rsidR="00370171">
        <w:t xml:space="preserve">consumer groups </w:t>
      </w:r>
      <w:r w:rsidR="004A6E35">
        <w:t xml:space="preserve">so that they may </w:t>
      </w:r>
      <w:r w:rsidR="00370171">
        <w:t xml:space="preserve">receive targeted information about </w:t>
      </w:r>
      <w:r w:rsidR="004E0737">
        <w:t xml:space="preserve">TGA and </w:t>
      </w:r>
      <w:r w:rsidR="006122BE">
        <w:t>HTA committee</w:t>
      </w:r>
      <w:r w:rsidR="009F41FE">
        <w:t xml:space="preserve"> processes, agenda items, and</w:t>
      </w:r>
      <w:r w:rsidR="009F41F2">
        <w:t xml:space="preserve"> </w:t>
      </w:r>
      <w:r w:rsidR="00C6516A">
        <w:t xml:space="preserve">decision-making </w:t>
      </w:r>
      <w:r w:rsidR="009F41F2">
        <w:t>outcomes relevant to</w:t>
      </w:r>
      <w:r w:rsidR="00C6516A">
        <w:t xml:space="preserve"> their</w:t>
      </w:r>
      <w:r w:rsidR="009F41F2">
        <w:t xml:space="preserve"> disease areas and health conditions</w:t>
      </w:r>
      <w:r w:rsidR="00C6516A">
        <w:t xml:space="preserve"> of interest</w:t>
      </w:r>
      <w:r w:rsidR="009F41F2">
        <w:t xml:space="preserve">. </w:t>
      </w:r>
      <w:r w:rsidR="00344184">
        <w:t>Notably, th</w:t>
      </w:r>
      <w:r w:rsidR="004A6E35">
        <w:t>is formal</w:t>
      </w:r>
      <w:r w:rsidR="009F41F2">
        <w:t xml:space="preserve"> </w:t>
      </w:r>
      <w:r w:rsidR="00F72AF1">
        <w:t xml:space="preserve">identification </w:t>
      </w:r>
      <w:r w:rsidR="004A6E35">
        <w:t xml:space="preserve">process </w:t>
      </w:r>
      <w:r w:rsidR="009F41F2">
        <w:t>would</w:t>
      </w:r>
      <w:r w:rsidR="004A6E35">
        <w:t xml:space="preserve"> also</w:t>
      </w:r>
      <w:r w:rsidR="009F41F2">
        <w:t xml:space="preserve"> enable </w:t>
      </w:r>
      <w:r w:rsidR="00A1584F">
        <w:t xml:space="preserve">the recommendation for </w:t>
      </w:r>
      <w:r w:rsidR="00FA3F40">
        <w:t xml:space="preserve">earlier </w:t>
      </w:r>
      <w:hyperlink w:anchor="_Facilitated_collaboration_with" w:history="1">
        <w:r w:rsidR="008B1AE3" w:rsidRPr="004A6E35">
          <w:rPr>
            <w:rStyle w:val="Hyperlink"/>
          </w:rPr>
          <w:t>facilitate</w:t>
        </w:r>
        <w:r w:rsidR="00FA3F40">
          <w:rPr>
            <w:rStyle w:val="Hyperlink"/>
          </w:rPr>
          <w:t>d</w:t>
        </w:r>
        <w:r w:rsidR="008B1AE3" w:rsidRPr="004A6E35">
          <w:rPr>
            <w:rStyle w:val="Hyperlink"/>
          </w:rPr>
          <w:t xml:space="preserve"> </w:t>
        </w:r>
        <w:r w:rsidR="00E85E2B" w:rsidRPr="004A6E35">
          <w:rPr>
            <w:rStyle w:val="Hyperlink"/>
          </w:rPr>
          <w:t>collaborat</w:t>
        </w:r>
        <w:r w:rsidR="008B1AE3" w:rsidRPr="004A6E35">
          <w:rPr>
            <w:rStyle w:val="Hyperlink"/>
          </w:rPr>
          <w:t>ion</w:t>
        </w:r>
      </w:hyperlink>
      <w:r w:rsidR="00E85E2B">
        <w:t xml:space="preserve"> </w:t>
      </w:r>
      <w:r w:rsidR="00C456BA">
        <w:t xml:space="preserve">between consumers and </w:t>
      </w:r>
      <w:r w:rsidR="00DF76B6">
        <w:t>industry</w:t>
      </w:r>
      <w:r w:rsidR="00C456BA">
        <w:t xml:space="preserve"> to </w:t>
      </w:r>
      <w:r w:rsidR="00C72FFF">
        <w:t xml:space="preserve">improve the quality of </w:t>
      </w:r>
      <w:r w:rsidR="00777B77">
        <w:t xml:space="preserve">TGA </w:t>
      </w:r>
      <w:r w:rsidR="00387F20">
        <w:t>applications</w:t>
      </w:r>
      <w:r w:rsidR="00777B77">
        <w:t xml:space="preserve"> and HTA submissions that identify consumer</w:t>
      </w:r>
      <w:r w:rsidR="00344184">
        <w:t xml:space="preserve"> evidence and experience.</w:t>
      </w:r>
    </w:p>
    <w:p w14:paraId="29B49343" w14:textId="01825C3F" w:rsidR="001F5103" w:rsidRPr="009518B9" w:rsidRDefault="00302CDF" w:rsidP="001F5103">
      <w:r>
        <w:t>This</w:t>
      </w:r>
      <w:r w:rsidR="0043047E">
        <w:t xml:space="preserve"> </w:t>
      </w:r>
      <w:r w:rsidR="00344184">
        <w:t xml:space="preserve">recommendation may also support capacity development for </w:t>
      </w:r>
      <w:r>
        <w:t>identified</w:t>
      </w:r>
      <w:r w:rsidR="0043047E">
        <w:t xml:space="preserve"> consumers </w:t>
      </w:r>
      <w:r w:rsidR="004C78A6">
        <w:t xml:space="preserve">so that they are equipped </w:t>
      </w:r>
      <w:r w:rsidR="00344184">
        <w:t>to</w:t>
      </w:r>
      <w:r w:rsidR="0043047E">
        <w:t xml:space="preserve"> provide expert advice </w:t>
      </w:r>
      <w:r w:rsidR="00FE0FFD">
        <w:t xml:space="preserve">earlier and throughout </w:t>
      </w:r>
      <w:r w:rsidR="0043047E">
        <w:t>the</w:t>
      </w:r>
      <w:r w:rsidR="00344184">
        <w:t xml:space="preserve"> health technology</w:t>
      </w:r>
      <w:r w:rsidR="0043047E">
        <w:t xml:space="preserve"> pathway</w:t>
      </w:r>
      <w:r w:rsidR="004C78A6">
        <w:t xml:space="preserve"> (for example</w:t>
      </w:r>
      <w:r w:rsidR="0043047E">
        <w:t>, through</w:t>
      </w:r>
      <w:r w:rsidR="00A67DFC">
        <w:t xml:space="preserve"> the provision of recommended</w:t>
      </w:r>
      <w:r w:rsidR="0043047E">
        <w:t xml:space="preserve"> </w:t>
      </w:r>
      <w:hyperlink w:anchor="_Stakeholder_resources_and" w:history="1">
        <w:r w:rsidR="0043047E" w:rsidRPr="00A67DFC">
          <w:rPr>
            <w:rStyle w:val="Hyperlink"/>
          </w:rPr>
          <w:t>stakeholder</w:t>
        </w:r>
        <w:r w:rsidR="00A67DFC">
          <w:rPr>
            <w:rStyle w:val="Hyperlink"/>
          </w:rPr>
          <w:t xml:space="preserve"> resources and</w:t>
        </w:r>
        <w:r w:rsidR="0043047E" w:rsidRPr="00A67DFC">
          <w:rPr>
            <w:rStyle w:val="Hyperlink"/>
          </w:rPr>
          <w:t xml:space="preserve"> training</w:t>
        </w:r>
      </w:hyperlink>
      <w:r w:rsidR="004C78A6">
        <w:t>)</w:t>
      </w:r>
      <w:r w:rsidR="0043047E">
        <w:t xml:space="preserve">. </w:t>
      </w:r>
      <w:r w:rsidR="001D1A8C">
        <w:t xml:space="preserve">As such, identifying and targeting consumers with information, and further developing </w:t>
      </w:r>
      <w:r w:rsidR="00F829F2">
        <w:t>their</w:t>
      </w:r>
      <w:r w:rsidR="001D1A8C">
        <w:t xml:space="preserve"> capacity</w:t>
      </w:r>
      <w:r w:rsidR="004C78A6">
        <w:t>,</w:t>
      </w:r>
      <w:r w:rsidR="001D1A8C">
        <w:t xml:space="preserve"> will </w:t>
      </w:r>
      <w:r w:rsidR="00A05C78">
        <w:t>provide</w:t>
      </w:r>
      <w:r w:rsidR="0043047E">
        <w:t xml:space="preserve"> </w:t>
      </w:r>
      <w:r w:rsidR="007A1978">
        <w:t>assurances</w:t>
      </w:r>
      <w:r w:rsidR="00FE0FFD">
        <w:t xml:space="preserve"> that</w:t>
      </w:r>
      <w:r w:rsidR="007A1978">
        <w:t xml:space="preserve"> </w:t>
      </w:r>
      <w:r w:rsidR="0043047E">
        <w:t xml:space="preserve">consumers </w:t>
      </w:r>
      <w:r w:rsidR="00FE0FFD">
        <w:t xml:space="preserve">are equipped and supported to provide input </w:t>
      </w:r>
      <w:r w:rsidR="00F829F2">
        <w:t xml:space="preserve">relevant to </w:t>
      </w:r>
      <w:r w:rsidR="00D14E56">
        <w:t xml:space="preserve">specific </w:t>
      </w:r>
      <w:r w:rsidR="00F829F2">
        <w:t xml:space="preserve">health technologies and </w:t>
      </w:r>
      <w:r w:rsidR="00D14E56">
        <w:t>disease areas.</w:t>
      </w:r>
    </w:p>
    <w:p w14:paraId="3BD248AD" w14:textId="2E9C5ED3" w:rsidR="00CF2A22" w:rsidRDefault="00CF2A22">
      <w:pPr>
        <w:pStyle w:val="Heading3"/>
      </w:pPr>
      <w:bookmarkStart w:id="45" w:name="_Facilitated_collaboration_with"/>
      <w:bookmarkEnd w:id="45"/>
      <w:r>
        <w:t xml:space="preserve">Facilitated </w:t>
      </w:r>
      <w:r w:rsidR="001A04A7">
        <w:t>c</w:t>
      </w:r>
      <w:r>
        <w:t>ollaboration</w:t>
      </w:r>
      <w:r w:rsidR="00CB1457">
        <w:t xml:space="preserve"> with</w:t>
      </w:r>
      <w:r w:rsidR="005F5E1D">
        <w:t xml:space="preserve"> </w:t>
      </w:r>
      <w:proofErr w:type="gramStart"/>
      <w:r w:rsidR="001A04A7">
        <w:t>i</w:t>
      </w:r>
      <w:r w:rsidR="005F5E1D">
        <w:t>ndustry</w:t>
      </w:r>
      <w:proofErr w:type="gramEnd"/>
      <w:r>
        <w:t xml:space="preserve"> </w:t>
      </w:r>
    </w:p>
    <w:p w14:paraId="187E79AB" w14:textId="558D2AE9" w:rsidR="00C6639C" w:rsidRDefault="00A22B94" w:rsidP="00391CBA">
      <w:r w:rsidRPr="00CF2A22">
        <w:t xml:space="preserve">The CWG </w:t>
      </w:r>
      <w:r w:rsidR="00211F2A" w:rsidRPr="00CF2A22">
        <w:t>advised that</w:t>
      </w:r>
      <w:r w:rsidRPr="00CF2A22">
        <w:t xml:space="preserve"> early </w:t>
      </w:r>
      <w:r w:rsidR="0043225E">
        <w:t xml:space="preserve">collaborations </w:t>
      </w:r>
      <w:r w:rsidRPr="00CF2A22">
        <w:t>between consumers</w:t>
      </w:r>
      <w:r w:rsidR="0070675A" w:rsidRPr="00CF2A22">
        <w:t xml:space="preserve"> and the </w:t>
      </w:r>
      <w:r w:rsidRPr="00CF2A22">
        <w:t>medicines industry</w:t>
      </w:r>
      <w:r w:rsidR="0043225E">
        <w:t xml:space="preserve"> </w:t>
      </w:r>
      <w:r w:rsidR="002D780A">
        <w:t xml:space="preserve">will enhance the quality of </w:t>
      </w:r>
      <w:r w:rsidR="0043225E">
        <w:t xml:space="preserve">applications </w:t>
      </w:r>
      <w:r w:rsidR="002D780A">
        <w:t xml:space="preserve">and submissions </w:t>
      </w:r>
      <w:r w:rsidR="004C78A6">
        <w:t>to</w:t>
      </w:r>
      <w:r w:rsidR="0043225E">
        <w:t xml:space="preserve"> </w:t>
      </w:r>
      <w:r w:rsidR="002D780A">
        <w:t xml:space="preserve">the </w:t>
      </w:r>
      <w:r w:rsidR="007B5778">
        <w:t>TGA</w:t>
      </w:r>
      <w:r w:rsidR="008C3272">
        <w:t xml:space="preserve"> and </w:t>
      </w:r>
      <w:r w:rsidR="007B5778">
        <w:t xml:space="preserve">HTA committees </w:t>
      </w:r>
      <w:r w:rsidRPr="00CF2A22">
        <w:t xml:space="preserve">by ensuring the </w:t>
      </w:r>
      <w:r w:rsidR="002D780A">
        <w:t xml:space="preserve">early </w:t>
      </w:r>
      <w:r w:rsidRPr="00CF2A22">
        <w:t>inclusion of consumer</w:t>
      </w:r>
      <w:r w:rsidR="001D5768" w:rsidRPr="00CF2A22">
        <w:t xml:space="preserve"> </w:t>
      </w:r>
      <w:r w:rsidR="00422860">
        <w:t>priorities,</w:t>
      </w:r>
      <w:r w:rsidR="00900555" w:rsidRPr="00CF2A22">
        <w:t xml:space="preserve"> evidence</w:t>
      </w:r>
      <w:r w:rsidR="00422860">
        <w:t>,</w:t>
      </w:r>
      <w:r w:rsidR="00FF2E09" w:rsidRPr="00CF2A22">
        <w:t xml:space="preserve"> and experience</w:t>
      </w:r>
      <w:r w:rsidR="00900555" w:rsidRPr="00CF2A22">
        <w:t xml:space="preserve"> </w:t>
      </w:r>
      <w:r w:rsidR="00422860">
        <w:t>fo</w:t>
      </w:r>
      <w:r w:rsidR="00801FAE">
        <w:t>r</w:t>
      </w:r>
      <w:r w:rsidR="005A4C4A">
        <w:t xml:space="preserve"> </w:t>
      </w:r>
      <w:r w:rsidR="00422860">
        <w:t>relevant health technologies.</w:t>
      </w:r>
    </w:p>
    <w:p w14:paraId="297F0303" w14:textId="23B41CE4" w:rsidR="00FA5AB7" w:rsidRDefault="001038D4" w:rsidP="00825AAE">
      <w:r>
        <w:t>T</w:t>
      </w:r>
      <w:r w:rsidR="00557731">
        <w:t>he CWG noted significant impediments to</w:t>
      </w:r>
      <w:r w:rsidR="00F574D9">
        <w:t xml:space="preserve"> c</w:t>
      </w:r>
      <w:r w:rsidR="00557731">
        <w:t xml:space="preserve">ollaboration due to prohibitions on direct-to-consumer advertising and commercial-in-confidence issues prescribed under the </w:t>
      </w:r>
      <w:r w:rsidR="00557731">
        <w:rPr>
          <w:i/>
        </w:rPr>
        <w:t>Therapeutic Goods Act 1989</w:t>
      </w:r>
      <w:r w:rsidR="00557731">
        <w:t xml:space="preserve"> and the </w:t>
      </w:r>
      <w:r w:rsidR="00557731">
        <w:rPr>
          <w:i/>
        </w:rPr>
        <w:t>Competition and Consumer Act 2010</w:t>
      </w:r>
      <w:r w:rsidR="00557731">
        <w:t>. These laws have important protections for the Australian public, yet also make it difficult for consumers and the medicines industry to collaborate under the principle of enhanced consumer engagement.</w:t>
      </w:r>
    </w:p>
    <w:p w14:paraId="1D723290" w14:textId="4FC50E0D" w:rsidR="00BB0125" w:rsidRDefault="00FA5AB7" w:rsidP="00825AAE">
      <w:r>
        <w:t xml:space="preserve">The </w:t>
      </w:r>
      <w:r w:rsidR="00FF2E09">
        <w:t>CWG</w:t>
      </w:r>
      <w:r>
        <w:t xml:space="preserve"> therefore</w:t>
      </w:r>
      <w:r w:rsidR="00FF2E09">
        <w:t xml:space="preserve"> recommend </w:t>
      </w:r>
      <w:r w:rsidR="00F30A56">
        <w:t>that the Department</w:t>
      </w:r>
      <w:r w:rsidR="00170F9C">
        <w:t xml:space="preserve"> establish and </w:t>
      </w:r>
      <w:r w:rsidR="00F30A56">
        <w:t xml:space="preserve">facilitate </w:t>
      </w:r>
      <w:r w:rsidR="003946F6">
        <w:t xml:space="preserve">ethical and lawful </w:t>
      </w:r>
      <w:r w:rsidR="00F30A56">
        <w:t xml:space="preserve">collaborations between consumers and the medicines industry </w:t>
      </w:r>
      <w:r w:rsidR="00A67297">
        <w:t xml:space="preserve">when </w:t>
      </w:r>
      <w:r w:rsidR="008C7FF9">
        <w:t xml:space="preserve">industry-sponsored </w:t>
      </w:r>
      <w:r w:rsidR="00A67297">
        <w:t xml:space="preserve">applications </w:t>
      </w:r>
      <w:r w:rsidR="00801FAE">
        <w:t xml:space="preserve">and submissions </w:t>
      </w:r>
      <w:r w:rsidR="00A67297">
        <w:t xml:space="preserve">for the TGA </w:t>
      </w:r>
      <w:r w:rsidR="008C3272">
        <w:t>and</w:t>
      </w:r>
      <w:r w:rsidR="00A67297">
        <w:t xml:space="preserve"> HTA committees</w:t>
      </w:r>
      <w:r w:rsidR="003946F6">
        <w:t xml:space="preserve"> </w:t>
      </w:r>
      <w:r w:rsidR="00102AA0">
        <w:t>are in development.</w:t>
      </w:r>
    </w:p>
    <w:p w14:paraId="31554DBA" w14:textId="128DDDBB" w:rsidR="00E25DEF" w:rsidRDefault="00E25DEF" w:rsidP="00E25DEF">
      <w:pPr>
        <w:pStyle w:val="Heading3"/>
      </w:pPr>
      <w:bookmarkStart w:id="46" w:name="_Plain_Language_Communications"/>
      <w:bookmarkStart w:id="47" w:name="_Toc157615859"/>
      <w:bookmarkEnd w:id="46"/>
      <w:r>
        <w:t xml:space="preserve">Centralised and </w:t>
      </w:r>
      <w:r w:rsidR="001A04A7">
        <w:t>e</w:t>
      </w:r>
      <w:r>
        <w:t xml:space="preserve">xpanded </w:t>
      </w:r>
      <w:r w:rsidR="001A04A7">
        <w:t>c</w:t>
      </w:r>
      <w:r>
        <w:t xml:space="preserve">onsumer </w:t>
      </w:r>
      <w:proofErr w:type="gramStart"/>
      <w:r w:rsidR="001A04A7">
        <w:t>s</w:t>
      </w:r>
      <w:r>
        <w:t>upport</w:t>
      </w:r>
      <w:proofErr w:type="gramEnd"/>
    </w:p>
    <w:p w14:paraId="2812FF57" w14:textId="55B8DD8A" w:rsidR="00B0344A" w:rsidRDefault="00E25DEF" w:rsidP="00E25DEF">
      <w:pPr>
        <w:rPr>
          <w:rFonts w:asciiTheme="majorHAnsi" w:hAnsiTheme="majorHAnsi" w:cstheme="majorHAnsi"/>
        </w:rPr>
      </w:pPr>
      <w:r>
        <w:rPr>
          <w:rFonts w:asciiTheme="majorHAnsi" w:hAnsiTheme="majorHAnsi" w:cstheme="majorHAnsi"/>
        </w:rPr>
        <w:t>The CWG recommend that the Department expand the support mechanisms available to consumers (such as those currently provided by the CEEU), to facilitate their engagement with the health technology pathway and HTA processes.</w:t>
      </w:r>
    </w:p>
    <w:p w14:paraId="309398BF" w14:textId="4A93EDB4" w:rsidR="00E25DEF" w:rsidRDefault="00E25DEF" w:rsidP="00E25DEF">
      <w:pPr>
        <w:rPr>
          <w:rFonts w:asciiTheme="majorHAnsi" w:hAnsiTheme="majorHAnsi" w:cstheme="majorHAnsi"/>
        </w:rPr>
      </w:pPr>
      <w:r>
        <w:rPr>
          <w:rFonts w:asciiTheme="majorHAnsi" w:hAnsiTheme="majorHAnsi" w:cstheme="majorHAnsi"/>
        </w:rPr>
        <w:t xml:space="preserve">Expanding dedicated support to consumers represents both an enhancement for consumer engagement as well as an implementation enabler for the recommendations of this co-design project (see </w:t>
      </w:r>
      <w:hyperlink w:anchor="_Implementation_Considerations" w:history="1">
        <w:r w:rsidRPr="00C63598">
          <w:rPr>
            <w:rStyle w:val="Hyperlink"/>
            <w:rFonts w:asciiTheme="majorHAnsi" w:hAnsiTheme="majorHAnsi" w:cstheme="majorHAnsi"/>
          </w:rPr>
          <w:t>Implementation Considerations</w:t>
        </w:r>
      </w:hyperlink>
      <w:r>
        <w:rPr>
          <w:rFonts w:asciiTheme="majorHAnsi" w:hAnsiTheme="majorHAnsi" w:cstheme="majorHAnsi"/>
        </w:rPr>
        <w:t xml:space="preserve">). </w:t>
      </w:r>
    </w:p>
    <w:p w14:paraId="2957B41D" w14:textId="75FF8110" w:rsidR="00E25DEF" w:rsidRDefault="00E25DEF" w:rsidP="00E25DEF">
      <w:pPr>
        <w:rPr>
          <w:rFonts w:asciiTheme="majorHAnsi" w:hAnsiTheme="majorHAnsi" w:cstheme="majorHAnsi"/>
        </w:rPr>
      </w:pPr>
      <w:r>
        <w:rPr>
          <w:rFonts w:asciiTheme="majorHAnsi" w:hAnsiTheme="majorHAnsi" w:cstheme="majorHAnsi"/>
        </w:rPr>
        <w:t>This expansion is critically important given the interdependent nature of many of the recommended enhancements and their potential flow-on-effects, which requires high-level oversight, coordination and continuous communication and engagement with consumers and key stakeholders in clinical research, the medicines industry, the TGA, PBAC, and other HTA committees.</w:t>
      </w:r>
    </w:p>
    <w:p w14:paraId="4913784F" w14:textId="77777777" w:rsidR="001F5103" w:rsidRDefault="001F5103" w:rsidP="001F5103">
      <w:pPr>
        <w:pStyle w:val="Heading2"/>
      </w:pPr>
      <w:bookmarkStart w:id="48" w:name="_Pre-HTA_Enhancements"/>
      <w:bookmarkStart w:id="49" w:name="_Toc160023623"/>
      <w:bookmarkEnd w:id="48"/>
      <w:r w:rsidRPr="00301177">
        <w:t>Pre-HTA Enhancements</w:t>
      </w:r>
      <w:bookmarkEnd w:id="47"/>
      <w:bookmarkEnd w:id="49"/>
    </w:p>
    <w:p w14:paraId="0AFB452C" w14:textId="42D1FE1E" w:rsidR="001F5103" w:rsidRDefault="001F5103" w:rsidP="001F5103">
      <w:r>
        <w:t xml:space="preserve">The following are proposed recommendations to enhance consumer engagement before </w:t>
      </w:r>
      <w:r w:rsidR="00EA0B7D">
        <w:t>submissions</w:t>
      </w:r>
      <w:r>
        <w:t xml:space="preserve"> are made to PBAC</w:t>
      </w:r>
      <w:r w:rsidR="00EA0B7D">
        <w:t xml:space="preserve"> (or other HTA committees)</w:t>
      </w:r>
      <w:r>
        <w:t xml:space="preserve">, specifically </w:t>
      </w:r>
      <w:proofErr w:type="gramStart"/>
      <w:r>
        <w:t>with regard to</w:t>
      </w:r>
      <w:proofErr w:type="gramEnd"/>
      <w:r>
        <w:t xml:space="preserve"> clinical research and the TGA.</w:t>
      </w:r>
    </w:p>
    <w:p w14:paraId="64994D9F" w14:textId="407B25C9" w:rsidR="001F5103" w:rsidRDefault="001F5103" w:rsidP="001F5103">
      <w:pPr>
        <w:pStyle w:val="Heading3"/>
      </w:pPr>
      <w:bookmarkStart w:id="50" w:name="_Consumer_Evidence_in"/>
      <w:bookmarkEnd w:id="50"/>
      <w:r>
        <w:t xml:space="preserve">Consumer </w:t>
      </w:r>
      <w:r w:rsidR="001A04A7">
        <w:t>e</w:t>
      </w:r>
      <w:r w:rsidR="00471296">
        <w:t>v</w:t>
      </w:r>
      <w:r>
        <w:t xml:space="preserve">idence in Australian </w:t>
      </w:r>
      <w:r w:rsidR="001A04A7">
        <w:t>c</w:t>
      </w:r>
      <w:r>
        <w:t xml:space="preserve">linical </w:t>
      </w:r>
      <w:r w:rsidR="001A04A7">
        <w:t>r</w:t>
      </w:r>
      <w:r>
        <w:t>esearch</w:t>
      </w:r>
    </w:p>
    <w:p w14:paraId="1DEA4E53" w14:textId="3017E8A7" w:rsidR="00416DCF" w:rsidRDefault="00416DCF" w:rsidP="00416DCF">
      <w:r>
        <w:t xml:space="preserve">The </w:t>
      </w:r>
      <w:hyperlink r:id="rId38" w:history="1">
        <w:r w:rsidRPr="00D33BC4">
          <w:rPr>
            <w:rStyle w:val="Hyperlink"/>
          </w:rPr>
          <w:t>National Health and Medical Research Council</w:t>
        </w:r>
      </w:hyperlink>
      <w:r>
        <w:t xml:space="preserve"> (NHMRC) and other funding schemes, such as the </w:t>
      </w:r>
      <w:hyperlink r:id="rId39" w:history="1">
        <w:r w:rsidRPr="00D33BC4">
          <w:rPr>
            <w:rStyle w:val="Hyperlink"/>
          </w:rPr>
          <w:t>Medical Research Futures Fund</w:t>
        </w:r>
      </w:hyperlink>
      <w:r>
        <w:t xml:space="preserve"> (MRFF)</w:t>
      </w:r>
      <w:r w:rsidR="001F11FB">
        <w:t>,</w:t>
      </w:r>
      <w:r>
        <w:t xml:space="preserve"> emphasise the importance of consumer engagement in clinical research</w:t>
      </w:r>
      <w:r w:rsidR="001F11FB">
        <w:t xml:space="preserve"> to </w:t>
      </w:r>
      <w:r>
        <w:t xml:space="preserve">elevate the quality of research </w:t>
      </w:r>
      <w:r w:rsidR="001F11FB">
        <w:t xml:space="preserve">and develop </w:t>
      </w:r>
      <w:r>
        <w:t xml:space="preserve">health technologies </w:t>
      </w:r>
      <w:r w:rsidR="001F11FB">
        <w:t xml:space="preserve">that robustly account for </w:t>
      </w:r>
      <w:r>
        <w:t xml:space="preserve">consumer evidence and experience. This guidance, however, does not always translate into consistent opportunities for consumers to engage across the research lifecycle </w:t>
      </w:r>
      <w:r w:rsidR="00023971">
        <w:t>nor does it guarantee that</w:t>
      </w:r>
      <w:r>
        <w:t xml:space="preserve"> consumer-informed findings</w:t>
      </w:r>
      <w:r w:rsidR="00023971">
        <w:t xml:space="preserve"> are inputted</w:t>
      </w:r>
      <w:r>
        <w:t xml:space="preserve"> into TGA and HTA</w:t>
      </w:r>
      <w:r w:rsidR="00AA0741">
        <w:t xml:space="preserve"> </w:t>
      </w:r>
      <w:r>
        <w:t>decision-making processes.</w:t>
      </w:r>
    </w:p>
    <w:p w14:paraId="2500168E" w14:textId="20450944" w:rsidR="005B5E84" w:rsidRDefault="00320BF7" w:rsidP="005B5E84">
      <w:r>
        <w:t>The CWG recommend a designated and mandatory role for</w:t>
      </w:r>
      <w:r w:rsidR="00432257">
        <w:t xml:space="preserve"> consumers</w:t>
      </w:r>
      <w:r>
        <w:t xml:space="preserve"> </w:t>
      </w:r>
      <w:r w:rsidR="009953E5">
        <w:t xml:space="preserve">in the design and execution of </w:t>
      </w:r>
      <w:r w:rsidR="001F5103">
        <w:t>clinical research trials undertaken by the medicines industry and research sector in Australia</w:t>
      </w:r>
      <w:r w:rsidR="00011718">
        <w:t xml:space="preserve">. This role will ideally enable the </w:t>
      </w:r>
      <w:r w:rsidR="004F314E">
        <w:t xml:space="preserve">inclusion of consumer evidence and experience in </w:t>
      </w:r>
      <w:r w:rsidR="005B5E84">
        <w:t>research using methodologies such as Patient Reported Experience Measures (PREMS), Patient Reported Outcomes Measures (PROMS), qualitative studies, health equity studies, and Real-World Evidence (RWE).</w:t>
      </w:r>
    </w:p>
    <w:p w14:paraId="1E5670B2" w14:textId="13812AD5" w:rsidR="00766BC3" w:rsidRDefault="001F5103" w:rsidP="00766BC3">
      <w:r>
        <w:t>Further down the health technology pathway, it is essential that assessment processes in the TGA and PBAC check that clinical research conducted in Australia demonstrated consumer engagement and included</w:t>
      </w:r>
      <w:r w:rsidR="00F76B59">
        <w:t xml:space="preserve"> information about </w:t>
      </w:r>
      <w:r>
        <w:t>consumer</w:t>
      </w:r>
      <w:r w:rsidR="00F76B59">
        <w:t xml:space="preserve"> evidence and experience.</w:t>
      </w:r>
      <w:bookmarkStart w:id="51" w:name="_Consumer_Evidence_in_1"/>
      <w:bookmarkEnd w:id="51"/>
    </w:p>
    <w:p w14:paraId="2F15B1F9" w14:textId="16EEC2D2" w:rsidR="001F5103" w:rsidRDefault="001F5103" w:rsidP="00766BC3">
      <w:pPr>
        <w:pStyle w:val="Heading3"/>
      </w:pPr>
      <w:bookmarkStart w:id="52" w:name="_Consumer_evidence_in_2"/>
      <w:bookmarkEnd w:id="52"/>
      <w:r>
        <w:t xml:space="preserve">Consumer </w:t>
      </w:r>
      <w:r w:rsidR="001A04A7">
        <w:t>e</w:t>
      </w:r>
      <w:r w:rsidR="00471296">
        <w:t>v</w:t>
      </w:r>
      <w:r>
        <w:t xml:space="preserve">idence in TGA </w:t>
      </w:r>
      <w:r w:rsidR="001A04A7">
        <w:t>a</w:t>
      </w:r>
      <w:r>
        <w:t>pplications</w:t>
      </w:r>
    </w:p>
    <w:p w14:paraId="6E5976C5" w14:textId="5D54D889" w:rsidR="001F5103" w:rsidRDefault="001F5103" w:rsidP="00407C5B">
      <w:r>
        <w:t>Related to the</w:t>
      </w:r>
      <w:r w:rsidR="00407C5B">
        <w:t xml:space="preserve"> </w:t>
      </w:r>
      <w:hyperlink w:anchor="_Consumer_Evidence_in" w:history="1">
        <w:r w:rsidR="00407C5B" w:rsidRPr="00D67F49">
          <w:rPr>
            <w:rStyle w:val="Hyperlink"/>
          </w:rPr>
          <w:t xml:space="preserve">above </w:t>
        </w:r>
        <w:r w:rsidR="003554EE">
          <w:rPr>
            <w:rStyle w:val="Hyperlink"/>
          </w:rPr>
          <w:t>recommendation</w:t>
        </w:r>
        <w:r w:rsidR="00407C5B" w:rsidRPr="00D67F49">
          <w:rPr>
            <w:rStyle w:val="Hyperlink"/>
          </w:rPr>
          <w:t xml:space="preserve"> for clinical research</w:t>
        </w:r>
      </w:hyperlink>
      <w:r w:rsidR="00407C5B">
        <w:t xml:space="preserve">, the CWG recommend that the TGA </w:t>
      </w:r>
      <w:r w:rsidR="0039412F">
        <w:t xml:space="preserve">check that </w:t>
      </w:r>
      <w:r>
        <w:t xml:space="preserve">applications </w:t>
      </w:r>
      <w:r w:rsidR="00DC0832">
        <w:t xml:space="preserve">for </w:t>
      </w:r>
      <w:r w:rsidR="0094634D">
        <w:t>h</w:t>
      </w:r>
      <w:r w:rsidR="00DC0832">
        <w:t xml:space="preserve">ealth technologies </w:t>
      </w:r>
      <w:r>
        <w:t xml:space="preserve">demonstrate </w:t>
      </w:r>
      <w:r w:rsidR="007532FC">
        <w:t xml:space="preserve">consumer engagement in research design and delivery </w:t>
      </w:r>
      <w:r w:rsidR="001C7868">
        <w:t>as well as the</w:t>
      </w:r>
      <w:r w:rsidR="00DC0832">
        <w:t xml:space="preserve"> inclusion of </w:t>
      </w:r>
      <w:r w:rsidR="007532FC">
        <w:t>consumer e</w:t>
      </w:r>
      <w:r w:rsidR="0039412F">
        <w:t>vidence and experience</w:t>
      </w:r>
      <w:r w:rsidR="009C3EAE">
        <w:t xml:space="preserve"> in study results. Furthermore, the TGA ought to </w:t>
      </w:r>
      <w:r w:rsidR="00CA76A4">
        <w:t xml:space="preserve">assess this information </w:t>
      </w:r>
      <w:r w:rsidR="009C3EAE">
        <w:t xml:space="preserve">and describe how it has informed </w:t>
      </w:r>
      <w:r w:rsidR="00CA76A4">
        <w:t>decision-making</w:t>
      </w:r>
      <w:r w:rsidR="009C3EAE">
        <w:t xml:space="preserve"> for health technology approvals</w:t>
      </w:r>
      <w:r w:rsidR="00CA76A4">
        <w:t>.</w:t>
      </w:r>
      <w:r>
        <w:t xml:space="preserve"> This</w:t>
      </w:r>
      <w:r w:rsidR="009C3EAE">
        <w:t xml:space="preserve"> approach</w:t>
      </w:r>
      <w:r>
        <w:t xml:space="preserve"> may involve undertaking a review of the values and </w:t>
      </w:r>
      <w:r w:rsidR="007532FC">
        <w:t>methodological</w:t>
      </w:r>
      <w:r>
        <w:t xml:space="preserve"> assumptions </w:t>
      </w:r>
      <w:r w:rsidR="000221F9">
        <w:t xml:space="preserve">used to assess health technologies </w:t>
      </w:r>
      <w:r w:rsidR="007532FC">
        <w:t xml:space="preserve">(see </w:t>
      </w:r>
      <w:hyperlink w:anchor="_Implementation_Considerations" w:history="1">
        <w:r w:rsidR="007532FC" w:rsidRPr="007532FC">
          <w:rPr>
            <w:rStyle w:val="Hyperlink"/>
          </w:rPr>
          <w:t>Implementation Considerations</w:t>
        </w:r>
      </w:hyperlink>
      <w:r w:rsidR="007532FC">
        <w:t>)</w:t>
      </w:r>
      <w:r w:rsidR="00B75A40">
        <w:t>.</w:t>
      </w:r>
    </w:p>
    <w:p w14:paraId="792E512F" w14:textId="1B03F197" w:rsidR="001F5103" w:rsidRDefault="001F5103" w:rsidP="00407C5B">
      <w:r>
        <w:t xml:space="preserve">The CWG </w:t>
      </w:r>
      <w:r w:rsidR="006E08BF">
        <w:t xml:space="preserve">also </w:t>
      </w:r>
      <w:r>
        <w:t>recognise that TGA applications may involve health technologies that underwent clinical research outside of Australia</w:t>
      </w:r>
      <w:r w:rsidR="00B21039">
        <w:t xml:space="preserve">, which may </w:t>
      </w:r>
      <w:r>
        <w:t>have inconsistencies in the level of consumer engagement and evidence</w:t>
      </w:r>
      <w:r w:rsidR="00B21039">
        <w:t xml:space="preserve"> compared to th</w:t>
      </w:r>
      <w:r w:rsidR="00910DCA">
        <w:t>is proposed recommendation</w:t>
      </w:r>
      <w:r w:rsidR="00B21039">
        <w:t xml:space="preserve"> for Australian</w:t>
      </w:r>
      <w:r w:rsidR="00910DCA">
        <w:t>-based</w:t>
      </w:r>
      <w:r w:rsidR="00B21039">
        <w:t xml:space="preserve"> research</w:t>
      </w:r>
      <w:r>
        <w:t xml:space="preserve">. Nevertheless, </w:t>
      </w:r>
      <w:r w:rsidR="00B8128A">
        <w:t xml:space="preserve">in these circumstances, the CWG </w:t>
      </w:r>
      <w:r w:rsidR="00910DCA">
        <w:t xml:space="preserve">recommend </w:t>
      </w:r>
      <w:r w:rsidR="00B8128A">
        <w:t xml:space="preserve">that </w:t>
      </w:r>
      <w:r>
        <w:t xml:space="preserve">Australian consumers </w:t>
      </w:r>
      <w:r w:rsidR="00B8128A">
        <w:t xml:space="preserve">are </w:t>
      </w:r>
      <w:r>
        <w:t xml:space="preserve">consulted to </w:t>
      </w:r>
      <w:r w:rsidRPr="001176C6">
        <w:t xml:space="preserve">define </w:t>
      </w:r>
      <w:r w:rsidR="00780FD0">
        <w:t xml:space="preserve">the </w:t>
      </w:r>
      <w:r w:rsidR="00FA330C" w:rsidRPr="003731FF">
        <w:t xml:space="preserve">Population, Intervention, Comparator, Outcome (PICO) </w:t>
      </w:r>
      <w:r>
        <w:t>prior to the TGA application. This</w:t>
      </w:r>
      <w:r w:rsidR="007B2802">
        <w:t xml:space="preserve"> engagement</w:t>
      </w:r>
      <w:r>
        <w:t xml:space="preserve"> may be enabled by </w:t>
      </w:r>
      <w:r w:rsidR="00046096">
        <w:t xml:space="preserve">partnership work between the Department, </w:t>
      </w:r>
      <w:proofErr w:type="gramStart"/>
      <w:r w:rsidR="00046096">
        <w:t>industry</w:t>
      </w:r>
      <w:proofErr w:type="gramEnd"/>
      <w:r w:rsidR="00046096">
        <w:t xml:space="preserve"> and consumer groups and </w:t>
      </w:r>
      <w:hyperlink w:anchor="_Facilitated_collaboration_with" w:history="1">
        <w:r w:rsidR="00046096" w:rsidRPr="00836E1D">
          <w:rPr>
            <w:rStyle w:val="Hyperlink"/>
          </w:rPr>
          <w:t>facilitated opportunities for collaboration</w:t>
        </w:r>
      </w:hyperlink>
      <w:r w:rsidR="00306168">
        <w:t xml:space="preserve"> amongst these stakeholders</w:t>
      </w:r>
      <w:r w:rsidR="00046096">
        <w:t xml:space="preserve"> </w:t>
      </w:r>
      <w:r w:rsidR="006D0CFE">
        <w:t>as described in the</w:t>
      </w:r>
      <w:r w:rsidR="00586B45">
        <w:t xml:space="preserve"> system-wide enhancements.</w:t>
      </w:r>
    </w:p>
    <w:p w14:paraId="33EC4951" w14:textId="0A32CA23" w:rsidR="00367D27" w:rsidRDefault="00367D27" w:rsidP="00367D27">
      <w:pPr>
        <w:pStyle w:val="Heading3"/>
      </w:pPr>
      <w:bookmarkStart w:id="53" w:name="_Consumer_notifications_about"/>
      <w:bookmarkEnd w:id="53"/>
      <w:r>
        <w:t xml:space="preserve">Consumer </w:t>
      </w:r>
      <w:r w:rsidR="0089243E">
        <w:t>n</w:t>
      </w:r>
      <w:r>
        <w:t xml:space="preserve">otifications </w:t>
      </w:r>
      <w:r w:rsidR="0089243E">
        <w:t>about</w:t>
      </w:r>
      <w:r>
        <w:t xml:space="preserve"> TGA </w:t>
      </w:r>
      <w:r w:rsidR="0089243E">
        <w:t>applications</w:t>
      </w:r>
    </w:p>
    <w:p w14:paraId="0AC589D6" w14:textId="0157DDF7" w:rsidR="00367D27" w:rsidRDefault="00367D27" w:rsidP="00367D27">
      <w:r>
        <w:t>The CWG discussed how the TGA assessment and approval processes are experienced as a closed system that could be improved by establishing dedicated consumer engagement practices mirroring the enhancements suggested for the PBAC process</w:t>
      </w:r>
      <w:r w:rsidR="005037C5">
        <w:t>es</w:t>
      </w:r>
      <w:r>
        <w:t xml:space="preserve"> described below.</w:t>
      </w:r>
    </w:p>
    <w:p w14:paraId="57458F50" w14:textId="22EAF15F" w:rsidR="00367D27" w:rsidRDefault="00367D27" w:rsidP="00367D27">
      <w:r>
        <w:t xml:space="preserve">Central to this is the CWG’s recommendation that consumers are notified when applications are made to the TGA and provided opportunities to </w:t>
      </w:r>
      <w:r w:rsidR="0084299C">
        <w:t>provide input</w:t>
      </w:r>
      <w:r>
        <w:t xml:space="preserve"> and attend hearings during</w:t>
      </w:r>
      <w:sdt>
        <w:sdtPr>
          <w:tag w:val="goog_rdk_161"/>
          <w:id w:val="-742485239"/>
        </w:sdtPr>
        <w:sdtContent>
          <w:r>
            <w:t xml:space="preserve"> the TGA</w:t>
          </w:r>
        </w:sdtContent>
      </w:sdt>
      <w:r>
        <w:t xml:space="preserve"> assessment process. This recommendation is relevant for new applications, parallel applications (jointly made to TGA and PBAC), applications for repurposing health technologies, or applications for new indications</w:t>
      </w:r>
      <w:r w:rsidR="00894A17">
        <w:t>.</w:t>
      </w:r>
    </w:p>
    <w:p w14:paraId="262BD3C6" w14:textId="2A3A9C89" w:rsidR="001F5103" w:rsidRDefault="001F5103" w:rsidP="001F5103">
      <w:pPr>
        <w:pStyle w:val="Heading2"/>
      </w:pPr>
      <w:bookmarkStart w:id="54" w:name="_Toc157615860"/>
      <w:bookmarkStart w:id="55" w:name="_Toc160023624"/>
      <w:r w:rsidRPr="00301177">
        <w:t>HTA Process Enhancements</w:t>
      </w:r>
      <w:bookmarkEnd w:id="54"/>
      <w:bookmarkEnd w:id="55"/>
    </w:p>
    <w:p w14:paraId="7A680E32" w14:textId="2593FCA4" w:rsidR="001F5103" w:rsidRDefault="001F5103" w:rsidP="001F5103">
      <w:r>
        <w:t>The following are proposed recommendations to enhance consumer engagement during the HTA process</w:t>
      </w:r>
      <w:r w:rsidR="002B2FA7">
        <w:t>es</w:t>
      </w:r>
      <w:r>
        <w:t xml:space="preserve"> undertaken by PBAC and may also be relevant to other HTA committees</w:t>
      </w:r>
      <w:r w:rsidR="002B2FA7">
        <w:t xml:space="preserve"> (e.g., MSAC, MDHTAC)</w:t>
      </w:r>
      <w:bookmarkStart w:id="56" w:name="_Consumer-initiated_submissions_to"/>
      <w:bookmarkEnd w:id="56"/>
      <w:r>
        <w:t>.</w:t>
      </w:r>
    </w:p>
    <w:p w14:paraId="6AFB085A" w14:textId="394FD8A3" w:rsidR="00E76FE7" w:rsidRDefault="00E76FE7" w:rsidP="00F72AF1">
      <w:pPr>
        <w:pStyle w:val="Heading3"/>
      </w:pPr>
      <w:r>
        <w:t>Consumer</w:t>
      </w:r>
      <w:r w:rsidR="00B312B8">
        <w:t>-</w:t>
      </w:r>
      <w:r>
        <w:t>initiated submissions to PBAC</w:t>
      </w:r>
    </w:p>
    <w:p w14:paraId="5E18C01C" w14:textId="4736B81F" w:rsidR="005A1163" w:rsidRDefault="00D35965" w:rsidP="002F21C2">
      <w:r>
        <w:t xml:space="preserve">There is currently no formal pathway for consumers to initiate a submission </w:t>
      </w:r>
      <w:r w:rsidR="00472FBC">
        <w:t>to PBA</w:t>
      </w:r>
      <w:r w:rsidR="009A2A92">
        <w:t>C</w:t>
      </w:r>
      <w:r w:rsidR="00472FBC">
        <w:t xml:space="preserve"> or other HTA committees. Indeed, </w:t>
      </w:r>
      <w:r w:rsidR="00EE0012">
        <w:t>a pharmaceutical company is</w:t>
      </w:r>
      <w:r w:rsidR="00472FBC">
        <w:t xml:space="preserve"> typically</w:t>
      </w:r>
      <w:r w:rsidR="00EE0012">
        <w:t xml:space="preserve"> the</w:t>
      </w:r>
      <w:r w:rsidR="00EE0012" w:rsidRPr="005444F1">
        <w:t xml:space="preserve"> </w:t>
      </w:r>
      <w:r w:rsidR="00472FBC">
        <w:t xml:space="preserve">primary </w:t>
      </w:r>
      <w:r w:rsidR="00EE0012" w:rsidRPr="005444F1">
        <w:t xml:space="preserve">sponsor </w:t>
      </w:r>
      <w:r w:rsidR="00472FBC">
        <w:t xml:space="preserve">for such submissions </w:t>
      </w:r>
      <w:r w:rsidR="002962B8">
        <w:t xml:space="preserve">as they </w:t>
      </w:r>
      <w:r w:rsidR="00EE0012" w:rsidRPr="00245520">
        <w:t xml:space="preserve">hold </w:t>
      </w:r>
      <w:r w:rsidR="00EE0012">
        <w:t xml:space="preserve">the necessary </w:t>
      </w:r>
      <w:r w:rsidR="00EE0012" w:rsidRPr="00245520">
        <w:t xml:space="preserve">scientific data and other </w:t>
      </w:r>
      <w:r w:rsidR="00EE0012">
        <w:t xml:space="preserve">clinical </w:t>
      </w:r>
      <w:r w:rsidR="00EE0012" w:rsidRPr="00245520">
        <w:t xml:space="preserve">information </w:t>
      </w:r>
      <w:r w:rsidR="002962B8">
        <w:t xml:space="preserve">needed </w:t>
      </w:r>
      <w:r w:rsidR="00EE0012" w:rsidRPr="00245520">
        <w:t xml:space="preserve">to inform </w:t>
      </w:r>
      <w:r w:rsidR="00545880">
        <w:t>decisions</w:t>
      </w:r>
      <w:r w:rsidR="00643BCC">
        <w:t xml:space="preserve"> for subsidised listing.</w:t>
      </w:r>
      <w:r w:rsidR="00143328">
        <w:t xml:space="preserve"> Sponsors also pay a fee to cover the costs of </w:t>
      </w:r>
      <w:r w:rsidR="00AA0741">
        <w:t xml:space="preserve">the assessment processes </w:t>
      </w:r>
      <w:r w:rsidR="00143328">
        <w:t xml:space="preserve">as per the </w:t>
      </w:r>
      <w:hyperlink r:id="rId40" w:history="1">
        <w:r w:rsidR="00143328" w:rsidRPr="006D6BE4">
          <w:rPr>
            <w:rStyle w:val="Hyperlink"/>
          </w:rPr>
          <w:t>Australian Government Cost Recovery Policy</w:t>
        </w:r>
      </w:hyperlink>
      <w:r w:rsidR="00143328">
        <w:t xml:space="preserve"> and associated guidelines.</w:t>
      </w:r>
      <w:r w:rsidR="00643BCC">
        <w:t xml:space="preserve"> </w:t>
      </w:r>
      <w:r w:rsidR="00DF6180">
        <w:t>Furthermore</w:t>
      </w:r>
      <w:r w:rsidR="00143328">
        <w:t xml:space="preserve">, </w:t>
      </w:r>
      <w:r w:rsidR="002F21C2">
        <w:t>because a</w:t>
      </w:r>
      <w:r w:rsidR="002F21C2" w:rsidRPr="00245520">
        <w:t xml:space="preserve"> pharmaceutical company is a private entity</w:t>
      </w:r>
      <w:r w:rsidR="002F21C2">
        <w:t>, it makes its</w:t>
      </w:r>
      <w:r w:rsidR="002F21C2" w:rsidRPr="00245520">
        <w:t xml:space="preserve"> own decisions about the availability of its medicines</w:t>
      </w:r>
      <w:r w:rsidR="002F21C2">
        <w:t xml:space="preserve"> in the Australian market, and the </w:t>
      </w:r>
      <w:r w:rsidR="00231472">
        <w:t xml:space="preserve">Department </w:t>
      </w:r>
      <w:r w:rsidR="002F21C2">
        <w:t xml:space="preserve">is unable to compel companies to apply for TGA registration or </w:t>
      </w:r>
      <w:r w:rsidR="00DF6180">
        <w:t xml:space="preserve">HTA assessments for </w:t>
      </w:r>
      <w:r w:rsidR="002F21C2">
        <w:t>subsidised listing.</w:t>
      </w:r>
    </w:p>
    <w:p w14:paraId="37CE39A6" w14:textId="194269C3" w:rsidR="002F21C2" w:rsidRDefault="002F21C2" w:rsidP="002F21C2">
      <w:r>
        <w:t>The CWG advised that</w:t>
      </w:r>
      <w:r w:rsidR="00F54076">
        <w:t xml:space="preserve"> relying primarily on the medicines industry to initiate</w:t>
      </w:r>
      <w:r>
        <w:t xml:space="preserve"> </w:t>
      </w:r>
      <w:r w:rsidR="00F54076">
        <w:t xml:space="preserve">HTA submissions is </w:t>
      </w:r>
      <w:r>
        <w:t xml:space="preserve">a </w:t>
      </w:r>
      <w:r w:rsidR="00F54076">
        <w:t xml:space="preserve">significant </w:t>
      </w:r>
      <w:r>
        <w:t>concern</w:t>
      </w:r>
      <w:r w:rsidR="00F54076">
        <w:t xml:space="preserve"> as</w:t>
      </w:r>
      <w:r>
        <w:t xml:space="preserve"> health technologies that may be potentially </w:t>
      </w:r>
      <w:r w:rsidR="007555AE">
        <w:t>helpful,</w:t>
      </w:r>
      <w:r>
        <w:t xml:space="preserve"> and lifesaving</w:t>
      </w:r>
      <w:r w:rsidR="007555AE">
        <w:t>,</w:t>
      </w:r>
      <w:r>
        <w:t xml:space="preserve"> may never be assessed for subsidisation due to a lack of commercial incentive for pharmaceutical companies. </w:t>
      </w:r>
      <w:r w:rsidR="008B2496">
        <w:t xml:space="preserve">Furthermore, individual consumers and consumer groups generally do not have the resources or funds to </w:t>
      </w:r>
      <w:r w:rsidR="00787693">
        <w:t>develop</w:t>
      </w:r>
      <w:r w:rsidR="00D35965">
        <w:t xml:space="preserve"> submissions and pay the relevant fees.</w:t>
      </w:r>
    </w:p>
    <w:p w14:paraId="57296233" w14:textId="6EBE66B9" w:rsidR="00344D5E" w:rsidRDefault="00D922B0" w:rsidP="001F5103">
      <w:r>
        <w:t>As such, t</w:t>
      </w:r>
      <w:r w:rsidR="00F54669">
        <w:t>he CWG advised</w:t>
      </w:r>
      <w:r w:rsidR="00FB4D7B">
        <w:t xml:space="preserve"> </w:t>
      </w:r>
      <w:r w:rsidR="00F54669">
        <w:t xml:space="preserve">that there is a </w:t>
      </w:r>
      <w:r w:rsidR="00541B7B">
        <w:t>need to establish</w:t>
      </w:r>
      <w:r w:rsidR="00F54669">
        <w:t xml:space="preserve"> a </w:t>
      </w:r>
      <w:r w:rsidR="00643BCC">
        <w:t>formal pathway</w:t>
      </w:r>
      <w:r w:rsidR="00376EAD">
        <w:t xml:space="preserve"> to empower</w:t>
      </w:r>
      <w:r w:rsidR="00643BCC">
        <w:t xml:space="preserve"> consumers</w:t>
      </w:r>
      <w:r w:rsidR="00F54669">
        <w:t xml:space="preserve"> </w:t>
      </w:r>
      <w:r w:rsidR="00643BCC">
        <w:t>to initiate</w:t>
      </w:r>
      <w:r w:rsidR="00B64050">
        <w:t xml:space="preserve"> and drive the development of </w:t>
      </w:r>
      <w:r w:rsidR="00643BCC">
        <w:t>submission</w:t>
      </w:r>
      <w:r w:rsidR="00B64050">
        <w:t>s</w:t>
      </w:r>
      <w:r w:rsidR="00376EAD">
        <w:t xml:space="preserve"> themselves</w:t>
      </w:r>
      <w:r w:rsidR="00787693">
        <w:t xml:space="preserve">. </w:t>
      </w:r>
      <w:r w:rsidR="007F08F6">
        <w:t xml:space="preserve">Similar to the recommendation for </w:t>
      </w:r>
      <w:hyperlink w:anchor="_Facilitated_collaboration_with" w:history="1">
        <w:r w:rsidR="0085796F" w:rsidRPr="0085796F">
          <w:rPr>
            <w:rStyle w:val="Hyperlink"/>
          </w:rPr>
          <w:t>facilitated collaborations</w:t>
        </w:r>
      </w:hyperlink>
      <w:r w:rsidR="0085796F">
        <w:t xml:space="preserve"> for industry-initiated submissions, t</w:t>
      </w:r>
      <w:r w:rsidR="00787693">
        <w:t xml:space="preserve">his </w:t>
      </w:r>
      <w:r w:rsidR="0085796F">
        <w:t xml:space="preserve">recommendation </w:t>
      </w:r>
      <w:r w:rsidR="00787693">
        <w:t xml:space="preserve">would require </w:t>
      </w:r>
      <w:r w:rsidR="00867C0B">
        <w:t xml:space="preserve">Departmental support </w:t>
      </w:r>
      <w:r w:rsidR="007F08F6">
        <w:t xml:space="preserve">to </w:t>
      </w:r>
      <w:r w:rsidR="0085796F">
        <w:t xml:space="preserve">enable </w:t>
      </w:r>
      <w:r w:rsidR="007F08F6">
        <w:t>collaboration</w:t>
      </w:r>
      <w:r w:rsidR="0085796F">
        <w:t xml:space="preserve">s </w:t>
      </w:r>
      <w:r w:rsidR="00CC1FB4">
        <w:t xml:space="preserve">between consumers and industry that attend to legislative barriers for </w:t>
      </w:r>
      <w:r w:rsidR="001E06E7">
        <w:t xml:space="preserve">direct-to-consumer advertising </w:t>
      </w:r>
      <w:r w:rsidR="00AE3FFA">
        <w:t xml:space="preserve">and commercial-in-confidence </w:t>
      </w:r>
      <w:r w:rsidR="0042699C">
        <w:t xml:space="preserve">prescribed under the </w:t>
      </w:r>
      <w:r w:rsidR="00B01C48" w:rsidRPr="00600475">
        <w:rPr>
          <w:i/>
        </w:rPr>
        <w:t>Therapeutic Goods Act 1989</w:t>
      </w:r>
      <w:r w:rsidR="00B01C48">
        <w:t xml:space="preserve"> and the </w:t>
      </w:r>
      <w:r w:rsidR="00B01C48" w:rsidRPr="00600475">
        <w:rPr>
          <w:i/>
        </w:rPr>
        <w:t>Competition and Consumer Act 2010</w:t>
      </w:r>
      <w:r w:rsidR="00B01C48">
        <w:t>.</w:t>
      </w:r>
    </w:p>
    <w:p w14:paraId="53367AE9" w14:textId="23E011EB" w:rsidR="00801FAE" w:rsidRDefault="00801FAE" w:rsidP="00801FAE">
      <w:r>
        <w:t xml:space="preserve">As a start, a potential consideration for this recommendation is the example of the </w:t>
      </w:r>
      <w:hyperlink r:id="rId41" w:history="1">
        <w:r w:rsidRPr="0079107F">
          <w:rPr>
            <w:rStyle w:val="Hyperlink"/>
          </w:rPr>
          <w:t>Department Contracted Assessment Report (DCAR)</w:t>
        </w:r>
      </w:hyperlink>
      <w:r w:rsidRPr="0079107F">
        <w:t xml:space="preserve"> used by MSAC. </w:t>
      </w:r>
      <w:r>
        <w:t xml:space="preserve">In this process, the Department contracts an </w:t>
      </w:r>
      <w:sdt>
        <w:sdtPr>
          <w:tag w:val="goog_rdk_178"/>
          <w:id w:val="-1425104969"/>
        </w:sdtPr>
        <w:sdtContent/>
      </w:sdt>
      <w:sdt>
        <w:sdtPr>
          <w:tag w:val="goog_rdk_179"/>
          <w:id w:val="-1829811195"/>
        </w:sdtPr>
        <w:sdtContent/>
      </w:sdt>
      <w:sdt>
        <w:sdtPr>
          <w:tag w:val="goog_rdk_180"/>
          <w:id w:val="-1035117005"/>
        </w:sdtPr>
        <w:sdtContent/>
      </w:sdt>
      <w:r>
        <w:t xml:space="preserve">HTA </w:t>
      </w:r>
      <w:sdt>
        <w:sdtPr>
          <w:tag w:val="goog_rdk_181"/>
          <w:id w:val="282398193"/>
        </w:sdtPr>
        <w:sdtContent>
          <w:r>
            <w:t xml:space="preserve">Evaluation </w:t>
          </w:r>
        </w:sdtContent>
      </w:sdt>
      <w:r>
        <w:t>Group to develop the assessment report on a topic nominated by a stakeholder, such as a health professional or consumer representative group, in consultation with the product sponsor. HTA evaluation groups are independent external providers with demonstrated subject matter and technical expertise selected from a panel maintained by the Department.</w:t>
      </w:r>
    </w:p>
    <w:p w14:paraId="04F58802" w14:textId="765A5FD3" w:rsidR="001F5103" w:rsidRDefault="001F5103" w:rsidP="001F5103">
      <w:pPr>
        <w:pStyle w:val="Heading3"/>
      </w:pPr>
      <w:r>
        <w:t xml:space="preserve">Consumer </w:t>
      </w:r>
      <w:r w:rsidR="0089243E">
        <w:t>e</w:t>
      </w:r>
      <w:r w:rsidR="00471296">
        <w:t>v</w:t>
      </w:r>
      <w:r>
        <w:t xml:space="preserve">idence in PBAC </w:t>
      </w:r>
      <w:r w:rsidR="008C30EB">
        <w:t>submissions</w:t>
      </w:r>
    </w:p>
    <w:p w14:paraId="74BA8B7B" w14:textId="661C2110" w:rsidR="00EE395B" w:rsidRDefault="001F5103" w:rsidP="001F5103">
      <w:r>
        <w:t>Like</w:t>
      </w:r>
      <w:r w:rsidR="002B2FA7">
        <w:t xml:space="preserve"> the </w:t>
      </w:r>
      <w:hyperlink w:anchor="_Consumer_evidence_in_2" w:history="1">
        <w:r w:rsidR="002B2FA7" w:rsidRPr="00EE4EBC">
          <w:rPr>
            <w:rStyle w:val="Hyperlink"/>
          </w:rPr>
          <w:t>recommendation</w:t>
        </w:r>
        <w:r w:rsidR="00547E71" w:rsidRPr="00EE4EBC">
          <w:rPr>
            <w:rStyle w:val="Hyperlink"/>
          </w:rPr>
          <w:t xml:space="preserve"> for </w:t>
        </w:r>
        <w:r w:rsidRPr="00EE4EBC">
          <w:rPr>
            <w:rStyle w:val="Hyperlink"/>
          </w:rPr>
          <w:t>TGA applications</w:t>
        </w:r>
      </w:hyperlink>
      <w:r w:rsidR="00547E71">
        <w:t xml:space="preserve"> above</w:t>
      </w:r>
      <w:r>
        <w:t xml:space="preserve">, the CWG </w:t>
      </w:r>
      <w:r w:rsidR="00890BE1">
        <w:t xml:space="preserve">recommend </w:t>
      </w:r>
      <w:r>
        <w:t xml:space="preserve">checks </w:t>
      </w:r>
      <w:r w:rsidR="00037AA8">
        <w:t xml:space="preserve">that </w:t>
      </w:r>
      <w:r w:rsidR="0049465F">
        <w:t>submissions m</w:t>
      </w:r>
      <w:r w:rsidR="00037AA8">
        <w:t xml:space="preserve">ade to </w:t>
      </w:r>
      <w:r>
        <w:t xml:space="preserve">PBAC </w:t>
      </w:r>
      <w:r w:rsidR="00037AA8">
        <w:t xml:space="preserve">(and other HTA committees) demonstrate </w:t>
      </w:r>
      <w:r w:rsidR="00547E71">
        <w:t xml:space="preserve">consumer engagement and </w:t>
      </w:r>
      <w:r w:rsidR="00037AA8">
        <w:t>the inclusion of consumer evidence and experience</w:t>
      </w:r>
      <w:r w:rsidR="004B698F">
        <w:t>.</w:t>
      </w:r>
    </w:p>
    <w:p w14:paraId="549F73CC" w14:textId="602D4198" w:rsidR="00EE395B" w:rsidRDefault="004B698F" w:rsidP="00EE395B">
      <w:r>
        <w:t xml:space="preserve">Similarly, where the </w:t>
      </w:r>
      <w:r w:rsidR="0049465F">
        <w:t>submission</w:t>
      </w:r>
      <w:r>
        <w:t xml:space="preserve"> involves a health technology that underwent clinical research outside of Australia, the CWG </w:t>
      </w:r>
      <w:r w:rsidR="004C6034">
        <w:t xml:space="preserve">recommend that consumers are still consulted for PICO scoping to inform </w:t>
      </w:r>
      <w:r w:rsidR="00B41940">
        <w:t xml:space="preserve">PBAC </w:t>
      </w:r>
      <w:r w:rsidR="004C6034">
        <w:t>s</w:t>
      </w:r>
      <w:r w:rsidR="0049465F">
        <w:t>ubmissions</w:t>
      </w:r>
      <w:r w:rsidR="004C6034">
        <w:t xml:space="preserve">. </w:t>
      </w:r>
      <w:r w:rsidR="004D2777">
        <w:t xml:space="preserve">Consumer evidence should therefore be included as a standard in </w:t>
      </w:r>
      <w:r w:rsidR="0049465F">
        <w:t xml:space="preserve">submissions </w:t>
      </w:r>
      <w:r w:rsidR="004D2777">
        <w:t>and reviewed by committees</w:t>
      </w:r>
      <w:r w:rsidR="00EE395B">
        <w:t xml:space="preserve"> with </w:t>
      </w:r>
      <w:r w:rsidR="00127002">
        <w:t xml:space="preserve">a </w:t>
      </w:r>
      <w:hyperlink w:anchor="_Consumer_input_feedback" w:history="1">
        <w:r w:rsidR="00EE395B" w:rsidRPr="00061491">
          <w:rPr>
            <w:rStyle w:val="Hyperlink"/>
          </w:rPr>
          <w:t xml:space="preserve">feedback </w:t>
        </w:r>
        <w:r w:rsidR="00061491" w:rsidRPr="00061491">
          <w:rPr>
            <w:rStyle w:val="Hyperlink"/>
          </w:rPr>
          <w:t>loop</w:t>
        </w:r>
      </w:hyperlink>
      <w:r w:rsidR="00061491">
        <w:t xml:space="preserve"> </w:t>
      </w:r>
      <w:r w:rsidR="0045366C">
        <w:t>to inform consumers about how their input was factored into PBAC</w:t>
      </w:r>
      <w:r w:rsidR="00EE395B">
        <w:t xml:space="preserve"> decision-making for subsidisation.</w:t>
      </w:r>
    </w:p>
    <w:p w14:paraId="38B9B3C3" w14:textId="433A5BCE" w:rsidR="001F5103" w:rsidRDefault="001F5103" w:rsidP="00EE395B">
      <w:pPr>
        <w:pStyle w:val="Heading3"/>
      </w:pPr>
      <w:r>
        <w:t xml:space="preserve">Consumer </w:t>
      </w:r>
      <w:r w:rsidR="009D4B7D">
        <w:t>n</w:t>
      </w:r>
      <w:r>
        <w:t xml:space="preserve">otifications </w:t>
      </w:r>
      <w:r w:rsidR="009D4B7D">
        <w:t>about</w:t>
      </w:r>
      <w:r>
        <w:t xml:space="preserve"> PBAC</w:t>
      </w:r>
      <w:r w:rsidR="009D4B7D">
        <w:t xml:space="preserve"> submissions</w:t>
      </w:r>
    </w:p>
    <w:p w14:paraId="2923A434" w14:textId="30E0C3C8" w:rsidR="00AD5101" w:rsidRDefault="001F5103" w:rsidP="00AD5101">
      <w:r>
        <w:t xml:space="preserve">The CWG </w:t>
      </w:r>
      <w:r w:rsidR="007638EF">
        <w:t>advised that</w:t>
      </w:r>
      <w:r>
        <w:t xml:space="preserve"> current processes for notifying consumers about </w:t>
      </w:r>
      <w:r w:rsidR="00AE598E">
        <w:t>PBAC</w:t>
      </w:r>
      <w:r>
        <w:t xml:space="preserve"> </w:t>
      </w:r>
      <w:r w:rsidR="0049465F">
        <w:t>submissions</w:t>
      </w:r>
      <w:r>
        <w:t xml:space="preserve"> and input opportunities need to </w:t>
      </w:r>
      <w:r w:rsidR="00557171">
        <w:t>occur</w:t>
      </w:r>
      <w:r>
        <w:t xml:space="preserve"> </w:t>
      </w:r>
      <w:r w:rsidR="000702BA">
        <w:t xml:space="preserve">as early as possible. </w:t>
      </w:r>
      <w:r>
        <w:t xml:space="preserve">Similar to </w:t>
      </w:r>
      <w:r w:rsidR="002F60FC">
        <w:t xml:space="preserve">recommended </w:t>
      </w:r>
      <w:hyperlink w:anchor="_Consumer_notifications_about" w:history="1">
        <w:r w:rsidRPr="000151E8">
          <w:rPr>
            <w:rStyle w:val="Hyperlink"/>
          </w:rPr>
          <w:t>TGA notifications</w:t>
        </w:r>
      </w:hyperlink>
      <w:r w:rsidR="002F60FC">
        <w:t xml:space="preserve"> above</w:t>
      </w:r>
      <w:r>
        <w:t xml:space="preserve">, </w:t>
      </w:r>
      <w:r w:rsidR="007638EF">
        <w:t>the CWG recommend</w:t>
      </w:r>
      <w:r w:rsidR="00170390">
        <w:t xml:space="preserve"> systematic, automated</w:t>
      </w:r>
      <w:r w:rsidR="007638EF">
        <w:t xml:space="preserve"> notification</w:t>
      </w:r>
      <w:r w:rsidR="00170390">
        <w:t>s</w:t>
      </w:r>
      <w:r w:rsidR="007638EF">
        <w:t xml:space="preserve"> of </w:t>
      </w:r>
      <w:r>
        <w:t xml:space="preserve">new </w:t>
      </w:r>
      <w:r w:rsidR="00DE5415">
        <w:t>submissions</w:t>
      </w:r>
      <w:r>
        <w:t xml:space="preserve">, parallel applications (jointly made to TGA and PBAC) and potentially </w:t>
      </w:r>
      <w:r w:rsidR="00784CD0">
        <w:t>submissions made</w:t>
      </w:r>
      <w:r>
        <w:t xml:space="preserve"> through alternate pathways</w:t>
      </w:r>
      <w:r w:rsidR="004A4961">
        <w:t xml:space="preserve">, such as the recommended </w:t>
      </w:r>
      <w:hyperlink w:anchor="_Consumer-initiated_submissions_to" w:history="1">
        <w:r w:rsidR="004A4961" w:rsidRPr="00AD5101">
          <w:rPr>
            <w:rStyle w:val="Hyperlink"/>
          </w:rPr>
          <w:t>consumer-</w:t>
        </w:r>
        <w:r w:rsidR="00AD5101" w:rsidRPr="00AD5101">
          <w:rPr>
            <w:rStyle w:val="Hyperlink"/>
          </w:rPr>
          <w:t xml:space="preserve">initiated </w:t>
        </w:r>
        <w:r w:rsidR="00AD5101">
          <w:rPr>
            <w:rStyle w:val="Hyperlink"/>
          </w:rPr>
          <w:t>submission</w:t>
        </w:r>
        <w:r w:rsidR="004A4961" w:rsidRPr="00AD5101">
          <w:rPr>
            <w:rStyle w:val="Hyperlink"/>
          </w:rPr>
          <w:t>s</w:t>
        </w:r>
      </w:hyperlink>
      <w:r w:rsidR="004A4961">
        <w:t xml:space="preserve">. </w:t>
      </w:r>
      <w:r w:rsidR="00AD5101">
        <w:t xml:space="preserve">This </w:t>
      </w:r>
      <w:r w:rsidR="000E6084">
        <w:t xml:space="preserve">process </w:t>
      </w:r>
      <w:r w:rsidR="00AD5101">
        <w:t xml:space="preserve">would help alleviate the time intensive work that consumers undertake to constantly check PBAC agendas for relevant items. Automated notification enables consumers to review the PBAC agenda and the content of submissions, prepare their own input (including evidence gathering), and initiate </w:t>
      </w:r>
      <w:hyperlink w:anchor="_Criteria_for_consumer" w:history="1">
        <w:r w:rsidR="00AD5101" w:rsidRPr="00A471F4">
          <w:rPr>
            <w:rStyle w:val="Hyperlink"/>
          </w:rPr>
          <w:t>consumer hearings</w:t>
        </w:r>
      </w:hyperlink>
      <w:r w:rsidR="00AD5101">
        <w:t xml:space="preserve"> if needed.</w:t>
      </w:r>
    </w:p>
    <w:p w14:paraId="66EAC712" w14:textId="39C3903F" w:rsidR="001F5103" w:rsidRDefault="00CF2EB7" w:rsidP="001F5103">
      <w:r>
        <w:t>Th</w:t>
      </w:r>
      <w:r w:rsidR="00C70D7B">
        <w:t xml:space="preserve">is recommendation has a relationship with the </w:t>
      </w:r>
      <w:r>
        <w:t>recommend</w:t>
      </w:r>
      <w:r w:rsidR="004163D8">
        <w:t xml:space="preserve">ations for </w:t>
      </w:r>
      <w:r w:rsidR="009F0791">
        <w:t xml:space="preserve">the </w:t>
      </w:r>
      <w:hyperlink w:anchor="_Single_Digital_Consumer" w:history="1">
        <w:r w:rsidR="009F0791" w:rsidRPr="005A5821">
          <w:rPr>
            <w:rStyle w:val="Hyperlink"/>
          </w:rPr>
          <w:t>single digital consumer portal</w:t>
        </w:r>
      </w:hyperlink>
      <w:r w:rsidR="009F0791">
        <w:t xml:space="preserve"> and </w:t>
      </w:r>
      <w:hyperlink w:anchor="_Consumer_identification_and" w:history="1">
        <w:r w:rsidR="004163D8" w:rsidRPr="00063624">
          <w:rPr>
            <w:rStyle w:val="Hyperlink"/>
          </w:rPr>
          <w:t xml:space="preserve">consumer </w:t>
        </w:r>
        <w:r w:rsidR="00063624" w:rsidRPr="00063624">
          <w:rPr>
            <w:rStyle w:val="Hyperlink"/>
          </w:rPr>
          <w:t>identification and development</w:t>
        </w:r>
      </w:hyperlink>
      <w:r w:rsidR="004163D8">
        <w:t xml:space="preserve"> </w:t>
      </w:r>
      <w:r w:rsidR="00C70D7B">
        <w:t xml:space="preserve">as consumers </w:t>
      </w:r>
      <w:r w:rsidR="0007774C">
        <w:t xml:space="preserve">could </w:t>
      </w:r>
      <w:r w:rsidR="005863E2">
        <w:t>be targete</w:t>
      </w:r>
      <w:r w:rsidR="009F0791">
        <w:t xml:space="preserve">d </w:t>
      </w:r>
      <w:r w:rsidR="005863E2">
        <w:t>with</w:t>
      </w:r>
      <w:r w:rsidR="009F0791">
        <w:t xml:space="preserve"> timely information about </w:t>
      </w:r>
      <w:r w:rsidR="004F5213">
        <w:t>items</w:t>
      </w:r>
      <w:r w:rsidR="0007774C">
        <w:t xml:space="preserve"> </w:t>
      </w:r>
      <w:r w:rsidR="000929A8">
        <w:t xml:space="preserve">on the PBAC agenda that are </w:t>
      </w:r>
      <w:r w:rsidR="0007774C">
        <w:t xml:space="preserve">relevant to their nominated disease </w:t>
      </w:r>
      <w:r w:rsidR="00AD2D15">
        <w:t>areas</w:t>
      </w:r>
      <w:r w:rsidR="00423CDA">
        <w:t xml:space="preserve">. </w:t>
      </w:r>
      <w:hyperlink w:anchor="_Facilitated_collaboration_with" w:history="1">
        <w:r w:rsidR="000929A8" w:rsidRPr="00B80B2D">
          <w:rPr>
            <w:rStyle w:val="Hyperlink"/>
          </w:rPr>
          <w:t>Facilitated collaborations</w:t>
        </w:r>
      </w:hyperlink>
      <w:r w:rsidR="000929A8">
        <w:t xml:space="preserve"> </w:t>
      </w:r>
      <w:r w:rsidR="004859DB">
        <w:t xml:space="preserve">with industry </w:t>
      </w:r>
      <w:r w:rsidR="000929A8">
        <w:t>would go even further</w:t>
      </w:r>
      <w:r w:rsidR="000702BA">
        <w:t xml:space="preserve"> by supporting earlier engagement with consumers as </w:t>
      </w:r>
      <w:r w:rsidR="004859DB">
        <w:t>submission</w:t>
      </w:r>
      <w:r w:rsidR="000702BA">
        <w:t xml:space="preserve">s </w:t>
      </w:r>
      <w:r w:rsidR="003D39DE">
        <w:t>are</w:t>
      </w:r>
      <w:r w:rsidR="000702BA">
        <w:t xml:space="preserve"> prepared.</w:t>
      </w:r>
    </w:p>
    <w:p w14:paraId="213A781E" w14:textId="25A9D30B" w:rsidR="001F5103" w:rsidRDefault="001F5103" w:rsidP="001F5103">
      <w:pPr>
        <w:pStyle w:val="Heading3"/>
      </w:pPr>
      <w:bookmarkStart w:id="57" w:name="_Criteria_for_consumer"/>
      <w:bookmarkEnd w:id="57"/>
      <w:r>
        <w:t xml:space="preserve">Criteria for </w:t>
      </w:r>
      <w:r w:rsidR="00637ECF">
        <w:t>c</w:t>
      </w:r>
      <w:r>
        <w:t xml:space="preserve">onsumer </w:t>
      </w:r>
      <w:r w:rsidR="00637ECF">
        <w:t>h</w:t>
      </w:r>
      <w:r>
        <w:t xml:space="preserve">earings and </w:t>
      </w:r>
      <w:r w:rsidR="00637ECF">
        <w:t>s</w:t>
      </w:r>
      <w:r>
        <w:t xml:space="preserve">takeholder </w:t>
      </w:r>
      <w:r w:rsidR="00637ECF">
        <w:t>m</w:t>
      </w:r>
      <w:r>
        <w:t>eetings</w:t>
      </w:r>
    </w:p>
    <w:p w14:paraId="57E589F7" w14:textId="1E818A65" w:rsidR="00232EBB" w:rsidRDefault="005D6819" w:rsidP="001F5103">
      <w:r>
        <w:t xml:space="preserve">The </w:t>
      </w:r>
      <w:hyperlink r:id="rId42" w:history="1">
        <w:r w:rsidRPr="00484F80">
          <w:rPr>
            <w:rStyle w:val="Hyperlink"/>
          </w:rPr>
          <w:t>PBAC Procedure Guidance</w:t>
        </w:r>
      </w:hyperlink>
      <w:r w:rsidR="00627FC3">
        <w:t xml:space="preserve"> </w:t>
      </w:r>
      <w:r>
        <w:t>advises that w</w:t>
      </w:r>
      <w:r w:rsidR="001F5103">
        <w:t>hen an HTA process is underway</w:t>
      </w:r>
      <w:r>
        <w:t>, the PBAC may</w:t>
      </w:r>
      <w:r w:rsidR="001F5103">
        <w:t xml:space="preserve"> call consumer hearings (for consumers only) or stakeholder meetings (including consumers and other stakeholders such as the medicines industry) to gather more information for assessment and decision-making.</w:t>
      </w:r>
    </w:p>
    <w:p w14:paraId="0BE204DB" w14:textId="6AA6FF6F" w:rsidR="00764685" w:rsidRDefault="001F5103" w:rsidP="001F5103">
      <w:r>
        <w:t xml:space="preserve">The CWG </w:t>
      </w:r>
      <w:r w:rsidR="00790058">
        <w:t>recommend further</w:t>
      </w:r>
      <w:r>
        <w:t xml:space="preserve"> development</w:t>
      </w:r>
      <w:r w:rsidR="00790058">
        <w:t xml:space="preserve"> </w:t>
      </w:r>
      <w:r>
        <w:t xml:space="preserve">of </w:t>
      </w:r>
      <w:r w:rsidR="00823D41">
        <w:t xml:space="preserve">clear and transparent guidance about </w:t>
      </w:r>
      <w:r w:rsidR="005D6819">
        <w:t xml:space="preserve">the </w:t>
      </w:r>
      <w:r>
        <w:t xml:space="preserve">criteria </w:t>
      </w:r>
      <w:r w:rsidR="00790058">
        <w:t xml:space="preserve">used to call a </w:t>
      </w:r>
      <w:r>
        <w:t>consumer hearing or stakeholder meeting</w:t>
      </w:r>
      <w:r w:rsidR="00823D41">
        <w:t xml:space="preserve">. This </w:t>
      </w:r>
      <w:r w:rsidR="00524535">
        <w:t xml:space="preserve">guidance will support </w:t>
      </w:r>
      <w:r w:rsidR="000F64A1">
        <w:t xml:space="preserve">consumers </w:t>
      </w:r>
      <w:r w:rsidR="00524535">
        <w:t xml:space="preserve">to </w:t>
      </w:r>
      <w:r w:rsidR="00627FC3">
        <w:t xml:space="preserve">understand the purpose of hearings and </w:t>
      </w:r>
      <w:r w:rsidR="00524535">
        <w:t>initiate</w:t>
      </w:r>
      <w:r w:rsidR="00627FC3">
        <w:t xml:space="preserve"> such</w:t>
      </w:r>
      <w:r w:rsidR="000F64A1">
        <w:t xml:space="preserve"> hearings </w:t>
      </w:r>
      <w:r w:rsidR="00627FC3">
        <w:t xml:space="preserve">themselves </w:t>
      </w:r>
      <w:r w:rsidR="000F64A1">
        <w:t>when the criteria are met.</w:t>
      </w:r>
    </w:p>
    <w:p w14:paraId="73BA1485" w14:textId="2F5FDE5B" w:rsidR="001F5103" w:rsidRDefault="001F5103" w:rsidP="001F5103">
      <w:r>
        <w:t>Consumer hearings and stakeholder meetings must also be managed in an inclusive way, providing guidance to consumers in how they can contribute to these processes in-person, via video or in written formats.</w:t>
      </w:r>
    </w:p>
    <w:p w14:paraId="44B22B7A" w14:textId="4D2EEBBF" w:rsidR="001F5103" w:rsidRDefault="001F5103" w:rsidP="001F5103">
      <w:pPr>
        <w:pStyle w:val="Heading3"/>
      </w:pPr>
      <w:bookmarkStart w:id="58" w:name="_Consumer_input_feedback"/>
      <w:bookmarkEnd w:id="58"/>
      <w:r>
        <w:t xml:space="preserve">Consumer </w:t>
      </w:r>
      <w:r w:rsidR="00637ECF">
        <w:t>input feedback</w:t>
      </w:r>
      <w:r>
        <w:t xml:space="preserve"> </w:t>
      </w:r>
      <w:r w:rsidR="00637ECF">
        <w:t>l</w:t>
      </w:r>
      <w:r>
        <w:t>oop</w:t>
      </w:r>
    </w:p>
    <w:p w14:paraId="2F31A053" w14:textId="23A22EC0" w:rsidR="00BB1037" w:rsidRDefault="001F5103" w:rsidP="001F5103">
      <w:r>
        <w:t xml:space="preserve">Consumers put significant effort and resources into developing comprehensive </w:t>
      </w:r>
      <w:r w:rsidR="00602E31">
        <w:t>input</w:t>
      </w:r>
      <w:r>
        <w:t xml:space="preserve"> during HTA processes</w:t>
      </w:r>
      <w:r w:rsidR="00BB1037">
        <w:t xml:space="preserve">, </w:t>
      </w:r>
      <w:r>
        <w:t xml:space="preserve">yet they do not often receive feedback </w:t>
      </w:r>
      <w:r w:rsidR="00764685">
        <w:t>about</w:t>
      </w:r>
      <w:r>
        <w:t xml:space="preserve"> whether their input had </w:t>
      </w:r>
      <w:sdt>
        <w:sdtPr>
          <w:tag w:val="goog_rdk_194"/>
          <w:id w:val="118731550"/>
          <w:placeholder>
            <w:docPart w:val="55CFFD25C1D342D1977C4C3768C0669D"/>
          </w:placeholder>
        </w:sdtPr>
        <w:sdtContent/>
      </w:sdt>
      <w:r>
        <w:t xml:space="preserve">any bearing on PBAC decision-making. This is related to the enhancement above, in which the CWG recommend checks to ensure </w:t>
      </w:r>
      <w:r w:rsidR="00BB1037">
        <w:t xml:space="preserve">that </w:t>
      </w:r>
      <w:r>
        <w:t xml:space="preserve">consumer experience and evidence is </w:t>
      </w:r>
      <w:r w:rsidR="00894A17">
        <w:t>used</w:t>
      </w:r>
      <w:r>
        <w:t xml:space="preserve"> in decision</w:t>
      </w:r>
      <w:r w:rsidR="000C3C1B">
        <w:t>-m</w:t>
      </w:r>
      <w:r>
        <w:t xml:space="preserve">aking during </w:t>
      </w:r>
      <w:r w:rsidR="000C3C1B">
        <w:t xml:space="preserve">TGA and PBAC </w:t>
      </w:r>
      <w:r w:rsidR="00562B86">
        <w:t xml:space="preserve">(or other HTA committee) </w:t>
      </w:r>
      <w:r w:rsidR="000C3C1B">
        <w:t>processes.</w:t>
      </w:r>
    </w:p>
    <w:p w14:paraId="216D6673" w14:textId="1FE84508" w:rsidR="001F5103" w:rsidRDefault="00BB1037" w:rsidP="001F5103">
      <w:r>
        <w:t>The CWG advised that c</w:t>
      </w:r>
      <w:r w:rsidR="001F5103">
        <w:t xml:space="preserve">onsumers want to know if their </w:t>
      </w:r>
      <w:r w:rsidR="00602E31">
        <w:t>input</w:t>
      </w:r>
      <w:r w:rsidR="001F5103">
        <w:t xml:space="preserve"> could be improved </w:t>
      </w:r>
      <w:r w:rsidR="001A46A6">
        <w:t>for</w:t>
      </w:r>
      <w:r w:rsidR="00933D6E">
        <w:t xml:space="preserve"> future input </w:t>
      </w:r>
      <w:r w:rsidR="001A46A6">
        <w:t>about relevant</w:t>
      </w:r>
      <w:r w:rsidR="00801C3A">
        <w:t xml:space="preserve"> health technologies</w:t>
      </w:r>
      <w:r w:rsidR="001F5103">
        <w:t>. The CWG</w:t>
      </w:r>
      <w:r w:rsidR="0069382F">
        <w:t xml:space="preserve">, therefore, recommend a </w:t>
      </w:r>
      <w:r w:rsidR="001F5103">
        <w:t xml:space="preserve">feedback loop to provide advice </w:t>
      </w:r>
      <w:r w:rsidR="0069382F">
        <w:t xml:space="preserve">to consumers </w:t>
      </w:r>
      <w:r w:rsidR="001F5103">
        <w:t xml:space="preserve">on these matters. This </w:t>
      </w:r>
      <w:r w:rsidR="00E322FF">
        <w:t xml:space="preserve">feedback loop has a relationship with </w:t>
      </w:r>
      <w:hyperlink w:anchor="_Plain_language_communications_1" w:history="1">
        <w:r w:rsidR="001F5103" w:rsidRPr="00577180">
          <w:rPr>
            <w:rStyle w:val="Hyperlink"/>
          </w:rPr>
          <w:t>plain language communications</w:t>
        </w:r>
      </w:hyperlink>
      <w:r w:rsidR="001F5103">
        <w:t xml:space="preserve">, whereby the outcomes of PBAC meetings (even prior to producing public summary documents), are communicated to consumer groups directly involved in specific </w:t>
      </w:r>
      <w:r w:rsidR="00801C3A">
        <w:t>submissions</w:t>
      </w:r>
      <w:r w:rsidR="001F5103">
        <w:t>. This feedback loop also pertains to outcomes when PBAC does not recommend a health technology for subsidisation.</w:t>
      </w:r>
    </w:p>
    <w:p w14:paraId="078062CE" w14:textId="7E282857" w:rsidR="001F5103" w:rsidRDefault="001F5103" w:rsidP="001F5103">
      <w:pPr>
        <w:pStyle w:val="Heading3"/>
      </w:pPr>
      <w:r>
        <w:t xml:space="preserve">Consumer </w:t>
      </w:r>
      <w:r w:rsidR="00637ECF">
        <w:t>i</w:t>
      </w:r>
      <w:r>
        <w:t xml:space="preserve">nput </w:t>
      </w:r>
      <w:r w:rsidR="00610E65">
        <w:t xml:space="preserve">on </w:t>
      </w:r>
      <w:r w:rsidR="00637ECF">
        <w:t>i</w:t>
      </w:r>
      <w:r w:rsidR="007410A1">
        <w:t xml:space="preserve">mplementation </w:t>
      </w:r>
      <w:r w:rsidR="00637ECF">
        <w:t>c</w:t>
      </w:r>
      <w:r w:rsidR="007410A1">
        <w:t xml:space="preserve">onsiderations </w:t>
      </w:r>
      <w:r w:rsidR="007C5E1D">
        <w:t>following</w:t>
      </w:r>
      <w:r>
        <w:t xml:space="preserve"> PBAC </w:t>
      </w:r>
      <w:proofErr w:type="gramStart"/>
      <w:r w:rsidR="00637ECF">
        <w:t>r</w:t>
      </w:r>
      <w:r w:rsidR="00471296">
        <w:t>ec</w:t>
      </w:r>
      <w:r>
        <w:t>ommendation</w:t>
      </w:r>
      <w:r w:rsidR="001B2DC7">
        <w:t>s</w:t>
      </w:r>
      <w:proofErr w:type="gramEnd"/>
    </w:p>
    <w:p w14:paraId="7464690A" w14:textId="2CAD101C" w:rsidR="00C13912" w:rsidRDefault="004F0872" w:rsidP="001F5103">
      <w:r w:rsidRPr="004F0872">
        <w:t xml:space="preserve">The CWG advise that consumers often have insights into the potential impacts of PBAC’s recommendations to list a </w:t>
      </w:r>
      <w:r w:rsidR="00664790">
        <w:t>medicine</w:t>
      </w:r>
      <w:r w:rsidRPr="004F0872">
        <w:t xml:space="preserve"> on the PBS.</w:t>
      </w:r>
      <w:r w:rsidR="00B26F97">
        <w:t xml:space="preserve"> </w:t>
      </w:r>
      <w:r w:rsidR="002D31F2">
        <w:t>Specifically,</w:t>
      </w:r>
      <w:r w:rsidR="00B26F97">
        <w:t xml:space="preserve"> </w:t>
      </w:r>
      <w:r w:rsidR="003729E1">
        <w:t>consumers</w:t>
      </w:r>
      <w:r w:rsidR="00CF1BEF">
        <w:t xml:space="preserve"> can</w:t>
      </w:r>
      <w:r w:rsidR="00AF23B9">
        <w:t xml:space="preserve"> help</w:t>
      </w:r>
      <w:r w:rsidR="00CF1BEF">
        <w:t xml:space="preserve"> </w:t>
      </w:r>
      <w:r w:rsidR="00F700C6">
        <w:t>identify</w:t>
      </w:r>
      <w:r w:rsidR="00B26F97">
        <w:t xml:space="preserve"> </w:t>
      </w:r>
      <w:r w:rsidR="002850DF">
        <w:t>potential issues</w:t>
      </w:r>
      <w:r w:rsidR="00D31EAD">
        <w:t xml:space="preserve"> and unintended consequences</w:t>
      </w:r>
      <w:r w:rsidR="00B26F97">
        <w:t xml:space="preserve"> related to the </w:t>
      </w:r>
      <w:r w:rsidR="00473100">
        <w:t xml:space="preserve">medical, practical, and equitable implementation of a </w:t>
      </w:r>
      <w:r w:rsidR="00555B6D">
        <w:t>recommended health technology</w:t>
      </w:r>
      <w:r w:rsidR="00447365">
        <w:t xml:space="preserve"> in ‘real world’ settings</w:t>
      </w:r>
      <w:r w:rsidR="00555B6D">
        <w:t>.</w:t>
      </w:r>
      <w:r w:rsidRPr="004F0872">
        <w:t xml:space="preserve"> The CWG </w:t>
      </w:r>
      <w:r w:rsidR="001E5CD5">
        <w:t xml:space="preserve">therefore </w:t>
      </w:r>
      <w:r w:rsidRPr="004F0872">
        <w:t xml:space="preserve">recommend that </w:t>
      </w:r>
      <w:r w:rsidR="00664790">
        <w:t>the Department</w:t>
      </w:r>
      <w:r w:rsidR="00664790" w:rsidRPr="004F0872">
        <w:t xml:space="preserve"> </w:t>
      </w:r>
      <w:r w:rsidR="00CF1599">
        <w:t xml:space="preserve">establish a process </w:t>
      </w:r>
      <w:r w:rsidR="00B62881">
        <w:t>that enables</w:t>
      </w:r>
      <w:r w:rsidR="00D866F0">
        <w:t xml:space="preserve"> </w:t>
      </w:r>
      <w:r w:rsidR="008C0593">
        <w:t>consultation</w:t>
      </w:r>
      <w:r w:rsidRPr="004F0872">
        <w:t xml:space="preserve"> with</w:t>
      </w:r>
      <w:r w:rsidR="008C0593">
        <w:t xml:space="preserve"> </w:t>
      </w:r>
      <w:r w:rsidRPr="004F0872">
        <w:t>consumer</w:t>
      </w:r>
      <w:r w:rsidR="00B640B2">
        <w:t xml:space="preserve">s </w:t>
      </w:r>
      <w:r w:rsidRPr="004F0872">
        <w:t>with disease area expertis</w:t>
      </w:r>
      <w:r w:rsidR="00B640B2">
        <w:t xml:space="preserve">e, </w:t>
      </w:r>
      <w:r w:rsidRPr="004F0872">
        <w:t xml:space="preserve">such as those who are </w:t>
      </w:r>
      <w:r w:rsidR="00B640B2">
        <w:t xml:space="preserve">formally </w:t>
      </w:r>
      <w:hyperlink w:anchor="_Consumer_identification_and" w:history="1">
        <w:r w:rsidR="008C0593" w:rsidRPr="00FD4E84">
          <w:rPr>
            <w:rStyle w:val="Hyperlink"/>
          </w:rPr>
          <w:t>identified</w:t>
        </w:r>
        <w:r w:rsidR="00FD4E84" w:rsidRPr="00FD4E84">
          <w:rPr>
            <w:rStyle w:val="Hyperlink"/>
          </w:rPr>
          <w:t xml:space="preserve"> and developed</w:t>
        </w:r>
      </w:hyperlink>
      <w:r w:rsidR="00B640B2">
        <w:t xml:space="preserve"> </w:t>
      </w:r>
      <w:r w:rsidR="00C0707E">
        <w:t xml:space="preserve">to </w:t>
      </w:r>
      <w:r w:rsidR="00B640B2">
        <w:t>provide advice</w:t>
      </w:r>
      <w:r w:rsidR="00FD4E84">
        <w:t xml:space="preserve"> on such matters.</w:t>
      </w:r>
    </w:p>
    <w:p w14:paraId="611D3C49" w14:textId="064FD19A" w:rsidR="009901CB" w:rsidRDefault="00960921" w:rsidP="001F5103">
      <w:r>
        <w:t>This process will require attention to efficiency</w:t>
      </w:r>
      <w:r w:rsidR="00C96933">
        <w:t xml:space="preserve"> as the </w:t>
      </w:r>
      <w:r w:rsidR="00EC0386">
        <w:t xml:space="preserve">CWG </w:t>
      </w:r>
      <w:r w:rsidR="00B57BE9">
        <w:t xml:space="preserve">are alert to </w:t>
      </w:r>
      <w:r w:rsidR="00EE1A15">
        <w:t xml:space="preserve">the need to avoid any delays in </w:t>
      </w:r>
      <w:r w:rsidR="00FB4527">
        <w:t>access to medicines</w:t>
      </w:r>
      <w:r w:rsidR="00B62459">
        <w:t xml:space="preserve">. </w:t>
      </w:r>
      <w:r w:rsidR="00055983">
        <w:t xml:space="preserve">Ideally, </w:t>
      </w:r>
      <w:r w:rsidR="00C7025B">
        <w:t xml:space="preserve">the </w:t>
      </w:r>
      <w:r w:rsidR="00475416">
        <w:t>enhancements recommended</w:t>
      </w:r>
      <w:r w:rsidR="0063197F">
        <w:t xml:space="preserve"> </w:t>
      </w:r>
      <w:r w:rsidR="00475416">
        <w:t>in</w:t>
      </w:r>
      <w:r w:rsidR="00C96933">
        <w:t xml:space="preserve"> the</w:t>
      </w:r>
      <w:r w:rsidR="00475416">
        <w:t xml:space="preserve"> </w:t>
      </w:r>
      <w:hyperlink w:anchor="_Pre-HTA_Enhancements" w:history="1">
        <w:r w:rsidR="00475416" w:rsidRPr="00114F90">
          <w:rPr>
            <w:rStyle w:val="Hyperlink"/>
          </w:rPr>
          <w:t>earlier stages of the pathway</w:t>
        </w:r>
      </w:hyperlink>
      <w:r w:rsidR="00DB5765">
        <w:t xml:space="preserve"> </w:t>
      </w:r>
      <w:r w:rsidR="00C96933">
        <w:t>will enable</w:t>
      </w:r>
      <w:r w:rsidR="00DB5765">
        <w:t xml:space="preserve"> consumer</w:t>
      </w:r>
      <w:r w:rsidR="00B42576">
        <w:t>s to provide</w:t>
      </w:r>
      <w:r w:rsidR="00DB5765">
        <w:t xml:space="preserve"> input </w:t>
      </w:r>
      <w:r w:rsidR="00B42576">
        <w:t>about</w:t>
      </w:r>
      <w:r w:rsidR="00A05823">
        <w:t xml:space="preserve"> potential </w:t>
      </w:r>
      <w:r w:rsidR="009901CB">
        <w:t xml:space="preserve">implementation considerations prior to PBAC decision-making. </w:t>
      </w:r>
      <w:r w:rsidR="00524E56">
        <w:t>This recommendation, however,</w:t>
      </w:r>
      <w:r w:rsidR="00A05823">
        <w:t xml:space="preserve"> provides a check to ensure that </w:t>
      </w:r>
      <w:r w:rsidR="00921116">
        <w:t>consumer</w:t>
      </w:r>
      <w:r w:rsidR="00A05823">
        <w:t xml:space="preserve"> </w:t>
      </w:r>
      <w:r w:rsidR="00D95D5F">
        <w:t>advice</w:t>
      </w:r>
      <w:r w:rsidR="00A05823">
        <w:t xml:space="preserve"> </w:t>
      </w:r>
      <w:r w:rsidR="00921116">
        <w:t xml:space="preserve">on these matters </w:t>
      </w:r>
      <w:r w:rsidR="00541889">
        <w:t>is</w:t>
      </w:r>
      <w:r w:rsidR="00921116">
        <w:t xml:space="preserve"> </w:t>
      </w:r>
      <w:r w:rsidR="00A05823">
        <w:t xml:space="preserve">not missed </w:t>
      </w:r>
      <w:r w:rsidR="000E6C09">
        <w:t>as a health technology transitions to subsidised lists and availability in the market.</w:t>
      </w:r>
    </w:p>
    <w:p w14:paraId="62F012AF" w14:textId="3F28A2BD" w:rsidR="001F5103" w:rsidRDefault="001F5103" w:rsidP="001F5103">
      <w:pPr>
        <w:pStyle w:val="Heading2"/>
      </w:pPr>
      <w:bookmarkStart w:id="59" w:name="_Toc157615861"/>
      <w:bookmarkStart w:id="60" w:name="_Toc160023625"/>
      <w:r w:rsidRPr="00301177">
        <w:t>Post-HTA Enhancements</w:t>
      </w:r>
      <w:bookmarkEnd w:id="59"/>
      <w:bookmarkEnd w:id="60"/>
    </w:p>
    <w:p w14:paraId="2F09AC40" w14:textId="14F8036E" w:rsidR="001F5103" w:rsidRPr="009634CD" w:rsidRDefault="001F5103" w:rsidP="001F5103">
      <w:r>
        <w:t>The following are proposed recommendations to enhance consumer engagement after</w:t>
      </w:r>
      <w:r w:rsidR="00325EC7">
        <w:t xml:space="preserve"> PBAC (or other HTA committees) have made decisions </w:t>
      </w:r>
      <w:r w:rsidR="0055132C">
        <w:t>to recommend a</w:t>
      </w:r>
      <w:r w:rsidR="00325EC7">
        <w:t xml:space="preserve"> </w:t>
      </w:r>
      <w:r w:rsidR="0055132C">
        <w:t xml:space="preserve">health technology for </w:t>
      </w:r>
      <w:r w:rsidR="00325EC7">
        <w:t>subsidised listing</w:t>
      </w:r>
      <w:r>
        <w:t>.</w:t>
      </w:r>
    </w:p>
    <w:p w14:paraId="2121E393" w14:textId="7B670F3B" w:rsidR="001F5103" w:rsidRDefault="001F5103" w:rsidP="001F5103">
      <w:pPr>
        <w:pStyle w:val="Heading3"/>
      </w:pPr>
      <w:r>
        <w:t xml:space="preserve">Pre-listing </w:t>
      </w:r>
      <w:r w:rsidR="00637ECF">
        <w:t>s</w:t>
      </w:r>
      <w:r w:rsidR="00471296">
        <w:t>t</w:t>
      </w:r>
      <w:r>
        <w:t xml:space="preserve">atus </w:t>
      </w:r>
      <w:r w:rsidR="00637ECF">
        <w:t>r</w:t>
      </w:r>
      <w:r w:rsidR="00471296">
        <w:t>e</w:t>
      </w:r>
      <w:r>
        <w:t>ports</w:t>
      </w:r>
    </w:p>
    <w:p w14:paraId="2B1A9584" w14:textId="09A8537A" w:rsidR="00D03EFC" w:rsidRDefault="001F5103" w:rsidP="001F5103">
      <w:r>
        <w:t xml:space="preserve">While HTA processes for PBAC run on an established and transparent schedule, consumers find they are unable to </w:t>
      </w:r>
      <w:r w:rsidR="001D3D96">
        <w:t xml:space="preserve">receive sufficient or timely information about the </w:t>
      </w:r>
      <w:r>
        <w:t xml:space="preserve">status of </w:t>
      </w:r>
      <w:r w:rsidR="00D469FD">
        <w:t xml:space="preserve">a </w:t>
      </w:r>
      <w:r>
        <w:t xml:space="preserve">health technology once it </w:t>
      </w:r>
      <w:r w:rsidR="00FB355F">
        <w:t xml:space="preserve">is approved for listing but is </w:t>
      </w:r>
      <w:r w:rsidR="00C734AF">
        <w:t xml:space="preserve">still </w:t>
      </w:r>
      <w:r w:rsidR="003237DC">
        <w:t xml:space="preserve">awaiting a pricing outcome from negotiations between the industry sponsor and the </w:t>
      </w:r>
      <w:r w:rsidR="00EF3E7E">
        <w:t>G</w:t>
      </w:r>
      <w:r w:rsidR="003237DC">
        <w:t xml:space="preserve">overnment. </w:t>
      </w:r>
      <w:r w:rsidR="00D469FD">
        <w:t xml:space="preserve">Currently, the </w:t>
      </w:r>
      <w:hyperlink r:id="rId43" w:history="1">
        <w:r w:rsidR="00D469FD" w:rsidRPr="00A82DB6">
          <w:rPr>
            <w:rStyle w:val="Hyperlink"/>
          </w:rPr>
          <w:t>Medicines Status Website</w:t>
        </w:r>
      </w:hyperlink>
      <w:r w:rsidR="00D469FD">
        <w:t xml:space="preserve"> </w:t>
      </w:r>
      <w:bookmarkStart w:id="61" w:name="_Hlk158710652"/>
      <w:r w:rsidR="00D469FD">
        <w:t>only informs the public that a health technology is</w:t>
      </w:r>
      <w:r w:rsidR="00B8799E">
        <w:t xml:space="preserve"> recommended and </w:t>
      </w:r>
      <w:r w:rsidR="001872A0">
        <w:t>undergoing ‘agreement to listing arrangements’ and ‘government processes’</w:t>
      </w:r>
      <w:r w:rsidR="00DA6080">
        <w:t xml:space="preserve"> </w:t>
      </w:r>
      <w:r w:rsidR="000D4038">
        <w:t>(both which pertain to pricing arrangements</w:t>
      </w:r>
      <w:bookmarkEnd w:id="61"/>
      <w:r w:rsidR="000D4038">
        <w:t xml:space="preserve">) </w:t>
      </w:r>
      <w:r w:rsidR="00DA6080">
        <w:t>and the dates these steps commenced</w:t>
      </w:r>
      <w:r w:rsidR="001872A0">
        <w:t xml:space="preserve">. </w:t>
      </w:r>
      <w:r w:rsidR="000D4038">
        <w:t xml:space="preserve">In some circumstances, these steps </w:t>
      </w:r>
      <w:r w:rsidR="00D03EFC">
        <w:t xml:space="preserve">can continue for some time delaying access to </w:t>
      </w:r>
      <w:r w:rsidR="008C38AB">
        <w:t xml:space="preserve">approved </w:t>
      </w:r>
      <w:r w:rsidR="00D03EFC">
        <w:t>medicines</w:t>
      </w:r>
      <w:r w:rsidR="008C38AB">
        <w:t>.</w:t>
      </w:r>
    </w:p>
    <w:p w14:paraId="7764D096" w14:textId="199731DC" w:rsidR="00CF3F82" w:rsidRDefault="001F5103" w:rsidP="00CF3F82">
      <w:r>
        <w:t xml:space="preserve">The CWG understand </w:t>
      </w:r>
      <w:r w:rsidR="008271F9">
        <w:t xml:space="preserve">that </w:t>
      </w:r>
      <w:r>
        <w:t>pricing negotiation</w:t>
      </w:r>
      <w:r w:rsidR="008271F9">
        <w:t xml:space="preserve">s are </w:t>
      </w:r>
      <w:r>
        <w:t>highly sensitive and confidential matter</w:t>
      </w:r>
      <w:r w:rsidR="00330466">
        <w:t>s</w:t>
      </w:r>
      <w:r>
        <w:t xml:space="preserve"> and do not expect </w:t>
      </w:r>
      <w:r w:rsidR="00330466">
        <w:t xml:space="preserve">that </w:t>
      </w:r>
      <w:r>
        <w:t xml:space="preserve">consumers </w:t>
      </w:r>
      <w:r w:rsidR="008271F9">
        <w:t xml:space="preserve">or the public are </w:t>
      </w:r>
      <w:r>
        <w:t>privy to commercial-in-confidence negotiations</w:t>
      </w:r>
      <w:r w:rsidR="008271F9">
        <w:t>. The CWG do recommend, however, that the Department publish pre-listing</w:t>
      </w:r>
      <w:r w:rsidR="00D920E1">
        <w:t xml:space="preserve"> status</w:t>
      </w:r>
      <w:r w:rsidR="008271F9">
        <w:t xml:space="preserve"> reports (potentially </w:t>
      </w:r>
      <w:r w:rsidR="00BC39F8">
        <w:t xml:space="preserve">on the Medicines Status Website or </w:t>
      </w:r>
      <w:r w:rsidR="008271F9">
        <w:t xml:space="preserve">via the single digital portal) </w:t>
      </w:r>
      <w:r w:rsidR="00BE257B">
        <w:t xml:space="preserve">using </w:t>
      </w:r>
      <w:r w:rsidR="00BE257B" w:rsidRPr="000853A8">
        <w:t xml:space="preserve">plain language </w:t>
      </w:r>
      <w:r w:rsidR="00BC39F8" w:rsidRPr="000853A8">
        <w:t>communications</w:t>
      </w:r>
      <w:r w:rsidR="00BC39F8">
        <w:t xml:space="preserve"> </w:t>
      </w:r>
      <w:r w:rsidR="00BE257B">
        <w:t xml:space="preserve">to describe the timeline for negotiations and high-level reasons for the delay. The CWG </w:t>
      </w:r>
      <w:r w:rsidR="002455C8">
        <w:t xml:space="preserve">also </w:t>
      </w:r>
      <w:r w:rsidR="00BE257B">
        <w:t xml:space="preserve">advised that if consumers were aware </w:t>
      </w:r>
      <w:r w:rsidR="0021457E">
        <w:t xml:space="preserve">of a non-pricing aspect of the delay (e.g., </w:t>
      </w:r>
      <w:r w:rsidR="00CF3F82">
        <w:t xml:space="preserve">issues related to population or the disease area), they may be able to offer expertise to assist with the </w:t>
      </w:r>
      <w:r w:rsidR="0021457E">
        <w:t>process</w:t>
      </w:r>
      <w:r w:rsidR="00BC39F8">
        <w:t xml:space="preserve"> and mitigate further delays</w:t>
      </w:r>
      <w:r w:rsidR="0021457E">
        <w:t>.</w:t>
      </w:r>
    </w:p>
    <w:p w14:paraId="6000479C" w14:textId="586083C9" w:rsidR="001F5103" w:rsidRPr="00966168" w:rsidRDefault="001F5103" w:rsidP="00CF3F82">
      <w:pPr>
        <w:pStyle w:val="Heading3"/>
      </w:pPr>
      <w:r>
        <w:t xml:space="preserve">Consumer </w:t>
      </w:r>
      <w:r w:rsidR="00637ECF">
        <w:t>p</w:t>
      </w:r>
      <w:r>
        <w:t>athway to</w:t>
      </w:r>
      <w:r w:rsidR="00471296">
        <w:t xml:space="preserve"> </w:t>
      </w:r>
      <w:r w:rsidR="00637ECF">
        <w:t>p</w:t>
      </w:r>
      <w:r>
        <w:t xml:space="preserve">ost-market </w:t>
      </w:r>
      <w:r w:rsidR="00637ECF">
        <w:t>r</w:t>
      </w:r>
      <w:r>
        <w:t>eviews</w:t>
      </w:r>
    </w:p>
    <w:p w14:paraId="6B2ADAF5" w14:textId="72A3AB4C" w:rsidR="00763081" w:rsidRDefault="001F1696" w:rsidP="001F5103">
      <w:r>
        <w:t xml:space="preserve">Post-market reviews provide an opportunity to identify how well health technologies perform in real world conditions </w:t>
      </w:r>
      <w:r w:rsidR="00C10F01">
        <w:t>and the impacts</w:t>
      </w:r>
      <w:r w:rsidR="005A69F8">
        <w:t xml:space="preserve"> on consumers </w:t>
      </w:r>
      <w:r w:rsidR="003A2372">
        <w:t xml:space="preserve">accessing </w:t>
      </w:r>
      <w:r w:rsidR="00C86CBF">
        <w:t>PBS listed medicines</w:t>
      </w:r>
      <w:r w:rsidR="00763081">
        <w:t xml:space="preserve">. </w:t>
      </w:r>
      <w:r w:rsidR="00763081" w:rsidRPr="00763081">
        <w:t>Post-market reviews are initiated by PBAC based on stakeholder recommendations however, consumers do not yet have a clear pathway in this process.</w:t>
      </w:r>
    </w:p>
    <w:p w14:paraId="6A6D8BE0" w14:textId="09AC9F13" w:rsidR="001F5103" w:rsidRDefault="00A63A19" w:rsidP="001F5103">
      <w:r>
        <w:t xml:space="preserve">The CWG advised that consumers offer an important perspective on how health technologies are used and experienced after they are subsidised and available to the Australian public. </w:t>
      </w:r>
      <w:sdt>
        <w:sdtPr>
          <w:tag w:val="goog_rdk_214"/>
          <w:id w:val="-737092613"/>
        </w:sdtPr>
        <w:sdtContent/>
      </w:sdt>
      <w:r w:rsidR="001F5103">
        <w:t>The CWG</w:t>
      </w:r>
      <w:r>
        <w:t xml:space="preserve"> therefore</w:t>
      </w:r>
      <w:r w:rsidR="001F5103">
        <w:t xml:space="preserve"> recommend </w:t>
      </w:r>
      <w:r>
        <w:t xml:space="preserve">that a pathway is established </w:t>
      </w:r>
      <w:r w:rsidR="00947F62">
        <w:t>for</w:t>
      </w:r>
      <w:r w:rsidR="001F5103">
        <w:t xml:space="preserve"> consumers to</w:t>
      </w:r>
      <w:r w:rsidR="00090305">
        <w:t xml:space="preserve"> initiate</w:t>
      </w:r>
      <w:r w:rsidR="001F5103">
        <w:t xml:space="preserve"> a post-market review and </w:t>
      </w:r>
      <w:r w:rsidR="004B17A6">
        <w:t>submit evidence</w:t>
      </w:r>
      <w:r w:rsidR="00806184">
        <w:t>, with appropriate guidance,</w:t>
      </w:r>
      <w:r w:rsidR="004B17A6">
        <w:t xml:space="preserve"> to post-market reviews</w:t>
      </w:r>
      <w:r w:rsidR="009D0AF5">
        <w:t xml:space="preserve">, </w:t>
      </w:r>
      <w:r w:rsidR="00806184">
        <w:t xml:space="preserve">about consumers’ </w:t>
      </w:r>
      <w:r w:rsidR="00FD3037">
        <w:t xml:space="preserve">experiences and usage of the health technology during this </w:t>
      </w:r>
      <w:r w:rsidR="00806184">
        <w:t>process.</w:t>
      </w:r>
    </w:p>
    <w:p w14:paraId="04554792" w14:textId="3E5F4257" w:rsidR="001F5103" w:rsidRPr="00301177" w:rsidRDefault="001F5103" w:rsidP="001F5103">
      <w:pPr>
        <w:pStyle w:val="Heading1"/>
        <w:rPr>
          <w:szCs w:val="48"/>
        </w:rPr>
      </w:pPr>
      <w:bookmarkStart w:id="62" w:name="_Implementation_Considerations"/>
      <w:bookmarkStart w:id="63" w:name="_Toc157615862"/>
      <w:bookmarkStart w:id="64" w:name="_Toc160023626"/>
      <w:bookmarkEnd w:id="62"/>
      <w:r w:rsidRPr="00301177">
        <w:rPr>
          <w:szCs w:val="48"/>
        </w:rPr>
        <w:t>Implementation Considerations</w:t>
      </w:r>
      <w:bookmarkEnd w:id="63"/>
      <w:bookmarkEnd w:id="64"/>
    </w:p>
    <w:p w14:paraId="02E4B9AB" w14:textId="6780E469" w:rsidR="00C94CFC" w:rsidRDefault="00BF0E5F" w:rsidP="001F5103">
      <w:r>
        <w:t xml:space="preserve">As the CWG developed </w:t>
      </w:r>
      <w:r w:rsidR="008D537B">
        <w:t xml:space="preserve">the </w:t>
      </w:r>
      <w:r w:rsidR="00955430">
        <w:t>proposed recommendations</w:t>
      </w:r>
      <w:r>
        <w:t xml:space="preserve">, they also accounted for various implementation considerations </w:t>
      </w:r>
      <w:r w:rsidR="002B29DB">
        <w:t xml:space="preserve">to inform </w:t>
      </w:r>
      <w:r w:rsidR="001673AD">
        <w:t>future implementation planning.</w:t>
      </w:r>
    </w:p>
    <w:p w14:paraId="73BC030B" w14:textId="56C7840F" w:rsidR="00281FD3" w:rsidRDefault="00C13912" w:rsidP="001F5103">
      <w:r>
        <w:t>Notably, t</w:t>
      </w:r>
      <w:r w:rsidR="00C94CFC">
        <w:t>he int</w:t>
      </w:r>
      <w:r w:rsidR="000A0B42">
        <w:t>errelated</w:t>
      </w:r>
      <w:r w:rsidR="00DD69BF">
        <w:t xml:space="preserve"> flow-on-effects</w:t>
      </w:r>
      <w:r w:rsidR="00C94CFC">
        <w:t xml:space="preserve"> of the recommendations</w:t>
      </w:r>
      <w:r w:rsidR="00DD69BF">
        <w:t xml:space="preserve"> </w:t>
      </w:r>
      <w:r w:rsidR="006C5CDE">
        <w:t>enables the</w:t>
      </w:r>
      <w:r w:rsidR="00DD69BF">
        <w:t>ir</w:t>
      </w:r>
      <w:r w:rsidR="006C5CDE">
        <w:t xml:space="preserve"> implementation </w:t>
      </w:r>
      <w:r w:rsidR="00C709F3">
        <w:t xml:space="preserve">as they work in tandem </w:t>
      </w:r>
      <w:r w:rsidR="001F5103">
        <w:t>to scaffold consumer engagement</w:t>
      </w:r>
      <w:r w:rsidR="003E420C">
        <w:t xml:space="preserve"> and the </w:t>
      </w:r>
      <w:r w:rsidR="00281FD3">
        <w:t xml:space="preserve">input </w:t>
      </w:r>
      <w:r w:rsidR="00920399">
        <w:t xml:space="preserve">of </w:t>
      </w:r>
      <w:r w:rsidR="00281FD3">
        <w:t xml:space="preserve">consumer evidence and experience across the </w:t>
      </w:r>
      <w:r w:rsidR="001F5103">
        <w:t>health technology pathway f</w:t>
      </w:r>
      <w:r w:rsidR="00281FD3">
        <w:t>rom</w:t>
      </w:r>
      <w:r w:rsidR="001F5103">
        <w:t xml:space="preserve"> clinical research through to post-market review</w:t>
      </w:r>
      <w:r w:rsidR="00920399">
        <w:t>s</w:t>
      </w:r>
      <w:r w:rsidR="001F5103">
        <w:t xml:space="preserve">. </w:t>
      </w:r>
      <w:r w:rsidR="00281FD3">
        <w:t>S</w:t>
      </w:r>
      <w:r w:rsidR="001F5103">
        <w:t>ystem-wide enhancements</w:t>
      </w:r>
      <w:proofErr w:type="gramStart"/>
      <w:r w:rsidR="00281FD3">
        <w:t>, in particular, provide</w:t>
      </w:r>
      <w:proofErr w:type="gramEnd"/>
      <w:r w:rsidR="00281FD3">
        <w:t xml:space="preserve"> a foundation for implementing</w:t>
      </w:r>
      <w:r w:rsidR="00F653ED">
        <w:t xml:space="preserve"> and enabling </w:t>
      </w:r>
      <w:r w:rsidR="00281FD3">
        <w:t xml:space="preserve">many of the </w:t>
      </w:r>
      <w:r w:rsidR="00F653ED">
        <w:t xml:space="preserve">other </w:t>
      </w:r>
      <w:r w:rsidR="00281FD3">
        <w:t xml:space="preserve">recommended enhancements </w:t>
      </w:r>
      <w:r w:rsidR="00F653ED">
        <w:t>described in this report.</w:t>
      </w:r>
    </w:p>
    <w:p w14:paraId="406BAE04" w14:textId="2D27ABE4" w:rsidR="00C709F3" w:rsidRDefault="00C709F3" w:rsidP="006C5D2D">
      <w:r>
        <w:t>Each of the implementation considerations are described further below.</w:t>
      </w:r>
    </w:p>
    <w:p w14:paraId="0EBD6E96" w14:textId="3F220D37" w:rsidR="00932795" w:rsidRPr="00932795" w:rsidRDefault="00E164DA" w:rsidP="00932795">
      <w:pPr>
        <w:rPr>
          <w:u w:val="single"/>
        </w:rPr>
      </w:pPr>
      <w:r w:rsidRPr="00932795">
        <w:rPr>
          <w:u w:val="single"/>
        </w:rPr>
        <w:t>Leverage existing and emerging strengths</w:t>
      </w:r>
      <w:r w:rsidR="00FF1D45">
        <w:rPr>
          <w:u w:val="single"/>
        </w:rPr>
        <w:t xml:space="preserve"> for consumer </w:t>
      </w:r>
      <w:proofErr w:type="gramStart"/>
      <w:r w:rsidR="00FF1D45">
        <w:rPr>
          <w:u w:val="single"/>
        </w:rPr>
        <w:t>engagement</w:t>
      </w:r>
      <w:proofErr w:type="gramEnd"/>
    </w:p>
    <w:p w14:paraId="4E7B1231" w14:textId="45132E0D" w:rsidR="00E164DA" w:rsidRDefault="00F2019A" w:rsidP="00E164DA">
      <w:r w:rsidRPr="00F2019A">
        <w:t>The recommendations leverage and build upon the existing and emerging strengths in the health technology pathway to enhance consumer engagement and prioritise the inclusion of consumer evidence and experience</w:t>
      </w:r>
      <w:r w:rsidR="00E164DA">
        <w:t xml:space="preserve">. Examples of such strengths </w:t>
      </w:r>
      <w:r w:rsidR="00F232F9">
        <w:t>include</w:t>
      </w:r>
      <w:r w:rsidR="00E164DA">
        <w:t xml:space="preserve"> consumer engagement guidelines</w:t>
      </w:r>
      <w:r w:rsidR="00054805">
        <w:t xml:space="preserve"> for clinical research (e.g., NHMRC, MRFF)</w:t>
      </w:r>
      <w:r w:rsidR="00E164DA">
        <w:t xml:space="preserve">; </w:t>
      </w:r>
      <w:r w:rsidR="00054805">
        <w:t xml:space="preserve">the </w:t>
      </w:r>
      <w:r w:rsidR="00E164DA">
        <w:t xml:space="preserve">PBAC procedural guidelines; the Summary of Information Pilot; the DCAR process in MSAC; the Department’s CEEU and the Consumer Consultative Committee (CCC); </w:t>
      </w:r>
      <w:r w:rsidR="00AA5A72">
        <w:t>h</w:t>
      </w:r>
      <w:r w:rsidR="00E164DA">
        <w:t>orizon scanning forums; and the HTA Policy and Methods Review.</w:t>
      </w:r>
    </w:p>
    <w:p w14:paraId="72699035" w14:textId="77777777" w:rsidR="00C709F3" w:rsidRDefault="00E164DA" w:rsidP="00E164DA">
      <w:pPr>
        <w:rPr>
          <w:u w:val="single"/>
        </w:rPr>
      </w:pPr>
      <w:r w:rsidRPr="00C709F3">
        <w:rPr>
          <w:u w:val="single"/>
        </w:rPr>
        <w:t xml:space="preserve">Commit to timely consumer-focused </w:t>
      </w:r>
      <w:proofErr w:type="gramStart"/>
      <w:r w:rsidRPr="00C709F3">
        <w:rPr>
          <w:u w:val="single"/>
        </w:rPr>
        <w:t>reform</w:t>
      </w:r>
      <w:proofErr w:type="gramEnd"/>
    </w:p>
    <w:p w14:paraId="329D8752" w14:textId="1861C1B0" w:rsidR="001705E0" w:rsidRDefault="001705E0" w:rsidP="00E164DA">
      <w:r w:rsidRPr="001705E0">
        <w:t>Harnessing the focus and momentum emerging from this co-design project in a timely way will result in significantly strengthening consumer engagement and demonstrate the Government’s commitment to robust and responsive enhanced processes that are co-designed with consumers and for consumers</w:t>
      </w:r>
      <w:r>
        <w:t>.</w:t>
      </w:r>
    </w:p>
    <w:p w14:paraId="70ECA5CC" w14:textId="6AF6CCED" w:rsidR="00663BA8" w:rsidRPr="00663BA8" w:rsidRDefault="00E164DA" w:rsidP="00E164DA">
      <w:pPr>
        <w:rPr>
          <w:u w:val="single"/>
        </w:rPr>
      </w:pPr>
      <w:r w:rsidRPr="00663BA8">
        <w:rPr>
          <w:u w:val="single"/>
        </w:rPr>
        <w:t>Partnership work for positive flow-on effects</w:t>
      </w:r>
    </w:p>
    <w:p w14:paraId="7F7AF49F" w14:textId="79503415" w:rsidR="002A55C8" w:rsidRDefault="002A55C8" w:rsidP="002A55C8">
      <w:r>
        <w:t xml:space="preserve">The recommendations create an opportunity to strengthen partnership work across government bodies, consumer groups, and industry partners. Strengthening partnerships will enable positive flow-on-effects to support consumer engagement across </w:t>
      </w:r>
      <w:r w:rsidR="00A96487">
        <w:t>the health</w:t>
      </w:r>
      <w:r>
        <w:t xml:space="preserve"> technology pathway as medicines transition from clinical research through to TGA approval phases, </w:t>
      </w:r>
      <w:r w:rsidR="002E37A9">
        <w:t>submissions</w:t>
      </w:r>
      <w:r>
        <w:t xml:space="preserve"> for subsidisation (via PBAC and other HTA committees) and so forth into listing and post-market considerations.</w:t>
      </w:r>
    </w:p>
    <w:p w14:paraId="3EA4B134" w14:textId="14EAFDD8" w:rsidR="00E164DA" w:rsidRDefault="00E164DA" w:rsidP="002A55C8">
      <w:r>
        <w:t>While a commitment to timely reform ought to be a priority, it is also acknowledged that some flow-on-effects may take time to bear results as enhancements in earlier stages (e.g., clinical research and TGA), may not be feasibly implemented before enhancements specifically relevant to</w:t>
      </w:r>
      <w:r w:rsidR="00C60950">
        <w:t xml:space="preserve"> downstream HTA processes </w:t>
      </w:r>
      <w:r>
        <w:t>and post-</w:t>
      </w:r>
      <w:r w:rsidR="00C60950">
        <w:t>market</w:t>
      </w:r>
      <w:r>
        <w:t xml:space="preserve"> activities.</w:t>
      </w:r>
    </w:p>
    <w:p w14:paraId="5E4E060A" w14:textId="77777777" w:rsidR="00663BA8" w:rsidRDefault="00E164DA" w:rsidP="00E164DA">
      <w:pPr>
        <w:rPr>
          <w:u w:val="single"/>
        </w:rPr>
      </w:pPr>
      <w:r w:rsidRPr="00663BA8">
        <w:rPr>
          <w:u w:val="single"/>
        </w:rPr>
        <w:t>Address health equity and access needs</w:t>
      </w:r>
    </w:p>
    <w:p w14:paraId="74B300F9" w14:textId="77777777" w:rsidR="006376E8" w:rsidRDefault="006376E8" w:rsidP="006376E8">
      <w:r>
        <w:t>The implementation and evaluation of the recommended enhancements must prioritise principles of equity, access, and inclusion to ensure that changes meet the needs of First Nations communities and diverse and underrepresented groups across Australia.</w:t>
      </w:r>
    </w:p>
    <w:p w14:paraId="1CA20CA1" w14:textId="161916D2" w:rsidR="006376E8" w:rsidRDefault="00C60950" w:rsidP="006376E8">
      <w:r>
        <w:t>As such, c</w:t>
      </w:r>
      <w:r w:rsidR="006376E8">
        <w:t xml:space="preserve">onsumer representatives from First Nations communities and socially and culturally diverse populations must be strategically engaged to further develop, implement, and evaluate the recommendations in this </w:t>
      </w:r>
      <w:r w:rsidR="0047454D">
        <w:t>document.</w:t>
      </w:r>
    </w:p>
    <w:p w14:paraId="04A817B8" w14:textId="02A1068F" w:rsidR="00E164DA" w:rsidRDefault="00E164DA" w:rsidP="75DD483E">
      <w:pPr>
        <w:rPr>
          <w:u w:val="single"/>
        </w:rPr>
      </w:pPr>
      <w:r w:rsidRPr="75DD483E">
        <w:rPr>
          <w:u w:val="single"/>
        </w:rPr>
        <w:t xml:space="preserve">Invest in systemic </w:t>
      </w:r>
      <w:proofErr w:type="gramStart"/>
      <w:r w:rsidRPr="75DD483E">
        <w:rPr>
          <w:u w:val="single"/>
        </w:rPr>
        <w:t>change</w:t>
      </w:r>
      <w:proofErr w:type="gramEnd"/>
    </w:p>
    <w:p w14:paraId="24A14A28" w14:textId="5B8D377A" w:rsidR="00C60950" w:rsidRDefault="00E164DA" w:rsidP="75DD483E">
      <w:r>
        <w:t>Many of the recommended enhancements represent discreet projects and new processes that will require funding to bodies within</w:t>
      </w:r>
      <w:r w:rsidR="002E37A9">
        <w:t>, and outside</w:t>
      </w:r>
      <w:r w:rsidR="000D1A5A">
        <w:t xml:space="preserve"> of</w:t>
      </w:r>
      <w:r w:rsidR="002E37A9">
        <w:t xml:space="preserve">, </w:t>
      </w:r>
      <w:r>
        <w:t>the Department.</w:t>
      </w:r>
      <w:r w:rsidR="000D1A5A">
        <w:t xml:space="preserve"> </w:t>
      </w:r>
      <w:r>
        <w:t>Such investment is needed to support individual consumers and groups to participate in the HTA processes, as they often do not have the resources to provide extensive input while managing health concerns and caring duties.</w:t>
      </w:r>
    </w:p>
    <w:p w14:paraId="422BB7E9" w14:textId="53961E35" w:rsidR="0053590F" w:rsidRDefault="00E164DA" w:rsidP="75DD483E">
      <w:r>
        <w:t>Dedicated investment strategies are also required to enable equitable access to consumer engagement for First Nations communities and diverse populations.</w:t>
      </w:r>
    </w:p>
    <w:p w14:paraId="40A0968D" w14:textId="4C6B0F03" w:rsidR="00617ADF" w:rsidRPr="000D1A5A" w:rsidRDefault="00617ADF" w:rsidP="75DD483E">
      <w:r>
        <w:t>Further, legislating a ‘consumer voice’ may be a mechanism to ensure lasting investment in systemic change for enhancing consumer evidence and experience in the HTA pathway.</w:t>
      </w:r>
    </w:p>
    <w:p w14:paraId="64EB720A" w14:textId="77777777" w:rsidR="00663BA8" w:rsidRPr="00663BA8" w:rsidRDefault="00E164DA" w:rsidP="00E164DA">
      <w:pPr>
        <w:rPr>
          <w:u w:val="single"/>
        </w:rPr>
      </w:pPr>
      <w:r w:rsidRPr="00663BA8">
        <w:rPr>
          <w:u w:val="single"/>
        </w:rPr>
        <w:t xml:space="preserve">Strengthen the use of consumer evidence and </w:t>
      </w:r>
      <w:proofErr w:type="gramStart"/>
      <w:r w:rsidRPr="00663BA8">
        <w:rPr>
          <w:u w:val="single"/>
        </w:rPr>
        <w:t>experience</w:t>
      </w:r>
      <w:proofErr w:type="gramEnd"/>
    </w:p>
    <w:p w14:paraId="6B58CFC0" w14:textId="4111BDC2" w:rsidR="00E164DA" w:rsidRDefault="00E164DA" w:rsidP="00E164DA">
      <w:r>
        <w:t xml:space="preserve">Implementing the recommended enhancements requires a new vision to strengthen and embed consumer evidence and experience into the health technology pathway from clinical research through to the examination of evidence during TGA approvals and HTA processes. This vision entails the acceptance of consumers’ input into </w:t>
      </w:r>
      <w:r w:rsidR="00C90483">
        <w:t>PICO</w:t>
      </w:r>
      <w:r>
        <w:t xml:space="preserve"> scoping and methodologies that account for consumer evidence, such as PREMS, PROMS,</w:t>
      </w:r>
      <w:r w:rsidR="00C90483">
        <w:t xml:space="preserve"> RWE,</w:t>
      </w:r>
      <w:r>
        <w:t xml:space="preserve"> qualitative studies, </w:t>
      </w:r>
      <w:r w:rsidR="00C90483">
        <w:t xml:space="preserve">and </w:t>
      </w:r>
      <w:r>
        <w:t>health equity studies</w:t>
      </w:r>
      <w:r w:rsidR="00C90483">
        <w:t>.</w:t>
      </w:r>
    </w:p>
    <w:p w14:paraId="64792798" w14:textId="7B0638B3" w:rsidR="00663BA8" w:rsidRDefault="00E164DA" w:rsidP="00E164DA">
      <w:pPr>
        <w:rPr>
          <w:u w:val="single"/>
        </w:rPr>
      </w:pPr>
      <w:r w:rsidRPr="00663BA8">
        <w:rPr>
          <w:u w:val="single"/>
        </w:rPr>
        <w:t xml:space="preserve">Facilitate </w:t>
      </w:r>
      <w:r w:rsidR="00D001F2" w:rsidRPr="00663BA8">
        <w:rPr>
          <w:u w:val="single"/>
        </w:rPr>
        <w:t>beneficial communication</w:t>
      </w:r>
      <w:r w:rsidRPr="00663BA8">
        <w:rPr>
          <w:u w:val="single"/>
        </w:rPr>
        <w:t xml:space="preserve"> between </w:t>
      </w:r>
      <w:r w:rsidR="00E94E0C">
        <w:rPr>
          <w:u w:val="single"/>
        </w:rPr>
        <w:t xml:space="preserve">medicines </w:t>
      </w:r>
      <w:r w:rsidRPr="00663BA8">
        <w:rPr>
          <w:u w:val="single"/>
        </w:rPr>
        <w:t xml:space="preserve">industry and </w:t>
      </w:r>
      <w:proofErr w:type="gramStart"/>
      <w:r w:rsidRPr="00663BA8">
        <w:rPr>
          <w:u w:val="single"/>
        </w:rPr>
        <w:t>consumers</w:t>
      </w:r>
      <w:proofErr w:type="gramEnd"/>
    </w:p>
    <w:p w14:paraId="78509063" w14:textId="2A4BE505" w:rsidR="003103A7" w:rsidRDefault="0053590F" w:rsidP="003103A7">
      <w:r>
        <w:t>L</w:t>
      </w:r>
      <w:r w:rsidR="003103A7">
        <w:t>egislative restrictions</w:t>
      </w:r>
      <w:r>
        <w:t xml:space="preserve"> via </w:t>
      </w:r>
      <w:r w:rsidR="003103A7">
        <w:t xml:space="preserve">the </w:t>
      </w:r>
      <w:r w:rsidR="003103A7" w:rsidRPr="003103A7">
        <w:rPr>
          <w:i/>
          <w:iCs/>
        </w:rPr>
        <w:t>Therapeutic Goods Act 1989</w:t>
      </w:r>
      <w:r w:rsidR="003103A7">
        <w:t xml:space="preserve"> and the </w:t>
      </w:r>
      <w:r w:rsidR="003103A7" w:rsidRPr="003103A7">
        <w:rPr>
          <w:i/>
          <w:iCs/>
        </w:rPr>
        <w:t>Competition and Consumer Act 2010</w:t>
      </w:r>
      <w:r w:rsidR="003103A7">
        <w:t xml:space="preserve"> prohibits information sharing amongst industry and consumers to mitigate the risk of direct-to-consumer advertising and exposing confidential information. While these prohibitions intend to protect the Australian public, they also create barriers to consumer engagement, </w:t>
      </w:r>
      <w:r w:rsidR="00AA5A72" w:rsidRPr="00AA5A72">
        <w:t>especially</w:t>
      </w:r>
      <w:r w:rsidR="00AA5A72">
        <w:t xml:space="preserve"> in early stages</w:t>
      </w:r>
      <w:r w:rsidR="00AA5A72" w:rsidRPr="00AA5A72">
        <w:t xml:space="preserve"> when TGA applications and HTA committee submissions are in development.</w:t>
      </w:r>
    </w:p>
    <w:p w14:paraId="57718E7B" w14:textId="60A98188" w:rsidR="00D51BC7" w:rsidRDefault="003103A7" w:rsidP="003103A7">
      <w:r>
        <w:t>Some of the recommended enhancements intend to maintain these important protections while also carefully facilitating opportunities to harness the value of consumer input and evidence early in the health technology pathway</w:t>
      </w:r>
      <w:r w:rsidR="003307B4">
        <w:t xml:space="preserve"> and in collaboration with industry sponsors</w:t>
      </w:r>
      <w:r w:rsidR="005167D3">
        <w:t>; however, i</w:t>
      </w:r>
      <w:r>
        <w:t>mplementation will require careful consideration to ensure that the benefits of consumer engagement in the proposed recommendations do not exacerbate risks to confidentiality and conflicts of interest.</w:t>
      </w:r>
    </w:p>
    <w:p w14:paraId="19C75A15" w14:textId="5D5BECD5" w:rsidR="00ED1261" w:rsidRDefault="005167D3" w:rsidP="00696B60">
      <w:pPr>
        <w:pStyle w:val="Heading1"/>
        <w:spacing w:before="360"/>
      </w:pPr>
      <w:bookmarkStart w:id="65" w:name="_Toc160023627"/>
      <w:r>
        <w:t>Conclusion</w:t>
      </w:r>
      <w:bookmarkEnd w:id="65"/>
    </w:p>
    <w:p w14:paraId="602BBC18" w14:textId="77777777" w:rsidR="00741288" w:rsidRDefault="005167D3" w:rsidP="006C5D2D">
      <w:r>
        <w:t xml:space="preserve">This consultation document presented the proposed recommendations of the </w:t>
      </w:r>
      <w:r w:rsidR="00B04411">
        <w:t xml:space="preserve">CWG </w:t>
      </w:r>
      <w:r w:rsidR="00FD65FC">
        <w:t xml:space="preserve">for </w:t>
      </w:r>
      <w:r>
        <w:t>the Enhanced Consumer Engagement Process.</w:t>
      </w:r>
      <w:r w:rsidR="00485DA6">
        <w:t xml:space="preserve"> </w:t>
      </w:r>
    </w:p>
    <w:p w14:paraId="1AB41388" w14:textId="05541CAA" w:rsidR="00E3224F" w:rsidRDefault="00485DA6" w:rsidP="006C5D2D">
      <w:r>
        <w:t xml:space="preserve">These recommendations intend to </w:t>
      </w:r>
      <w:r w:rsidR="004E034B">
        <w:t>enhance</w:t>
      </w:r>
      <w:r>
        <w:t xml:space="preserve"> consumer engagement not only in PBAC processes, as per the Strategic Agreement between the Commonwealth and Medicines Australia, </w:t>
      </w:r>
      <w:r w:rsidR="00B04411">
        <w:t>but also across the health technology pathway with key inclusions that may also be relevant for other HTA committees.</w:t>
      </w:r>
    </w:p>
    <w:p w14:paraId="74F6C5E2" w14:textId="06DC568A" w:rsidR="00E3224F" w:rsidRDefault="00833E13" w:rsidP="006C5D2D">
      <w:r>
        <w:t>As noted, t</w:t>
      </w:r>
      <w:r w:rsidR="00B04411">
        <w:t xml:space="preserve">he recommendations </w:t>
      </w:r>
      <w:r>
        <w:t xml:space="preserve">provided </w:t>
      </w:r>
      <w:r w:rsidR="00B04411">
        <w:t>are a work in progress</w:t>
      </w:r>
      <w:r>
        <w:t>,</w:t>
      </w:r>
      <w:r w:rsidR="00B04411">
        <w:t xml:space="preserve"> which the CWG </w:t>
      </w:r>
      <w:r w:rsidR="00FD65FC">
        <w:t>will further refine after reviewing consultation feedback from consumers and other stakeholders.</w:t>
      </w:r>
    </w:p>
    <w:p w14:paraId="68A61496" w14:textId="4DF0A920" w:rsidR="001F5103" w:rsidRDefault="00833E13" w:rsidP="006C5D2D">
      <w:pPr>
        <w:rPr>
          <w:color w:val="000000"/>
        </w:rPr>
      </w:pPr>
      <w:r>
        <w:t xml:space="preserve">Please return to the start of this document </w:t>
      </w:r>
      <w:r w:rsidR="00295BC8">
        <w:t xml:space="preserve">for information about </w:t>
      </w:r>
      <w:hyperlink w:anchor="_How_to_provide" w:history="1">
        <w:r w:rsidR="00912897" w:rsidRPr="00912897">
          <w:rPr>
            <w:rStyle w:val="Hyperlink"/>
          </w:rPr>
          <w:t>how to</w:t>
        </w:r>
        <w:r w:rsidR="00295BC8" w:rsidRPr="00912897">
          <w:rPr>
            <w:rStyle w:val="Hyperlink"/>
          </w:rPr>
          <w:t xml:space="preserve"> provide input</w:t>
        </w:r>
      </w:hyperlink>
      <w:r w:rsidR="00295BC8">
        <w:t xml:space="preserve"> via a consultation survey.</w:t>
      </w:r>
    </w:p>
    <w:p w14:paraId="4AF24F78" w14:textId="7FFB8591" w:rsidR="00696B60" w:rsidRDefault="00696B60">
      <w:pPr>
        <w:suppressAutoHyphens w:val="0"/>
        <w:spacing w:before="0" w:after="0" w:line="240" w:lineRule="auto"/>
        <w:rPr>
          <w:color w:val="000000"/>
        </w:rPr>
      </w:pPr>
      <w:r>
        <w:rPr>
          <w:color w:val="000000"/>
        </w:rPr>
        <w:br w:type="page"/>
      </w:r>
    </w:p>
    <w:p w14:paraId="6F400030" w14:textId="77777777" w:rsidR="00424CE2" w:rsidRDefault="00424CE2">
      <w:pPr>
        <w:suppressAutoHyphens w:val="0"/>
        <w:spacing w:before="0" w:after="0" w:line="240" w:lineRule="auto"/>
      </w:pPr>
    </w:p>
    <w:p w14:paraId="66B2A954" w14:textId="77777777" w:rsidR="00EA3E60" w:rsidRDefault="00EA3E60">
      <w:pPr>
        <w:spacing w:after="0" w:line="240" w:lineRule="auto"/>
      </w:pPr>
    </w:p>
    <w:tbl>
      <w:tblPr>
        <w:tblStyle w:val="LayoutGrid"/>
        <w:tblW w:w="0" w:type="auto"/>
        <w:tblLook w:val="04A0" w:firstRow="1" w:lastRow="0" w:firstColumn="1" w:lastColumn="0" w:noHBand="0" w:noVBand="1"/>
      </w:tblPr>
      <w:tblGrid>
        <w:gridCol w:w="9854"/>
      </w:tblGrid>
      <w:tr w:rsidR="00EA3E60" w14:paraId="6D7F158F" w14:textId="77777777" w:rsidTr="00093D7A">
        <w:tc>
          <w:tcPr>
            <w:tcW w:w="9854" w:type="dxa"/>
            <w:shd w:val="clear" w:color="auto" w:fill="000F46" w:themeFill="background2"/>
          </w:tcPr>
          <w:p w14:paraId="6F16DA13" w14:textId="2192996A" w:rsidR="00EA3E60" w:rsidRPr="00EA6FFB" w:rsidRDefault="00EA3E60">
            <w:pPr>
              <w:pStyle w:val="LastPageContacts"/>
              <w:rPr>
                <w:b/>
                <w:bCs/>
                <w:sz w:val="28"/>
                <w:szCs w:val="28"/>
              </w:rPr>
            </w:pPr>
            <w:r w:rsidRPr="00EA6FFB">
              <w:rPr>
                <w:b/>
                <w:bCs/>
                <w:sz w:val="28"/>
                <w:szCs w:val="28"/>
              </w:rPr>
              <w:t>The University of Melbourne</w:t>
            </w:r>
          </w:p>
          <w:p w14:paraId="5AB8ED95" w14:textId="77777777" w:rsidR="00EA3E60" w:rsidRPr="00EA6FFB" w:rsidRDefault="00EA3E60">
            <w:pPr>
              <w:pStyle w:val="LastPageContacts"/>
            </w:pPr>
            <w:r w:rsidRPr="00EA6FFB">
              <w:t>Grattan Street, Parkville, Victoria 3010 Australia</w:t>
            </w:r>
          </w:p>
          <w:p w14:paraId="037F4F84" w14:textId="0601AB6B" w:rsidR="00EA3E60" w:rsidRPr="00EA6FFB" w:rsidRDefault="00EA3E60">
            <w:pPr>
              <w:pStyle w:val="LastPageContacts"/>
            </w:pPr>
            <w:r w:rsidRPr="00EA6FFB">
              <w:t>13 MELB (13 6352)</w:t>
            </w:r>
          </w:p>
          <w:p w14:paraId="461A1B06" w14:textId="3C21C4C5" w:rsidR="00EA3E60" w:rsidRPr="00EA6FFB" w:rsidRDefault="00EA3E60">
            <w:pPr>
              <w:pStyle w:val="LastPageContacts"/>
            </w:pPr>
            <w:r w:rsidRPr="00EA6FFB">
              <w:t>+61 3 9035 5511 (International)</w:t>
            </w:r>
          </w:p>
          <w:p w14:paraId="728B8520" w14:textId="77777777" w:rsidR="00EA3E60" w:rsidRPr="00EA6FFB" w:rsidRDefault="00EA3E60">
            <w:pPr>
              <w:pStyle w:val="LastPageContacts"/>
              <w:rPr>
                <w:b/>
                <w:bCs/>
              </w:rPr>
            </w:pPr>
            <w:r w:rsidRPr="00EA6FFB">
              <w:rPr>
                <w:b/>
                <w:bCs/>
              </w:rPr>
              <w:t>unimelb.edu.au</w:t>
            </w:r>
          </w:p>
        </w:tc>
      </w:tr>
    </w:tbl>
    <w:p w14:paraId="3F6AEF62" w14:textId="77777777" w:rsidR="00EA3E60" w:rsidRPr="00234017" w:rsidRDefault="00EA3E60" w:rsidP="00234017">
      <w:r>
        <w:rPr>
          <w:noProof/>
        </w:rPr>
        <w:drawing>
          <wp:anchor distT="0" distB="0" distL="114300" distR="114300" simplePos="0" relativeHeight="251658240" behindDoc="1" locked="0" layoutInCell="1" allowOverlap="1" wp14:anchorId="07D6AE69" wp14:editId="51EDAB50">
            <wp:simplePos x="0" y="0"/>
            <wp:positionH relativeFrom="page">
              <wp:posOffset>0</wp:posOffset>
            </wp:positionH>
            <wp:positionV relativeFrom="page">
              <wp:posOffset>0</wp:posOffset>
            </wp:positionV>
            <wp:extent cx="7560000" cy="10692000"/>
            <wp:effectExtent l="0" t="0" r="3175" b="0"/>
            <wp:wrapNone/>
            <wp:docPr id="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9">
                      <a:extLst>
                        <a:ext uri="{C183D7F6-B498-43B3-948B-1728B52AA6E4}">
                          <adec:decorative xmlns:adec="http://schemas.microsoft.com/office/drawing/2017/decorative" val="1"/>
                        </a:ext>
                      </a:extLst>
                    </pic:cNvPr>
                    <pic:cNvPicPr/>
                  </pic:nvPicPr>
                  <pic:blipFill>
                    <a:blip r:embed="rId44" cstate="screen">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46E53C1" w14:textId="77777777" w:rsidR="00EA3E60" w:rsidRDefault="00EA3E60" w:rsidP="000D37DF"/>
    <w:p w14:paraId="178FBBBA" w14:textId="77777777" w:rsidR="00D1738B" w:rsidRPr="00E20600" w:rsidRDefault="00EA3E60" w:rsidP="00D1738B">
      <w:r>
        <w:rPr>
          <w:noProof/>
        </w:rPr>
        <w:drawing>
          <wp:anchor distT="0" distB="0" distL="114300" distR="114300" simplePos="0" relativeHeight="251658246" behindDoc="1" locked="0" layoutInCell="1" allowOverlap="1" wp14:anchorId="25D20C9B" wp14:editId="0E38B3E4">
            <wp:simplePos x="0" y="0"/>
            <wp:positionH relativeFrom="column">
              <wp:posOffset>5095875</wp:posOffset>
            </wp:positionH>
            <wp:positionV relativeFrom="paragraph">
              <wp:posOffset>5163185</wp:posOffset>
            </wp:positionV>
            <wp:extent cx="1367790" cy="1367790"/>
            <wp:effectExtent l="0" t="0" r="3810" b="3810"/>
            <wp:wrapNone/>
            <wp:docPr id="1"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a:ext>
                      </a:extLst>
                    </a:blip>
                    <a:stretch>
                      <a:fillRect/>
                    </a:stretch>
                  </pic:blipFill>
                  <pic:spPr>
                    <a:xfrm>
                      <a:off x="0" y="0"/>
                      <a:ext cx="1367790" cy="1367790"/>
                    </a:xfrm>
                    <a:prstGeom prst="rect">
                      <a:avLst/>
                    </a:prstGeom>
                  </pic:spPr>
                </pic:pic>
              </a:graphicData>
            </a:graphic>
            <wp14:sizeRelH relativeFrom="margin">
              <wp14:pctWidth>0</wp14:pctWidth>
            </wp14:sizeRelH>
            <wp14:sizeRelV relativeFrom="margin">
              <wp14:pctHeight>0</wp14:pctHeight>
            </wp14:sizeRelV>
          </wp:anchor>
        </w:drawing>
      </w:r>
    </w:p>
    <w:sectPr w:rsidR="00D1738B" w:rsidRPr="00E20600" w:rsidSect="00C02FAA">
      <w:pgSz w:w="11906" w:h="16838" w:code="9"/>
      <w:pgMar w:top="851" w:right="851" w:bottom="284" w:left="851"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9016" w14:textId="77777777" w:rsidR="00C02FAA" w:rsidRDefault="00C02FAA">
      <w:r>
        <w:separator/>
      </w:r>
    </w:p>
    <w:p w14:paraId="66727288" w14:textId="77777777" w:rsidR="00C02FAA" w:rsidRDefault="00C02FAA"/>
  </w:endnote>
  <w:endnote w:type="continuationSeparator" w:id="0">
    <w:p w14:paraId="65821EEC" w14:textId="77777777" w:rsidR="00C02FAA" w:rsidRDefault="00C02FAA">
      <w:r>
        <w:continuationSeparator/>
      </w:r>
    </w:p>
    <w:p w14:paraId="4BE927D7" w14:textId="77777777" w:rsidR="00C02FAA" w:rsidRDefault="00C02FAA"/>
  </w:endnote>
  <w:endnote w:type="continuationNotice" w:id="1">
    <w:p w14:paraId="7E0DF74F" w14:textId="77777777" w:rsidR="00C02FAA" w:rsidRDefault="00C02F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embedRegular r:id="rId1" w:fontKey="{DFDF3133-2FE1-47C3-A100-56AD6CD50B05}"/>
  </w:font>
  <w:font w:name="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8639" w14:textId="428C91D8" w:rsidR="00AD1B8D" w:rsidRDefault="00AD1B8D">
    <w:pPr>
      <w:pStyle w:val="Footer"/>
      <w:jc w:val="right"/>
    </w:pPr>
  </w:p>
  <w:p w14:paraId="0D24BB9B" w14:textId="77777777" w:rsidR="00AD1B8D" w:rsidRDefault="00AD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54274"/>
      <w:docPartObj>
        <w:docPartGallery w:val="Page Numbers (Bottom of Page)"/>
        <w:docPartUnique/>
      </w:docPartObj>
    </w:sdtPr>
    <w:sdtEndPr>
      <w:rPr>
        <w:noProof/>
      </w:rPr>
    </w:sdtEndPr>
    <w:sdtContent>
      <w:p w14:paraId="1417862A" w14:textId="77777777" w:rsidR="00C678F7" w:rsidRDefault="00C678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2A4B7" w14:textId="77777777" w:rsidR="00C678F7" w:rsidRDefault="00C6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2C6F" w14:textId="77777777" w:rsidR="00C02FAA" w:rsidRPr="001853AA" w:rsidRDefault="00C02FAA" w:rsidP="001853AA">
      <w:pPr>
        <w:pStyle w:val="FootnoteText"/>
        <w:rPr>
          <w:color w:val="9FB825" w:themeColor="accent5"/>
        </w:rPr>
      </w:pPr>
      <w:r w:rsidRPr="001853AA">
        <w:rPr>
          <w:color w:val="9FB825" w:themeColor="accent5"/>
        </w:rPr>
        <w:separator/>
      </w:r>
    </w:p>
    <w:p w14:paraId="1CB182A8" w14:textId="77777777" w:rsidR="00C02FAA" w:rsidRDefault="00C02FAA"/>
  </w:footnote>
  <w:footnote w:type="continuationSeparator" w:id="0">
    <w:p w14:paraId="2ABAD08B" w14:textId="77777777" w:rsidR="00C02FAA" w:rsidRDefault="00C02FAA">
      <w:r>
        <w:continuationSeparator/>
      </w:r>
    </w:p>
    <w:p w14:paraId="5BDF40CE" w14:textId="77777777" w:rsidR="00C02FAA" w:rsidRDefault="00C02FAA"/>
  </w:footnote>
  <w:footnote w:type="continuationNotice" w:id="1">
    <w:p w14:paraId="305FA2CA" w14:textId="77777777" w:rsidR="00C02FAA" w:rsidRDefault="00C02FA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99003CC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510711F"/>
    <w:multiLevelType w:val="multilevel"/>
    <w:tmpl w:val="A6302488"/>
    <w:lvl w:ilvl="0">
      <w:start w:val="1"/>
      <w:numFmt w:val="decimal"/>
      <w:pStyle w:val="ListNumber"/>
      <w:lvlText w:val="%1."/>
      <w:lvlJc w:val="left"/>
      <w:pPr>
        <w:ind w:left="284" w:hanging="284"/>
      </w:pPr>
      <w:rPr>
        <w:rFonts w:hint="default"/>
        <w:b w:val="0"/>
        <w:i w:val="0"/>
        <w:color w:val="000000" w:themeColor="text2"/>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D0B05F1"/>
    <w:multiLevelType w:val="hybridMultilevel"/>
    <w:tmpl w:val="41802FDA"/>
    <w:lvl w:ilvl="0" w:tplc="8F1CC8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F53A83"/>
    <w:multiLevelType w:val="multilevel"/>
    <w:tmpl w:val="F4C27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895F38"/>
    <w:multiLevelType w:val="hybridMultilevel"/>
    <w:tmpl w:val="50EE4A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B013AD3"/>
    <w:multiLevelType w:val="multilevel"/>
    <w:tmpl w:val="C48A5A9C"/>
    <w:styleLink w:val="CurrentList1"/>
    <w:lvl w:ilvl="0">
      <w:start w:val="1"/>
      <w:numFmt w:val="decimal"/>
      <w:lvlText w:val="%1."/>
      <w:lvlJc w:val="left"/>
      <w:pPr>
        <w:ind w:left="284" w:hanging="284"/>
      </w:pPr>
      <w:rPr>
        <w:rFonts w:hint="default"/>
        <w:b w:val="0"/>
        <w:i w:val="0"/>
        <w:color w:val="2C421D"/>
        <w:sz w:val="20"/>
      </w:rPr>
    </w:lvl>
    <w:lvl w:ilvl="1">
      <w:start w:val="1"/>
      <w:numFmt w:val="bullet"/>
      <w:lvlText w:val="‒"/>
      <w:lvlJc w:val="left"/>
      <w:pPr>
        <w:ind w:left="568" w:hanging="284"/>
      </w:pPr>
      <w:rPr>
        <w:rFonts w:asciiTheme="minorHAnsi" w:hAnsiTheme="minorHAnsi" w:hint="default"/>
        <w:b w:val="0"/>
        <w:i w:val="0"/>
        <w:color w:val="000000" w:themeColor="accent1"/>
        <w:sz w:val="20"/>
      </w:rPr>
    </w:lvl>
    <w:lvl w:ilvl="2">
      <w:start w:val="1"/>
      <w:numFmt w:val="bullet"/>
      <w:lvlText w:val=""/>
      <w:lvlJc w:val="left"/>
      <w:pPr>
        <w:ind w:left="852" w:hanging="284"/>
      </w:pPr>
      <w:rPr>
        <w:rFonts w:ascii="Symbol" w:hAnsi="Symbol" w:hint="default"/>
        <w:b w:val="0"/>
        <w:i w:val="0"/>
        <w:color w:val="000F46" w:themeColor="background2"/>
        <w:sz w:val="2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BA7030B"/>
    <w:multiLevelType w:val="hybridMultilevel"/>
    <w:tmpl w:val="C41AB67C"/>
    <w:lvl w:ilvl="0" w:tplc="FDC2A9EA">
      <w:start w:val="1"/>
      <w:numFmt w:val="decimal"/>
      <w:pStyle w:val="Heading3"/>
      <w:lvlText w:val="%1."/>
      <w:lvlJc w:val="left"/>
      <w:pPr>
        <w:ind w:left="1636"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35249AF"/>
    <w:multiLevelType w:val="multilevel"/>
    <w:tmpl w:val="F1F0223A"/>
    <w:styleLink w:val="AppendixNumbers"/>
    <w:lvl w:ilvl="0">
      <w:start w:val="1"/>
      <w:numFmt w:val="upperLetter"/>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663E11"/>
    <w:multiLevelType w:val="hybridMultilevel"/>
    <w:tmpl w:val="B99C06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55F6B51"/>
    <w:multiLevelType w:val="multilevel"/>
    <w:tmpl w:val="C48A5A9C"/>
    <w:lvl w:ilvl="0">
      <w:start w:val="1"/>
      <w:numFmt w:val="decimal"/>
      <w:lvlText w:val="%1."/>
      <w:lvlJc w:val="left"/>
      <w:pPr>
        <w:ind w:left="284" w:hanging="284"/>
      </w:pPr>
      <w:rPr>
        <w:rFonts w:hint="default"/>
        <w:b w:val="0"/>
        <w:i w:val="0"/>
        <w:color w:val="2C421D"/>
        <w:sz w:val="20"/>
      </w:rPr>
    </w:lvl>
    <w:lvl w:ilvl="1">
      <w:start w:val="1"/>
      <w:numFmt w:val="bullet"/>
      <w:lvlText w:val="‒"/>
      <w:lvlJc w:val="left"/>
      <w:pPr>
        <w:ind w:left="568" w:hanging="284"/>
      </w:pPr>
      <w:rPr>
        <w:rFonts w:asciiTheme="minorHAnsi" w:hAnsiTheme="minorHAnsi" w:hint="default"/>
        <w:b w:val="0"/>
        <w:i w:val="0"/>
        <w:color w:val="000000" w:themeColor="accent1"/>
        <w:sz w:val="20"/>
      </w:rPr>
    </w:lvl>
    <w:lvl w:ilvl="2">
      <w:start w:val="1"/>
      <w:numFmt w:val="bullet"/>
      <w:lvlText w:val=""/>
      <w:lvlJc w:val="left"/>
      <w:pPr>
        <w:ind w:left="852" w:hanging="284"/>
      </w:pPr>
      <w:rPr>
        <w:rFonts w:ascii="Symbol" w:hAnsi="Symbol" w:hint="default"/>
        <w:b w:val="0"/>
        <w:i w:val="0"/>
        <w:color w:val="000F46" w:themeColor="background2"/>
        <w:sz w:val="2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6D85C78"/>
    <w:multiLevelType w:val="hybridMultilevel"/>
    <w:tmpl w:val="7E6A275C"/>
    <w:lvl w:ilvl="0" w:tplc="78C24ACA">
      <w:start w:val="1"/>
      <w:numFmt w:val="bullet"/>
      <w:lvlText w:val=""/>
      <w:lvlJc w:val="left"/>
      <w:pPr>
        <w:ind w:left="1060" w:hanging="360"/>
      </w:pPr>
      <w:rPr>
        <w:rFonts w:ascii="Symbol" w:hAnsi="Symbol"/>
      </w:rPr>
    </w:lvl>
    <w:lvl w:ilvl="1" w:tplc="959879F0">
      <w:start w:val="1"/>
      <w:numFmt w:val="bullet"/>
      <w:lvlText w:val=""/>
      <w:lvlJc w:val="left"/>
      <w:pPr>
        <w:ind w:left="1060" w:hanging="360"/>
      </w:pPr>
      <w:rPr>
        <w:rFonts w:ascii="Symbol" w:hAnsi="Symbol"/>
      </w:rPr>
    </w:lvl>
    <w:lvl w:ilvl="2" w:tplc="61D81962">
      <w:start w:val="1"/>
      <w:numFmt w:val="bullet"/>
      <w:lvlText w:val=""/>
      <w:lvlJc w:val="left"/>
      <w:pPr>
        <w:ind w:left="1060" w:hanging="360"/>
      </w:pPr>
      <w:rPr>
        <w:rFonts w:ascii="Symbol" w:hAnsi="Symbol"/>
      </w:rPr>
    </w:lvl>
    <w:lvl w:ilvl="3" w:tplc="06400ED8">
      <w:start w:val="1"/>
      <w:numFmt w:val="bullet"/>
      <w:lvlText w:val=""/>
      <w:lvlJc w:val="left"/>
      <w:pPr>
        <w:ind w:left="1060" w:hanging="360"/>
      </w:pPr>
      <w:rPr>
        <w:rFonts w:ascii="Symbol" w:hAnsi="Symbol"/>
      </w:rPr>
    </w:lvl>
    <w:lvl w:ilvl="4" w:tplc="F9723210">
      <w:start w:val="1"/>
      <w:numFmt w:val="bullet"/>
      <w:lvlText w:val=""/>
      <w:lvlJc w:val="left"/>
      <w:pPr>
        <w:ind w:left="1060" w:hanging="360"/>
      </w:pPr>
      <w:rPr>
        <w:rFonts w:ascii="Symbol" w:hAnsi="Symbol"/>
      </w:rPr>
    </w:lvl>
    <w:lvl w:ilvl="5" w:tplc="1C30E5CA">
      <w:start w:val="1"/>
      <w:numFmt w:val="bullet"/>
      <w:lvlText w:val=""/>
      <w:lvlJc w:val="left"/>
      <w:pPr>
        <w:ind w:left="1060" w:hanging="360"/>
      </w:pPr>
      <w:rPr>
        <w:rFonts w:ascii="Symbol" w:hAnsi="Symbol"/>
      </w:rPr>
    </w:lvl>
    <w:lvl w:ilvl="6" w:tplc="13C499E6">
      <w:start w:val="1"/>
      <w:numFmt w:val="bullet"/>
      <w:lvlText w:val=""/>
      <w:lvlJc w:val="left"/>
      <w:pPr>
        <w:ind w:left="1060" w:hanging="360"/>
      </w:pPr>
      <w:rPr>
        <w:rFonts w:ascii="Symbol" w:hAnsi="Symbol"/>
      </w:rPr>
    </w:lvl>
    <w:lvl w:ilvl="7" w:tplc="7F347E8E">
      <w:start w:val="1"/>
      <w:numFmt w:val="bullet"/>
      <w:lvlText w:val=""/>
      <w:lvlJc w:val="left"/>
      <w:pPr>
        <w:ind w:left="1060" w:hanging="360"/>
      </w:pPr>
      <w:rPr>
        <w:rFonts w:ascii="Symbol" w:hAnsi="Symbol"/>
      </w:rPr>
    </w:lvl>
    <w:lvl w:ilvl="8" w:tplc="7C36C18E">
      <w:start w:val="1"/>
      <w:numFmt w:val="bullet"/>
      <w:lvlText w:val=""/>
      <w:lvlJc w:val="left"/>
      <w:pPr>
        <w:ind w:left="1060" w:hanging="360"/>
      </w:pPr>
      <w:rPr>
        <w:rFonts w:ascii="Symbol" w:hAnsi="Symbol"/>
      </w:rPr>
    </w:lvl>
  </w:abstractNum>
  <w:abstractNum w:abstractNumId="17" w15:restartNumberingAfterBreak="0">
    <w:nsid w:val="56DB5F4C"/>
    <w:multiLevelType w:val="multilevel"/>
    <w:tmpl w:val="80F49ECC"/>
    <w:styleLink w:val="NumberedHeadings"/>
    <w:lvl w:ilvl="0">
      <w:start w:val="1"/>
      <w:numFmt w:val="decimal"/>
      <w:pStyle w:val="Heading1Numbered"/>
      <w:lvlText w:val="%1."/>
      <w:lvlJc w:val="left"/>
      <w:pPr>
        <w:ind w:left="907" w:hanging="907"/>
      </w:pPr>
      <w:rPr>
        <w:rFonts w:hint="default"/>
      </w:rPr>
    </w:lvl>
    <w:lvl w:ilvl="1">
      <w:start w:val="1"/>
      <w:numFmt w:val="decimal"/>
      <w:pStyle w:val="Heading2Numbered"/>
      <w:lvlText w:val="%1.%2"/>
      <w:lvlJc w:val="left"/>
      <w:pPr>
        <w:ind w:left="907" w:hanging="907"/>
      </w:pPr>
      <w:rPr>
        <w:rFonts w:hint="default"/>
      </w:rPr>
    </w:lvl>
    <w:lvl w:ilvl="2">
      <w:start w:val="1"/>
      <w:numFmt w:val="decimal"/>
      <w:pStyle w:val="Heading3Numbered"/>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252B51"/>
    <w:multiLevelType w:val="hybridMultilevel"/>
    <w:tmpl w:val="F392C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E33412"/>
    <w:multiLevelType w:val="hybridMultilevel"/>
    <w:tmpl w:val="8FA04E86"/>
    <w:lvl w:ilvl="0" w:tplc="E02ED872">
      <w:start w:val="1"/>
      <w:numFmt w:val="bullet"/>
      <w:lvlText w:val=""/>
      <w:lvlJc w:val="left"/>
      <w:pPr>
        <w:ind w:left="1080" w:hanging="360"/>
      </w:pPr>
      <w:rPr>
        <w:rFonts w:ascii="Symbol" w:hAnsi="Symbol"/>
      </w:rPr>
    </w:lvl>
    <w:lvl w:ilvl="1" w:tplc="1E005776">
      <w:start w:val="1"/>
      <w:numFmt w:val="bullet"/>
      <w:lvlText w:val=""/>
      <w:lvlJc w:val="left"/>
      <w:pPr>
        <w:ind w:left="1080" w:hanging="360"/>
      </w:pPr>
      <w:rPr>
        <w:rFonts w:ascii="Symbol" w:hAnsi="Symbol"/>
      </w:rPr>
    </w:lvl>
    <w:lvl w:ilvl="2" w:tplc="AA2A80D2">
      <w:start w:val="1"/>
      <w:numFmt w:val="bullet"/>
      <w:lvlText w:val=""/>
      <w:lvlJc w:val="left"/>
      <w:pPr>
        <w:ind w:left="1080" w:hanging="360"/>
      </w:pPr>
      <w:rPr>
        <w:rFonts w:ascii="Symbol" w:hAnsi="Symbol"/>
      </w:rPr>
    </w:lvl>
    <w:lvl w:ilvl="3" w:tplc="7B726B9C">
      <w:start w:val="1"/>
      <w:numFmt w:val="bullet"/>
      <w:lvlText w:val=""/>
      <w:lvlJc w:val="left"/>
      <w:pPr>
        <w:ind w:left="1080" w:hanging="360"/>
      </w:pPr>
      <w:rPr>
        <w:rFonts w:ascii="Symbol" w:hAnsi="Symbol"/>
      </w:rPr>
    </w:lvl>
    <w:lvl w:ilvl="4" w:tplc="D1F8D5CA">
      <w:start w:val="1"/>
      <w:numFmt w:val="bullet"/>
      <w:lvlText w:val=""/>
      <w:lvlJc w:val="left"/>
      <w:pPr>
        <w:ind w:left="1080" w:hanging="360"/>
      </w:pPr>
      <w:rPr>
        <w:rFonts w:ascii="Symbol" w:hAnsi="Symbol"/>
      </w:rPr>
    </w:lvl>
    <w:lvl w:ilvl="5" w:tplc="4B4AA462">
      <w:start w:val="1"/>
      <w:numFmt w:val="bullet"/>
      <w:lvlText w:val=""/>
      <w:lvlJc w:val="left"/>
      <w:pPr>
        <w:ind w:left="1080" w:hanging="360"/>
      </w:pPr>
      <w:rPr>
        <w:rFonts w:ascii="Symbol" w:hAnsi="Symbol"/>
      </w:rPr>
    </w:lvl>
    <w:lvl w:ilvl="6" w:tplc="E4F2945C">
      <w:start w:val="1"/>
      <w:numFmt w:val="bullet"/>
      <w:lvlText w:val=""/>
      <w:lvlJc w:val="left"/>
      <w:pPr>
        <w:ind w:left="1080" w:hanging="360"/>
      </w:pPr>
      <w:rPr>
        <w:rFonts w:ascii="Symbol" w:hAnsi="Symbol"/>
      </w:rPr>
    </w:lvl>
    <w:lvl w:ilvl="7" w:tplc="09EC1F3C">
      <w:start w:val="1"/>
      <w:numFmt w:val="bullet"/>
      <w:lvlText w:val=""/>
      <w:lvlJc w:val="left"/>
      <w:pPr>
        <w:ind w:left="1080" w:hanging="360"/>
      </w:pPr>
      <w:rPr>
        <w:rFonts w:ascii="Symbol" w:hAnsi="Symbol"/>
      </w:rPr>
    </w:lvl>
    <w:lvl w:ilvl="8" w:tplc="90A0CA46">
      <w:start w:val="1"/>
      <w:numFmt w:val="bullet"/>
      <w:lvlText w:val=""/>
      <w:lvlJc w:val="left"/>
      <w:pPr>
        <w:ind w:left="1080" w:hanging="360"/>
      </w:pPr>
      <w:rPr>
        <w:rFonts w:ascii="Symbol" w:hAnsi="Symbol"/>
      </w:rPr>
    </w:lvl>
  </w:abstractNum>
  <w:abstractNum w:abstractNumId="20" w15:restartNumberingAfterBreak="0">
    <w:nsid w:val="65A116D8"/>
    <w:multiLevelType w:val="hybridMultilevel"/>
    <w:tmpl w:val="3370A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6919A9"/>
    <w:multiLevelType w:val="multilevel"/>
    <w:tmpl w:val="80F49ECC"/>
    <w:numStyleLink w:val="NumberedHeadings"/>
  </w:abstractNum>
  <w:abstractNum w:abstractNumId="22" w15:restartNumberingAfterBreak="0">
    <w:nsid w:val="67FA315B"/>
    <w:multiLevelType w:val="multilevel"/>
    <w:tmpl w:val="0DFCEA08"/>
    <w:lvl w:ilvl="0">
      <w:start w:val="1"/>
      <w:numFmt w:val="bullet"/>
      <w:lvlText w:val=""/>
      <w:lvlJc w:val="left"/>
      <w:pPr>
        <w:ind w:left="284" w:hanging="284"/>
      </w:pPr>
      <w:rPr>
        <w:rFonts w:ascii="Symbol" w:hAnsi="Symbol" w:hint="default"/>
        <w:b w:val="0"/>
        <w:i w:val="0"/>
        <w:color w:val="2C421D"/>
        <w:sz w:val="20"/>
      </w:rPr>
    </w:lvl>
    <w:lvl w:ilvl="1">
      <w:start w:val="1"/>
      <w:numFmt w:val="bullet"/>
      <w:lvlText w:val="‒"/>
      <w:lvlJc w:val="left"/>
      <w:pPr>
        <w:ind w:left="568" w:hanging="284"/>
      </w:pPr>
      <w:rPr>
        <w:rFonts w:asciiTheme="minorHAnsi" w:hAnsiTheme="minorHAnsi" w:hint="default"/>
        <w:b w:val="0"/>
        <w:i w:val="0"/>
        <w:color w:val="000000" w:themeColor="accent1"/>
        <w:sz w:val="20"/>
      </w:rPr>
    </w:lvl>
    <w:lvl w:ilvl="2">
      <w:start w:val="1"/>
      <w:numFmt w:val="bullet"/>
      <w:lvlText w:val=""/>
      <w:lvlJc w:val="left"/>
      <w:pPr>
        <w:ind w:left="852" w:hanging="284"/>
      </w:pPr>
      <w:rPr>
        <w:rFonts w:ascii="Symbol" w:hAnsi="Symbol" w:hint="default"/>
        <w:b w:val="0"/>
        <w:i w:val="0"/>
        <w:color w:val="000F46" w:themeColor="background2"/>
        <w:sz w:val="2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BC81D09"/>
    <w:multiLevelType w:val="hybridMultilevel"/>
    <w:tmpl w:val="497CAC86"/>
    <w:lvl w:ilvl="0" w:tplc="3CECB8F0">
      <w:start w:val="1"/>
      <w:numFmt w:val="bullet"/>
      <w:lvlText w:val=""/>
      <w:lvlJc w:val="left"/>
      <w:pPr>
        <w:ind w:left="1060" w:hanging="360"/>
      </w:pPr>
      <w:rPr>
        <w:rFonts w:ascii="Symbol" w:hAnsi="Symbol"/>
      </w:rPr>
    </w:lvl>
    <w:lvl w:ilvl="1" w:tplc="80967C5C">
      <w:start w:val="1"/>
      <w:numFmt w:val="bullet"/>
      <w:lvlText w:val=""/>
      <w:lvlJc w:val="left"/>
      <w:pPr>
        <w:ind w:left="1060" w:hanging="360"/>
      </w:pPr>
      <w:rPr>
        <w:rFonts w:ascii="Symbol" w:hAnsi="Symbol"/>
      </w:rPr>
    </w:lvl>
    <w:lvl w:ilvl="2" w:tplc="31E80E1A">
      <w:start w:val="1"/>
      <w:numFmt w:val="bullet"/>
      <w:lvlText w:val=""/>
      <w:lvlJc w:val="left"/>
      <w:pPr>
        <w:ind w:left="1060" w:hanging="360"/>
      </w:pPr>
      <w:rPr>
        <w:rFonts w:ascii="Symbol" w:hAnsi="Symbol"/>
      </w:rPr>
    </w:lvl>
    <w:lvl w:ilvl="3" w:tplc="416C5C2C">
      <w:start w:val="1"/>
      <w:numFmt w:val="bullet"/>
      <w:lvlText w:val=""/>
      <w:lvlJc w:val="left"/>
      <w:pPr>
        <w:ind w:left="1060" w:hanging="360"/>
      </w:pPr>
      <w:rPr>
        <w:rFonts w:ascii="Symbol" w:hAnsi="Symbol"/>
      </w:rPr>
    </w:lvl>
    <w:lvl w:ilvl="4" w:tplc="8FF64698">
      <w:start w:val="1"/>
      <w:numFmt w:val="bullet"/>
      <w:lvlText w:val=""/>
      <w:lvlJc w:val="left"/>
      <w:pPr>
        <w:ind w:left="1060" w:hanging="360"/>
      </w:pPr>
      <w:rPr>
        <w:rFonts w:ascii="Symbol" w:hAnsi="Symbol"/>
      </w:rPr>
    </w:lvl>
    <w:lvl w:ilvl="5" w:tplc="93F6BBFC">
      <w:start w:val="1"/>
      <w:numFmt w:val="bullet"/>
      <w:lvlText w:val=""/>
      <w:lvlJc w:val="left"/>
      <w:pPr>
        <w:ind w:left="1060" w:hanging="360"/>
      </w:pPr>
      <w:rPr>
        <w:rFonts w:ascii="Symbol" w:hAnsi="Symbol"/>
      </w:rPr>
    </w:lvl>
    <w:lvl w:ilvl="6" w:tplc="230E5128">
      <w:start w:val="1"/>
      <w:numFmt w:val="bullet"/>
      <w:lvlText w:val=""/>
      <w:lvlJc w:val="left"/>
      <w:pPr>
        <w:ind w:left="1060" w:hanging="360"/>
      </w:pPr>
      <w:rPr>
        <w:rFonts w:ascii="Symbol" w:hAnsi="Symbol"/>
      </w:rPr>
    </w:lvl>
    <w:lvl w:ilvl="7" w:tplc="BF325DFA">
      <w:start w:val="1"/>
      <w:numFmt w:val="bullet"/>
      <w:lvlText w:val=""/>
      <w:lvlJc w:val="left"/>
      <w:pPr>
        <w:ind w:left="1060" w:hanging="360"/>
      </w:pPr>
      <w:rPr>
        <w:rFonts w:ascii="Symbol" w:hAnsi="Symbol"/>
      </w:rPr>
    </w:lvl>
    <w:lvl w:ilvl="8" w:tplc="A4665CB4">
      <w:start w:val="1"/>
      <w:numFmt w:val="bullet"/>
      <w:lvlText w:val=""/>
      <w:lvlJc w:val="left"/>
      <w:pPr>
        <w:ind w:left="1060" w:hanging="360"/>
      </w:pPr>
      <w:rPr>
        <w:rFonts w:ascii="Symbol" w:hAnsi="Symbol"/>
      </w:rPr>
    </w:lvl>
  </w:abstractNum>
  <w:abstractNum w:abstractNumId="24" w15:restartNumberingAfterBreak="0">
    <w:nsid w:val="72D52456"/>
    <w:multiLevelType w:val="hybridMultilevel"/>
    <w:tmpl w:val="45C0327C"/>
    <w:lvl w:ilvl="0" w:tplc="4C5E3A18">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000000" w:themeColor="text2"/>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8A4D83"/>
    <w:multiLevelType w:val="multilevel"/>
    <w:tmpl w:val="0C160EEC"/>
    <w:styleLink w:val="DefaultBullets"/>
    <w:lvl w:ilvl="0">
      <w:start w:val="1"/>
      <w:numFmt w:val="bullet"/>
      <w:lvlText w:val=""/>
      <w:lvlJc w:val="left"/>
      <w:pPr>
        <w:ind w:left="284" w:hanging="284"/>
      </w:pPr>
      <w:rPr>
        <w:rFonts w:ascii="Symbol" w:hAnsi="Symbol" w:hint="default"/>
        <w:b w:val="0"/>
        <w:i w:val="0"/>
        <w:color w:val="2C421D"/>
        <w:sz w:val="20"/>
      </w:rPr>
    </w:lvl>
    <w:lvl w:ilvl="1">
      <w:start w:val="1"/>
      <w:numFmt w:val="bullet"/>
      <w:lvlText w:val="‒"/>
      <w:lvlJc w:val="left"/>
      <w:pPr>
        <w:ind w:left="568" w:hanging="284"/>
      </w:pPr>
      <w:rPr>
        <w:rFonts w:asciiTheme="minorHAnsi" w:hAnsiTheme="minorHAnsi" w:hint="default"/>
        <w:b w:val="0"/>
        <w:i w:val="0"/>
        <w:color w:val="000000" w:themeColor="accent1"/>
        <w:sz w:val="20"/>
      </w:rPr>
    </w:lvl>
    <w:lvl w:ilvl="2">
      <w:start w:val="1"/>
      <w:numFmt w:val="bullet"/>
      <w:lvlText w:val=""/>
      <w:lvlJc w:val="left"/>
      <w:pPr>
        <w:ind w:left="852" w:hanging="284"/>
      </w:pPr>
      <w:rPr>
        <w:rFonts w:ascii="Symbol" w:hAnsi="Symbol" w:hint="default"/>
        <w:b w:val="0"/>
        <w:i w:val="0"/>
        <w:color w:val="000F46" w:themeColor="background2"/>
        <w:sz w:val="2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483160843">
    <w:abstractNumId w:val="3"/>
  </w:num>
  <w:num w:numId="2" w16cid:durableId="639648672">
    <w:abstractNumId w:val="2"/>
  </w:num>
  <w:num w:numId="3" w16cid:durableId="108086899">
    <w:abstractNumId w:val="1"/>
  </w:num>
  <w:num w:numId="4" w16cid:durableId="1115321816">
    <w:abstractNumId w:val="0"/>
  </w:num>
  <w:num w:numId="5" w16cid:durableId="1829637987">
    <w:abstractNumId w:val="6"/>
  </w:num>
  <w:num w:numId="6" w16cid:durableId="742027826">
    <w:abstractNumId w:val="24"/>
  </w:num>
  <w:num w:numId="7" w16cid:durableId="1243107085">
    <w:abstractNumId w:val="13"/>
  </w:num>
  <w:num w:numId="8" w16cid:durableId="769201557">
    <w:abstractNumId w:val="25"/>
  </w:num>
  <w:num w:numId="9" w16cid:durableId="964233573">
    <w:abstractNumId w:val="17"/>
  </w:num>
  <w:num w:numId="10" w16cid:durableId="1220441383">
    <w:abstractNumId w:val="9"/>
  </w:num>
  <w:num w:numId="11" w16cid:durableId="1886747011">
    <w:abstractNumId w:val="21"/>
  </w:num>
  <w:num w:numId="12" w16cid:durableId="1206256018">
    <w:abstractNumId w:val="5"/>
  </w:num>
  <w:num w:numId="13" w16cid:durableId="1194416836">
    <w:abstractNumId w:val="15"/>
  </w:num>
  <w:num w:numId="14" w16cid:durableId="1214002586">
    <w:abstractNumId w:val="8"/>
  </w:num>
  <w:num w:numId="15" w16cid:durableId="1782652227">
    <w:abstractNumId w:val="14"/>
  </w:num>
  <w:num w:numId="16" w16cid:durableId="523250620">
    <w:abstractNumId w:val="22"/>
  </w:num>
  <w:num w:numId="17" w16cid:durableId="32928373">
    <w:abstractNumId w:val="12"/>
  </w:num>
  <w:num w:numId="18" w16cid:durableId="968361282">
    <w:abstractNumId w:val="18"/>
  </w:num>
  <w:num w:numId="19" w16cid:durableId="643126867">
    <w:abstractNumId w:val="20"/>
  </w:num>
  <w:num w:numId="20" w16cid:durableId="2091850047">
    <w:abstractNumId w:val="11"/>
  </w:num>
  <w:num w:numId="21" w16cid:durableId="2025596164">
    <w:abstractNumId w:val="4"/>
  </w:num>
  <w:num w:numId="22" w16cid:durableId="601499491">
    <w:abstractNumId w:val="10"/>
  </w:num>
  <w:num w:numId="23" w16cid:durableId="971443719">
    <w:abstractNumId w:val="7"/>
  </w:num>
  <w:num w:numId="24" w16cid:durableId="1828980560">
    <w:abstractNumId w:val="24"/>
  </w:num>
  <w:num w:numId="25" w16cid:durableId="880362593">
    <w:abstractNumId w:val="24"/>
  </w:num>
  <w:num w:numId="26" w16cid:durableId="1989935640">
    <w:abstractNumId w:val="16"/>
  </w:num>
  <w:num w:numId="27" w16cid:durableId="1633945485">
    <w:abstractNumId w:val="23"/>
  </w:num>
  <w:num w:numId="28" w16cid:durableId="981468671">
    <w:abstractNumId w:val="19"/>
  </w:num>
  <w:num w:numId="29" w16cid:durableId="2119908634">
    <w:abstractNumId w:val="24"/>
  </w:num>
  <w:num w:numId="30" w16cid:durableId="2100324164">
    <w:abstractNumId w:val="24"/>
  </w:num>
  <w:num w:numId="31" w16cid:durableId="61992248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zNTAxNzcyMLM0MDZU0lEKTi0uzszPAykwqgUA51qp/iwAAAA="/>
  </w:docVars>
  <w:rsids>
    <w:rsidRoot w:val="001F5103"/>
    <w:rsid w:val="000000F3"/>
    <w:rsid w:val="0000028E"/>
    <w:rsid w:val="000012C9"/>
    <w:rsid w:val="00001A89"/>
    <w:rsid w:val="00001F3A"/>
    <w:rsid w:val="00002A42"/>
    <w:rsid w:val="000049E7"/>
    <w:rsid w:val="00004BA1"/>
    <w:rsid w:val="00004F47"/>
    <w:rsid w:val="0000507D"/>
    <w:rsid w:val="00005149"/>
    <w:rsid w:val="00005561"/>
    <w:rsid w:val="000063F9"/>
    <w:rsid w:val="00006857"/>
    <w:rsid w:val="00006F13"/>
    <w:rsid w:val="00007460"/>
    <w:rsid w:val="0000783C"/>
    <w:rsid w:val="000115F3"/>
    <w:rsid w:val="00011718"/>
    <w:rsid w:val="00012C60"/>
    <w:rsid w:val="0001316E"/>
    <w:rsid w:val="00013F30"/>
    <w:rsid w:val="00013F35"/>
    <w:rsid w:val="00014678"/>
    <w:rsid w:val="00014834"/>
    <w:rsid w:val="00014AC6"/>
    <w:rsid w:val="000151E8"/>
    <w:rsid w:val="000152AE"/>
    <w:rsid w:val="00015C0B"/>
    <w:rsid w:val="00015DAF"/>
    <w:rsid w:val="00016B36"/>
    <w:rsid w:val="00016F7E"/>
    <w:rsid w:val="0002012A"/>
    <w:rsid w:val="00020A94"/>
    <w:rsid w:val="00020FC9"/>
    <w:rsid w:val="0002117B"/>
    <w:rsid w:val="00021199"/>
    <w:rsid w:val="000215FE"/>
    <w:rsid w:val="00022105"/>
    <w:rsid w:val="000221F9"/>
    <w:rsid w:val="000222A5"/>
    <w:rsid w:val="000222AA"/>
    <w:rsid w:val="0002331D"/>
    <w:rsid w:val="000233F4"/>
    <w:rsid w:val="00023971"/>
    <w:rsid w:val="00024D2C"/>
    <w:rsid w:val="0002654A"/>
    <w:rsid w:val="00026A5D"/>
    <w:rsid w:val="000276B2"/>
    <w:rsid w:val="00027D54"/>
    <w:rsid w:val="00027FBA"/>
    <w:rsid w:val="000319A2"/>
    <w:rsid w:val="00031AA8"/>
    <w:rsid w:val="00031CF1"/>
    <w:rsid w:val="000320E2"/>
    <w:rsid w:val="000328C0"/>
    <w:rsid w:val="00032AF6"/>
    <w:rsid w:val="000331CB"/>
    <w:rsid w:val="0003327B"/>
    <w:rsid w:val="0003500B"/>
    <w:rsid w:val="00035C72"/>
    <w:rsid w:val="000374FE"/>
    <w:rsid w:val="000379A1"/>
    <w:rsid w:val="00037A7F"/>
    <w:rsid w:val="00037AA8"/>
    <w:rsid w:val="00037ED9"/>
    <w:rsid w:val="000412B4"/>
    <w:rsid w:val="00041774"/>
    <w:rsid w:val="000423EB"/>
    <w:rsid w:val="000426D4"/>
    <w:rsid w:val="00042F5B"/>
    <w:rsid w:val="000431C4"/>
    <w:rsid w:val="00043CB4"/>
    <w:rsid w:val="00044197"/>
    <w:rsid w:val="00044230"/>
    <w:rsid w:val="000442EB"/>
    <w:rsid w:val="000443EF"/>
    <w:rsid w:val="0004495E"/>
    <w:rsid w:val="00045719"/>
    <w:rsid w:val="00046096"/>
    <w:rsid w:val="000463FE"/>
    <w:rsid w:val="00046882"/>
    <w:rsid w:val="00046B75"/>
    <w:rsid w:val="0004766F"/>
    <w:rsid w:val="0005233D"/>
    <w:rsid w:val="00052343"/>
    <w:rsid w:val="000523DF"/>
    <w:rsid w:val="000527D8"/>
    <w:rsid w:val="000532AB"/>
    <w:rsid w:val="000533F2"/>
    <w:rsid w:val="00053771"/>
    <w:rsid w:val="000541F6"/>
    <w:rsid w:val="00054654"/>
    <w:rsid w:val="00054805"/>
    <w:rsid w:val="0005504F"/>
    <w:rsid w:val="000554C2"/>
    <w:rsid w:val="000557C2"/>
    <w:rsid w:val="00055983"/>
    <w:rsid w:val="00060666"/>
    <w:rsid w:val="0006146D"/>
    <w:rsid w:val="00061479"/>
    <w:rsid w:val="00061491"/>
    <w:rsid w:val="00062056"/>
    <w:rsid w:val="0006242C"/>
    <w:rsid w:val="000627B3"/>
    <w:rsid w:val="00063083"/>
    <w:rsid w:val="00063624"/>
    <w:rsid w:val="00063883"/>
    <w:rsid w:val="000638AE"/>
    <w:rsid w:val="00063C6A"/>
    <w:rsid w:val="000646E5"/>
    <w:rsid w:val="00066EF9"/>
    <w:rsid w:val="000702BA"/>
    <w:rsid w:val="00070395"/>
    <w:rsid w:val="000729F5"/>
    <w:rsid w:val="000734BB"/>
    <w:rsid w:val="00074CBC"/>
    <w:rsid w:val="00075AE9"/>
    <w:rsid w:val="00075AF1"/>
    <w:rsid w:val="00076747"/>
    <w:rsid w:val="00076B00"/>
    <w:rsid w:val="0007774C"/>
    <w:rsid w:val="00077D64"/>
    <w:rsid w:val="00080CBD"/>
    <w:rsid w:val="00081AB9"/>
    <w:rsid w:val="00082281"/>
    <w:rsid w:val="000832F5"/>
    <w:rsid w:val="00083BD3"/>
    <w:rsid w:val="00084434"/>
    <w:rsid w:val="00084B44"/>
    <w:rsid w:val="00084C68"/>
    <w:rsid w:val="000852A6"/>
    <w:rsid w:val="000853A8"/>
    <w:rsid w:val="00085EB3"/>
    <w:rsid w:val="00086264"/>
    <w:rsid w:val="00086D8A"/>
    <w:rsid w:val="0008782D"/>
    <w:rsid w:val="00090164"/>
    <w:rsid w:val="00090305"/>
    <w:rsid w:val="00090397"/>
    <w:rsid w:val="00092980"/>
    <w:rsid w:val="000929A8"/>
    <w:rsid w:val="00092B75"/>
    <w:rsid w:val="00093181"/>
    <w:rsid w:val="00093A71"/>
    <w:rsid w:val="00093D6F"/>
    <w:rsid w:val="00093D7A"/>
    <w:rsid w:val="00094C01"/>
    <w:rsid w:val="0009638E"/>
    <w:rsid w:val="000964FA"/>
    <w:rsid w:val="000A021D"/>
    <w:rsid w:val="000A0770"/>
    <w:rsid w:val="000A0B42"/>
    <w:rsid w:val="000A1496"/>
    <w:rsid w:val="000A1649"/>
    <w:rsid w:val="000A16F6"/>
    <w:rsid w:val="000A1832"/>
    <w:rsid w:val="000A1924"/>
    <w:rsid w:val="000A2165"/>
    <w:rsid w:val="000A219C"/>
    <w:rsid w:val="000A228B"/>
    <w:rsid w:val="000A22F9"/>
    <w:rsid w:val="000A2A79"/>
    <w:rsid w:val="000A302F"/>
    <w:rsid w:val="000A30C7"/>
    <w:rsid w:val="000A3ABE"/>
    <w:rsid w:val="000A3B9C"/>
    <w:rsid w:val="000A4A09"/>
    <w:rsid w:val="000A4A84"/>
    <w:rsid w:val="000A4AB2"/>
    <w:rsid w:val="000A4C72"/>
    <w:rsid w:val="000A507B"/>
    <w:rsid w:val="000A50AA"/>
    <w:rsid w:val="000A5128"/>
    <w:rsid w:val="000A552E"/>
    <w:rsid w:val="000A5DDD"/>
    <w:rsid w:val="000A671C"/>
    <w:rsid w:val="000A77C5"/>
    <w:rsid w:val="000A77DE"/>
    <w:rsid w:val="000A7C91"/>
    <w:rsid w:val="000B0B99"/>
    <w:rsid w:val="000B1078"/>
    <w:rsid w:val="000B20BE"/>
    <w:rsid w:val="000B2B7B"/>
    <w:rsid w:val="000B499F"/>
    <w:rsid w:val="000B570B"/>
    <w:rsid w:val="000B579E"/>
    <w:rsid w:val="000B5A20"/>
    <w:rsid w:val="000B618B"/>
    <w:rsid w:val="000B72FD"/>
    <w:rsid w:val="000B792C"/>
    <w:rsid w:val="000B7C8E"/>
    <w:rsid w:val="000C26FB"/>
    <w:rsid w:val="000C3926"/>
    <w:rsid w:val="000C3C1B"/>
    <w:rsid w:val="000C3DAE"/>
    <w:rsid w:val="000C3F22"/>
    <w:rsid w:val="000C49CB"/>
    <w:rsid w:val="000C4F72"/>
    <w:rsid w:val="000C550D"/>
    <w:rsid w:val="000C553C"/>
    <w:rsid w:val="000C575E"/>
    <w:rsid w:val="000C581D"/>
    <w:rsid w:val="000C615B"/>
    <w:rsid w:val="000C6A1D"/>
    <w:rsid w:val="000C6DAE"/>
    <w:rsid w:val="000C7546"/>
    <w:rsid w:val="000C7CD7"/>
    <w:rsid w:val="000D082E"/>
    <w:rsid w:val="000D139E"/>
    <w:rsid w:val="000D1A16"/>
    <w:rsid w:val="000D1A5A"/>
    <w:rsid w:val="000D1BC1"/>
    <w:rsid w:val="000D2406"/>
    <w:rsid w:val="000D26EF"/>
    <w:rsid w:val="000D28CC"/>
    <w:rsid w:val="000D2DAA"/>
    <w:rsid w:val="000D348F"/>
    <w:rsid w:val="000D37DF"/>
    <w:rsid w:val="000D4038"/>
    <w:rsid w:val="000D5FCE"/>
    <w:rsid w:val="000D6657"/>
    <w:rsid w:val="000D6787"/>
    <w:rsid w:val="000D6E08"/>
    <w:rsid w:val="000E0574"/>
    <w:rsid w:val="000E0C55"/>
    <w:rsid w:val="000E1832"/>
    <w:rsid w:val="000E241B"/>
    <w:rsid w:val="000E2EDF"/>
    <w:rsid w:val="000E34B4"/>
    <w:rsid w:val="000E3934"/>
    <w:rsid w:val="000E4A5D"/>
    <w:rsid w:val="000E4DD0"/>
    <w:rsid w:val="000E4F58"/>
    <w:rsid w:val="000E50AB"/>
    <w:rsid w:val="000E6084"/>
    <w:rsid w:val="000E6C09"/>
    <w:rsid w:val="000E6F0E"/>
    <w:rsid w:val="000E771D"/>
    <w:rsid w:val="000E77DA"/>
    <w:rsid w:val="000F0051"/>
    <w:rsid w:val="000F0FED"/>
    <w:rsid w:val="000F187B"/>
    <w:rsid w:val="000F234C"/>
    <w:rsid w:val="000F3534"/>
    <w:rsid w:val="000F3BA6"/>
    <w:rsid w:val="000F3E96"/>
    <w:rsid w:val="000F413F"/>
    <w:rsid w:val="000F420F"/>
    <w:rsid w:val="000F536D"/>
    <w:rsid w:val="000F5436"/>
    <w:rsid w:val="000F64A1"/>
    <w:rsid w:val="000F6618"/>
    <w:rsid w:val="000F685A"/>
    <w:rsid w:val="000F6EEE"/>
    <w:rsid w:val="000F75FC"/>
    <w:rsid w:val="000F7675"/>
    <w:rsid w:val="000F7820"/>
    <w:rsid w:val="00100183"/>
    <w:rsid w:val="00101350"/>
    <w:rsid w:val="00101BCE"/>
    <w:rsid w:val="00101D68"/>
    <w:rsid w:val="001022F7"/>
    <w:rsid w:val="00102706"/>
    <w:rsid w:val="001028B2"/>
    <w:rsid w:val="00102AA0"/>
    <w:rsid w:val="00103006"/>
    <w:rsid w:val="001031D2"/>
    <w:rsid w:val="00103630"/>
    <w:rsid w:val="001038D4"/>
    <w:rsid w:val="00103E28"/>
    <w:rsid w:val="00104673"/>
    <w:rsid w:val="00104784"/>
    <w:rsid w:val="001052D3"/>
    <w:rsid w:val="001057D3"/>
    <w:rsid w:val="0010586E"/>
    <w:rsid w:val="00106B14"/>
    <w:rsid w:val="0010753D"/>
    <w:rsid w:val="0011005D"/>
    <w:rsid w:val="00112883"/>
    <w:rsid w:val="00112B73"/>
    <w:rsid w:val="00112EDD"/>
    <w:rsid w:val="00113861"/>
    <w:rsid w:val="00114171"/>
    <w:rsid w:val="00114278"/>
    <w:rsid w:val="00114DE0"/>
    <w:rsid w:val="00114F90"/>
    <w:rsid w:val="0011522E"/>
    <w:rsid w:val="0011533A"/>
    <w:rsid w:val="00115525"/>
    <w:rsid w:val="00115582"/>
    <w:rsid w:val="00115B21"/>
    <w:rsid w:val="00115FE9"/>
    <w:rsid w:val="00116957"/>
    <w:rsid w:val="00116B1D"/>
    <w:rsid w:val="00116C80"/>
    <w:rsid w:val="001174D8"/>
    <w:rsid w:val="00117651"/>
    <w:rsid w:val="001177F9"/>
    <w:rsid w:val="00117C2A"/>
    <w:rsid w:val="00117D3D"/>
    <w:rsid w:val="001201F9"/>
    <w:rsid w:val="001208E1"/>
    <w:rsid w:val="0012095D"/>
    <w:rsid w:val="0012098B"/>
    <w:rsid w:val="00120A80"/>
    <w:rsid w:val="00120D26"/>
    <w:rsid w:val="00121728"/>
    <w:rsid w:val="00121CE5"/>
    <w:rsid w:val="00122B7C"/>
    <w:rsid w:val="001238E4"/>
    <w:rsid w:val="00124970"/>
    <w:rsid w:val="00124CBE"/>
    <w:rsid w:val="00126CE7"/>
    <w:rsid w:val="00127002"/>
    <w:rsid w:val="00127ACA"/>
    <w:rsid w:val="00127AE5"/>
    <w:rsid w:val="00130478"/>
    <w:rsid w:val="00130D5B"/>
    <w:rsid w:val="00131BB0"/>
    <w:rsid w:val="00132D95"/>
    <w:rsid w:val="00132E21"/>
    <w:rsid w:val="00133182"/>
    <w:rsid w:val="0013339C"/>
    <w:rsid w:val="00133957"/>
    <w:rsid w:val="00133DBF"/>
    <w:rsid w:val="00133EEA"/>
    <w:rsid w:val="0013698D"/>
    <w:rsid w:val="00136BC5"/>
    <w:rsid w:val="001372E2"/>
    <w:rsid w:val="001375CF"/>
    <w:rsid w:val="00137984"/>
    <w:rsid w:val="0014068F"/>
    <w:rsid w:val="0014074B"/>
    <w:rsid w:val="00141028"/>
    <w:rsid w:val="00141BF7"/>
    <w:rsid w:val="00141D95"/>
    <w:rsid w:val="00141E64"/>
    <w:rsid w:val="001430F5"/>
    <w:rsid w:val="00143328"/>
    <w:rsid w:val="001434D6"/>
    <w:rsid w:val="00143C28"/>
    <w:rsid w:val="001454CB"/>
    <w:rsid w:val="00145941"/>
    <w:rsid w:val="0014667D"/>
    <w:rsid w:val="001467F7"/>
    <w:rsid w:val="0014765E"/>
    <w:rsid w:val="00147B29"/>
    <w:rsid w:val="00150114"/>
    <w:rsid w:val="00150ED7"/>
    <w:rsid w:val="001511B8"/>
    <w:rsid w:val="001519FC"/>
    <w:rsid w:val="001523D4"/>
    <w:rsid w:val="00153230"/>
    <w:rsid w:val="00154DE9"/>
    <w:rsid w:val="001561A1"/>
    <w:rsid w:val="0015702B"/>
    <w:rsid w:val="00160040"/>
    <w:rsid w:val="00161145"/>
    <w:rsid w:val="00161A72"/>
    <w:rsid w:val="00161C1E"/>
    <w:rsid w:val="00161CB8"/>
    <w:rsid w:val="00161F19"/>
    <w:rsid w:val="001622FF"/>
    <w:rsid w:val="00162523"/>
    <w:rsid w:val="00163B84"/>
    <w:rsid w:val="00163C47"/>
    <w:rsid w:val="0016429C"/>
    <w:rsid w:val="00164A9E"/>
    <w:rsid w:val="00164CD8"/>
    <w:rsid w:val="00164DE0"/>
    <w:rsid w:val="001652FF"/>
    <w:rsid w:val="00165F74"/>
    <w:rsid w:val="00166360"/>
    <w:rsid w:val="0016637C"/>
    <w:rsid w:val="0016653C"/>
    <w:rsid w:val="001666E3"/>
    <w:rsid w:val="001673AD"/>
    <w:rsid w:val="00167896"/>
    <w:rsid w:val="00167DB7"/>
    <w:rsid w:val="00170390"/>
    <w:rsid w:val="001705E0"/>
    <w:rsid w:val="00170E11"/>
    <w:rsid w:val="00170F9C"/>
    <w:rsid w:val="0017119E"/>
    <w:rsid w:val="0017256A"/>
    <w:rsid w:val="001725F6"/>
    <w:rsid w:val="00172DE8"/>
    <w:rsid w:val="00173786"/>
    <w:rsid w:val="00173B83"/>
    <w:rsid w:val="00174A38"/>
    <w:rsid w:val="001752B4"/>
    <w:rsid w:val="00175F27"/>
    <w:rsid w:val="001761A3"/>
    <w:rsid w:val="00176926"/>
    <w:rsid w:val="00176EE6"/>
    <w:rsid w:val="00176FB8"/>
    <w:rsid w:val="00177077"/>
    <w:rsid w:val="00177264"/>
    <w:rsid w:val="001772A7"/>
    <w:rsid w:val="00177409"/>
    <w:rsid w:val="00177FD5"/>
    <w:rsid w:val="001804C3"/>
    <w:rsid w:val="00180BEA"/>
    <w:rsid w:val="00180D22"/>
    <w:rsid w:val="00180EAD"/>
    <w:rsid w:val="0018142F"/>
    <w:rsid w:val="00182E30"/>
    <w:rsid w:val="00183983"/>
    <w:rsid w:val="00183F5B"/>
    <w:rsid w:val="00184DE1"/>
    <w:rsid w:val="001853AA"/>
    <w:rsid w:val="00185CA4"/>
    <w:rsid w:val="001872A0"/>
    <w:rsid w:val="0018746C"/>
    <w:rsid w:val="00190B2F"/>
    <w:rsid w:val="00190FB3"/>
    <w:rsid w:val="00191443"/>
    <w:rsid w:val="00191628"/>
    <w:rsid w:val="001917B0"/>
    <w:rsid w:val="001924DF"/>
    <w:rsid w:val="0019255E"/>
    <w:rsid w:val="001926A4"/>
    <w:rsid w:val="00193514"/>
    <w:rsid w:val="00193CEC"/>
    <w:rsid w:val="001941BF"/>
    <w:rsid w:val="00194D01"/>
    <w:rsid w:val="00195EF6"/>
    <w:rsid w:val="00195F27"/>
    <w:rsid w:val="00196538"/>
    <w:rsid w:val="00196F06"/>
    <w:rsid w:val="001A04A7"/>
    <w:rsid w:val="001A0926"/>
    <w:rsid w:val="001A0BAC"/>
    <w:rsid w:val="001A1ABA"/>
    <w:rsid w:val="001A1D62"/>
    <w:rsid w:val="001A1E4C"/>
    <w:rsid w:val="001A2697"/>
    <w:rsid w:val="001A2A1D"/>
    <w:rsid w:val="001A2BF2"/>
    <w:rsid w:val="001A2C8A"/>
    <w:rsid w:val="001A2E43"/>
    <w:rsid w:val="001A318C"/>
    <w:rsid w:val="001A37F8"/>
    <w:rsid w:val="001A46A6"/>
    <w:rsid w:val="001A4AE5"/>
    <w:rsid w:val="001A4BF4"/>
    <w:rsid w:val="001A64AB"/>
    <w:rsid w:val="001A6FEF"/>
    <w:rsid w:val="001A7123"/>
    <w:rsid w:val="001A777E"/>
    <w:rsid w:val="001A7F2B"/>
    <w:rsid w:val="001B0B45"/>
    <w:rsid w:val="001B0FFB"/>
    <w:rsid w:val="001B1C46"/>
    <w:rsid w:val="001B2DC7"/>
    <w:rsid w:val="001B34D5"/>
    <w:rsid w:val="001B3C7B"/>
    <w:rsid w:val="001B457C"/>
    <w:rsid w:val="001B4C0E"/>
    <w:rsid w:val="001B7137"/>
    <w:rsid w:val="001B7CD2"/>
    <w:rsid w:val="001B7D1C"/>
    <w:rsid w:val="001C012B"/>
    <w:rsid w:val="001C097A"/>
    <w:rsid w:val="001C11BE"/>
    <w:rsid w:val="001C12D3"/>
    <w:rsid w:val="001C18AB"/>
    <w:rsid w:val="001C2100"/>
    <w:rsid w:val="001C2C33"/>
    <w:rsid w:val="001C3A10"/>
    <w:rsid w:val="001C4411"/>
    <w:rsid w:val="001C4AAF"/>
    <w:rsid w:val="001C4CBA"/>
    <w:rsid w:val="001C51C0"/>
    <w:rsid w:val="001C58D8"/>
    <w:rsid w:val="001C5A21"/>
    <w:rsid w:val="001C5A4C"/>
    <w:rsid w:val="001C620D"/>
    <w:rsid w:val="001C6CA2"/>
    <w:rsid w:val="001C73A0"/>
    <w:rsid w:val="001C7868"/>
    <w:rsid w:val="001C7C9E"/>
    <w:rsid w:val="001D1793"/>
    <w:rsid w:val="001D1A8C"/>
    <w:rsid w:val="001D1E1F"/>
    <w:rsid w:val="001D2029"/>
    <w:rsid w:val="001D2A61"/>
    <w:rsid w:val="001D2C6F"/>
    <w:rsid w:val="001D2D3B"/>
    <w:rsid w:val="001D3463"/>
    <w:rsid w:val="001D35D6"/>
    <w:rsid w:val="001D3BB1"/>
    <w:rsid w:val="001D3D96"/>
    <w:rsid w:val="001D475F"/>
    <w:rsid w:val="001D48D1"/>
    <w:rsid w:val="001D5768"/>
    <w:rsid w:val="001D644E"/>
    <w:rsid w:val="001D6934"/>
    <w:rsid w:val="001D696E"/>
    <w:rsid w:val="001E0054"/>
    <w:rsid w:val="001E010B"/>
    <w:rsid w:val="001E06E7"/>
    <w:rsid w:val="001E0E72"/>
    <w:rsid w:val="001E1317"/>
    <w:rsid w:val="001E14C0"/>
    <w:rsid w:val="001E1EDC"/>
    <w:rsid w:val="001E1F19"/>
    <w:rsid w:val="001E21D8"/>
    <w:rsid w:val="001E28A2"/>
    <w:rsid w:val="001E2A7E"/>
    <w:rsid w:val="001E2C99"/>
    <w:rsid w:val="001E32C1"/>
    <w:rsid w:val="001E458B"/>
    <w:rsid w:val="001E5471"/>
    <w:rsid w:val="001E561D"/>
    <w:rsid w:val="001E5932"/>
    <w:rsid w:val="001E5C0F"/>
    <w:rsid w:val="001E5CD5"/>
    <w:rsid w:val="001E5F4A"/>
    <w:rsid w:val="001E6150"/>
    <w:rsid w:val="001E6545"/>
    <w:rsid w:val="001E6C06"/>
    <w:rsid w:val="001E7659"/>
    <w:rsid w:val="001E767D"/>
    <w:rsid w:val="001E7CF7"/>
    <w:rsid w:val="001F0473"/>
    <w:rsid w:val="001F0880"/>
    <w:rsid w:val="001F11FB"/>
    <w:rsid w:val="001F14EE"/>
    <w:rsid w:val="001F1696"/>
    <w:rsid w:val="001F2103"/>
    <w:rsid w:val="001F266B"/>
    <w:rsid w:val="001F443D"/>
    <w:rsid w:val="001F5103"/>
    <w:rsid w:val="001F55A2"/>
    <w:rsid w:val="001F5928"/>
    <w:rsid w:val="001F5A9F"/>
    <w:rsid w:val="001F7958"/>
    <w:rsid w:val="0020060E"/>
    <w:rsid w:val="002009A0"/>
    <w:rsid w:val="002022AF"/>
    <w:rsid w:val="00203327"/>
    <w:rsid w:val="0020378E"/>
    <w:rsid w:val="00203A67"/>
    <w:rsid w:val="00204197"/>
    <w:rsid w:val="002041BC"/>
    <w:rsid w:val="00205EAD"/>
    <w:rsid w:val="00206172"/>
    <w:rsid w:val="00206445"/>
    <w:rsid w:val="002064BA"/>
    <w:rsid w:val="00206649"/>
    <w:rsid w:val="00207588"/>
    <w:rsid w:val="00207F4B"/>
    <w:rsid w:val="0021067E"/>
    <w:rsid w:val="00210A97"/>
    <w:rsid w:val="002110CB"/>
    <w:rsid w:val="00211E97"/>
    <w:rsid w:val="00211F2A"/>
    <w:rsid w:val="002124A7"/>
    <w:rsid w:val="00213881"/>
    <w:rsid w:val="0021457E"/>
    <w:rsid w:val="00214B17"/>
    <w:rsid w:val="002157BB"/>
    <w:rsid w:val="00215E69"/>
    <w:rsid w:val="00215EDD"/>
    <w:rsid w:val="0021625B"/>
    <w:rsid w:val="00217309"/>
    <w:rsid w:val="00217AFB"/>
    <w:rsid w:val="00221BD5"/>
    <w:rsid w:val="002228D6"/>
    <w:rsid w:val="00222F93"/>
    <w:rsid w:val="00223039"/>
    <w:rsid w:val="00224E5C"/>
    <w:rsid w:val="00224EF6"/>
    <w:rsid w:val="002250EA"/>
    <w:rsid w:val="0022660C"/>
    <w:rsid w:val="00227783"/>
    <w:rsid w:val="00227C19"/>
    <w:rsid w:val="00227C65"/>
    <w:rsid w:val="00230772"/>
    <w:rsid w:val="00230D82"/>
    <w:rsid w:val="00231472"/>
    <w:rsid w:val="002315FB"/>
    <w:rsid w:val="002319EF"/>
    <w:rsid w:val="00231A9D"/>
    <w:rsid w:val="00231F63"/>
    <w:rsid w:val="002321F2"/>
    <w:rsid w:val="00232370"/>
    <w:rsid w:val="0023253D"/>
    <w:rsid w:val="00232550"/>
    <w:rsid w:val="00232EBB"/>
    <w:rsid w:val="00232EC6"/>
    <w:rsid w:val="00232F1F"/>
    <w:rsid w:val="00233085"/>
    <w:rsid w:val="00233391"/>
    <w:rsid w:val="00233F1B"/>
    <w:rsid w:val="00234017"/>
    <w:rsid w:val="0023406E"/>
    <w:rsid w:val="00234541"/>
    <w:rsid w:val="00234C49"/>
    <w:rsid w:val="00235285"/>
    <w:rsid w:val="00235429"/>
    <w:rsid w:val="00235529"/>
    <w:rsid w:val="00237E80"/>
    <w:rsid w:val="00240582"/>
    <w:rsid w:val="00240979"/>
    <w:rsid w:val="002414B7"/>
    <w:rsid w:val="00241B9E"/>
    <w:rsid w:val="00241E39"/>
    <w:rsid w:val="00242D25"/>
    <w:rsid w:val="00243B2F"/>
    <w:rsid w:val="00243F1A"/>
    <w:rsid w:val="002449A8"/>
    <w:rsid w:val="00244B26"/>
    <w:rsid w:val="00244F3E"/>
    <w:rsid w:val="002455C8"/>
    <w:rsid w:val="0024585F"/>
    <w:rsid w:val="002459C6"/>
    <w:rsid w:val="00245C2F"/>
    <w:rsid w:val="0024653F"/>
    <w:rsid w:val="0025013E"/>
    <w:rsid w:val="00251F57"/>
    <w:rsid w:val="0025230C"/>
    <w:rsid w:val="00252FDD"/>
    <w:rsid w:val="00253596"/>
    <w:rsid w:val="002539D6"/>
    <w:rsid w:val="00253F2B"/>
    <w:rsid w:val="002544C6"/>
    <w:rsid w:val="002552D4"/>
    <w:rsid w:val="00255FA8"/>
    <w:rsid w:val="0025600D"/>
    <w:rsid w:val="00256A04"/>
    <w:rsid w:val="002571F1"/>
    <w:rsid w:val="00261E41"/>
    <w:rsid w:val="00262121"/>
    <w:rsid w:val="00262338"/>
    <w:rsid w:val="0026334E"/>
    <w:rsid w:val="0026396E"/>
    <w:rsid w:val="00264F20"/>
    <w:rsid w:val="0026527C"/>
    <w:rsid w:val="00265C56"/>
    <w:rsid w:val="002666FD"/>
    <w:rsid w:val="0026690F"/>
    <w:rsid w:val="00266EB3"/>
    <w:rsid w:val="0027313F"/>
    <w:rsid w:val="00273F73"/>
    <w:rsid w:val="00274D5E"/>
    <w:rsid w:val="00274D9F"/>
    <w:rsid w:val="002752E0"/>
    <w:rsid w:val="0027681E"/>
    <w:rsid w:val="002770DE"/>
    <w:rsid w:val="0028024C"/>
    <w:rsid w:val="00280307"/>
    <w:rsid w:val="00280411"/>
    <w:rsid w:val="0028153A"/>
    <w:rsid w:val="00281EBF"/>
    <w:rsid w:val="00281FD3"/>
    <w:rsid w:val="0028212E"/>
    <w:rsid w:val="00282230"/>
    <w:rsid w:val="00282486"/>
    <w:rsid w:val="00283423"/>
    <w:rsid w:val="002850DF"/>
    <w:rsid w:val="00285730"/>
    <w:rsid w:val="002858D0"/>
    <w:rsid w:val="00285B60"/>
    <w:rsid w:val="00286CBE"/>
    <w:rsid w:val="00286DEB"/>
    <w:rsid w:val="00290883"/>
    <w:rsid w:val="00290CEE"/>
    <w:rsid w:val="00291CEC"/>
    <w:rsid w:val="00291EF7"/>
    <w:rsid w:val="00292093"/>
    <w:rsid w:val="0029236B"/>
    <w:rsid w:val="00292622"/>
    <w:rsid w:val="00292746"/>
    <w:rsid w:val="00292CEB"/>
    <w:rsid w:val="00293286"/>
    <w:rsid w:val="00293AB4"/>
    <w:rsid w:val="00294057"/>
    <w:rsid w:val="002941BD"/>
    <w:rsid w:val="002942FE"/>
    <w:rsid w:val="002944B3"/>
    <w:rsid w:val="0029485E"/>
    <w:rsid w:val="002948F4"/>
    <w:rsid w:val="00295BC8"/>
    <w:rsid w:val="00295F80"/>
    <w:rsid w:val="00295FA1"/>
    <w:rsid w:val="00296064"/>
    <w:rsid w:val="002962B8"/>
    <w:rsid w:val="002978DE"/>
    <w:rsid w:val="00297C45"/>
    <w:rsid w:val="002A21E7"/>
    <w:rsid w:val="002A243B"/>
    <w:rsid w:val="002A3028"/>
    <w:rsid w:val="002A384B"/>
    <w:rsid w:val="002A441C"/>
    <w:rsid w:val="002A49A1"/>
    <w:rsid w:val="002A4B36"/>
    <w:rsid w:val="002A55C8"/>
    <w:rsid w:val="002A6312"/>
    <w:rsid w:val="002A6727"/>
    <w:rsid w:val="002A6921"/>
    <w:rsid w:val="002A69B3"/>
    <w:rsid w:val="002A7121"/>
    <w:rsid w:val="002A713D"/>
    <w:rsid w:val="002A7DE4"/>
    <w:rsid w:val="002B0CCA"/>
    <w:rsid w:val="002B2698"/>
    <w:rsid w:val="002B29DB"/>
    <w:rsid w:val="002B2FA7"/>
    <w:rsid w:val="002B3050"/>
    <w:rsid w:val="002B38DE"/>
    <w:rsid w:val="002B3B27"/>
    <w:rsid w:val="002B3B88"/>
    <w:rsid w:val="002B44AC"/>
    <w:rsid w:val="002B46DE"/>
    <w:rsid w:val="002B48BD"/>
    <w:rsid w:val="002B4C6D"/>
    <w:rsid w:val="002B5598"/>
    <w:rsid w:val="002B5CBC"/>
    <w:rsid w:val="002B6B8C"/>
    <w:rsid w:val="002B7D35"/>
    <w:rsid w:val="002B7F80"/>
    <w:rsid w:val="002C1393"/>
    <w:rsid w:val="002C21C0"/>
    <w:rsid w:val="002C224F"/>
    <w:rsid w:val="002C2E35"/>
    <w:rsid w:val="002C35D1"/>
    <w:rsid w:val="002C3860"/>
    <w:rsid w:val="002C3E38"/>
    <w:rsid w:val="002C4431"/>
    <w:rsid w:val="002C4797"/>
    <w:rsid w:val="002C495C"/>
    <w:rsid w:val="002C506C"/>
    <w:rsid w:val="002C566E"/>
    <w:rsid w:val="002C5C46"/>
    <w:rsid w:val="002C5DC1"/>
    <w:rsid w:val="002C6211"/>
    <w:rsid w:val="002C637D"/>
    <w:rsid w:val="002C6C9D"/>
    <w:rsid w:val="002D13C1"/>
    <w:rsid w:val="002D20A1"/>
    <w:rsid w:val="002D20F9"/>
    <w:rsid w:val="002D2F26"/>
    <w:rsid w:val="002D31F2"/>
    <w:rsid w:val="002D33E0"/>
    <w:rsid w:val="002D35FA"/>
    <w:rsid w:val="002D3AB0"/>
    <w:rsid w:val="002D3E7D"/>
    <w:rsid w:val="002D44BC"/>
    <w:rsid w:val="002D52DE"/>
    <w:rsid w:val="002D577D"/>
    <w:rsid w:val="002D606B"/>
    <w:rsid w:val="002D7380"/>
    <w:rsid w:val="002D778C"/>
    <w:rsid w:val="002D780A"/>
    <w:rsid w:val="002D7AF7"/>
    <w:rsid w:val="002D7BC9"/>
    <w:rsid w:val="002E024A"/>
    <w:rsid w:val="002E04E0"/>
    <w:rsid w:val="002E0612"/>
    <w:rsid w:val="002E0619"/>
    <w:rsid w:val="002E06A2"/>
    <w:rsid w:val="002E07F8"/>
    <w:rsid w:val="002E0865"/>
    <w:rsid w:val="002E1C76"/>
    <w:rsid w:val="002E2B13"/>
    <w:rsid w:val="002E2DD7"/>
    <w:rsid w:val="002E33FF"/>
    <w:rsid w:val="002E36AB"/>
    <w:rsid w:val="002E37A9"/>
    <w:rsid w:val="002E39E8"/>
    <w:rsid w:val="002E3B02"/>
    <w:rsid w:val="002E3C69"/>
    <w:rsid w:val="002E4565"/>
    <w:rsid w:val="002E458B"/>
    <w:rsid w:val="002E5017"/>
    <w:rsid w:val="002E61F6"/>
    <w:rsid w:val="002E67BB"/>
    <w:rsid w:val="002E70A3"/>
    <w:rsid w:val="002E7A3D"/>
    <w:rsid w:val="002E7ADE"/>
    <w:rsid w:val="002F017D"/>
    <w:rsid w:val="002F1587"/>
    <w:rsid w:val="002F18BC"/>
    <w:rsid w:val="002F21C2"/>
    <w:rsid w:val="002F2536"/>
    <w:rsid w:val="002F335D"/>
    <w:rsid w:val="002F460A"/>
    <w:rsid w:val="002F5070"/>
    <w:rsid w:val="002F5746"/>
    <w:rsid w:val="002F578F"/>
    <w:rsid w:val="002F60FC"/>
    <w:rsid w:val="002F6257"/>
    <w:rsid w:val="002F7804"/>
    <w:rsid w:val="00300123"/>
    <w:rsid w:val="003003BB"/>
    <w:rsid w:val="00300AF9"/>
    <w:rsid w:val="00300E67"/>
    <w:rsid w:val="003015D4"/>
    <w:rsid w:val="003018CD"/>
    <w:rsid w:val="00301FD1"/>
    <w:rsid w:val="003025FE"/>
    <w:rsid w:val="00302CDF"/>
    <w:rsid w:val="00303A3F"/>
    <w:rsid w:val="00303E9D"/>
    <w:rsid w:val="00304918"/>
    <w:rsid w:val="00304BB6"/>
    <w:rsid w:val="00304D0C"/>
    <w:rsid w:val="003050E7"/>
    <w:rsid w:val="00305853"/>
    <w:rsid w:val="00305A45"/>
    <w:rsid w:val="00306084"/>
    <w:rsid w:val="00306168"/>
    <w:rsid w:val="0030628C"/>
    <w:rsid w:val="003064CB"/>
    <w:rsid w:val="00306B68"/>
    <w:rsid w:val="00307442"/>
    <w:rsid w:val="003103A7"/>
    <w:rsid w:val="0031110D"/>
    <w:rsid w:val="0031292B"/>
    <w:rsid w:val="00312A49"/>
    <w:rsid w:val="00312D17"/>
    <w:rsid w:val="00312E78"/>
    <w:rsid w:val="00313C7B"/>
    <w:rsid w:val="00314744"/>
    <w:rsid w:val="00315000"/>
    <w:rsid w:val="003151DA"/>
    <w:rsid w:val="00315931"/>
    <w:rsid w:val="00315FCA"/>
    <w:rsid w:val="00316561"/>
    <w:rsid w:val="0031732B"/>
    <w:rsid w:val="0031745A"/>
    <w:rsid w:val="00317BB2"/>
    <w:rsid w:val="003207B4"/>
    <w:rsid w:val="00320BF7"/>
    <w:rsid w:val="0032156B"/>
    <w:rsid w:val="00321DBA"/>
    <w:rsid w:val="003231CF"/>
    <w:rsid w:val="003237DC"/>
    <w:rsid w:val="003238D9"/>
    <w:rsid w:val="00324CC2"/>
    <w:rsid w:val="0032514D"/>
    <w:rsid w:val="00325191"/>
    <w:rsid w:val="0032545B"/>
    <w:rsid w:val="00325D72"/>
    <w:rsid w:val="00325EC7"/>
    <w:rsid w:val="00326272"/>
    <w:rsid w:val="0032658A"/>
    <w:rsid w:val="003265CE"/>
    <w:rsid w:val="00326852"/>
    <w:rsid w:val="00326D9D"/>
    <w:rsid w:val="00326E08"/>
    <w:rsid w:val="00326F32"/>
    <w:rsid w:val="00327015"/>
    <w:rsid w:val="00327246"/>
    <w:rsid w:val="003274E9"/>
    <w:rsid w:val="003275E2"/>
    <w:rsid w:val="003277C2"/>
    <w:rsid w:val="003303BE"/>
    <w:rsid w:val="00330466"/>
    <w:rsid w:val="003307B4"/>
    <w:rsid w:val="00330904"/>
    <w:rsid w:val="00330D74"/>
    <w:rsid w:val="0033230C"/>
    <w:rsid w:val="003326E2"/>
    <w:rsid w:val="00332A27"/>
    <w:rsid w:val="003332A5"/>
    <w:rsid w:val="00334166"/>
    <w:rsid w:val="003347AF"/>
    <w:rsid w:val="00334C00"/>
    <w:rsid w:val="003369AA"/>
    <w:rsid w:val="00336CED"/>
    <w:rsid w:val="00336E78"/>
    <w:rsid w:val="00336F52"/>
    <w:rsid w:val="00337900"/>
    <w:rsid w:val="00337A68"/>
    <w:rsid w:val="00337C4C"/>
    <w:rsid w:val="00337EC6"/>
    <w:rsid w:val="003405CD"/>
    <w:rsid w:val="00340A74"/>
    <w:rsid w:val="00340C5B"/>
    <w:rsid w:val="00340E37"/>
    <w:rsid w:val="003414F8"/>
    <w:rsid w:val="00341702"/>
    <w:rsid w:val="003418A6"/>
    <w:rsid w:val="0034206A"/>
    <w:rsid w:val="003428C4"/>
    <w:rsid w:val="00342A17"/>
    <w:rsid w:val="00343349"/>
    <w:rsid w:val="003435BD"/>
    <w:rsid w:val="00343BB3"/>
    <w:rsid w:val="00343C5D"/>
    <w:rsid w:val="00343E9B"/>
    <w:rsid w:val="00344184"/>
    <w:rsid w:val="0034447D"/>
    <w:rsid w:val="00344D3A"/>
    <w:rsid w:val="00344D5E"/>
    <w:rsid w:val="0034547D"/>
    <w:rsid w:val="0034577F"/>
    <w:rsid w:val="00345BAC"/>
    <w:rsid w:val="00346906"/>
    <w:rsid w:val="00346949"/>
    <w:rsid w:val="00346F39"/>
    <w:rsid w:val="00347426"/>
    <w:rsid w:val="00347545"/>
    <w:rsid w:val="00350DC4"/>
    <w:rsid w:val="00351263"/>
    <w:rsid w:val="003514B9"/>
    <w:rsid w:val="0035166C"/>
    <w:rsid w:val="00351812"/>
    <w:rsid w:val="00351FB3"/>
    <w:rsid w:val="00353ABC"/>
    <w:rsid w:val="0035429A"/>
    <w:rsid w:val="003554EE"/>
    <w:rsid w:val="00355630"/>
    <w:rsid w:val="003561FA"/>
    <w:rsid w:val="0035625B"/>
    <w:rsid w:val="00356887"/>
    <w:rsid w:val="003569F3"/>
    <w:rsid w:val="00356A93"/>
    <w:rsid w:val="00356BC5"/>
    <w:rsid w:val="00356D6F"/>
    <w:rsid w:val="003578C0"/>
    <w:rsid w:val="00357D5B"/>
    <w:rsid w:val="00357FC4"/>
    <w:rsid w:val="003600FB"/>
    <w:rsid w:val="0036057C"/>
    <w:rsid w:val="003607FF"/>
    <w:rsid w:val="00360E7D"/>
    <w:rsid w:val="00360EA4"/>
    <w:rsid w:val="0036281B"/>
    <w:rsid w:val="003631C2"/>
    <w:rsid w:val="00363387"/>
    <w:rsid w:val="003633D3"/>
    <w:rsid w:val="00363F67"/>
    <w:rsid w:val="00364089"/>
    <w:rsid w:val="00364A5D"/>
    <w:rsid w:val="00366570"/>
    <w:rsid w:val="00366EA0"/>
    <w:rsid w:val="00367281"/>
    <w:rsid w:val="00367D27"/>
    <w:rsid w:val="00370171"/>
    <w:rsid w:val="0037059D"/>
    <w:rsid w:val="00370BBF"/>
    <w:rsid w:val="003712DD"/>
    <w:rsid w:val="0037131E"/>
    <w:rsid w:val="003729E1"/>
    <w:rsid w:val="003730FB"/>
    <w:rsid w:val="003731FF"/>
    <w:rsid w:val="00373ADD"/>
    <w:rsid w:val="00373B69"/>
    <w:rsid w:val="00375B43"/>
    <w:rsid w:val="003762E8"/>
    <w:rsid w:val="003767C4"/>
    <w:rsid w:val="003768B4"/>
    <w:rsid w:val="00376B2F"/>
    <w:rsid w:val="00376C1D"/>
    <w:rsid w:val="00376EAD"/>
    <w:rsid w:val="00377948"/>
    <w:rsid w:val="00380917"/>
    <w:rsid w:val="003817C0"/>
    <w:rsid w:val="003818A2"/>
    <w:rsid w:val="00382D21"/>
    <w:rsid w:val="00383001"/>
    <w:rsid w:val="0038309C"/>
    <w:rsid w:val="00383395"/>
    <w:rsid w:val="00385FE8"/>
    <w:rsid w:val="003864EF"/>
    <w:rsid w:val="00386AD8"/>
    <w:rsid w:val="003873D7"/>
    <w:rsid w:val="003873E9"/>
    <w:rsid w:val="00387ED0"/>
    <w:rsid w:val="00387F20"/>
    <w:rsid w:val="003900D9"/>
    <w:rsid w:val="00390434"/>
    <w:rsid w:val="00390606"/>
    <w:rsid w:val="00390926"/>
    <w:rsid w:val="00390E90"/>
    <w:rsid w:val="003912A3"/>
    <w:rsid w:val="00391A4F"/>
    <w:rsid w:val="00391CBA"/>
    <w:rsid w:val="0039204B"/>
    <w:rsid w:val="003921D5"/>
    <w:rsid w:val="00392AAF"/>
    <w:rsid w:val="003932B6"/>
    <w:rsid w:val="0039412F"/>
    <w:rsid w:val="003945B7"/>
    <w:rsid w:val="003946F6"/>
    <w:rsid w:val="00395355"/>
    <w:rsid w:val="003953BF"/>
    <w:rsid w:val="00395ECA"/>
    <w:rsid w:val="00397485"/>
    <w:rsid w:val="00397A9C"/>
    <w:rsid w:val="003A058C"/>
    <w:rsid w:val="003A0AF5"/>
    <w:rsid w:val="003A121A"/>
    <w:rsid w:val="003A2372"/>
    <w:rsid w:val="003A3129"/>
    <w:rsid w:val="003A3739"/>
    <w:rsid w:val="003A47AF"/>
    <w:rsid w:val="003A4EBF"/>
    <w:rsid w:val="003A51C5"/>
    <w:rsid w:val="003A5A30"/>
    <w:rsid w:val="003A603F"/>
    <w:rsid w:val="003A6BCD"/>
    <w:rsid w:val="003A6F85"/>
    <w:rsid w:val="003A71E2"/>
    <w:rsid w:val="003A73E9"/>
    <w:rsid w:val="003A76F7"/>
    <w:rsid w:val="003A7CAB"/>
    <w:rsid w:val="003B08E6"/>
    <w:rsid w:val="003B0BF8"/>
    <w:rsid w:val="003B1E6A"/>
    <w:rsid w:val="003B22A2"/>
    <w:rsid w:val="003B2384"/>
    <w:rsid w:val="003B482E"/>
    <w:rsid w:val="003B4F71"/>
    <w:rsid w:val="003B5AE7"/>
    <w:rsid w:val="003B5D84"/>
    <w:rsid w:val="003B6145"/>
    <w:rsid w:val="003B667E"/>
    <w:rsid w:val="003C084C"/>
    <w:rsid w:val="003C123E"/>
    <w:rsid w:val="003C1561"/>
    <w:rsid w:val="003C2126"/>
    <w:rsid w:val="003C3558"/>
    <w:rsid w:val="003C365B"/>
    <w:rsid w:val="003C4E54"/>
    <w:rsid w:val="003C5483"/>
    <w:rsid w:val="003C5762"/>
    <w:rsid w:val="003C60E6"/>
    <w:rsid w:val="003C7441"/>
    <w:rsid w:val="003D0299"/>
    <w:rsid w:val="003D090B"/>
    <w:rsid w:val="003D15B5"/>
    <w:rsid w:val="003D16D3"/>
    <w:rsid w:val="003D1EA9"/>
    <w:rsid w:val="003D1EC7"/>
    <w:rsid w:val="003D27A1"/>
    <w:rsid w:val="003D29EA"/>
    <w:rsid w:val="003D2B81"/>
    <w:rsid w:val="003D36E5"/>
    <w:rsid w:val="003D3983"/>
    <w:rsid w:val="003D39DE"/>
    <w:rsid w:val="003D3FC3"/>
    <w:rsid w:val="003D51EB"/>
    <w:rsid w:val="003D56C1"/>
    <w:rsid w:val="003D5CA3"/>
    <w:rsid w:val="003D5F88"/>
    <w:rsid w:val="003D6252"/>
    <w:rsid w:val="003D6485"/>
    <w:rsid w:val="003D6583"/>
    <w:rsid w:val="003D79B0"/>
    <w:rsid w:val="003E07D9"/>
    <w:rsid w:val="003E0BD3"/>
    <w:rsid w:val="003E0FD7"/>
    <w:rsid w:val="003E1023"/>
    <w:rsid w:val="003E1DAA"/>
    <w:rsid w:val="003E1E1E"/>
    <w:rsid w:val="003E2874"/>
    <w:rsid w:val="003E3580"/>
    <w:rsid w:val="003E3A89"/>
    <w:rsid w:val="003E41F4"/>
    <w:rsid w:val="003E420C"/>
    <w:rsid w:val="003E5896"/>
    <w:rsid w:val="003E6624"/>
    <w:rsid w:val="003E662A"/>
    <w:rsid w:val="003E66C9"/>
    <w:rsid w:val="003E73D7"/>
    <w:rsid w:val="003F0081"/>
    <w:rsid w:val="003F0A27"/>
    <w:rsid w:val="003F0C7C"/>
    <w:rsid w:val="003F1557"/>
    <w:rsid w:val="003F1E0F"/>
    <w:rsid w:val="003F1F74"/>
    <w:rsid w:val="003F2440"/>
    <w:rsid w:val="003F2EDE"/>
    <w:rsid w:val="003F30D6"/>
    <w:rsid w:val="003F31A7"/>
    <w:rsid w:val="003F362E"/>
    <w:rsid w:val="003F36CB"/>
    <w:rsid w:val="003F3C15"/>
    <w:rsid w:val="003F3EF9"/>
    <w:rsid w:val="003F44BB"/>
    <w:rsid w:val="003F48F5"/>
    <w:rsid w:val="003F49A5"/>
    <w:rsid w:val="003F5115"/>
    <w:rsid w:val="003F5364"/>
    <w:rsid w:val="003F55D9"/>
    <w:rsid w:val="003F6224"/>
    <w:rsid w:val="003F65E9"/>
    <w:rsid w:val="003F7479"/>
    <w:rsid w:val="00400358"/>
    <w:rsid w:val="00400D81"/>
    <w:rsid w:val="004012D6"/>
    <w:rsid w:val="00401CA0"/>
    <w:rsid w:val="0040244D"/>
    <w:rsid w:val="004027AF"/>
    <w:rsid w:val="00402D92"/>
    <w:rsid w:val="00402F34"/>
    <w:rsid w:val="004031FE"/>
    <w:rsid w:val="00403216"/>
    <w:rsid w:val="0040335F"/>
    <w:rsid w:val="00403B26"/>
    <w:rsid w:val="00404499"/>
    <w:rsid w:val="004046A0"/>
    <w:rsid w:val="00404884"/>
    <w:rsid w:val="004058C0"/>
    <w:rsid w:val="0040655A"/>
    <w:rsid w:val="004068A9"/>
    <w:rsid w:val="00406D77"/>
    <w:rsid w:val="00407540"/>
    <w:rsid w:val="00407888"/>
    <w:rsid w:val="00407AED"/>
    <w:rsid w:val="00407C5B"/>
    <w:rsid w:val="00411116"/>
    <w:rsid w:val="00411196"/>
    <w:rsid w:val="00411F37"/>
    <w:rsid w:val="0041380D"/>
    <w:rsid w:val="004139D0"/>
    <w:rsid w:val="00413A7B"/>
    <w:rsid w:val="00413C9B"/>
    <w:rsid w:val="00413DA9"/>
    <w:rsid w:val="0041497B"/>
    <w:rsid w:val="00414CC4"/>
    <w:rsid w:val="004153A4"/>
    <w:rsid w:val="004156AF"/>
    <w:rsid w:val="0041571A"/>
    <w:rsid w:val="004163D8"/>
    <w:rsid w:val="00416DCF"/>
    <w:rsid w:val="00417203"/>
    <w:rsid w:val="0041763F"/>
    <w:rsid w:val="00417897"/>
    <w:rsid w:val="00417D87"/>
    <w:rsid w:val="00420255"/>
    <w:rsid w:val="00420B00"/>
    <w:rsid w:val="004213CE"/>
    <w:rsid w:val="004216F5"/>
    <w:rsid w:val="00422120"/>
    <w:rsid w:val="00422860"/>
    <w:rsid w:val="00422928"/>
    <w:rsid w:val="00423CDA"/>
    <w:rsid w:val="00423E6C"/>
    <w:rsid w:val="004247C7"/>
    <w:rsid w:val="00424CE2"/>
    <w:rsid w:val="0042505D"/>
    <w:rsid w:val="004251C9"/>
    <w:rsid w:val="00425A87"/>
    <w:rsid w:val="00425F0B"/>
    <w:rsid w:val="00426335"/>
    <w:rsid w:val="0042699C"/>
    <w:rsid w:val="00427958"/>
    <w:rsid w:val="0043047E"/>
    <w:rsid w:val="00430EFD"/>
    <w:rsid w:val="00431F05"/>
    <w:rsid w:val="00432257"/>
    <w:rsid w:val="0043225E"/>
    <w:rsid w:val="004331E9"/>
    <w:rsid w:val="00433B4D"/>
    <w:rsid w:val="00434749"/>
    <w:rsid w:val="00435570"/>
    <w:rsid w:val="00437D35"/>
    <w:rsid w:val="004405D3"/>
    <w:rsid w:val="00440773"/>
    <w:rsid w:val="00441506"/>
    <w:rsid w:val="004421E6"/>
    <w:rsid w:val="00442590"/>
    <w:rsid w:val="00442915"/>
    <w:rsid w:val="0044291A"/>
    <w:rsid w:val="004429A8"/>
    <w:rsid w:val="00442DFF"/>
    <w:rsid w:val="004430CC"/>
    <w:rsid w:val="004434E7"/>
    <w:rsid w:val="004449E7"/>
    <w:rsid w:val="00444ECA"/>
    <w:rsid w:val="00445837"/>
    <w:rsid w:val="00445BEE"/>
    <w:rsid w:val="00445DDB"/>
    <w:rsid w:val="00445F7E"/>
    <w:rsid w:val="00447365"/>
    <w:rsid w:val="00450B16"/>
    <w:rsid w:val="004514AD"/>
    <w:rsid w:val="00452BD0"/>
    <w:rsid w:val="00452C91"/>
    <w:rsid w:val="00453506"/>
    <w:rsid w:val="0045366C"/>
    <w:rsid w:val="004559B1"/>
    <w:rsid w:val="0045691D"/>
    <w:rsid w:val="00457720"/>
    <w:rsid w:val="00460043"/>
    <w:rsid w:val="00460752"/>
    <w:rsid w:val="00460B94"/>
    <w:rsid w:val="004619EE"/>
    <w:rsid w:val="00461E44"/>
    <w:rsid w:val="00461FE0"/>
    <w:rsid w:val="0046299D"/>
    <w:rsid w:val="004637CB"/>
    <w:rsid w:val="00463878"/>
    <w:rsid w:val="004638FE"/>
    <w:rsid w:val="00464241"/>
    <w:rsid w:val="0046438E"/>
    <w:rsid w:val="0046492B"/>
    <w:rsid w:val="00464954"/>
    <w:rsid w:val="00464F59"/>
    <w:rsid w:val="00465551"/>
    <w:rsid w:val="004656BA"/>
    <w:rsid w:val="00465D5A"/>
    <w:rsid w:val="00465FF8"/>
    <w:rsid w:val="00466294"/>
    <w:rsid w:val="00466BBD"/>
    <w:rsid w:val="00466DD0"/>
    <w:rsid w:val="00467A52"/>
    <w:rsid w:val="00470A1E"/>
    <w:rsid w:val="00470E30"/>
    <w:rsid w:val="00471296"/>
    <w:rsid w:val="00471587"/>
    <w:rsid w:val="00472FBC"/>
    <w:rsid w:val="004730C3"/>
    <w:rsid w:val="00473100"/>
    <w:rsid w:val="00474067"/>
    <w:rsid w:val="0047454D"/>
    <w:rsid w:val="00475416"/>
    <w:rsid w:val="00475508"/>
    <w:rsid w:val="004756C5"/>
    <w:rsid w:val="00475D8B"/>
    <w:rsid w:val="0047643E"/>
    <w:rsid w:val="00476E32"/>
    <w:rsid w:val="00477A57"/>
    <w:rsid w:val="00477C3A"/>
    <w:rsid w:val="00481BD0"/>
    <w:rsid w:val="0048254E"/>
    <w:rsid w:val="0048288C"/>
    <w:rsid w:val="00482F9F"/>
    <w:rsid w:val="00483071"/>
    <w:rsid w:val="00483515"/>
    <w:rsid w:val="0048378B"/>
    <w:rsid w:val="00483F73"/>
    <w:rsid w:val="0048411C"/>
    <w:rsid w:val="00484167"/>
    <w:rsid w:val="0048469B"/>
    <w:rsid w:val="00484F80"/>
    <w:rsid w:val="004859DB"/>
    <w:rsid w:val="00485DA6"/>
    <w:rsid w:val="004860C9"/>
    <w:rsid w:val="00486ECC"/>
    <w:rsid w:val="004872E3"/>
    <w:rsid w:val="00487EE3"/>
    <w:rsid w:val="004905C4"/>
    <w:rsid w:val="004905EE"/>
    <w:rsid w:val="00490D39"/>
    <w:rsid w:val="00490EC9"/>
    <w:rsid w:val="00491652"/>
    <w:rsid w:val="004918B8"/>
    <w:rsid w:val="004926A4"/>
    <w:rsid w:val="004926BC"/>
    <w:rsid w:val="004934DF"/>
    <w:rsid w:val="0049465F"/>
    <w:rsid w:val="00495473"/>
    <w:rsid w:val="00495D06"/>
    <w:rsid w:val="00495ED8"/>
    <w:rsid w:val="00496108"/>
    <w:rsid w:val="004962D8"/>
    <w:rsid w:val="004971DD"/>
    <w:rsid w:val="004978E5"/>
    <w:rsid w:val="004A03B6"/>
    <w:rsid w:val="004A1629"/>
    <w:rsid w:val="004A172E"/>
    <w:rsid w:val="004A19DA"/>
    <w:rsid w:val="004A225D"/>
    <w:rsid w:val="004A296B"/>
    <w:rsid w:val="004A375A"/>
    <w:rsid w:val="004A3EBF"/>
    <w:rsid w:val="004A41DD"/>
    <w:rsid w:val="004A4961"/>
    <w:rsid w:val="004A6E35"/>
    <w:rsid w:val="004A7F36"/>
    <w:rsid w:val="004B0590"/>
    <w:rsid w:val="004B0A1A"/>
    <w:rsid w:val="004B1715"/>
    <w:rsid w:val="004B17A6"/>
    <w:rsid w:val="004B3C56"/>
    <w:rsid w:val="004B42C0"/>
    <w:rsid w:val="004B44D7"/>
    <w:rsid w:val="004B4512"/>
    <w:rsid w:val="004B4748"/>
    <w:rsid w:val="004B4CAC"/>
    <w:rsid w:val="004B610F"/>
    <w:rsid w:val="004B6401"/>
    <w:rsid w:val="004B698F"/>
    <w:rsid w:val="004B6BF9"/>
    <w:rsid w:val="004B7680"/>
    <w:rsid w:val="004B7C53"/>
    <w:rsid w:val="004B7F96"/>
    <w:rsid w:val="004C0054"/>
    <w:rsid w:val="004C073C"/>
    <w:rsid w:val="004C0B6D"/>
    <w:rsid w:val="004C1560"/>
    <w:rsid w:val="004C1BB5"/>
    <w:rsid w:val="004C258D"/>
    <w:rsid w:val="004C2A63"/>
    <w:rsid w:val="004C31DF"/>
    <w:rsid w:val="004C3B5B"/>
    <w:rsid w:val="004C45EB"/>
    <w:rsid w:val="004C4A23"/>
    <w:rsid w:val="004C59CC"/>
    <w:rsid w:val="004C5D3F"/>
    <w:rsid w:val="004C6034"/>
    <w:rsid w:val="004C67BC"/>
    <w:rsid w:val="004C67E9"/>
    <w:rsid w:val="004C7576"/>
    <w:rsid w:val="004C78A6"/>
    <w:rsid w:val="004D00F4"/>
    <w:rsid w:val="004D0CA9"/>
    <w:rsid w:val="004D0CAF"/>
    <w:rsid w:val="004D13BC"/>
    <w:rsid w:val="004D143F"/>
    <w:rsid w:val="004D1539"/>
    <w:rsid w:val="004D189D"/>
    <w:rsid w:val="004D18D7"/>
    <w:rsid w:val="004D2777"/>
    <w:rsid w:val="004D331D"/>
    <w:rsid w:val="004D5D8A"/>
    <w:rsid w:val="004D5E61"/>
    <w:rsid w:val="004D65A9"/>
    <w:rsid w:val="004D7332"/>
    <w:rsid w:val="004E010D"/>
    <w:rsid w:val="004E034B"/>
    <w:rsid w:val="004E04C2"/>
    <w:rsid w:val="004E0586"/>
    <w:rsid w:val="004E0737"/>
    <w:rsid w:val="004E0815"/>
    <w:rsid w:val="004E09A8"/>
    <w:rsid w:val="004E0A68"/>
    <w:rsid w:val="004E1A05"/>
    <w:rsid w:val="004E1B01"/>
    <w:rsid w:val="004E1B6F"/>
    <w:rsid w:val="004E27D6"/>
    <w:rsid w:val="004E2E07"/>
    <w:rsid w:val="004E49A9"/>
    <w:rsid w:val="004E4CC8"/>
    <w:rsid w:val="004E513E"/>
    <w:rsid w:val="004E586A"/>
    <w:rsid w:val="004E59DF"/>
    <w:rsid w:val="004E63B4"/>
    <w:rsid w:val="004E68D7"/>
    <w:rsid w:val="004F0872"/>
    <w:rsid w:val="004F150A"/>
    <w:rsid w:val="004F1D79"/>
    <w:rsid w:val="004F314E"/>
    <w:rsid w:val="004F5138"/>
    <w:rsid w:val="004F5213"/>
    <w:rsid w:val="004F53BD"/>
    <w:rsid w:val="004F54FF"/>
    <w:rsid w:val="004F5F50"/>
    <w:rsid w:val="004F6A07"/>
    <w:rsid w:val="004F786E"/>
    <w:rsid w:val="004F7883"/>
    <w:rsid w:val="004F7D00"/>
    <w:rsid w:val="00500ABB"/>
    <w:rsid w:val="00500B96"/>
    <w:rsid w:val="0050167A"/>
    <w:rsid w:val="00501A73"/>
    <w:rsid w:val="00502CD5"/>
    <w:rsid w:val="005037A9"/>
    <w:rsid w:val="005037C5"/>
    <w:rsid w:val="0050532C"/>
    <w:rsid w:val="005061DC"/>
    <w:rsid w:val="00506526"/>
    <w:rsid w:val="00506659"/>
    <w:rsid w:val="00506C7F"/>
    <w:rsid w:val="00507E73"/>
    <w:rsid w:val="0051000C"/>
    <w:rsid w:val="005101FA"/>
    <w:rsid w:val="00510505"/>
    <w:rsid w:val="00510D20"/>
    <w:rsid w:val="005112E1"/>
    <w:rsid w:val="00511A3B"/>
    <w:rsid w:val="00511AF7"/>
    <w:rsid w:val="0051242B"/>
    <w:rsid w:val="005124F4"/>
    <w:rsid w:val="00512715"/>
    <w:rsid w:val="00512A91"/>
    <w:rsid w:val="00513554"/>
    <w:rsid w:val="00513845"/>
    <w:rsid w:val="00513862"/>
    <w:rsid w:val="0051394B"/>
    <w:rsid w:val="005142DB"/>
    <w:rsid w:val="005145C5"/>
    <w:rsid w:val="00514F65"/>
    <w:rsid w:val="00515230"/>
    <w:rsid w:val="005158C6"/>
    <w:rsid w:val="00515F72"/>
    <w:rsid w:val="00516624"/>
    <w:rsid w:val="005166B7"/>
    <w:rsid w:val="005167D3"/>
    <w:rsid w:val="005169A2"/>
    <w:rsid w:val="00516E94"/>
    <w:rsid w:val="0052097D"/>
    <w:rsid w:val="005209FF"/>
    <w:rsid w:val="00520FA4"/>
    <w:rsid w:val="00521E1C"/>
    <w:rsid w:val="00521F66"/>
    <w:rsid w:val="005221E4"/>
    <w:rsid w:val="0052364E"/>
    <w:rsid w:val="00523FEC"/>
    <w:rsid w:val="00524535"/>
    <w:rsid w:val="00524E56"/>
    <w:rsid w:val="00524EFE"/>
    <w:rsid w:val="0052689E"/>
    <w:rsid w:val="00527DC1"/>
    <w:rsid w:val="00530336"/>
    <w:rsid w:val="0053044D"/>
    <w:rsid w:val="00531E62"/>
    <w:rsid w:val="005320A6"/>
    <w:rsid w:val="00532194"/>
    <w:rsid w:val="00532A5F"/>
    <w:rsid w:val="00532EC7"/>
    <w:rsid w:val="00533DD7"/>
    <w:rsid w:val="005341E6"/>
    <w:rsid w:val="005347C0"/>
    <w:rsid w:val="0053522E"/>
    <w:rsid w:val="005352DB"/>
    <w:rsid w:val="0053590F"/>
    <w:rsid w:val="00535C81"/>
    <w:rsid w:val="00536171"/>
    <w:rsid w:val="00536566"/>
    <w:rsid w:val="0053685C"/>
    <w:rsid w:val="00536AD9"/>
    <w:rsid w:val="00536FD7"/>
    <w:rsid w:val="00537144"/>
    <w:rsid w:val="005374F6"/>
    <w:rsid w:val="005378F0"/>
    <w:rsid w:val="00537B2A"/>
    <w:rsid w:val="00540194"/>
    <w:rsid w:val="0054151C"/>
    <w:rsid w:val="00541688"/>
    <w:rsid w:val="00541889"/>
    <w:rsid w:val="00541B7B"/>
    <w:rsid w:val="00541F09"/>
    <w:rsid w:val="005424EA"/>
    <w:rsid w:val="00542B4C"/>
    <w:rsid w:val="00544D15"/>
    <w:rsid w:val="00544E84"/>
    <w:rsid w:val="0054523F"/>
    <w:rsid w:val="00545880"/>
    <w:rsid w:val="00545E1C"/>
    <w:rsid w:val="0054752C"/>
    <w:rsid w:val="0054767D"/>
    <w:rsid w:val="00547E71"/>
    <w:rsid w:val="0055128D"/>
    <w:rsid w:val="0055132C"/>
    <w:rsid w:val="00551E85"/>
    <w:rsid w:val="00552106"/>
    <w:rsid w:val="00552390"/>
    <w:rsid w:val="00552F6D"/>
    <w:rsid w:val="00553580"/>
    <w:rsid w:val="00553DA3"/>
    <w:rsid w:val="00554124"/>
    <w:rsid w:val="005545F5"/>
    <w:rsid w:val="00555101"/>
    <w:rsid w:val="0055529F"/>
    <w:rsid w:val="00555B6D"/>
    <w:rsid w:val="00555CF7"/>
    <w:rsid w:val="005564B6"/>
    <w:rsid w:val="00556961"/>
    <w:rsid w:val="00556A5B"/>
    <w:rsid w:val="00556B6D"/>
    <w:rsid w:val="00556EA9"/>
    <w:rsid w:val="00557171"/>
    <w:rsid w:val="00557731"/>
    <w:rsid w:val="00557F2A"/>
    <w:rsid w:val="00560A1C"/>
    <w:rsid w:val="00562716"/>
    <w:rsid w:val="005627E1"/>
    <w:rsid w:val="00562B86"/>
    <w:rsid w:val="0056349A"/>
    <w:rsid w:val="00564C82"/>
    <w:rsid w:val="00564F19"/>
    <w:rsid w:val="00565018"/>
    <w:rsid w:val="0056549E"/>
    <w:rsid w:val="005662B6"/>
    <w:rsid w:val="00567E3B"/>
    <w:rsid w:val="00570F6A"/>
    <w:rsid w:val="00571183"/>
    <w:rsid w:val="005712B0"/>
    <w:rsid w:val="00571420"/>
    <w:rsid w:val="00571D4C"/>
    <w:rsid w:val="00572133"/>
    <w:rsid w:val="00572F95"/>
    <w:rsid w:val="005732A1"/>
    <w:rsid w:val="00574B8E"/>
    <w:rsid w:val="00577180"/>
    <w:rsid w:val="0057724F"/>
    <w:rsid w:val="0057746E"/>
    <w:rsid w:val="0057747F"/>
    <w:rsid w:val="0057766E"/>
    <w:rsid w:val="00577B5D"/>
    <w:rsid w:val="00577CBE"/>
    <w:rsid w:val="00580145"/>
    <w:rsid w:val="00580573"/>
    <w:rsid w:val="0058135F"/>
    <w:rsid w:val="005818AC"/>
    <w:rsid w:val="00581988"/>
    <w:rsid w:val="0058221A"/>
    <w:rsid w:val="00582C35"/>
    <w:rsid w:val="005832D9"/>
    <w:rsid w:val="00584BAE"/>
    <w:rsid w:val="00584C43"/>
    <w:rsid w:val="00584CF1"/>
    <w:rsid w:val="00585075"/>
    <w:rsid w:val="005863E2"/>
    <w:rsid w:val="00586962"/>
    <w:rsid w:val="00586B45"/>
    <w:rsid w:val="00586D7B"/>
    <w:rsid w:val="0058700C"/>
    <w:rsid w:val="005876DC"/>
    <w:rsid w:val="00587A41"/>
    <w:rsid w:val="00587D80"/>
    <w:rsid w:val="0059017F"/>
    <w:rsid w:val="00590882"/>
    <w:rsid w:val="00590DC5"/>
    <w:rsid w:val="00592090"/>
    <w:rsid w:val="005920C1"/>
    <w:rsid w:val="00593473"/>
    <w:rsid w:val="0059359B"/>
    <w:rsid w:val="00593A92"/>
    <w:rsid w:val="00594080"/>
    <w:rsid w:val="0059427D"/>
    <w:rsid w:val="005946B6"/>
    <w:rsid w:val="00594CCB"/>
    <w:rsid w:val="00595144"/>
    <w:rsid w:val="005961FB"/>
    <w:rsid w:val="00596491"/>
    <w:rsid w:val="005A1163"/>
    <w:rsid w:val="005A214A"/>
    <w:rsid w:val="005A230C"/>
    <w:rsid w:val="005A242F"/>
    <w:rsid w:val="005A3C6B"/>
    <w:rsid w:val="005A4594"/>
    <w:rsid w:val="005A4C4A"/>
    <w:rsid w:val="005A4D6D"/>
    <w:rsid w:val="005A5544"/>
    <w:rsid w:val="005A5563"/>
    <w:rsid w:val="005A5821"/>
    <w:rsid w:val="005A66EF"/>
    <w:rsid w:val="005A69F8"/>
    <w:rsid w:val="005A6C06"/>
    <w:rsid w:val="005A6D6F"/>
    <w:rsid w:val="005A7DFC"/>
    <w:rsid w:val="005A7F22"/>
    <w:rsid w:val="005B0557"/>
    <w:rsid w:val="005B058A"/>
    <w:rsid w:val="005B0E54"/>
    <w:rsid w:val="005B1C3B"/>
    <w:rsid w:val="005B216A"/>
    <w:rsid w:val="005B336C"/>
    <w:rsid w:val="005B3BA3"/>
    <w:rsid w:val="005B3C11"/>
    <w:rsid w:val="005B47EE"/>
    <w:rsid w:val="005B4826"/>
    <w:rsid w:val="005B4D6D"/>
    <w:rsid w:val="005B4F8F"/>
    <w:rsid w:val="005B5B02"/>
    <w:rsid w:val="005B5E84"/>
    <w:rsid w:val="005B629D"/>
    <w:rsid w:val="005B77B3"/>
    <w:rsid w:val="005B7BB3"/>
    <w:rsid w:val="005C00DA"/>
    <w:rsid w:val="005C01F0"/>
    <w:rsid w:val="005C0830"/>
    <w:rsid w:val="005C0A63"/>
    <w:rsid w:val="005C0FF9"/>
    <w:rsid w:val="005C29F2"/>
    <w:rsid w:val="005C3408"/>
    <w:rsid w:val="005C37CD"/>
    <w:rsid w:val="005C3F33"/>
    <w:rsid w:val="005C4352"/>
    <w:rsid w:val="005C4AFC"/>
    <w:rsid w:val="005C4FA2"/>
    <w:rsid w:val="005C5AE7"/>
    <w:rsid w:val="005C5C03"/>
    <w:rsid w:val="005C61B8"/>
    <w:rsid w:val="005C6822"/>
    <w:rsid w:val="005C6B21"/>
    <w:rsid w:val="005C78F5"/>
    <w:rsid w:val="005D0664"/>
    <w:rsid w:val="005D0C3E"/>
    <w:rsid w:val="005D0D22"/>
    <w:rsid w:val="005D1644"/>
    <w:rsid w:val="005D190C"/>
    <w:rsid w:val="005D1D13"/>
    <w:rsid w:val="005D1DE7"/>
    <w:rsid w:val="005D2137"/>
    <w:rsid w:val="005D2344"/>
    <w:rsid w:val="005D2362"/>
    <w:rsid w:val="005D248F"/>
    <w:rsid w:val="005D34AC"/>
    <w:rsid w:val="005D372C"/>
    <w:rsid w:val="005D46F0"/>
    <w:rsid w:val="005D495A"/>
    <w:rsid w:val="005D5AA2"/>
    <w:rsid w:val="005D61FE"/>
    <w:rsid w:val="005D6228"/>
    <w:rsid w:val="005D6819"/>
    <w:rsid w:val="005D76B7"/>
    <w:rsid w:val="005E00F8"/>
    <w:rsid w:val="005E0880"/>
    <w:rsid w:val="005E0DAC"/>
    <w:rsid w:val="005E0F19"/>
    <w:rsid w:val="005E1968"/>
    <w:rsid w:val="005E1C90"/>
    <w:rsid w:val="005E2850"/>
    <w:rsid w:val="005E3A75"/>
    <w:rsid w:val="005E5280"/>
    <w:rsid w:val="005E6724"/>
    <w:rsid w:val="005E6A70"/>
    <w:rsid w:val="005E6AC3"/>
    <w:rsid w:val="005E71C1"/>
    <w:rsid w:val="005E7F3C"/>
    <w:rsid w:val="005F2430"/>
    <w:rsid w:val="005F3BC8"/>
    <w:rsid w:val="005F549E"/>
    <w:rsid w:val="005F5B41"/>
    <w:rsid w:val="005F5B43"/>
    <w:rsid w:val="005F5E1D"/>
    <w:rsid w:val="005F619D"/>
    <w:rsid w:val="005F6723"/>
    <w:rsid w:val="005F6E6C"/>
    <w:rsid w:val="00600B06"/>
    <w:rsid w:val="006011B2"/>
    <w:rsid w:val="006014E4"/>
    <w:rsid w:val="006018C6"/>
    <w:rsid w:val="00601B81"/>
    <w:rsid w:val="0060205A"/>
    <w:rsid w:val="00602E31"/>
    <w:rsid w:val="00602E4D"/>
    <w:rsid w:val="00602F33"/>
    <w:rsid w:val="0060476A"/>
    <w:rsid w:val="0060486C"/>
    <w:rsid w:val="00604CD8"/>
    <w:rsid w:val="00605D55"/>
    <w:rsid w:val="006063FF"/>
    <w:rsid w:val="00610E65"/>
    <w:rsid w:val="00611A7E"/>
    <w:rsid w:val="00611D8A"/>
    <w:rsid w:val="00612187"/>
    <w:rsid w:val="006122BE"/>
    <w:rsid w:val="00612D15"/>
    <w:rsid w:val="006137D5"/>
    <w:rsid w:val="00615169"/>
    <w:rsid w:val="00615410"/>
    <w:rsid w:val="0061605A"/>
    <w:rsid w:val="00616945"/>
    <w:rsid w:val="00616A54"/>
    <w:rsid w:val="00617ADF"/>
    <w:rsid w:val="00617B6C"/>
    <w:rsid w:val="00617D8F"/>
    <w:rsid w:val="00617DBB"/>
    <w:rsid w:val="0062042D"/>
    <w:rsid w:val="006207E2"/>
    <w:rsid w:val="00621709"/>
    <w:rsid w:val="006218CC"/>
    <w:rsid w:val="00621ED9"/>
    <w:rsid w:val="00622B79"/>
    <w:rsid w:val="00622C55"/>
    <w:rsid w:val="006231D7"/>
    <w:rsid w:val="0062337F"/>
    <w:rsid w:val="00623970"/>
    <w:rsid w:val="00624CB1"/>
    <w:rsid w:val="00624F79"/>
    <w:rsid w:val="006253DE"/>
    <w:rsid w:val="006259DD"/>
    <w:rsid w:val="00625E35"/>
    <w:rsid w:val="00625E65"/>
    <w:rsid w:val="00626846"/>
    <w:rsid w:val="00626B00"/>
    <w:rsid w:val="00627137"/>
    <w:rsid w:val="006272A0"/>
    <w:rsid w:val="00627853"/>
    <w:rsid w:val="00627FC3"/>
    <w:rsid w:val="006302ED"/>
    <w:rsid w:val="00630401"/>
    <w:rsid w:val="00630583"/>
    <w:rsid w:val="00630BD5"/>
    <w:rsid w:val="00631583"/>
    <w:rsid w:val="0063197F"/>
    <w:rsid w:val="00631F4B"/>
    <w:rsid w:val="006332DF"/>
    <w:rsid w:val="00635867"/>
    <w:rsid w:val="00635B92"/>
    <w:rsid w:val="00635D93"/>
    <w:rsid w:val="00636530"/>
    <w:rsid w:val="006372BE"/>
    <w:rsid w:val="006376E8"/>
    <w:rsid w:val="00637ECF"/>
    <w:rsid w:val="0064006E"/>
    <w:rsid w:val="006403B9"/>
    <w:rsid w:val="00640BEC"/>
    <w:rsid w:val="00640DB7"/>
    <w:rsid w:val="00641266"/>
    <w:rsid w:val="006413CF"/>
    <w:rsid w:val="0064184E"/>
    <w:rsid w:val="006419FC"/>
    <w:rsid w:val="006427AC"/>
    <w:rsid w:val="006428D1"/>
    <w:rsid w:val="00642A3E"/>
    <w:rsid w:val="006437F9"/>
    <w:rsid w:val="006439A2"/>
    <w:rsid w:val="00643BCC"/>
    <w:rsid w:val="006447CC"/>
    <w:rsid w:val="00644DC2"/>
    <w:rsid w:val="006454CA"/>
    <w:rsid w:val="00645601"/>
    <w:rsid w:val="00646C65"/>
    <w:rsid w:val="00647852"/>
    <w:rsid w:val="00647B11"/>
    <w:rsid w:val="00647D41"/>
    <w:rsid w:val="0065081B"/>
    <w:rsid w:val="0065111B"/>
    <w:rsid w:val="006516FF"/>
    <w:rsid w:val="006527F7"/>
    <w:rsid w:val="00652F56"/>
    <w:rsid w:val="006532F8"/>
    <w:rsid w:val="0065344E"/>
    <w:rsid w:val="006537A1"/>
    <w:rsid w:val="00653C2E"/>
    <w:rsid w:val="0065467F"/>
    <w:rsid w:val="00654FB0"/>
    <w:rsid w:val="006557C8"/>
    <w:rsid w:val="00655B2A"/>
    <w:rsid w:val="00656A9E"/>
    <w:rsid w:val="0065708B"/>
    <w:rsid w:val="0065773A"/>
    <w:rsid w:val="006579C7"/>
    <w:rsid w:val="00660AEE"/>
    <w:rsid w:val="00660FCA"/>
    <w:rsid w:val="00661657"/>
    <w:rsid w:val="00663447"/>
    <w:rsid w:val="00663571"/>
    <w:rsid w:val="00663819"/>
    <w:rsid w:val="00663BA8"/>
    <w:rsid w:val="00663C67"/>
    <w:rsid w:val="00663DB7"/>
    <w:rsid w:val="006643CC"/>
    <w:rsid w:val="006645F3"/>
    <w:rsid w:val="0066473D"/>
    <w:rsid w:val="00664790"/>
    <w:rsid w:val="00664925"/>
    <w:rsid w:val="00666041"/>
    <w:rsid w:val="00666704"/>
    <w:rsid w:val="00666BB9"/>
    <w:rsid w:val="006671CD"/>
    <w:rsid w:val="00670E94"/>
    <w:rsid w:val="0067198B"/>
    <w:rsid w:val="00671B38"/>
    <w:rsid w:val="00673324"/>
    <w:rsid w:val="00673747"/>
    <w:rsid w:val="00674DE8"/>
    <w:rsid w:val="00674FC4"/>
    <w:rsid w:val="00675536"/>
    <w:rsid w:val="00675DFF"/>
    <w:rsid w:val="006760DE"/>
    <w:rsid w:val="006763DA"/>
    <w:rsid w:val="006767D6"/>
    <w:rsid w:val="00676A5C"/>
    <w:rsid w:val="00676C3F"/>
    <w:rsid w:val="00677C04"/>
    <w:rsid w:val="00680105"/>
    <w:rsid w:val="00680680"/>
    <w:rsid w:val="006815C2"/>
    <w:rsid w:val="00683119"/>
    <w:rsid w:val="0068382E"/>
    <w:rsid w:val="00683E6D"/>
    <w:rsid w:val="0068686E"/>
    <w:rsid w:val="00687081"/>
    <w:rsid w:val="006903AA"/>
    <w:rsid w:val="006914B2"/>
    <w:rsid w:val="00691C77"/>
    <w:rsid w:val="00692159"/>
    <w:rsid w:val="006922AD"/>
    <w:rsid w:val="006924A2"/>
    <w:rsid w:val="0069382F"/>
    <w:rsid w:val="0069492A"/>
    <w:rsid w:val="0069557B"/>
    <w:rsid w:val="006956AF"/>
    <w:rsid w:val="0069599A"/>
    <w:rsid w:val="00696068"/>
    <w:rsid w:val="0069655B"/>
    <w:rsid w:val="00696B60"/>
    <w:rsid w:val="006972D6"/>
    <w:rsid w:val="00697850"/>
    <w:rsid w:val="00697A64"/>
    <w:rsid w:val="00697A78"/>
    <w:rsid w:val="006A03E6"/>
    <w:rsid w:val="006A042A"/>
    <w:rsid w:val="006A0831"/>
    <w:rsid w:val="006A0D85"/>
    <w:rsid w:val="006A33BC"/>
    <w:rsid w:val="006A3AA1"/>
    <w:rsid w:val="006A3FB8"/>
    <w:rsid w:val="006A5BED"/>
    <w:rsid w:val="006A6D98"/>
    <w:rsid w:val="006A7341"/>
    <w:rsid w:val="006A754F"/>
    <w:rsid w:val="006A7E54"/>
    <w:rsid w:val="006B0BD7"/>
    <w:rsid w:val="006B115B"/>
    <w:rsid w:val="006B1623"/>
    <w:rsid w:val="006B1741"/>
    <w:rsid w:val="006B1FFD"/>
    <w:rsid w:val="006B218A"/>
    <w:rsid w:val="006B262A"/>
    <w:rsid w:val="006B2EB7"/>
    <w:rsid w:val="006B3547"/>
    <w:rsid w:val="006B3B23"/>
    <w:rsid w:val="006B4C36"/>
    <w:rsid w:val="006B5F7A"/>
    <w:rsid w:val="006B61F0"/>
    <w:rsid w:val="006B690F"/>
    <w:rsid w:val="006B694B"/>
    <w:rsid w:val="006B6C11"/>
    <w:rsid w:val="006B6C7D"/>
    <w:rsid w:val="006B6EE8"/>
    <w:rsid w:val="006B715A"/>
    <w:rsid w:val="006B72E6"/>
    <w:rsid w:val="006B75AD"/>
    <w:rsid w:val="006C05A3"/>
    <w:rsid w:val="006C0E44"/>
    <w:rsid w:val="006C1C31"/>
    <w:rsid w:val="006C221B"/>
    <w:rsid w:val="006C2925"/>
    <w:rsid w:val="006C2D0B"/>
    <w:rsid w:val="006C3553"/>
    <w:rsid w:val="006C3DF4"/>
    <w:rsid w:val="006C4573"/>
    <w:rsid w:val="006C497E"/>
    <w:rsid w:val="006C4A6C"/>
    <w:rsid w:val="006C4B8A"/>
    <w:rsid w:val="006C4FD5"/>
    <w:rsid w:val="006C5BFA"/>
    <w:rsid w:val="006C5CDE"/>
    <w:rsid w:val="006C5D2D"/>
    <w:rsid w:val="006C6548"/>
    <w:rsid w:val="006C69EB"/>
    <w:rsid w:val="006C6E4F"/>
    <w:rsid w:val="006C764C"/>
    <w:rsid w:val="006C7782"/>
    <w:rsid w:val="006D0410"/>
    <w:rsid w:val="006D0CFE"/>
    <w:rsid w:val="006D14DC"/>
    <w:rsid w:val="006D1E86"/>
    <w:rsid w:val="006D211F"/>
    <w:rsid w:val="006D2B6B"/>
    <w:rsid w:val="006D2F72"/>
    <w:rsid w:val="006D3AD0"/>
    <w:rsid w:val="006D44B8"/>
    <w:rsid w:val="006D4DA9"/>
    <w:rsid w:val="006D4E81"/>
    <w:rsid w:val="006D5AB1"/>
    <w:rsid w:val="006D637A"/>
    <w:rsid w:val="006D67A3"/>
    <w:rsid w:val="006D6BE4"/>
    <w:rsid w:val="006D6C04"/>
    <w:rsid w:val="006D6DAA"/>
    <w:rsid w:val="006D6F04"/>
    <w:rsid w:val="006D6F0B"/>
    <w:rsid w:val="006D7313"/>
    <w:rsid w:val="006D7419"/>
    <w:rsid w:val="006D7BAA"/>
    <w:rsid w:val="006E046C"/>
    <w:rsid w:val="006E08BF"/>
    <w:rsid w:val="006E1314"/>
    <w:rsid w:val="006E1603"/>
    <w:rsid w:val="006E1817"/>
    <w:rsid w:val="006E3503"/>
    <w:rsid w:val="006E367C"/>
    <w:rsid w:val="006E509F"/>
    <w:rsid w:val="006E55A1"/>
    <w:rsid w:val="006E5680"/>
    <w:rsid w:val="006E58C9"/>
    <w:rsid w:val="006E5A85"/>
    <w:rsid w:val="006E6226"/>
    <w:rsid w:val="006E6430"/>
    <w:rsid w:val="006E654A"/>
    <w:rsid w:val="006E688A"/>
    <w:rsid w:val="006E6D6D"/>
    <w:rsid w:val="006E73FC"/>
    <w:rsid w:val="006E743F"/>
    <w:rsid w:val="006E778F"/>
    <w:rsid w:val="006E7C2E"/>
    <w:rsid w:val="006F04FA"/>
    <w:rsid w:val="006F08FA"/>
    <w:rsid w:val="006F14C9"/>
    <w:rsid w:val="006F1512"/>
    <w:rsid w:val="006F17A9"/>
    <w:rsid w:val="006F2428"/>
    <w:rsid w:val="006F2C20"/>
    <w:rsid w:val="006F3101"/>
    <w:rsid w:val="006F3291"/>
    <w:rsid w:val="006F38C3"/>
    <w:rsid w:val="006F4426"/>
    <w:rsid w:val="006F4976"/>
    <w:rsid w:val="006F5922"/>
    <w:rsid w:val="006F5F45"/>
    <w:rsid w:val="006F6A9E"/>
    <w:rsid w:val="006F72BE"/>
    <w:rsid w:val="006F7A7E"/>
    <w:rsid w:val="006F7AC6"/>
    <w:rsid w:val="006F7ED0"/>
    <w:rsid w:val="00700BD7"/>
    <w:rsid w:val="00700DD3"/>
    <w:rsid w:val="007014A1"/>
    <w:rsid w:val="0070180F"/>
    <w:rsid w:val="00701B44"/>
    <w:rsid w:val="00701C23"/>
    <w:rsid w:val="007024A6"/>
    <w:rsid w:val="00702A9C"/>
    <w:rsid w:val="00702ADD"/>
    <w:rsid w:val="00702C47"/>
    <w:rsid w:val="00703E0A"/>
    <w:rsid w:val="007044CF"/>
    <w:rsid w:val="00704FCD"/>
    <w:rsid w:val="007054AD"/>
    <w:rsid w:val="007057E5"/>
    <w:rsid w:val="00706463"/>
    <w:rsid w:val="007066C8"/>
    <w:rsid w:val="0070675A"/>
    <w:rsid w:val="00706EAB"/>
    <w:rsid w:val="00706FD7"/>
    <w:rsid w:val="00710C68"/>
    <w:rsid w:val="00710D77"/>
    <w:rsid w:val="00711811"/>
    <w:rsid w:val="007119B9"/>
    <w:rsid w:val="00711AD7"/>
    <w:rsid w:val="007124AC"/>
    <w:rsid w:val="00712972"/>
    <w:rsid w:val="00712C50"/>
    <w:rsid w:val="007132A7"/>
    <w:rsid w:val="00714BF9"/>
    <w:rsid w:val="00714D58"/>
    <w:rsid w:val="00714D6D"/>
    <w:rsid w:val="007151B2"/>
    <w:rsid w:val="0071538E"/>
    <w:rsid w:val="007156DF"/>
    <w:rsid w:val="00715CED"/>
    <w:rsid w:val="007167FC"/>
    <w:rsid w:val="007179E0"/>
    <w:rsid w:val="00717CC8"/>
    <w:rsid w:val="00717E7C"/>
    <w:rsid w:val="00720AE8"/>
    <w:rsid w:val="0072206A"/>
    <w:rsid w:val="007222AE"/>
    <w:rsid w:val="007229A7"/>
    <w:rsid w:val="00723BE1"/>
    <w:rsid w:val="007250ED"/>
    <w:rsid w:val="0072528B"/>
    <w:rsid w:val="007254E1"/>
    <w:rsid w:val="007270DA"/>
    <w:rsid w:val="00727EC6"/>
    <w:rsid w:val="00730940"/>
    <w:rsid w:val="00730AC8"/>
    <w:rsid w:val="00730BE0"/>
    <w:rsid w:val="00730FB8"/>
    <w:rsid w:val="007310F8"/>
    <w:rsid w:val="0073135A"/>
    <w:rsid w:val="00731685"/>
    <w:rsid w:val="00731E66"/>
    <w:rsid w:val="007321D8"/>
    <w:rsid w:val="007328B2"/>
    <w:rsid w:val="00732D17"/>
    <w:rsid w:val="0073462B"/>
    <w:rsid w:val="00735C74"/>
    <w:rsid w:val="00736656"/>
    <w:rsid w:val="00736760"/>
    <w:rsid w:val="007377D5"/>
    <w:rsid w:val="007400E0"/>
    <w:rsid w:val="00740C3B"/>
    <w:rsid w:val="007410A1"/>
    <w:rsid w:val="00741288"/>
    <w:rsid w:val="007412BC"/>
    <w:rsid w:val="007413D2"/>
    <w:rsid w:val="00741C35"/>
    <w:rsid w:val="00741C46"/>
    <w:rsid w:val="007424D9"/>
    <w:rsid w:val="00742B9D"/>
    <w:rsid w:val="007430ED"/>
    <w:rsid w:val="007437CD"/>
    <w:rsid w:val="00743CC7"/>
    <w:rsid w:val="007441C3"/>
    <w:rsid w:val="0074450C"/>
    <w:rsid w:val="00744A69"/>
    <w:rsid w:val="00744FE7"/>
    <w:rsid w:val="00744FF9"/>
    <w:rsid w:val="007456D2"/>
    <w:rsid w:val="007456DF"/>
    <w:rsid w:val="007456E9"/>
    <w:rsid w:val="007463C1"/>
    <w:rsid w:val="00746A3D"/>
    <w:rsid w:val="00746CD4"/>
    <w:rsid w:val="007475A4"/>
    <w:rsid w:val="00747B5C"/>
    <w:rsid w:val="0075014F"/>
    <w:rsid w:val="007502F4"/>
    <w:rsid w:val="00751E81"/>
    <w:rsid w:val="00752C4B"/>
    <w:rsid w:val="007532FC"/>
    <w:rsid w:val="00753A12"/>
    <w:rsid w:val="00753E37"/>
    <w:rsid w:val="00753F68"/>
    <w:rsid w:val="00754020"/>
    <w:rsid w:val="007555AE"/>
    <w:rsid w:val="007563BD"/>
    <w:rsid w:val="00756748"/>
    <w:rsid w:val="007568EC"/>
    <w:rsid w:val="00756E34"/>
    <w:rsid w:val="00756F4B"/>
    <w:rsid w:val="007579DA"/>
    <w:rsid w:val="00757A67"/>
    <w:rsid w:val="007607B5"/>
    <w:rsid w:val="00760ED3"/>
    <w:rsid w:val="00760F78"/>
    <w:rsid w:val="00761110"/>
    <w:rsid w:val="0076116B"/>
    <w:rsid w:val="00761207"/>
    <w:rsid w:val="00761635"/>
    <w:rsid w:val="00761B87"/>
    <w:rsid w:val="00761F75"/>
    <w:rsid w:val="00762979"/>
    <w:rsid w:val="00763081"/>
    <w:rsid w:val="007635FA"/>
    <w:rsid w:val="007637FC"/>
    <w:rsid w:val="0076386F"/>
    <w:rsid w:val="007638EF"/>
    <w:rsid w:val="00763AB2"/>
    <w:rsid w:val="007640B4"/>
    <w:rsid w:val="00764493"/>
    <w:rsid w:val="00764685"/>
    <w:rsid w:val="00764C65"/>
    <w:rsid w:val="00764D91"/>
    <w:rsid w:val="00765240"/>
    <w:rsid w:val="00765A17"/>
    <w:rsid w:val="00766163"/>
    <w:rsid w:val="00766824"/>
    <w:rsid w:val="00766BC3"/>
    <w:rsid w:val="00766DAD"/>
    <w:rsid w:val="00767967"/>
    <w:rsid w:val="00767A3E"/>
    <w:rsid w:val="00770674"/>
    <w:rsid w:val="00770A15"/>
    <w:rsid w:val="00770F09"/>
    <w:rsid w:val="00771616"/>
    <w:rsid w:val="00771992"/>
    <w:rsid w:val="00771C47"/>
    <w:rsid w:val="007725D5"/>
    <w:rsid w:val="0077295F"/>
    <w:rsid w:val="00772D18"/>
    <w:rsid w:val="00773078"/>
    <w:rsid w:val="00774ACD"/>
    <w:rsid w:val="0077510A"/>
    <w:rsid w:val="00775F76"/>
    <w:rsid w:val="00776F91"/>
    <w:rsid w:val="00777598"/>
    <w:rsid w:val="0077793E"/>
    <w:rsid w:val="00777AC0"/>
    <w:rsid w:val="00777B77"/>
    <w:rsid w:val="00780063"/>
    <w:rsid w:val="00780FD0"/>
    <w:rsid w:val="00781554"/>
    <w:rsid w:val="00781916"/>
    <w:rsid w:val="00781A80"/>
    <w:rsid w:val="00781A89"/>
    <w:rsid w:val="0078246F"/>
    <w:rsid w:val="00782F51"/>
    <w:rsid w:val="00784525"/>
    <w:rsid w:val="00784593"/>
    <w:rsid w:val="00784967"/>
    <w:rsid w:val="00784CD0"/>
    <w:rsid w:val="00786076"/>
    <w:rsid w:val="00786995"/>
    <w:rsid w:val="00786AD0"/>
    <w:rsid w:val="00787693"/>
    <w:rsid w:val="00790058"/>
    <w:rsid w:val="00790239"/>
    <w:rsid w:val="007903B6"/>
    <w:rsid w:val="00790464"/>
    <w:rsid w:val="0079048A"/>
    <w:rsid w:val="007904CA"/>
    <w:rsid w:val="0079084F"/>
    <w:rsid w:val="0079107F"/>
    <w:rsid w:val="007924DB"/>
    <w:rsid w:val="0079253D"/>
    <w:rsid w:val="007927DC"/>
    <w:rsid w:val="00793752"/>
    <w:rsid w:val="00795516"/>
    <w:rsid w:val="00795CC3"/>
    <w:rsid w:val="007A0514"/>
    <w:rsid w:val="007A11E1"/>
    <w:rsid w:val="007A1469"/>
    <w:rsid w:val="007A1978"/>
    <w:rsid w:val="007A1ED0"/>
    <w:rsid w:val="007A302B"/>
    <w:rsid w:val="007A357E"/>
    <w:rsid w:val="007A358E"/>
    <w:rsid w:val="007A3936"/>
    <w:rsid w:val="007A39D2"/>
    <w:rsid w:val="007A4AE2"/>
    <w:rsid w:val="007A4ED9"/>
    <w:rsid w:val="007A58CF"/>
    <w:rsid w:val="007A7009"/>
    <w:rsid w:val="007A7039"/>
    <w:rsid w:val="007A7614"/>
    <w:rsid w:val="007B039E"/>
    <w:rsid w:val="007B04E9"/>
    <w:rsid w:val="007B07C0"/>
    <w:rsid w:val="007B0A76"/>
    <w:rsid w:val="007B14C5"/>
    <w:rsid w:val="007B1605"/>
    <w:rsid w:val="007B1AF5"/>
    <w:rsid w:val="007B20D9"/>
    <w:rsid w:val="007B229F"/>
    <w:rsid w:val="007B2802"/>
    <w:rsid w:val="007B3898"/>
    <w:rsid w:val="007B4BE7"/>
    <w:rsid w:val="007B539D"/>
    <w:rsid w:val="007B5778"/>
    <w:rsid w:val="007B66F1"/>
    <w:rsid w:val="007B6987"/>
    <w:rsid w:val="007C0153"/>
    <w:rsid w:val="007C063B"/>
    <w:rsid w:val="007C0FCA"/>
    <w:rsid w:val="007C10EA"/>
    <w:rsid w:val="007C117C"/>
    <w:rsid w:val="007C2535"/>
    <w:rsid w:val="007C25F6"/>
    <w:rsid w:val="007C270D"/>
    <w:rsid w:val="007C27B1"/>
    <w:rsid w:val="007C2CE4"/>
    <w:rsid w:val="007C2FD9"/>
    <w:rsid w:val="007C3EE8"/>
    <w:rsid w:val="007C40DF"/>
    <w:rsid w:val="007C51B0"/>
    <w:rsid w:val="007C5E1D"/>
    <w:rsid w:val="007C68BB"/>
    <w:rsid w:val="007C7431"/>
    <w:rsid w:val="007C7686"/>
    <w:rsid w:val="007C7E28"/>
    <w:rsid w:val="007D03D9"/>
    <w:rsid w:val="007D070F"/>
    <w:rsid w:val="007D09C8"/>
    <w:rsid w:val="007D0D87"/>
    <w:rsid w:val="007D0F0F"/>
    <w:rsid w:val="007D1ABE"/>
    <w:rsid w:val="007D1DE4"/>
    <w:rsid w:val="007D2BB2"/>
    <w:rsid w:val="007D3DC5"/>
    <w:rsid w:val="007D417C"/>
    <w:rsid w:val="007D62F4"/>
    <w:rsid w:val="007D6D71"/>
    <w:rsid w:val="007E0874"/>
    <w:rsid w:val="007E0E6F"/>
    <w:rsid w:val="007E14F8"/>
    <w:rsid w:val="007E1C0A"/>
    <w:rsid w:val="007E1C72"/>
    <w:rsid w:val="007E1D1F"/>
    <w:rsid w:val="007E2224"/>
    <w:rsid w:val="007E242E"/>
    <w:rsid w:val="007E2B15"/>
    <w:rsid w:val="007E3257"/>
    <w:rsid w:val="007E4362"/>
    <w:rsid w:val="007E49D2"/>
    <w:rsid w:val="007E4A09"/>
    <w:rsid w:val="007E555B"/>
    <w:rsid w:val="007E5D0C"/>
    <w:rsid w:val="007E5EAF"/>
    <w:rsid w:val="007E6787"/>
    <w:rsid w:val="007E7F6B"/>
    <w:rsid w:val="007F08F6"/>
    <w:rsid w:val="007F266A"/>
    <w:rsid w:val="007F3017"/>
    <w:rsid w:val="007F4B90"/>
    <w:rsid w:val="007F589B"/>
    <w:rsid w:val="007F5E12"/>
    <w:rsid w:val="007F711C"/>
    <w:rsid w:val="00800124"/>
    <w:rsid w:val="00800695"/>
    <w:rsid w:val="00800CA2"/>
    <w:rsid w:val="008016AE"/>
    <w:rsid w:val="00801993"/>
    <w:rsid w:val="00801A6E"/>
    <w:rsid w:val="00801C3A"/>
    <w:rsid w:val="00801EDD"/>
    <w:rsid w:val="00801FAE"/>
    <w:rsid w:val="00802341"/>
    <w:rsid w:val="00802628"/>
    <w:rsid w:val="0080390D"/>
    <w:rsid w:val="0080433B"/>
    <w:rsid w:val="008048FD"/>
    <w:rsid w:val="008050E6"/>
    <w:rsid w:val="0080510D"/>
    <w:rsid w:val="008056F7"/>
    <w:rsid w:val="00805F19"/>
    <w:rsid w:val="0080601C"/>
    <w:rsid w:val="00806184"/>
    <w:rsid w:val="00806315"/>
    <w:rsid w:val="00806490"/>
    <w:rsid w:val="008074DE"/>
    <w:rsid w:val="0080761E"/>
    <w:rsid w:val="00807A14"/>
    <w:rsid w:val="00807A85"/>
    <w:rsid w:val="00807AFF"/>
    <w:rsid w:val="00807EE6"/>
    <w:rsid w:val="008112BE"/>
    <w:rsid w:val="00811BDC"/>
    <w:rsid w:val="00811CEF"/>
    <w:rsid w:val="00811D49"/>
    <w:rsid w:val="008121B1"/>
    <w:rsid w:val="0081290D"/>
    <w:rsid w:val="008129B5"/>
    <w:rsid w:val="00813083"/>
    <w:rsid w:val="008140F5"/>
    <w:rsid w:val="008143FD"/>
    <w:rsid w:val="00814BFD"/>
    <w:rsid w:val="00815193"/>
    <w:rsid w:val="008153B0"/>
    <w:rsid w:val="00815987"/>
    <w:rsid w:val="0081644D"/>
    <w:rsid w:val="008174BE"/>
    <w:rsid w:val="0081770D"/>
    <w:rsid w:val="00817BF2"/>
    <w:rsid w:val="00820311"/>
    <w:rsid w:val="00821584"/>
    <w:rsid w:val="00821DCC"/>
    <w:rsid w:val="008237F3"/>
    <w:rsid w:val="00823D41"/>
    <w:rsid w:val="00823E1E"/>
    <w:rsid w:val="0082534F"/>
    <w:rsid w:val="008256CA"/>
    <w:rsid w:val="00825AAE"/>
    <w:rsid w:val="00825AC6"/>
    <w:rsid w:val="00825FEA"/>
    <w:rsid w:val="008271F9"/>
    <w:rsid w:val="00827767"/>
    <w:rsid w:val="0083112E"/>
    <w:rsid w:val="008324C4"/>
    <w:rsid w:val="00832AD0"/>
    <w:rsid w:val="00833693"/>
    <w:rsid w:val="00833E13"/>
    <w:rsid w:val="0083453D"/>
    <w:rsid w:val="008347CE"/>
    <w:rsid w:val="0083589D"/>
    <w:rsid w:val="00836E1D"/>
    <w:rsid w:val="00836F44"/>
    <w:rsid w:val="00837C00"/>
    <w:rsid w:val="00837D7C"/>
    <w:rsid w:val="00840003"/>
    <w:rsid w:val="0084299C"/>
    <w:rsid w:val="00842DCE"/>
    <w:rsid w:val="0084327E"/>
    <w:rsid w:val="00843923"/>
    <w:rsid w:val="008441BA"/>
    <w:rsid w:val="00844D3A"/>
    <w:rsid w:val="008455E9"/>
    <w:rsid w:val="00846D44"/>
    <w:rsid w:val="00846E9A"/>
    <w:rsid w:val="008527B5"/>
    <w:rsid w:val="00853264"/>
    <w:rsid w:val="008540C3"/>
    <w:rsid w:val="0085527B"/>
    <w:rsid w:val="00855B7A"/>
    <w:rsid w:val="00855F59"/>
    <w:rsid w:val="00856237"/>
    <w:rsid w:val="00856668"/>
    <w:rsid w:val="00857795"/>
    <w:rsid w:val="0085796F"/>
    <w:rsid w:val="00857ECD"/>
    <w:rsid w:val="00860A72"/>
    <w:rsid w:val="00860C2C"/>
    <w:rsid w:val="0086209E"/>
    <w:rsid w:val="008639F5"/>
    <w:rsid w:val="00863BAB"/>
    <w:rsid w:val="008648F6"/>
    <w:rsid w:val="00865156"/>
    <w:rsid w:val="0086515C"/>
    <w:rsid w:val="008655DD"/>
    <w:rsid w:val="0086567B"/>
    <w:rsid w:val="0086578D"/>
    <w:rsid w:val="00865D38"/>
    <w:rsid w:val="00865D81"/>
    <w:rsid w:val="00865EB4"/>
    <w:rsid w:val="00866167"/>
    <w:rsid w:val="00866210"/>
    <w:rsid w:val="008666C1"/>
    <w:rsid w:val="00867B20"/>
    <w:rsid w:val="00867BDD"/>
    <w:rsid w:val="00867C0B"/>
    <w:rsid w:val="008713B4"/>
    <w:rsid w:val="00871459"/>
    <w:rsid w:val="00871880"/>
    <w:rsid w:val="00871F10"/>
    <w:rsid w:val="00872089"/>
    <w:rsid w:val="00872D57"/>
    <w:rsid w:val="00872E6A"/>
    <w:rsid w:val="0087373C"/>
    <w:rsid w:val="0087384F"/>
    <w:rsid w:val="00876BE3"/>
    <w:rsid w:val="00876DAD"/>
    <w:rsid w:val="00877102"/>
    <w:rsid w:val="00880CAD"/>
    <w:rsid w:val="00881585"/>
    <w:rsid w:val="00881E23"/>
    <w:rsid w:val="0088205A"/>
    <w:rsid w:val="00882B7E"/>
    <w:rsid w:val="0088499A"/>
    <w:rsid w:val="008854B5"/>
    <w:rsid w:val="00885775"/>
    <w:rsid w:val="00886517"/>
    <w:rsid w:val="008867E8"/>
    <w:rsid w:val="0088698E"/>
    <w:rsid w:val="008873A0"/>
    <w:rsid w:val="0088782C"/>
    <w:rsid w:val="008901CF"/>
    <w:rsid w:val="00890459"/>
    <w:rsid w:val="00890893"/>
    <w:rsid w:val="00890BE1"/>
    <w:rsid w:val="00891114"/>
    <w:rsid w:val="00891D2A"/>
    <w:rsid w:val="0089243E"/>
    <w:rsid w:val="00892E97"/>
    <w:rsid w:val="00892FBB"/>
    <w:rsid w:val="0089314C"/>
    <w:rsid w:val="00894A17"/>
    <w:rsid w:val="00894AFD"/>
    <w:rsid w:val="00894E16"/>
    <w:rsid w:val="00895141"/>
    <w:rsid w:val="008955A5"/>
    <w:rsid w:val="00896294"/>
    <w:rsid w:val="008967A5"/>
    <w:rsid w:val="008A008B"/>
    <w:rsid w:val="008A0482"/>
    <w:rsid w:val="008A0529"/>
    <w:rsid w:val="008A069B"/>
    <w:rsid w:val="008A0D7D"/>
    <w:rsid w:val="008A0F97"/>
    <w:rsid w:val="008A2A4A"/>
    <w:rsid w:val="008A2E14"/>
    <w:rsid w:val="008A3565"/>
    <w:rsid w:val="008A3DD6"/>
    <w:rsid w:val="008A406F"/>
    <w:rsid w:val="008A4A6C"/>
    <w:rsid w:val="008A4F90"/>
    <w:rsid w:val="008A5D3C"/>
    <w:rsid w:val="008A5E6D"/>
    <w:rsid w:val="008A6764"/>
    <w:rsid w:val="008A7137"/>
    <w:rsid w:val="008A7FC7"/>
    <w:rsid w:val="008B1288"/>
    <w:rsid w:val="008B1AE3"/>
    <w:rsid w:val="008B2496"/>
    <w:rsid w:val="008B28FC"/>
    <w:rsid w:val="008B35C2"/>
    <w:rsid w:val="008B3869"/>
    <w:rsid w:val="008B3995"/>
    <w:rsid w:val="008B3E7E"/>
    <w:rsid w:val="008B4295"/>
    <w:rsid w:val="008B61A3"/>
    <w:rsid w:val="008B652F"/>
    <w:rsid w:val="008B6E9D"/>
    <w:rsid w:val="008B6F49"/>
    <w:rsid w:val="008B7D6B"/>
    <w:rsid w:val="008C0593"/>
    <w:rsid w:val="008C0977"/>
    <w:rsid w:val="008C09B6"/>
    <w:rsid w:val="008C14CA"/>
    <w:rsid w:val="008C1608"/>
    <w:rsid w:val="008C1F3B"/>
    <w:rsid w:val="008C20B7"/>
    <w:rsid w:val="008C23B6"/>
    <w:rsid w:val="008C2D42"/>
    <w:rsid w:val="008C2D58"/>
    <w:rsid w:val="008C30EB"/>
    <w:rsid w:val="008C3272"/>
    <w:rsid w:val="008C368A"/>
    <w:rsid w:val="008C38AB"/>
    <w:rsid w:val="008C3EB9"/>
    <w:rsid w:val="008C3F3E"/>
    <w:rsid w:val="008C430C"/>
    <w:rsid w:val="008C43A6"/>
    <w:rsid w:val="008C60F3"/>
    <w:rsid w:val="008C6E14"/>
    <w:rsid w:val="008C7629"/>
    <w:rsid w:val="008C7B90"/>
    <w:rsid w:val="008C7FF9"/>
    <w:rsid w:val="008D0932"/>
    <w:rsid w:val="008D10DC"/>
    <w:rsid w:val="008D1642"/>
    <w:rsid w:val="008D1803"/>
    <w:rsid w:val="008D192E"/>
    <w:rsid w:val="008D3297"/>
    <w:rsid w:val="008D3320"/>
    <w:rsid w:val="008D34D0"/>
    <w:rsid w:val="008D378F"/>
    <w:rsid w:val="008D3F1B"/>
    <w:rsid w:val="008D3F8C"/>
    <w:rsid w:val="008D3FCA"/>
    <w:rsid w:val="008D4074"/>
    <w:rsid w:val="008D4C47"/>
    <w:rsid w:val="008D4EFA"/>
    <w:rsid w:val="008D537B"/>
    <w:rsid w:val="008D5E57"/>
    <w:rsid w:val="008D6A9F"/>
    <w:rsid w:val="008E0945"/>
    <w:rsid w:val="008E0FCA"/>
    <w:rsid w:val="008E1772"/>
    <w:rsid w:val="008E1B0B"/>
    <w:rsid w:val="008E2667"/>
    <w:rsid w:val="008E26F3"/>
    <w:rsid w:val="008E2D11"/>
    <w:rsid w:val="008E2F3D"/>
    <w:rsid w:val="008E36F1"/>
    <w:rsid w:val="008E39C9"/>
    <w:rsid w:val="008E3C3A"/>
    <w:rsid w:val="008E513E"/>
    <w:rsid w:val="008E639B"/>
    <w:rsid w:val="008E6B3E"/>
    <w:rsid w:val="008E759A"/>
    <w:rsid w:val="008E75C9"/>
    <w:rsid w:val="008E77EB"/>
    <w:rsid w:val="008F0193"/>
    <w:rsid w:val="008F05CD"/>
    <w:rsid w:val="008F066B"/>
    <w:rsid w:val="008F3AD8"/>
    <w:rsid w:val="008F415B"/>
    <w:rsid w:val="008F506C"/>
    <w:rsid w:val="008F751B"/>
    <w:rsid w:val="008F777F"/>
    <w:rsid w:val="008F7C5C"/>
    <w:rsid w:val="00900555"/>
    <w:rsid w:val="009007AE"/>
    <w:rsid w:val="00900930"/>
    <w:rsid w:val="00900E35"/>
    <w:rsid w:val="00900E8D"/>
    <w:rsid w:val="009025B6"/>
    <w:rsid w:val="00902831"/>
    <w:rsid w:val="00902C63"/>
    <w:rsid w:val="0090374B"/>
    <w:rsid w:val="009040D6"/>
    <w:rsid w:val="009050A0"/>
    <w:rsid w:val="009053EB"/>
    <w:rsid w:val="00906693"/>
    <w:rsid w:val="009068AC"/>
    <w:rsid w:val="00906A73"/>
    <w:rsid w:val="00906A90"/>
    <w:rsid w:val="00906E4E"/>
    <w:rsid w:val="009077D2"/>
    <w:rsid w:val="0090780F"/>
    <w:rsid w:val="00907E35"/>
    <w:rsid w:val="009107BA"/>
    <w:rsid w:val="009108EF"/>
    <w:rsid w:val="00910B23"/>
    <w:rsid w:val="00910DCA"/>
    <w:rsid w:val="00911525"/>
    <w:rsid w:val="009115F7"/>
    <w:rsid w:val="00911B4C"/>
    <w:rsid w:val="00912101"/>
    <w:rsid w:val="009122FB"/>
    <w:rsid w:val="00912897"/>
    <w:rsid w:val="00912A39"/>
    <w:rsid w:val="00912C38"/>
    <w:rsid w:val="0091352C"/>
    <w:rsid w:val="00913673"/>
    <w:rsid w:val="009139D5"/>
    <w:rsid w:val="00913D3C"/>
    <w:rsid w:val="00913FB8"/>
    <w:rsid w:val="009143BA"/>
    <w:rsid w:val="0091471F"/>
    <w:rsid w:val="00914C9A"/>
    <w:rsid w:val="00917A4B"/>
    <w:rsid w:val="00917D99"/>
    <w:rsid w:val="00920399"/>
    <w:rsid w:val="00920747"/>
    <w:rsid w:val="009207B7"/>
    <w:rsid w:val="00921116"/>
    <w:rsid w:val="00922099"/>
    <w:rsid w:val="00922BCF"/>
    <w:rsid w:val="00922FAE"/>
    <w:rsid w:val="00924593"/>
    <w:rsid w:val="00924685"/>
    <w:rsid w:val="00925D46"/>
    <w:rsid w:val="009263AA"/>
    <w:rsid w:val="00926792"/>
    <w:rsid w:val="00926879"/>
    <w:rsid w:val="00927518"/>
    <w:rsid w:val="00927DBF"/>
    <w:rsid w:val="00930461"/>
    <w:rsid w:val="00930793"/>
    <w:rsid w:val="00930B29"/>
    <w:rsid w:val="00932120"/>
    <w:rsid w:val="00932277"/>
    <w:rsid w:val="00932795"/>
    <w:rsid w:val="00932E3C"/>
    <w:rsid w:val="009334B7"/>
    <w:rsid w:val="00933D6E"/>
    <w:rsid w:val="00934CED"/>
    <w:rsid w:val="0093537B"/>
    <w:rsid w:val="00935942"/>
    <w:rsid w:val="00935D09"/>
    <w:rsid w:val="00935E0E"/>
    <w:rsid w:val="00937BC0"/>
    <w:rsid w:val="00937D2D"/>
    <w:rsid w:val="00937D6B"/>
    <w:rsid w:val="00940096"/>
    <w:rsid w:val="009400C6"/>
    <w:rsid w:val="0094124F"/>
    <w:rsid w:val="00941491"/>
    <w:rsid w:val="0094182B"/>
    <w:rsid w:val="00941851"/>
    <w:rsid w:val="00941F2A"/>
    <w:rsid w:val="0094336E"/>
    <w:rsid w:val="00943CF1"/>
    <w:rsid w:val="00943D37"/>
    <w:rsid w:val="00943F16"/>
    <w:rsid w:val="00944491"/>
    <w:rsid w:val="00944664"/>
    <w:rsid w:val="009446F5"/>
    <w:rsid w:val="00944E7A"/>
    <w:rsid w:val="009450EF"/>
    <w:rsid w:val="0094634D"/>
    <w:rsid w:val="00946456"/>
    <w:rsid w:val="00946E85"/>
    <w:rsid w:val="00947372"/>
    <w:rsid w:val="0094751A"/>
    <w:rsid w:val="00947894"/>
    <w:rsid w:val="00947ACD"/>
    <w:rsid w:val="00947F62"/>
    <w:rsid w:val="009502DB"/>
    <w:rsid w:val="00950CCE"/>
    <w:rsid w:val="00950E9C"/>
    <w:rsid w:val="009518B2"/>
    <w:rsid w:val="009519BD"/>
    <w:rsid w:val="009521DF"/>
    <w:rsid w:val="009527B1"/>
    <w:rsid w:val="00952A6A"/>
    <w:rsid w:val="00952A71"/>
    <w:rsid w:val="00953B29"/>
    <w:rsid w:val="00954FDA"/>
    <w:rsid w:val="00955129"/>
    <w:rsid w:val="00955194"/>
    <w:rsid w:val="00955430"/>
    <w:rsid w:val="009554E9"/>
    <w:rsid w:val="00955D46"/>
    <w:rsid w:val="00956CE2"/>
    <w:rsid w:val="00956E9D"/>
    <w:rsid w:val="00957879"/>
    <w:rsid w:val="00960921"/>
    <w:rsid w:val="00960C38"/>
    <w:rsid w:val="00961293"/>
    <w:rsid w:val="009612BC"/>
    <w:rsid w:val="00962410"/>
    <w:rsid w:val="009640FE"/>
    <w:rsid w:val="00964915"/>
    <w:rsid w:val="00964BFB"/>
    <w:rsid w:val="00964DB1"/>
    <w:rsid w:val="00964EE8"/>
    <w:rsid w:val="00965595"/>
    <w:rsid w:val="00965961"/>
    <w:rsid w:val="00966473"/>
    <w:rsid w:val="009664E6"/>
    <w:rsid w:val="009669AB"/>
    <w:rsid w:val="00966A4C"/>
    <w:rsid w:val="00966BF3"/>
    <w:rsid w:val="00967243"/>
    <w:rsid w:val="00967313"/>
    <w:rsid w:val="00967AD0"/>
    <w:rsid w:val="00967BAC"/>
    <w:rsid w:val="0097029E"/>
    <w:rsid w:val="00970B7E"/>
    <w:rsid w:val="009717F7"/>
    <w:rsid w:val="00972931"/>
    <w:rsid w:val="00972EB6"/>
    <w:rsid w:val="00972F33"/>
    <w:rsid w:val="009756A9"/>
    <w:rsid w:val="0097572F"/>
    <w:rsid w:val="00975E80"/>
    <w:rsid w:val="00976C40"/>
    <w:rsid w:val="00977046"/>
    <w:rsid w:val="009774F9"/>
    <w:rsid w:val="00980844"/>
    <w:rsid w:val="00980B0F"/>
    <w:rsid w:val="00980E38"/>
    <w:rsid w:val="00980EFF"/>
    <w:rsid w:val="00981E69"/>
    <w:rsid w:val="00982C71"/>
    <w:rsid w:val="00983120"/>
    <w:rsid w:val="00983648"/>
    <w:rsid w:val="0098386E"/>
    <w:rsid w:val="00983E8A"/>
    <w:rsid w:val="009843D1"/>
    <w:rsid w:val="00984A71"/>
    <w:rsid w:val="00986F6D"/>
    <w:rsid w:val="009901CB"/>
    <w:rsid w:val="009905FB"/>
    <w:rsid w:val="00990894"/>
    <w:rsid w:val="00990A51"/>
    <w:rsid w:val="00990BBD"/>
    <w:rsid w:val="00990FDB"/>
    <w:rsid w:val="009916C9"/>
    <w:rsid w:val="00992A18"/>
    <w:rsid w:val="0099378B"/>
    <w:rsid w:val="009938FA"/>
    <w:rsid w:val="0099431C"/>
    <w:rsid w:val="00994584"/>
    <w:rsid w:val="00994EB2"/>
    <w:rsid w:val="0099508C"/>
    <w:rsid w:val="009953E5"/>
    <w:rsid w:val="009955F3"/>
    <w:rsid w:val="00995953"/>
    <w:rsid w:val="009963F4"/>
    <w:rsid w:val="0099653C"/>
    <w:rsid w:val="00996621"/>
    <w:rsid w:val="009967D6"/>
    <w:rsid w:val="00997327"/>
    <w:rsid w:val="009A04AF"/>
    <w:rsid w:val="009A04DC"/>
    <w:rsid w:val="009A1333"/>
    <w:rsid w:val="009A1950"/>
    <w:rsid w:val="009A1B23"/>
    <w:rsid w:val="009A2A92"/>
    <w:rsid w:val="009A2EBB"/>
    <w:rsid w:val="009A36EE"/>
    <w:rsid w:val="009A43F5"/>
    <w:rsid w:val="009A44D1"/>
    <w:rsid w:val="009A46FE"/>
    <w:rsid w:val="009A4AA1"/>
    <w:rsid w:val="009A53ED"/>
    <w:rsid w:val="009A60C4"/>
    <w:rsid w:val="009A668C"/>
    <w:rsid w:val="009A674A"/>
    <w:rsid w:val="009A7125"/>
    <w:rsid w:val="009A7180"/>
    <w:rsid w:val="009A7192"/>
    <w:rsid w:val="009A7391"/>
    <w:rsid w:val="009B08A6"/>
    <w:rsid w:val="009B1107"/>
    <w:rsid w:val="009B16AD"/>
    <w:rsid w:val="009B1B63"/>
    <w:rsid w:val="009B230C"/>
    <w:rsid w:val="009B280A"/>
    <w:rsid w:val="009B2B7E"/>
    <w:rsid w:val="009B301E"/>
    <w:rsid w:val="009B30D7"/>
    <w:rsid w:val="009B35D2"/>
    <w:rsid w:val="009B38F4"/>
    <w:rsid w:val="009B3C3F"/>
    <w:rsid w:val="009B3FDB"/>
    <w:rsid w:val="009B4699"/>
    <w:rsid w:val="009B4A6E"/>
    <w:rsid w:val="009B5008"/>
    <w:rsid w:val="009B5713"/>
    <w:rsid w:val="009B5BD3"/>
    <w:rsid w:val="009B616F"/>
    <w:rsid w:val="009B67FE"/>
    <w:rsid w:val="009B6B46"/>
    <w:rsid w:val="009B6E7C"/>
    <w:rsid w:val="009B7F10"/>
    <w:rsid w:val="009C0AC4"/>
    <w:rsid w:val="009C0FC4"/>
    <w:rsid w:val="009C131A"/>
    <w:rsid w:val="009C177E"/>
    <w:rsid w:val="009C17EB"/>
    <w:rsid w:val="009C3CAF"/>
    <w:rsid w:val="009C3EAE"/>
    <w:rsid w:val="009C44B6"/>
    <w:rsid w:val="009C4A04"/>
    <w:rsid w:val="009C5313"/>
    <w:rsid w:val="009C5917"/>
    <w:rsid w:val="009C65D7"/>
    <w:rsid w:val="009C6D5B"/>
    <w:rsid w:val="009C71FD"/>
    <w:rsid w:val="009C74E6"/>
    <w:rsid w:val="009C78E1"/>
    <w:rsid w:val="009D024A"/>
    <w:rsid w:val="009D0AF5"/>
    <w:rsid w:val="009D1425"/>
    <w:rsid w:val="009D1ABC"/>
    <w:rsid w:val="009D1F44"/>
    <w:rsid w:val="009D2B67"/>
    <w:rsid w:val="009D2D64"/>
    <w:rsid w:val="009D3659"/>
    <w:rsid w:val="009D4B7D"/>
    <w:rsid w:val="009D565C"/>
    <w:rsid w:val="009D6710"/>
    <w:rsid w:val="009D7172"/>
    <w:rsid w:val="009E0422"/>
    <w:rsid w:val="009E04E5"/>
    <w:rsid w:val="009E066D"/>
    <w:rsid w:val="009E13F3"/>
    <w:rsid w:val="009E276B"/>
    <w:rsid w:val="009E2A01"/>
    <w:rsid w:val="009E3296"/>
    <w:rsid w:val="009E367D"/>
    <w:rsid w:val="009E3859"/>
    <w:rsid w:val="009E39F2"/>
    <w:rsid w:val="009E4777"/>
    <w:rsid w:val="009E4849"/>
    <w:rsid w:val="009E4A65"/>
    <w:rsid w:val="009E546A"/>
    <w:rsid w:val="009E55B4"/>
    <w:rsid w:val="009E563E"/>
    <w:rsid w:val="009E56AD"/>
    <w:rsid w:val="009E5A8F"/>
    <w:rsid w:val="009E5F00"/>
    <w:rsid w:val="009E75FB"/>
    <w:rsid w:val="009E78D1"/>
    <w:rsid w:val="009F0791"/>
    <w:rsid w:val="009F0BB9"/>
    <w:rsid w:val="009F1244"/>
    <w:rsid w:val="009F1258"/>
    <w:rsid w:val="009F14B6"/>
    <w:rsid w:val="009F16FB"/>
    <w:rsid w:val="009F17D1"/>
    <w:rsid w:val="009F1930"/>
    <w:rsid w:val="009F1974"/>
    <w:rsid w:val="009F2B40"/>
    <w:rsid w:val="009F41F2"/>
    <w:rsid w:val="009F41FE"/>
    <w:rsid w:val="009F430A"/>
    <w:rsid w:val="009F45E1"/>
    <w:rsid w:val="009F4F91"/>
    <w:rsid w:val="009F5218"/>
    <w:rsid w:val="009F528C"/>
    <w:rsid w:val="009F70B0"/>
    <w:rsid w:val="009F7890"/>
    <w:rsid w:val="009F7BFF"/>
    <w:rsid w:val="009F7D53"/>
    <w:rsid w:val="00A00120"/>
    <w:rsid w:val="00A0014D"/>
    <w:rsid w:val="00A007A6"/>
    <w:rsid w:val="00A008D3"/>
    <w:rsid w:val="00A01F87"/>
    <w:rsid w:val="00A02413"/>
    <w:rsid w:val="00A0278B"/>
    <w:rsid w:val="00A02B45"/>
    <w:rsid w:val="00A04D40"/>
    <w:rsid w:val="00A04EFC"/>
    <w:rsid w:val="00A05823"/>
    <w:rsid w:val="00A05C78"/>
    <w:rsid w:val="00A07D73"/>
    <w:rsid w:val="00A07F13"/>
    <w:rsid w:val="00A107CB"/>
    <w:rsid w:val="00A10886"/>
    <w:rsid w:val="00A108B6"/>
    <w:rsid w:val="00A113F2"/>
    <w:rsid w:val="00A1324E"/>
    <w:rsid w:val="00A13452"/>
    <w:rsid w:val="00A13699"/>
    <w:rsid w:val="00A1396D"/>
    <w:rsid w:val="00A139DD"/>
    <w:rsid w:val="00A14079"/>
    <w:rsid w:val="00A14284"/>
    <w:rsid w:val="00A142E4"/>
    <w:rsid w:val="00A14466"/>
    <w:rsid w:val="00A14B86"/>
    <w:rsid w:val="00A1523D"/>
    <w:rsid w:val="00A152FB"/>
    <w:rsid w:val="00A1584F"/>
    <w:rsid w:val="00A15944"/>
    <w:rsid w:val="00A15AD1"/>
    <w:rsid w:val="00A16086"/>
    <w:rsid w:val="00A16494"/>
    <w:rsid w:val="00A16CF4"/>
    <w:rsid w:val="00A17A01"/>
    <w:rsid w:val="00A17C99"/>
    <w:rsid w:val="00A20838"/>
    <w:rsid w:val="00A20AB4"/>
    <w:rsid w:val="00A2146B"/>
    <w:rsid w:val="00A216F4"/>
    <w:rsid w:val="00A21D7D"/>
    <w:rsid w:val="00A22A90"/>
    <w:rsid w:val="00A22B94"/>
    <w:rsid w:val="00A24131"/>
    <w:rsid w:val="00A24390"/>
    <w:rsid w:val="00A24E3E"/>
    <w:rsid w:val="00A250F7"/>
    <w:rsid w:val="00A251A4"/>
    <w:rsid w:val="00A25265"/>
    <w:rsid w:val="00A25F48"/>
    <w:rsid w:val="00A264BB"/>
    <w:rsid w:val="00A27000"/>
    <w:rsid w:val="00A27907"/>
    <w:rsid w:val="00A300DD"/>
    <w:rsid w:val="00A30940"/>
    <w:rsid w:val="00A30E8E"/>
    <w:rsid w:val="00A30FF6"/>
    <w:rsid w:val="00A3230F"/>
    <w:rsid w:val="00A32D9F"/>
    <w:rsid w:val="00A33526"/>
    <w:rsid w:val="00A33BF4"/>
    <w:rsid w:val="00A34360"/>
    <w:rsid w:val="00A34DD0"/>
    <w:rsid w:val="00A35434"/>
    <w:rsid w:val="00A354CE"/>
    <w:rsid w:val="00A36EDA"/>
    <w:rsid w:val="00A374AC"/>
    <w:rsid w:val="00A37A93"/>
    <w:rsid w:val="00A4057A"/>
    <w:rsid w:val="00A40770"/>
    <w:rsid w:val="00A40AB7"/>
    <w:rsid w:val="00A40C93"/>
    <w:rsid w:val="00A40D66"/>
    <w:rsid w:val="00A413A5"/>
    <w:rsid w:val="00A41660"/>
    <w:rsid w:val="00A41DEB"/>
    <w:rsid w:val="00A41FC2"/>
    <w:rsid w:val="00A42118"/>
    <w:rsid w:val="00A43A40"/>
    <w:rsid w:val="00A44761"/>
    <w:rsid w:val="00A46DAC"/>
    <w:rsid w:val="00A46EDD"/>
    <w:rsid w:val="00A471F4"/>
    <w:rsid w:val="00A4767E"/>
    <w:rsid w:val="00A47BE8"/>
    <w:rsid w:val="00A47ECB"/>
    <w:rsid w:val="00A51136"/>
    <w:rsid w:val="00A5134B"/>
    <w:rsid w:val="00A53568"/>
    <w:rsid w:val="00A53990"/>
    <w:rsid w:val="00A53FD7"/>
    <w:rsid w:val="00A55018"/>
    <w:rsid w:val="00A552F2"/>
    <w:rsid w:val="00A553FC"/>
    <w:rsid w:val="00A55B76"/>
    <w:rsid w:val="00A55DBE"/>
    <w:rsid w:val="00A55E30"/>
    <w:rsid w:val="00A56A39"/>
    <w:rsid w:val="00A56F23"/>
    <w:rsid w:val="00A5753E"/>
    <w:rsid w:val="00A6013D"/>
    <w:rsid w:val="00A6014C"/>
    <w:rsid w:val="00A60159"/>
    <w:rsid w:val="00A619E4"/>
    <w:rsid w:val="00A61F2E"/>
    <w:rsid w:val="00A6212A"/>
    <w:rsid w:val="00A6237A"/>
    <w:rsid w:val="00A6271A"/>
    <w:rsid w:val="00A62BBA"/>
    <w:rsid w:val="00A62E50"/>
    <w:rsid w:val="00A63A19"/>
    <w:rsid w:val="00A63F13"/>
    <w:rsid w:val="00A65910"/>
    <w:rsid w:val="00A661C9"/>
    <w:rsid w:val="00A67297"/>
    <w:rsid w:val="00A67CB4"/>
    <w:rsid w:val="00A67DD9"/>
    <w:rsid w:val="00A67DFC"/>
    <w:rsid w:val="00A710F8"/>
    <w:rsid w:val="00A71CAA"/>
    <w:rsid w:val="00A73043"/>
    <w:rsid w:val="00A73C78"/>
    <w:rsid w:val="00A75213"/>
    <w:rsid w:val="00A75387"/>
    <w:rsid w:val="00A75679"/>
    <w:rsid w:val="00A758B2"/>
    <w:rsid w:val="00A75C68"/>
    <w:rsid w:val="00A75FE0"/>
    <w:rsid w:val="00A76696"/>
    <w:rsid w:val="00A76F95"/>
    <w:rsid w:val="00A81FBE"/>
    <w:rsid w:val="00A824FB"/>
    <w:rsid w:val="00A82DB6"/>
    <w:rsid w:val="00A82DC4"/>
    <w:rsid w:val="00A83A0B"/>
    <w:rsid w:val="00A844BF"/>
    <w:rsid w:val="00A8475C"/>
    <w:rsid w:val="00A84843"/>
    <w:rsid w:val="00A84C91"/>
    <w:rsid w:val="00A8521A"/>
    <w:rsid w:val="00A855D1"/>
    <w:rsid w:val="00A85698"/>
    <w:rsid w:val="00A85E00"/>
    <w:rsid w:val="00A86D72"/>
    <w:rsid w:val="00A86ECD"/>
    <w:rsid w:val="00A87BB2"/>
    <w:rsid w:val="00A9009B"/>
    <w:rsid w:val="00A91D65"/>
    <w:rsid w:val="00A92459"/>
    <w:rsid w:val="00A926A1"/>
    <w:rsid w:val="00A92969"/>
    <w:rsid w:val="00A93565"/>
    <w:rsid w:val="00A93809"/>
    <w:rsid w:val="00A93DEC"/>
    <w:rsid w:val="00A942E7"/>
    <w:rsid w:val="00A94383"/>
    <w:rsid w:val="00A9491A"/>
    <w:rsid w:val="00A94DA3"/>
    <w:rsid w:val="00A95078"/>
    <w:rsid w:val="00A950C8"/>
    <w:rsid w:val="00A95128"/>
    <w:rsid w:val="00A95358"/>
    <w:rsid w:val="00A95865"/>
    <w:rsid w:val="00A95D25"/>
    <w:rsid w:val="00A95D4E"/>
    <w:rsid w:val="00A96487"/>
    <w:rsid w:val="00A96829"/>
    <w:rsid w:val="00A969E3"/>
    <w:rsid w:val="00A96B39"/>
    <w:rsid w:val="00A975A1"/>
    <w:rsid w:val="00AA0741"/>
    <w:rsid w:val="00AA0F7B"/>
    <w:rsid w:val="00AA1710"/>
    <w:rsid w:val="00AA1DA2"/>
    <w:rsid w:val="00AA2719"/>
    <w:rsid w:val="00AA302F"/>
    <w:rsid w:val="00AA42FA"/>
    <w:rsid w:val="00AA466D"/>
    <w:rsid w:val="00AA4AFE"/>
    <w:rsid w:val="00AA4DDD"/>
    <w:rsid w:val="00AA5A72"/>
    <w:rsid w:val="00AA6735"/>
    <w:rsid w:val="00AA7B23"/>
    <w:rsid w:val="00AA7CED"/>
    <w:rsid w:val="00AB08D4"/>
    <w:rsid w:val="00AB1048"/>
    <w:rsid w:val="00AB1BD5"/>
    <w:rsid w:val="00AB1C9E"/>
    <w:rsid w:val="00AB20B4"/>
    <w:rsid w:val="00AB2EB2"/>
    <w:rsid w:val="00AB30C2"/>
    <w:rsid w:val="00AB38FD"/>
    <w:rsid w:val="00AB3A66"/>
    <w:rsid w:val="00AB3B39"/>
    <w:rsid w:val="00AB3D0A"/>
    <w:rsid w:val="00AB3F7E"/>
    <w:rsid w:val="00AB47DF"/>
    <w:rsid w:val="00AB4E53"/>
    <w:rsid w:val="00AB56A3"/>
    <w:rsid w:val="00AB634B"/>
    <w:rsid w:val="00AB6482"/>
    <w:rsid w:val="00AB6A17"/>
    <w:rsid w:val="00AB7E66"/>
    <w:rsid w:val="00AC05CE"/>
    <w:rsid w:val="00AC0D57"/>
    <w:rsid w:val="00AC0E81"/>
    <w:rsid w:val="00AC1382"/>
    <w:rsid w:val="00AC1E03"/>
    <w:rsid w:val="00AC1E39"/>
    <w:rsid w:val="00AC235F"/>
    <w:rsid w:val="00AC263C"/>
    <w:rsid w:val="00AC2DE3"/>
    <w:rsid w:val="00AC352B"/>
    <w:rsid w:val="00AC37AD"/>
    <w:rsid w:val="00AC397D"/>
    <w:rsid w:val="00AC41F3"/>
    <w:rsid w:val="00AC4C3B"/>
    <w:rsid w:val="00AC636F"/>
    <w:rsid w:val="00AC786E"/>
    <w:rsid w:val="00AC793E"/>
    <w:rsid w:val="00AC7943"/>
    <w:rsid w:val="00AC7EC2"/>
    <w:rsid w:val="00AD00CD"/>
    <w:rsid w:val="00AD11C8"/>
    <w:rsid w:val="00AD162A"/>
    <w:rsid w:val="00AD1B8D"/>
    <w:rsid w:val="00AD2102"/>
    <w:rsid w:val="00AD264E"/>
    <w:rsid w:val="00AD2B95"/>
    <w:rsid w:val="00AD2D15"/>
    <w:rsid w:val="00AD345B"/>
    <w:rsid w:val="00AD34A1"/>
    <w:rsid w:val="00AD4251"/>
    <w:rsid w:val="00AD45D7"/>
    <w:rsid w:val="00AD5101"/>
    <w:rsid w:val="00AD5851"/>
    <w:rsid w:val="00AD6201"/>
    <w:rsid w:val="00AD7BDD"/>
    <w:rsid w:val="00AE0597"/>
    <w:rsid w:val="00AE131B"/>
    <w:rsid w:val="00AE14E4"/>
    <w:rsid w:val="00AE157E"/>
    <w:rsid w:val="00AE1F83"/>
    <w:rsid w:val="00AE2EF1"/>
    <w:rsid w:val="00AE3FFA"/>
    <w:rsid w:val="00AE4719"/>
    <w:rsid w:val="00AE498A"/>
    <w:rsid w:val="00AE4D17"/>
    <w:rsid w:val="00AE4E2D"/>
    <w:rsid w:val="00AE524C"/>
    <w:rsid w:val="00AE5425"/>
    <w:rsid w:val="00AE5551"/>
    <w:rsid w:val="00AE598E"/>
    <w:rsid w:val="00AE5CB2"/>
    <w:rsid w:val="00AE690C"/>
    <w:rsid w:val="00AE69F0"/>
    <w:rsid w:val="00AE6F3B"/>
    <w:rsid w:val="00AF02BF"/>
    <w:rsid w:val="00AF0741"/>
    <w:rsid w:val="00AF145F"/>
    <w:rsid w:val="00AF23B9"/>
    <w:rsid w:val="00AF2DA2"/>
    <w:rsid w:val="00AF33AE"/>
    <w:rsid w:val="00AF3AA3"/>
    <w:rsid w:val="00AF4D75"/>
    <w:rsid w:val="00AF50A9"/>
    <w:rsid w:val="00AF5173"/>
    <w:rsid w:val="00AF5212"/>
    <w:rsid w:val="00AF6F86"/>
    <w:rsid w:val="00AF725B"/>
    <w:rsid w:val="00AF7737"/>
    <w:rsid w:val="00AF7BC8"/>
    <w:rsid w:val="00AF7FA6"/>
    <w:rsid w:val="00B00049"/>
    <w:rsid w:val="00B0027B"/>
    <w:rsid w:val="00B0057D"/>
    <w:rsid w:val="00B010DC"/>
    <w:rsid w:val="00B01313"/>
    <w:rsid w:val="00B0147C"/>
    <w:rsid w:val="00B019E2"/>
    <w:rsid w:val="00B01C48"/>
    <w:rsid w:val="00B02024"/>
    <w:rsid w:val="00B0206F"/>
    <w:rsid w:val="00B023F3"/>
    <w:rsid w:val="00B0279F"/>
    <w:rsid w:val="00B02D56"/>
    <w:rsid w:val="00B02ED6"/>
    <w:rsid w:val="00B0344A"/>
    <w:rsid w:val="00B040ED"/>
    <w:rsid w:val="00B0421D"/>
    <w:rsid w:val="00B04411"/>
    <w:rsid w:val="00B05587"/>
    <w:rsid w:val="00B059D0"/>
    <w:rsid w:val="00B05B20"/>
    <w:rsid w:val="00B05B42"/>
    <w:rsid w:val="00B05EEC"/>
    <w:rsid w:val="00B06226"/>
    <w:rsid w:val="00B064BD"/>
    <w:rsid w:val="00B07AEE"/>
    <w:rsid w:val="00B07E33"/>
    <w:rsid w:val="00B07F2F"/>
    <w:rsid w:val="00B101EC"/>
    <w:rsid w:val="00B10A9C"/>
    <w:rsid w:val="00B10B7E"/>
    <w:rsid w:val="00B11AE9"/>
    <w:rsid w:val="00B11B93"/>
    <w:rsid w:val="00B11BB8"/>
    <w:rsid w:val="00B11EE1"/>
    <w:rsid w:val="00B125F4"/>
    <w:rsid w:val="00B14746"/>
    <w:rsid w:val="00B148E8"/>
    <w:rsid w:val="00B1499A"/>
    <w:rsid w:val="00B14F34"/>
    <w:rsid w:val="00B15B78"/>
    <w:rsid w:val="00B17037"/>
    <w:rsid w:val="00B21039"/>
    <w:rsid w:val="00B21239"/>
    <w:rsid w:val="00B221FB"/>
    <w:rsid w:val="00B22430"/>
    <w:rsid w:val="00B22773"/>
    <w:rsid w:val="00B22F30"/>
    <w:rsid w:val="00B239C5"/>
    <w:rsid w:val="00B23C16"/>
    <w:rsid w:val="00B23F3A"/>
    <w:rsid w:val="00B241D3"/>
    <w:rsid w:val="00B24B0D"/>
    <w:rsid w:val="00B25CA0"/>
    <w:rsid w:val="00B26F3A"/>
    <w:rsid w:val="00B26F97"/>
    <w:rsid w:val="00B27B6E"/>
    <w:rsid w:val="00B303E2"/>
    <w:rsid w:val="00B3088E"/>
    <w:rsid w:val="00B30A0F"/>
    <w:rsid w:val="00B312B8"/>
    <w:rsid w:val="00B31A8A"/>
    <w:rsid w:val="00B31AD8"/>
    <w:rsid w:val="00B31CE0"/>
    <w:rsid w:val="00B3229A"/>
    <w:rsid w:val="00B323CB"/>
    <w:rsid w:val="00B32512"/>
    <w:rsid w:val="00B32626"/>
    <w:rsid w:val="00B330EB"/>
    <w:rsid w:val="00B334F0"/>
    <w:rsid w:val="00B3356A"/>
    <w:rsid w:val="00B34301"/>
    <w:rsid w:val="00B345D8"/>
    <w:rsid w:val="00B350EA"/>
    <w:rsid w:val="00B35392"/>
    <w:rsid w:val="00B353C6"/>
    <w:rsid w:val="00B356A5"/>
    <w:rsid w:val="00B3609C"/>
    <w:rsid w:val="00B36841"/>
    <w:rsid w:val="00B378F1"/>
    <w:rsid w:val="00B40BDB"/>
    <w:rsid w:val="00B41940"/>
    <w:rsid w:val="00B41C7F"/>
    <w:rsid w:val="00B42576"/>
    <w:rsid w:val="00B439F4"/>
    <w:rsid w:val="00B43C1A"/>
    <w:rsid w:val="00B442C6"/>
    <w:rsid w:val="00B4553B"/>
    <w:rsid w:val="00B4674A"/>
    <w:rsid w:val="00B47397"/>
    <w:rsid w:val="00B50E63"/>
    <w:rsid w:val="00B51510"/>
    <w:rsid w:val="00B51D11"/>
    <w:rsid w:val="00B5209A"/>
    <w:rsid w:val="00B52242"/>
    <w:rsid w:val="00B5309F"/>
    <w:rsid w:val="00B533DF"/>
    <w:rsid w:val="00B53A2E"/>
    <w:rsid w:val="00B53BC1"/>
    <w:rsid w:val="00B53C03"/>
    <w:rsid w:val="00B53CDF"/>
    <w:rsid w:val="00B542DD"/>
    <w:rsid w:val="00B545F5"/>
    <w:rsid w:val="00B55D09"/>
    <w:rsid w:val="00B56492"/>
    <w:rsid w:val="00B5682A"/>
    <w:rsid w:val="00B56D9B"/>
    <w:rsid w:val="00B57BE9"/>
    <w:rsid w:val="00B57ED8"/>
    <w:rsid w:val="00B601BD"/>
    <w:rsid w:val="00B60745"/>
    <w:rsid w:val="00B60746"/>
    <w:rsid w:val="00B61FA3"/>
    <w:rsid w:val="00B62459"/>
    <w:rsid w:val="00B62881"/>
    <w:rsid w:val="00B633EE"/>
    <w:rsid w:val="00B636F3"/>
    <w:rsid w:val="00B64050"/>
    <w:rsid w:val="00B640B2"/>
    <w:rsid w:val="00B640FA"/>
    <w:rsid w:val="00B643C1"/>
    <w:rsid w:val="00B64CC4"/>
    <w:rsid w:val="00B64F6A"/>
    <w:rsid w:val="00B65C6F"/>
    <w:rsid w:val="00B66DD7"/>
    <w:rsid w:val="00B6723B"/>
    <w:rsid w:val="00B67572"/>
    <w:rsid w:val="00B676CB"/>
    <w:rsid w:val="00B7067B"/>
    <w:rsid w:val="00B7114B"/>
    <w:rsid w:val="00B7157B"/>
    <w:rsid w:val="00B715A9"/>
    <w:rsid w:val="00B72CA4"/>
    <w:rsid w:val="00B73001"/>
    <w:rsid w:val="00B74170"/>
    <w:rsid w:val="00B74BF2"/>
    <w:rsid w:val="00B75192"/>
    <w:rsid w:val="00B75772"/>
    <w:rsid w:val="00B758EB"/>
    <w:rsid w:val="00B75A40"/>
    <w:rsid w:val="00B75C0A"/>
    <w:rsid w:val="00B75C48"/>
    <w:rsid w:val="00B772AF"/>
    <w:rsid w:val="00B772B3"/>
    <w:rsid w:val="00B80344"/>
    <w:rsid w:val="00B806F9"/>
    <w:rsid w:val="00B80B2D"/>
    <w:rsid w:val="00B8128A"/>
    <w:rsid w:val="00B815EC"/>
    <w:rsid w:val="00B816B4"/>
    <w:rsid w:val="00B81865"/>
    <w:rsid w:val="00B81F1F"/>
    <w:rsid w:val="00B82461"/>
    <w:rsid w:val="00B82671"/>
    <w:rsid w:val="00B8268F"/>
    <w:rsid w:val="00B83F18"/>
    <w:rsid w:val="00B84146"/>
    <w:rsid w:val="00B842C9"/>
    <w:rsid w:val="00B84E24"/>
    <w:rsid w:val="00B85060"/>
    <w:rsid w:val="00B85F3A"/>
    <w:rsid w:val="00B862F2"/>
    <w:rsid w:val="00B865F0"/>
    <w:rsid w:val="00B86A7D"/>
    <w:rsid w:val="00B8799E"/>
    <w:rsid w:val="00B87EC6"/>
    <w:rsid w:val="00B90855"/>
    <w:rsid w:val="00B90E8D"/>
    <w:rsid w:val="00B91E31"/>
    <w:rsid w:val="00B921EF"/>
    <w:rsid w:val="00B93954"/>
    <w:rsid w:val="00B94833"/>
    <w:rsid w:val="00B955C8"/>
    <w:rsid w:val="00B95CA6"/>
    <w:rsid w:val="00B96C1B"/>
    <w:rsid w:val="00B96CA0"/>
    <w:rsid w:val="00B978B5"/>
    <w:rsid w:val="00BA0B3A"/>
    <w:rsid w:val="00BA0FB0"/>
    <w:rsid w:val="00BA2BE6"/>
    <w:rsid w:val="00BA3F83"/>
    <w:rsid w:val="00BA4639"/>
    <w:rsid w:val="00BA470F"/>
    <w:rsid w:val="00BA4791"/>
    <w:rsid w:val="00BA4DA4"/>
    <w:rsid w:val="00BA5DC9"/>
    <w:rsid w:val="00BA5DD2"/>
    <w:rsid w:val="00BA5EA3"/>
    <w:rsid w:val="00BA6024"/>
    <w:rsid w:val="00BA60DE"/>
    <w:rsid w:val="00BA7037"/>
    <w:rsid w:val="00BA79C6"/>
    <w:rsid w:val="00BA7DAD"/>
    <w:rsid w:val="00BB0125"/>
    <w:rsid w:val="00BB0128"/>
    <w:rsid w:val="00BB1037"/>
    <w:rsid w:val="00BB1260"/>
    <w:rsid w:val="00BB137E"/>
    <w:rsid w:val="00BB144E"/>
    <w:rsid w:val="00BB1594"/>
    <w:rsid w:val="00BB1CC5"/>
    <w:rsid w:val="00BB2555"/>
    <w:rsid w:val="00BB25D8"/>
    <w:rsid w:val="00BB3215"/>
    <w:rsid w:val="00BB3E51"/>
    <w:rsid w:val="00BB54C6"/>
    <w:rsid w:val="00BB5594"/>
    <w:rsid w:val="00BB604F"/>
    <w:rsid w:val="00BB6268"/>
    <w:rsid w:val="00BB6B4E"/>
    <w:rsid w:val="00BC000B"/>
    <w:rsid w:val="00BC0A19"/>
    <w:rsid w:val="00BC0D19"/>
    <w:rsid w:val="00BC0ED2"/>
    <w:rsid w:val="00BC2252"/>
    <w:rsid w:val="00BC29C4"/>
    <w:rsid w:val="00BC2DF4"/>
    <w:rsid w:val="00BC309B"/>
    <w:rsid w:val="00BC39F8"/>
    <w:rsid w:val="00BC4090"/>
    <w:rsid w:val="00BC4314"/>
    <w:rsid w:val="00BC4A41"/>
    <w:rsid w:val="00BC6344"/>
    <w:rsid w:val="00BC6632"/>
    <w:rsid w:val="00BC6D8C"/>
    <w:rsid w:val="00BC7737"/>
    <w:rsid w:val="00BC79FB"/>
    <w:rsid w:val="00BD0471"/>
    <w:rsid w:val="00BD097C"/>
    <w:rsid w:val="00BD1C57"/>
    <w:rsid w:val="00BD287D"/>
    <w:rsid w:val="00BD28AF"/>
    <w:rsid w:val="00BD2BA1"/>
    <w:rsid w:val="00BD3599"/>
    <w:rsid w:val="00BD39ED"/>
    <w:rsid w:val="00BD4141"/>
    <w:rsid w:val="00BD4484"/>
    <w:rsid w:val="00BD4D7D"/>
    <w:rsid w:val="00BD4F8A"/>
    <w:rsid w:val="00BD57FF"/>
    <w:rsid w:val="00BD5FFE"/>
    <w:rsid w:val="00BD667F"/>
    <w:rsid w:val="00BD6AC7"/>
    <w:rsid w:val="00BD7063"/>
    <w:rsid w:val="00BE0C68"/>
    <w:rsid w:val="00BE10B1"/>
    <w:rsid w:val="00BE1287"/>
    <w:rsid w:val="00BE1FDA"/>
    <w:rsid w:val="00BE2316"/>
    <w:rsid w:val="00BE23D5"/>
    <w:rsid w:val="00BE257B"/>
    <w:rsid w:val="00BE2C1A"/>
    <w:rsid w:val="00BE2C51"/>
    <w:rsid w:val="00BE2D8F"/>
    <w:rsid w:val="00BE30C2"/>
    <w:rsid w:val="00BE33A5"/>
    <w:rsid w:val="00BE36E0"/>
    <w:rsid w:val="00BE469D"/>
    <w:rsid w:val="00BE51B2"/>
    <w:rsid w:val="00BE5BBF"/>
    <w:rsid w:val="00BE5D98"/>
    <w:rsid w:val="00BE5DF5"/>
    <w:rsid w:val="00BE70FF"/>
    <w:rsid w:val="00BE79F9"/>
    <w:rsid w:val="00BF00E0"/>
    <w:rsid w:val="00BF0E5F"/>
    <w:rsid w:val="00BF0FD4"/>
    <w:rsid w:val="00BF1407"/>
    <w:rsid w:val="00BF1FEF"/>
    <w:rsid w:val="00BF2225"/>
    <w:rsid w:val="00BF2512"/>
    <w:rsid w:val="00BF2665"/>
    <w:rsid w:val="00BF2DAC"/>
    <w:rsid w:val="00BF3290"/>
    <w:rsid w:val="00BF362B"/>
    <w:rsid w:val="00BF418D"/>
    <w:rsid w:val="00BF583D"/>
    <w:rsid w:val="00BF591B"/>
    <w:rsid w:val="00BF5D25"/>
    <w:rsid w:val="00BF70C4"/>
    <w:rsid w:val="00BF7B79"/>
    <w:rsid w:val="00C005C4"/>
    <w:rsid w:val="00C0079D"/>
    <w:rsid w:val="00C009E7"/>
    <w:rsid w:val="00C00E2E"/>
    <w:rsid w:val="00C0102E"/>
    <w:rsid w:val="00C01F74"/>
    <w:rsid w:val="00C02FAA"/>
    <w:rsid w:val="00C03ED6"/>
    <w:rsid w:val="00C04D8B"/>
    <w:rsid w:val="00C04E37"/>
    <w:rsid w:val="00C05F0F"/>
    <w:rsid w:val="00C0707E"/>
    <w:rsid w:val="00C07DE4"/>
    <w:rsid w:val="00C07F27"/>
    <w:rsid w:val="00C1048F"/>
    <w:rsid w:val="00C10F01"/>
    <w:rsid w:val="00C1122A"/>
    <w:rsid w:val="00C117D9"/>
    <w:rsid w:val="00C13912"/>
    <w:rsid w:val="00C1397B"/>
    <w:rsid w:val="00C13A8D"/>
    <w:rsid w:val="00C1404E"/>
    <w:rsid w:val="00C1409F"/>
    <w:rsid w:val="00C1428D"/>
    <w:rsid w:val="00C1480B"/>
    <w:rsid w:val="00C14FA2"/>
    <w:rsid w:val="00C1527C"/>
    <w:rsid w:val="00C15307"/>
    <w:rsid w:val="00C158CE"/>
    <w:rsid w:val="00C15A43"/>
    <w:rsid w:val="00C15F7E"/>
    <w:rsid w:val="00C16139"/>
    <w:rsid w:val="00C16C5E"/>
    <w:rsid w:val="00C17494"/>
    <w:rsid w:val="00C17613"/>
    <w:rsid w:val="00C17636"/>
    <w:rsid w:val="00C17DB6"/>
    <w:rsid w:val="00C20D44"/>
    <w:rsid w:val="00C21357"/>
    <w:rsid w:val="00C225E1"/>
    <w:rsid w:val="00C22CA3"/>
    <w:rsid w:val="00C234F8"/>
    <w:rsid w:val="00C23983"/>
    <w:rsid w:val="00C24DD1"/>
    <w:rsid w:val="00C26300"/>
    <w:rsid w:val="00C2632A"/>
    <w:rsid w:val="00C26C5A"/>
    <w:rsid w:val="00C270B6"/>
    <w:rsid w:val="00C2753F"/>
    <w:rsid w:val="00C303B3"/>
    <w:rsid w:val="00C30E16"/>
    <w:rsid w:val="00C32150"/>
    <w:rsid w:val="00C32583"/>
    <w:rsid w:val="00C32592"/>
    <w:rsid w:val="00C326FD"/>
    <w:rsid w:val="00C329AC"/>
    <w:rsid w:val="00C32B7F"/>
    <w:rsid w:val="00C3425E"/>
    <w:rsid w:val="00C3434D"/>
    <w:rsid w:val="00C346E6"/>
    <w:rsid w:val="00C348B3"/>
    <w:rsid w:val="00C34C43"/>
    <w:rsid w:val="00C35343"/>
    <w:rsid w:val="00C36293"/>
    <w:rsid w:val="00C362E4"/>
    <w:rsid w:val="00C37116"/>
    <w:rsid w:val="00C37CCE"/>
    <w:rsid w:val="00C40145"/>
    <w:rsid w:val="00C40381"/>
    <w:rsid w:val="00C4046E"/>
    <w:rsid w:val="00C409AD"/>
    <w:rsid w:val="00C41113"/>
    <w:rsid w:val="00C414FA"/>
    <w:rsid w:val="00C41707"/>
    <w:rsid w:val="00C428F8"/>
    <w:rsid w:val="00C43463"/>
    <w:rsid w:val="00C43B04"/>
    <w:rsid w:val="00C43DEB"/>
    <w:rsid w:val="00C44719"/>
    <w:rsid w:val="00C450BC"/>
    <w:rsid w:val="00C456BA"/>
    <w:rsid w:val="00C4644F"/>
    <w:rsid w:val="00C464D8"/>
    <w:rsid w:val="00C4671E"/>
    <w:rsid w:val="00C467E7"/>
    <w:rsid w:val="00C46B29"/>
    <w:rsid w:val="00C46D1A"/>
    <w:rsid w:val="00C476C2"/>
    <w:rsid w:val="00C50144"/>
    <w:rsid w:val="00C503DF"/>
    <w:rsid w:val="00C50885"/>
    <w:rsid w:val="00C509BD"/>
    <w:rsid w:val="00C51079"/>
    <w:rsid w:val="00C512E7"/>
    <w:rsid w:val="00C515CA"/>
    <w:rsid w:val="00C517C3"/>
    <w:rsid w:val="00C518EC"/>
    <w:rsid w:val="00C51E7F"/>
    <w:rsid w:val="00C5239E"/>
    <w:rsid w:val="00C5250E"/>
    <w:rsid w:val="00C53632"/>
    <w:rsid w:val="00C5364D"/>
    <w:rsid w:val="00C5387C"/>
    <w:rsid w:val="00C55F89"/>
    <w:rsid w:val="00C56B38"/>
    <w:rsid w:val="00C5739A"/>
    <w:rsid w:val="00C579A3"/>
    <w:rsid w:val="00C57A25"/>
    <w:rsid w:val="00C6023A"/>
    <w:rsid w:val="00C6052D"/>
    <w:rsid w:val="00C60950"/>
    <w:rsid w:val="00C61383"/>
    <w:rsid w:val="00C61E9C"/>
    <w:rsid w:val="00C62F38"/>
    <w:rsid w:val="00C6304D"/>
    <w:rsid w:val="00C63093"/>
    <w:rsid w:val="00C6317F"/>
    <w:rsid w:val="00C63303"/>
    <w:rsid w:val="00C63598"/>
    <w:rsid w:val="00C63DB5"/>
    <w:rsid w:val="00C64F4B"/>
    <w:rsid w:val="00C6516A"/>
    <w:rsid w:val="00C65D61"/>
    <w:rsid w:val="00C6639C"/>
    <w:rsid w:val="00C677DA"/>
    <w:rsid w:val="00C678F7"/>
    <w:rsid w:val="00C67B68"/>
    <w:rsid w:val="00C67F2A"/>
    <w:rsid w:val="00C7025B"/>
    <w:rsid w:val="00C709F3"/>
    <w:rsid w:val="00C70D7B"/>
    <w:rsid w:val="00C7116C"/>
    <w:rsid w:val="00C71E11"/>
    <w:rsid w:val="00C71F0C"/>
    <w:rsid w:val="00C7231B"/>
    <w:rsid w:val="00C72FFF"/>
    <w:rsid w:val="00C734AF"/>
    <w:rsid w:val="00C744E2"/>
    <w:rsid w:val="00C74CF6"/>
    <w:rsid w:val="00C74E2F"/>
    <w:rsid w:val="00C7528D"/>
    <w:rsid w:val="00C75401"/>
    <w:rsid w:val="00C76893"/>
    <w:rsid w:val="00C76F13"/>
    <w:rsid w:val="00C80385"/>
    <w:rsid w:val="00C80C76"/>
    <w:rsid w:val="00C81175"/>
    <w:rsid w:val="00C818CE"/>
    <w:rsid w:val="00C82030"/>
    <w:rsid w:val="00C82958"/>
    <w:rsid w:val="00C82C11"/>
    <w:rsid w:val="00C84C1B"/>
    <w:rsid w:val="00C84E8D"/>
    <w:rsid w:val="00C861EA"/>
    <w:rsid w:val="00C86805"/>
    <w:rsid w:val="00C86A3C"/>
    <w:rsid w:val="00C86A62"/>
    <w:rsid w:val="00C86CBF"/>
    <w:rsid w:val="00C871F3"/>
    <w:rsid w:val="00C87638"/>
    <w:rsid w:val="00C878D3"/>
    <w:rsid w:val="00C901F3"/>
    <w:rsid w:val="00C9039B"/>
    <w:rsid w:val="00C90483"/>
    <w:rsid w:val="00C906F3"/>
    <w:rsid w:val="00C90EAD"/>
    <w:rsid w:val="00C91624"/>
    <w:rsid w:val="00C92686"/>
    <w:rsid w:val="00C92840"/>
    <w:rsid w:val="00C9306D"/>
    <w:rsid w:val="00C94B1E"/>
    <w:rsid w:val="00C94CFC"/>
    <w:rsid w:val="00C9533B"/>
    <w:rsid w:val="00C960DA"/>
    <w:rsid w:val="00C96933"/>
    <w:rsid w:val="00C972FB"/>
    <w:rsid w:val="00C97553"/>
    <w:rsid w:val="00CA011A"/>
    <w:rsid w:val="00CA0418"/>
    <w:rsid w:val="00CA0786"/>
    <w:rsid w:val="00CA0A75"/>
    <w:rsid w:val="00CA1BFF"/>
    <w:rsid w:val="00CA1E5E"/>
    <w:rsid w:val="00CA22C9"/>
    <w:rsid w:val="00CA3BC2"/>
    <w:rsid w:val="00CA49E1"/>
    <w:rsid w:val="00CA4DC5"/>
    <w:rsid w:val="00CA4EAE"/>
    <w:rsid w:val="00CA5248"/>
    <w:rsid w:val="00CA5E5C"/>
    <w:rsid w:val="00CA677B"/>
    <w:rsid w:val="00CA684E"/>
    <w:rsid w:val="00CA69F8"/>
    <w:rsid w:val="00CA6E06"/>
    <w:rsid w:val="00CA6E20"/>
    <w:rsid w:val="00CA76A4"/>
    <w:rsid w:val="00CA7A1E"/>
    <w:rsid w:val="00CA7A6E"/>
    <w:rsid w:val="00CB0317"/>
    <w:rsid w:val="00CB08B9"/>
    <w:rsid w:val="00CB0AEC"/>
    <w:rsid w:val="00CB0D24"/>
    <w:rsid w:val="00CB0F79"/>
    <w:rsid w:val="00CB1457"/>
    <w:rsid w:val="00CB19D5"/>
    <w:rsid w:val="00CB4333"/>
    <w:rsid w:val="00CB6999"/>
    <w:rsid w:val="00CB7A77"/>
    <w:rsid w:val="00CC0861"/>
    <w:rsid w:val="00CC1EF4"/>
    <w:rsid w:val="00CC1FB4"/>
    <w:rsid w:val="00CC275E"/>
    <w:rsid w:val="00CC2987"/>
    <w:rsid w:val="00CC2D75"/>
    <w:rsid w:val="00CC2F33"/>
    <w:rsid w:val="00CC3423"/>
    <w:rsid w:val="00CC399E"/>
    <w:rsid w:val="00CC3B27"/>
    <w:rsid w:val="00CC40FA"/>
    <w:rsid w:val="00CC434D"/>
    <w:rsid w:val="00CC557C"/>
    <w:rsid w:val="00CC5587"/>
    <w:rsid w:val="00CC56DA"/>
    <w:rsid w:val="00CC56E4"/>
    <w:rsid w:val="00CC6F9F"/>
    <w:rsid w:val="00CC7303"/>
    <w:rsid w:val="00CC7AC7"/>
    <w:rsid w:val="00CD027D"/>
    <w:rsid w:val="00CD0411"/>
    <w:rsid w:val="00CD0C3F"/>
    <w:rsid w:val="00CD1614"/>
    <w:rsid w:val="00CD1B49"/>
    <w:rsid w:val="00CD1E16"/>
    <w:rsid w:val="00CD222A"/>
    <w:rsid w:val="00CD26FA"/>
    <w:rsid w:val="00CD35B6"/>
    <w:rsid w:val="00CD3E35"/>
    <w:rsid w:val="00CD40D3"/>
    <w:rsid w:val="00CD4147"/>
    <w:rsid w:val="00CD5712"/>
    <w:rsid w:val="00CD5A6C"/>
    <w:rsid w:val="00CD5A86"/>
    <w:rsid w:val="00CD5CE6"/>
    <w:rsid w:val="00CD63C6"/>
    <w:rsid w:val="00CD660C"/>
    <w:rsid w:val="00CD6A97"/>
    <w:rsid w:val="00CD6BA9"/>
    <w:rsid w:val="00CD71FE"/>
    <w:rsid w:val="00CD796A"/>
    <w:rsid w:val="00CD7BBB"/>
    <w:rsid w:val="00CE00BD"/>
    <w:rsid w:val="00CE021A"/>
    <w:rsid w:val="00CE0B9A"/>
    <w:rsid w:val="00CE1F97"/>
    <w:rsid w:val="00CE292F"/>
    <w:rsid w:val="00CE3BFE"/>
    <w:rsid w:val="00CE3C94"/>
    <w:rsid w:val="00CE3CA7"/>
    <w:rsid w:val="00CE4F79"/>
    <w:rsid w:val="00CE51FC"/>
    <w:rsid w:val="00CE555E"/>
    <w:rsid w:val="00CE5626"/>
    <w:rsid w:val="00CE57A5"/>
    <w:rsid w:val="00CE58F6"/>
    <w:rsid w:val="00CE59D1"/>
    <w:rsid w:val="00CE755A"/>
    <w:rsid w:val="00CE7583"/>
    <w:rsid w:val="00CE7EC3"/>
    <w:rsid w:val="00CF066B"/>
    <w:rsid w:val="00CF1460"/>
    <w:rsid w:val="00CF1599"/>
    <w:rsid w:val="00CF1BEF"/>
    <w:rsid w:val="00CF20F6"/>
    <w:rsid w:val="00CF2890"/>
    <w:rsid w:val="00CF2A22"/>
    <w:rsid w:val="00CF2EB7"/>
    <w:rsid w:val="00CF312B"/>
    <w:rsid w:val="00CF3F82"/>
    <w:rsid w:val="00CF4D80"/>
    <w:rsid w:val="00CF4DD7"/>
    <w:rsid w:val="00CF5F6A"/>
    <w:rsid w:val="00CF5F6F"/>
    <w:rsid w:val="00CF64FD"/>
    <w:rsid w:val="00CF6B89"/>
    <w:rsid w:val="00CF6CDD"/>
    <w:rsid w:val="00CF7148"/>
    <w:rsid w:val="00CF76F2"/>
    <w:rsid w:val="00CF7BCD"/>
    <w:rsid w:val="00CF7E4E"/>
    <w:rsid w:val="00D001F2"/>
    <w:rsid w:val="00D002E8"/>
    <w:rsid w:val="00D03C64"/>
    <w:rsid w:val="00D03EFC"/>
    <w:rsid w:val="00D04316"/>
    <w:rsid w:val="00D05126"/>
    <w:rsid w:val="00D06023"/>
    <w:rsid w:val="00D06666"/>
    <w:rsid w:val="00D1056E"/>
    <w:rsid w:val="00D105E7"/>
    <w:rsid w:val="00D114B6"/>
    <w:rsid w:val="00D11A2B"/>
    <w:rsid w:val="00D11A7A"/>
    <w:rsid w:val="00D12A27"/>
    <w:rsid w:val="00D12F34"/>
    <w:rsid w:val="00D12F58"/>
    <w:rsid w:val="00D1352E"/>
    <w:rsid w:val="00D13B4E"/>
    <w:rsid w:val="00D146F0"/>
    <w:rsid w:val="00D14846"/>
    <w:rsid w:val="00D14D2B"/>
    <w:rsid w:val="00D14E56"/>
    <w:rsid w:val="00D1526B"/>
    <w:rsid w:val="00D15517"/>
    <w:rsid w:val="00D156A4"/>
    <w:rsid w:val="00D16624"/>
    <w:rsid w:val="00D168D5"/>
    <w:rsid w:val="00D1738B"/>
    <w:rsid w:val="00D2084B"/>
    <w:rsid w:val="00D209FD"/>
    <w:rsid w:val="00D20A7A"/>
    <w:rsid w:val="00D20D7C"/>
    <w:rsid w:val="00D21A78"/>
    <w:rsid w:val="00D22A68"/>
    <w:rsid w:val="00D22E6C"/>
    <w:rsid w:val="00D2351B"/>
    <w:rsid w:val="00D23726"/>
    <w:rsid w:val="00D24413"/>
    <w:rsid w:val="00D248DB"/>
    <w:rsid w:val="00D249A3"/>
    <w:rsid w:val="00D24CDD"/>
    <w:rsid w:val="00D25C27"/>
    <w:rsid w:val="00D26734"/>
    <w:rsid w:val="00D26F09"/>
    <w:rsid w:val="00D274DF"/>
    <w:rsid w:val="00D275C7"/>
    <w:rsid w:val="00D301BB"/>
    <w:rsid w:val="00D30661"/>
    <w:rsid w:val="00D30CE9"/>
    <w:rsid w:val="00D30F28"/>
    <w:rsid w:val="00D318C5"/>
    <w:rsid w:val="00D31EAD"/>
    <w:rsid w:val="00D321FB"/>
    <w:rsid w:val="00D32729"/>
    <w:rsid w:val="00D32C64"/>
    <w:rsid w:val="00D33BC4"/>
    <w:rsid w:val="00D340CC"/>
    <w:rsid w:val="00D35965"/>
    <w:rsid w:val="00D35FC3"/>
    <w:rsid w:val="00D36786"/>
    <w:rsid w:val="00D379B8"/>
    <w:rsid w:val="00D37ED6"/>
    <w:rsid w:val="00D425CA"/>
    <w:rsid w:val="00D42BA0"/>
    <w:rsid w:val="00D42E3C"/>
    <w:rsid w:val="00D42EA1"/>
    <w:rsid w:val="00D42F5D"/>
    <w:rsid w:val="00D433F8"/>
    <w:rsid w:val="00D435A0"/>
    <w:rsid w:val="00D43FFB"/>
    <w:rsid w:val="00D443B9"/>
    <w:rsid w:val="00D44B8C"/>
    <w:rsid w:val="00D44DED"/>
    <w:rsid w:val="00D452DA"/>
    <w:rsid w:val="00D4576D"/>
    <w:rsid w:val="00D4582E"/>
    <w:rsid w:val="00D45B41"/>
    <w:rsid w:val="00D45C3C"/>
    <w:rsid w:val="00D45FA1"/>
    <w:rsid w:val="00D46474"/>
    <w:rsid w:val="00D46584"/>
    <w:rsid w:val="00D468F1"/>
    <w:rsid w:val="00D469FD"/>
    <w:rsid w:val="00D47146"/>
    <w:rsid w:val="00D47356"/>
    <w:rsid w:val="00D47FBC"/>
    <w:rsid w:val="00D50130"/>
    <w:rsid w:val="00D50BB0"/>
    <w:rsid w:val="00D50CFD"/>
    <w:rsid w:val="00D51006"/>
    <w:rsid w:val="00D5132D"/>
    <w:rsid w:val="00D51541"/>
    <w:rsid w:val="00D517C5"/>
    <w:rsid w:val="00D517E8"/>
    <w:rsid w:val="00D51B0B"/>
    <w:rsid w:val="00D51BC7"/>
    <w:rsid w:val="00D52270"/>
    <w:rsid w:val="00D52389"/>
    <w:rsid w:val="00D534E3"/>
    <w:rsid w:val="00D539EB"/>
    <w:rsid w:val="00D53AFE"/>
    <w:rsid w:val="00D54DAE"/>
    <w:rsid w:val="00D55CA9"/>
    <w:rsid w:val="00D569F5"/>
    <w:rsid w:val="00D57C27"/>
    <w:rsid w:val="00D57F24"/>
    <w:rsid w:val="00D6165A"/>
    <w:rsid w:val="00D61E96"/>
    <w:rsid w:val="00D61F39"/>
    <w:rsid w:val="00D633C1"/>
    <w:rsid w:val="00D63624"/>
    <w:rsid w:val="00D63A98"/>
    <w:rsid w:val="00D64637"/>
    <w:rsid w:val="00D6669E"/>
    <w:rsid w:val="00D66E3E"/>
    <w:rsid w:val="00D67B5D"/>
    <w:rsid w:val="00D67F49"/>
    <w:rsid w:val="00D67F57"/>
    <w:rsid w:val="00D7093A"/>
    <w:rsid w:val="00D7099C"/>
    <w:rsid w:val="00D70E1A"/>
    <w:rsid w:val="00D70F52"/>
    <w:rsid w:val="00D7134F"/>
    <w:rsid w:val="00D71513"/>
    <w:rsid w:val="00D71BE7"/>
    <w:rsid w:val="00D71C4D"/>
    <w:rsid w:val="00D72571"/>
    <w:rsid w:val="00D72D22"/>
    <w:rsid w:val="00D72D92"/>
    <w:rsid w:val="00D739DE"/>
    <w:rsid w:val="00D73E00"/>
    <w:rsid w:val="00D758D8"/>
    <w:rsid w:val="00D75D6C"/>
    <w:rsid w:val="00D764D6"/>
    <w:rsid w:val="00D76CB1"/>
    <w:rsid w:val="00D774C0"/>
    <w:rsid w:val="00D80275"/>
    <w:rsid w:val="00D803CD"/>
    <w:rsid w:val="00D807C3"/>
    <w:rsid w:val="00D809E3"/>
    <w:rsid w:val="00D80B26"/>
    <w:rsid w:val="00D81265"/>
    <w:rsid w:val="00D818FB"/>
    <w:rsid w:val="00D822F4"/>
    <w:rsid w:val="00D822FA"/>
    <w:rsid w:val="00D823EF"/>
    <w:rsid w:val="00D82441"/>
    <w:rsid w:val="00D83694"/>
    <w:rsid w:val="00D83A6B"/>
    <w:rsid w:val="00D83FB2"/>
    <w:rsid w:val="00D866F0"/>
    <w:rsid w:val="00D868E7"/>
    <w:rsid w:val="00D870AB"/>
    <w:rsid w:val="00D873D0"/>
    <w:rsid w:val="00D8784D"/>
    <w:rsid w:val="00D87C97"/>
    <w:rsid w:val="00D9002F"/>
    <w:rsid w:val="00D90831"/>
    <w:rsid w:val="00D90A27"/>
    <w:rsid w:val="00D917C5"/>
    <w:rsid w:val="00D920E1"/>
    <w:rsid w:val="00D922B0"/>
    <w:rsid w:val="00D9273D"/>
    <w:rsid w:val="00D92915"/>
    <w:rsid w:val="00D92BF3"/>
    <w:rsid w:val="00D939B7"/>
    <w:rsid w:val="00D93A6A"/>
    <w:rsid w:val="00D93BDC"/>
    <w:rsid w:val="00D93C42"/>
    <w:rsid w:val="00D95A44"/>
    <w:rsid w:val="00D95D5F"/>
    <w:rsid w:val="00D95D94"/>
    <w:rsid w:val="00D962EA"/>
    <w:rsid w:val="00D96E58"/>
    <w:rsid w:val="00D975FD"/>
    <w:rsid w:val="00D97D1B"/>
    <w:rsid w:val="00D97E11"/>
    <w:rsid w:val="00DA0071"/>
    <w:rsid w:val="00DA0D5B"/>
    <w:rsid w:val="00DA0D76"/>
    <w:rsid w:val="00DA1328"/>
    <w:rsid w:val="00DA1CD5"/>
    <w:rsid w:val="00DA22C7"/>
    <w:rsid w:val="00DA2663"/>
    <w:rsid w:val="00DA26DF"/>
    <w:rsid w:val="00DA32C5"/>
    <w:rsid w:val="00DA378F"/>
    <w:rsid w:val="00DA3975"/>
    <w:rsid w:val="00DA4691"/>
    <w:rsid w:val="00DA6080"/>
    <w:rsid w:val="00DA6AE8"/>
    <w:rsid w:val="00DA6F0E"/>
    <w:rsid w:val="00DA77F4"/>
    <w:rsid w:val="00DA7975"/>
    <w:rsid w:val="00DA7EB8"/>
    <w:rsid w:val="00DB0373"/>
    <w:rsid w:val="00DB03D8"/>
    <w:rsid w:val="00DB111F"/>
    <w:rsid w:val="00DB1872"/>
    <w:rsid w:val="00DB1991"/>
    <w:rsid w:val="00DB2236"/>
    <w:rsid w:val="00DB22F0"/>
    <w:rsid w:val="00DB2CC3"/>
    <w:rsid w:val="00DB2EF6"/>
    <w:rsid w:val="00DB4B61"/>
    <w:rsid w:val="00DB543A"/>
    <w:rsid w:val="00DB5765"/>
    <w:rsid w:val="00DB586C"/>
    <w:rsid w:val="00DB6319"/>
    <w:rsid w:val="00DB6462"/>
    <w:rsid w:val="00DB7A8A"/>
    <w:rsid w:val="00DB7F61"/>
    <w:rsid w:val="00DC005B"/>
    <w:rsid w:val="00DC0429"/>
    <w:rsid w:val="00DC0832"/>
    <w:rsid w:val="00DC1119"/>
    <w:rsid w:val="00DC25DD"/>
    <w:rsid w:val="00DC375A"/>
    <w:rsid w:val="00DC3A5D"/>
    <w:rsid w:val="00DC3CED"/>
    <w:rsid w:val="00DC47D0"/>
    <w:rsid w:val="00DC5519"/>
    <w:rsid w:val="00DC57F2"/>
    <w:rsid w:val="00DC656A"/>
    <w:rsid w:val="00DC6C14"/>
    <w:rsid w:val="00DC6CF0"/>
    <w:rsid w:val="00DC72FE"/>
    <w:rsid w:val="00DC7568"/>
    <w:rsid w:val="00DC7AF4"/>
    <w:rsid w:val="00DD0411"/>
    <w:rsid w:val="00DD046C"/>
    <w:rsid w:val="00DD0538"/>
    <w:rsid w:val="00DD17EC"/>
    <w:rsid w:val="00DD2219"/>
    <w:rsid w:val="00DD2C05"/>
    <w:rsid w:val="00DD2F45"/>
    <w:rsid w:val="00DD377F"/>
    <w:rsid w:val="00DD393E"/>
    <w:rsid w:val="00DD3A7F"/>
    <w:rsid w:val="00DD4731"/>
    <w:rsid w:val="00DD4ED5"/>
    <w:rsid w:val="00DD51D5"/>
    <w:rsid w:val="00DD55C6"/>
    <w:rsid w:val="00DD6600"/>
    <w:rsid w:val="00DD68BC"/>
    <w:rsid w:val="00DD69BF"/>
    <w:rsid w:val="00DD7851"/>
    <w:rsid w:val="00DD7E08"/>
    <w:rsid w:val="00DD7E1D"/>
    <w:rsid w:val="00DE00A3"/>
    <w:rsid w:val="00DE09CE"/>
    <w:rsid w:val="00DE160E"/>
    <w:rsid w:val="00DE1667"/>
    <w:rsid w:val="00DE19D8"/>
    <w:rsid w:val="00DE1A54"/>
    <w:rsid w:val="00DE1B2A"/>
    <w:rsid w:val="00DE1F69"/>
    <w:rsid w:val="00DE1FA2"/>
    <w:rsid w:val="00DE25DF"/>
    <w:rsid w:val="00DE2A46"/>
    <w:rsid w:val="00DE36C6"/>
    <w:rsid w:val="00DE3FC4"/>
    <w:rsid w:val="00DE47FE"/>
    <w:rsid w:val="00DE5065"/>
    <w:rsid w:val="00DE5103"/>
    <w:rsid w:val="00DE5415"/>
    <w:rsid w:val="00DE5DBD"/>
    <w:rsid w:val="00DE64D5"/>
    <w:rsid w:val="00DE7118"/>
    <w:rsid w:val="00DE7A78"/>
    <w:rsid w:val="00DF0394"/>
    <w:rsid w:val="00DF067E"/>
    <w:rsid w:val="00DF184C"/>
    <w:rsid w:val="00DF226B"/>
    <w:rsid w:val="00DF3018"/>
    <w:rsid w:val="00DF37DD"/>
    <w:rsid w:val="00DF49A1"/>
    <w:rsid w:val="00DF4ACB"/>
    <w:rsid w:val="00DF51B5"/>
    <w:rsid w:val="00DF557E"/>
    <w:rsid w:val="00DF578F"/>
    <w:rsid w:val="00DF5FA9"/>
    <w:rsid w:val="00DF6180"/>
    <w:rsid w:val="00DF6EE9"/>
    <w:rsid w:val="00DF707D"/>
    <w:rsid w:val="00DF76B6"/>
    <w:rsid w:val="00E0014A"/>
    <w:rsid w:val="00E01403"/>
    <w:rsid w:val="00E01578"/>
    <w:rsid w:val="00E01580"/>
    <w:rsid w:val="00E01A52"/>
    <w:rsid w:val="00E02CC6"/>
    <w:rsid w:val="00E03E98"/>
    <w:rsid w:val="00E043EC"/>
    <w:rsid w:val="00E04B5F"/>
    <w:rsid w:val="00E04FE8"/>
    <w:rsid w:val="00E05F9A"/>
    <w:rsid w:val="00E063AC"/>
    <w:rsid w:val="00E06753"/>
    <w:rsid w:val="00E06993"/>
    <w:rsid w:val="00E06BBD"/>
    <w:rsid w:val="00E0715E"/>
    <w:rsid w:val="00E10261"/>
    <w:rsid w:val="00E123DD"/>
    <w:rsid w:val="00E12C97"/>
    <w:rsid w:val="00E131C9"/>
    <w:rsid w:val="00E132CE"/>
    <w:rsid w:val="00E14125"/>
    <w:rsid w:val="00E1457C"/>
    <w:rsid w:val="00E14A80"/>
    <w:rsid w:val="00E14AB9"/>
    <w:rsid w:val="00E15001"/>
    <w:rsid w:val="00E15596"/>
    <w:rsid w:val="00E15C40"/>
    <w:rsid w:val="00E164DA"/>
    <w:rsid w:val="00E16583"/>
    <w:rsid w:val="00E166C0"/>
    <w:rsid w:val="00E16E48"/>
    <w:rsid w:val="00E2008D"/>
    <w:rsid w:val="00E20600"/>
    <w:rsid w:val="00E20FE7"/>
    <w:rsid w:val="00E211BB"/>
    <w:rsid w:val="00E21E83"/>
    <w:rsid w:val="00E2206B"/>
    <w:rsid w:val="00E231A0"/>
    <w:rsid w:val="00E23212"/>
    <w:rsid w:val="00E23AF7"/>
    <w:rsid w:val="00E2409D"/>
    <w:rsid w:val="00E24384"/>
    <w:rsid w:val="00E24602"/>
    <w:rsid w:val="00E25DEF"/>
    <w:rsid w:val="00E27025"/>
    <w:rsid w:val="00E30AE7"/>
    <w:rsid w:val="00E30C27"/>
    <w:rsid w:val="00E30EBB"/>
    <w:rsid w:val="00E317C4"/>
    <w:rsid w:val="00E3224F"/>
    <w:rsid w:val="00E322FF"/>
    <w:rsid w:val="00E3243F"/>
    <w:rsid w:val="00E3258A"/>
    <w:rsid w:val="00E32E23"/>
    <w:rsid w:val="00E32E43"/>
    <w:rsid w:val="00E33062"/>
    <w:rsid w:val="00E33233"/>
    <w:rsid w:val="00E33E68"/>
    <w:rsid w:val="00E33F99"/>
    <w:rsid w:val="00E34276"/>
    <w:rsid w:val="00E36524"/>
    <w:rsid w:val="00E3668A"/>
    <w:rsid w:val="00E370D6"/>
    <w:rsid w:val="00E3730E"/>
    <w:rsid w:val="00E3748D"/>
    <w:rsid w:val="00E374CA"/>
    <w:rsid w:val="00E3756B"/>
    <w:rsid w:val="00E375DF"/>
    <w:rsid w:val="00E37751"/>
    <w:rsid w:val="00E377DB"/>
    <w:rsid w:val="00E378B7"/>
    <w:rsid w:val="00E379B0"/>
    <w:rsid w:val="00E40A4E"/>
    <w:rsid w:val="00E40AC5"/>
    <w:rsid w:val="00E40EBF"/>
    <w:rsid w:val="00E41418"/>
    <w:rsid w:val="00E419F1"/>
    <w:rsid w:val="00E41E04"/>
    <w:rsid w:val="00E42507"/>
    <w:rsid w:val="00E42B28"/>
    <w:rsid w:val="00E4338C"/>
    <w:rsid w:val="00E438AB"/>
    <w:rsid w:val="00E44353"/>
    <w:rsid w:val="00E454FE"/>
    <w:rsid w:val="00E47095"/>
    <w:rsid w:val="00E471EE"/>
    <w:rsid w:val="00E47B4D"/>
    <w:rsid w:val="00E47B69"/>
    <w:rsid w:val="00E5043A"/>
    <w:rsid w:val="00E5044D"/>
    <w:rsid w:val="00E50D71"/>
    <w:rsid w:val="00E51850"/>
    <w:rsid w:val="00E51A2B"/>
    <w:rsid w:val="00E5259C"/>
    <w:rsid w:val="00E52829"/>
    <w:rsid w:val="00E52B69"/>
    <w:rsid w:val="00E52CBA"/>
    <w:rsid w:val="00E52F2F"/>
    <w:rsid w:val="00E5385E"/>
    <w:rsid w:val="00E53FA5"/>
    <w:rsid w:val="00E54083"/>
    <w:rsid w:val="00E5434D"/>
    <w:rsid w:val="00E5603C"/>
    <w:rsid w:val="00E5614B"/>
    <w:rsid w:val="00E56BA0"/>
    <w:rsid w:val="00E56D28"/>
    <w:rsid w:val="00E576C5"/>
    <w:rsid w:val="00E57AA2"/>
    <w:rsid w:val="00E60B2B"/>
    <w:rsid w:val="00E61449"/>
    <w:rsid w:val="00E61AF2"/>
    <w:rsid w:val="00E61EE1"/>
    <w:rsid w:val="00E6292B"/>
    <w:rsid w:val="00E62A84"/>
    <w:rsid w:val="00E62CD6"/>
    <w:rsid w:val="00E63ACF"/>
    <w:rsid w:val="00E645E5"/>
    <w:rsid w:val="00E66739"/>
    <w:rsid w:val="00E67192"/>
    <w:rsid w:val="00E67403"/>
    <w:rsid w:val="00E67713"/>
    <w:rsid w:val="00E67CCB"/>
    <w:rsid w:val="00E70666"/>
    <w:rsid w:val="00E70BB2"/>
    <w:rsid w:val="00E714E6"/>
    <w:rsid w:val="00E7198A"/>
    <w:rsid w:val="00E72266"/>
    <w:rsid w:val="00E7407F"/>
    <w:rsid w:val="00E74588"/>
    <w:rsid w:val="00E746A2"/>
    <w:rsid w:val="00E746B8"/>
    <w:rsid w:val="00E74F00"/>
    <w:rsid w:val="00E7512D"/>
    <w:rsid w:val="00E765A6"/>
    <w:rsid w:val="00E76FE7"/>
    <w:rsid w:val="00E77616"/>
    <w:rsid w:val="00E77859"/>
    <w:rsid w:val="00E8004A"/>
    <w:rsid w:val="00E80ABD"/>
    <w:rsid w:val="00E8101B"/>
    <w:rsid w:val="00E81442"/>
    <w:rsid w:val="00E81A64"/>
    <w:rsid w:val="00E81DD0"/>
    <w:rsid w:val="00E8264A"/>
    <w:rsid w:val="00E82769"/>
    <w:rsid w:val="00E84484"/>
    <w:rsid w:val="00E849D3"/>
    <w:rsid w:val="00E84EFE"/>
    <w:rsid w:val="00E84F6F"/>
    <w:rsid w:val="00E857BC"/>
    <w:rsid w:val="00E85BB2"/>
    <w:rsid w:val="00E85E2B"/>
    <w:rsid w:val="00E86F1E"/>
    <w:rsid w:val="00E875CE"/>
    <w:rsid w:val="00E87CC8"/>
    <w:rsid w:val="00E87DA2"/>
    <w:rsid w:val="00E91256"/>
    <w:rsid w:val="00E91300"/>
    <w:rsid w:val="00E92B99"/>
    <w:rsid w:val="00E92C3C"/>
    <w:rsid w:val="00E93D9F"/>
    <w:rsid w:val="00E93EA7"/>
    <w:rsid w:val="00E94B4B"/>
    <w:rsid w:val="00E94D9E"/>
    <w:rsid w:val="00E94E0C"/>
    <w:rsid w:val="00E95486"/>
    <w:rsid w:val="00E95637"/>
    <w:rsid w:val="00E959A4"/>
    <w:rsid w:val="00E96F21"/>
    <w:rsid w:val="00E97334"/>
    <w:rsid w:val="00E9787B"/>
    <w:rsid w:val="00E97A13"/>
    <w:rsid w:val="00E97D9C"/>
    <w:rsid w:val="00EA0098"/>
    <w:rsid w:val="00EA0165"/>
    <w:rsid w:val="00EA07A4"/>
    <w:rsid w:val="00EA0B7D"/>
    <w:rsid w:val="00EA12A7"/>
    <w:rsid w:val="00EA17FB"/>
    <w:rsid w:val="00EA20C0"/>
    <w:rsid w:val="00EA2A76"/>
    <w:rsid w:val="00EA3A43"/>
    <w:rsid w:val="00EA3E60"/>
    <w:rsid w:val="00EA46E3"/>
    <w:rsid w:val="00EA4BE2"/>
    <w:rsid w:val="00EA4E47"/>
    <w:rsid w:val="00EA52D9"/>
    <w:rsid w:val="00EA5845"/>
    <w:rsid w:val="00EA6966"/>
    <w:rsid w:val="00EA7FD7"/>
    <w:rsid w:val="00EB0A92"/>
    <w:rsid w:val="00EB104A"/>
    <w:rsid w:val="00EB11C1"/>
    <w:rsid w:val="00EB15D3"/>
    <w:rsid w:val="00EB1AE1"/>
    <w:rsid w:val="00EB27CE"/>
    <w:rsid w:val="00EB30EB"/>
    <w:rsid w:val="00EB35ED"/>
    <w:rsid w:val="00EB3933"/>
    <w:rsid w:val="00EB51DB"/>
    <w:rsid w:val="00EB5499"/>
    <w:rsid w:val="00EB63AE"/>
    <w:rsid w:val="00EB6503"/>
    <w:rsid w:val="00EB75A7"/>
    <w:rsid w:val="00EC0386"/>
    <w:rsid w:val="00EC0A98"/>
    <w:rsid w:val="00EC20EF"/>
    <w:rsid w:val="00EC2AB1"/>
    <w:rsid w:val="00EC2EAA"/>
    <w:rsid w:val="00EC320B"/>
    <w:rsid w:val="00EC347E"/>
    <w:rsid w:val="00EC3581"/>
    <w:rsid w:val="00EC3592"/>
    <w:rsid w:val="00EC3C47"/>
    <w:rsid w:val="00EC3C6B"/>
    <w:rsid w:val="00EC418A"/>
    <w:rsid w:val="00EC503D"/>
    <w:rsid w:val="00EC59C2"/>
    <w:rsid w:val="00EC6460"/>
    <w:rsid w:val="00EC65C6"/>
    <w:rsid w:val="00EC6B9D"/>
    <w:rsid w:val="00EC6EB1"/>
    <w:rsid w:val="00EC77DB"/>
    <w:rsid w:val="00ED08E9"/>
    <w:rsid w:val="00ED0B05"/>
    <w:rsid w:val="00ED0FA7"/>
    <w:rsid w:val="00ED0FCB"/>
    <w:rsid w:val="00ED1261"/>
    <w:rsid w:val="00ED16D2"/>
    <w:rsid w:val="00ED1A87"/>
    <w:rsid w:val="00ED1EE8"/>
    <w:rsid w:val="00ED2207"/>
    <w:rsid w:val="00ED2214"/>
    <w:rsid w:val="00ED2820"/>
    <w:rsid w:val="00ED29DD"/>
    <w:rsid w:val="00ED33DE"/>
    <w:rsid w:val="00ED4138"/>
    <w:rsid w:val="00ED46D9"/>
    <w:rsid w:val="00ED47AE"/>
    <w:rsid w:val="00ED502F"/>
    <w:rsid w:val="00ED519E"/>
    <w:rsid w:val="00ED54C8"/>
    <w:rsid w:val="00ED5553"/>
    <w:rsid w:val="00ED59BB"/>
    <w:rsid w:val="00ED5CF8"/>
    <w:rsid w:val="00ED5D0E"/>
    <w:rsid w:val="00ED6481"/>
    <w:rsid w:val="00ED6A33"/>
    <w:rsid w:val="00ED7667"/>
    <w:rsid w:val="00ED76E4"/>
    <w:rsid w:val="00ED7E20"/>
    <w:rsid w:val="00EE0012"/>
    <w:rsid w:val="00EE01DC"/>
    <w:rsid w:val="00EE0B35"/>
    <w:rsid w:val="00EE0C90"/>
    <w:rsid w:val="00EE18AB"/>
    <w:rsid w:val="00EE19C3"/>
    <w:rsid w:val="00EE1A15"/>
    <w:rsid w:val="00EE3284"/>
    <w:rsid w:val="00EE3854"/>
    <w:rsid w:val="00EE395B"/>
    <w:rsid w:val="00EE3E4D"/>
    <w:rsid w:val="00EE4B09"/>
    <w:rsid w:val="00EE4DF4"/>
    <w:rsid w:val="00EE4EBC"/>
    <w:rsid w:val="00EE4F41"/>
    <w:rsid w:val="00EE5080"/>
    <w:rsid w:val="00EE51DD"/>
    <w:rsid w:val="00EE6E2D"/>
    <w:rsid w:val="00EE6E98"/>
    <w:rsid w:val="00EE7011"/>
    <w:rsid w:val="00EE7488"/>
    <w:rsid w:val="00EF0089"/>
    <w:rsid w:val="00EF040B"/>
    <w:rsid w:val="00EF1500"/>
    <w:rsid w:val="00EF186C"/>
    <w:rsid w:val="00EF18A1"/>
    <w:rsid w:val="00EF2026"/>
    <w:rsid w:val="00EF25BA"/>
    <w:rsid w:val="00EF26ED"/>
    <w:rsid w:val="00EF2B23"/>
    <w:rsid w:val="00EF3C45"/>
    <w:rsid w:val="00EF3E7E"/>
    <w:rsid w:val="00EF4AD2"/>
    <w:rsid w:val="00EF5178"/>
    <w:rsid w:val="00EF51AB"/>
    <w:rsid w:val="00EF55C7"/>
    <w:rsid w:val="00EF59F0"/>
    <w:rsid w:val="00EF6195"/>
    <w:rsid w:val="00EF63A6"/>
    <w:rsid w:val="00EF673B"/>
    <w:rsid w:val="00EF79DF"/>
    <w:rsid w:val="00F00300"/>
    <w:rsid w:val="00F0073F"/>
    <w:rsid w:val="00F0077B"/>
    <w:rsid w:val="00F01071"/>
    <w:rsid w:val="00F010C8"/>
    <w:rsid w:val="00F01507"/>
    <w:rsid w:val="00F01B95"/>
    <w:rsid w:val="00F01CCF"/>
    <w:rsid w:val="00F02002"/>
    <w:rsid w:val="00F02774"/>
    <w:rsid w:val="00F02777"/>
    <w:rsid w:val="00F02BF7"/>
    <w:rsid w:val="00F04644"/>
    <w:rsid w:val="00F049B1"/>
    <w:rsid w:val="00F04B7F"/>
    <w:rsid w:val="00F04D3B"/>
    <w:rsid w:val="00F04E6E"/>
    <w:rsid w:val="00F04EF9"/>
    <w:rsid w:val="00F054A5"/>
    <w:rsid w:val="00F054D1"/>
    <w:rsid w:val="00F061A8"/>
    <w:rsid w:val="00F06A7D"/>
    <w:rsid w:val="00F100D4"/>
    <w:rsid w:val="00F10BBB"/>
    <w:rsid w:val="00F110F3"/>
    <w:rsid w:val="00F11173"/>
    <w:rsid w:val="00F111A3"/>
    <w:rsid w:val="00F111BA"/>
    <w:rsid w:val="00F1147A"/>
    <w:rsid w:val="00F12278"/>
    <w:rsid w:val="00F12430"/>
    <w:rsid w:val="00F12636"/>
    <w:rsid w:val="00F12E9E"/>
    <w:rsid w:val="00F1429C"/>
    <w:rsid w:val="00F14F50"/>
    <w:rsid w:val="00F153A1"/>
    <w:rsid w:val="00F15A20"/>
    <w:rsid w:val="00F1706E"/>
    <w:rsid w:val="00F175E2"/>
    <w:rsid w:val="00F178A8"/>
    <w:rsid w:val="00F17D58"/>
    <w:rsid w:val="00F2019A"/>
    <w:rsid w:val="00F202E1"/>
    <w:rsid w:val="00F20471"/>
    <w:rsid w:val="00F215D1"/>
    <w:rsid w:val="00F217BB"/>
    <w:rsid w:val="00F21A4A"/>
    <w:rsid w:val="00F21AFC"/>
    <w:rsid w:val="00F22367"/>
    <w:rsid w:val="00F22725"/>
    <w:rsid w:val="00F229C8"/>
    <w:rsid w:val="00F232F9"/>
    <w:rsid w:val="00F2454D"/>
    <w:rsid w:val="00F24611"/>
    <w:rsid w:val="00F25060"/>
    <w:rsid w:val="00F25298"/>
    <w:rsid w:val="00F252AE"/>
    <w:rsid w:val="00F25B7C"/>
    <w:rsid w:val="00F2678A"/>
    <w:rsid w:val="00F26EA7"/>
    <w:rsid w:val="00F26FF6"/>
    <w:rsid w:val="00F278EA"/>
    <w:rsid w:val="00F27DD0"/>
    <w:rsid w:val="00F27FF9"/>
    <w:rsid w:val="00F30173"/>
    <w:rsid w:val="00F30873"/>
    <w:rsid w:val="00F30A56"/>
    <w:rsid w:val="00F30B85"/>
    <w:rsid w:val="00F31873"/>
    <w:rsid w:val="00F3334C"/>
    <w:rsid w:val="00F339BD"/>
    <w:rsid w:val="00F33D09"/>
    <w:rsid w:val="00F340F7"/>
    <w:rsid w:val="00F34340"/>
    <w:rsid w:val="00F3452D"/>
    <w:rsid w:val="00F34B5A"/>
    <w:rsid w:val="00F34D72"/>
    <w:rsid w:val="00F352D8"/>
    <w:rsid w:val="00F36221"/>
    <w:rsid w:val="00F36720"/>
    <w:rsid w:val="00F3716D"/>
    <w:rsid w:val="00F3736F"/>
    <w:rsid w:val="00F37A0D"/>
    <w:rsid w:val="00F37F7C"/>
    <w:rsid w:val="00F4033C"/>
    <w:rsid w:val="00F40687"/>
    <w:rsid w:val="00F40E27"/>
    <w:rsid w:val="00F40F3A"/>
    <w:rsid w:val="00F41968"/>
    <w:rsid w:val="00F41C46"/>
    <w:rsid w:val="00F41DD5"/>
    <w:rsid w:val="00F437DE"/>
    <w:rsid w:val="00F43E3D"/>
    <w:rsid w:val="00F44116"/>
    <w:rsid w:val="00F44525"/>
    <w:rsid w:val="00F451EE"/>
    <w:rsid w:val="00F4574A"/>
    <w:rsid w:val="00F459CA"/>
    <w:rsid w:val="00F45D6A"/>
    <w:rsid w:val="00F46D28"/>
    <w:rsid w:val="00F47051"/>
    <w:rsid w:val="00F476B8"/>
    <w:rsid w:val="00F53A96"/>
    <w:rsid w:val="00F54076"/>
    <w:rsid w:val="00F54253"/>
    <w:rsid w:val="00F54537"/>
    <w:rsid w:val="00F54669"/>
    <w:rsid w:val="00F550DC"/>
    <w:rsid w:val="00F550ED"/>
    <w:rsid w:val="00F55A80"/>
    <w:rsid w:val="00F55C8E"/>
    <w:rsid w:val="00F56432"/>
    <w:rsid w:val="00F56D72"/>
    <w:rsid w:val="00F574D9"/>
    <w:rsid w:val="00F57C3E"/>
    <w:rsid w:val="00F60F0D"/>
    <w:rsid w:val="00F614BA"/>
    <w:rsid w:val="00F61C83"/>
    <w:rsid w:val="00F61D43"/>
    <w:rsid w:val="00F623BD"/>
    <w:rsid w:val="00F627EA"/>
    <w:rsid w:val="00F63437"/>
    <w:rsid w:val="00F64337"/>
    <w:rsid w:val="00F6440D"/>
    <w:rsid w:val="00F652D5"/>
    <w:rsid w:val="00F653ED"/>
    <w:rsid w:val="00F65E9B"/>
    <w:rsid w:val="00F67515"/>
    <w:rsid w:val="00F675CF"/>
    <w:rsid w:val="00F700C6"/>
    <w:rsid w:val="00F704FF"/>
    <w:rsid w:val="00F711A9"/>
    <w:rsid w:val="00F7224F"/>
    <w:rsid w:val="00F72AF1"/>
    <w:rsid w:val="00F734DB"/>
    <w:rsid w:val="00F736BB"/>
    <w:rsid w:val="00F736E3"/>
    <w:rsid w:val="00F73E49"/>
    <w:rsid w:val="00F7401D"/>
    <w:rsid w:val="00F75BD6"/>
    <w:rsid w:val="00F75BD7"/>
    <w:rsid w:val="00F7666F"/>
    <w:rsid w:val="00F76B59"/>
    <w:rsid w:val="00F77125"/>
    <w:rsid w:val="00F77F8A"/>
    <w:rsid w:val="00F806D1"/>
    <w:rsid w:val="00F81966"/>
    <w:rsid w:val="00F829F2"/>
    <w:rsid w:val="00F8365A"/>
    <w:rsid w:val="00F838AB"/>
    <w:rsid w:val="00F83DE7"/>
    <w:rsid w:val="00F84243"/>
    <w:rsid w:val="00F85085"/>
    <w:rsid w:val="00F8532B"/>
    <w:rsid w:val="00F856F9"/>
    <w:rsid w:val="00F85BB7"/>
    <w:rsid w:val="00F85E16"/>
    <w:rsid w:val="00F860A3"/>
    <w:rsid w:val="00F867D6"/>
    <w:rsid w:val="00F87486"/>
    <w:rsid w:val="00F87561"/>
    <w:rsid w:val="00F87F99"/>
    <w:rsid w:val="00F90465"/>
    <w:rsid w:val="00F9144F"/>
    <w:rsid w:val="00F91CE5"/>
    <w:rsid w:val="00F91E3A"/>
    <w:rsid w:val="00F91F88"/>
    <w:rsid w:val="00F9223D"/>
    <w:rsid w:val="00F93B79"/>
    <w:rsid w:val="00F93D93"/>
    <w:rsid w:val="00F94594"/>
    <w:rsid w:val="00F94A89"/>
    <w:rsid w:val="00F94BBE"/>
    <w:rsid w:val="00F950F5"/>
    <w:rsid w:val="00F9565F"/>
    <w:rsid w:val="00F95724"/>
    <w:rsid w:val="00F96313"/>
    <w:rsid w:val="00F96DC8"/>
    <w:rsid w:val="00F979C4"/>
    <w:rsid w:val="00F97B22"/>
    <w:rsid w:val="00F97C9F"/>
    <w:rsid w:val="00F97F31"/>
    <w:rsid w:val="00FA06DA"/>
    <w:rsid w:val="00FA177B"/>
    <w:rsid w:val="00FA2694"/>
    <w:rsid w:val="00FA2756"/>
    <w:rsid w:val="00FA2AD6"/>
    <w:rsid w:val="00FA2B6F"/>
    <w:rsid w:val="00FA2E9F"/>
    <w:rsid w:val="00FA330C"/>
    <w:rsid w:val="00FA34A1"/>
    <w:rsid w:val="00FA3732"/>
    <w:rsid w:val="00FA375C"/>
    <w:rsid w:val="00FA3B2A"/>
    <w:rsid w:val="00FA3C1C"/>
    <w:rsid w:val="00FA3F40"/>
    <w:rsid w:val="00FA400F"/>
    <w:rsid w:val="00FA4388"/>
    <w:rsid w:val="00FA4413"/>
    <w:rsid w:val="00FA4DC8"/>
    <w:rsid w:val="00FA4FA2"/>
    <w:rsid w:val="00FA5AB7"/>
    <w:rsid w:val="00FA5FA6"/>
    <w:rsid w:val="00FA777A"/>
    <w:rsid w:val="00FB053F"/>
    <w:rsid w:val="00FB1405"/>
    <w:rsid w:val="00FB242B"/>
    <w:rsid w:val="00FB269B"/>
    <w:rsid w:val="00FB2F88"/>
    <w:rsid w:val="00FB30B6"/>
    <w:rsid w:val="00FB355F"/>
    <w:rsid w:val="00FB3A47"/>
    <w:rsid w:val="00FB3C07"/>
    <w:rsid w:val="00FB3C42"/>
    <w:rsid w:val="00FB4527"/>
    <w:rsid w:val="00FB4877"/>
    <w:rsid w:val="00FB4D6E"/>
    <w:rsid w:val="00FB4D7B"/>
    <w:rsid w:val="00FB50D3"/>
    <w:rsid w:val="00FB585B"/>
    <w:rsid w:val="00FB6D77"/>
    <w:rsid w:val="00FB775F"/>
    <w:rsid w:val="00FB7D9A"/>
    <w:rsid w:val="00FB7DDA"/>
    <w:rsid w:val="00FC0CCD"/>
    <w:rsid w:val="00FC0D4C"/>
    <w:rsid w:val="00FC0EC2"/>
    <w:rsid w:val="00FC110A"/>
    <w:rsid w:val="00FC1D00"/>
    <w:rsid w:val="00FC1F32"/>
    <w:rsid w:val="00FC2399"/>
    <w:rsid w:val="00FC2A74"/>
    <w:rsid w:val="00FC3EAC"/>
    <w:rsid w:val="00FC4410"/>
    <w:rsid w:val="00FC45FC"/>
    <w:rsid w:val="00FC5412"/>
    <w:rsid w:val="00FC652C"/>
    <w:rsid w:val="00FC69CE"/>
    <w:rsid w:val="00FC7696"/>
    <w:rsid w:val="00FC78F3"/>
    <w:rsid w:val="00FC79CC"/>
    <w:rsid w:val="00FD0281"/>
    <w:rsid w:val="00FD146C"/>
    <w:rsid w:val="00FD1E1F"/>
    <w:rsid w:val="00FD242A"/>
    <w:rsid w:val="00FD2615"/>
    <w:rsid w:val="00FD2B78"/>
    <w:rsid w:val="00FD3037"/>
    <w:rsid w:val="00FD370B"/>
    <w:rsid w:val="00FD4422"/>
    <w:rsid w:val="00FD47B4"/>
    <w:rsid w:val="00FD491F"/>
    <w:rsid w:val="00FD4A3B"/>
    <w:rsid w:val="00FD4E84"/>
    <w:rsid w:val="00FD508A"/>
    <w:rsid w:val="00FD57EB"/>
    <w:rsid w:val="00FD5A3D"/>
    <w:rsid w:val="00FD5AA5"/>
    <w:rsid w:val="00FD5B85"/>
    <w:rsid w:val="00FD65FC"/>
    <w:rsid w:val="00FD6B2E"/>
    <w:rsid w:val="00FD76BC"/>
    <w:rsid w:val="00FD78AC"/>
    <w:rsid w:val="00FE06FB"/>
    <w:rsid w:val="00FE0EEB"/>
    <w:rsid w:val="00FE0F42"/>
    <w:rsid w:val="00FE0FFD"/>
    <w:rsid w:val="00FE149E"/>
    <w:rsid w:val="00FE165B"/>
    <w:rsid w:val="00FE1C1D"/>
    <w:rsid w:val="00FE2FBD"/>
    <w:rsid w:val="00FE31EA"/>
    <w:rsid w:val="00FE3447"/>
    <w:rsid w:val="00FE34E9"/>
    <w:rsid w:val="00FE53B3"/>
    <w:rsid w:val="00FE5E7B"/>
    <w:rsid w:val="00FE5F09"/>
    <w:rsid w:val="00FE6157"/>
    <w:rsid w:val="00FE6A4B"/>
    <w:rsid w:val="00FE6C57"/>
    <w:rsid w:val="00FF0990"/>
    <w:rsid w:val="00FF0D47"/>
    <w:rsid w:val="00FF1172"/>
    <w:rsid w:val="00FF1D45"/>
    <w:rsid w:val="00FF1DBA"/>
    <w:rsid w:val="00FF20E2"/>
    <w:rsid w:val="00FF24BA"/>
    <w:rsid w:val="00FF27D3"/>
    <w:rsid w:val="00FF2E09"/>
    <w:rsid w:val="00FF2E67"/>
    <w:rsid w:val="00FF2EE1"/>
    <w:rsid w:val="00FF3BB9"/>
    <w:rsid w:val="00FF4156"/>
    <w:rsid w:val="00FF42D5"/>
    <w:rsid w:val="00FF45EB"/>
    <w:rsid w:val="00FF4CCA"/>
    <w:rsid w:val="00FF6F31"/>
    <w:rsid w:val="00FF733F"/>
    <w:rsid w:val="00FF7B85"/>
    <w:rsid w:val="00FF7CFE"/>
    <w:rsid w:val="16C6B916"/>
    <w:rsid w:val="1F860EE5"/>
    <w:rsid w:val="20C0821D"/>
    <w:rsid w:val="22B3B09A"/>
    <w:rsid w:val="5368FC58"/>
    <w:rsid w:val="571673B5"/>
    <w:rsid w:val="58DA2ECE"/>
    <w:rsid w:val="63DF2CD5"/>
    <w:rsid w:val="6773B97D"/>
    <w:rsid w:val="68310247"/>
    <w:rsid w:val="73115457"/>
    <w:rsid w:val="75DD483E"/>
    <w:rsid w:val="7FCF07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CD95D"/>
  <w15:docId w15:val="{E0528AF3-8516-444E-9FE4-BBA930F7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9" w:unhideWhenUsed="1"/>
    <w:lsdException w:name="annotation text" w:semiHidden="1" w:uiPriority="97"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9"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9"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4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99"/>
    <w:lsdException w:name="List Bullet 2" w:semiHidden="1" w:uiPriority="49"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9"/>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semiHidden="1" w:uiPriority="99"/>
    <w:lsdException w:name="Salutation" w:uiPriority="97"/>
    <w:lsdException w:name="Date" w:semiHidden="1" w:uiPriority="99"/>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9" w:unhideWhenUsed="1"/>
    <w:lsdException w:name="Strong" w:semiHidden="1" w:uiPriority="33" w:qFormat="1"/>
    <w:lsdException w:name="Emphasis" w:uiPriority="99"/>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39"/>
    <w:lsdException w:name="Table Theme" w:semiHidden="1" w:unhideWhenUsed="1"/>
    <w:lsdException w:name="Placeholder Text" w:semiHidden="1" w:uiPriority="99"/>
    <w:lsdException w:name="No Spacing" w:uiPriority="5"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uiPriority="34"/>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99"/>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38B"/>
    <w:pPr>
      <w:suppressAutoHyphens/>
      <w:spacing w:before="240" w:after="120" w:line="280" w:lineRule="atLeast"/>
    </w:pPr>
    <w:rPr>
      <w:rFonts w:asciiTheme="minorHAnsi" w:eastAsiaTheme="minorHAnsi" w:hAnsiTheme="minorHAnsi" w:cstheme="minorBidi"/>
      <w:lang w:val="en-AU" w:eastAsia="en-US"/>
    </w:rPr>
  </w:style>
  <w:style w:type="paragraph" w:styleId="Heading1">
    <w:name w:val="heading 1"/>
    <w:basedOn w:val="Normal"/>
    <w:next w:val="Normal"/>
    <w:link w:val="Heading1Char"/>
    <w:uiPriority w:val="2"/>
    <w:qFormat/>
    <w:rsid w:val="007E3257"/>
    <w:pPr>
      <w:keepNext/>
      <w:spacing w:before="0" w:after="240" w:line="460" w:lineRule="atLeast"/>
      <w:outlineLvl w:val="0"/>
    </w:pPr>
    <w:rPr>
      <w:rFonts w:asciiTheme="majorHAnsi" w:eastAsiaTheme="majorEastAsia" w:hAnsiTheme="majorHAnsi" w:cstheme="majorBidi"/>
      <w:b/>
      <w:color w:val="000F46" w:themeColor="background2"/>
      <w:sz w:val="60"/>
      <w:szCs w:val="32"/>
    </w:rPr>
  </w:style>
  <w:style w:type="paragraph" w:styleId="Heading2">
    <w:name w:val="heading 2"/>
    <w:basedOn w:val="Normal"/>
    <w:next w:val="Normal"/>
    <w:link w:val="Heading2Char"/>
    <w:uiPriority w:val="2"/>
    <w:qFormat/>
    <w:rsid w:val="007E3257"/>
    <w:pPr>
      <w:keepNext/>
      <w:keepLines/>
      <w:spacing w:before="360" w:line="320" w:lineRule="atLeast"/>
      <w:outlineLvl w:val="1"/>
    </w:pPr>
    <w:rPr>
      <w:rFonts w:eastAsiaTheme="majorEastAsia" w:cstheme="majorBidi"/>
      <w:b/>
      <w:color w:val="000F46" w:themeColor="background2"/>
      <w:sz w:val="28"/>
      <w:szCs w:val="26"/>
    </w:rPr>
  </w:style>
  <w:style w:type="paragraph" w:styleId="Heading3">
    <w:name w:val="heading 3"/>
    <w:basedOn w:val="Normal"/>
    <w:next w:val="Normal"/>
    <w:link w:val="Heading3Char"/>
    <w:uiPriority w:val="2"/>
    <w:qFormat/>
    <w:rsid w:val="001C12D3"/>
    <w:pPr>
      <w:keepNext/>
      <w:keepLines/>
      <w:numPr>
        <w:numId w:val="17"/>
      </w:numPr>
      <w:ind w:left="357" w:hanging="357"/>
      <w:outlineLvl w:val="2"/>
    </w:pPr>
    <w:rPr>
      <w:rFonts w:eastAsiaTheme="majorEastAsia" w:cstheme="majorBidi"/>
      <w:b/>
      <w:color w:val="000F46" w:themeColor="background2"/>
      <w:szCs w:val="24"/>
    </w:rPr>
  </w:style>
  <w:style w:type="paragraph" w:styleId="Heading4">
    <w:name w:val="heading 4"/>
    <w:basedOn w:val="Normal"/>
    <w:next w:val="Normal"/>
    <w:link w:val="Heading4Char"/>
    <w:uiPriority w:val="4"/>
    <w:semiHidden/>
    <w:rsid w:val="00466BBD"/>
    <w:pPr>
      <w:keepNext/>
      <w:keepLines/>
      <w:outlineLvl w:val="3"/>
    </w:pPr>
    <w:rPr>
      <w:rFonts w:eastAsiaTheme="majorEastAsia" w:cstheme="majorBidi"/>
      <w:iCs/>
      <w:caps/>
      <w:sz w:val="24"/>
    </w:rPr>
  </w:style>
  <w:style w:type="paragraph" w:styleId="Heading5">
    <w:name w:val="heading 5"/>
    <w:basedOn w:val="Normal"/>
    <w:next w:val="Normal"/>
    <w:link w:val="Heading5Char"/>
    <w:uiPriority w:val="99"/>
    <w:semiHidden/>
    <w:rsid w:val="00466BBD"/>
    <w:pPr>
      <w:keepNext/>
      <w:keepLines/>
      <w:outlineLvl w:val="4"/>
    </w:pPr>
    <w:rPr>
      <w:rFonts w:eastAsiaTheme="majorEastAsia" w:cstheme="majorBidi"/>
      <w:b/>
      <w:sz w:val="21"/>
    </w:rPr>
  </w:style>
  <w:style w:type="paragraph" w:styleId="Heading6">
    <w:name w:val="heading 6"/>
    <w:basedOn w:val="Normal"/>
    <w:next w:val="Normal"/>
    <w:link w:val="Heading6Char"/>
    <w:uiPriority w:val="99"/>
    <w:semiHidden/>
    <w:rsid w:val="00466BBD"/>
    <w:pPr>
      <w:keepNext/>
      <w:keepLines/>
      <w:outlineLvl w:val="5"/>
    </w:pPr>
    <w:rPr>
      <w:rFonts w:eastAsiaTheme="majorEastAsia" w:cstheme="majorBidi"/>
      <w:b/>
      <w:i/>
    </w:rPr>
  </w:style>
  <w:style w:type="paragraph" w:styleId="Heading7">
    <w:name w:val="heading 7"/>
    <w:basedOn w:val="Normal"/>
    <w:next w:val="Normal"/>
    <w:link w:val="Heading7Char"/>
    <w:uiPriority w:val="99"/>
    <w:semiHidden/>
    <w:rsid w:val="00466BBD"/>
    <w:pPr>
      <w:keepNext/>
      <w:keepLines/>
      <w:outlineLvl w:val="6"/>
    </w:pPr>
    <w:rPr>
      <w:rFonts w:eastAsiaTheme="majorEastAsia" w:cstheme="majorBidi"/>
      <w:i/>
      <w:iCs/>
    </w:rPr>
  </w:style>
  <w:style w:type="paragraph" w:styleId="Heading8">
    <w:name w:val="heading 8"/>
    <w:basedOn w:val="Normal"/>
    <w:next w:val="Normal"/>
    <w:uiPriority w:val="99"/>
    <w:semiHidden/>
    <w:rsid w:val="00C63303"/>
    <w:pPr>
      <w:spacing w:after="60"/>
      <w:outlineLvl w:val="7"/>
    </w:pPr>
    <w:rPr>
      <w:rFonts w:asciiTheme="majorHAnsi" w:hAnsiTheme="majorHAnsi" w:cstheme="majorHAnsi"/>
      <w:i/>
      <w:iCs/>
      <w:sz w:val="24"/>
    </w:rPr>
  </w:style>
  <w:style w:type="paragraph" w:styleId="Heading9">
    <w:name w:val="heading 9"/>
    <w:basedOn w:val="Normal"/>
    <w:next w:val="Normal"/>
    <w:uiPriority w:val="99"/>
    <w:semiHidden/>
    <w:rsid w:val="00C63303"/>
    <w:pPr>
      <w:spacing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E20600"/>
    <w:pPr>
      <w:tabs>
        <w:tab w:val="right" w:leader="dot" w:pos="9628"/>
      </w:tabs>
      <w:spacing w:before="100" w:after="100" w:line="240" w:lineRule="atLeast"/>
    </w:pPr>
    <w:rPr>
      <w:rFonts w:asciiTheme="majorHAnsi" w:hAnsiTheme="majorHAnsi"/>
      <w:b/>
      <w:color w:val="000F46" w:themeColor="background2"/>
    </w:rPr>
  </w:style>
  <w:style w:type="paragraph" w:styleId="Header">
    <w:name w:val="header"/>
    <w:basedOn w:val="Normal"/>
    <w:link w:val="HeaderChar"/>
    <w:uiPriority w:val="99"/>
    <w:rsid w:val="0026527C"/>
    <w:pPr>
      <w:spacing w:before="0" w:after="0"/>
    </w:pPr>
    <w:rPr>
      <w:rFonts w:asciiTheme="majorHAnsi" w:hAnsiTheme="majorHAnsi"/>
      <w:sz w:val="16"/>
    </w:rPr>
  </w:style>
  <w:style w:type="paragraph" w:styleId="Footer">
    <w:name w:val="footer"/>
    <w:basedOn w:val="Normal"/>
    <w:link w:val="FooterChar"/>
    <w:uiPriority w:val="99"/>
    <w:rsid w:val="006956AF"/>
    <w:pPr>
      <w:spacing w:before="0" w:after="0" w:line="200" w:lineRule="atLeast"/>
    </w:pPr>
    <w:rPr>
      <w:rFonts w:asciiTheme="majorHAnsi" w:hAnsiTheme="majorHAnsi"/>
      <w:color w:val="000F46" w:themeColor="background2"/>
      <w:sz w:val="16"/>
    </w:rPr>
  </w:style>
  <w:style w:type="character" w:styleId="PageNumber">
    <w:name w:val="page number"/>
    <w:basedOn w:val="DefaultParagraphFont"/>
    <w:uiPriority w:val="99"/>
    <w:semiHidden/>
    <w:rsid w:val="00420B00"/>
    <w:rPr>
      <w:rFonts w:asciiTheme="minorHAnsi" w:hAnsiTheme="minorHAnsi" w:cstheme="minorHAnsi"/>
      <w:sz w:val="14"/>
    </w:rPr>
  </w:style>
  <w:style w:type="table" w:styleId="TableGrid">
    <w:name w:val="Table Grid"/>
    <w:basedOn w:val="TableNormal"/>
    <w:uiPriority w:val="39"/>
    <w:rsid w:val="00466BBD"/>
    <w:pPr>
      <w:spacing w:before="240" w:line="280" w:lineRule="atLeast"/>
    </w:pPr>
    <w:rPr>
      <w:rFonts w:asciiTheme="minorHAnsi" w:eastAsiaTheme="minorHAnsi" w:hAnsiTheme="minorHAnsi" w:cstheme="minorBidi"/>
      <w:color w:val="000000" w:themeColor="text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3"/>
    <w:qFormat/>
    <w:rsid w:val="00906A73"/>
    <w:pPr>
      <w:spacing w:before="120"/>
      <w:ind w:left="284" w:hanging="284"/>
    </w:pPr>
  </w:style>
  <w:style w:type="paragraph" w:customStyle="1" w:styleId="DividerIntro">
    <w:name w:val="Divider Intro"/>
    <w:basedOn w:val="Normal"/>
    <w:uiPriority w:val="99"/>
    <w:semiHidden/>
    <w:qFormat/>
    <w:rsid w:val="00FA375C"/>
    <w:rPr>
      <w:color w:val="FFFFFF"/>
    </w:rPr>
  </w:style>
  <w:style w:type="paragraph" w:customStyle="1" w:styleId="TableBullet">
    <w:name w:val="Table Bullet"/>
    <w:basedOn w:val="TableText"/>
    <w:uiPriority w:val="14"/>
    <w:qFormat/>
    <w:rsid w:val="002F6257"/>
    <w:pPr>
      <w:numPr>
        <w:numId w:val="6"/>
      </w:numPr>
    </w:pPr>
  </w:style>
  <w:style w:type="paragraph" w:customStyle="1" w:styleId="TableText">
    <w:name w:val="Table Text"/>
    <w:basedOn w:val="Normal"/>
    <w:uiPriority w:val="13"/>
    <w:qFormat/>
    <w:rsid w:val="00ED0FCB"/>
    <w:pPr>
      <w:spacing w:before="40" w:after="40" w:line="200" w:lineRule="atLeast"/>
    </w:pPr>
    <w:rPr>
      <w:rFonts w:eastAsia="Times New Roman"/>
      <w:szCs w:val="19"/>
      <w:lang w:eastAsia="en-AU"/>
    </w:rPr>
  </w:style>
  <w:style w:type="paragraph" w:styleId="FootnoteText">
    <w:name w:val="footnote text"/>
    <w:basedOn w:val="Normal"/>
    <w:link w:val="FootnoteTextChar"/>
    <w:uiPriority w:val="99"/>
    <w:semiHidden/>
    <w:rsid w:val="00466BBD"/>
    <w:pPr>
      <w:spacing w:before="60" w:after="60"/>
    </w:pPr>
    <w:rPr>
      <w:sz w:val="18"/>
    </w:rPr>
  </w:style>
  <w:style w:type="character" w:customStyle="1" w:styleId="FootnoteTextChar">
    <w:name w:val="Footnote Text Char"/>
    <w:basedOn w:val="DefaultParagraphFont"/>
    <w:link w:val="FootnoteText"/>
    <w:uiPriority w:val="99"/>
    <w:semiHidden/>
    <w:rsid w:val="003A3739"/>
    <w:rPr>
      <w:rFonts w:asciiTheme="minorHAnsi" w:eastAsiaTheme="minorHAnsi" w:hAnsiTheme="minorHAnsi" w:cstheme="minorBidi"/>
      <w:sz w:val="18"/>
      <w:lang w:val="en-AU" w:eastAsia="en-US"/>
    </w:rPr>
  </w:style>
  <w:style w:type="paragraph" w:customStyle="1" w:styleId="Source">
    <w:name w:val="Source"/>
    <w:uiPriority w:val="99"/>
    <w:semiHidden/>
    <w:qFormat/>
    <w:rsid w:val="00C63303"/>
    <w:pPr>
      <w:numPr>
        <w:numId w:val="5"/>
      </w:numPr>
    </w:pPr>
    <w:rPr>
      <w:rFonts w:asciiTheme="minorHAnsi" w:eastAsia="Times New Roman" w:hAnsiTheme="minorHAnsi" w:cstheme="minorHAnsi"/>
      <w:spacing w:val="-3"/>
      <w:sz w:val="16"/>
      <w:szCs w:val="14"/>
      <w:lang w:val="en-AU" w:eastAsia="en-AU"/>
    </w:rPr>
  </w:style>
  <w:style w:type="paragraph" w:styleId="BalloonText">
    <w:name w:val="Balloon Text"/>
    <w:basedOn w:val="Normal"/>
    <w:link w:val="BalloonTextChar"/>
    <w:uiPriority w:val="99"/>
    <w:semiHidden/>
    <w:rsid w:val="00C63303"/>
    <w:pPr>
      <w:spacing w:after="0"/>
    </w:pPr>
    <w:rPr>
      <w:sz w:val="16"/>
      <w:szCs w:val="16"/>
    </w:rPr>
  </w:style>
  <w:style w:type="character" w:customStyle="1" w:styleId="BalloonTextChar">
    <w:name w:val="Balloon Text Char"/>
    <w:basedOn w:val="DefaultParagraphFont"/>
    <w:link w:val="BalloonText"/>
    <w:uiPriority w:val="99"/>
    <w:semiHidden/>
    <w:rsid w:val="00E33062"/>
    <w:rPr>
      <w:rFonts w:asciiTheme="minorHAnsi" w:eastAsiaTheme="minorHAnsi" w:hAnsiTheme="minorHAnsi" w:cstheme="minorBidi"/>
      <w:color w:val="000000" w:themeColor="text2"/>
      <w:sz w:val="16"/>
      <w:szCs w:val="16"/>
      <w:lang w:val="en-AU" w:eastAsia="en-US"/>
    </w:rPr>
  </w:style>
  <w:style w:type="paragraph" w:styleId="Bibliography">
    <w:name w:val="Bibliography"/>
    <w:basedOn w:val="Normal"/>
    <w:next w:val="Normal"/>
    <w:uiPriority w:val="99"/>
    <w:semiHidden/>
    <w:unhideWhenUsed/>
    <w:rsid w:val="00C63303"/>
  </w:style>
  <w:style w:type="paragraph" w:styleId="BlockText">
    <w:name w:val="Block Text"/>
    <w:basedOn w:val="Normal"/>
    <w:uiPriority w:val="99"/>
    <w:semiHidden/>
    <w:rsid w:val="00C63303"/>
    <w:pPr>
      <w:pBdr>
        <w:top w:val="single" w:sz="2" w:space="10" w:color="000000" w:themeColor="accent1" w:shadow="1" w:frame="1"/>
        <w:left w:val="single" w:sz="2" w:space="10" w:color="000000" w:themeColor="accent1" w:shadow="1" w:frame="1"/>
        <w:bottom w:val="single" w:sz="2" w:space="10" w:color="000000" w:themeColor="accent1" w:shadow="1" w:frame="1"/>
        <w:right w:val="single" w:sz="2" w:space="10" w:color="000000" w:themeColor="accent1" w:shadow="1" w:frame="1"/>
      </w:pBdr>
      <w:ind w:left="1152" w:right="1152"/>
    </w:pPr>
    <w:rPr>
      <w:rFonts w:eastAsiaTheme="minorEastAsia"/>
      <w:i/>
      <w:iCs/>
      <w:color w:val="000000" w:themeColor="accent1"/>
    </w:rPr>
  </w:style>
  <w:style w:type="paragraph" w:styleId="BodyText">
    <w:name w:val="Body Text"/>
    <w:basedOn w:val="Normal"/>
    <w:link w:val="BodyTextChar"/>
    <w:uiPriority w:val="99"/>
    <w:semiHidden/>
    <w:rsid w:val="00C63303"/>
  </w:style>
  <w:style w:type="character" w:customStyle="1" w:styleId="BodyTextChar">
    <w:name w:val="Body Text Char"/>
    <w:basedOn w:val="DefaultParagraphFont"/>
    <w:link w:val="BodyText"/>
    <w:uiPriority w:val="99"/>
    <w:semiHidden/>
    <w:rsid w:val="00E33062"/>
    <w:rPr>
      <w:rFonts w:asciiTheme="minorHAnsi" w:eastAsiaTheme="minorHAnsi" w:hAnsiTheme="minorHAnsi" w:cstheme="minorBidi"/>
      <w:color w:val="000000" w:themeColor="text2"/>
      <w:lang w:val="en-AU" w:eastAsia="en-US"/>
    </w:rPr>
  </w:style>
  <w:style w:type="paragraph" w:styleId="BodyText2">
    <w:name w:val="Body Text 2"/>
    <w:basedOn w:val="Normal"/>
    <w:link w:val="BodyText2Char"/>
    <w:uiPriority w:val="99"/>
    <w:semiHidden/>
    <w:rsid w:val="00C63303"/>
    <w:pPr>
      <w:spacing w:line="480" w:lineRule="auto"/>
    </w:pPr>
  </w:style>
  <w:style w:type="character" w:customStyle="1" w:styleId="BodyText2Char">
    <w:name w:val="Body Text 2 Char"/>
    <w:basedOn w:val="DefaultParagraphFont"/>
    <w:link w:val="BodyText2"/>
    <w:uiPriority w:val="99"/>
    <w:semiHidden/>
    <w:rsid w:val="00E33062"/>
    <w:rPr>
      <w:rFonts w:asciiTheme="minorHAnsi" w:eastAsiaTheme="minorHAnsi" w:hAnsiTheme="minorHAnsi" w:cstheme="minorBidi"/>
      <w:color w:val="000000" w:themeColor="text2"/>
      <w:lang w:val="en-AU" w:eastAsia="en-US"/>
    </w:rPr>
  </w:style>
  <w:style w:type="paragraph" w:styleId="BodyText3">
    <w:name w:val="Body Text 3"/>
    <w:basedOn w:val="Normal"/>
    <w:link w:val="BodyText3Char"/>
    <w:uiPriority w:val="99"/>
    <w:semiHidden/>
    <w:rsid w:val="00C63303"/>
    <w:rPr>
      <w:sz w:val="16"/>
      <w:szCs w:val="16"/>
    </w:rPr>
  </w:style>
  <w:style w:type="character" w:customStyle="1" w:styleId="BodyText3Char">
    <w:name w:val="Body Text 3 Char"/>
    <w:basedOn w:val="DefaultParagraphFont"/>
    <w:link w:val="BodyText3"/>
    <w:uiPriority w:val="99"/>
    <w:semiHidden/>
    <w:rsid w:val="00E33062"/>
    <w:rPr>
      <w:rFonts w:asciiTheme="minorHAnsi" w:eastAsiaTheme="minorHAnsi" w:hAnsiTheme="minorHAnsi" w:cstheme="minorBidi"/>
      <w:color w:val="000000" w:themeColor="text2"/>
      <w:sz w:val="16"/>
      <w:szCs w:val="16"/>
      <w:lang w:val="en-AU" w:eastAsia="en-US"/>
    </w:rPr>
  </w:style>
  <w:style w:type="paragraph" w:styleId="BodyTextFirstIndent">
    <w:name w:val="Body Text First Indent"/>
    <w:basedOn w:val="BodyText"/>
    <w:link w:val="BodyTextFirstIndentChar"/>
    <w:uiPriority w:val="99"/>
    <w:semiHidden/>
    <w:rsid w:val="00C63303"/>
    <w:pPr>
      <w:spacing w:after="80"/>
      <w:ind w:firstLine="360"/>
    </w:pPr>
  </w:style>
  <w:style w:type="character" w:customStyle="1" w:styleId="BodyTextFirstIndentChar">
    <w:name w:val="Body Text First Indent Char"/>
    <w:basedOn w:val="BodyTextChar"/>
    <w:link w:val="BodyTextFirstIndent"/>
    <w:uiPriority w:val="99"/>
    <w:semiHidden/>
    <w:rsid w:val="00E33062"/>
    <w:rPr>
      <w:rFonts w:asciiTheme="minorHAnsi" w:eastAsiaTheme="minorHAnsi" w:hAnsiTheme="minorHAnsi" w:cstheme="minorBidi"/>
      <w:color w:val="000000" w:themeColor="text2"/>
      <w:lang w:val="en-AU" w:eastAsia="en-US"/>
    </w:rPr>
  </w:style>
  <w:style w:type="paragraph" w:styleId="BodyTextIndent">
    <w:name w:val="Body Text Indent"/>
    <w:basedOn w:val="Normal"/>
    <w:link w:val="BodyTextIndentChar"/>
    <w:uiPriority w:val="99"/>
    <w:semiHidden/>
    <w:rsid w:val="00C63303"/>
    <w:pPr>
      <w:ind w:left="283"/>
    </w:pPr>
  </w:style>
  <w:style w:type="character" w:customStyle="1" w:styleId="BodyTextIndentChar">
    <w:name w:val="Body Text Indent Char"/>
    <w:basedOn w:val="DefaultParagraphFont"/>
    <w:link w:val="BodyTextIndent"/>
    <w:uiPriority w:val="99"/>
    <w:semiHidden/>
    <w:rsid w:val="00E33062"/>
    <w:rPr>
      <w:rFonts w:asciiTheme="minorHAnsi" w:eastAsiaTheme="minorHAnsi" w:hAnsiTheme="minorHAnsi" w:cstheme="minorBidi"/>
      <w:color w:val="000000" w:themeColor="text2"/>
      <w:lang w:val="en-AU" w:eastAsia="en-US"/>
    </w:rPr>
  </w:style>
  <w:style w:type="paragraph" w:styleId="BodyTextFirstIndent2">
    <w:name w:val="Body Text First Indent 2"/>
    <w:basedOn w:val="BodyTextIndent"/>
    <w:link w:val="BodyTextFirstIndent2Char"/>
    <w:uiPriority w:val="99"/>
    <w:semiHidden/>
    <w:rsid w:val="00C63303"/>
    <w:pPr>
      <w:spacing w:after="80"/>
      <w:ind w:left="360" w:firstLine="360"/>
    </w:pPr>
  </w:style>
  <w:style w:type="character" w:customStyle="1" w:styleId="BodyTextFirstIndent2Char">
    <w:name w:val="Body Text First Indent 2 Char"/>
    <w:basedOn w:val="BodyTextIndentChar"/>
    <w:link w:val="BodyTextFirstIndent2"/>
    <w:uiPriority w:val="99"/>
    <w:semiHidden/>
    <w:rsid w:val="00E33062"/>
    <w:rPr>
      <w:rFonts w:asciiTheme="minorHAnsi" w:eastAsiaTheme="minorHAnsi" w:hAnsiTheme="minorHAnsi" w:cstheme="minorBidi"/>
      <w:color w:val="000000" w:themeColor="text2"/>
      <w:lang w:val="en-AU" w:eastAsia="en-US"/>
    </w:rPr>
  </w:style>
  <w:style w:type="paragraph" w:styleId="BodyTextIndent2">
    <w:name w:val="Body Text Indent 2"/>
    <w:basedOn w:val="Normal"/>
    <w:link w:val="BodyTextIndent2Char"/>
    <w:uiPriority w:val="99"/>
    <w:semiHidden/>
    <w:rsid w:val="00C63303"/>
    <w:pPr>
      <w:spacing w:line="480" w:lineRule="auto"/>
      <w:ind w:left="283"/>
    </w:pPr>
  </w:style>
  <w:style w:type="character" w:customStyle="1" w:styleId="BodyTextIndent2Char">
    <w:name w:val="Body Text Indent 2 Char"/>
    <w:basedOn w:val="DefaultParagraphFont"/>
    <w:link w:val="BodyTextIndent2"/>
    <w:uiPriority w:val="99"/>
    <w:semiHidden/>
    <w:rsid w:val="00E33062"/>
    <w:rPr>
      <w:rFonts w:asciiTheme="minorHAnsi" w:eastAsiaTheme="minorHAnsi" w:hAnsiTheme="minorHAnsi" w:cstheme="minorBidi"/>
      <w:color w:val="000000" w:themeColor="text2"/>
      <w:lang w:val="en-AU" w:eastAsia="en-US"/>
    </w:rPr>
  </w:style>
  <w:style w:type="paragraph" w:styleId="BodyTextIndent3">
    <w:name w:val="Body Text Indent 3"/>
    <w:basedOn w:val="Normal"/>
    <w:link w:val="BodyTextIndent3Char"/>
    <w:uiPriority w:val="99"/>
    <w:semiHidden/>
    <w:rsid w:val="00C63303"/>
    <w:pPr>
      <w:ind w:left="283"/>
    </w:pPr>
    <w:rPr>
      <w:sz w:val="16"/>
      <w:szCs w:val="16"/>
    </w:rPr>
  </w:style>
  <w:style w:type="character" w:customStyle="1" w:styleId="BodyTextIndent3Char">
    <w:name w:val="Body Text Indent 3 Char"/>
    <w:basedOn w:val="DefaultParagraphFont"/>
    <w:link w:val="BodyTextIndent3"/>
    <w:uiPriority w:val="99"/>
    <w:semiHidden/>
    <w:rsid w:val="00E33062"/>
    <w:rPr>
      <w:rFonts w:asciiTheme="minorHAnsi" w:eastAsiaTheme="minorHAnsi" w:hAnsiTheme="minorHAnsi" w:cstheme="minorBidi"/>
      <w:color w:val="000000" w:themeColor="text2"/>
      <w:sz w:val="16"/>
      <w:szCs w:val="16"/>
      <w:lang w:val="en-AU" w:eastAsia="en-US"/>
    </w:rPr>
  </w:style>
  <w:style w:type="character" w:styleId="BookTitle">
    <w:name w:val="Book Title"/>
    <w:basedOn w:val="DefaultParagraphFont"/>
    <w:uiPriority w:val="99"/>
    <w:semiHidden/>
    <w:rsid w:val="00C63303"/>
    <w:rPr>
      <w:rFonts w:asciiTheme="minorHAnsi" w:hAnsiTheme="minorHAnsi" w:cstheme="minorHAnsi"/>
      <w:b/>
      <w:bCs/>
      <w:smallCaps/>
      <w:spacing w:val="5"/>
    </w:rPr>
  </w:style>
  <w:style w:type="paragraph" w:styleId="Closing">
    <w:name w:val="Closing"/>
    <w:basedOn w:val="Normal"/>
    <w:link w:val="ClosingChar"/>
    <w:uiPriority w:val="99"/>
    <w:semiHidden/>
    <w:rsid w:val="00C63303"/>
    <w:pPr>
      <w:spacing w:after="0"/>
      <w:ind w:left="4252"/>
    </w:pPr>
  </w:style>
  <w:style w:type="character" w:customStyle="1" w:styleId="ClosingChar">
    <w:name w:val="Closing Char"/>
    <w:basedOn w:val="DefaultParagraphFont"/>
    <w:link w:val="Closing"/>
    <w:uiPriority w:val="99"/>
    <w:semiHidden/>
    <w:rsid w:val="00E33062"/>
    <w:rPr>
      <w:rFonts w:asciiTheme="minorHAnsi" w:eastAsiaTheme="minorHAnsi" w:hAnsiTheme="minorHAnsi" w:cstheme="minorBidi"/>
      <w:color w:val="000000" w:themeColor="text2"/>
      <w:lang w:val="en-AU" w:eastAsia="en-US"/>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DAF4F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5E9F9" w:themeFill="accent2" w:themeFillTint="66"/>
      </w:tcPr>
    </w:tblStylePr>
    <w:tblStylePr w:type="lastRow">
      <w:rPr>
        <w:b/>
        <w:bCs/>
        <w:color w:val="000000" w:themeColor="text1"/>
      </w:rPr>
      <w:tblPr/>
      <w:tcPr>
        <w:shd w:val="clear" w:color="auto" w:fill="B5E9F9" w:themeFill="accent2" w:themeFillTint="66"/>
      </w:tcPr>
    </w:tblStylePr>
    <w:tblStylePr w:type="firstCol">
      <w:rPr>
        <w:color w:val="FFFFFF" w:themeColor="background1"/>
      </w:rPr>
      <w:tblPr/>
      <w:tcPr>
        <w:shd w:val="clear" w:color="auto" w:fill="11A8D6" w:themeFill="accent2" w:themeFillShade="BF"/>
      </w:tcPr>
    </w:tblStylePr>
    <w:tblStylePr w:type="lastCol">
      <w:rPr>
        <w:color w:val="FFFFFF" w:themeColor="background1"/>
      </w:rPr>
      <w:tblPr/>
      <w:tcPr>
        <w:shd w:val="clear" w:color="auto" w:fill="11A8D6" w:themeFill="accent2" w:themeFillShade="BF"/>
      </w:tcPr>
    </w:tblStylePr>
    <w:tblStylePr w:type="band1Vert">
      <w:tblPr/>
      <w:tcPr>
        <w:shd w:val="clear" w:color="auto" w:fill="A2E3F7" w:themeFill="accent2" w:themeFillTint="7F"/>
      </w:tcPr>
    </w:tblStylePr>
    <w:tblStylePr w:type="band1Horz">
      <w:tblPr/>
      <w:tcPr>
        <w:shd w:val="clear" w:color="auto" w:fill="A2E3F7"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FD5D7"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ABB0" w:themeFill="accent3" w:themeFillTint="66"/>
      </w:tcPr>
    </w:tblStylePr>
    <w:tblStylePr w:type="lastRow">
      <w:rPr>
        <w:b/>
        <w:bCs/>
        <w:color w:val="000000" w:themeColor="text1"/>
      </w:rPr>
      <w:tblPr/>
      <w:tcPr>
        <w:shd w:val="clear" w:color="auto" w:fill="FFABB0" w:themeFill="accent3" w:themeFillTint="66"/>
      </w:tcPr>
    </w:tblStylePr>
    <w:tblStylePr w:type="firstCol">
      <w:rPr>
        <w:color w:val="FFFFFF" w:themeColor="background1"/>
      </w:rPr>
      <w:tblPr/>
      <w:tcPr>
        <w:shd w:val="clear" w:color="auto" w:fill="E0000F" w:themeFill="accent3" w:themeFillShade="BF"/>
      </w:tcPr>
    </w:tblStylePr>
    <w:tblStylePr w:type="lastCol">
      <w:rPr>
        <w:color w:val="FFFFFF" w:themeColor="background1"/>
      </w:rPr>
      <w:tblPr/>
      <w:tcPr>
        <w:shd w:val="clear" w:color="auto" w:fill="E0000F" w:themeFill="accent3" w:themeFillShade="BF"/>
      </w:tcPr>
    </w:tblStylePr>
    <w:tblStylePr w:type="band1Vert">
      <w:tblPr/>
      <w:tcPr>
        <w:shd w:val="clear" w:color="auto" w:fill="FF969D" w:themeFill="accent3" w:themeFillTint="7F"/>
      </w:tcPr>
    </w:tblStylePr>
    <w:tblStylePr w:type="band1Horz">
      <w:tblPr/>
      <w:tcPr>
        <w:shd w:val="clear" w:color="auto" w:fill="FF969D"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8DBE2"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2B8C6" w:themeFill="accent4" w:themeFillTint="66"/>
      </w:tcPr>
    </w:tblStylePr>
    <w:tblStylePr w:type="lastRow">
      <w:rPr>
        <w:b/>
        <w:bCs/>
        <w:color w:val="000000" w:themeColor="text1"/>
      </w:rPr>
      <w:tblPr/>
      <w:tcPr>
        <w:shd w:val="clear" w:color="auto" w:fill="D2B8C6" w:themeFill="accent4" w:themeFillTint="66"/>
      </w:tcPr>
    </w:tblStylePr>
    <w:tblStylePr w:type="firstCol">
      <w:rPr>
        <w:color w:val="FFFFFF" w:themeColor="background1"/>
      </w:rPr>
      <w:tblPr/>
      <w:tcPr>
        <w:shd w:val="clear" w:color="auto" w:fill="654154" w:themeFill="accent4" w:themeFillShade="BF"/>
      </w:tcPr>
    </w:tblStylePr>
    <w:tblStylePr w:type="lastCol">
      <w:rPr>
        <w:color w:val="FFFFFF" w:themeColor="background1"/>
      </w:rPr>
      <w:tblPr/>
      <w:tcPr>
        <w:shd w:val="clear" w:color="auto" w:fill="654154" w:themeFill="accent4" w:themeFillShade="BF"/>
      </w:tcPr>
    </w:tblStylePr>
    <w:tblStylePr w:type="band1Vert">
      <w:tblPr/>
      <w:tcPr>
        <w:shd w:val="clear" w:color="auto" w:fill="C7A7B8" w:themeFill="accent4" w:themeFillTint="7F"/>
      </w:tcPr>
    </w:tblStylePr>
    <w:tblStylePr w:type="band1Horz">
      <w:tblPr/>
      <w:tcPr>
        <w:shd w:val="clear" w:color="auto" w:fill="C7A7B8"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EF5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EEB9E" w:themeFill="accent5" w:themeFillTint="66"/>
      </w:tcPr>
    </w:tblStylePr>
    <w:tblStylePr w:type="lastRow">
      <w:rPr>
        <w:b/>
        <w:bCs/>
        <w:color w:val="000000" w:themeColor="text1"/>
      </w:rPr>
      <w:tblPr/>
      <w:tcPr>
        <w:shd w:val="clear" w:color="auto" w:fill="DEEB9E" w:themeFill="accent5" w:themeFillTint="66"/>
      </w:tcPr>
    </w:tblStylePr>
    <w:tblStylePr w:type="firstCol">
      <w:rPr>
        <w:color w:val="FFFFFF" w:themeColor="background1"/>
      </w:rPr>
      <w:tblPr/>
      <w:tcPr>
        <w:shd w:val="clear" w:color="auto" w:fill="76891B" w:themeFill="accent5" w:themeFillShade="BF"/>
      </w:tcPr>
    </w:tblStylePr>
    <w:tblStylePr w:type="lastCol">
      <w:rPr>
        <w:color w:val="FFFFFF" w:themeColor="background1"/>
      </w:rPr>
      <w:tblPr/>
      <w:tcPr>
        <w:shd w:val="clear" w:color="auto" w:fill="76891B" w:themeFill="accent5" w:themeFillShade="BF"/>
      </w:tcPr>
    </w:tblStylePr>
    <w:tblStylePr w:type="band1Vert">
      <w:tblPr/>
      <w:tcPr>
        <w:shd w:val="clear" w:color="auto" w:fill="D6E787" w:themeFill="accent5" w:themeFillTint="7F"/>
      </w:tcPr>
    </w:tblStylePr>
    <w:tblStylePr w:type="band1Horz">
      <w:tblPr/>
      <w:tcPr>
        <w:shd w:val="clear" w:color="auto" w:fill="D6E787"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AAE6FF"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55CDFF" w:themeFill="accent6" w:themeFillTint="66"/>
      </w:tcPr>
    </w:tblStylePr>
    <w:tblStylePr w:type="lastRow">
      <w:rPr>
        <w:b/>
        <w:bCs/>
        <w:color w:val="000000" w:themeColor="text1"/>
      </w:rPr>
      <w:tblPr/>
      <w:tcPr>
        <w:shd w:val="clear" w:color="auto" w:fill="55CDFF" w:themeFill="accent6" w:themeFillTint="66"/>
      </w:tcPr>
    </w:tblStylePr>
    <w:tblStylePr w:type="firstCol">
      <w:rPr>
        <w:color w:val="FFFFFF" w:themeColor="background1"/>
      </w:rPr>
      <w:tblPr/>
      <w:tcPr>
        <w:shd w:val="clear" w:color="auto" w:fill="002C3F" w:themeFill="accent6" w:themeFillShade="BF"/>
      </w:tcPr>
    </w:tblStylePr>
    <w:tblStylePr w:type="lastCol">
      <w:rPr>
        <w:color w:val="FFFFFF" w:themeColor="background1"/>
      </w:rPr>
      <w:tblPr/>
      <w:tcPr>
        <w:shd w:val="clear" w:color="auto" w:fill="002C3F" w:themeFill="accent6" w:themeFillShade="BF"/>
      </w:tcPr>
    </w:tblStylePr>
    <w:tblStylePr w:type="band1Vert">
      <w:tblPr/>
      <w:tcPr>
        <w:shd w:val="clear" w:color="auto" w:fill="2BC0FF" w:themeFill="accent6" w:themeFillTint="7F"/>
      </w:tcPr>
    </w:tblStylePr>
    <w:tblStylePr w:type="band1Horz">
      <w:tblPr/>
      <w:tcPr>
        <w:shd w:val="clear" w:color="auto" w:fill="2BC0FF"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2B3E5" w:themeFill="accent2" w:themeFillShade="CC"/>
      </w:tcPr>
    </w:tblStylePr>
    <w:tblStylePr w:type="lastRow">
      <w:rPr>
        <w:b/>
        <w:bCs/>
        <w:color w:val="12B3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E6E6E6"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2B3E5" w:themeFill="accent2" w:themeFillShade="CC"/>
      </w:tcPr>
    </w:tblStylePr>
    <w:tblStylePr w:type="lastRow">
      <w:rPr>
        <w:b/>
        <w:bCs/>
        <w:color w:val="12B3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ECF9FD"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2B3E5" w:themeFill="accent2" w:themeFillShade="CC"/>
      </w:tcPr>
    </w:tblStylePr>
    <w:tblStylePr w:type="lastRow">
      <w:rPr>
        <w:b/>
        <w:bCs/>
        <w:color w:val="12B3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F1FB" w:themeFill="accent2" w:themeFillTint="3F"/>
      </w:tcPr>
    </w:tblStylePr>
    <w:tblStylePr w:type="band1Horz">
      <w:tblPr/>
      <w:tcPr>
        <w:shd w:val="clear" w:color="auto" w:fill="DAF4FC"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FFEAEB"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C455A" w:themeFill="accent4" w:themeFillShade="CC"/>
      </w:tcPr>
    </w:tblStylePr>
    <w:tblStylePr w:type="lastRow">
      <w:rPr>
        <w:b/>
        <w:bCs/>
        <w:color w:val="6C455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E" w:themeFill="accent3" w:themeFillTint="3F"/>
      </w:tcPr>
    </w:tblStylePr>
    <w:tblStylePr w:type="band1Horz">
      <w:tblPr/>
      <w:tcPr>
        <w:shd w:val="clear" w:color="auto" w:fill="FFD5D7"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F4EDF1"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F00010" w:themeFill="accent3" w:themeFillShade="CC"/>
      </w:tcPr>
    </w:tblStylePr>
    <w:tblStylePr w:type="lastRow">
      <w:rPr>
        <w:b/>
        <w:bCs/>
        <w:color w:val="F000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3DB" w:themeFill="accent4" w:themeFillTint="3F"/>
      </w:tcPr>
    </w:tblStylePr>
    <w:tblStylePr w:type="band1Horz">
      <w:tblPr/>
      <w:tcPr>
        <w:shd w:val="clear" w:color="auto" w:fill="E8DBE2"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F7F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3044" w:themeFill="accent6" w:themeFillShade="CC"/>
      </w:tcPr>
    </w:tblStylePr>
    <w:tblStylePr w:type="lastRow">
      <w:rPr>
        <w:b/>
        <w:bCs/>
        <w:color w:val="00304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C3" w:themeFill="accent5" w:themeFillTint="3F"/>
      </w:tcPr>
    </w:tblStylePr>
    <w:tblStylePr w:type="band1Horz">
      <w:tblPr/>
      <w:tcPr>
        <w:shd w:val="clear" w:color="auto" w:fill="EEF5CE"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D5F2FF"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E931D" w:themeFill="accent5" w:themeFillShade="CC"/>
      </w:tcPr>
    </w:tblStylePr>
    <w:tblStylePr w:type="lastRow">
      <w:rPr>
        <w:b/>
        <w:bCs/>
        <w:color w:val="7E931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E0FF" w:themeFill="accent6" w:themeFillTint="3F"/>
      </w:tcPr>
    </w:tblStylePr>
    <w:tblStylePr w:type="band1Horz">
      <w:tblPr/>
      <w:tcPr>
        <w:shd w:val="clear" w:color="auto" w:fill="AAE6FF"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46C8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C8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46C8F0"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C8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46C8F0" w:themeColor="accent2"/>
        <w:left w:val="single" w:sz="4" w:space="0" w:color="46C8F0" w:themeColor="accent2"/>
        <w:bottom w:val="single" w:sz="4" w:space="0" w:color="46C8F0" w:themeColor="accent2"/>
        <w:right w:val="single" w:sz="4" w:space="0" w:color="46C8F0" w:themeColor="accent2"/>
        <w:insideH w:val="single" w:sz="4" w:space="0" w:color="FFFFFF" w:themeColor="background1"/>
        <w:insideV w:val="single" w:sz="4" w:space="0" w:color="FFFFFF" w:themeColor="background1"/>
      </w:tblBorders>
    </w:tblPr>
    <w:tcPr>
      <w:shd w:val="clear" w:color="auto" w:fill="ECF9FD"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6C8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86AC" w:themeFill="accent2" w:themeFillShade="99"/>
      </w:tcPr>
    </w:tblStylePr>
    <w:tblStylePr w:type="firstCol">
      <w:rPr>
        <w:color w:val="FFFFFF" w:themeColor="background1"/>
      </w:rPr>
      <w:tblPr/>
      <w:tcPr>
        <w:tcBorders>
          <w:top w:val="nil"/>
          <w:left w:val="nil"/>
          <w:bottom w:val="nil"/>
          <w:right w:val="nil"/>
          <w:insideH w:val="single" w:sz="4" w:space="0" w:color="0E86AC" w:themeColor="accent2" w:themeShade="99"/>
          <w:insideV w:val="nil"/>
        </w:tcBorders>
        <w:shd w:val="clear" w:color="auto" w:fill="0E86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E86AC" w:themeFill="accent2" w:themeFillShade="99"/>
      </w:tcPr>
    </w:tblStylePr>
    <w:tblStylePr w:type="band1Vert">
      <w:tblPr/>
      <w:tcPr>
        <w:shd w:val="clear" w:color="auto" w:fill="B5E9F9" w:themeFill="accent2" w:themeFillTint="66"/>
      </w:tcPr>
    </w:tblStylePr>
    <w:tblStylePr w:type="band1Horz">
      <w:tblPr/>
      <w:tcPr>
        <w:shd w:val="clear" w:color="auto" w:fill="A2E3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885771" w:themeColor="accent4"/>
        <w:left w:val="single" w:sz="4" w:space="0" w:color="FF2D3C" w:themeColor="accent3"/>
        <w:bottom w:val="single" w:sz="4" w:space="0" w:color="FF2D3C" w:themeColor="accent3"/>
        <w:right w:val="single" w:sz="4" w:space="0" w:color="FF2D3C" w:themeColor="accent3"/>
        <w:insideH w:val="single" w:sz="4" w:space="0" w:color="FFFFFF" w:themeColor="background1"/>
        <w:insideV w:val="single" w:sz="4" w:space="0" w:color="FFFFFF" w:themeColor="background1"/>
      </w:tblBorders>
    </w:tblPr>
    <w:tcPr>
      <w:shd w:val="clear" w:color="auto" w:fill="FFEAEB"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8577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000C" w:themeFill="accent3" w:themeFillShade="99"/>
      </w:tcPr>
    </w:tblStylePr>
    <w:tblStylePr w:type="firstCol">
      <w:rPr>
        <w:color w:val="FFFFFF" w:themeColor="background1"/>
      </w:rPr>
      <w:tblPr/>
      <w:tcPr>
        <w:tcBorders>
          <w:top w:val="nil"/>
          <w:left w:val="nil"/>
          <w:bottom w:val="nil"/>
          <w:right w:val="nil"/>
          <w:insideH w:val="single" w:sz="4" w:space="0" w:color="B4000C" w:themeColor="accent3" w:themeShade="99"/>
          <w:insideV w:val="nil"/>
        </w:tcBorders>
        <w:shd w:val="clear" w:color="auto" w:fill="B400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4000C" w:themeFill="accent3" w:themeFillShade="99"/>
      </w:tcPr>
    </w:tblStylePr>
    <w:tblStylePr w:type="band1Vert">
      <w:tblPr/>
      <w:tcPr>
        <w:shd w:val="clear" w:color="auto" w:fill="FFABB0" w:themeFill="accent3" w:themeFillTint="66"/>
      </w:tcPr>
    </w:tblStylePr>
    <w:tblStylePr w:type="band1Horz">
      <w:tblPr/>
      <w:tcPr>
        <w:shd w:val="clear" w:color="auto" w:fill="FF969D"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FF2D3C" w:themeColor="accent3"/>
        <w:left w:val="single" w:sz="4" w:space="0" w:color="885771" w:themeColor="accent4"/>
        <w:bottom w:val="single" w:sz="4" w:space="0" w:color="885771" w:themeColor="accent4"/>
        <w:right w:val="single" w:sz="4" w:space="0" w:color="885771" w:themeColor="accent4"/>
        <w:insideH w:val="single" w:sz="4" w:space="0" w:color="FFFFFF" w:themeColor="background1"/>
        <w:insideV w:val="single" w:sz="4" w:space="0" w:color="FFFFFF" w:themeColor="background1"/>
      </w:tblBorders>
    </w:tblPr>
    <w:tcPr>
      <w:shd w:val="clear" w:color="auto" w:fill="F4EDF1"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2D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3443" w:themeFill="accent4" w:themeFillShade="99"/>
      </w:tcPr>
    </w:tblStylePr>
    <w:tblStylePr w:type="firstCol">
      <w:rPr>
        <w:color w:val="FFFFFF" w:themeColor="background1"/>
      </w:rPr>
      <w:tblPr/>
      <w:tcPr>
        <w:tcBorders>
          <w:top w:val="nil"/>
          <w:left w:val="nil"/>
          <w:bottom w:val="nil"/>
          <w:right w:val="nil"/>
          <w:insideH w:val="single" w:sz="4" w:space="0" w:color="513443" w:themeColor="accent4" w:themeShade="99"/>
          <w:insideV w:val="nil"/>
        </w:tcBorders>
        <w:shd w:val="clear" w:color="auto" w:fill="51344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3443" w:themeFill="accent4" w:themeFillShade="99"/>
      </w:tcPr>
    </w:tblStylePr>
    <w:tblStylePr w:type="band1Vert">
      <w:tblPr/>
      <w:tcPr>
        <w:shd w:val="clear" w:color="auto" w:fill="D2B8C6" w:themeFill="accent4" w:themeFillTint="66"/>
      </w:tcPr>
    </w:tblStylePr>
    <w:tblStylePr w:type="band1Horz">
      <w:tblPr/>
      <w:tcPr>
        <w:shd w:val="clear" w:color="auto" w:fill="C7A7B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003C55" w:themeColor="accent6"/>
        <w:left w:val="single" w:sz="4" w:space="0" w:color="9FB825" w:themeColor="accent5"/>
        <w:bottom w:val="single" w:sz="4" w:space="0" w:color="9FB825" w:themeColor="accent5"/>
        <w:right w:val="single" w:sz="4" w:space="0" w:color="9FB825" w:themeColor="accent5"/>
        <w:insideH w:val="single" w:sz="4" w:space="0" w:color="FFFFFF" w:themeColor="background1"/>
        <w:insideV w:val="single" w:sz="4" w:space="0" w:color="FFFFFF" w:themeColor="background1"/>
      </w:tblBorders>
    </w:tblPr>
    <w:tcPr>
      <w:shd w:val="clear" w:color="auto" w:fill="F7F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3C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E16" w:themeFill="accent5" w:themeFillShade="99"/>
      </w:tcPr>
    </w:tblStylePr>
    <w:tblStylePr w:type="firstCol">
      <w:rPr>
        <w:color w:val="FFFFFF" w:themeColor="background1"/>
      </w:rPr>
      <w:tblPr/>
      <w:tcPr>
        <w:tcBorders>
          <w:top w:val="nil"/>
          <w:left w:val="nil"/>
          <w:bottom w:val="nil"/>
          <w:right w:val="nil"/>
          <w:insideH w:val="single" w:sz="4" w:space="0" w:color="5E6E16" w:themeColor="accent5" w:themeShade="99"/>
          <w:insideV w:val="nil"/>
        </w:tcBorders>
        <w:shd w:val="clear" w:color="auto" w:fill="5E6E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E6E16" w:themeFill="accent5" w:themeFillShade="99"/>
      </w:tcPr>
    </w:tblStylePr>
    <w:tblStylePr w:type="band1Vert">
      <w:tblPr/>
      <w:tcPr>
        <w:shd w:val="clear" w:color="auto" w:fill="DEEB9E" w:themeFill="accent5" w:themeFillTint="66"/>
      </w:tcPr>
    </w:tblStylePr>
    <w:tblStylePr w:type="band1Horz">
      <w:tblPr/>
      <w:tcPr>
        <w:shd w:val="clear" w:color="auto" w:fill="D6E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9FB825" w:themeColor="accent5"/>
        <w:left w:val="single" w:sz="4" w:space="0" w:color="003C55" w:themeColor="accent6"/>
        <w:bottom w:val="single" w:sz="4" w:space="0" w:color="003C55" w:themeColor="accent6"/>
        <w:right w:val="single" w:sz="4" w:space="0" w:color="003C55" w:themeColor="accent6"/>
        <w:insideH w:val="single" w:sz="4" w:space="0" w:color="FFFFFF" w:themeColor="background1"/>
        <w:insideV w:val="single" w:sz="4" w:space="0" w:color="FFFFFF" w:themeColor="background1"/>
      </w:tblBorders>
    </w:tblPr>
    <w:tcPr>
      <w:shd w:val="clear" w:color="auto" w:fill="D5F2FF"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FB82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33" w:themeFill="accent6" w:themeFillShade="99"/>
      </w:tcPr>
    </w:tblStylePr>
    <w:tblStylePr w:type="firstCol">
      <w:rPr>
        <w:color w:val="FFFFFF" w:themeColor="background1"/>
      </w:rPr>
      <w:tblPr/>
      <w:tcPr>
        <w:tcBorders>
          <w:top w:val="nil"/>
          <w:left w:val="nil"/>
          <w:bottom w:val="nil"/>
          <w:right w:val="nil"/>
          <w:insideH w:val="single" w:sz="4" w:space="0" w:color="002433" w:themeColor="accent6" w:themeShade="99"/>
          <w:insideV w:val="nil"/>
        </w:tcBorders>
        <w:shd w:val="clear" w:color="auto" w:fill="0024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433" w:themeFill="accent6" w:themeFillShade="99"/>
      </w:tcPr>
    </w:tblStylePr>
    <w:tblStylePr w:type="band1Vert">
      <w:tblPr/>
      <w:tcPr>
        <w:shd w:val="clear" w:color="auto" w:fill="55CDFF" w:themeFill="accent6" w:themeFillTint="66"/>
      </w:tcPr>
    </w:tblStylePr>
    <w:tblStylePr w:type="band1Horz">
      <w:tblPr/>
      <w:tcPr>
        <w:shd w:val="clear" w:color="auto" w:fill="2BC0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63303"/>
    <w:rPr>
      <w:rFonts w:asciiTheme="minorHAnsi" w:hAnsiTheme="minorHAnsi" w:cstheme="minorHAnsi"/>
      <w:sz w:val="16"/>
      <w:szCs w:val="16"/>
    </w:rPr>
  </w:style>
  <w:style w:type="paragraph" w:styleId="CommentText">
    <w:name w:val="annotation text"/>
    <w:basedOn w:val="Normal"/>
    <w:link w:val="CommentTextChar"/>
    <w:uiPriority w:val="99"/>
    <w:rsid w:val="00C63303"/>
  </w:style>
  <w:style w:type="character" w:customStyle="1" w:styleId="CommentTextChar">
    <w:name w:val="Comment Text Char"/>
    <w:basedOn w:val="DefaultParagraphFont"/>
    <w:link w:val="CommentText"/>
    <w:uiPriority w:val="99"/>
    <w:rsid w:val="00E33062"/>
    <w:rPr>
      <w:rFonts w:asciiTheme="minorHAnsi" w:eastAsiaTheme="minorHAnsi" w:hAnsiTheme="minorHAnsi" w:cstheme="minorBidi"/>
      <w:color w:val="000000" w:themeColor="text2"/>
      <w:lang w:val="en-AU" w:eastAsia="en-US"/>
    </w:rPr>
  </w:style>
  <w:style w:type="paragraph" w:styleId="CommentSubject">
    <w:name w:val="annotation subject"/>
    <w:basedOn w:val="CommentText"/>
    <w:next w:val="CommentText"/>
    <w:link w:val="CommentSubjectChar"/>
    <w:uiPriority w:val="99"/>
    <w:semiHidden/>
    <w:rsid w:val="00C63303"/>
    <w:rPr>
      <w:b/>
      <w:bCs/>
    </w:rPr>
  </w:style>
  <w:style w:type="character" w:customStyle="1" w:styleId="CommentSubjectChar">
    <w:name w:val="Comment Subject Char"/>
    <w:basedOn w:val="CommentTextChar"/>
    <w:link w:val="CommentSubject"/>
    <w:uiPriority w:val="99"/>
    <w:semiHidden/>
    <w:rsid w:val="00E33062"/>
    <w:rPr>
      <w:rFonts w:asciiTheme="minorHAnsi" w:eastAsiaTheme="minorHAnsi" w:hAnsiTheme="minorHAnsi" w:cstheme="minorBidi"/>
      <w:b/>
      <w:bCs/>
      <w:color w:val="000000" w:themeColor="text2"/>
      <w:lang w:val="en-AU" w:eastAsia="en-US"/>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000000"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46C8F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6F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1A8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1A8D6" w:themeFill="accent2" w:themeFillShade="BF"/>
      </w:tcPr>
    </w:tblStylePr>
    <w:tblStylePr w:type="band1Vert">
      <w:tblPr/>
      <w:tcPr>
        <w:tcBorders>
          <w:top w:val="nil"/>
          <w:left w:val="nil"/>
          <w:bottom w:val="nil"/>
          <w:right w:val="nil"/>
          <w:insideH w:val="nil"/>
          <w:insideV w:val="nil"/>
        </w:tcBorders>
        <w:shd w:val="clear" w:color="auto" w:fill="11A8D6" w:themeFill="accent2" w:themeFillShade="BF"/>
      </w:tcPr>
    </w:tblStylePr>
    <w:tblStylePr w:type="band1Horz">
      <w:tblPr/>
      <w:tcPr>
        <w:tcBorders>
          <w:top w:val="nil"/>
          <w:left w:val="nil"/>
          <w:bottom w:val="nil"/>
          <w:right w:val="nil"/>
          <w:insideH w:val="nil"/>
          <w:insideV w:val="nil"/>
        </w:tcBorders>
        <w:shd w:val="clear" w:color="auto" w:fill="11A8D6"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FF2D3C"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0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000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0000F" w:themeFill="accent3" w:themeFillShade="BF"/>
      </w:tcPr>
    </w:tblStylePr>
    <w:tblStylePr w:type="band1Vert">
      <w:tblPr/>
      <w:tcPr>
        <w:tcBorders>
          <w:top w:val="nil"/>
          <w:left w:val="nil"/>
          <w:bottom w:val="nil"/>
          <w:right w:val="nil"/>
          <w:insideH w:val="nil"/>
          <w:insideV w:val="nil"/>
        </w:tcBorders>
        <w:shd w:val="clear" w:color="auto" w:fill="E0000F" w:themeFill="accent3" w:themeFillShade="BF"/>
      </w:tcPr>
    </w:tblStylePr>
    <w:tblStylePr w:type="band1Horz">
      <w:tblPr/>
      <w:tcPr>
        <w:tcBorders>
          <w:top w:val="nil"/>
          <w:left w:val="nil"/>
          <w:bottom w:val="nil"/>
          <w:right w:val="nil"/>
          <w:insideH w:val="nil"/>
          <w:insideV w:val="nil"/>
        </w:tcBorders>
        <w:shd w:val="clear" w:color="auto" w:fill="E0000F"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885771"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2B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415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4154" w:themeFill="accent4" w:themeFillShade="BF"/>
      </w:tcPr>
    </w:tblStylePr>
    <w:tblStylePr w:type="band1Vert">
      <w:tblPr/>
      <w:tcPr>
        <w:tcBorders>
          <w:top w:val="nil"/>
          <w:left w:val="nil"/>
          <w:bottom w:val="nil"/>
          <w:right w:val="nil"/>
          <w:insideH w:val="nil"/>
          <w:insideV w:val="nil"/>
        </w:tcBorders>
        <w:shd w:val="clear" w:color="auto" w:fill="654154" w:themeFill="accent4" w:themeFillShade="BF"/>
      </w:tcPr>
    </w:tblStylePr>
    <w:tblStylePr w:type="band1Horz">
      <w:tblPr/>
      <w:tcPr>
        <w:tcBorders>
          <w:top w:val="nil"/>
          <w:left w:val="nil"/>
          <w:bottom w:val="nil"/>
          <w:right w:val="nil"/>
          <w:insideH w:val="nil"/>
          <w:insideV w:val="nil"/>
        </w:tcBorders>
        <w:shd w:val="clear" w:color="auto" w:fill="654154"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9FB825"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B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8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891B" w:themeFill="accent5" w:themeFillShade="BF"/>
      </w:tcPr>
    </w:tblStylePr>
    <w:tblStylePr w:type="band1Vert">
      <w:tblPr/>
      <w:tcPr>
        <w:tcBorders>
          <w:top w:val="nil"/>
          <w:left w:val="nil"/>
          <w:bottom w:val="nil"/>
          <w:right w:val="nil"/>
          <w:insideH w:val="nil"/>
          <w:insideV w:val="nil"/>
        </w:tcBorders>
        <w:shd w:val="clear" w:color="auto" w:fill="76891B" w:themeFill="accent5" w:themeFillShade="BF"/>
      </w:tcPr>
    </w:tblStylePr>
    <w:tblStylePr w:type="band1Horz">
      <w:tblPr/>
      <w:tcPr>
        <w:tcBorders>
          <w:top w:val="nil"/>
          <w:left w:val="nil"/>
          <w:bottom w:val="nil"/>
          <w:right w:val="nil"/>
          <w:insideH w:val="nil"/>
          <w:insideV w:val="nil"/>
        </w:tcBorders>
        <w:shd w:val="clear" w:color="auto" w:fill="76891B"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003C55"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D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C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C3F" w:themeFill="accent6" w:themeFillShade="BF"/>
      </w:tcPr>
    </w:tblStylePr>
    <w:tblStylePr w:type="band1Vert">
      <w:tblPr/>
      <w:tcPr>
        <w:tcBorders>
          <w:top w:val="nil"/>
          <w:left w:val="nil"/>
          <w:bottom w:val="nil"/>
          <w:right w:val="nil"/>
          <w:insideH w:val="nil"/>
          <w:insideV w:val="nil"/>
        </w:tcBorders>
        <w:shd w:val="clear" w:color="auto" w:fill="002C3F" w:themeFill="accent6" w:themeFillShade="BF"/>
      </w:tcPr>
    </w:tblStylePr>
    <w:tblStylePr w:type="band1Horz">
      <w:tblPr/>
      <w:tcPr>
        <w:tcBorders>
          <w:top w:val="nil"/>
          <w:left w:val="nil"/>
          <w:bottom w:val="nil"/>
          <w:right w:val="nil"/>
          <w:insideH w:val="nil"/>
          <w:insideV w:val="nil"/>
        </w:tcBorders>
        <w:shd w:val="clear" w:color="auto" w:fill="002C3F" w:themeFill="accent6" w:themeFillShade="BF"/>
      </w:tcPr>
    </w:tblStylePr>
  </w:style>
  <w:style w:type="paragraph" w:customStyle="1" w:styleId="TableHeading">
    <w:name w:val="Table Heading"/>
    <w:basedOn w:val="TableText"/>
    <w:uiPriority w:val="12"/>
    <w:qFormat/>
    <w:rsid w:val="00C67B68"/>
    <w:rPr>
      <w:rFonts w:asciiTheme="majorHAnsi" w:hAnsiTheme="majorHAnsi"/>
      <w:b/>
    </w:rPr>
  </w:style>
  <w:style w:type="paragraph" w:styleId="DocumentMap">
    <w:name w:val="Document Map"/>
    <w:basedOn w:val="Normal"/>
    <w:link w:val="DocumentMapChar"/>
    <w:uiPriority w:val="99"/>
    <w:semiHidden/>
    <w:rsid w:val="00C63303"/>
    <w:pPr>
      <w:spacing w:after="0"/>
    </w:pPr>
    <w:rPr>
      <w:sz w:val="16"/>
      <w:szCs w:val="16"/>
    </w:rPr>
  </w:style>
  <w:style w:type="character" w:customStyle="1" w:styleId="DocumentMapChar">
    <w:name w:val="Document Map Char"/>
    <w:basedOn w:val="DefaultParagraphFont"/>
    <w:link w:val="DocumentMap"/>
    <w:uiPriority w:val="99"/>
    <w:semiHidden/>
    <w:rsid w:val="00E33062"/>
    <w:rPr>
      <w:rFonts w:asciiTheme="minorHAnsi" w:eastAsiaTheme="minorHAnsi" w:hAnsiTheme="minorHAnsi" w:cstheme="minorBidi"/>
      <w:color w:val="000000" w:themeColor="text2"/>
      <w:sz w:val="16"/>
      <w:szCs w:val="16"/>
      <w:lang w:val="en-AU" w:eastAsia="en-US"/>
    </w:rPr>
  </w:style>
  <w:style w:type="paragraph" w:styleId="E-mailSignature">
    <w:name w:val="E-mail Signature"/>
    <w:basedOn w:val="Normal"/>
    <w:link w:val="E-mailSignatureChar"/>
    <w:uiPriority w:val="99"/>
    <w:semiHidden/>
    <w:rsid w:val="00C63303"/>
    <w:pPr>
      <w:spacing w:after="0"/>
    </w:pPr>
  </w:style>
  <w:style w:type="character" w:customStyle="1" w:styleId="E-mailSignatureChar">
    <w:name w:val="E-mail Signature Char"/>
    <w:basedOn w:val="DefaultParagraphFont"/>
    <w:link w:val="E-mailSignature"/>
    <w:uiPriority w:val="99"/>
    <w:semiHidden/>
    <w:rsid w:val="00E33062"/>
    <w:rPr>
      <w:rFonts w:asciiTheme="minorHAnsi" w:eastAsiaTheme="minorHAnsi" w:hAnsiTheme="minorHAnsi" w:cstheme="minorBidi"/>
      <w:color w:val="000000" w:themeColor="text2"/>
      <w:lang w:val="en-AU" w:eastAsia="en-US"/>
    </w:rPr>
  </w:style>
  <w:style w:type="character" w:styleId="EndnoteReference">
    <w:name w:val="endnote reference"/>
    <w:basedOn w:val="DefaultParagraphFont"/>
    <w:uiPriority w:val="99"/>
    <w:semiHidden/>
    <w:rsid w:val="00C63303"/>
    <w:rPr>
      <w:rFonts w:asciiTheme="minorHAnsi" w:hAnsiTheme="minorHAnsi" w:cstheme="minorHAnsi"/>
      <w:vertAlign w:val="superscript"/>
    </w:rPr>
  </w:style>
  <w:style w:type="paragraph" w:styleId="EndnoteText">
    <w:name w:val="endnote text"/>
    <w:basedOn w:val="Normal"/>
    <w:link w:val="EndnoteTextChar"/>
    <w:uiPriority w:val="99"/>
    <w:semiHidden/>
    <w:rsid w:val="00C63303"/>
    <w:pPr>
      <w:spacing w:after="0"/>
    </w:pPr>
  </w:style>
  <w:style w:type="character" w:customStyle="1" w:styleId="EndnoteTextChar">
    <w:name w:val="Endnote Text Char"/>
    <w:basedOn w:val="DefaultParagraphFont"/>
    <w:link w:val="EndnoteText"/>
    <w:uiPriority w:val="99"/>
    <w:semiHidden/>
    <w:rsid w:val="00E33062"/>
    <w:rPr>
      <w:rFonts w:asciiTheme="minorHAnsi" w:eastAsiaTheme="minorHAnsi" w:hAnsiTheme="minorHAnsi" w:cstheme="minorBidi"/>
      <w:color w:val="000000" w:themeColor="text2"/>
      <w:lang w:val="en-AU" w:eastAsia="en-US"/>
    </w:rPr>
  </w:style>
  <w:style w:type="paragraph" w:styleId="EnvelopeAddress">
    <w:name w:val="envelope address"/>
    <w:basedOn w:val="Normal"/>
    <w:uiPriority w:val="99"/>
    <w:semiHidden/>
    <w:rsid w:val="00C63303"/>
    <w:pPr>
      <w:framePr w:w="7920" w:h="1980" w:hRule="exact" w:hSpace="180" w:wrap="auto" w:hAnchor="page" w:xAlign="center" w:yAlign="bottom"/>
      <w:spacing w:after="0"/>
      <w:ind w:left="2880"/>
    </w:pPr>
    <w:rPr>
      <w:rFonts w:eastAsiaTheme="majorEastAsia"/>
      <w:sz w:val="24"/>
    </w:rPr>
  </w:style>
  <w:style w:type="paragraph" w:styleId="EnvelopeReturn">
    <w:name w:val="envelope return"/>
    <w:basedOn w:val="Normal"/>
    <w:uiPriority w:val="99"/>
    <w:semiHidden/>
    <w:rsid w:val="00C63303"/>
    <w:pPr>
      <w:spacing w:after="0"/>
    </w:pPr>
    <w:rPr>
      <w:rFonts w:eastAsiaTheme="majorEastAsia"/>
    </w:rPr>
  </w:style>
  <w:style w:type="character" w:styleId="FollowedHyperlink">
    <w:name w:val="FollowedHyperlink"/>
    <w:basedOn w:val="DefaultParagraphFont"/>
    <w:uiPriority w:val="99"/>
    <w:rsid w:val="00466BBD"/>
    <w:rPr>
      <w:color w:val="46C8F0" w:themeColor="accent2"/>
      <w:u w:val="dotted"/>
    </w:rPr>
  </w:style>
  <w:style w:type="character" w:styleId="HTMLAcronym">
    <w:name w:val="HTML Acronym"/>
    <w:basedOn w:val="DefaultParagraphFont"/>
    <w:uiPriority w:val="99"/>
    <w:semiHidden/>
    <w:rsid w:val="00C63303"/>
    <w:rPr>
      <w:rFonts w:asciiTheme="minorHAnsi" w:hAnsiTheme="minorHAnsi" w:cstheme="minorHAnsi"/>
    </w:rPr>
  </w:style>
  <w:style w:type="paragraph" w:styleId="HTMLAddress">
    <w:name w:val="HTML Address"/>
    <w:basedOn w:val="Normal"/>
    <w:link w:val="HTMLAddressChar"/>
    <w:uiPriority w:val="99"/>
    <w:semiHidden/>
    <w:rsid w:val="00C63303"/>
    <w:pPr>
      <w:spacing w:after="0"/>
    </w:pPr>
    <w:rPr>
      <w:i/>
      <w:iCs/>
    </w:rPr>
  </w:style>
  <w:style w:type="character" w:customStyle="1" w:styleId="HTMLAddressChar">
    <w:name w:val="HTML Address Char"/>
    <w:basedOn w:val="DefaultParagraphFont"/>
    <w:link w:val="HTMLAddress"/>
    <w:uiPriority w:val="99"/>
    <w:semiHidden/>
    <w:rsid w:val="00E33062"/>
    <w:rPr>
      <w:rFonts w:asciiTheme="minorHAnsi" w:eastAsiaTheme="minorHAnsi" w:hAnsiTheme="minorHAnsi" w:cstheme="minorBidi"/>
      <w:i/>
      <w:iCs/>
      <w:color w:val="000000" w:themeColor="text2"/>
      <w:lang w:val="en-AU" w:eastAsia="en-US"/>
    </w:rPr>
  </w:style>
  <w:style w:type="character" w:styleId="HTMLCite">
    <w:name w:val="HTML Cite"/>
    <w:basedOn w:val="DefaultParagraphFont"/>
    <w:uiPriority w:val="99"/>
    <w:semiHidden/>
    <w:rsid w:val="00C63303"/>
    <w:rPr>
      <w:rFonts w:asciiTheme="minorHAnsi" w:hAnsiTheme="minorHAnsi" w:cstheme="minorHAnsi"/>
      <w:i/>
      <w:iCs/>
    </w:rPr>
  </w:style>
  <w:style w:type="character" w:styleId="HTMLCode">
    <w:name w:val="HTML Code"/>
    <w:basedOn w:val="DefaultParagraphFont"/>
    <w:uiPriority w:val="99"/>
    <w:semiHidden/>
    <w:rsid w:val="00C63303"/>
    <w:rPr>
      <w:rFonts w:ascii="Consolas" w:hAnsi="Consolas" w:cs="Consolas"/>
      <w:sz w:val="20"/>
      <w:szCs w:val="20"/>
    </w:rPr>
  </w:style>
  <w:style w:type="character" w:styleId="HTMLDefinition">
    <w:name w:val="HTML Definition"/>
    <w:basedOn w:val="DefaultParagraphFont"/>
    <w:uiPriority w:val="99"/>
    <w:semiHidden/>
    <w:rsid w:val="00C63303"/>
    <w:rPr>
      <w:rFonts w:asciiTheme="minorHAnsi" w:hAnsiTheme="minorHAnsi" w:cstheme="minorHAnsi"/>
      <w:i/>
      <w:iCs/>
    </w:rPr>
  </w:style>
  <w:style w:type="character" w:styleId="HTMLKeyboard">
    <w:name w:val="HTML Keyboard"/>
    <w:basedOn w:val="DefaultParagraphFont"/>
    <w:uiPriority w:val="99"/>
    <w:semiHidden/>
    <w:rsid w:val="00C63303"/>
    <w:rPr>
      <w:rFonts w:ascii="Consolas" w:hAnsi="Consolas" w:cs="Consolas"/>
      <w:sz w:val="20"/>
      <w:szCs w:val="20"/>
    </w:rPr>
  </w:style>
  <w:style w:type="paragraph" w:styleId="HTMLPreformatted">
    <w:name w:val="HTML Preformatted"/>
    <w:basedOn w:val="Normal"/>
    <w:link w:val="HTMLPreformattedChar"/>
    <w:uiPriority w:val="99"/>
    <w:semiHidden/>
    <w:rsid w:val="00C63303"/>
    <w:pPr>
      <w:spacing w:after="0"/>
    </w:pPr>
  </w:style>
  <w:style w:type="character" w:customStyle="1" w:styleId="HTMLPreformattedChar">
    <w:name w:val="HTML Preformatted Char"/>
    <w:basedOn w:val="DefaultParagraphFont"/>
    <w:link w:val="HTMLPreformatted"/>
    <w:uiPriority w:val="99"/>
    <w:semiHidden/>
    <w:rsid w:val="00E33062"/>
    <w:rPr>
      <w:rFonts w:asciiTheme="minorHAnsi" w:eastAsiaTheme="minorHAnsi" w:hAnsiTheme="minorHAnsi" w:cstheme="minorBidi"/>
      <w:color w:val="000000" w:themeColor="text2"/>
      <w:lang w:val="en-AU" w:eastAsia="en-US"/>
    </w:rPr>
  </w:style>
  <w:style w:type="character" w:styleId="HTMLSample">
    <w:name w:val="HTML Sample"/>
    <w:basedOn w:val="DefaultParagraphFont"/>
    <w:uiPriority w:val="99"/>
    <w:semiHidden/>
    <w:rsid w:val="00C63303"/>
    <w:rPr>
      <w:rFonts w:ascii="Consolas" w:hAnsi="Consolas" w:cs="Consolas"/>
      <w:sz w:val="24"/>
      <w:szCs w:val="24"/>
    </w:rPr>
  </w:style>
  <w:style w:type="character" w:styleId="HTMLTypewriter">
    <w:name w:val="HTML Typewriter"/>
    <w:basedOn w:val="DefaultParagraphFont"/>
    <w:uiPriority w:val="99"/>
    <w:semiHidden/>
    <w:rsid w:val="00C63303"/>
    <w:rPr>
      <w:rFonts w:ascii="Consolas" w:hAnsi="Consolas" w:cs="Consolas"/>
      <w:sz w:val="20"/>
      <w:szCs w:val="20"/>
    </w:rPr>
  </w:style>
  <w:style w:type="character" w:styleId="HTMLVariable">
    <w:name w:val="HTML Variable"/>
    <w:basedOn w:val="DefaultParagraphFont"/>
    <w:uiPriority w:val="99"/>
    <w:semiHidden/>
    <w:rsid w:val="00C63303"/>
    <w:rPr>
      <w:rFonts w:asciiTheme="minorHAnsi" w:hAnsiTheme="minorHAnsi" w:cstheme="minorHAnsi"/>
      <w:i/>
      <w:iCs/>
    </w:rPr>
  </w:style>
  <w:style w:type="character" w:styleId="Hyperlink">
    <w:name w:val="Hyperlink"/>
    <w:basedOn w:val="DefaultParagraphFont"/>
    <w:uiPriority w:val="99"/>
    <w:unhideWhenUsed/>
    <w:rsid w:val="00466BBD"/>
    <w:rPr>
      <w:color w:val="0000FF"/>
      <w:u w:val="single"/>
    </w:rPr>
  </w:style>
  <w:style w:type="paragraph" w:styleId="Index1">
    <w:name w:val="index 1"/>
    <w:basedOn w:val="Normal"/>
    <w:next w:val="Normal"/>
    <w:autoRedefine/>
    <w:uiPriority w:val="99"/>
    <w:semiHidden/>
    <w:rsid w:val="00C63303"/>
    <w:pPr>
      <w:spacing w:after="0"/>
      <w:ind w:left="200" w:hanging="200"/>
    </w:pPr>
  </w:style>
  <w:style w:type="paragraph" w:styleId="Index2">
    <w:name w:val="index 2"/>
    <w:basedOn w:val="Normal"/>
    <w:next w:val="Normal"/>
    <w:autoRedefine/>
    <w:uiPriority w:val="99"/>
    <w:semiHidden/>
    <w:rsid w:val="00C63303"/>
    <w:pPr>
      <w:spacing w:after="0"/>
      <w:ind w:left="400" w:hanging="200"/>
    </w:pPr>
  </w:style>
  <w:style w:type="paragraph" w:styleId="Index3">
    <w:name w:val="index 3"/>
    <w:basedOn w:val="Normal"/>
    <w:next w:val="Normal"/>
    <w:autoRedefine/>
    <w:uiPriority w:val="99"/>
    <w:semiHidden/>
    <w:rsid w:val="00C63303"/>
    <w:pPr>
      <w:spacing w:after="0"/>
      <w:ind w:left="600" w:hanging="200"/>
    </w:pPr>
  </w:style>
  <w:style w:type="paragraph" w:styleId="Index4">
    <w:name w:val="index 4"/>
    <w:basedOn w:val="Normal"/>
    <w:next w:val="Normal"/>
    <w:autoRedefine/>
    <w:uiPriority w:val="99"/>
    <w:semiHidden/>
    <w:rsid w:val="00C63303"/>
    <w:pPr>
      <w:spacing w:after="0"/>
      <w:ind w:left="800" w:hanging="200"/>
    </w:pPr>
  </w:style>
  <w:style w:type="paragraph" w:styleId="Index5">
    <w:name w:val="index 5"/>
    <w:basedOn w:val="Normal"/>
    <w:next w:val="Normal"/>
    <w:autoRedefine/>
    <w:uiPriority w:val="99"/>
    <w:semiHidden/>
    <w:rsid w:val="00C63303"/>
    <w:pPr>
      <w:spacing w:after="0"/>
      <w:ind w:left="1000" w:hanging="200"/>
    </w:pPr>
  </w:style>
  <w:style w:type="paragraph" w:styleId="Index6">
    <w:name w:val="index 6"/>
    <w:basedOn w:val="Normal"/>
    <w:next w:val="Normal"/>
    <w:autoRedefine/>
    <w:uiPriority w:val="99"/>
    <w:semiHidden/>
    <w:rsid w:val="00C63303"/>
    <w:pPr>
      <w:spacing w:after="0"/>
      <w:ind w:left="1200" w:hanging="200"/>
    </w:pPr>
  </w:style>
  <w:style w:type="paragraph" w:styleId="Index7">
    <w:name w:val="index 7"/>
    <w:basedOn w:val="Normal"/>
    <w:next w:val="Normal"/>
    <w:autoRedefine/>
    <w:uiPriority w:val="99"/>
    <w:semiHidden/>
    <w:rsid w:val="00C63303"/>
    <w:pPr>
      <w:spacing w:after="0"/>
      <w:ind w:left="1400" w:hanging="200"/>
    </w:pPr>
  </w:style>
  <w:style w:type="paragraph" w:styleId="Index8">
    <w:name w:val="index 8"/>
    <w:basedOn w:val="Normal"/>
    <w:next w:val="Normal"/>
    <w:autoRedefine/>
    <w:uiPriority w:val="99"/>
    <w:semiHidden/>
    <w:rsid w:val="00C63303"/>
    <w:pPr>
      <w:spacing w:after="0"/>
      <w:ind w:left="1600" w:hanging="200"/>
    </w:pPr>
  </w:style>
  <w:style w:type="paragraph" w:styleId="Index9">
    <w:name w:val="index 9"/>
    <w:basedOn w:val="Normal"/>
    <w:next w:val="Normal"/>
    <w:autoRedefine/>
    <w:uiPriority w:val="99"/>
    <w:semiHidden/>
    <w:rsid w:val="00C63303"/>
    <w:pPr>
      <w:spacing w:after="0"/>
      <w:ind w:left="1800" w:hanging="200"/>
    </w:pPr>
  </w:style>
  <w:style w:type="paragraph" w:styleId="IndexHeading">
    <w:name w:val="index heading"/>
    <w:basedOn w:val="Normal"/>
    <w:next w:val="Index1"/>
    <w:uiPriority w:val="99"/>
    <w:semiHidden/>
    <w:rsid w:val="00C63303"/>
    <w:rPr>
      <w:rFonts w:asciiTheme="majorHAnsi" w:eastAsiaTheme="majorEastAsia" w:hAnsiTheme="majorHAnsi" w:cstheme="majorHAnsi"/>
      <w:b/>
      <w:bCs/>
    </w:rPr>
  </w:style>
  <w:style w:type="paragraph" w:styleId="IntenseQuote">
    <w:name w:val="Intense Quote"/>
    <w:basedOn w:val="Normal"/>
    <w:next w:val="Normal"/>
    <w:link w:val="IntenseQuoteChar"/>
    <w:uiPriority w:val="99"/>
    <w:semiHidden/>
    <w:rsid w:val="00C63303"/>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99"/>
    <w:semiHidden/>
    <w:rsid w:val="00E33062"/>
    <w:rPr>
      <w:rFonts w:asciiTheme="minorHAnsi" w:eastAsiaTheme="minorHAnsi" w:hAnsiTheme="minorHAnsi" w:cstheme="minorBidi"/>
      <w:b/>
      <w:bCs/>
      <w:i/>
      <w:iCs/>
      <w:color w:val="000000" w:themeColor="accent1"/>
      <w:lang w:val="en-AU" w:eastAsia="en-US"/>
    </w:rPr>
  </w:style>
  <w:style w:type="character" w:styleId="IntenseReference">
    <w:name w:val="Intense Reference"/>
    <w:basedOn w:val="DefaultParagraphFont"/>
    <w:uiPriority w:val="99"/>
    <w:semiHidden/>
    <w:rsid w:val="00C63303"/>
    <w:rPr>
      <w:rFonts w:asciiTheme="minorHAnsi" w:hAnsiTheme="minorHAnsi" w:cstheme="minorHAnsi"/>
      <w:b/>
      <w:bCs/>
      <w:smallCaps/>
      <w:color w:val="46C8F0"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46C8F0" w:themeColor="accent2"/>
        <w:left w:val="single" w:sz="8" w:space="0" w:color="46C8F0" w:themeColor="accent2"/>
        <w:bottom w:val="single" w:sz="8" w:space="0" w:color="46C8F0" w:themeColor="accent2"/>
        <w:right w:val="single" w:sz="8" w:space="0" w:color="46C8F0" w:themeColor="accent2"/>
        <w:insideH w:val="single" w:sz="8" w:space="0" w:color="46C8F0" w:themeColor="accent2"/>
        <w:insideV w:val="single" w:sz="8" w:space="0" w:color="46C8F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6C8F0" w:themeColor="accent2"/>
          <w:left w:val="single" w:sz="8" w:space="0" w:color="46C8F0" w:themeColor="accent2"/>
          <w:bottom w:val="single" w:sz="18" w:space="0" w:color="46C8F0" w:themeColor="accent2"/>
          <w:right w:val="single" w:sz="8" w:space="0" w:color="46C8F0" w:themeColor="accent2"/>
          <w:insideH w:val="nil"/>
          <w:insideV w:val="single" w:sz="8" w:space="0" w:color="46C8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8F0" w:themeColor="accent2"/>
          <w:left w:val="single" w:sz="8" w:space="0" w:color="46C8F0" w:themeColor="accent2"/>
          <w:bottom w:val="single" w:sz="8" w:space="0" w:color="46C8F0" w:themeColor="accent2"/>
          <w:right w:val="single" w:sz="8" w:space="0" w:color="46C8F0" w:themeColor="accent2"/>
          <w:insideH w:val="nil"/>
          <w:insideV w:val="single" w:sz="8" w:space="0" w:color="46C8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8F0" w:themeColor="accent2"/>
          <w:left w:val="single" w:sz="8" w:space="0" w:color="46C8F0" w:themeColor="accent2"/>
          <w:bottom w:val="single" w:sz="8" w:space="0" w:color="46C8F0" w:themeColor="accent2"/>
          <w:right w:val="single" w:sz="8" w:space="0" w:color="46C8F0" w:themeColor="accent2"/>
        </w:tcBorders>
      </w:tcPr>
    </w:tblStylePr>
    <w:tblStylePr w:type="band1Vert">
      <w:tblPr/>
      <w:tcPr>
        <w:tcBorders>
          <w:top w:val="single" w:sz="8" w:space="0" w:color="46C8F0" w:themeColor="accent2"/>
          <w:left w:val="single" w:sz="8" w:space="0" w:color="46C8F0" w:themeColor="accent2"/>
          <w:bottom w:val="single" w:sz="8" w:space="0" w:color="46C8F0" w:themeColor="accent2"/>
          <w:right w:val="single" w:sz="8" w:space="0" w:color="46C8F0" w:themeColor="accent2"/>
        </w:tcBorders>
        <w:shd w:val="clear" w:color="auto" w:fill="D1F1FB" w:themeFill="accent2" w:themeFillTint="3F"/>
      </w:tcPr>
    </w:tblStylePr>
    <w:tblStylePr w:type="band1Horz">
      <w:tblPr/>
      <w:tcPr>
        <w:tcBorders>
          <w:top w:val="single" w:sz="8" w:space="0" w:color="46C8F0" w:themeColor="accent2"/>
          <w:left w:val="single" w:sz="8" w:space="0" w:color="46C8F0" w:themeColor="accent2"/>
          <w:bottom w:val="single" w:sz="8" w:space="0" w:color="46C8F0" w:themeColor="accent2"/>
          <w:right w:val="single" w:sz="8" w:space="0" w:color="46C8F0" w:themeColor="accent2"/>
          <w:insideV w:val="single" w:sz="8" w:space="0" w:color="46C8F0" w:themeColor="accent2"/>
        </w:tcBorders>
        <w:shd w:val="clear" w:color="auto" w:fill="D1F1FB" w:themeFill="accent2" w:themeFillTint="3F"/>
      </w:tcPr>
    </w:tblStylePr>
    <w:tblStylePr w:type="band2Horz">
      <w:tblPr/>
      <w:tcPr>
        <w:tcBorders>
          <w:top w:val="single" w:sz="8" w:space="0" w:color="46C8F0" w:themeColor="accent2"/>
          <w:left w:val="single" w:sz="8" w:space="0" w:color="46C8F0" w:themeColor="accent2"/>
          <w:bottom w:val="single" w:sz="8" w:space="0" w:color="46C8F0" w:themeColor="accent2"/>
          <w:right w:val="single" w:sz="8" w:space="0" w:color="46C8F0" w:themeColor="accent2"/>
          <w:insideV w:val="single" w:sz="8" w:space="0" w:color="46C8F0"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FF2D3C" w:themeColor="accent3"/>
        <w:left w:val="single" w:sz="8" w:space="0" w:color="FF2D3C" w:themeColor="accent3"/>
        <w:bottom w:val="single" w:sz="8" w:space="0" w:color="FF2D3C" w:themeColor="accent3"/>
        <w:right w:val="single" w:sz="8" w:space="0" w:color="FF2D3C" w:themeColor="accent3"/>
        <w:insideH w:val="single" w:sz="8" w:space="0" w:color="FF2D3C" w:themeColor="accent3"/>
        <w:insideV w:val="single" w:sz="8" w:space="0" w:color="FF2D3C"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2D3C" w:themeColor="accent3"/>
          <w:left w:val="single" w:sz="8" w:space="0" w:color="FF2D3C" w:themeColor="accent3"/>
          <w:bottom w:val="single" w:sz="18" w:space="0" w:color="FF2D3C" w:themeColor="accent3"/>
          <w:right w:val="single" w:sz="8" w:space="0" w:color="FF2D3C" w:themeColor="accent3"/>
          <w:insideH w:val="nil"/>
          <w:insideV w:val="single" w:sz="8" w:space="0" w:color="FF2D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D3C" w:themeColor="accent3"/>
          <w:left w:val="single" w:sz="8" w:space="0" w:color="FF2D3C" w:themeColor="accent3"/>
          <w:bottom w:val="single" w:sz="8" w:space="0" w:color="FF2D3C" w:themeColor="accent3"/>
          <w:right w:val="single" w:sz="8" w:space="0" w:color="FF2D3C" w:themeColor="accent3"/>
          <w:insideH w:val="nil"/>
          <w:insideV w:val="single" w:sz="8" w:space="0" w:color="FF2D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D3C" w:themeColor="accent3"/>
          <w:left w:val="single" w:sz="8" w:space="0" w:color="FF2D3C" w:themeColor="accent3"/>
          <w:bottom w:val="single" w:sz="8" w:space="0" w:color="FF2D3C" w:themeColor="accent3"/>
          <w:right w:val="single" w:sz="8" w:space="0" w:color="FF2D3C" w:themeColor="accent3"/>
        </w:tcBorders>
      </w:tcPr>
    </w:tblStylePr>
    <w:tblStylePr w:type="band1Vert">
      <w:tblPr/>
      <w:tcPr>
        <w:tcBorders>
          <w:top w:val="single" w:sz="8" w:space="0" w:color="FF2D3C" w:themeColor="accent3"/>
          <w:left w:val="single" w:sz="8" w:space="0" w:color="FF2D3C" w:themeColor="accent3"/>
          <w:bottom w:val="single" w:sz="8" w:space="0" w:color="FF2D3C" w:themeColor="accent3"/>
          <w:right w:val="single" w:sz="8" w:space="0" w:color="FF2D3C" w:themeColor="accent3"/>
        </w:tcBorders>
        <w:shd w:val="clear" w:color="auto" w:fill="FFCBCE" w:themeFill="accent3" w:themeFillTint="3F"/>
      </w:tcPr>
    </w:tblStylePr>
    <w:tblStylePr w:type="band1Horz">
      <w:tblPr/>
      <w:tcPr>
        <w:tcBorders>
          <w:top w:val="single" w:sz="8" w:space="0" w:color="FF2D3C" w:themeColor="accent3"/>
          <w:left w:val="single" w:sz="8" w:space="0" w:color="FF2D3C" w:themeColor="accent3"/>
          <w:bottom w:val="single" w:sz="8" w:space="0" w:color="FF2D3C" w:themeColor="accent3"/>
          <w:right w:val="single" w:sz="8" w:space="0" w:color="FF2D3C" w:themeColor="accent3"/>
          <w:insideV w:val="single" w:sz="8" w:space="0" w:color="FF2D3C" w:themeColor="accent3"/>
        </w:tcBorders>
        <w:shd w:val="clear" w:color="auto" w:fill="FFCBCE" w:themeFill="accent3" w:themeFillTint="3F"/>
      </w:tcPr>
    </w:tblStylePr>
    <w:tblStylePr w:type="band2Horz">
      <w:tblPr/>
      <w:tcPr>
        <w:tcBorders>
          <w:top w:val="single" w:sz="8" w:space="0" w:color="FF2D3C" w:themeColor="accent3"/>
          <w:left w:val="single" w:sz="8" w:space="0" w:color="FF2D3C" w:themeColor="accent3"/>
          <w:bottom w:val="single" w:sz="8" w:space="0" w:color="FF2D3C" w:themeColor="accent3"/>
          <w:right w:val="single" w:sz="8" w:space="0" w:color="FF2D3C" w:themeColor="accent3"/>
          <w:insideV w:val="single" w:sz="8" w:space="0" w:color="FF2D3C"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885771" w:themeColor="accent4"/>
        <w:left w:val="single" w:sz="8" w:space="0" w:color="885771" w:themeColor="accent4"/>
        <w:bottom w:val="single" w:sz="8" w:space="0" w:color="885771" w:themeColor="accent4"/>
        <w:right w:val="single" w:sz="8" w:space="0" w:color="885771" w:themeColor="accent4"/>
        <w:insideH w:val="single" w:sz="8" w:space="0" w:color="885771" w:themeColor="accent4"/>
        <w:insideV w:val="single" w:sz="8" w:space="0" w:color="885771"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85771" w:themeColor="accent4"/>
          <w:left w:val="single" w:sz="8" w:space="0" w:color="885771" w:themeColor="accent4"/>
          <w:bottom w:val="single" w:sz="18" w:space="0" w:color="885771" w:themeColor="accent4"/>
          <w:right w:val="single" w:sz="8" w:space="0" w:color="885771" w:themeColor="accent4"/>
          <w:insideH w:val="nil"/>
          <w:insideV w:val="single" w:sz="8" w:space="0" w:color="88577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5771" w:themeColor="accent4"/>
          <w:left w:val="single" w:sz="8" w:space="0" w:color="885771" w:themeColor="accent4"/>
          <w:bottom w:val="single" w:sz="8" w:space="0" w:color="885771" w:themeColor="accent4"/>
          <w:right w:val="single" w:sz="8" w:space="0" w:color="885771" w:themeColor="accent4"/>
          <w:insideH w:val="nil"/>
          <w:insideV w:val="single" w:sz="8" w:space="0" w:color="88577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5771" w:themeColor="accent4"/>
          <w:left w:val="single" w:sz="8" w:space="0" w:color="885771" w:themeColor="accent4"/>
          <w:bottom w:val="single" w:sz="8" w:space="0" w:color="885771" w:themeColor="accent4"/>
          <w:right w:val="single" w:sz="8" w:space="0" w:color="885771" w:themeColor="accent4"/>
        </w:tcBorders>
      </w:tcPr>
    </w:tblStylePr>
    <w:tblStylePr w:type="band1Vert">
      <w:tblPr/>
      <w:tcPr>
        <w:tcBorders>
          <w:top w:val="single" w:sz="8" w:space="0" w:color="885771" w:themeColor="accent4"/>
          <w:left w:val="single" w:sz="8" w:space="0" w:color="885771" w:themeColor="accent4"/>
          <w:bottom w:val="single" w:sz="8" w:space="0" w:color="885771" w:themeColor="accent4"/>
          <w:right w:val="single" w:sz="8" w:space="0" w:color="885771" w:themeColor="accent4"/>
        </w:tcBorders>
        <w:shd w:val="clear" w:color="auto" w:fill="E3D3DB" w:themeFill="accent4" w:themeFillTint="3F"/>
      </w:tcPr>
    </w:tblStylePr>
    <w:tblStylePr w:type="band1Horz">
      <w:tblPr/>
      <w:tcPr>
        <w:tcBorders>
          <w:top w:val="single" w:sz="8" w:space="0" w:color="885771" w:themeColor="accent4"/>
          <w:left w:val="single" w:sz="8" w:space="0" w:color="885771" w:themeColor="accent4"/>
          <w:bottom w:val="single" w:sz="8" w:space="0" w:color="885771" w:themeColor="accent4"/>
          <w:right w:val="single" w:sz="8" w:space="0" w:color="885771" w:themeColor="accent4"/>
          <w:insideV w:val="single" w:sz="8" w:space="0" w:color="885771" w:themeColor="accent4"/>
        </w:tcBorders>
        <w:shd w:val="clear" w:color="auto" w:fill="E3D3DB" w:themeFill="accent4" w:themeFillTint="3F"/>
      </w:tcPr>
    </w:tblStylePr>
    <w:tblStylePr w:type="band2Horz">
      <w:tblPr/>
      <w:tcPr>
        <w:tcBorders>
          <w:top w:val="single" w:sz="8" w:space="0" w:color="885771" w:themeColor="accent4"/>
          <w:left w:val="single" w:sz="8" w:space="0" w:color="885771" w:themeColor="accent4"/>
          <w:bottom w:val="single" w:sz="8" w:space="0" w:color="885771" w:themeColor="accent4"/>
          <w:right w:val="single" w:sz="8" w:space="0" w:color="885771" w:themeColor="accent4"/>
          <w:insideV w:val="single" w:sz="8" w:space="0" w:color="885771"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9FB825" w:themeColor="accent5"/>
        <w:left w:val="single" w:sz="8" w:space="0" w:color="9FB825" w:themeColor="accent5"/>
        <w:bottom w:val="single" w:sz="8" w:space="0" w:color="9FB825" w:themeColor="accent5"/>
        <w:right w:val="single" w:sz="8" w:space="0" w:color="9FB825" w:themeColor="accent5"/>
        <w:insideH w:val="single" w:sz="8" w:space="0" w:color="9FB825" w:themeColor="accent5"/>
        <w:insideV w:val="single" w:sz="8" w:space="0" w:color="9FB825"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FB825" w:themeColor="accent5"/>
          <w:left w:val="single" w:sz="8" w:space="0" w:color="9FB825" w:themeColor="accent5"/>
          <w:bottom w:val="single" w:sz="18" w:space="0" w:color="9FB825" w:themeColor="accent5"/>
          <w:right w:val="single" w:sz="8" w:space="0" w:color="9FB825" w:themeColor="accent5"/>
          <w:insideH w:val="nil"/>
          <w:insideV w:val="single" w:sz="8" w:space="0" w:color="9FB82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B825" w:themeColor="accent5"/>
          <w:left w:val="single" w:sz="8" w:space="0" w:color="9FB825" w:themeColor="accent5"/>
          <w:bottom w:val="single" w:sz="8" w:space="0" w:color="9FB825" w:themeColor="accent5"/>
          <w:right w:val="single" w:sz="8" w:space="0" w:color="9FB825" w:themeColor="accent5"/>
          <w:insideH w:val="nil"/>
          <w:insideV w:val="single" w:sz="8" w:space="0" w:color="9FB82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B825" w:themeColor="accent5"/>
          <w:left w:val="single" w:sz="8" w:space="0" w:color="9FB825" w:themeColor="accent5"/>
          <w:bottom w:val="single" w:sz="8" w:space="0" w:color="9FB825" w:themeColor="accent5"/>
          <w:right w:val="single" w:sz="8" w:space="0" w:color="9FB825" w:themeColor="accent5"/>
        </w:tcBorders>
      </w:tcPr>
    </w:tblStylePr>
    <w:tblStylePr w:type="band1Vert">
      <w:tblPr/>
      <w:tcPr>
        <w:tcBorders>
          <w:top w:val="single" w:sz="8" w:space="0" w:color="9FB825" w:themeColor="accent5"/>
          <w:left w:val="single" w:sz="8" w:space="0" w:color="9FB825" w:themeColor="accent5"/>
          <w:bottom w:val="single" w:sz="8" w:space="0" w:color="9FB825" w:themeColor="accent5"/>
          <w:right w:val="single" w:sz="8" w:space="0" w:color="9FB825" w:themeColor="accent5"/>
        </w:tcBorders>
        <w:shd w:val="clear" w:color="auto" w:fill="EAF3C3" w:themeFill="accent5" w:themeFillTint="3F"/>
      </w:tcPr>
    </w:tblStylePr>
    <w:tblStylePr w:type="band1Horz">
      <w:tblPr/>
      <w:tcPr>
        <w:tcBorders>
          <w:top w:val="single" w:sz="8" w:space="0" w:color="9FB825" w:themeColor="accent5"/>
          <w:left w:val="single" w:sz="8" w:space="0" w:color="9FB825" w:themeColor="accent5"/>
          <w:bottom w:val="single" w:sz="8" w:space="0" w:color="9FB825" w:themeColor="accent5"/>
          <w:right w:val="single" w:sz="8" w:space="0" w:color="9FB825" w:themeColor="accent5"/>
          <w:insideV w:val="single" w:sz="8" w:space="0" w:color="9FB825" w:themeColor="accent5"/>
        </w:tcBorders>
        <w:shd w:val="clear" w:color="auto" w:fill="EAF3C3" w:themeFill="accent5" w:themeFillTint="3F"/>
      </w:tcPr>
    </w:tblStylePr>
    <w:tblStylePr w:type="band2Horz">
      <w:tblPr/>
      <w:tcPr>
        <w:tcBorders>
          <w:top w:val="single" w:sz="8" w:space="0" w:color="9FB825" w:themeColor="accent5"/>
          <w:left w:val="single" w:sz="8" w:space="0" w:color="9FB825" w:themeColor="accent5"/>
          <w:bottom w:val="single" w:sz="8" w:space="0" w:color="9FB825" w:themeColor="accent5"/>
          <w:right w:val="single" w:sz="8" w:space="0" w:color="9FB825" w:themeColor="accent5"/>
          <w:insideV w:val="single" w:sz="8" w:space="0" w:color="9FB825"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003C55" w:themeColor="accent6"/>
        <w:left w:val="single" w:sz="8" w:space="0" w:color="003C55" w:themeColor="accent6"/>
        <w:bottom w:val="single" w:sz="8" w:space="0" w:color="003C55" w:themeColor="accent6"/>
        <w:right w:val="single" w:sz="8" w:space="0" w:color="003C55" w:themeColor="accent6"/>
        <w:insideH w:val="single" w:sz="8" w:space="0" w:color="003C55" w:themeColor="accent6"/>
        <w:insideV w:val="single" w:sz="8" w:space="0" w:color="003C55"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3C55" w:themeColor="accent6"/>
          <w:left w:val="single" w:sz="8" w:space="0" w:color="003C55" w:themeColor="accent6"/>
          <w:bottom w:val="single" w:sz="18" w:space="0" w:color="003C55" w:themeColor="accent6"/>
          <w:right w:val="single" w:sz="8" w:space="0" w:color="003C55" w:themeColor="accent6"/>
          <w:insideH w:val="nil"/>
          <w:insideV w:val="single" w:sz="8" w:space="0" w:color="003C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C55" w:themeColor="accent6"/>
          <w:left w:val="single" w:sz="8" w:space="0" w:color="003C55" w:themeColor="accent6"/>
          <w:bottom w:val="single" w:sz="8" w:space="0" w:color="003C55" w:themeColor="accent6"/>
          <w:right w:val="single" w:sz="8" w:space="0" w:color="003C55" w:themeColor="accent6"/>
          <w:insideH w:val="nil"/>
          <w:insideV w:val="single" w:sz="8" w:space="0" w:color="003C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C55" w:themeColor="accent6"/>
          <w:left w:val="single" w:sz="8" w:space="0" w:color="003C55" w:themeColor="accent6"/>
          <w:bottom w:val="single" w:sz="8" w:space="0" w:color="003C55" w:themeColor="accent6"/>
          <w:right w:val="single" w:sz="8" w:space="0" w:color="003C55" w:themeColor="accent6"/>
        </w:tcBorders>
      </w:tcPr>
    </w:tblStylePr>
    <w:tblStylePr w:type="band1Vert">
      <w:tblPr/>
      <w:tcPr>
        <w:tcBorders>
          <w:top w:val="single" w:sz="8" w:space="0" w:color="003C55" w:themeColor="accent6"/>
          <w:left w:val="single" w:sz="8" w:space="0" w:color="003C55" w:themeColor="accent6"/>
          <w:bottom w:val="single" w:sz="8" w:space="0" w:color="003C55" w:themeColor="accent6"/>
          <w:right w:val="single" w:sz="8" w:space="0" w:color="003C55" w:themeColor="accent6"/>
        </w:tcBorders>
        <w:shd w:val="clear" w:color="auto" w:fill="96E0FF" w:themeFill="accent6" w:themeFillTint="3F"/>
      </w:tcPr>
    </w:tblStylePr>
    <w:tblStylePr w:type="band1Horz">
      <w:tblPr/>
      <w:tcPr>
        <w:tcBorders>
          <w:top w:val="single" w:sz="8" w:space="0" w:color="003C55" w:themeColor="accent6"/>
          <w:left w:val="single" w:sz="8" w:space="0" w:color="003C55" w:themeColor="accent6"/>
          <w:bottom w:val="single" w:sz="8" w:space="0" w:color="003C55" w:themeColor="accent6"/>
          <w:right w:val="single" w:sz="8" w:space="0" w:color="003C55" w:themeColor="accent6"/>
          <w:insideV w:val="single" w:sz="8" w:space="0" w:color="003C55" w:themeColor="accent6"/>
        </w:tcBorders>
        <w:shd w:val="clear" w:color="auto" w:fill="96E0FF" w:themeFill="accent6" w:themeFillTint="3F"/>
      </w:tcPr>
    </w:tblStylePr>
    <w:tblStylePr w:type="band2Horz">
      <w:tblPr/>
      <w:tcPr>
        <w:tcBorders>
          <w:top w:val="single" w:sz="8" w:space="0" w:color="003C55" w:themeColor="accent6"/>
          <w:left w:val="single" w:sz="8" w:space="0" w:color="003C55" w:themeColor="accent6"/>
          <w:bottom w:val="single" w:sz="8" w:space="0" w:color="003C55" w:themeColor="accent6"/>
          <w:right w:val="single" w:sz="8" w:space="0" w:color="003C55" w:themeColor="accent6"/>
          <w:insideV w:val="single" w:sz="8" w:space="0" w:color="003C55"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46C8F0" w:themeColor="accent2"/>
        <w:left w:val="single" w:sz="8" w:space="0" w:color="46C8F0" w:themeColor="accent2"/>
        <w:bottom w:val="single" w:sz="8" w:space="0" w:color="46C8F0" w:themeColor="accent2"/>
        <w:right w:val="single" w:sz="8" w:space="0" w:color="46C8F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6C8F0" w:themeFill="accent2"/>
      </w:tcPr>
    </w:tblStylePr>
    <w:tblStylePr w:type="lastRow">
      <w:pPr>
        <w:spacing w:before="0" w:after="0" w:line="240" w:lineRule="auto"/>
      </w:pPr>
      <w:rPr>
        <w:b/>
        <w:bCs/>
      </w:rPr>
      <w:tblPr/>
      <w:tcPr>
        <w:tcBorders>
          <w:top w:val="double" w:sz="6" w:space="0" w:color="46C8F0" w:themeColor="accent2"/>
          <w:left w:val="single" w:sz="8" w:space="0" w:color="46C8F0" w:themeColor="accent2"/>
          <w:bottom w:val="single" w:sz="8" w:space="0" w:color="46C8F0" w:themeColor="accent2"/>
          <w:right w:val="single" w:sz="8" w:space="0" w:color="46C8F0" w:themeColor="accent2"/>
        </w:tcBorders>
      </w:tcPr>
    </w:tblStylePr>
    <w:tblStylePr w:type="firstCol">
      <w:rPr>
        <w:b/>
        <w:bCs/>
      </w:rPr>
    </w:tblStylePr>
    <w:tblStylePr w:type="lastCol">
      <w:rPr>
        <w:b/>
        <w:bCs/>
      </w:rPr>
    </w:tblStylePr>
    <w:tblStylePr w:type="band1Vert">
      <w:tblPr/>
      <w:tcPr>
        <w:tcBorders>
          <w:top w:val="single" w:sz="8" w:space="0" w:color="46C8F0" w:themeColor="accent2"/>
          <w:left w:val="single" w:sz="8" w:space="0" w:color="46C8F0" w:themeColor="accent2"/>
          <w:bottom w:val="single" w:sz="8" w:space="0" w:color="46C8F0" w:themeColor="accent2"/>
          <w:right w:val="single" w:sz="8" w:space="0" w:color="46C8F0" w:themeColor="accent2"/>
        </w:tcBorders>
      </w:tcPr>
    </w:tblStylePr>
    <w:tblStylePr w:type="band1Horz">
      <w:tblPr/>
      <w:tcPr>
        <w:tcBorders>
          <w:top w:val="single" w:sz="8" w:space="0" w:color="46C8F0" w:themeColor="accent2"/>
          <w:left w:val="single" w:sz="8" w:space="0" w:color="46C8F0" w:themeColor="accent2"/>
          <w:bottom w:val="single" w:sz="8" w:space="0" w:color="46C8F0" w:themeColor="accent2"/>
          <w:right w:val="single" w:sz="8" w:space="0" w:color="46C8F0"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FF2D3C" w:themeColor="accent3"/>
        <w:left w:val="single" w:sz="8" w:space="0" w:color="FF2D3C" w:themeColor="accent3"/>
        <w:bottom w:val="single" w:sz="8" w:space="0" w:color="FF2D3C" w:themeColor="accent3"/>
        <w:right w:val="single" w:sz="8" w:space="0" w:color="FF2D3C"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2D3C" w:themeFill="accent3"/>
      </w:tcPr>
    </w:tblStylePr>
    <w:tblStylePr w:type="lastRow">
      <w:pPr>
        <w:spacing w:before="0" w:after="0" w:line="240" w:lineRule="auto"/>
      </w:pPr>
      <w:rPr>
        <w:b/>
        <w:bCs/>
      </w:rPr>
      <w:tblPr/>
      <w:tcPr>
        <w:tcBorders>
          <w:top w:val="double" w:sz="6" w:space="0" w:color="FF2D3C" w:themeColor="accent3"/>
          <w:left w:val="single" w:sz="8" w:space="0" w:color="FF2D3C" w:themeColor="accent3"/>
          <w:bottom w:val="single" w:sz="8" w:space="0" w:color="FF2D3C" w:themeColor="accent3"/>
          <w:right w:val="single" w:sz="8" w:space="0" w:color="FF2D3C" w:themeColor="accent3"/>
        </w:tcBorders>
      </w:tcPr>
    </w:tblStylePr>
    <w:tblStylePr w:type="firstCol">
      <w:rPr>
        <w:b/>
        <w:bCs/>
      </w:rPr>
    </w:tblStylePr>
    <w:tblStylePr w:type="lastCol">
      <w:rPr>
        <w:b/>
        <w:bCs/>
      </w:rPr>
    </w:tblStylePr>
    <w:tblStylePr w:type="band1Vert">
      <w:tblPr/>
      <w:tcPr>
        <w:tcBorders>
          <w:top w:val="single" w:sz="8" w:space="0" w:color="FF2D3C" w:themeColor="accent3"/>
          <w:left w:val="single" w:sz="8" w:space="0" w:color="FF2D3C" w:themeColor="accent3"/>
          <w:bottom w:val="single" w:sz="8" w:space="0" w:color="FF2D3C" w:themeColor="accent3"/>
          <w:right w:val="single" w:sz="8" w:space="0" w:color="FF2D3C" w:themeColor="accent3"/>
        </w:tcBorders>
      </w:tcPr>
    </w:tblStylePr>
    <w:tblStylePr w:type="band1Horz">
      <w:tblPr/>
      <w:tcPr>
        <w:tcBorders>
          <w:top w:val="single" w:sz="8" w:space="0" w:color="FF2D3C" w:themeColor="accent3"/>
          <w:left w:val="single" w:sz="8" w:space="0" w:color="FF2D3C" w:themeColor="accent3"/>
          <w:bottom w:val="single" w:sz="8" w:space="0" w:color="FF2D3C" w:themeColor="accent3"/>
          <w:right w:val="single" w:sz="8" w:space="0" w:color="FF2D3C"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885771" w:themeColor="accent4"/>
        <w:left w:val="single" w:sz="8" w:space="0" w:color="885771" w:themeColor="accent4"/>
        <w:bottom w:val="single" w:sz="8" w:space="0" w:color="885771" w:themeColor="accent4"/>
        <w:right w:val="single" w:sz="8" w:space="0" w:color="885771"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85771" w:themeFill="accent4"/>
      </w:tcPr>
    </w:tblStylePr>
    <w:tblStylePr w:type="lastRow">
      <w:pPr>
        <w:spacing w:before="0" w:after="0" w:line="240" w:lineRule="auto"/>
      </w:pPr>
      <w:rPr>
        <w:b/>
        <w:bCs/>
      </w:rPr>
      <w:tblPr/>
      <w:tcPr>
        <w:tcBorders>
          <w:top w:val="double" w:sz="6" w:space="0" w:color="885771" w:themeColor="accent4"/>
          <w:left w:val="single" w:sz="8" w:space="0" w:color="885771" w:themeColor="accent4"/>
          <w:bottom w:val="single" w:sz="8" w:space="0" w:color="885771" w:themeColor="accent4"/>
          <w:right w:val="single" w:sz="8" w:space="0" w:color="885771" w:themeColor="accent4"/>
        </w:tcBorders>
      </w:tcPr>
    </w:tblStylePr>
    <w:tblStylePr w:type="firstCol">
      <w:rPr>
        <w:b/>
        <w:bCs/>
      </w:rPr>
    </w:tblStylePr>
    <w:tblStylePr w:type="lastCol">
      <w:rPr>
        <w:b/>
        <w:bCs/>
      </w:rPr>
    </w:tblStylePr>
    <w:tblStylePr w:type="band1Vert">
      <w:tblPr/>
      <w:tcPr>
        <w:tcBorders>
          <w:top w:val="single" w:sz="8" w:space="0" w:color="885771" w:themeColor="accent4"/>
          <w:left w:val="single" w:sz="8" w:space="0" w:color="885771" w:themeColor="accent4"/>
          <w:bottom w:val="single" w:sz="8" w:space="0" w:color="885771" w:themeColor="accent4"/>
          <w:right w:val="single" w:sz="8" w:space="0" w:color="885771" w:themeColor="accent4"/>
        </w:tcBorders>
      </w:tcPr>
    </w:tblStylePr>
    <w:tblStylePr w:type="band1Horz">
      <w:tblPr/>
      <w:tcPr>
        <w:tcBorders>
          <w:top w:val="single" w:sz="8" w:space="0" w:color="885771" w:themeColor="accent4"/>
          <w:left w:val="single" w:sz="8" w:space="0" w:color="885771" w:themeColor="accent4"/>
          <w:bottom w:val="single" w:sz="8" w:space="0" w:color="885771" w:themeColor="accent4"/>
          <w:right w:val="single" w:sz="8" w:space="0" w:color="885771"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9FB825" w:themeColor="accent5"/>
        <w:left w:val="single" w:sz="8" w:space="0" w:color="9FB825" w:themeColor="accent5"/>
        <w:bottom w:val="single" w:sz="8" w:space="0" w:color="9FB825" w:themeColor="accent5"/>
        <w:right w:val="single" w:sz="8" w:space="0" w:color="9FB82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FB825" w:themeFill="accent5"/>
      </w:tcPr>
    </w:tblStylePr>
    <w:tblStylePr w:type="lastRow">
      <w:pPr>
        <w:spacing w:before="0" w:after="0" w:line="240" w:lineRule="auto"/>
      </w:pPr>
      <w:rPr>
        <w:b/>
        <w:bCs/>
      </w:rPr>
      <w:tblPr/>
      <w:tcPr>
        <w:tcBorders>
          <w:top w:val="double" w:sz="6" w:space="0" w:color="9FB825" w:themeColor="accent5"/>
          <w:left w:val="single" w:sz="8" w:space="0" w:color="9FB825" w:themeColor="accent5"/>
          <w:bottom w:val="single" w:sz="8" w:space="0" w:color="9FB825" w:themeColor="accent5"/>
          <w:right w:val="single" w:sz="8" w:space="0" w:color="9FB825" w:themeColor="accent5"/>
        </w:tcBorders>
      </w:tcPr>
    </w:tblStylePr>
    <w:tblStylePr w:type="firstCol">
      <w:rPr>
        <w:b/>
        <w:bCs/>
      </w:rPr>
    </w:tblStylePr>
    <w:tblStylePr w:type="lastCol">
      <w:rPr>
        <w:b/>
        <w:bCs/>
      </w:rPr>
    </w:tblStylePr>
    <w:tblStylePr w:type="band1Vert">
      <w:tblPr/>
      <w:tcPr>
        <w:tcBorders>
          <w:top w:val="single" w:sz="8" w:space="0" w:color="9FB825" w:themeColor="accent5"/>
          <w:left w:val="single" w:sz="8" w:space="0" w:color="9FB825" w:themeColor="accent5"/>
          <w:bottom w:val="single" w:sz="8" w:space="0" w:color="9FB825" w:themeColor="accent5"/>
          <w:right w:val="single" w:sz="8" w:space="0" w:color="9FB825" w:themeColor="accent5"/>
        </w:tcBorders>
      </w:tcPr>
    </w:tblStylePr>
    <w:tblStylePr w:type="band1Horz">
      <w:tblPr/>
      <w:tcPr>
        <w:tcBorders>
          <w:top w:val="single" w:sz="8" w:space="0" w:color="9FB825" w:themeColor="accent5"/>
          <w:left w:val="single" w:sz="8" w:space="0" w:color="9FB825" w:themeColor="accent5"/>
          <w:bottom w:val="single" w:sz="8" w:space="0" w:color="9FB825" w:themeColor="accent5"/>
          <w:right w:val="single" w:sz="8" w:space="0" w:color="9FB825"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003C55" w:themeColor="accent6"/>
        <w:left w:val="single" w:sz="8" w:space="0" w:color="003C55" w:themeColor="accent6"/>
        <w:bottom w:val="single" w:sz="8" w:space="0" w:color="003C55" w:themeColor="accent6"/>
        <w:right w:val="single" w:sz="8" w:space="0" w:color="003C55"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3C55" w:themeFill="accent6"/>
      </w:tcPr>
    </w:tblStylePr>
    <w:tblStylePr w:type="lastRow">
      <w:pPr>
        <w:spacing w:before="0" w:after="0" w:line="240" w:lineRule="auto"/>
      </w:pPr>
      <w:rPr>
        <w:b/>
        <w:bCs/>
      </w:rPr>
      <w:tblPr/>
      <w:tcPr>
        <w:tcBorders>
          <w:top w:val="double" w:sz="6" w:space="0" w:color="003C55" w:themeColor="accent6"/>
          <w:left w:val="single" w:sz="8" w:space="0" w:color="003C55" w:themeColor="accent6"/>
          <w:bottom w:val="single" w:sz="8" w:space="0" w:color="003C55" w:themeColor="accent6"/>
          <w:right w:val="single" w:sz="8" w:space="0" w:color="003C55" w:themeColor="accent6"/>
        </w:tcBorders>
      </w:tcPr>
    </w:tblStylePr>
    <w:tblStylePr w:type="firstCol">
      <w:rPr>
        <w:b/>
        <w:bCs/>
      </w:rPr>
    </w:tblStylePr>
    <w:tblStylePr w:type="lastCol">
      <w:rPr>
        <w:b/>
        <w:bCs/>
      </w:rPr>
    </w:tblStylePr>
    <w:tblStylePr w:type="band1Vert">
      <w:tblPr/>
      <w:tcPr>
        <w:tcBorders>
          <w:top w:val="single" w:sz="8" w:space="0" w:color="003C55" w:themeColor="accent6"/>
          <w:left w:val="single" w:sz="8" w:space="0" w:color="003C55" w:themeColor="accent6"/>
          <w:bottom w:val="single" w:sz="8" w:space="0" w:color="003C55" w:themeColor="accent6"/>
          <w:right w:val="single" w:sz="8" w:space="0" w:color="003C55" w:themeColor="accent6"/>
        </w:tcBorders>
      </w:tcPr>
    </w:tblStylePr>
    <w:tblStylePr w:type="band1Horz">
      <w:tblPr/>
      <w:tcPr>
        <w:tcBorders>
          <w:top w:val="single" w:sz="8" w:space="0" w:color="003C55" w:themeColor="accent6"/>
          <w:left w:val="single" w:sz="8" w:space="0" w:color="003C55" w:themeColor="accent6"/>
          <w:bottom w:val="single" w:sz="8" w:space="0" w:color="003C55" w:themeColor="accent6"/>
          <w:right w:val="single" w:sz="8" w:space="0" w:color="003C55"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98"/>
    <w:rsid w:val="00C63303"/>
    <w:rPr>
      <w:color w:val="11A8D6" w:themeColor="accent2" w:themeShade="BF"/>
    </w:rPr>
    <w:tblPr>
      <w:tblStyleRowBandSize w:val="1"/>
      <w:tblStyleColBandSize w:val="1"/>
      <w:tblBorders>
        <w:top w:val="single" w:sz="8" w:space="0" w:color="46C8F0" w:themeColor="accent2"/>
        <w:bottom w:val="single" w:sz="8" w:space="0" w:color="46C8F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6C8F0" w:themeColor="accent2"/>
          <w:left w:val="nil"/>
          <w:bottom w:val="single" w:sz="8" w:space="0" w:color="46C8F0" w:themeColor="accent2"/>
          <w:right w:val="nil"/>
          <w:insideH w:val="nil"/>
          <w:insideV w:val="nil"/>
        </w:tcBorders>
      </w:tcPr>
    </w:tblStylePr>
    <w:tblStylePr w:type="lastRow">
      <w:pPr>
        <w:spacing w:before="0" w:after="0" w:line="240" w:lineRule="auto"/>
      </w:pPr>
      <w:rPr>
        <w:b/>
        <w:bCs/>
      </w:rPr>
      <w:tblPr/>
      <w:tcPr>
        <w:tcBorders>
          <w:top w:val="single" w:sz="8" w:space="0" w:color="46C8F0" w:themeColor="accent2"/>
          <w:left w:val="nil"/>
          <w:bottom w:val="single" w:sz="8" w:space="0" w:color="46C8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F1FB" w:themeFill="accent2" w:themeFillTint="3F"/>
      </w:tcPr>
    </w:tblStylePr>
    <w:tblStylePr w:type="band1Horz">
      <w:tblPr/>
      <w:tcPr>
        <w:tcBorders>
          <w:left w:val="nil"/>
          <w:right w:val="nil"/>
          <w:insideH w:val="nil"/>
          <w:insideV w:val="nil"/>
        </w:tcBorders>
        <w:shd w:val="clear" w:color="auto" w:fill="D1F1FB" w:themeFill="accent2" w:themeFillTint="3F"/>
      </w:tcPr>
    </w:tblStylePr>
  </w:style>
  <w:style w:type="table" w:styleId="LightShading-Accent3">
    <w:name w:val="Light Shading Accent 3"/>
    <w:basedOn w:val="TableNormal"/>
    <w:uiPriority w:val="98"/>
    <w:rsid w:val="00C63303"/>
    <w:rPr>
      <w:color w:val="E0000F" w:themeColor="accent3" w:themeShade="BF"/>
    </w:rPr>
    <w:tblPr>
      <w:tblStyleRowBandSize w:val="1"/>
      <w:tblStyleColBandSize w:val="1"/>
      <w:tblBorders>
        <w:top w:val="single" w:sz="8" w:space="0" w:color="FF2D3C" w:themeColor="accent3"/>
        <w:bottom w:val="single" w:sz="8" w:space="0" w:color="FF2D3C"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2D3C" w:themeColor="accent3"/>
          <w:left w:val="nil"/>
          <w:bottom w:val="single" w:sz="8" w:space="0" w:color="FF2D3C" w:themeColor="accent3"/>
          <w:right w:val="nil"/>
          <w:insideH w:val="nil"/>
          <w:insideV w:val="nil"/>
        </w:tcBorders>
      </w:tcPr>
    </w:tblStylePr>
    <w:tblStylePr w:type="lastRow">
      <w:pPr>
        <w:spacing w:before="0" w:after="0" w:line="240" w:lineRule="auto"/>
      </w:pPr>
      <w:rPr>
        <w:b/>
        <w:bCs/>
      </w:rPr>
      <w:tblPr/>
      <w:tcPr>
        <w:tcBorders>
          <w:top w:val="single" w:sz="8" w:space="0" w:color="FF2D3C" w:themeColor="accent3"/>
          <w:left w:val="nil"/>
          <w:bottom w:val="single" w:sz="8" w:space="0" w:color="FF2D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E" w:themeFill="accent3" w:themeFillTint="3F"/>
      </w:tcPr>
    </w:tblStylePr>
    <w:tblStylePr w:type="band1Horz">
      <w:tblPr/>
      <w:tcPr>
        <w:tcBorders>
          <w:left w:val="nil"/>
          <w:right w:val="nil"/>
          <w:insideH w:val="nil"/>
          <w:insideV w:val="nil"/>
        </w:tcBorders>
        <w:shd w:val="clear" w:color="auto" w:fill="FFCBCE" w:themeFill="accent3" w:themeFillTint="3F"/>
      </w:tcPr>
    </w:tblStylePr>
  </w:style>
  <w:style w:type="table" w:styleId="LightShading-Accent4">
    <w:name w:val="Light Shading Accent 4"/>
    <w:basedOn w:val="TableNormal"/>
    <w:uiPriority w:val="98"/>
    <w:rsid w:val="00C63303"/>
    <w:rPr>
      <w:color w:val="654154" w:themeColor="accent4" w:themeShade="BF"/>
    </w:rPr>
    <w:tblPr>
      <w:tblStyleRowBandSize w:val="1"/>
      <w:tblStyleColBandSize w:val="1"/>
      <w:tblBorders>
        <w:top w:val="single" w:sz="8" w:space="0" w:color="885771" w:themeColor="accent4"/>
        <w:bottom w:val="single" w:sz="8" w:space="0" w:color="885771"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85771" w:themeColor="accent4"/>
          <w:left w:val="nil"/>
          <w:bottom w:val="single" w:sz="8" w:space="0" w:color="885771" w:themeColor="accent4"/>
          <w:right w:val="nil"/>
          <w:insideH w:val="nil"/>
          <w:insideV w:val="nil"/>
        </w:tcBorders>
      </w:tcPr>
    </w:tblStylePr>
    <w:tblStylePr w:type="lastRow">
      <w:pPr>
        <w:spacing w:before="0" w:after="0" w:line="240" w:lineRule="auto"/>
      </w:pPr>
      <w:rPr>
        <w:b/>
        <w:bCs/>
      </w:rPr>
      <w:tblPr/>
      <w:tcPr>
        <w:tcBorders>
          <w:top w:val="single" w:sz="8" w:space="0" w:color="885771" w:themeColor="accent4"/>
          <w:left w:val="nil"/>
          <w:bottom w:val="single" w:sz="8" w:space="0" w:color="88577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3DB" w:themeFill="accent4" w:themeFillTint="3F"/>
      </w:tcPr>
    </w:tblStylePr>
    <w:tblStylePr w:type="band1Horz">
      <w:tblPr/>
      <w:tcPr>
        <w:tcBorders>
          <w:left w:val="nil"/>
          <w:right w:val="nil"/>
          <w:insideH w:val="nil"/>
          <w:insideV w:val="nil"/>
        </w:tcBorders>
        <w:shd w:val="clear" w:color="auto" w:fill="E3D3DB" w:themeFill="accent4" w:themeFillTint="3F"/>
      </w:tcPr>
    </w:tblStylePr>
  </w:style>
  <w:style w:type="table" w:styleId="LightShading-Accent5">
    <w:name w:val="Light Shading Accent 5"/>
    <w:basedOn w:val="TableNormal"/>
    <w:uiPriority w:val="98"/>
    <w:rsid w:val="00C63303"/>
    <w:rPr>
      <w:color w:val="76891B" w:themeColor="accent5" w:themeShade="BF"/>
    </w:rPr>
    <w:tblPr>
      <w:tblStyleRowBandSize w:val="1"/>
      <w:tblStyleColBandSize w:val="1"/>
      <w:tblBorders>
        <w:top w:val="single" w:sz="8" w:space="0" w:color="9FB825" w:themeColor="accent5"/>
        <w:bottom w:val="single" w:sz="8" w:space="0" w:color="9FB82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FB825" w:themeColor="accent5"/>
          <w:left w:val="nil"/>
          <w:bottom w:val="single" w:sz="8" w:space="0" w:color="9FB825" w:themeColor="accent5"/>
          <w:right w:val="nil"/>
          <w:insideH w:val="nil"/>
          <w:insideV w:val="nil"/>
        </w:tcBorders>
      </w:tcPr>
    </w:tblStylePr>
    <w:tblStylePr w:type="lastRow">
      <w:pPr>
        <w:spacing w:before="0" w:after="0" w:line="240" w:lineRule="auto"/>
      </w:pPr>
      <w:rPr>
        <w:b/>
        <w:bCs/>
      </w:rPr>
      <w:tblPr/>
      <w:tcPr>
        <w:tcBorders>
          <w:top w:val="single" w:sz="8" w:space="0" w:color="9FB825" w:themeColor="accent5"/>
          <w:left w:val="nil"/>
          <w:bottom w:val="single" w:sz="8" w:space="0" w:color="9FB82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C3" w:themeFill="accent5" w:themeFillTint="3F"/>
      </w:tcPr>
    </w:tblStylePr>
    <w:tblStylePr w:type="band1Horz">
      <w:tblPr/>
      <w:tcPr>
        <w:tcBorders>
          <w:left w:val="nil"/>
          <w:right w:val="nil"/>
          <w:insideH w:val="nil"/>
          <w:insideV w:val="nil"/>
        </w:tcBorders>
        <w:shd w:val="clear" w:color="auto" w:fill="EAF3C3" w:themeFill="accent5" w:themeFillTint="3F"/>
      </w:tcPr>
    </w:tblStylePr>
  </w:style>
  <w:style w:type="table" w:styleId="LightShading-Accent6">
    <w:name w:val="Light Shading Accent 6"/>
    <w:basedOn w:val="TableNormal"/>
    <w:uiPriority w:val="98"/>
    <w:rsid w:val="00C63303"/>
    <w:rPr>
      <w:color w:val="002C3F" w:themeColor="accent6" w:themeShade="BF"/>
    </w:rPr>
    <w:tblPr>
      <w:tblStyleRowBandSize w:val="1"/>
      <w:tblStyleColBandSize w:val="1"/>
      <w:tblBorders>
        <w:top w:val="single" w:sz="8" w:space="0" w:color="003C55" w:themeColor="accent6"/>
        <w:bottom w:val="single" w:sz="8" w:space="0" w:color="003C55"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3C55" w:themeColor="accent6"/>
          <w:left w:val="nil"/>
          <w:bottom w:val="single" w:sz="8" w:space="0" w:color="003C55" w:themeColor="accent6"/>
          <w:right w:val="nil"/>
          <w:insideH w:val="nil"/>
          <w:insideV w:val="nil"/>
        </w:tcBorders>
      </w:tcPr>
    </w:tblStylePr>
    <w:tblStylePr w:type="lastRow">
      <w:pPr>
        <w:spacing w:before="0" w:after="0" w:line="240" w:lineRule="auto"/>
      </w:pPr>
      <w:rPr>
        <w:b/>
        <w:bCs/>
      </w:rPr>
      <w:tblPr/>
      <w:tcPr>
        <w:tcBorders>
          <w:top w:val="single" w:sz="8" w:space="0" w:color="003C55" w:themeColor="accent6"/>
          <w:left w:val="nil"/>
          <w:bottom w:val="single" w:sz="8" w:space="0" w:color="003C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0FF" w:themeFill="accent6" w:themeFillTint="3F"/>
      </w:tcPr>
    </w:tblStylePr>
    <w:tblStylePr w:type="band1Horz">
      <w:tblPr/>
      <w:tcPr>
        <w:tcBorders>
          <w:left w:val="nil"/>
          <w:right w:val="nil"/>
          <w:insideH w:val="nil"/>
          <w:insideV w:val="nil"/>
        </w:tcBorders>
        <w:shd w:val="clear" w:color="auto" w:fill="96E0FF" w:themeFill="accent6" w:themeFillTint="3F"/>
      </w:tcPr>
    </w:tblStylePr>
  </w:style>
  <w:style w:type="character" w:styleId="LineNumber">
    <w:name w:val="line number"/>
    <w:basedOn w:val="DefaultParagraphFont"/>
    <w:uiPriority w:val="99"/>
    <w:semiHidden/>
    <w:rsid w:val="00C63303"/>
    <w:rPr>
      <w:rFonts w:asciiTheme="minorHAnsi" w:hAnsiTheme="minorHAnsi" w:cstheme="minorHAnsi"/>
    </w:rPr>
  </w:style>
  <w:style w:type="paragraph" w:styleId="List">
    <w:name w:val="List"/>
    <w:basedOn w:val="Normal"/>
    <w:uiPriority w:val="99"/>
    <w:semiHidden/>
    <w:rsid w:val="00C63303"/>
    <w:pPr>
      <w:ind w:left="283" w:hanging="283"/>
      <w:contextualSpacing/>
    </w:pPr>
  </w:style>
  <w:style w:type="paragraph" w:styleId="List2">
    <w:name w:val="List 2"/>
    <w:basedOn w:val="Normal"/>
    <w:uiPriority w:val="99"/>
    <w:semiHidden/>
    <w:rsid w:val="00C63303"/>
    <w:pPr>
      <w:ind w:left="566" w:hanging="283"/>
      <w:contextualSpacing/>
    </w:pPr>
  </w:style>
  <w:style w:type="paragraph" w:styleId="List3">
    <w:name w:val="List 3"/>
    <w:basedOn w:val="Normal"/>
    <w:uiPriority w:val="99"/>
    <w:semiHidden/>
    <w:rsid w:val="00C63303"/>
    <w:pPr>
      <w:ind w:left="849" w:hanging="283"/>
      <w:contextualSpacing/>
    </w:pPr>
  </w:style>
  <w:style w:type="paragraph" w:styleId="List4">
    <w:name w:val="List 4"/>
    <w:basedOn w:val="Normal"/>
    <w:uiPriority w:val="99"/>
    <w:semiHidden/>
    <w:rsid w:val="00C63303"/>
    <w:pPr>
      <w:ind w:left="1132" w:hanging="283"/>
      <w:contextualSpacing/>
    </w:pPr>
  </w:style>
  <w:style w:type="paragraph" w:styleId="ListBullet2">
    <w:name w:val="List Bullet 2"/>
    <w:basedOn w:val="Normal"/>
    <w:uiPriority w:val="3"/>
    <w:qFormat/>
    <w:rsid w:val="00906A73"/>
    <w:pPr>
      <w:numPr>
        <w:numId w:val="21"/>
      </w:numPr>
      <w:spacing w:before="120"/>
    </w:pPr>
  </w:style>
  <w:style w:type="paragraph" w:styleId="ListBullet4">
    <w:name w:val="List Bullet 4"/>
    <w:basedOn w:val="Normal"/>
    <w:uiPriority w:val="99"/>
    <w:semiHidden/>
    <w:rsid w:val="00C63303"/>
    <w:pPr>
      <w:numPr>
        <w:numId w:val="1"/>
      </w:numPr>
      <w:contextualSpacing/>
    </w:pPr>
  </w:style>
  <w:style w:type="paragraph" w:styleId="ListBullet5">
    <w:name w:val="List Bullet 5"/>
    <w:basedOn w:val="Normal"/>
    <w:uiPriority w:val="99"/>
    <w:semiHidden/>
    <w:rsid w:val="00C63303"/>
    <w:pPr>
      <w:numPr>
        <w:numId w:val="2"/>
      </w:numPr>
      <w:contextualSpacing/>
    </w:pPr>
  </w:style>
  <w:style w:type="paragraph" w:styleId="ListContinue">
    <w:name w:val="List Continue"/>
    <w:basedOn w:val="Normal"/>
    <w:uiPriority w:val="99"/>
    <w:semiHidden/>
    <w:rsid w:val="00C63303"/>
    <w:pPr>
      <w:ind w:left="283"/>
      <w:contextualSpacing/>
    </w:pPr>
  </w:style>
  <w:style w:type="paragraph" w:styleId="ListContinue2">
    <w:name w:val="List Continue 2"/>
    <w:basedOn w:val="Normal"/>
    <w:uiPriority w:val="99"/>
    <w:semiHidden/>
    <w:rsid w:val="00C63303"/>
    <w:pPr>
      <w:ind w:left="566"/>
      <w:contextualSpacing/>
    </w:pPr>
  </w:style>
  <w:style w:type="paragraph" w:styleId="ListContinue3">
    <w:name w:val="List Continue 3"/>
    <w:basedOn w:val="Normal"/>
    <w:uiPriority w:val="99"/>
    <w:semiHidden/>
    <w:rsid w:val="00C63303"/>
    <w:pPr>
      <w:ind w:left="849"/>
      <w:contextualSpacing/>
    </w:pPr>
  </w:style>
  <w:style w:type="paragraph" w:styleId="ListContinue4">
    <w:name w:val="List Continue 4"/>
    <w:basedOn w:val="Normal"/>
    <w:uiPriority w:val="99"/>
    <w:semiHidden/>
    <w:rsid w:val="00C63303"/>
    <w:pPr>
      <w:ind w:left="1132"/>
      <w:contextualSpacing/>
    </w:pPr>
  </w:style>
  <w:style w:type="paragraph" w:styleId="ListContinue5">
    <w:name w:val="List Continue 5"/>
    <w:basedOn w:val="Normal"/>
    <w:uiPriority w:val="99"/>
    <w:semiHidden/>
    <w:rsid w:val="00C63303"/>
    <w:pPr>
      <w:ind w:left="1415"/>
      <w:contextualSpacing/>
    </w:pPr>
  </w:style>
  <w:style w:type="paragraph" w:styleId="ListNumber">
    <w:name w:val="List Number"/>
    <w:basedOn w:val="Normal"/>
    <w:uiPriority w:val="6"/>
    <w:semiHidden/>
    <w:qFormat/>
    <w:rsid w:val="00961293"/>
    <w:pPr>
      <w:numPr>
        <w:numId w:val="12"/>
      </w:numPr>
      <w:spacing w:before="120"/>
    </w:pPr>
  </w:style>
  <w:style w:type="paragraph" w:styleId="ListNumber2">
    <w:name w:val="List Number 2"/>
    <w:basedOn w:val="Normal"/>
    <w:uiPriority w:val="6"/>
    <w:semiHidden/>
    <w:qFormat/>
    <w:rsid w:val="00961293"/>
    <w:pPr>
      <w:numPr>
        <w:ilvl w:val="1"/>
        <w:numId w:val="12"/>
      </w:numPr>
      <w:spacing w:before="120"/>
    </w:pPr>
  </w:style>
  <w:style w:type="paragraph" w:styleId="ListNumber4">
    <w:name w:val="List Number 4"/>
    <w:basedOn w:val="Normal"/>
    <w:uiPriority w:val="99"/>
    <w:semiHidden/>
    <w:rsid w:val="00C63303"/>
    <w:pPr>
      <w:numPr>
        <w:numId w:val="3"/>
      </w:numPr>
      <w:contextualSpacing/>
    </w:pPr>
  </w:style>
  <w:style w:type="paragraph" w:styleId="ListNumber5">
    <w:name w:val="List Number 5"/>
    <w:basedOn w:val="Normal"/>
    <w:uiPriority w:val="99"/>
    <w:semiHidden/>
    <w:rsid w:val="00C63303"/>
    <w:pPr>
      <w:numPr>
        <w:numId w:val="4"/>
      </w:numPr>
      <w:contextualSpacing/>
    </w:pPr>
  </w:style>
  <w:style w:type="paragraph" w:styleId="MacroText">
    <w:name w:val="macro"/>
    <w:link w:val="MacroTextChar"/>
    <w:uiPriority w:val="99"/>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9"/>
    <w:semiHidden/>
    <w:rsid w:val="00E33062"/>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74D5F3" w:themeColor="accent2" w:themeTint="BF"/>
        <w:left w:val="single" w:sz="8" w:space="0" w:color="74D5F3" w:themeColor="accent2" w:themeTint="BF"/>
        <w:bottom w:val="single" w:sz="8" w:space="0" w:color="74D5F3" w:themeColor="accent2" w:themeTint="BF"/>
        <w:right w:val="single" w:sz="8" w:space="0" w:color="74D5F3" w:themeColor="accent2" w:themeTint="BF"/>
        <w:insideH w:val="single" w:sz="8" w:space="0" w:color="74D5F3" w:themeColor="accent2" w:themeTint="BF"/>
        <w:insideV w:val="single" w:sz="8" w:space="0" w:color="74D5F3" w:themeColor="accent2" w:themeTint="BF"/>
      </w:tblBorders>
    </w:tblPr>
    <w:tcPr>
      <w:shd w:val="clear" w:color="auto" w:fill="D1F1FB"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74D5F3" w:themeColor="accent2" w:themeTint="BF"/>
        </w:tcBorders>
      </w:tcPr>
    </w:tblStylePr>
    <w:tblStylePr w:type="firstCol">
      <w:rPr>
        <w:b/>
        <w:bCs/>
      </w:rPr>
    </w:tblStylePr>
    <w:tblStylePr w:type="lastCol">
      <w:rPr>
        <w:b/>
        <w:bCs/>
      </w:rPr>
    </w:tblStylePr>
    <w:tblStylePr w:type="band1Vert">
      <w:tblPr/>
      <w:tcPr>
        <w:shd w:val="clear" w:color="auto" w:fill="A2E3F7" w:themeFill="accent2" w:themeFillTint="7F"/>
      </w:tcPr>
    </w:tblStylePr>
    <w:tblStylePr w:type="band1Horz">
      <w:tblPr/>
      <w:tcPr>
        <w:shd w:val="clear" w:color="auto" w:fill="A2E3F7"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FF616C" w:themeColor="accent3" w:themeTint="BF"/>
        <w:left w:val="single" w:sz="8" w:space="0" w:color="FF616C" w:themeColor="accent3" w:themeTint="BF"/>
        <w:bottom w:val="single" w:sz="8" w:space="0" w:color="FF616C" w:themeColor="accent3" w:themeTint="BF"/>
        <w:right w:val="single" w:sz="8" w:space="0" w:color="FF616C" w:themeColor="accent3" w:themeTint="BF"/>
        <w:insideH w:val="single" w:sz="8" w:space="0" w:color="FF616C" w:themeColor="accent3" w:themeTint="BF"/>
        <w:insideV w:val="single" w:sz="8" w:space="0" w:color="FF616C" w:themeColor="accent3" w:themeTint="BF"/>
      </w:tblBorders>
    </w:tblPr>
    <w:tcPr>
      <w:shd w:val="clear" w:color="auto" w:fill="FFCBCE"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616C" w:themeColor="accent3" w:themeTint="BF"/>
        </w:tcBorders>
      </w:tcPr>
    </w:tblStylePr>
    <w:tblStylePr w:type="firstCol">
      <w:rPr>
        <w:b/>
        <w:bCs/>
      </w:rPr>
    </w:tblStylePr>
    <w:tblStylePr w:type="lastCol">
      <w:rPr>
        <w:b/>
        <w:bCs/>
      </w:rPr>
    </w:tblStylePr>
    <w:tblStylePr w:type="band1Vert">
      <w:tblPr/>
      <w:tcPr>
        <w:shd w:val="clear" w:color="auto" w:fill="FF969D" w:themeFill="accent3" w:themeFillTint="7F"/>
      </w:tcPr>
    </w:tblStylePr>
    <w:tblStylePr w:type="band1Horz">
      <w:tblPr/>
      <w:tcPr>
        <w:shd w:val="clear" w:color="auto" w:fill="FF969D"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AB7B94" w:themeColor="accent4" w:themeTint="BF"/>
        <w:left w:val="single" w:sz="8" w:space="0" w:color="AB7B94" w:themeColor="accent4" w:themeTint="BF"/>
        <w:bottom w:val="single" w:sz="8" w:space="0" w:color="AB7B94" w:themeColor="accent4" w:themeTint="BF"/>
        <w:right w:val="single" w:sz="8" w:space="0" w:color="AB7B94" w:themeColor="accent4" w:themeTint="BF"/>
        <w:insideH w:val="single" w:sz="8" w:space="0" w:color="AB7B94" w:themeColor="accent4" w:themeTint="BF"/>
        <w:insideV w:val="single" w:sz="8" w:space="0" w:color="AB7B94" w:themeColor="accent4" w:themeTint="BF"/>
      </w:tblBorders>
    </w:tblPr>
    <w:tcPr>
      <w:shd w:val="clear" w:color="auto" w:fill="E3D3DB"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AB7B94" w:themeColor="accent4" w:themeTint="BF"/>
        </w:tcBorders>
      </w:tcPr>
    </w:tblStylePr>
    <w:tblStylePr w:type="firstCol">
      <w:rPr>
        <w:b/>
        <w:bCs/>
      </w:rPr>
    </w:tblStylePr>
    <w:tblStylePr w:type="lastCol">
      <w:rPr>
        <w:b/>
        <w:bCs/>
      </w:rPr>
    </w:tblStylePr>
    <w:tblStylePr w:type="band1Vert">
      <w:tblPr/>
      <w:tcPr>
        <w:shd w:val="clear" w:color="auto" w:fill="C7A7B8" w:themeFill="accent4" w:themeFillTint="7F"/>
      </w:tcPr>
    </w:tblStylePr>
    <w:tblStylePr w:type="band1Horz">
      <w:tblPr/>
      <w:tcPr>
        <w:shd w:val="clear" w:color="auto" w:fill="C7A7B8"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C1DA4A" w:themeColor="accent5" w:themeTint="BF"/>
        <w:left w:val="single" w:sz="8" w:space="0" w:color="C1DA4A" w:themeColor="accent5" w:themeTint="BF"/>
        <w:bottom w:val="single" w:sz="8" w:space="0" w:color="C1DA4A" w:themeColor="accent5" w:themeTint="BF"/>
        <w:right w:val="single" w:sz="8" w:space="0" w:color="C1DA4A" w:themeColor="accent5" w:themeTint="BF"/>
        <w:insideH w:val="single" w:sz="8" w:space="0" w:color="C1DA4A" w:themeColor="accent5" w:themeTint="BF"/>
        <w:insideV w:val="single" w:sz="8" w:space="0" w:color="C1DA4A" w:themeColor="accent5" w:themeTint="BF"/>
      </w:tblBorders>
    </w:tblPr>
    <w:tcPr>
      <w:shd w:val="clear" w:color="auto" w:fill="EAF3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1DA4A" w:themeColor="accent5" w:themeTint="BF"/>
        </w:tcBorders>
      </w:tcPr>
    </w:tblStylePr>
    <w:tblStylePr w:type="firstCol">
      <w:rPr>
        <w:b/>
        <w:bCs/>
      </w:rPr>
    </w:tblStylePr>
    <w:tblStylePr w:type="lastCol">
      <w:rPr>
        <w:b/>
        <w:bCs/>
      </w:rPr>
    </w:tblStylePr>
    <w:tblStylePr w:type="band1Vert">
      <w:tblPr/>
      <w:tcPr>
        <w:shd w:val="clear" w:color="auto" w:fill="D6E787" w:themeFill="accent5" w:themeFillTint="7F"/>
      </w:tcPr>
    </w:tblStylePr>
    <w:tblStylePr w:type="band1Horz">
      <w:tblPr/>
      <w:tcPr>
        <w:shd w:val="clear" w:color="auto" w:fill="D6E787"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0087BF" w:themeColor="accent6" w:themeTint="BF"/>
        <w:left w:val="single" w:sz="8" w:space="0" w:color="0087BF" w:themeColor="accent6" w:themeTint="BF"/>
        <w:bottom w:val="single" w:sz="8" w:space="0" w:color="0087BF" w:themeColor="accent6" w:themeTint="BF"/>
        <w:right w:val="single" w:sz="8" w:space="0" w:color="0087BF" w:themeColor="accent6" w:themeTint="BF"/>
        <w:insideH w:val="single" w:sz="8" w:space="0" w:color="0087BF" w:themeColor="accent6" w:themeTint="BF"/>
        <w:insideV w:val="single" w:sz="8" w:space="0" w:color="0087BF" w:themeColor="accent6" w:themeTint="BF"/>
      </w:tblBorders>
    </w:tblPr>
    <w:tcPr>
      <w:shd w:val="clear" w:color="auto" w:fill="96E0FF"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7BF" w:themeColor="accent6" w:themeTint="BF"/>
        </w:tcBorders>
      </w:tcPr>
    </w:tblStylePr>
    <w:tblStylePr w:type="firstCol">
      <w:rPr>
        <w:b/>
        <w:bCs/>
      </w:rPr>
    </w:tblStylePr>
    <w:tblStylePr w:type="lastCol">
      <w:rPr>
        <w:b/>
        <w:bCs/>
      </w:rPr>
    </w:tblStylePr>
    <w:tblStylePr w:type="band1Vert">
      <w:tblPr/>
      <w:tcPr>
        <w:shd w:val="clear" w:color="auto" w:fill="2BC0FF" w:themeFill="accent6" w:themeFillTint="7F"/>
      </w:tcPr>
    </w:tblStylePr>
    <w:tblStylePr w:type="band1Horz">
      <w:tblPr/>
      <w:tcPr>
        <w:shd w:val="clear" w:color="auto" w:fill="2BC0FF"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46C8F0" w:themeColor="accent2"/>
        <w:left w:val="single" w:sz="8" w:space="0" w:color="46C8F0" w:themeColor="accent2"/>
        <w:bottom w:val="single" w:sz="8" w:space="0" w:color="46C8F0" w:themeColor="accent2"/>
        <w:right w:val="single" w:sz="8" w:space="0" w:color="46C8F0" w:themeColor="accent2"/>
        <w:insideH w:val="single" w:sz="8" w:space="0" w:color="46C8F0" w:themeColor="accent2"/>
        <w:insideV w:val="single" w:sz="8" w:space="0" w:color="46C8F0" w:themeColor="accent2"/>
      </w:tblBorders>
    </w:tblPr>
    <w:tcPr>
      <w:shd w:val="clear" w:color="auto" w:fill="D1F1FB"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C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4FC" w:themeFill="accent2" w:themeFillTint="33"/>
      </w:tcPr>
    </w:tblStylePr>
    <w:tblStylePr w:type="band1Vert">
      <w:tblPr/>
      <w:tcPr>
        <w:shd w:val="clear" w:color="auto" w:fill="A2E3F7" w:themeFill="accent2" w:themeFillTint="7F"/>
      </w:tcPr>
    </w:tblStylePr>
    <w:tblStylePr w:type="band1Horz">
      <w:tblPr/>
      <w:tcPr>
        <w:tcBorders>
          <w:insideH w:val="single" w:sz="6" w:space="0" w:color="46C8F0" w:themeColor="accent2"/>
          <w:insideV w:val="single" w:sz="6" w:space="0" w:color="46C8F0" w:themeColor="accent2"/>
        </w:tcBorders>
        <w:shd w:val="clear" w:color="auto" w:fill="A2E3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FF2D3C" w:themeColor="accent3"/>
        <w:left w:val="single" w:sz="8" w:space="0" w:color="FF2D3C" w:themeColor="accent3"/>
        <w:bottom w:val="single" w:sz="8" w:space="0" w:color="FF2D3C" w:themeColor="accent3"/>
        <w:right w:val="single" w:sz="8" w:space="0" w:color="FF2D3C" w:themeColor="accent3"/>
        <w:insideH w:val="single" w:sz="8" w:space="0" w:color="FF2D3C" w:themeColor="accent3"/>
        <w:insideV w:val="single" w:sz="8" w:space="0" w:color="FF2D3C" w:themeColor="accent3"/>
      </w:tblBorders>
    </w:tblPr>
    <w:tcPr>
      <w:shd w:val="clear" w:color="auto" w:fill="FFCBCE"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E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D7" w:themeFill="accent3" w:themeFillTint="33"/>
      </w:tcPr>
    </w:tblStylePr>
    <w:tblStylePr w:type="band1Vert">
      <w:tblPr/>
      <w:tcPr>
        <w:shd w:val="clear" w:color="auto" w:fill="FF969D" w:themeFill="accent3" w:themeFillTint="7F"/>
      </w:tcPr>
    </w:tblStylePr>
    <w:tblStylePr w:type="band1Horz">
      <w:tblPr/>
      <w:tcPr>
        <w:tcBorders>
          <w:insideH w:val="single" w:sz="6" w:space="0" w:color="FF2D3C" w:themeColor="accent3"/>
          <w:insideV w:val="single" w:sz="6" w:space="0" w:color="FF2D3C" w:themeColor="accent3"/>
        </w:tcBorders>
        <w:shd w:val="clear" w:color="auto" w:fill="FF969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885771" w:themeColor="accent4"/>
        <w:left w:val="single" w:sz="8" w:space="0" w:color="885771" w:themeColor="accent4"/>
        <w:bottom w:val="single" w:sz="8" w:space="0" w:color="885771" w:themeColor="accent4"/>
        <w:right w:val="single" w:sz="8" w:space="0" w:color="885771" w:themeColor="accent4"/>
        <w:insideH w:val="single" w:sz="8" w:space="0" w:color="885771" w:themeColor="accent4"/>
        <w:insideV w:val="single" w:sz="8" w:space="0" w:color="885771" w:themeColor="accent4"/>
      </w:tblBorders>
    </w:tblPr>
    <w:tcPr>
      <w:shd w:val="clear" w:color="auto" w:fill="E3D3DB"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4ED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BE2" w:themeFill="accent4" w:themeFillTint="33"/>
      </w:tcPr>
    </w:tblStylePr>
    <w:tblStylePr w:type="band1Vert">
      <w:tblPr/>
      <w:tcPr>
        <w:shd w:val="clear" w:color="auto" w:fill="C7A7B8" w:themeFill="accent4" w:themeFillTint="7F"/>
      </w:tcPr>
    </w:tblStylePr>
    <w:tblStylePr w:type="band1Horz">
      <w:tblPr/>
      <w:tcPr>
        <w:tcBorders>
          <w:insideH w:val="single" w:sz="6" w:space="0" w:color="885771" w:themeColor="accent4"/>
          <w:insideV w:val="single" w:sz="6" w:space="0" w:color="885771" w:themeColor="accent4"/>
        </w:tcBorders>
        <w:shd w:val="clear" w:color="auto" w:fill="C7A7B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9FB825" w:themeColor="accent5"/>
        <w:left w:val="single" w:sz="8" w:space="0" w:color="9FB825" w:themeColor="accent5"/>
        <w:bottom w:val="single" w:sz="8" w:space="0" w:color="9FB825" w:themeColor="accent5"/>
        <w:right w:val="single" w:sz="8" w:space="0" w:color="9FB825" w:themeColor="accent5"/>
        <w:insideH w:val="single" w:sz="8" w:space="0" w:color="9FB825" w:themeColor="accent5"/>
        <w:insideV w:val="single" w:sz="8" w:space="0" w:color="9FB825" w:themeColor="accent5"/>
      </w:tblBorders>
    </w:tblPr>
    <w:tcPr>
      <w:shd w:val="clear" w:color="auto" w:fill="EAF3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7F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CE" w:themeFill="accent5" w:themeFillTint="33"/>
      </w:tcPr>
    </w:tblStylePr>
    <w:tblStylePr w:type="band1Vert">
      <w:tblPr/>
      <w:tcPr>
        <w:shd w:val="clear" w:color="auto" w:fill="D6E787" w:themeFill="accent5" w:themeFillTint="7F"/>
      </w:tcPr>
    </w:tblStylePr>
    <w:tblStylePr w:type="band1Horz">
      <w:tblPr/>
      <w:tcPr>
        <w:tcBorders>
          <w:insideH w:val="single" w:sz="6" w:space="0" w:color="9FB825" w:themeColor="accent5"/>
          <w:insideV w:val="single" w:sz="6" w:space="0" w:color="9FB825" w:themeColor="accent5"/>
        </w:tcBorders>
        <w:shd w:val="clear" w:color="auto" w:fill="D6E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003C55" w:themeColor="accent6"/>
        <w:left w:val="single" w:sz="8" w:space="0" w:color="003C55" w:themeColor="accent6"/>
        <w:bottom w:val="single" w:sz="8" w:space="0" w:color="003C55" w:themeColor="accent6"/>
        <w:right w:val="single" w:sz="8" w:space="0" w:color="003C55" w:themeColor="accent6"/>
        <w:insideH w:val="single" w:sz="8" w:space="0" w:color="003C55" w:themeColor="accent6"/>
        <w:insideV w:val="single" w:sz="8" w:space="0" w:color="003C55" w:themeColor="accent6"/>
      </w:tblBorders>
    </w:tblPr>
    <w:tcPr>
      <w:shd w:val="clear" w:color="auto" w:fill="96E0FF"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5F2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E6FF" w:themeFill="accent6" w:themeFillTint="33"/>
      </w:tcPr>
    </w:tblStylePr>
    <w:tblStylePr w:type="band1Vert">
      <w:tblPr/>
      <w:tcPr>
        <w:shd w:val="clear" w:color="auto" w:fill="2BC0FF" w:themeFill="accent6" w:themeFillTint="7F"/>
      </w:tcPr>
    </w:tblStylePr>
    <w:tblStylePr w:type="band1Horz">
      <w:tblPr/>
      <w:tcPr>
        <w:tcBorders>
          <w:insideH w:val="single" w:sz="6" w:space="0" w:color="003C55" w:themeColor="accent6"/>
          <w:insideV w:val="single" w:sz="6" w:space="0" w:color="003C55" w:themeColor="accent6"/>
        </w:tcBorders>
        <w:shd w:val="clear" w:color="auto" w:fill="2BC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F1FB"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8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8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8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8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3F7"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E"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D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D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D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D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6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69D"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3DB"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577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577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577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577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7B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7B8"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B82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B82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B82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B82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787"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E0FF"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C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C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C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C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C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C0FF"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000000" w:themeColor="accent1"/>
        <w:bottom w:val="single" w:sz="8" w:space="0" w:color="000000"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accent1"/>
        </w:tcBorders>
      </w:tcPr>
    </w:tblStylePr>
    <w:tblStylePr w:type="lastRow">
      <w:rPr>
        <w:b/>
        <w:bCs/>
        <w:color w:val="000000"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46C8F0" w:themeColor="accent2"/>
        <w:bottom w:val="single" w:sz="8" w:space="0" w:color="46C8F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6C8F0" w:themeColor="accent2"/>
        </w:tcBorders>
      </w:tcPr>
    </w:tblStylePr>
    <w:tblStylePr w:type="lastRow">
      <w:rPr>
        <w:b/>
        <w:bCs/>
        <w:color w:val="000000" w:themeColor="text2"/>
      </w:rPr>
      <w:tblPr/>
      <w:tcPr>
        <w:tcBorders>
          <w:top w:val="single" w:sz="8" w:space="0" w:color="46C8F0" w:themeColor="accent2"/>
          <w:bottom w:val="single" w:sz="8" w:space="0" w:color="46C8F0" w:themeColor="accent2"/>
        </w:tcBorders>
      </w:tcPr>
    </w:tblStylePr>
    <w:tblStylePr w:type="firstCol">
      <w:rPr>
        <w:b/>
        <w:bCs/>
      </w:rPr>
    </w:tblStylePr>
    <w:tblStylePr w:type="lastCol">
      <w:rPr>
        <w:b/>
        <w:bCs/>
      </w:rPr>
      <w:tblPr/>
      <w:tcPr>
        <w:tcBorders>
          <w:top w:val="single" w:sz="8" w:space="0" w:color="46C8F0" w:themeColor="accent2"/>
          <w:bottom w:val="single" w:sz="8" w:space="0" w:color="46C8F0" w:themeColor="accent2"/>
        </w:tcBorders>
      </w:tcPr>
    </w:tblStylePr>
    <w:tblStylePr w:type="band1Vert">
      <w:tblPr/>
      <w:tcPr>
        <w:shd w:val="clear" w:color="auto" w:fill="D1F1FB" w:themeFill="accent2" w:themeFillTint="3F"/>
      </w:tcPr>
    </w:tblStylePr>
    <w:tblStylePr w:type="band1Horz">
      <w:tblPr/>
      <w:tcPr>
        <w:shd w:val="clear" w:color="auto" w:fill="D1F1FB"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FF2D3C" w:themeColor="accent3"/>
        <w:bottom w:val="single" w:sz="8" w:space="0" w:color="FF2D3C"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2D3C" w:themeColor="accent3"/>
        </w:tcBorders>
      </w:tcPr>
    </w:tblStylePr>
    <w:tblStylePr w:type="lastRow">
      <w:rPr>
        <w:b/>
        <w:bCs/>
        <w:color w:val="000000" w:themeColor="text2"/>
      </w:rPr>
      <w:tblPr/>
      <w:tcPr>
        <w:tcBorders>
          <w:top w:val="single" w:sz="8" w:space="0" w:color="FF2D3C" w:themeColor="accent3"/>
          <w:bottom w:val="single" w:sz="8" w:space="0" w:color="FF2D3C" w:themeColor="accent3"/>
        </w:tcBorders>
      </w:tcPr>
    </w:tblStylePr>
    <w:tblStylePr w:type="firstCol">
      <w:rPr>
        <w:b/>
        <w:bCs/>
      </w:rPr>
    </w:tblStylePr>
    <w:tblStylePr w:type="lastCol">
      <w:rPr>
        <w:b/>
        <w:bCs/>
      </w:rPr>
      <w:tblPr/>
      <w:tcPr>
        <w:tcBorders>
          <w:top w:val="single" w:sz="8" w:space="0" w:color="FF2D3C" w:themeColor="accent3"/>
          <w:bottom w:val="single" w:sz="8" w:space="0" w:color="FF2D3C" w:themeColor="accent3"/>
        </w:tcBorders>
      </w:tcPr>
    </w:tblStylePr>
    <w:tblStylePr w:type="band1Vert">
      <w:tblPr/>
      <w:tcPr>
        <w:shd w:val="clear" w:color="auto" w:fill="FFCBCE" w:themeFill="accent3" w:themeFillTint="3F"/>
      </w:tcPr>
    </w:tblStylePr>
    <w:tblStylePr w:type="band1Horz">
      <w:tblPr/>
      <w:tcPr>
        <w:shd w:val="clear" w:color="auto" w:fill="FFCBCE"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885771" w:themeColor="accent4"/>
        <w:bottom w:val="single" w:sz="8" w:space="0" w:color="885771"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85771" w:themeColor="accent4"/>
        </w:tcBorders>
      </w:tcPr>
    </w:tblStylePr>
    <w:tblStylePr w:type="lastRow">
      <w:rPr>
        <w:b/>
        <w:bCs/>
        <w:color w:val="000000" w:themeColor="text2"/>
      </w:rPr>
      <w:tblPr/>
      <w:tcPr>
        <w:tcBorders>
          <w:top w:val="single" w:sz="8" w:space="0" w:color="885771" w:themeColor="accent4"/>
          <w:bottom w:val="single" w:sz="8" w:space="0" w:color="885771" w:themeColor="accent4"/>
        </w:tcBorders>
      </w:tcPr>
    </w:tblStylePr>
    <w:tblStylePr w:type="firstCol">
      <w:rPr>
        <w:b/>
        <w:bCs/>
      </w:rPr>
    </w:tblStylePr>
    <w:tblStylePr w:type="lastCol">
      <w:rPr>
        <w:b/>
        <w:bCs/>
      </w:rPr>
      <w:tblPr/>
      <w:tcPr>
        <w:tcBorders>
          <w:top w:val="single" w:sz="8" w:space="0" w:color="885771" w:themeColor="accent4"/>
          <w:bottom w:val="single" w:sz="8" w:space="0" w:color="885771" w:themeColor="accent4"/>
        </w:tcBorders>
      </w:tcPr>
    </w:tblStylePr>
    <w:tblStylePr w:type="band1Vert">
      <w:tblPr/>
      <w:tcPr>
        <w:shd w:val="clear" w:color="auto" w:fill="E3D3DB" w:themeFill="accent4" w:themeFillTint="3F"/>
      </w:tcPr>
    </w:tblStylePr>
    <w:tblStylePr w:type="band1Horz">
      <w:tblPr/>
      <w:tcPr>
        <w:shd w:val="clear" w:color="auto" w:fill="E3D3DB"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9FB825" w:themeColor="accent5"/>
        <w:bottom w:val="single" w:sz="8" w:space="0" w:color="9FB825"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FB825" w:themeColor="accent5"/>
        </w:tcBorders>
      </w:tcPr>
    </w:tblStylePr>
    <w:tblStylePr w:type="lastRow">
      <w:rPr>
        <w:b/>
        <w:bCs/>
        <w:color w:val="000000" w:themeColor="text2"/>
      </w:rPr>
      <w:tblPr/>
      <w:tcPr>
        <w:tcBorders>
          <w:top w:val="single" w:sz="8" w:space="0" w:color="9FB825" w:themeColor="accent5"/>
          <w:bottom w:val="single" w:sz="8" w:space="0" w:color="9FB825" w:themeColor="accent5"/>
        </w:tcBorders>
      </w:tcPr>
    </w:tblStylePr>
    <w:tblStylePr w:type="firstCol">
      <w:rPr>
        <w:b/>
        <w:bCs/>
      </w:rPr>
    </w:tblStylePr>
    <w:tblStylePr w:type="lastCol">
      <w:rPr>
        <w:b/>
        <w:bCs/>
      </w:rPr>
      <w:tblPr/>
      <w:tcPr>
        <w:tcBorders>
          <w:top w:val="single" w:sz="8" w:space="0" w:color="9FB825" w:themeColor="accent5"/>
          <w:bottom w:val="single" w:sz="8" w:space="0" w:color="9FB825" w:themeColor="accent5"/>
        </w:tcBorders>
      </w:tcPr>
    </w:tblStylePr>
    <w:tblStylePr w:type="band1Vert">
      <w:tblPr/>
      <w:tcPr>
        <w:shd w:val="clear" w:color="auto" w:fill="EAF3C3" w:themeFill="accent5" w:themeFillTint="3F"/>
      </w:tcPr>
    </w:tblStylePr>
    <w:tblStylePr w:type="band1Horz">
      <w:tblPr/>
      <w:tcPr>
        <w:shd w:val="clear" w:color="auto" w:fill="EAF3C3"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003C55" w:themeColor="accent6"/>
        <w:bottom w:val="single" w:sz="8" w:space="0" w:color="003C55"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3C55" w:themeColor="accent6"/>
        </w:tcBorders>
      </w:tcPr>
    </w:tblStylePr>
    <w:tblStylePr w:type="lastRow">
      <w:rPr>
        <w:b/>
        <w:bCs/>
        <w:color w:val="000000" w:themeColor="text2"/>
      </w:rPr>
      <w:tblPr/>
      <w:tcPr>
        <w:tcBorders>
          <w:top w:val="single" w:sz="8" w:space="0" w:color="003C55" w:themeColor="accent6"/>
          <w:bottom w:val="single" w:sz="8" w:space="0" w:color="003C55" w:themeColor="accent6"/>
        </w:tcBorders>
      </w:tcPr>
    </w:tblStylePr>
    <w:tblStylePr w:type="firstCol">
      <w:rPr>
        <w:b/>
        <w:bCs/>
      </w:rPr>
    </w:tblStylePr>
    <w:tblStylePr w:type="lastCol">
      <w:rPr>
        <w:b/>
        <w:bCs/>
      </w:rPr>
      <w:tblPr/>
      <w:tcPr>
        <w:tcBorders>
          <w:top w:val="single" w:sz="8" w:space="0" w:color="003C55" w:themeColor="accent6"/>
          <w:bottom w:val="single" w:sz="8" w:space="0" w:color="003C55" w:themeColor="accent6"/>
        </w:tcBorders>
      </w:tcPr>
    </w:tblStylePr>
    <w:tblStylePr w:type="band1Vert">
      <w:tblPr/>
      <w:tcPr>
        <w:shd w:val="clear" w:color="auto" w:fill="96E0FF" w:themeFill="accent6" w:themeFillTint="3F"/>
      </w:tcPr>
    </w:tblStylePr>
    <w:tblStylePr w:type="band1Horz">
      <w:tblPr/>
      <w:tcPr>
        <w:shd w:val="clear" w:color="auto" w:fill="96E0FF"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single" w:sz="8" w:space="0" w:color="00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46C8F0" w:themeColor="accent2"/>
        <w:left w:val="single" w:sz="8" w:space="0" w:color="46C8F0" w:themeColor="accent2"/>
        <w:bottom w:val="single" w:sz="8" w:space="0" w:color="46C8F0" w:themeColor="accent2"/>
        <w:right w:val="single" w:sz="8" w:space="0" w:color="46C8F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6C8F0" w:themeColor="accent2"/>
          <w:right w:val="nil"/>
          <w:insideH w:val="nil"/>
          <w:insideV w:val="nil"/>
        </w:tcBorders>
        <w:shd w:val="clear" w:color="auto" w:fill="FFFFFF" w:themeFill="background1"/>
      </w:tcPr>
    </w:tblStylePr>
    <w:tblStylePr w:type="lastRow">
      <w:tblPr/>
      <w:tcPr>
        <w:tcBorders>
          <w:top w:val="single" w:sz="8" w:space="0" w:color="46C8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8F0" w:themeColor="accent2"/>
          <w:insideH w:val="nil"/>
          <w:insideV w:val="nil"/>
        </w:tcBorders>
        <w:shd w:val="clear" w:color="auto" w:fill="FFFFFF" w:themeFill="background1"/>
      </w:tcPr>
    </w:tblStylePr>
    <w:tblStylePr w:type="lastCol">
      <w:tblPr/>
      <w:tcPr>
        <w:tcBorders>
          <w:top w:val="nil"/>
          <w:left w:val="single" w:sz="8" w:space="0" w:color="46C8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F1FB" w:themeFill="accent2" w:themeFillTint="3F"/>
      </w:tcPr>
    </w:tblStylePr>
    <w:tblStylePr w:type="band1Horz">
      <w:tblPr/>
      <w:tcPr>
        <w:tcBorders>
          <w:top w:val="nil"/>
          <w:bottom w:val="nil"/>
          <w:insideH w:val="nil"/>
          <w:insideV w:val="nil"/>
        </w:tcBorders>
        <w:shd w:val="clear" w:color="auto" w:fill="D1F1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FF2D3C" w:themeColor="accent3"/>
        <w:left w:val="single" w:sz="8" w:space="0" w:color="FF2D3C" w:themeColor="accent3"/>
        <w:bottom w:val="single" w:sz="8" w:space="0" w:color="FF2D3C" w:themeColor="accent3"/>
        <w:right w:val="single" w:sz="8" w:space="0" w:color="FF2D3C"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2D3C" w:themeColor="accent3"/>
          <w:right w:val="nil"/>
          <w:insideH w:val="nil"/>
          <w:insideV w:val="nil"/>
        </w:tcBorders>
        <w:shd w:val="clear" w:color="auto" w:fill="FFFFFF" w:themeFill="background1"/>
      </w:tcPr>
    </w:tblStylePr>
    <w:tblStylePr w:type="lastRow">
      <w:tblPr/>
      <w:tcPr>
        <w:tcBorders>
          <w:top w:val="single" w:sz="8" w:space="0" w:color="FF2D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D3C" w:themeColor="accent3"/>
          <w:insideH w:val="nil"/>
          <w:insideV w:val="nil"/>
        </w:tcBorders>
        <w:shd w:val="clear" w:color="auto" w:fill="FFFFFF" w:themeFill="background1"/>
      </w:tcPr>
    </w:tblStylePr>
    <w:tblStylePr w:type="lastCol">
      <w:tblPr/>
      <w:tcPr>
        <w:tcBorders>
          <w:top w:val="nil"/>
          <w:left w:val="single" w:sz="8" w:space="0" w:color="FF2D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E" w:themeFill="accent3" w:themeFillTint="3F"/>
      </w:tcPr>
    </w:tblStylePr>
    <w:tblStylePr w:type="band1Horz">
      <w:tblPr/>
      <w:tcPr>
        <w:tcBorders>
          <w:top w:val="nil"/>
          <w:bottom w:val="nil"/>
          <w:insideH w:val="nil"/>
          <w:insideV w:val="nil"/>
        </w:tcBorders>
        <w:shd w:val="clear" w:color="auto" w:fill="FFCB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885771" w:themeColor="accent4"/>
        <w:left w:val="single" w:sz="8" w:space="0" w:color="885771" w:themeColor="accent4"/>
        <w:bottom w:val="single" w:sz="8" w:space="0" w:color="885771" w:themeColor="accent4"/>
        <w:right w:val="single" w:sz="8" w:space="0" w:color="885771"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85771" w:themeColor="accent4"/>
          <w:right w:val="nil"/>
          <w:insideH w:val="nil"/>
          <w:insideV w:val="nil"/>
        </w:tcBorders>
        <w:shd w:val="clear" w:color="auto" w:fill="FFFFFF" w:themeFill="background1"/>
      </w:tcPr>
    </w:tblStylePr>
    <w:tblStylePr w:type="lastRow">
      <w:tblPr/>
      <w:tcPr>
        <w:tcBorders>
          <w:top w:val="single" w:sz="8" w:space="0" w:color="88577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5771" w:themeColor="accent4"/>
          <w:insideH w:val="nil"/>
          <w:insideV w:val="nil"/>
        </w:tcBorders>
        <w:shd w:val="clear" w:color="auto" w:fill="FFFFFF" w:themeFill="background1"/>
      </w:tcPr>
    </w:tblStylePr>
    <w:tblStylePr w:type="lastCol">
      <w:tblPr/>
      <w:tcPr>
        <w:tcBorders>
          <w:top w:val="nil"/>
          <w:left w:val="single" w:sz="8" w:space="0" w:color="88577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3DB" w:themeFill="accent4" w:themeFillTint="3F"/>
      </w:tcPr>
    </w:tblStylePr>
    <w:tblStylePr w:type="band1Horz">
      <w:tblPr/>
      <w:tcPr>
        <w:tcBorders>
          <w:top w:val="nil"/>
          <w:bottom w:val="nil"/>
          <w:insideH w:val="nil"/>
          <w:insideV w:val="nil"/>
        </w:tcBorders>
        <w:shd w:val="clear" w:color="auto" w:fill="E3D3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9FB825" w:themeColor="accent5"/>
        <w:left w:val="single" w:sz="8" w:space="0" w:color="9FB825" w:themeColor="accent5"/>
        <w:bottom w:val="single" w:sz="8" w:space="0" w:color="9FB825" w:themeColor="accent5"/>
        <w:right w:val="single" w:sz="8" w:space="0" w:color="9FB825"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FB825" w:themeColor="accent5"/>
          <w:right w:val="nil"/>
          <w:insideH w:val="nil"/>
          <w:insideV w:val="nil"/>
        </w:tcBorders>
        <w:shd w:val="clear" w:color="auto" w:fill="FFFFFF" w:themeFill="background1"/>
      </w:tcPr>
    </w:tblStylePr>
    <w:tblStylePr w:type="lastRow">
      <w:tblPr/>
      <w:tcPr>
        <w:tcBorders>
          <w:top w:val="single" w:sz="8" w:space="0" w:color="9FB82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B825" w:themeColor="accent5"/>
          <w:insideH w:val="nil"/>
          <w:insideV w:val="nil"/>
        </w:tcBorders>
        <w:shd w:val="clear" w:color="auto" w:fill="FFFFFF" w:themeFill="background1"/>
      </w:tcPr>
    </w:tblStylePr>
    <w:tblStylePr w:type="lastCol">
      <w:tblPr/>
      <w:tcPr>
        <w:tcBorders>
          <w:top w:val="nil"/>
          <w:left w:val="single" w:sz="8" w:space="0" w:color="9FB82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C3" w:themeFill="accent5" w:themeFillTint="3F"/>
      </w:tcPr>
    </w:tblStylePr>
    <w:tblStylePr w:type="band1Horz">
      <w:tblPr/>
      <w:tcPr>
        <w:tcBorders>
          <w:top w:val="nil"/>
          <w:bottom w:val="nil"/>
          <w:insideH w:val="nil"/>
          <w:insideV w:val="nil"/>
        </w:tcBorders>
        <w:shd w:val="clear" w:color="auto" w:fill="EAF3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003C55" w:themeColor="accent6"/>
        <w:left w:val="single" w:sz="8" w:space="0" w:color="003C55" w:themeColor="accent6"/>
        <w:bottom w:val="single" w:sz="8" w:space="0" w:color="003C55" w:themeColor="accent6"/>
        <w:right w:val="single" w:sz="8" w:space="0" w:color="003C55"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3C55" w:themeColor="accent6"/>
          <w:right w:val="nil"/>
          <w:insideH w:val="nil"/>
          <w:insideV w:val="nil"/>
        </w:tcBorders>
        <w:shd w:val="clear" w:color="auto" w:fill="FFFFFF" w:themeFill="background1"/>
      </w:tcPr>
    </w:tblStylePr>
    <w:tblStylePr w:type="lastRow">
      <w:tblPr/>
      <w:tcPr>
        <w:tcBorders>
          <w:top w:val="single" w:sz="8" w:space="0" w:color="003C5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C55" w:themeColor="accent6"/>
          <w:insideH w:val="nil"/>
          <w:insideV w:val="nil"/>
        </w:tcBorders>
        <w:shd w:val="clear" w:color="auto" w:fill="FFFFFF" w:themeFill="background1"/>
      </w:tcPr>
    </w:tblStylePr>
    <w:tblStylePr w:type="lastCol">
      <w:tblPr/>
      <w:tcPr>
        <w:tcBorders>
          <w:top w:val="nil"/>
          <w:left w:val="single" w:sz="8" w:space="0" w:color="003C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E0FF" w:themeFill="accent6" w:themeFillTint="3F"/>
      </w:tcPr>
    </w:tblStylePr>
    <w:tblStylePr w:type="band1Horz">
      <w:tblPr/>
      <w:tcPr>
        <w:tcBorders>
          <w:top w:val="nil"/>
          <w:bottom w:val="nil"/>
          <w:insideH w:val="nil"/>
          <w:insideV w:val="nil"/>
        </w:tcBorders>
        <w:shd w:val="clear" w:color="auto" w:fill="96E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74D5F3" w:themeColor="accent2" w:themeTint="BF"/>
        <w:left w:val="single" w:sz="8" w:space="0" w:color="74D5F3" w:themeColor="accent2" w:themeTint="BF"/>
        <w:bottom w:val="single" w:sz="8" w:space="0" w:color="74D5F3" w:themeColor="accent2" w:themeTint="BF"/>
        <w:right w:val="single" w:sz="8" w:space="0" w:color="74D5F3" w:themeColor="accent2" w:themeTint="BF"/>
        <w:insideH w:val="single" w:sz="8" w:space="0" w:color="74D5F3"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74D5F3" w:themeColor="accent2" w:themeTint="BF"/>
          <w:left w:val="single" w:sz="8" w:space="0" w:color="74D5F3" w:themeColor="accent2" w:themeTint="BF"/>
          <w:bottom w:val="single" w:sz="8" w:space="0" w:color="74D5F3" w:themeColor="accent2" w:themeTint="BF"/>
          <w:right w:val="single" w:sz="8" w:space="0" w:color="74D5F3" w:themeColor="accent2" w:themeTint="BF"/>
          <w:insideH w:val="nil"/>
          <w:insideV w:val="nil"/>
        </w:tcBorders>
        <w:shd w:val="clear" w:color="auto" w:fill="46C8F0" w:themeFill="accent2"/>
      </w:tcPr>
    </w:tblStylePr>
    <w:tblStylePr w:type="lastRow">
      <w:pPr>
        <w:spacing w:before="0" w:after="0" w:line="240" w:lineRule="auto"/>
      </w:pPr>
      <w:rPr>
        <w:b/>
        <w:bCs/>
      </w:rPr>
      <w:tblPr/>
      <w:tcPr>
        <w:tcBorders>
          <w:top w:val="double" w:sz="6" w:space="0" w:color="74D5F3" w:themeColor="accent2" w:themeTint="BF"/>
          <w:left w:val="single" w:sz="8" w:space="0" w:color="74D5F3" w:themeColor="accent2" w:themeTint="BF"/>
          <w:bottom w:val="single" w:sz="8" w:space="0" w:color="74D5F3" w:themeColor="accent2" w:themeTint="BF"/>
          <w:right w:val="single" w:sz="8" w:space="0" w:color="74D5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F1FB" w:themeFill="accent2" w:themeFillTint="3F"/>
      </w:tcPr>
    </w:tblStylePr>
    <w:tblStylePr w:type="band1Horz">
      <w:tblPr/>
      <w:tcPr>
        <w:tcBorders>
          <w:insideH w:val="nil"/>
          <w:insideV w:val="nil"/>
        </w:tcBorders>
        <w:shd w:val="clear" w:color="auto" w:fill="D1F1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FF616C" w:themeColor="accent3" w:themeTint="BF"/>
        <w:left w:val="single" w:sz="8" w:space="0" w:color="FF616C" w:themeColor="accent3" w:themeTint="BF"/>
        <w:bottom w:val="single" w:sz="8" w:space="0" w:color="FF616C" w:themeColor="accent3" w:themeTint="BF"/>
        <w:right w:val="single" w:sz="8" w:space="0" w:color="FF616C" w:themeColor="accent3" w:themeTint="BF"/>
        <w:insideH w:val="single" w:sz="8" w:space="0" w:color="FF616C"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616C" w:themeColor="accent3" w:themeTint="BF"/>
          <w:left w:val="single" w:sz="8" w:space="0" w:color="FF616C" w:themeColor="accent3" w:themeTint="BF"/>
          <w:bottom w:val="single" w:sz="8" w:space="0" w:color="FF616C" w:themeColor="accent3" w:themeTint="BF"/>
          <w:right w:val="single" w:sz="8" w:space="0" w:color="FF616C" w:themeColor="accent3" w:themeTint="BF"/>
          <w:insideH w:val="nil"/>
          <w:insideV w:val="nil"/>
        </w:tcBorders>
        <w:shd w:val="clear" w:color="auto" w:fill="FF2D3C" w:themeFill="accent3"/>
      </w:tcPr>
    </w:tblStylePr>
    <w:tblStylePr w:type="lastRow">
      <w:pPr>
        <w:spacing w:before="0" w:after="0" w:line="240" w:lineRule="auto"/>
      </w:pPr>
      <w:rPr>
        <w:b/>
        <w:bCs/>
      </w:rPr>
      <w:tblPr/>
      <w:tcPr>
        <w:tcBorders>
          <w:top w:val="double" w:sz="6" w:space="0" w:color="FF616C" w:themeColor="accent3" w:themeTint="BF"/>
          <w:left w:val="single" w:sz="8" w:space="0" w:color="FF616C" w:themeColor="accent3" w:themeTint="BF"/>
          <w:bottom w:val="single" w:sz="8" w:space="0" w:color="FF616C" w:themeColor="accent3" w:themeTint="BF"/>
          <w:right w:val="single" w:sz="8" w:space="0" w:color="FF61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BCE" w:themeFill="accent3" w:themeFillTint="3F"/>
      </w:tcPr>
    </w:tblStylePr>
    <w:tblStylePr w:type="band1Horz">
      <w:tblPr/>
      <w:tcPr>
        <w:tcBorders>
          <w:insideH w:val="nil"/>
          <w:insideV w:val="nil"/>
        </w:tcBorders>
        <w:shd w:val="clear" w:color="auto" w:fill="FFCB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AB7B94" w:themeColor="accent4" w:themeTint="BF"/>
        <w:left w:val="single" w:sz="8" w:space="0" w:color="AB7B94" w:themeColor="accent4" w:themeTint="BF"/>
        <w:bottom w:val="single" w:sz="8" w:space="0" w:color="AB7B94" w:themeColor="accent4" w:themeTint="BF"/>
        <w:right w:val="single" w:sz="8" w:space="0" w:color="AB7B94" w:themeColor="accent4" w:themeTint="BF"/>
        <w:insideH w:val="single" w:sz="8" w:space="0" w:color="AB7B94"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AB7B94" w:themeColor="accent4" w:themeTint="BF"/>
          <w:left w:val="single" w:sz="8" w:space="0" w:color="AB7B94" w:themeColor="accent4" w:themeTint="BF"/>
          <w:bottom w:val="single" w:sz="8" w:space="0" w:color="AB7B94" w:themeColor="accent4" w:themeTint="BF"/>
          <w:right w:val="single" w:sz="8" w:space="0" w:color="AB7B94" w:themeColor="accent4" w:themeTint="BF"/>
          <w:insideH w:val="nil"/>
          <w:insideV w:val="nil"/>
        </w:tcBorders>
        <w:shd w:val="clear" w:color="auto" w:fill="885771" w:themeFill="accent4"/>
      </w:tcPr>
    </w:tblStylePr>
    <w:tblStylePr w:type="lastRow">
      <w:pPr>
        <w:spacing w:before="0" w:after="0" w:line="240" w:lineRule="auto"/>
      </w:pPr>
      <w:rPr>
        <w:b/>
        <w:bCs/>
      </w:rPr>
      <w:tblPr/>
      <w:tcPr>
        <w:tcBorders>
          <w:top w:val="double" w:sz="6" w:space="0" w:color="AB7B94" w:themeColor="accent4" w:themeTint="BF"/>
          <w:left w:val="single" w:sz="8" w:space="0" w:color="AB7B94" w:themeColor="accent4" w:themeTint="BF"/>
          <w:bottom w:val="single" w:sz="8" w:space="0" w:color="AB7B94" w:themeColor="accent4" w:themeTint="BF"/>
          <w:right w:val="single" w:sz="8" w:space="0" w:color="AB7B9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D3DB" w:themeFill="accent4" w:themeFillTint="3F"/>
      </w:tcPr>
    </w:tblStylePr>
    <w:tblStylePr w:type="band1Horz">
      <w:tblPr/>
      <w:tcPr>
        <w:tcBorders>
          <w:insideH w:val="nil"/>
          <w:insideV w:val="nil"/>
        </w:tcBorders>
        <w:shd w:val="clear" w:color="auto" w:fill="E3D3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C1DA4A" w:themeColor="accent5" w:themeTint="BF"/>
        <w:left w:val="single" w:sz="8" w:space="0" w:color="C1DA4A" w:themeColor="accent5" w:themeTint="BF"/>
        <w:bottom w:val="single" w:sz="8" w:space="0" w:color="C1DA4A" w:themeColor="accent5" w:themeTint="BF"/>
        <w:right w:val="single" w:sz="8" w:space="0" w:color="C1DA4A" w:themeColor="accent5" w:themeTint="BF"/>
        <w:insideH w:val="single" w:sz="8" w:space="0" w:color="C1DA4A"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1DA4A" w:themeColor="accent5" w:themeTint="BF"/>
          <w:left w:val="single" w:sz="8" w:space="0" w:color="C1DA4A" w:themeColor="accent5" w:themeTint="BF"/>
          <w:bottom w:val="single" w:sz="8" w:space="0" w:color="C1DA4A" w:themeColor="accent5" w:themeTint="BF"/>
          <w:right w:val="single" w:sz="8" w:space="0" w:color="C1DA4A" w:themeColor="accent5" w:themeTint="BF"/>
          <w:insideH w:val="nil"/>
          <w:insideV w:val="nil"/>
        </w:tcBorders>
        <w:shd w:val="clear" w:color="auto" w:fill="9FB825" w:themeFill="accent5"/>
      </w:tcPr>
    </w:tblStylePr>
    <w:tblStylePr w:type="lastRow">
      <w:pPr>
        <w:spacing w:before="0" w:after="0" w:line="240" w:lineRule="auto"/>
      </w:pPr>
      <w:rPr>
        <w:b/>
        <w:bCs/>
      </w:rPr>
      <w:tblPr/>
      <w:tcPr>
        <w:tcBorders>
          <w:top w:val="double" w:sz="6" w:space="0" w:color="C1DA4A" w:themeColor="accent5" w:themeTint="BF"/>
          <w:left w:val="single" w:sz="8" w:space="0" w:color="C1DA4A" w:themeColor="accent5" w:themeTint="BF"/>
          <w:bottom w:val="single" w:sz="8" w:space="0" w:color="C1DA4A" w:themeColor="accent5" w:themeTint="BF"/>
          <w:right w:val="single" w:sz="8" w:space="0" w:color="C1DA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F3C3" w:themeFill="accent5" w:themeFillTint="3F"/>
      </w:tcPr>
    </w:tblStylePr>
    <w:tblStylePr w:type="band1Horz">
      <w:tblPr/>
      <w:tcPr>
        <w:tcBorders>
          <w:insideH w:val="nil"/>
          <w:insideV w:val="nil"/>
        </w:tcBorders>
        <w:shd w:val="clear" w:color="auto" w:fill="EAF3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0087BF" w:themeColor="accent6" w:themeTint="BF"/>
        <w:left w:val="single" w:sz="8" w:space="0" w:color="0087BF" w:themeColor="accent6" w:themeTint="BF"/>
        <w:bottom w:val="single" w:sz="8" w:space="0" w:color="0087BF" w:themeColor="accent6" w:themeTint="BF"/>
        <w:right w:val="single" w:sz="8" w:space="0" w:color="0087BF" w:themeColor="accent6" w:themeTint="BF"/>
        <w:insideH w:val="single" w:sz="8" w:space="0" w:color="0087B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7BF" w:themeColor="accent6" w:themeTint="BF"/>
          <w:left w:val="single" w:sz="8" w:space="0" w:color="0087BF" w:themeColor="accent6" w:themeTint="BF"/>
          <w:bottom w:val="single" w:sz="8" w:space="0" w:color="0087BF" w:themeColor="accent6" w:themeTint="BF"/>
          <w:right w:val="single" w:sz="8" w:space="0" w:color="0087BF" w:themeColor="accent6" w:themeTint="BF"/>
          <w:insideH w:val="nil"/>
          <w:insideV w:val="nil"/>
        </w:tcBorders>
        <w:shd w:val="clear" w:color="auto" w:fill="003C55" w:themeFill="accent6"/>
      </w:tcPr>
    </w:tblStylePr>
    <w:tblStylePr w:type="lastRow">
      <w:pPr>
        <w:spacing w:before="0" w:after="0" w:line="240" w:lineRule="auto"/>
      </w:pPr>
      <w:rPr>
        <w:b/>
        <w:bCs/>
      </w:rPr>
      <w:tblPr/>
      <w:tcPr>
        <w:tcBorders>
          <w:top w:val="double" w:sz="6" w:space="0" w:color="0087BF" w:themeColor="accent6" w:themeTint="BF"/>
          <w:left w:val="single" w:sz="8" w:space="0" w:color="0087BF" w:themeColor="accent6" w:themeTint="BF"/>
          <w:bottom w:val="single" w:sz="8" w:space="0" w:color="0087BF" w:themeColor="accent6" w:themeTint="BF"/>
          <w:right w:val="single" w:sz="8" w:space="0" w:color="0087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96E0FF" w:themeFill="accent6" w:themeFillTint="3F"/>
      </w:tcPr>
    </w:tblStylePr>
    <w:tblStylePr w:type="band1Horz">
      <w:tblPr/>
      <w:tcPr>
        <w:tcBorders>
          <w:insideH w:val="nil"/>
          <w:insideV w:val="nil"/>
        </w:tcBorders>
        <w:shd w:val="clear" w:color="auto" w:fill="96E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6C8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8F0" w:themeFill="accent2"/>
      </w:tcPr>
    </w:tblStylePr>
    <w:tblStylePr w:type="lastCol">
      <w:rPr>
        <w:b/>
        <w:bCs/>
        <w:color w:val="FFFFFF" w:themeColor="background1"/>
      </w:rPr>
      <w:tblPr/>
      <w:tcPr>
        <w:tcBorders>
          <w:left w:val="nil"/>
          <w:right w:val="nil"/>
          <w:insideH w:val="nil"/>
          <w:insideV w:val="nil"/>
        </w:tcBorders>
        <w:shd w:val="clear" w:color="auto" w:fill="46C8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2D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D3C" w:themeFill="accent3"/>
      </w:tcPr>
    </w:tblStylePr>
    <w:tblStylePr w:type="lastCol">
      <w:rPr>
        <w:b/>
        <w:bCs/>
        <w:color w:val="FFFFFF" w:themeColor="background1"/>
      </w:rPr>
      <w:tblPr/>
      <w:tcPr>
        <w:tcBorders>
          <w:left w:val="nil"/>
          <w:right w:val="nil"/>
          <w:insideH w:val="nil"/>
          <w:insideV w:val="nil"/>
        </w:tcBorders>
        <w:shd w:val="clear" w:color="auto" w:fill="FF2D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8577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5771" w:themeFill="accent4"/>
      </w:tcPr>
    </w:tblStylePr>
    <w:tblStylePr w:type="lastCol">
      <w:rPr>
        <w:b/>
        <w:bCs/>
        <w:color w:val="FFFFFF" w:themeColor="background1"/>
      </w:rPr>
      <w:tblPr/>
      <w:tcPr>
        <w:tcBorders>
          <w:left w:val="nil"/>
          <w:right w:val="nil"/>
          <w:insideH w:val="nil"/>
          <w:insideV w:val="nil"/>
        </w:tcBorders>
        <w:shd w:val="clear" w:color="auto" w:fill="88577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FB82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B825" w:themeFill="accent5"/>
      </w:tcPr>
    </w:tblStylePr>
    <w:tblStylePr w:type="lastCol">
      <w:rPr>
        <w:b/>
        <w:bCs/>
        <w:color w:val="FFFFFF" w:themeColor="background1"/>
      </w:rPr>
      <w:tblPr/>
      <w:tcPr>
        <w:tcBorders>
          <w:left w:val="nil"/>
          <w:right w:val="nil"/>
          <w:insideH w:val="nil"/>
          <w:insideV w:val="nil"/>
        </w:tcBorders>
        <w:shd w:val="clear" w:color="auto" w:fill="9FB82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3C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C55" w:themeFill="accent6"/>
      </w:tcPr>
    </w:tblStylePr>
    <w:tblStylePr w:type="lastCol">
      <w:rPr>
        <w:b/>
        <w:bCs/>
        <w:color w:val="FFFFFF" w:themeColor="background1"/>
      </w:rPr>
      <w:tblPr/>
      <w:tcPr>
        <w:tcBorders>
          <w:left w:val="nil"/>
          <w:right w:val="nil"/>
          <w:insideH w:val="nil"/>
          <w:insideV w:val="nil"/>
        </w:tcBorders>
        <w:shd w:val="clear" w:color="auto" w:fill="003C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6330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rPr>
  </w:style>
  <w:style w:type="character" w:customStyle="1" w:styleId="MessageHeaderChar">
    <w:name w:val="Message Header Char"/>
    <w:basedOn w:val="DefaultParagraphFont"/>
    <w:link w:val="MessageHeader"/>
    <w:uiPriority w:val="99"/>
    <w:semiHidden/>
    <w:rsid w:val="00E33062"/>
    <w:rPr>
      <w:rFonts w:asciiTheme="minorHAnsi" w:eastAsiaTheme="majorEastAsia" w:hAnsiTheme="minorHAnsi" w:cstheme="minorBidi"/>
      <w:color w:val="000000" w:themeColor="text2"/>
      <w:sz w:val="24"/>
      <w:shd w:val="pct20" w:color="auto" w:fill="auto"/>
      <w:lang w:val="en-AU" w:eastAsia="en-US"/>
    </w:rPr>
  </w:style>
  <w:style w:type="paragraph" w:styleId="NoSpacing">
    <w:name w:val="No Spacing"/>
    <w:uiPriority w:val="5"/>
    <w:qFormat/>
    <w:rsid w:val="006E73FC"/>
    <w:rPr>
      <w:rFonts w:asciiTheme="minorHAnsi" w:eastAsiaTheme="minorHAnsi" w:hAnsiTheme="minorHAnsi" w:cstheme="minorBidi"/>
      <w:color w:val="000000" w:themeColor="text2"/>
      <w:lang w:val="en-AU" w:eastAsia="en-US"/>
    </w:rPr>
  </w:style>
  <w:style w:type="paragraph" w:styleId="NormalWeb">
    <w:name w:val="Normal (Web)"/>
    <w:basedOn w:val="Normal"/>
    <w:uiPriority w:val="99"/>
    <w:semiHidden/>
    <w:rsid w:val="00C63303"/>
    <w:rPr>
      <w:sz w:val="24"/>
    </w:rPr>
  </w:style>
  <w:style w:type="paragraph" w:styleId="NormalIndent">
    <w:name w:val="Normal Indent"/>
    <w:basedOn w:val="Normal"/>
    <w:uiPriority w:val="99"/>
    <w:semiHidden/>
    <w:rsid w:val="00C63303"/>
    <w:pPr>
      <w:ind w:left="720"/>
    </w:pPr>
  </w:style>
  <w:style w:type="paragraph" w:styleId="NoteHeading">
    <w:name w:val="Note Heading"/>
    <w:basedOn w:val="Normal"/>
    <w:next w:val="Normal"/>
    <w:link w:val="NoteHeadingChar"/>
    <w:uiPriority w:val="99"/>
    <w:semiHidden/>
    <w:rsid w:val="00C63303"/>
    <w:pPr>
      <w:spacing w:after="0"/>
    </w:pPr>
    <w:rPr>
      <w:rFonts w:asciiTheme="majorHAnsi" w:hAnsiTheme="majorHAnsi" w:cstheme="majorHAnsi"/>
    </w:rPr>
  </w:style>
  <w:style w:type="character" w:customStyle="1" w:styleId="NoteHeadingChar">
    <w:name w:val="Note Heading Char"/>
    <w:basedOn w:val="DefaultParagraphFont"/>
    <w:link w:val="NoteHeading"/>
    <w:uiPriority w:val="99"/>
    <w:semiHidden/>
    <w:rsid w:val="00E33062"/>
    <w:rPr>
      <w:rFonts w:asciiTheme="majorHAnsi" w:eastAsiaTheme="minorHAnsi" w:hAnsiTheme="majorHAnsi" w:cstheme="majorHAnsi"/>
      <w:color w:val="000000" w:themeColor="text2"/>
      <w:lang w:val="en-AU" w:eastAsia="en-US"/>
    </w:rPr>
  </w:style>
  <w:style w:type="paragraph" w:styleId="PlainText">
    <w:name w:val="Plain Text"/>
    <w:basedOn w:val="Normal"/>
    <w:link w:val="PlainTextChar"/>
    <w:uiPriority w:val="99"/>
    <w:semiHidden/>
    <w:rsid w:val="00C63303"/>
    <w:pPr>
      <w:spacing w:after="0"/>
    </w:pPr>
    <w:rPr>
      <w:szCs w:val="21"/>
    </w:rPr>
  </w:style>
  <w:style w:type="character" w:customStyle="1" w:styleId="PlainTextChar">
    <w:name w:val="Plain Text Char"/>
    <w:basedOn w:val="DefaultParagraphFont"/>
    <w:link w:val="PlainText"/>
    <w:uiPriority w:val="99"/>
    <w:semiHidden/>
    <w:rsid w:val="00E33062"/>
    <w:rPr>
      <w:rFonts w:asciiTheme="minorHAnsi" w:eastAsiaTheme="minorHAnsi" w:hAnsiTheme="minorHAnsi" w:cstheme="minorBidi"/>
      <w:color w:val="000000" w:themeColor="text2"/>
      <w:szCs w:val="21"/>
      <w:lang w:val="en-AU" w:eastAsia="en-US"/>
    </w:rPr>
  </w:style>
  <w:style w:type="character" w:customStyle="1" w:styleId="FooterChar">
    <w:name w:val="Footer Char"/>
    <w:basedOn w:val="DefaultParagraphFont"/>
    <w:link w:val="Footer"/>
    <w:uiPriority w:val="99"/>
    <w:rsid w:val="006956AF"/>
    <w:rPr>
      <w:rFonts w:asciiTheme="majorHAnsi" w:eastAsiaTheme="minorHAnsi" w:hAnsiTheme="majorHAnsi" w:cstheme="minorBidi"/>
      <w:color w:val="000F46" w:themeColor="background2"/>
      <w:sz w:val="16"/>
      <w:lang w:val="en-AU" w:eastAsia="en-US"/>
    </w:rPr>
  </w:style>
  <w:style w:type="paragraph" w:styleId="Salutation">
    <w:name w:val="Salutation"/>
    <w:basedOn w:val="Normal"/>
    <w:next w:val="Normal"/>
    <w:link w:val="SalutationChar"/>
    <w:uiPriority w:val="99"/>
    <w:semiHidden/>
    <w:rsid w:val="00C63303"/>
  </w:style>
  <w:style w:type="character" w:customStyle="1" w:styleId="SalutationChar">
    <w:name w:val="Salutation Char"/>
    <w:basedOn w:val="DefaultParagraphFont"/>
    <w:link w:val="Salutation"/>
    <w:uiPriority w:val="99"/>
    <w:semiHidden/>
    <w:rsid w:val="00E33062"/>
    <w:rPr>
      <w:rFonts w:asciiTheme="minorHAnsi" w:eastAsiaTheme="minorHAnsi" w:hAnsiTheme="minorHAnsi" w:cstheme="minorBidi"/>
      <w:color w:val="000000" w:themeColor="text2"/>
      <w:lang w:val="en-AU" w:eastAsia="en-US"/>
    </w:rPr>
  </w:style>
  <w:style w:type="paragraph" w:styleId="Signature">
    <w:name w:val="Signature"/>
    <w:basedOn w:val="Normal"/>
    <w:link w:val="SignatureChar"/>
    <w:uiPriority w:val="99"/>
    <w:semiHidden/>
    <w:rsid w:val="00C63303"/>
    <w:pPr>
      <w:spacing w:after="0"/>
      <w:ind w:left="4252"/>
    </w:pPr>
  </w:style>
  <w:style w:type="character" w:customStyle="1" w:styleId="SignatureChar">
    <w:name w:val="Signature Char"/>
    <w:basedOn w:val="DefaultParagraphFont"/>
    <w:link w:val="Signature"/>
    <w:uiPriority w:val="99"/>
    <w:semiHidden/>
    <w:rsid w:val="00E33062"/>
    <w:rPr>
      <w:rFonts w:asciiTheme="minorHAnsi" w:eastAsiaTheme="minorHAnsi" w:hAnsiTheme="minorHAnsi" w:cstheme="minorBidi"/>
      <w:color w:val="000000" w:themeColor="text2"/>
      <w:lang w:val="en-AU" w:eastAsia="en-US"/>
    </w:rPr>
  </w:style>
  <w:style w:type="character" w:styleId="SubtleEmphasis">
    <w:name w:val="Subtle Emphasis"/>
    <w:basedOn w:val="DefaultParagraphFont"/>
    <w:uiPriority w:val="19"/>
    <w:qFormat/>
    <w:rsid w:val="00C63303"/>
    <w:rPr>
      <w:rFonts w:asciiTheme="minorHAnsi" w:hAnsiTheme="minorHAnsi" w:cstheme="minorHAnsi"/>
      <w:i/>
      <w:iCs/>
      <w:color w:val="808080" w:themeColor="text1" w:themeTint="7F"/>
    </w:rPr>
  </w:style>
  <w:style w:type="character" w:styleId="SubtleReference">
    <w:name w:val="Subtle Reference"/>
    <w:basedOn w:val="DefaultParagraphFont"/>
    <w:uiPriority w:val="99"/>
    <w:semiHidden/>
    <w:rsid w:val="00C63303"/>
    <w:rPr>
      <w:rFonts w:asciiTheme="minorHAnsi" w:hAnsiTheme="minorHAnsi" w:cstheme="minorHAnsi"/>
      <w:smallCaps/>
      <w:color w:val="46C8F0"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63303"/>
    <w:pPr>
      <w:spacing w:after="0"/>
      <w:ind w:left="200" w:hanging="200"/>
    </w:pPr>
  </w:style>
  <w:style w:type="paragraph" w:styleId="TableofFigures">
    <w:name w:val="table of figures"/>
    <w:basedOn w:val="Normal"/>
    <w:next w:val="Normal"/>
    <w:uiPriority w:val="99"/>
    <w:rsid w:val="00294057"/>
    <w:pPr>
      <w:spacing w:before="100" w:after="100" w:line="240" w:lineRule="atLeast"/>
    </w:pPr>
    <w:rPr>
      <w:color w:val="000000" w:themeColor="text1"/>
    </w:r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Paragraph">
    <w:name w:val="List Paragraph"/>
    <w:basedOn w:val="Normal"/>
    <w:uiPriority w:val="34"/>
    <w:qFormat/>
    <w:rsid w:val="00823E1E"/>
    <w:pPr>
      <w:ind w:left="720"/>
      <w:contextualSpacing/>
    </w:pPr>
  </w:style>
  <w:style w:type="paragraph" w:styleId="TOAHeading">
    <w:name w:val="toa heading"/>
    <w:basedOn w:val="Normal"/>
    <w:next w:val="Normal"/>
    <w:uiPriority w:val="99"/>
    <w:semiHidden/>
    <w:rsid w:val="00C63303"/>
    <w:rPr>
      <w:rFonts w:asciiTheme="majorHAnsi" w:eastAsiaTheme="majorEastAsia" w:hAnsiTheme="majorHAnsi" w:cstheme="majorHAnsi"/>
      <w:b/>
      <w:bCs/>
      <w:sz w:val="24"/>
    </w:rPr>
  </w:style>
  <w:style w:type="paragraph" w:styleId="TOC5">
    <w:name w:val="toc 5"/>
    <w:basedOn w:val="Normal"/>
    <w:next w:val="Normal"/>
    <w:autoRedefine/>
    <w:uiPriority w:val="99"/>
    <w:semiHidden/>
    <w:rsid w:val="00C63303"/>
    <w:pPr>
      <w:spacing w:after="100"/>
      <w:ind w:left="800"/>
    </w:pPr>
  </w:style>
  <w:style w:type="paragraph" w:styleId="TOC6">
    <w:name w:val="toc 6"/>
    <w:basedOn w:val="Normal"/>
    <w:next w:val="Normal"/>
    <w:autoRedefine/>
    <w:uiPriority w:val="99"/>
    <w:semiHidden/>
    <w:rsid w:val="00C63303"/>
    <w:pPr>
      <w:spacing w:after="100"/>
      <w:ind w:left="1000"/>
    </w:pPr>
  </w:style>
  <w:style w:type="paragraph" w:styleId="TOC7">
    <w:name w:val="toc 7"/>
    <w:basedOn w:val="Normal"/>
    <w:next w:val="Normal"/>
    <w:autoRedefine/>
    <w:uiPriority w:val="99"/>
    <w:semiHidden/>
    <w:rsid w:val="00C63303"/>
    <w:pPr>
      <w:spacing w:after="100"/>
      <w:ind w:left="1200"/>
    </w:pPr>
  </w:style>
  <w:style w:type="paragraph" w:styleId="TOC8">
    <w:name w:val="toc 8"/>
    <w:basedOn w:val="Normal"/>
    <w:next w:val="Normal"/>
    <w:autoRedefine/>
    <w:uiPriority w:val="99"/>
    <w:semiHidden/>
    <w:rsid w:val="00C63303"/>
    <w:pPr>
      <w:spacing w:after="100"/>
      <w:ind w:left="1400"/>
    </w:pPr>
  </w:style>
  <w:style w:type="paragraph" w:styleId="TOC9">
    <w:name w:val="toc 9"/>
    <w:basedOn w:val="Normal"/>
    <w:next w:val="Normal"/>
    <w:autoRedefine/>
    <w:uiPriority w:val="99"/>
    <w:semiHidden/>
    <w:rsid w:val="00C63303"/>
    <w:pPr>
      <w:spacing w:after="100"/>
      <w:ind w:left="1600"/>
    </w:pPr>
  </w:style>
  <w:style w:type="paragraph" w:styleId="TOCHeading">
    <w:name w:val="TOC Heading"/>
    <w:basedOn w:val="Heading1"/>
    <w:next w:val="Normal"/>
    <w:uiPriority w:val="23"/>
    <w:rsid w:val="004B42C0"/>
    <w:pPr>
      <w:pageBreakBefore/>
      <w:spacing w:after="480" w:line="440" w:lineRule="atLeast"/>
      <w:outlineLvl w:val="9"/>
    </w:pPr>
    <w:rPr>
      <w:sz w:val="28"/>
    </w:rPr>
  </w:style>
  <w:style w:type="table" w:customStyle="1" w:styleId="LayoutGrid">
    <w:name w:val="Layout Grid"/>
    <w:basedOn w:val="TableNormal"/>
    <w:uiPriority w:val="99"/>
    <w:rsid w:val="00EE3284"/>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E33062"/>
    <w:rPr>
      <w:rFonts w:asciiTheme="majorHAnsi" w:eastAsiaTheme="minorHAnsi" w:hAnsiTheme="majorHAnsi" w:cstheme="minorBidi"/>
      <w:color w:val="000000" w:themeColor="text2"/>
      <w:sz w:val="16"/>
      <w:lang w:val="en-AU" w:eastAsia="en-US"/>
    </w:rPr>
  </w:style>
  <w:style w:type="paragraph" w:styleId="TOC2">
    <w:name w:val="toc 2"/>
    <w:basedOn w:val="Normal"/>
    <w:next w:val="Normal"/>
    <w:uiPriority w:val="39"/>
    <w:rsid w:val="00E20600"/>
    <w:pPr>
      <w:tabs>
        <w:tab w:val="right" w:leader="dot" w:pos="9628"/>
      </w:tabs>
      <w:spacing w:before="100" w:after="100" w:line="240" w:lineRule="atLeast"/>
      <w:ind w:left="567" w:hanging="567"/>
    </w:pPr>
    <w:rPr>
      <w:rFonts w:asciiTheme="majorHAnsi" w:hAnsiTheme="majorHAnsi"/>
      <w:bCs/>
      <w:noProof/>
      <w:color w:val="000000" w:themeColor="text1"/>
    </w:rPr>
  </w:style>
  <w:style w:type="paragraph" w:styleId="TOC3">
    <w:name w:val="toc 3"/>
    <w:basedOn w:val="Normal"/>
    <w:next w:val="Normal"/>
    <w:uiPriority w:val="39"/>
    <w:rsid w:val="00E20600"/>
    <w:pPr>
      <w:tabs>
        <w:tab w:val="right" w:leader="dot" w:pos="9628"/>
      </w:tabs>
      <w:spacing w:before="100" w:after="100" w:line="240" w:lineRule="atLeast"/>
    </w:pPr>
    <w:rPr>
      <w:noProof/>
      <w:color w:val="000000" w:themeColor="text1"/>
    </w:rPr>
  </w:style>
  <w:style w:type="character" w:customStyle="1" w:styleId="Heading4Char">
    <w:name w:val="Heading 4 Char"/>
    <w:basedOn w:val="DefaultParagraphFont"/>
    <w:link w:val="Heading4"/>
    <w:uiPriority w:val="4"/>
    <w:semiHidden/>
    <w:rsid w:val="003A3739"/>
    <w:rPr>
      <w:rFonts w:asciiTheme="minorHAnsi" w:eastAsiaTheme="majorEastAsia" w:hAnsiTheme="minorHAnsi" w:cstheme="majorBidi"/>
      <w:iCs/>
      <w:caps/>
      <w:sz w:val="24"/>
      <w:lang w:val="en-AU" w:eastAsia="en-US"/>
    </w:rPr>
  </w:style>
  <w:style w:type="paragraph" w:customStyle="1" w:styleId="CoverFooter">
    <w:name w:val="Cover Footer"/>
    <w:basedOn w:val="Footer"/>
    <w:uiPriority w:val="99"/>
    <w:semiHidden/>
    <w:qFormat/>
    <w:rsid w:val="00F40687"/>
    <w:pPr>
      <w:spacing w:after="60"/>
      <w:jc w:val="center"/>
    </w:pPr>
    <w:rPr>
      <w:caps/>
      <w:color w:val="FFFFFF"/>
    </w:rPr>
  </w:style>
  <w:style w:type="paragraph" w:customStyle="1" w:styleId="FooterURL">
    <w:name w:val="Footer URL"/>
    <w:basedOn w:val="Footer"/>
    <w:uiPriority w:val="99"/>
    <w:semiHidden/>
    <w:qFormat/>
    <w:rsid w:val="00420B00"/>
    <w:rPr>
      <w:rFonts w:ascii="Ubuntu Medium" w:hAnsi="Ubuntu Medium"/>
    </w:rPr>
  </w:style>
  <w:style w:type="paragraph" w:customStyle="1" w:styleId="FooterInfo2">
    <w:name w:val="Footer Info 2"/>
    <w:basedOn w:val="Footer"/>
    <w:uiPriority w:val="99"/>
    <w:semiHidden/>
    <w:qFormat/>
    <w:rsid w:val="00420B00"/>
    <w:pPr>
      <w:spacing w:line="100" w:lineRule="atLeast"/>
    </w:pPr>
    <w:rPr>
      <w:sz w:val="10"/>
    </w:rPr>
  </w:style>
  <w:style w:type="paragraph" w:customStyle="1" w:styleId="CoverURL">
    <w:name w:val="Cover URL"/>
    <w:basedOn w:val="Footer"/>
    <w:uiPriority w:val="99"/>
    <w:semiHidden/>
    <w:qFormat/>
    <w:rsid w:val="000063F9"/>
    <w:rPr>
      <w:b/>
      <w:caps/>
      <w:sz w:val="20"/>
    </w:rPr>
  </w:style>
  <w:style w:type="paragraph" w:styleId="ListNumber3">
    <w:name w:val="List Number 3"/>
    <w:basedOn w:val="Normal"/>
    <w:uiPriority w:val="6"/>
    <w:semiHidden/>
    <w:qFormat/>
    <w:rsid w:val="00961293"/>
    <w:pPr>
      <w:numPr>
        <w:ilvl w:val="2"/>
        <w:numId w:val="12"/>
      </w:numPr>
      <w:spacing w:before="120"/>
    </w:pPr>
  </w:style>
  <w:style w:type="paragraph" w:customStyle="1" w:styleId="LastPageContacts">
    <w:name w:val="LastPage_Contacts"/>
    <w:basedOn w:val="Normal"/>
    <w:uiPriority w:val="5"/>
    <w:qFormat/>
    <w:rsid w:val="00706463"/>
    <w:pPr>
      <w:spacing w:before="0"/>
    </w:pPr>
    <w:rPr>
      <w:color w:val="FFFFFF" w:themeColor="background1"/>
    </w:rPr>
  </w:style>
  <w:style w:type="paragraph" w:customStyle="1" w:styleId="CoverDetailsHeading">
    <w:name w:val="Cover Details Heading"/>
    <w:basedOn w:val="Normal"/>
    <w:uiPriority w:val="99"/>
    <w:semiHidden/>
    <w:qFormat/>
    <w:rsid w:val="00325D72"/>
    <w:pPr>
      <w:keepLines/>
      <w:numPr>
        <w:ilvl w:val="1"/>
      </w:numPr>
      <w:spacing w:before="0" w:after="0" w:line="240" w:lineRule="atLeast"/>
    </w:pPr>
    <w:rPr>
      <w:rFonts w:ascii="Ubuntu Medium" w:eastAsiaTheme="minorEastAsia" w:hAnsi="Ubuntu Medium"/>
      <w:b/>
      <w:color w:val="885771" w:themeColor="accent4"/>
    </w:rPr>
  </w:style>
  <w:style w:type="paragraph" w:styleId="TOC4">
    <w:name w:val="toc 4"/>
    <w:basedOn w:val="Normal"/>
    <w:next w:val="Normal"/>
    <w:autoRedefine/>
    <w:uiPriority w:val="99"/>
    <w:semiHidden/>
    <w:rsid w:val="00466BBD"/>
    <w:pPr>
      <w:tabs>
        <w:tab w:val="right" w:pos="9628"/>
      </w:tabs>
      <w:spacing w:before="60" w:after="60"/>
      <w:ind w:left="1135" w:hanging="851"/>
    </w:pPr>
  </w:style>
  <w:style w:type="table" w:styleId="GridTable5Dark-Accent2">
    <w:name w:val="Grid Table 5 Dark Accent 2"/>
    <w:basedOn w:val="TableNormal"/>
    <w:uiPriority w:val="50"/>
    <w:rsid w:val="00ED5D0E"/>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8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8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8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8F0" w:themeFill="accent2"/>
      </w:tcPr>
    </w:tblStylePr>
    <w:tblStylePr w:type="band1Vert">
      <w:tblPr/>
      <w:tcPr>
        <w:shd w:val="clear" w:color="auto" w:fill="B5E9F9" w:themeFill="accent2" w:themeFillTint="66"/>
      </w:tcPr>
    </w:tblStylePr>
    <w:tblStylePr w:type="band1Horz">
      <w:tblPr/>
      <w:tcPr>
        <w:shd w:val="clear" w:color="auto" w:fill="B5E9F9" w:themeFill="accent2" w:themeFillTint="66"/>
      </w:tcPr>
    </w:tblStylePr>
  </w:style>
  <w:style w:type="character" w:styleId="UnresolvedMention">
    <w:name w:val="Unresolved Mention"/>
    <w:basedOn w:val="DefaultParagraphFont"/>
    <w:uiPriority w:val="99"/>
    <w:semiHidden/>
    <w:unhideWhenUsed/>
    <w:rsid w:val="00A8521A"/>
    <w:rPr>
      <w:color w:val="605E5C"/>
      <w:shd w:val="clear" w:color="auto" w:fill="E1DFDD"/>
    </w:rPr>
  </w:style>
  <w:style w:type="character" w:customStyle="1" w:styleId="Heading2Char">
    <w:name w:val="Heading 2 Char"/>
    <w:basedOn w:val="DefaultParagraphFont"/>
    <w:link w:val="Heading2"/>
    <w:uiPriority w:val="2"/>
    <w:rsid w:val="00663819"/>
    <w:rPr>
      <w:rFonts w:asciiTheme="minorHAnsi" w:eastAsiaTheme="majorEastAsia" w:hAnsiTheme="minorHAnsi" w:cstheme="majorBidi"/>
      <w:b/>
      <w:color w:val="000F46" w:themeColor="background2"/>
      <w:sz w:val="28"/>
      <w:szCs w:val="26"/>
      <w:lang w:val="en-AU" w:eastAsia="en-US"/>
    </w:rPr>
  </w:style>
  <w:style w:type="numbering" w:customStyle="1" w:styleId="AppendixNumbers">
    <w:name w:val="Appendix Numbers"/>
    <w:uiPriority w:val="99"/>
    <w:rsid w:val="00466BBD"/>
    <w:pPr>
      <w:numPr>
        <w:numId w:val="7"/>
      </w:numPr>
    </w:pPr>
  </w:style>
  <w:style w:type="paragraph" w:customStyle="1" w:styleId="PulloutHeading">
    <w:name w:val="Pull out Heading"/>
    <w:basedOn w:val="Normal"/>
    <w:uiPriority w:val="9"/>
    <w:qFormat/>
    <w:rsid w:val="00C44719"/>
    <w:pPr>
      <w:keepNext/>
      <w:spacing w:before="120" w:line="320" w:lineRule="atLeast"/>
    </w:pPr>
    <w:rPr>
      <w:b/>
      <w:color w:val="000F46" w:themeColor="background2"/>
      <w:sz w:val="28"/>
    </w:rPr>
  </w:style>
  <w:style w:type="paragraph" w:customStyle="1" w:styleId="PulloutText">
    <w:name w:val="Pull out Text"/>
    <w:basedOn w:val="Normal"/>
    <w:uiPriority w:val="10"/>
    <w:qFormat/>
    <w:rsid w:val="009A04AF"/>
    <w:pPr>
      <w:spacing w:before="120"/>
    </w:pPr>
  </w:style>
  <w:style w:type="numbering" w:customStyle="1" w:styleId="DefaultBullets">
    <w:name w:val="Default Bullets"/>
    <w:uiPriority w:val="99"/>
    <w:rsid w:val="00906A73"/>
    <w:pPr>
      <w:numPr>
        <w:numId w:val="8"/>
      </w:numPr>
    </w:pPr>
  </w:style>
  <w:style w:type="table" w:styleId="GridTable5Dark-Accent1">
    <w:name w:val="Grid Table 5 Dark Accent 1"/>
    <w:basedOn w:val="TableNormal"/>
    <w:uiPriority w:val="50"/>
    <w:rsid w:val="00466BBD"/>
    <w:pPr>
      <w:spacing w:before="240" w:line="280" w:lineRule="atLeast"/>
    </w:pPr>
    <w:rPr>
      <w:rFonts w:asciiTheme="minorHAnsi" w:eastAsiaTheme="minorHAnsi" w:hAnsiTheme="minorHAnsi" w:cstheme="minorBidi"/>
      <w:color w:val="000000" w:themeColor="text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customStyle="1" w:styleId="UniofMelTable1">
    <w:name w:val="Uni of Mel_Table1"/>
    <w:basedOn w:val="TableNormal"/>
    <w:uiPriority w:val="99"/>
    <w:rsid w:val="00EA17FB"/>
    <w:rPr>
      <w:rFonts w:asciiTheme="minorHAnsi" w:hAnsiTheme="minorHAnsi"/>
    </w:rPr>
    <w:tblPr>
      <w:tblStyleRowBandSize w:val="1"/>
      <w:tblBorders>
        <w:right w:val="single" w:sz="4" w:space="0" w:color="FFFFFF" w:themeColor="background1"/>
        <w:insideV w:val="single" w:sz="4" w:space="0" w:color="FFFFFF" w:themeColor="background1"/>
      </w:tblBorders>
    </w:tblPr>
    <w:tcPr>
      <w:shd w:val="clear" w:color="auto" w:fill="FFFFFF" w:themeFill="background1"/>
    </w:tcPr>
    <w:tblStylePr w:type="firstRow">
      <w:rPr>
        <w:rFonts w:asciiTheme="majorHAnsi" w:hAnsiTheme="majorHAnsi"/>
        <w:b w:val="0"/>
        <w:i w:val="0"/>
        <w:caps w:val="0"/>
        <w:smallCaps w:val="0"/>
        <w:color w:val="FFFFFF" w:themeColor="background1"/>
        <w:sz w:val="20"/>
      </w:rPr>
      <w:tblPr/>
      <w:trPr>
        <w:tblHeader/>
      </w:trPr>
      <w:tcPr>
        <w:tcBorders>
          <w:top w:val="nil"/>
          <w:left w:val="nil"/>
          <w:bottom w:val="nil"/>
          <w:right w:val="nil"/>
          <w:insideH w:val="nil"/>
          <w:insideV w:val="single" w:sz="4" w:space="0" w:color="FFFFFF" w:themeColor="background1"/>
          <w:tl2br w:val="nil"/>
          <w:tr2bl w:val="nil"/>
        </w:tcBorders>
        <w:shd w:val="clear" w:color="auto" w:fill="000F46" w:themeFill="background2"/>
      </w:tcPr>
    </w:tblStylePr>
    <w:tblStylePr w:type="la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single" w:sz="4" w:space="0" w:color="FFFFFF" w:themeColor="background1"/>
          <w:tl2br w:val="nil"/>
          <w:tr2bl w:val="nil"/>
        </w:tcBorders>
        <w:shd w:val="clear" w:color="auto" w:fill="FFFFFF" w:themeFill="background1"/>
      </w:tcPr>
    </w:tblStylePr>
    <w:tblStylePr w:type="band2Horz">
      <w:tblPr/>
      <w:tcPr>
        <w:tcBorders>
          <w:top w:val="nil"/>
          <w:left w:val="nil"/>
          <w:bottom w:val="nil"/>
          <w:right w:val="nil"/>
          <w:insideH w:val="nil"/>
          <w:insideV w:val="single" w:sz="4" w:space="0" w:color="FFFFFF" w:themeColor="background1"/>
          <w:tl2br w:val="nil"/>
          <w:tr2bl w:val="nil"/>
        </w:tcBorders>
        <w:shd w:val="clear" w:color="auto" w:fill="EBEBEB"/>
      </w:tcPr>
    </w:tblStylePr>
  </w:style>
  <w:style w:type="table" w:customStyle="1" w:styleId="UniofMelTable2">
    <w:name w:val="Uni of Mel_Table2"/>
    <w:basedOn w:val="TableNormal"/>
    <w:uiPriority w:val="99"/>
    <w:rsid w:val="00EA17FB"/>
    <w:rPr>
      <w:rFonts w:asciiTheme="minorHAnsi" w:hAnsiTheme="minorHAnsi"/>
    </w:rPr>
    <w:tblPr>
      <w:tblStyleRowBandSize w:val="1"/>
      <w:tblBorders>
        <w:top w:val="single" w:sz="4" w:space="0" w:color="000F46" w:themeColor="background2"/>
        <w:left w:val="single" w:sz="4" w:space="0" w:color="000F46" w:themeColor="background2"/>
        <w:bottom w:val="single" w:sz="4" w:space="0" w:color="000F46" w:themeColor="background2"/>
        <w:right w:val="single" w:sz="4" w:space="0" w:color="000F46" w:themeColor="background2"/>
        <w:insideH w:val="single" w:sz="4" w:space="0" w:color="000F46" w:themeColor="background2"/>
        <w:insideV w:val="single" w:sz="4" w:space="0" w:color="000F46" w:themeColor="background2"/>
      </w:tblBorders>
    </w:tblPr>
    <w:tcPr>
      <w:shd w:val="clear" w:color="auto" w:fill="auto"/>
    </w:tcPr>
    <w:tblStylePr w:type="firstRow">
      <w:rPr>
        <w:rFonts w:asciiTheme="majorHAnsi" w:hAnsiTheme="majorHAnsi"/>
        <w:b w:val="0"/>
        <w:i w:val="0"/>
        <w:caps w:val="0"/>
        <w:smallCaps w:val="0"/>
        <w:color w:val="auto"/>
        <w:sz w:val="20"/>
      </w:rPr>
      <w:tblPr/>
      <w:trPr>
        <w:tblHeader/>
      </w:trPr>
      <w:tcPr>
        <w:tcBorders>
          <w:top w:val="single" w:sz="4" w:space="0" w:color="000F46" w:themeColor="background2"/>
          <w:left w:val="single" w:sz="4" w:space="0" w:color="000F46" w:themeColor="background2"/>
          <w:bottom w:val="single" w:sz="4" w:space="0" w:color="000F46" w:themeColor="background2"/>
          <w:right w:val="single" w:sz="4" w:space="0" w:color="000F46" w:themeColor="background2"/>
          <w:insideH w:val="single" w:sz="4" w:space="0" w:color="000F46" w:themeColor="background2"/>
          <w:insideV w:val="single" w:sz="4" w:space="0" w:color="000F46" w:themeColor="background2"/>
          <w:tl2br w:val="nil"/>
          <w:tr2bl w:val="nil"/>
        </w:tcBorders>
        <w:shd w:val="clear" w:color="auto" w:fill="000F46" w:themeFill="background2"/>
      </w:tcPr>
    </w:tblStylePr>
    <w:tblStylePr w:type="lastRow">
      <w:tblPr/>
      <w:tcPr>
        <w:tcBorders>
          <w:top w:val="single" w:sz="4" w:space="0" w:color="000F46" w:themeColor="background2"/>
          <w:left w:val="single" w:sz="4" w:space="0" w:color="000F46" w:themeColor="background2"/>
          <w:bottom w:val="single" w:sz="4" w:space="0" w:color="000F46" w:themeColor="background2"/>
          <w:right w:val="single" w:sz="4" w:space="0" w:color="000F46" w:themeColor="background2"/>
          <w:insideH w:val="single" w:sz="4" w:space="0" w:color="000F46" w:themeColor="background2"/>
          <w:insideV w:val="single" w:sz="4" w:space="0" w:color="000F46" w:themeColor="background2"/>
          <w:tl2br w:val="nil"/>
          <w:tr2bl w:val="nil"/>
        </w:tcBorders>
        <w:shd w:val="clear" w:color="auto" w:fill="auto"/>
      </w:tcPr>
    </w:tblStylePr>
    <w:tblStylePr w:type="band1Horz">
      <w:tblPr/>
      <w:tcPr>
        <w:tcBorders>
          <w:top w:val="single" w:sz="4" w:space="0" w:color="000F46" w:themeColor="background2"/>
          <w:left w:val="single" w:sz="4" w:space="0" w:color="000F46" w:themeColor="background2"/>
          <w:bottom w:val="single" w:sz="4" w:space="0" w:color="000F46" w:themeColor="background2"/>
          <w:right w:val="single" w:sz="4" w:space="0" w:color="000F46" w:themeColor="background2"/>
          <w:insideH w:val="single" w:sz="4" w:space="0" w:color="000F46" w:themeColor="background2"/>
          <w:insideV w:val="single" w:sz="4" w:space="0" w:color="000F46" w:themeColor="background2"/>
          <w:tl2br w:val="nil"/>
          <w:tr2bl w:val="nil"/>
        </w:tcBorders>
        <w:shd w:val="clear" w:color="auto" w:fill="auto"/>
      </w:tcPr>
    </w:tblStylePr>
    <w:tblStylePr w:type="band2Horz">
      <w:tblPr/>
      <w:tcPr>
        <w:tcBorders>
          <w:top w:val="single" w:sz="4" w:space="0" w:color="000F46" w:themeColor="background2"/>
          <w:left w:val="single" w:sz="4" w:space="0" w:color="000F46" w:themeColor="background2"/>
          <w:bottom w:val="single" w:sz="4" w:space="0" w:color="000F46" w:themeColor="background2"/>
          <w:right w:val="single" w:sz="4" w:space="0" w:color="000F46" w:themeColor="background2"/>
          <w:insideH w:val="single" w:sz="4" w:space="0" w:color="000F46" w:themeColor="background2"/>
          <w:insideV w:val="single" w:sz="4" w:space="0" w:color="000F46" w:themeColor="background2"/>
          <w:tl2br w:val="nil"/>
          <w:tr2bl w:val="nil"/>
        </w:tcBorders>
        <w:shd w:val="clear" w:color="auto" w:fill="auto"/>
      </w:tcPr>
    </w:tblStylePr>
  </w:style>
  <w:style w:type="character" w:customStyle="1" w:styleId="Heading1Char">
    <w:name w:val="Heading 1 Char"/>
    <w:basedOn w:val="DefaultParagraphFont"/>
    <w:link w:val="Heading1"/>
    <w:uiPriority w:val="2"/>
    <w:rsid w:val="00663819"/>
    <w:rPr>
      <w:rFonts w:asciiTheme="majorHAnsi" w:eastAsiaTheme="majorEastAsia" w:hAnsiTheme="majorHAnsi" w:cstheme="majorBidi"/>
      <w:b/>
      <w:color w:val="000F46" w:themeColor="background2"/>
      <w:sz w:val="60"/>
      <w:szCs w:val="32"/>
      <w:lang w:val="en-AU" w:eastAsia="en-US"/>
    </w:rPr>
  </w:style>
  <w:style w:type="paragraph" w:customStyle="1" w:styleId="Heading2Numbered">
    <w:name w:val="Heading 2 Numbered"/>
    <w:basedOn w:val="Heading2"/>
    <w:uiPriority w:val="2"/>
    <w:rsid w:val="00413A7B"/>
    <w:pPr>
      <w:numPr>
        <w:ilvl w:val="1"/>
        <w:numId w:val="11"/>
      </w:numPr>
      <w:spacing w:line="280" w:lineRule="atLeast"/>
    </w:pPr>
    <w:rPr>
      <w:color w:val="auto"/>
      <w:sz w:val="20"/>
    </w:rPr>
  </w:style>
  <w:style w:type="character" w:customStyle="1" w:styleId="Heading3Char">
    <w:name w:val="Heading 3 Char"/>
    <w:basedOn w:val="DefaultParagraphFont"/>
    <w:link w:val="Heading3"/>
    <w:uiPriority w:val="2"/>
    <w:rsid w:val="001C12D3"/>
    <w:rPr>
      <w:rFonts w:asciiTheme="minorHAnsi" w:eastAsiaTheme="majorEastAsia" w:hAnsiTheme="minorHAnsi" w:cstheme="majorBidi"/>
      <w:b/>
      <w:color w:val="000F46" w:themeColor="background2"/>
      <w:szCs w:val="24"/>
      <w:lang w:val="en-AU" w:eastAsia="en-US"/>
    </w:rPr>
  </w:style>
  <w:style w:type="paragraph" w:customStyle="1" w:styleId="Heading3Numbered">
    <w:name w:val="Heading 3 Numbered"/>
    <w:basedOn w:val="Heading3"/>
    <w:uiPriority w:val="2"/>
    <w:rsid w:val="003A3739"/>
    <w:pPr>
      <w:numPr>
        <w:ilvl w:val="2"/>
        <w:numId w:val="11"/>
      </w:numPr>
    </w:pPr>
    <w:rPr>
      <w:b w:val="0"/>
      <w:color w:val="auto"/>
    </w:rPr>
  </w:style>
  <w:style w:type="character" w:customStyle="1" w:styleId="Heading5Char">
    <w:name w:val="Heading 5 Char"/>
    <w:basedOn w:val="DefaultParagraphFont"/>
    <w:link w:val="Heading5"/>
    <w:uiPriority w:val="99"/>
    <w:semiHidden/>
    <w:rsid w:val="00E33062"/>
    <w:rPr>
      <w:rFonts w:asciiTheme="minorHAnsi" w:eastAsiaTheme="majorEastAsia" w:hAnsiTheme="minorHAnsi" w:cstheme="majorBidi"/>
      <w:b/>
      <w:color w:val="000000" w:themeColor="text2"/>
      <w:sz w:val="21"/>
      <w:lang w:val="en-AU" w:eastAsia="en-US"/>
    </w:rPr>
  </w:style>
  <w:style w:type="character" w:customStyle="1" w:styleId="Heading6Char">
    <w:name w:val="Heading 6 Char"/>
    <w:basedOn w:val="DefaultParagraphFont"/>
    <w:link w:val="Heading6"/>
    <w:uiPriority w:val="99"/>
    <w:semiHidden/>
    <w:rsid w:val="00E33062"/>
    <w:rPr>
      <w:rFonts w:asciiTheme="minorHAnsi" w:eastAsiaTheme="majorEastAsia" w:hAnsiTheme="minorHAnsi" w:cstheme="majorBidi"/>
      <w:b/>
      <w:i/>
      <w:color w:val="000000" w:themeColor="text2"/>
      <w:lang w:val="en-AU" w:eastAsia="en-US"/>
    </w:rPr>
  </w:style>
  <w:style w:type="character" w:customStyle="1" w:styleId="Heading7Char">
    <w:name w:val="Heading 7 Char"/>
    <w:basedOn w:val="DefaultParagraphFont"/>
    <w:link w:val="Heading7"/>
    <w:uiPriority w:val="99"/>
    <w:semiHidden/>
    <w:rsid w:val="00E33062"/>
    <w:rPr>
      <w:rFonts w:asciiTheme="minorHAnsi" w:eastAsiaTheme="majorEastAsia" w:hAnsiTheme="minorHAnsi" w:cstheme="majorBidi"/>
      <w:i/>
      <w:iCs/>
      <w:color w:val="000000" w:themeColor="text2"/>
      <w:lang w:val="en-AU" w:eastAsia="en-US"/>
    </w:rPr>
  </w:style>
  <w:style w:type="numbering" w:customStyle="1" w:styleId="NumberedHeadings">
    <w:name w:val="Numbered Headings"/>
    <w:uiPriority w:val="99"/>
    <w:rsid w:val="00806315"/>
    <w:pPr>
      <w:numPr>
        <w:numId w:val="9"/>
      </w:numPr>
    </w:pPr>
  </w:style>
  <w:style w:type="paragraph" w:styleId="Quote">
    <w:name w:val="Quote"/>
    <w:basedOn w:val="Normal"/>
    <w:next w:val="Normal"/>
    <w:link w:val="QuoteChar"/>
    <w:uiPriority w:val="99"/>
    <w:semiHidden/>
    <w:rsid w:val="00466BBD"/>
    <w:pPr>
      <w:spacing w:before="200" w:after="160"/>
      <w:ind w:left="284" w:right="284"/>
    </w:pPr>
    <w:rPr>
      <w:color w:val="000000" w:themeColor="accent1"/>
      <w:sz w:val="24"/>
      <w:szCs w:val="24"/>
    </w:rPr>
  </w:style>
  <w:style w:type="character" w:customStyle="1" w:styleId="QuoteChar">
    <w:name w:val="Quote Char"/>
    <w:basedOn w:val="DefaultParagraphFont"/>
    <w:link w:val="Quote"/>
    <w:uiPriority w:val="99"/>
    <w:semiHidden/>
    <w:rsid w:val="00E33062"/>
    <w:rPr>
      <w:rFonts w:asciiTheme="minorHAnsi" w:eastAsiaTheme="minorHAnsi" w:hAnsiTheme="minorHAnsi" w:cstheme="minorBidi"/>
      <w:color w:val="000000" w:themeColor="accent1"/>
      <w:sz w:val="24"/>
      <w:szCs w:val="24"/>
      <w:lang w:val="en-AU" w:eastAsia="en-US"/>
    </w:rPr>
  </w:style>
  <w:style w:type="paragraph" w:customStyle="1" w:styleId="SourceNotes">
    <w:name w:val="Source Notes"/>
    <w:basedOn w:val="Normal"/>
    <w:uiPriority w:val="99"/>
    <w:semiHidden/>
    <w:rsid w:val="00466BBD"/>
    <w:pPr>
      <w:spacing w:before="60" w:after="60" w:line="200" w:lineRule="atLeast"/>
    </w:pPr>
    <w:rPr>
      <w:sz w:val="16"/>
    </w:rPr>
  </w:style>
  <w:style w:type="paragraph" w:customStyle="1" w:styleId="SourceNotesHeading">
    <w:name w:val="Source Notes Heading"/>
    <w:basedOn w:val="SourceNotes"/>
    <w:uiPriority w:val="99"/>
    <w:semiHidden/>
    <w:rsid w:val="00466BBD"/>
    <w:pPr>
      <w:spacing w:before="120"/>
    </w:pPr>
    <w:rPr>
      <w:rFonts w:asciiTheme="majorHAnsi" w:hAnsiTheme="majorHAnsi"/>
      <w:b/>
    </w:rPr>
  </w:style>
  <w:style w:type="paragraph" w:customStyle="1" w:styleId="SourceNotesNumbered">
    <w:name w:val="Source Notes Numbered"/>
    <w:basedOn w:val="SourceNotes"/>
    <w:uiPriority w:val="99"/>
    <w:semiHidden/>
    <w:rsid w:val="00466BBD"/>
    <w:pPr>
      <w:numPr>
        <w:numId w:val="10"/>
      </w:numPr>
    </w:pPr>
  </w:style>
  <w:style w:type="paragraph" w:styleId="ListBullet3">
    <w:name w:val="List Bullet 3"/>
    <w:basedOn w:val="Normal"/>
    <w:uiPriority w:val="3"/>
    <w:rsid w:val="00906A73"/>
    <w:pPr>
      <w:spacing w:before="120"/>
      <w:ind w:left="852" w:hanging="284"/>
    </w:pPr>
  </w:style>
  <w:style w:type="paragraph" w:customStyle="1" w:styleId="Heading1Numbered">
    <w:name w:val="Heading 1 Numbered"/>
    <w:basedOn w:val="Heading1"/>
    <w:uiPriority w:val="2"/>
    <w:qFormat/>
    <w:rsid w:val="00413A7B"/>
    <w:pPr>
      <w:numPr>
        <w:numId w:val="11"/>
      </w:numPr>
      <w:spacing w:line="320" w:lineRule="atLeast"/>
    </w:pPr>
    <w:rPr>
      <w:sz w:val="28"/>
    </w:rPr>
  </w:style>
  <w:style w:type="paragraph" w:customStyle="1" w:styleId="CoverTitle">
    <w:name w:val="Cover Title"/>
    <w:basedOn w:val="Normal"/>
    <w:qFormat/>
    <w:rsid w:val="00577B5D"/>
    <w:pPr>
      <w:suppressAutoHyphens w:val="0"/>
      <w:spacing w:after="360" w:line="800" w:lineRule="atLeast"/>
      <w:ind w:left="340" w:right="340"/>
      <w:outlineLvl w:val="0"/>
    </w:pPr>
    <w:rPr>
      <w:rFonts w:asciiTheme="majorHAnsi" w:eastAsiaTheme="majorEastAsia" w:hAnsiTheme="majorHAnsi" w:cstheme="majorBidi"/>
      <w:bCs/>
      <w:color w:val="FFFFFF" w:themeColor="background1"/>
      <w:kern w:val="28"/>
      <w:sz w:val="72"/>
      <w:szCs w:val="56"/>
    </w:rPr>
  </w:style>
  <w:style w:type="character" w:styleId="PlaceholderText">
    <w:name w:val="Placeholder Text"/>
    <w:basedOn w:val="DefaultParagraphFont"/>
    <w:uiPriority w:val="99"/>
    <w:rsid w:val="003C60E6"/>
    <w:rPr>
      <w:color w:val="808080"/>
    </w:rPr>
  </w:style>
  <w:style w:type="character" w:styleId="FootnoteReference">
    <w:name w:val="footnote reference"/>
    <w:basedOn w:val="DefaultParagraphFont"/>
    <w:uiPriority w:val="99"/>
    <w:semiHidden/>
    <w:unhideWhenUsed/>
    <w:rsid w:val="00404884"/>
    <w:rPr>
      <w:vertAlign w:val="superscript"/>
    </w:rPr>
  </w:style>
  <w:style w:type="paragraph" w:customStyle="1" w:styleId="Intro">
    <w:name w:val="Intro"/>
    <w:basedOn w:val="Normal"/>
    <w:uiPriority w:val="1"/>
    <w:qFormat/>
    <w:rsid w:val="0057724F"/>
    <w:pPr>
      <w:spacing w:line="480" w:lineRule="atLeast"/>
    </w:pPr>
    <w:rPr>
      <w:color w:val="000F46" w:themeColor="background2"/>
      <w:sz w:val="44"/>
    </w:rPr>
  </w:style>
  <w:style w:type="paragraph" w:customStyle="1" w:styleId="DividerTitle">
    <w:name w:val="Divider Title"/>
    <w:basedOn w:val="CoverTitle"/>
    <w:uiPriority w:val="5"/>
    <w:qFormat/>
    <w:rsid w:val="007D09C8"/>
  </w:style>
  <w:style w:type="table" w:customStyle="1" w:styleId="UniofMelTable3">
    <w:name w:val="Uni of Mel_Table3"/>
    <w:basedOn w:val="TableNormal"/>
    <w:uiPriority w:val="99"/>
    <w:rsid w:val="00EA17FB"/>
    <w:rPr>
      <w:rFonts w:asciiTheme="minorHAnsi" w:hAnsiTheme="minorHAnsi"/>
    </w:rPr>
    <w:tblPr>
      <w:tblStyleRowBandSize w:val="1"/>
      <w:tblBorders>
        <w:top w:val="single" w:sz="4" w:space="0" w:color="000F46" w:themeColor="background2"/>
        <w:bottom w:val="single" w:sz="4" w:space="0" w:color="000F46" w:themeColor="background2"/>
        <w:insideH w:val="single" w:sz="4" w:space="0" w:color="000F46" w:themeColor="background2"/>
      </w:tblBorders>
    </w:tblPr>
    <w:tcPr>
      <w:shd w:val="clear" w:color="auto" w:fill="auto"/>
    </w:tcPr>
    <w:tblStylePr w:type="firstRow">
      <w:rPr>
        <w:rFonts w:asciiTheme="majorHAnsi" w:hAnsiTheme="majorHAnsi"/>
        <w:b w:val="0"/>
        <w:i w:val="0"/>
        <w:caps w:val="0"/>
        <w:smallCaps w:val="0"/>
        <w:color w:val="auto"/>
        <w:sz w:val="20"/>
      </w:rPr>
      <w:tblPr/>
      <w:trPr>
        <w:tblHeader/>
      </w:trPr>
      <w:tcPr>
        <w:tcBorders>
          <w:top w:val="single" w:sz="4" w:space="0" w:color="000F46" w:themeColor="background2"/>
          <w:left w:val="nil"/>
          <w:bottom w:val="single" w:sz="4" w:space="0" w:color="000F46" w:themeColor="background2"/>
          <w:right w:val="nil"/>
          <w:insideH w:val="single" w:sz="4" w:space="0" w:color="000F46" w:themeColor="background2"/>
          <w:insideV w:val="nil"/>
          <w:tl2br w:val="nil"/>
          <w:tr2bl w:val="nil"/>
        </w:tcBorders>
        <w:shd w:val="clear" w:color="auto" w:fill="000F46" w:themeFill="background2"/>
      </w:tcPr>
    </w:tblStylePr>
    <w:tblStylePr w:type="lastRow">
      <w:tblPr/>
      <w:tcPr>
        <w:tcBorders>
          <w:top w:val="single" w:sz="4" w:space="0" w:color="000F46" w:themeColor="background2"/>
          <w:left w:val="nil"/>
          <w:bottom w:val="single" w:sz="4" w:space="0" w:color="000F46" w:themeColor="background2"/>
          <w:right w:val="nil"/>
          <w:insideH w:val="single" w:sz="4" w:space="0" w:color="000F46" w:themeColor="background2"/>
          <w:insideV w:val="nil"/>
          <w:tl2br w:val="nil"/>
          <w:tr2bl w:val="nil"/>
        </w:tcBorders>
        <w:shd w:val="clear" w:color="auto" w:fill="auto"/>
      </w:tcPr>
    </w:tblStylePr>
    <w:tblStylePr w:type="band1Horz">
      <w:tblPr/>
      <w:tcPr>
        <w:tcBorders>
          <w:top w:val="single" w:sz="4" w:space="0" w:color="000F46" w:themeColor="background2"/>
          <w:left w:val="nil"/>
          <w:bottom w:val="single" w:sz="4" w:space="0" w:color="000F46" w:themeColor="background2"/>
          <w:right w:val="nil"/>
          <w:insideH w:val="single" w:sz="4" w:space="0" w:color="000F46" w:themeColor="background2"/>
          <w:insideV w:val="nil"/>
          <w:tl2br w:val="nil"/>
          <w:tr2bl w:val="nil"/>
        </w:tcBorders>
        <w:shd w:val="clear" w:color="auto" w:fill="auto"/>
      </w:tcPr>
    </w:tblStylePr>
    <w:tblStylePr w:type="band2Horz">
      <w:tblPr/>
      <w:tcPr>
        <w:tcBorders>
          <w:top w:val="single" w:sz="4" w:space="0" w:color="000F46" w:themeColor="background2"/>
          <w:left w:val="nil"/>
          <w:bottom w:val="single" w:sz="4" w:space="0" w:color="000F46" w:themeColor="background2"/>
          <w:right w:val="nil"/>
          <w:insideH w:val="single" w:sz="4" w:space="0" w:color="000F46" w:themeColor="background2"/>
          <w:insideV w:val="nil"/>
          <w:tl2br w:val="nil"/>
          <w:tr2bl w:val="nil"/>
        </w:tcBorders>
        <w:shd w:val="clear" w:color="auto" w:fill="auto"/>
      </w:tcPr>
    </w:tblStylePr>
  </w:style>
  <w:style w:type="paragraph" w:customStyle="1" w:styleId="Identifier">
    <w:name w:val="Identifier"/>
    <w:basedOn w:val="NoSpacing"/>
    <w:qFormat/>
    <w:rsid w:val="00061479"/>
    <w:pPr>
      <w:framePr w:hSpace="181" w:wrap="around" w:vAnchor="page" w:hAnchor="margin" w:xAlign="center" w:y="568"/>
      <w:spacing w:before="200" w:after="120"/>
      <w:ind w:left="170" w:right="170"/>
      <w:suppressOverlap/>
    </w:pPr>
    <w:rPr>
      <w:b/>
      <w:color w:val="000F46" w:themeColor="background2"/>
    </w:rPr>
  </w:style>
  <w:style w:type="paragraph" w:styleId="Caption">
    <w:name w:val="caption"/>
    <w:basedOn w:val="Normal"/>
    <w:next w:val="Normal"/>
    <w:uiPriority w:val="99"/>
    <w:unhideWhenUsed/>
    <w:qFormat/>
    <w:rsid w:val="00E20600"/>
    <w:pPr>
      <w:spacing w:before="0" w:after="240" w:line="240" w:lineRule="atLeast"/>
    </w:pPr>
    <w:rPr>
      <w:b/>
      <w:iCs/>
      <w:color w:val="000000" w:themeColor="text2"/>
      <w:szCs w:val="18"/>
    </w:rPr>
  </w:style>
  <w:style w:type="paragraph" w:customStyle="1" w:styleId="ToCHeading2">
    <w:name w:val="ToC Heading 2"/>
    <w:basedOn w:val="TOCHeading"/>
    <w:qFormat/>
    <w:rsid w:val="004B42C0"/>
    <w:pPr>
      <w:pageBreakBefore w:val="0"/>
    </w:pPr>
  </w:style>
  <w:style w:type="numbering" w:customStyle="1" w:styleId="CurrentList1">
    <w:name w:val="Current List1"/>
    <w:uiPriority w:val="99"/>
    <w:rsid w:val="00BD5FFE"/>
    <w:pPr>
      <w:numPr>
        <w:numId w:val="20"/>
      </w:numPr>
    </w:pPr>
  </w:style>
  <w:style w:type="paragraph" w:styleId="Revision">
    <w:name w:val="Revision"/>
    <w:hidden/>
    <w:uiPriority w:val="99"/>
    <w:semiHidden/>
    <w:rsid w:val="00E61AF2"/>
    <w:rPr>
      <w:rFonts w:asciiTheme="minorHAnsi" w:eastAsiaTheme="minorHAnsi" w:hAnsiTheme="minorHAnsi" w:cstheme="minorBid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256">
      <w:bodyDiv w:val="1"/>
      <w:marLeft w:val="0"/>
      <w:marRight w:val="0"/>
      <w:marTop w:val="0"/>
      <w:marBottom w:val="0"/>
      <w:divBdr>
        <w:top w:val="none" w:sz="0" w:space="0" w:color="auto"/>
        <w:left w:val="none" w:sz="0" w:space="0" w:color="auto"/>
        <w:bottom w:val="none" w:sz="0" w:space="0" w:color="auto"/>
        <w:right w:val="none" w:sz="0" w:space="0" w:color="auto"/>
      </w:divBdr>
    </w:div>
    <w:div w:id="1288857954">
      <w:bodyDiv w:val="1"/>
      <w:marLeft w:val="0"/>
      <w:marRight w:val="0"/>
      <w:marTop w:val="0"/>
      <w:marBottom w:val="0"/>
      <w:divBdr>
        <w:top w:val="none" w:sz="0" w:space="0" w:color="auto"/>
        <w:left w:val="none" w:sz="0" w:space="0" w:color="auto"/>
        <w:bottom w:val="none" w:sz="0" w:space="0" w:color="auto"/>
        <w:right w:val="none" w:sz="0" w:space="0" w:color="auto"/>
      </w:divBdr>
    </w:div>
    <w:div w:id="19964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s.gov.au/info/general/medicines-industry-strategic-agreement" TargetMode="External"/><Relationship Id="rId18" Type="http://schemas.openxmlformats.org/officeDocument/2006/relationships/hyperlink" Target="mailto:HTAconsumerengagement@health.gov.au" TargetMode="External"/><Relationship Id="rId26" Type="http://schemas.openxmlformats.org/officeDocument/2006/relationships/hyperlink" Target="https://www.tga.gov.au/" TargetMode="External"/><Relationship Id="rId39" Type="http://schemas.openxmlformats.org/officeDocument/2006/relationships/hyperlink" Target="https://www.health.gov.au/committees-and-groups/medical-research-future-fund-consumer-reference-panel" TargetMode="External"/><Relationship Id="rId3" Type="http://schemas.openxmlformats.org/officeDocument/2006/relationships/customXml" Target="../customXml/item3.xml"/><Relationship Id="rId21" Type="http://schemas.openxmlformats.org/officeDocument/2006/relationships/hyperlink" Target="https://www.health.gov.au/contacts/hta-consumer-evidence-and-engagement-unit-hta-co-design-working-group-secretariat" TargetMode="External"/><Relationship Id="rId34" Type="http://schemas.openxmlformats.org/officeDocument/2006/relationships/hyperlink" Target="https://www.aph.gov.au/Parliamentary_Business/Committees/House/Health_Aged_Care_and_Sport/Newdrugs/Report" TargetMode="External"/><Relationship Id="rId42" Type="http://schemas.openxmlformats.org/officeDocument/2006/relationships/hyperlink" Target="https://www.pbs.gov.au/info/industry/listing/listing-step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collections/co-design-of-an-enhanced-consumer-engagement-process-for-health-technology-assessment-consultation" TargetMode="External"/><Relationship Id="rId25" Type="http://schemas.openxmlformats.org/officeDocument/2006/relationships/hyperlink" Target="https://www.health.gov.au/resources/publications/national-medicines-policy?language=en" TargetMode="External"/><Relationship Id="rId33" Type="http://schemas.openxmlformats.org/officeDocument/2006/relationships/hyperlink" Target="https://www.health.gov.au/resources/publications/national-medicines-policy?language=en" TargetMode="External"/><Relationship Id="rId38" Type="http://schemas.openxmlformats.org/officeDocument/2006/relationships/hyperlink" Target="https://www.nhmrc.gov.au/about-us/publications/statement-consumer-and-community-involvement-health-and-medical-research"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alth.gov.au/our-work/co-design-of-an-enhanced-consumer-engagement-process" TargetMode="External"/><Relationship Id="rId20" Type="http://schemas.openxmlformats.org/officeDocument/2006/relationships/hyperlink" Target="https://www.pbs.gov.au/info/general/medicines-industry-strategic-agreement" TargetMode="External"/><Relationship Id="rId29" Type="http://schemas.openxmlformats.org/officeDocument/2006/relationships/image" Target="media/image3.jpg"/><Relationship Id="rId41" Type="http://schemas.openxmlformats.org/officeDocument/2006/relationships/hyperlink" Target="http://www.msac.gov.au/internet/msac/publishing.nsf/Content/Documents-for-Applicants-and-Assessment-Grou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conversations-for-change-report-2023?language=en" TargetMode="External"/><Relationship Id="rId32" Type="http://schemas.openxmlformats.org/officeDocument/2006/relationships/hyperlink" Target="https://www.health.gov.au/resources/publications/conversations-for-change-report-2023?language=en" TargetMode="External"/><Relationship Id="rId37" Type="http://schemas.openxmlformats.org/officeDocument/2006/relationships/hyperlink" Target="https://www.bms.com/assets/bms/australia/documents/Horizon%20Scanning%20report%202022_Final.pdf" TargetMode="External"/><Relationship Id="rId40" Type="http://schemas.openxmlformats.org/officeDocument/2006/relationships/hyperlink" Target="https://www.finance.gov.au/government/managing-commonwealth-resources/implementing-charging-framework-rmg-302/australian-government-cost-recovery-polic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contacts/hta-consumer-evidence-and-engagement-unit-hta-co-design-working-group-secretariat" TargetMode="External"/><Relationship Id="rId23" Type="http://schemas.openxmlformats.org/officeDocument/2006/relationships/hyperlink" Target="https://www.health.gov.au/our-work/co-design-of-an-enhanced-consumer-engagement-process" TargetMode="External"/><Relationship Id="rId28" Type="http://schemas.openxmlformats.org/officeDocument/2006/relationships/image" Target="media/image2.jpg"/><Relationship Id="rId36" Type="http://schemas.openxmlformats.org/officeDocument/2006/relationships/hyperlink" Target="https://www.medicinesaustralia.com.au/wp-content/uploads/sites/65/2023/06/MA-Horizon-Scanning-Forum-v5-June-2023.pdf" TargetMode="External"/><Relationship Id="rId10" Type="http://schemas.openxmlformats.org/officeDocument/2006/relationships/endnotes" Target="endnotes.xml"/><Relationship Id="rId19" Type="http://schemas.openxmlformats.org/officeDocument/2006/relationships/hyperlink" Target="https://www.health.gov.au/topics/health-technologies-and-digital-health/health-technology-assessments" TargetMode="External"/><Relationship Id="rId31" Type="http://schemas.openxmlformats.org/officeDocument/2006/relationships/hyperlink" Target="https://www.health.gov.au/our-work/health-technology-assessment-policy-and-methods-review"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ealth-technology-assessment-policy-and-methods-review" TargetMode="External"/><Relationship Id="rId22" Type="http://schemas.openxmlformats.org/officeDocument/2006/relationships/hyperlink" Target="https://www.health.gov.au/our-work/health-technology-assessment-policy-and-methods-review" TargetMode="External"/><Relationship Id="rId27" Type="http://schemas.openxmlformats.org/officeDocument/2006/relationships/footer" Target="footer2.xml"/><Relationship Id="rId30" Type="http://schemas.openxmlformats.org/officeDocument/2006/relationships/hyperlink" Target="https://www.pbs.gov.au/info/general/medicines-industry-strategic-agreement" TargetMode="External"/><Relationship Id="rId35" Type="http://schemas.openxmlformats.org/officeDocument/2006/relationships/hyperlink" Target="https://www.health.gov.au/our-work/co-design-of-an-enhanced-consumer-engagement-process" TargetMode="External"/><Relationship Id="rId43" Type="http://schemas.openxmlformats.org/officeDocument/2006/relationships/hyperlink" Target="https://www.pbs.gov.au/medicinestatus/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e1\OneDrive%20-%20The%20University%20of%20Melbourne\Documents\Admin\Communications\Report_University-of-Melbour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FFD25C1D342D1977C4C3768C0669D"/>
        <w:category>
          <w:name w:val="General"/>
          <w:gallery w:val="placeholder"/>
        </w:category>
        <w:types>
          <w:type w:val="bbPlcHdr"/>
        </w:types>
        <w:behaviors>
          <w:behavior w:val="content"/>
        </w:behaviors>
        <w:guid w:val="{1A76AE4B-F7FB-4985-9906-75C88A3FDDD5}"/>
      </w:docPartPr>
      <w:docPartBody>
        <w:p w:rsidR="00BF362B" w:rsidRDefault="00BF3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buntu Medium">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2B"/>
    <w:rsid w:val="00107914"/>
    <w:rsid w:val="00163042"/>
    <w:rsid w:val="00192CD3"/>
    <w:rsid w:val="00225CD0"/>
    <w:rsid w:val="00304460"/>
    <w:rsid w:val="003B642E"/>
    <w:rsid w:val="0047684B"/>
    <w:rsid w:val="006624D9"/>
    <w:rsid w:val="00662D8C"/>
    <w:rsid w:val="007E018A"/>
    <w:rsid w:val="007E3685"/>
    <w:rsid w:val="00AB1766"/>
    <w:rsid w:val="00AD3034"/>
    <w:rsid w:val="00B41C5D"/>
    <w:rsid w:val="00BE39BB"/>
    <w:rsid w:val="00BF362B"/>
    <w:rsid w:val="00C51D5F"/>
    <w:rsid w:val="00C740E2"/>
    <w:rsid w:val="00D83604"/>
    <w:rsid w:val="00EA2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versity of Melbourne">
  <a:themeElements>
    <a:clrScheme name="Custom 1">
      <a:dk1>
        <a:sysClr val="windowText" lastClr="000000"/>
      </a:dk1>
      <a:lt1>
        <a:sysClr val="window" lastClr="FFFFFF"/>
      </a:lt1>
      <a:dk2>
        <a:srgbClr val="000000"/>
      </a:dk2>
      <a:lt2>
        <a:srgbClr val="000F46"/>
      </a:lt2>
      <a:accent1>
        <a:srgbClr val="000000"/>
      </a:accent1>
      <a:accent2>
        <a:srgbClr val="46C8F0"/>
      </a:accent2>
      <a:accent3>
        <a:srgbClr val="FF2D3C"/>
      </a:accent3>
      <a:accent4>
        <a:srgbClr val="885771"/>
      </a:accent4>
      <a:accent5>
        <a:srgbClr val="9FB825"/>
      </a:accent5>
      <a:accent6>
        <a:srgbClr val="003C55"/>
      </a:accent6>
      <a:hlink>
        <a:srgbClr val="002060"/>
      </a:hlink>
      <a:folHlink>
        <a:srgbClr val="000F46"/>
      </a:folHlink>
    </a:clrScheme>
    <a:fontScheme name="UniofMe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lack Sheoak (Dark)">
      <a:srgbClr val="78000D"/>
    </a:custClr>
    <a:custClr name="Possum (Dark)">
      <a:srgbClr val="73234B"/>
    </a:custClr>
    <a:custClr name="Possum (Light)">
      <a:srgbClr val="EB7BBE"/>
    </a:custClr>
    <a:custClr name="Yam Daisy (Dark)">
      <a:srgbClr val="A84500"/>
    </a:custClr>
    <a:custClr name="Yam Daisy (Light)">
      <a:srgbClr val="FFD629"/>
    </a:custClr>
    <a:custClr name="Magpie (Light)">
      <a:srgbClr val="C8C8C8"/>
    </a:custClr>
    <a:custClr name="Mt William Greenstone (Light)">
      <a:srgbClr val="ABC1A7"/>
    </a:custClr>
    <a:custClr name="River Red Gum (Dark)">
      <a:srgbClr val="2C421D"/>
    </a:custClr>
    <a:custClr name="Magpie (Dark)">
      <a:srgbClr val="2D2D2D"/>
    </a:custClr>
    <a:custClr name="Mt William Greenstone (Dark)">
      <a:srgbClr val="444A40"/>
    </a:custClr>
  </a:custClrLst>
  <a:extLst>
    <a:ext uri="{05A4C25C-085E-4340-85A3-A5531E510DB2}">
      <thm15:themeFamily xmlns:thm15="http://schemas.microsoft.com/office/thememl/2012/main" name="University of Melbourne" id="{B859F8A8-BC99-420A-8C6F-5C50384DFB8E}" vid="{5286E9F7-37B0-4667-AC89-1734819ED7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3251ce-2737-4ef4-b3bf-2bd84edb0ccb" xsi:nil="true"/>
    <lcf76f155ced4ddcb4097134ff3c332f xmlns="99a09a75-67eb-4148-b9a8-acb993237c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9C4BD8C872E94886D8A7B2DDABD99D" ma:contentTypeVersion="14" ma:contentTypeDescription="Create a new document." ma:contentTypeScope="" ma:versionID="1aff48045bf2c41c2cd98c96cef04e79">
  <xsd:schema xmlns:xsd="http://www.w3.org/2001/XMLSchema" xmlns:xs="http://www.w3.org/2001/XMLSchema" xmlns:p="http://schemas.microsoft.com/office/2006/metadata/properties" xmlns:ns2="99a09a75-67eb-4148-b9a8-acb993237c62" xmlns:ns3="8e3251ce-2737-4ef4-b3bf-2bd84edb0ccb" targetNamespace="http://schemas.microsoft.com/office/2006/metadata/properties" ma:root="true" ma:fieldsID="0b66aff81a201ea6a46788e07f98b549" ns2:_="" ns3:_="">
    <xsd:import namespace="99a09a75-67eb-4148-b9a8-acb993237c62"/>
    <xsd:import namespace="8e3251ce-2737-4ef4-b3bf-2bd84edb0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9a75-67eb-4148-b9a8-acb993237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251ce-2737-4ef4-b3bf-2bd84edb0c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2a01ad-79b9-4732-ab59-de8ce84f7ed9}" ma:internalName="TaxCatchAll" ma:showField="CatchAllData" ma:web="8e3251ce-2737-4ef4-b3bf-2bd84edb0c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E13F-0363-4FB5-9CBC-B9DC9B971202}">
  <ds:schemaRefs>
    <ds:schemaRef ds:uri="http://schemas.microsoft.com/sharepoint/v3/contenttype/forms"/>
  </ds:schemaRefs>
</ds:datastoreItem>
</file>

<file path=customXml/itemProps2.xml><?xml version="1.0" encoding="utf-8"?>
<ds:datastoreItem xmlns:ds="http://schemas.openxmlformats.org/officeDocument/2006/customXml" ds:itemID="{685031BA-6F46-4994-9896-D50A41232E36}">
  <ds:schemaRefs>
    <ds:schemaRef ds:uri="http://schemas.microsoft.com/office/2006/metadata/properties"/>
    <ds:schemaRef ds:uri="http://schemas.microsoft.com/office/infopath/2007/PartnerControls"/>
    <ds:schemaRef ds:uri="8e3251ce-2737-4ef4-b3bf-2bd84edb0ccb"/>
    <ds:schemaRef ds:uri="99a09a75-67eb-4148-b9a8-acb993237c62"/>
  </ds:schemaRefs>
</ds:datastoreItem>
</file>

<file path=customXml/itemProps3.xml><?xml version="1.0" encoding="utf-8"?>
<ds:datastoreItem xmlns:ds="http://schemas.openxmlformats.org/officeDocument/2006/customXml" ds:itemID="{A98121C4-4AD3-49CA-9D98-4E5EB541579B}">
  <ds:schemaRefs>
    <ds:schemaRef ds:uri="http://schemas.openxmlformats.org/officeDocument/2006/bibliography"/>
  </ds:schemaRefs>
</ds:datastoreItem>
</file>

<file path=customXml/itemProps4.xml><?xml version="1.0" encoding="utf-8"?>
<ds:datastoreItem xmlns:ds="http://schemas.openxmlformats.org/officeDocument/2006/customXml" ds:itemID="{417DD5C6-4AE1-402D-B803-7BB1BDBA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9a75-67eb-4148-b9a8-acb993237c62"/>
    <ds:schemaRef ds:uri="8e3251ce-2737-4ef4-b3bf-2bd84edb0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Report_University-of-Melbourne.dotx</Template>
  <TotalTime>21</TotalTime>
  <Pages>26</Pages>
  <Words>10012</Words>
  <Characters>62179</Characters>
  <Application>Microsoft Office Word</Application>
  <DocSecurity>0</DocSecurity>
  <Lines>1322</Lines>
  <Paragraphs>555</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Enhanced Consumer Engagement Process – Co-design project – March 2024</vt:lpstr>
      <vt:lpstr>About this document</vt:lpstr>
      <vt:lpstr>    How to provide input</vt:lpstr>
      <vt:lpstr>    Contact</vt:lpstr>
      <vt:lpstr>Terminology</vt:lpstr>
      <vt:lpstr>    Key Terms </vt:lpstr>
      <vt:lpstr>    Acronyms </vt:lpstr>
      <vt:lpstr>Project Background</vt:lpstr>
      <vt:lpstr>Section 1:</vt:lpstr>
      <vt:lpstr>Summary of Proposed Recommendations for Enhanced Consumer Engagement</vt:lpstr>
      <vt:lpstr>    </vt:lpstr>
      <vt:lpstr>    Proposed Recommendations </vt:lpstr>
      <vt:lpstr>    Implementation Considerations</vt:lpstr>
      <vt:lpstr>Section 2:</vt:lpstr>
      <vt:lpstr>Detailed Descriptions of Proposed Recommendations for Enhanced Consumer Engageme</vt:lpstr>
      <vt:lpstr>Introduction</vt:lpstr>
      <vt:lpstr>    Background</vt:lpstr>
      <vt:lpstr>    Purpose and Scope</vt:lpstr>
      <vt:lpstr>    Co-design process</vt:lpstr>
      <vt:lpstr>Proposed Recommendations </vt:lpstr>
      <vt:lpstr>    System-wide Enhancements</vt:lpstr>
      <vt:lpstr>        Consumer engagement framework</vt:lpstr>
      <vt:lpstr>        Single digital consumer portal</vt:lpstr>
      <vt:lpstr>        Plain language communications</vt:lpstr>
      <vt:lpstr>        Stakeholder resources and training</vt:lpstr>
      <vt:lpstr>        Consumer-informed horizon scanning</vt:lpstr>
      <vt:lpstr>        Consumer identification and development</vt:lpstr>
      <vt:lpstr>        Facilitated collaboration with industry </vt:lpstr>
      <vt:lpstr>        Centralised and expanded consumer support</vt:lpstr>
      <vt:lpstr>    Pre-HTA Enhancements</vt:lpstr>
      <vt:lpstr>        Consumer evidence in Australian clinical research</vt:lpstr>
      <vt:lpstr>        Consumer evidence in TGA applications</vt:lpstr>
      <vt:lpstr>        Consumer notifications about TGA applications</vt:lpstr>
      <vt:lpstr>    HTA Process Enhancements</vt:lpstr>
      <vt:lpstr>        Consumer-initiated submissions to PBAC</vt:lpstr>
      <vt:lpstr>        Consumer evidence in PBAC submissions</vt:lpstr>
      <vt:lpstr>        Consumer notifications about PBAC submissions</vt:lpstr>
      <vt:lpstr>        Criteria for consumer hearings and stakeholder meetings</vt:lpstr>
      <vt:lpstr>        Consumer input feedback loop</vt:lpstr>
      <vt:lpstr>        Consumer input on implementation considerations following PBAC recommendations</vt:lpstr>
      <vt:lpstr>    Post-HTA Enhancements</vt:lpstr>
      <vt:lpstr>        Pre-listing status reports</vt:lpstr>
      <vt:lpstr>        Consumer pathway to post-market reviews</vt:lpstr>
      <vt:lpstr>Implementation Considerations</vt:lpstr>
      <vt:lpstr>Conclusion</vt:lpstr>
    </vt:vector>
  </TitlesOfParts>
  <Company/>
  <LinksUpToDate>false</LinksUpToDate>
  <CharactersWithSpaces>71636</CharactersWithSpaces>
  <SharedDoc>false</SharedDoc>
  <HLinks>
    <vt:vector size="480" baseType="variant">
      <vt:variant>
        <vt:i4>5505142</vt:i4>
      </vt:variant>
      <vt:variant>
        <vt:i4>312</vt:i4>
      </vt:variant>
      <vt:variant>
        <vt:i4>0</vt:i4>
      </vt:variant>
      <vt:variant>
        <vt:i4>5</vt:i4>
      </vt:variant>
      <vt:variant>
        <vt:lpwstr/>
      </vt:variant>
      <vt:variant>
        <vt:lpwstr>_How_to_provide</vt:lpwstr>
      </vt:variant>
      <vt:variant>
        <vt:i4>7536688</vt:i4>
      </vt:variant>
      <vt:variant>
        <vt:i4>309</vt:i4>
      </vt:variant>
      <vt:variant>
        <vt:i4>0</vt:i4>
      </vt:variant>
      <vt:variant>
        <vt:i4>5</vt:i4>
      </vt:variant>
      <vt:variant>
        <vt:lpwstr>https://www.pbs.gov.au/medicinestatus/home.html</vt:lpwstr>
      </vt:variant>
      <vt:variant>
        <vt:lpwstr/>
      </vt:variant>
      <vt:variant>
        <vt:i4>720964</vt:i4>
      </vt:variant>
      <vt:variant>
        <vt:i4>306</vt:i4>
      </vt:variant>
      <vt:variant>
        <vt:i4>0</vt:i4>
      </vt:variant>
      <vt:variant>
        <vt:i4>5</vt:i4>
      </vt:variant>
      <vt:variant>
        <vt:lpwstr/>
      </vt:variant>
      <vt:variant>
        <vt:lpwstr>_Pre-HTA_Enhancements</vt:lpwstr>
      </vt:variant>
      <vt:variant>
        <vt:i4>2818059</vt:i4>
      </vt:variant>
      <vt:variant>
        <vt:i4>303</vt:i4>
      </vt:variant>
      <vt:variant>
        <vt:i4>0</vt:i4>
      </vt:variant>
      <vt:variant>
        <vt:i4>5</vt:i4>
      </vt:variant>
      <vt:variant>
        <vt:lpwstr/>
      </vt:variant>
      <vt:variant>
        <vt:lpwstr>_Consumer_identification_and</vt:lpwstr>
      </vt:variant>
      <vt:variant>
        <vt:i4>6684716</vt:i4>
      </vt:variant>
      <vt:variant>
        <vt:i4>300</vt:i4>
      </vt:variant>
      <vt:variant>
        <vt:i4>0</vt:i4>
      </vt:variant>
      <vt:variant>
        <vt:i4>5</vt:i4>
      </vt:variant>
      <vt:variant>
        <vt:lpwstr/>
      </vt:variant>
      <vt:variant>
        <vt:lpwstr>_Plain_language_communications_1</vt:lpwstr>
      </vt:variant>
      <vt:variant>
        <vt:i4>6488120</vt:i4>
      </vt:variant>
      <vt:variant>
        <vt:i4>297</vt:i4>
      </vt:variant>
      <vt:variant>
        <vt:i4>0</vt:i4>
      </vt:variant>
      <vt:variant>
        <vt:i4>5</vt:i4>
      </vt:variant>
      <vt:variant>
        <vt:lpwstr>https://www.pbs.gov.au/info/industry/listing/listing-steps</vt:lpwstr>
      </vt:variant>
      <vt:variant>
        <vt:lpwstr/>
      </vt:variant>
      <vt:variant>
        <vt:i4>6881371</vt:i4>
      </vt:variant>
      <vt:variant>
        <vt:i4>294</vt:i4>
      </vt:variant>
      <vt:variant>
        <vt:i4>0</vt:i4>
      </vt:variant>
      <vt:variant>
        <vt:i4>5</vt:i4>
      </vt:variant>
      <vt:variant>
        <vt:lpwstr/>
      </vt:variant>
      <vt:variant>
        <vt:lpwstr>_Facilitated_collaboration_with</vt:lpwstr>
      </vt:variant>
      <vt:variant>
        <vt:i4>2818059</vt:i4>
      </vt:variant>
      <vt:variant>
        <vt:i4>291</vt:i4>
      </vt:variant>
      <vt:variant>
        <vt:i4>0</vt:i4>
      </vt:variant>
      <vt:variant>
        <vt:i4>5</vt:i4>
      </vt:variant>
      <vt:variant>
        <vt:lpwstr/>
      </vt:variant>
      <vt:variant>
        <vt:lpwstr>_Consumer_identification_and</vt:lpwstr>
      </vt:variant>
      <vt:variant>
        <vt:i4>1245234</vt:i4>
      </vt:variant>
      <vt:variant>
        <vt:i4>288</vt:i4>
      </vt:variant>
      <vt:variant>
        <vt:i4>0</vt:i4>
      </vt:variant>
      <vt:variant>
        <vt:i4>5</vt:i4>
      </vt:variant>
      <vt:variant>
        <vt:lpwstr/>
      </vt:variant>
      <vt:variant>
        <vt:lpwstr>_Single_Digital_Consumer</vt:lpwstr>
      </vt:variant>
      <vt:variant>
        <vt:i4>6946883</vt:i4>
      </vt:variant>
      <vt:variant>
        <vt:i4>285</vt:i4>
      </vt:variant>
      <vt:variant>
        <vt:i4>0</vt:i4>
      </vt:variant>
      <vt:variant>
        <vt:i4>5</vt:i4>
      </vt:variant>
      <vt:variant>
        <vt:lpwstr/>
      </vt:variant>
      <vt:variant>
        <vt:lpwstr>_Criteria_for_consumer</vt:lpwstr>
      </vt:variant>
      <vt:variant>
        <vt:i4>2949190</vt:i4>
      </vt:variant>
      <vt:variant>
        <vt:i4>282</vt:i4>
      </vt:variant>
      <vt:variant>
        <vt:i4>0</vt:i4>
      </vt:variant>
      <vt:variant>
        <vt:i4>5</vt:i4>
      </vt:variant>
      <vt:variant>
        <vt:lpwstr/>
      </vt:variant>
      <vt:variant>
        <vt:lpwstr>_Consumer-initiated_submissions_to</vt:lpwstr>
      </vt:variant>
      <vt:variant>
        <vt:i4>196645</vt:i4>
      </vt:variant>
      <vt:variant>
        <vt:i4>279</vt:i4>
      </vt:variant>
      <vt:variant>
        <vt:i4>0</vt:i4>
      </vt:variant>
      <vt:variant>
        <vt:i4>5</vt:i4>
      </vt:variant>
      <vt:variant>
        <vt:lpwstr/>
      </vt:variant>
      <vt:variant>
        <vt:lpwstr>_Consumer_notifications_about</vt:lpwstr>
      </vt:variant>
      <vt:variant>
        <vt:i4>852019</vt:i4>
      </vt:variant>
      <vt:variant>
        <vt:i4>276</vt:i4>
      </vt:variant>
      <vt:variant>
        <vt:i4>0</vt:i4>
      </vt:variant>
      <vt:variant>
        <vt:i4>5</vt:i4>
      </vt:variant>
      <vt:variant>
        <vt:lpwstr/>
      </vt:variant>
      <vt:variant>
        <vt:lpwstr>_Consumer_input_feedback</vt:lpwstr>
      </vt:variant>
      <vt:variant>
        <vt:i4>7143527</vt:i4>
      </vt:variant>
      <vt:variant>
        <vt:i4>273</vt:i4>
      </vt:variant>
      <vt:variant>
        <vt:i4>0</vt:i4>
      </vt:variant>
      <vt:variant>
        <vt:i4>5</vt:i4>
      </vt:variant>
      <vt:variant>
        <vt:lpwstr/>
      </vt:variant>
      <vt:variant>
        <vt:lpwstr>_Consumer_evidence_in_2</vt:lpwstr>
      </vt:variant>
      <vt:variant>
        <vt:i4>6619185</vt:i4>
      </vt:variant>
      <vt:variant>
        <vt:i4>270</vt:i4>
      </vt:variant>
      <vt:variant>
        <vt:i4>0</vt:i4>
      </vt:variant>
      <vt:variant>
        <vt:i4>5</vt:i4>
      </vt:variant>
      <vt:variant>
        <vt:lpwstr>http://www.msac.gov.au/internet/msac/publishing.nsf/Content/Documents-for-Applicants-and-Assessment-Groups</vt:lpwstr>
      </vt:variant>
      <vt:variant>
        <vt:lpwstr/>
      </vt:variant>
      <vt:variant>
        <vt:i4>6881371</vt:i4>
      </vt:variant>
      <vt:variant>
        <vt:i4>267</vt:i4>
      </vt:variant>
      <vt:variant>
        <vt:i4>0</vt:i4>
      </vt:variant>
      <vt:variant>
        <vt:i4>5</vt:i4>
      </vt:variant>
      <vt:variant>
        <vt:lpwstr/>
      </vt:variant>
      <vt:variant>
        <vt:lpwstr>_Facilitated_collaboration_with</vt:lpwstr>
      </vt:variant>
      <vt:variant>
        <vt:i4>5242894</vt:i4>
      </vt:variant>
      <vt:variant>
        <vt:i4>264</vt:i4>
      </vt:variant>
      <vt:variant>
        <vt:i4>0</vt:i4>
      </vt:variant>
      <vt:variant>
        <vt:i4>5</vt:i4>
      </vt:variant>
      <vt:variant>
        <vt:lpwstr>https://www.finance.gov.au/government/managing-commonwealth-resources/implementing-charging-framework-rmg-302/australian-government-cost-recovery-policy</vt:lpwstr>
      </vt:variant>
      <vt:variant>
        <vt:lpwstr/>
      </vt:variant>
      <vt:variant>
        <vt:i4>6881371</vt:i4>
      </vt:variant>
      <vt:variant>
        <vt:i4>261</vt:i4>
      </vt:variant>
      <vt:variant>
        <vt:i4>0</vt:i4>
      </vt:variant>
      <vt:variant>
        <vt:i4>5</vt:i4>
      </vt:variant>
      <vt:variant>
        <vt:lpwstr/>
      </vt:variant>
      <vt:variant>
        <vt:lpwstr>_Facilitated_collaboration_with</vt:lpwstr>
      </vt:variant>
      <vt:variant>
        <vt:i4>4915292</vt:i4>
      </vt:variant>
      <vt:variant>
        <vt:i4>258</vt:i4>
      </vt:variant>
      <vt:variant>
        <vt:i4>0</vt:i4>
      </vt:variant>
      <vt:variant>
        <vt:i4>5</vt:i4>
      </vt:variant>
      <vt:variant>
        <vt:lpwstr/>
      </vt:variant>
      <vt:variant>
        <vt:lpwstr>_Implementation_Considerations</vt:lpwstr>
      </vt:variant>
      <vt:variant>
        <vt:i4>3276809</vt:i4>
      </vt:variant>
      <vt:variant>
        <vt:i4>255</vt:i4>
      </vt:variant>
      <vt:variant>
        <vt:i4>0</vt:i4>
      </vt:variant>
      <vt:variant>
        <vt:i4>5</vt:i4>
      </vt:variant>
      <vt:variant>
        <vt:lpwstr/>
      </vt:variant>
      <vt:variant>
        <vt:lpwstr>_Consumer_Evidence_in</vt:lpwstr>
      </vt:variant>
      <vt:variant>
        <vt:i4>6094931</vt:i4>
      </vt:variant>
      <vt:variant>
        <vt:i4>252</vt:i4>
      </vt:variant>
      <vt:variant>
        <vt:i4>0</vt:i4>
      </vt:variant>
      <vt:variant>
        <vt:i4>5</vt:i4>
      </vt:variant>
      <vt:variant>
        <vt:lpwstr>https://www.health.gov.au/committees-and-groups/medical-research-future-fund-consumer-reference-panel</vt:lpwstr>
      </vt:variant>
      <vt:variant>
        <vt:lpwstr/>
      </vt:variant>
      <vt:variant>
        <vt:i4>6422625</vt:i4>
      </vt:variant>
      <vt:variant>
        <vt:i4>249</vt:i4>
      </vt:variant>
      <vt:variant>
        <vt:i4>0</vt:i4>
      </vt:variant>
      <vt:variant>
        <vt:i4>5</vt:i4>
      </vt:variant>
      <vt:variant>
        <vt:lpwstr>https://www.nhmrc.gov.au/about-us/publications/statement-consumer-and-community-involvement-health-and-medical-research</vt:lpwstr>
      </vt:variant>
      <vt:variant>
        <vt:lpwstr/>
      </vt:variant>
      <vt:variant>
        <vt:i4>4915292</vt:i4>
      </vt:variant>
      <vt:variant>
        <vt:i4>246</vt:i4>
      </vt:variant>
      <vt:variant>
        <vt:i4>0</vt:i4>
      </vt:variant>
      <vt:variant>
        <vt:i4>5</vt:i4>
      </vt:variant>
      <vt:variant>
        <vt:lpwstr/>
      </vt:variant>
      <vt:variant>
        <vt:lpwstr>_Implementation_Considerations</vt:lpwstr>
      </vt:variant>
      <vt:variant>
        <vt:i4>7274578</vt:i4>
      </vt:variant>
      <vt:variant>
        <vt:i4>243</vt:i4>
      </vt:variant>
      <vt:variant>
        <vt:i4>0</vt:i4>
      </vt:variant>
      <vt:variant>
        <vt:i4>5</vt:i4>
      </vt:variant>
      <vt:variant>
        <vt:lpwstr/>
      </vt:variant>
      <vt:variant>
        <vt:lpwstr>_Stakeholder_resources_and</vt:lpwstr>
      </vt:variant>
      <vt:variant>
        <vt:i4>6881371</vt:i4>
      </vt:variant>
      <vt:variant>
        <vt:i4>240</vt:i4>
      </vt:variant>
      <vt:variant>
        <vt:i4>0</vt:i4>
      </vt:variant>
      <vt:variant>
        <vt:i4>5</vt:i4>
      </vt:variant>
      <vt:variant>
        <vt:lpwstr/>
      </vt:variant>
      <vt:variant>
        <vt:lpwstr>_Facilitated_collaboration_with</vt:lpwstr>
      </vt:variant>
      <vt:variant>
        <vt:i4>1245234</vt:i4>
      </vt:variant>
      <vt:variant>
        <vt:i4>237</vt:i4>
      </vt:variant>
      <vt:variant>
        <vt:i4>0</vt:i4>
      </vt:variant>
      <vt:variant>
        <vt:i4>5</vt:i4>
      </vt:variant>
      <vt:variant>
        <vt:lpwstr/>
      </vt:variant>
      <vt:variant>
        <vt:lpwstr>_Single_Digital_Consumer</vt:lpwstr>
      </vt:variant>
      <vt:variant>
        <vt:i4>7995482</vt:i4>
      </vt:variant>
      <vt:variant>
        <vt:i4>234</vt:i4>
      </vt:variant>
      <vt:variant>
        <vt:i4>0</vt:i4>
      </vt:variant>
      <vt:variant>
        <vt:i4>5</vt:i4>
      </vt:variant>
      <vt:variant>
        <vt:lpwstr>https://www.bms.com/assets/bms/australia/documents/Horizon Scanning report 2022_Final.pdf</vt:lpwstr>
      </vt:variant>
      <vt:variant>
        <vt:lpwstr/>
      </vt:variant>
      <vt:variant>
        <vt:i4>1900544</vt:i4>
      </vt:variant>
      <vt:variant>
        <vt:i4>231</vt:i4>
      </vt:variant>
      <vt:variant>
        <vt:i4>0</vt:i4>
      </vt:variant>
      <vt:variant>
        <vt:i4>5</vt:i4>
      </vt:variant>
      <vt:variant>
        <vt:lpwstr>https://www.medicinesaustralia.com.au/wp-content/uploads/sites/65/2023/06/MA-Horizon-Scanning-Forum-v5-June-2023.pdf</vt:lpwstr>
      </vt:variant>
      <vt:variant>
        <vt:lpwstr/>
      </vt:variant>
      <vt:variant>
        <vt:i4>2162711</vt:i4>
      </vt:variant>
      <vt:variant>
        <vt:i4>228</vt:i4>
      </vt:variant>
      <vt:variant>
        <vt:i4>0</vt:i4>
      </vt:variant>
      <vt:variant>
        <vt:i4>5</vt:i4>
      </vt:variant>
      <vt:variant>
        <vt:lpwstr/>
      </vt:variant>
      <vt:variant>
        <vt:lpwstr>Section_1</vt:lpwstr>
      </vt:variant>
      <vt:variant>
        <vt:i4>2490494</vt:i4>
      </vt:variant>
      <vt:variant>
        <vt:i4>225</vt:i4>
      </vt:variant>
      <vt:variant>
        <vt:i4>0</vt:i4>
      </vt:variant>
      <vt:variant>
        <vt:i4>5</vt:i4>
      </vt:variant>
      <vt:variant>
        <vt:lpwstr/>
      </vt:variant>
      <vt:variant>
        <vt:lpwstr>_Section_1:</vt:lpwstr>
      </vt:variant>
      <vt:variant>
        <vt:i4>4390979</vt:i4>
      </vt:variant>
      <vt:variant>
        <vt:i4>222</vt:i4>
      </vt:variant>
      <vt:variant>
        <vt:i4>0</vt:i4>
      </vt:variant>
      <vt:variant>
        <vt:i4>5</vt:i4>
      </vt:variant>
      <vt:variant>
        <vt:lpwstr/>
      </vt:variant>
      <vt:variant>
        <vt:lpwstr>_Introduction_1</vt:lpwstr>
      </vt:variant>
      <vt:variant>
        <vt:i4>2818097</vt:i4>
      </vt:variant>
      <vt:variant>
        <vt:i4>219</vt:i4>
      </vt:variant>
      <vt:variant>
        <vt:i4>0</vt:i4>
      </vt:variant>
      <vt:variant>
        <vt:i4>5</vt:i4>
      </vt:variant>
      <vt:variant>
        <vt:lpwstr>https://www.health.gov.au/our-work/co-design-of-an-enhanced-consumer-engagement-process</vt:lpwstr>
      </vt:variant>
      <vt:variant>
        <vt:lpwstr/>
      </vt:variant>
      <vt:variant>
        <vt:i4>7143516</vt:i4>
      </vt:variant>
      <vt:variant>
        <vt:i4>216</vt:i4>
      </vt:variant>
      <vt:variant>
        <vt:i4>0</vt:i4>
      </vt:variant>
      <vt:variant>
        <vt:i4>5</vt:i4>
      </vt:variant>
      <vt:variant>
        <vt:lpwstr>https://www.aph.gov.au/Parliamentary_Business/Committees/House/Health_Aged_Care_and_Sport/Newdrugs/Report</vt:lpwstr>
      </vt:variant>
      <vt:variant>
        <vt:lpwstr/>
      </vt:variant>
      <vt:variant>
        <vt:i4>8257579</vt:i4>
      </vt:variant>
      <vt:variant>
        <vt:i4>213</vt:i4>
      </vt:variant>
      <vt:variant>
        <vt:i4>0</vt:i4>
      </vt:variant>
      <vt:variant>
        <vt:i4>5</vt:i4>
      </vt:variant>
      <vt:variant>
        <vt:lpwstr>https://www.health.gov.au/resources/publications/national-medicines-policy?language=en</vt:lpwstr>
      </vt:variant>
      <vt:variant>
        <vt:lpwstr/>
      </vt:variant>
      <vt:variant>
        <vt:i4>6225923</vt:i4>
      </vt:variant>
      <vt:variant>
        <vt:i4>210</vt:i4>
      </vt:variant>
      <vt:variant>
        <vt:i4>0</vt:i4>
      </vt:variant>
      <vt:variant>
        <vt:i4>5</vt:i4>
      </vt:variant>
      <vt:variant>
        <vt:lpwstr>https://www.health.gov.au/resources/publications/conversations-for-change-report-2023?language=en</vt:lpwstr>
      </vt:variant>
      <vt:variant>
        <vt:lpwstr/>
      </vt:variant>
      <vt:variant>
        <vt:i4>6225923</vt:i4>
      </vt:variant>
      <vt:variant>
        <vt:i4>207</vt:i4>
      </vt:variant>
      <vt:variant>
        <vt:i4>0</vt:i4>
      </vt:variant>
      <vt:variant>
        <vt:i4>5</vt:i4>
      </vt:variant>
      <vt:variant>
        <vt:lpwstr>https://www.health.gov.au/our-work/health-technology-assessment-policy-and-methods-review</vt:lpwstr>
      </vt:variant>
      <vt:variant>
        <vt:lpwstr/>
      </vt:variant>
      <vt:variant>
        <vt:i4>7536745</vt:i4>
      </vt:variant>
      <vt:variant>
        <vt:i4>204</vt:i4>
      </vt:variant>
      <vt:variant>
        <vt:i4>0</vt:i4>
      </vt:variant>
      <vt:variant>
        <vt:i4>5</vt:i4>
      </vt:variant>
      <vt:variant>
        <vt:lpwstr>https://www.pbs.gov.au/info/general/medicines-industry-strategic-agreement</vt:lpwstr>
      </vt:variant>
      <vt:variant>
        <vt:lpwstr/>
      </vt:variant>
      <vt:variant>
        <vt:i4>2162711</vt:i4>
      </vt:variant>
      <vt:variant>
        <vt:i4>201</vt:i4>
      </vt:variant>
      <vt:variant>
        <vt:i4>0</vt:i4>
      </vt:variant>
      <vt:variant>
        <vt:i4>5</vt:i4>
      </vt:variant>
      <vt:variant>
        <vt:lpwstr/>
      </vt:variant>
      <vt:variant>
        <vt:lpwstr>Section_2</vt:lpwstr>
      </vt:variant>
      <vt:variant>
        <vt:i4>3473445</vt:i4>
      </vt:variant>
      <vt:variant>
        <vt:i4>198</vt:i4>
      </vt:variant>
      <vt:variant>
        <vt:i4>0</vt:i4>
      </vt:variant>
      <vt:variant>
        <vt:i4>5</vt:i4>
      </vt:variant>
      <vt:variant>
        <vt:lpwstr>https://www.tga.gov.au/</vt:lpwstr>
      </vt:variant>
      <vt:variant>
        <vt:lpwstr/>
      </vt:variant>
      <vt:variant>
        <vt:i4>3538962</vt:i4>
      </vt:variant>
      <vt:variant>
        <vt:i4>195</vt:i4>
      </vt:variant>
      <vt:variant>
        <vt:i4>0</vt:i4>
      </vt:variant>
      <vt:variant>
        <vt:i4>5</vt:i4>
      </vt:variant>
      <vt:variant>
        <vt:lpwstr/>
      </vt:variant>
      <vt:variant>
        <vt:lpwstr>_Project_Background_2</vt:lpwstr>
      </vt:variant>
      <vt:variant>
        <vt:i4>8257579</vt:i4>
      </vt:variant>
      <vt:variant>
        <vt:i4>192</vt:i4>
      </vt:variant>
      <vt:variant>
        <vt:i4>0</vt:i4>
      </vt:variant>
      <vt:variant>
        <vt:i4>5</vt:i4>
      </vt:variant>
      <vt:variant>
        <vt:lpwstr>https://www.health.gov.au/resources/publications/national-medicines-policy?language=en</vt:lpwstr>
      </vt:variant>
      <vt:variant>
        <vt:lpwstr/>
      </vt:variant>
      <vt:variant>
        <vt:i4>6225923</vt:i4>
      </vt:variant>
      <vt:variant>
        <vt:i4>189</vt:i4>
      </vt:variant>
      <vt:variant>
        <vt:i4>0</vt:i4>
      </vt:variant>
      <vt:variant>
        <vt:i4>5</vt:i4>
      </vt:variant>
      <vt:variant>
        <vt:lpwstr>https://www.health.gov.au/resources/publications/conversations-for-change-report-2023?language=en</vt:lpwstr>
      </vt:variant>
      <vt:variant>
        <vt:lpwstr/>
      </vt:variant>
      <vt:variant>
        <vt:i4>2818097</vt:i4>
      </vt:variant>
      <vt:variant>
        <vt:i4>186</vt:i4>
      </vt:variant>
      <vt:variant>
        <vt:i4>0</vt:i4>
      </vt:variant>
      <vt:variant>
        <vt:i4>5</vt:i4>
      </vt:variant>
      <vt:variant>
        <vt:lpwstr>https://www.health.gov.au/our-work/co-design-of-an-enhanced-consumer-engagement-process</vt:lpwstr>
      </vt:variant>
      <vt:variant>
        <vt:lpwstr/>
      </vt:variant>
      <vt:variant>
        <vt:i4>4390979</vt:i4>
      </vt:variant>
      <vt:variant>
        <vt:i4>183</vt:i4>
      </vt:variant>
      <vt:variant>
        <vt:i4>0</vt:i4>
      </vt:variant>
      <vt:variant>
        <vt:i4>5</vt:i4>
      </vt:variant>
      <vt:variant>
        <vt:lpwstr/>
      </vt:variant>
      <vt:variant>
        <vt:lpwstr>_Introduction_1</vt:lpwstr>
      </vt:variant>
      <vt:variant>
        <vt:i4>5505142</vt:i4>
      </vt:variant>
      <vt:variant>
        <vt:i4>180</vt:i4>
      </vt:variant>
      <vt:variant>
        <vt:i4>0</vt:i4>
      </vt:variant>
      <vt:variant>
        <vt:i4>5</vt:i4>
      </vt:variant>
      <vt:variant>
        <vt:lpwstr/>
      </vt:variant>
      <vt:variant>
        <vt:lpwstr>_How_to_provide</vt:lpwstr>
      </vt:variant>
      <vt:variant>
        <vt:i4>6225923</vt:i4>
      </vt:variant>
      <vt:variant>
        <vt:i4>177</vt:i4>
      </vt:variant>
      <vt:variant>
        <vt:i4>0</vt:i4>
      </vt:variant>
      <vt:variant>
        <vt:i4>5</vt:i4>
      </vt:variant>
      <vt:variant>
        <vt:lpwstr>https://www.health.gov.au/our-work/health-technology-assessment-policy-and-methods-review</vt:lpwstr>
      </vt:variant>
      <vt:variant>
        <vt:lpwstr/>
      </vt:variant>
      <vt:variant>
        <vt:i4>5636114</vt:i4>
      </vt:variant>
      <vt:variant>
        <vt:i4>174</vt:i4>
      </vt:variant>
      <vt:variant>
        <vt:i4>0</vt:i4>
      </vt:variant>
      <vt:variant>
        <vt:i4>5</vt:i4>
      </vt:variant>
      <vt:variant>
        <vt:lpwstr>https://www.health.gov.au/contacts/hta-consumer-evidence-and-engagement-unit-hta-co-design-working-group-secretariat</vt:lpwstr>
      </vt:variant>
      <vt:variant>
        <vt:lpwstr/>
      </vt:variant>
      <vt:variant>
        <vt:i4>7536745</vt:i4>
      </vt:variant>
      <vt:variant>
        <vt:i4>171</vt:i4>
      </vt:variant>
      <vt:variant>
        <vt:i4>0</vt:i4>
      </vt:variant>
      <vt:variant>
        <vt:i4>5</vt:i4>
      </vt:variant>
      <vt:variant>
        <vt:lpwstr>https://www.pbs.gov.au/info/general/medicines-industry-strategic-agreement</vt:lpwstr>
      </vt:variant>
      <vt:variant>
        <vt:lpwstr/>
      </vt:variant>
      <vt:variant>
        <vt:i4>4325404</vt:i4>
      </vt:variant>
      <vt:variant>
        <vt:i4>168</vt:i4>
      </vt:variant>
      <vt:variant>
        <vt:i4>0</vt:i4>
      </vt:variant>
      <vt:variant>
        <vt:i4>5</vt:i4>
      </vt:variant>
      <vt:variant>
        <vt:lpwstr>https://www.health.gov.au/topics/health-technologies-and-digital-health/health-technology-assessments</vt:lpwstr>
      </vt:variant>
      <vt:variant>
        <vt:lpwstr/>
      </vt:variant>
      <vt:variant>
        <vt:i4>7602196</vt:i4>
      </vt:variant>
      <vt:variant>
        <vt:i4>165</vt:i4>
      </vt:variant>
      <vt:variant>
        <vt:i4>0</vt:i4>
      </vt:variant>
      <vt:variant>
        <vt:i4>5</vt:i4>
      </vt:variant>
      <vt:variant>
        <vt:lpwstr>mailto:HTAconsumerengagement@health.gov.au</vt:lpwstr>
      </vt:variant>
      <vt:variant>
        <vt:lpwstr/>
      </vt:variant>
      <vt:variant>
        <vt:i4>3604594</vt:i4>
      </vt:variant>
      <vt:variant>
        <vt:i4>162</vt:i4>
      </vt:variant>
      <vt:variant>
        <vt:i4>0</vt:i4>
      </vt:variant>
      <vt:variant>
        <vt:i4>5</vt:i4>
      </vt:variant>
      <vt:variant>
        <vt:lpwstr>https://www.health.gov.au/resources/collections/co-design-of-an-enhanced-consumer-engagement-process-for-health-technology-assessment-consultation</vt:lpwstr>
      </vt:variant>
      <vt:variant>
        <vt:lpwstr/>
      </vt:variant>
      <vt:variant>
        <vt:i4>2818097</vt:i4>
      </vt:variant>
      <vt:variant>
        <vt:i4>159</vt:i4>
      </vt:variant>
      <vt:variant>
        <vt:i4>0</vt:i4>
      </vt:variant>
      <vt:variant>
        <vt:i4>5</vt:i4>
      </vt:variant>
      <vt:variant>
        <vt:lpwstr>https://www.health.gov.au/our-work/co-design-of-an-enhanced-consumer-engagement-process</vt:lpwstr>
      </vt:variant>
      <vt:variant>
        <vt:lpwstr/>
      </vt:variant>
      <vt:variant>
        <vt:i4>7143535</vt:i4>
      </vt:variant>
      <vt:variant>
        <vt:i4>156</vt:i4>
      </vt:variant>
      <vt:variant>
        <vt:i4>0</vt:i4>
      </vt:variant>
      <vt:variant>
        <vt:i4>5</vt:i4>
      </vt:variant>
      <vt:variant>
        <vt:lpwstr/>
      </vt:variant>
      <vt:variant>
        <vt:lpwstr>Terminology</vt:lpwstr>
      </vt:variant>
      <vt:variant>
        <vt:i4>5636114</vt:i4>
      </vt:variant>
      <vt:variant>
        <vt:i4>153</vt:i4>
      </vt:variant>
      <vt:variant>
        <vt:i4>0</vt:i4>
      </vt:variant>
      <vt:variant>
        <vt:i4>5</vt:i4>
      </vt:variant>
      <vt:variant>
        <vt:lpwstr>https://www.health.gov.au/contacts/hta-consumer-evidence-and-engagement-unit-hta-co-design-working-group-secretariat</vt:lpwstr>
      </vt:variant>
      <vt:variant>
        <vt:lpwstr/>
      </vt:variant>
      <vt:variant>
        <vt:i4>6225923</vt:i4>
      </vt:variant>
      <vt:variant>
        <vt:i4>150</vt:i4>
      </vt:variant>
      <vt:variant>
        <vt:i4>0</vt:i4>
      </vt:variant>
      <vt:variant>
        <vt:i4>5</vt:i4>
      </vt:variant>
      <vt:variant>
        <vt:lpwstr>https://www.health.gov.au/our-work/health-technology-assessment-policy-and-methods-review</vt:lpwstr>
      </vt:variant>
      <vt:variant>
        <vt:lpwstr/>
      </vt:variant>
      <vt:variant>
        <vt:i4>7536745</vt:i4>
      </vt:variant>
      <vt:variant>
        <vt:i4>147</vt:i4>
      </vt:variant>
      <vt:variant>
        <vt:i4>0</vt:i4>
      </vt:variant>
      <vt:variant>
        <vt:i4>5</vt:i4>
      </vt:variant>
      <vt:variant>
        <vt:lpwstr>https://www.pbs.gov.au/info/general/medicines-industry-strategic-agreement</vt:lpwstr>
      </vt:variant>
      <vt:variant>
        <vt:lpwstr/>
      </vt:variant>
      <vt:variant>
        <vt:i4>1048629</vt:i4>
      </vt:variant>
      <vt:variant>
        <vt:i4>140</vt:i4>
      </vt:variant>
      <vt:variant>
        <vt:i4>0</vt:i4>
      </vt:variant>
      <vt:variant>
        <vt:i4>5</vt:i4>
      </vt:variant>
      <vt:variant>
        <vt:lpwstr/>
      </vt:variant>
      <vt:variant>
        <vt:lpwstr>_Toc160023627</vt:lpwstr>
      </vt:variant>
      <vt:variant>
        <vt:i4>1048629</vt:i4>
      </vt:variant>
      <vt:variant>
        <vt:i4>134</vt:i4>
      </vt:variant>
      <vt:variant>
        <vt:i4>0</vt:i4>
      </vt:variant>
      <vt:variant>
        <vt:i4>5</vt:i4>
      </vt:variant>
      <vt:variant>
        <vt:lpwstr/>
      </vt:variant>
      <vt:variant>
        <vt:lpwstr>_Toc160023626</vt:lpwstr>
      </vt:variant>
      <vt:variant>
        <vt:i4>1048629</vt:i4>
      </vt:variant>
      <vt:variant>
        <vt:i4>128</vt:i4>
      </vt:variant>
      <vt:variant>
        <vt:i4>0</vt:i4>
      </vt:variant>
      <vt:variant>
        <vt:i4>5</vt:i4>
      </vt:variant>
      <vt:variant>
        <vt:lpwstr/>
      </vt:variant>
      <vt:variant>
        <vt:lpwstr>_Toc160023625</vt:lpwstr>
      </vt:variant>
      <vt:variant>
        <vt:i4>1048629</vt:i4>
      </vt:variant>
      <vt:variant>
        <vt:i4>122</vt:i4>
      </vt:variant>
      <vt:variant>
        <vt:i4>0</vt:i4>
      </vt:variant>
      <vt:variant>
        <vt:i4>5</vt:i4>
      </vt:variant>
      <vt:variant>
        <vt:lpwstr/>
      </vt:variant>
      <vt:variant>
        <vt:lpwstr>_Toc160023624</vt:lpwstr>
      </vt:variant>
      <vt:variant>
        <vt:i4>1048629</vt:i4>
      </vt:variant>
      <vt:variant>
        <vt:i4>116</vt:i4>
      </vt:variant>
      <vt:variant>
        <vt:i4>0</vt:i4>
      </vt:variant>
      <vt:variant>
        <vt:i4>5</vt:i4>
      </vt:variant>
      <vt:variant>
        <vt:lpwstr/>
      </vt:variant>
      <vt:variant>
        <vt:lpwstr>_Toc160023623</vt:lpwstr>
      </vt:variant>
      <vt:variant>
        <vt:i4>1048629</vt:i4>
      </vt:variant>
      <vt:variant>
        <vt:i4>110</vt:i4>
      </vt:variant>
      <vt:variant>
        <vt:i4>0</vt:i4>
      </vt:variant>
      <vt:variant>
        <vt:i4>5</vt:i4>
      </vt:variant>
      <vt:variant>
        <vt:lpwstr/>
      </vt:variant>
      <vt:variant>
        <vt:lpwstr>_Toc160023622</vt:lpwstr>
      </vt:variant>
      <vt:variant>
        <vt:i4>1048629</vt:i4>
      </vt:variant>
      <vt:variant>
        <vt:i4>104</vt:i4>
      </vt:variant>
      <vt:variant>
        <vt:i4>0</vt:i4>
      </vt:variant>
      <vt:variant>
        <vt:i4>5</vt:i4>
      </vt:variant>
      <vt:variant>
        <vt:lpwstr/>
      </vt:variant>
      <vt:variant>
        <vt:lpwstr>_Toc160023621</vt:lpwstr>
      </vt:variant>
      <vt:variant>
        <vt:i4>1048629</vt:i4>
      </vt:variant>
      <vt:variant>
        <vt:i4>98</vt:i4>
      </vt:variant>
      <vt:variant>
        <vt:i4>0</vt:i4>
      </vt:variant>
      <vt:variant>
        <vt:i4>5</vt:i4>
      </vt:variant>
      <vt:variant>
        <vt:lpwstr/>
      </vt:variant>
      <vt:variant>
        <vt:lpwstr>_Toc160023620</vt:lpwstr>
      </vt:variant>
      <vt:variant>
        <vt:i4>1245237</vt:i4>
      </vt:variant>
      <vt:variant>
        <vt:i4>92</vt:i4>
      </vt:variant>
      <vt:variant>
        <vt:i4>0</vt:i4>
      </vt:variant>
      <vt:variant>
        <vt:i4>5</vt:i4>
      </vt:variant>
      <vt:variant>
        <vt:lpwstr/>
      </vt:variant>
      <vt:variant>
        <vt:lpwstr>_Toc160023619</vt:lpwstr>
      </vt:variant>
      <vt:variant>
        <vt:i4>1245237</vt:i4>
      </vt:variant>
      <vt:variant>
        <vt:i4>86</vt:i4>
      </vt:variant>
      <vt:variant>
        <vt:i4>0</vt:i4>
      </vt:variant>
      <vt:variant>
        <vt:i4>5</vt:i4>
      </vt:variant>
      <vt:variant>
        <vt:lpwstr/>
      </vt:variant>
      <vt:variant>
        <vt:lpwstr>_Toc160023618</vt:lpwstr>
      </vt:variant>
      <vt:variant>
        <vt:i4>1245237</vt:i4>
      </vt:variant>
      <vt:variant>
        <vt:i4>80</vt:i4>
      </vt:variant>
      <vt:variant>
        <vt:i4>0</vt:i4>
      </vt:variant>
      <vt:variant>
        <vt:i4>5</vt:i4>
      </vt:variant>
      <vt:variant>
        <vt:lpwstr/>
      </vt:variant>
      <vt:variant>
        <vt:lpwstr>_Toc160023617</vt:lpwstr>
      </vt:variant>
      <vt:variant>
        <vt:i4>1245237</vt:i4>
      </vt:variant>
      <vt:variant>
        <vt:i4>74</vt:i4>
      </vt:variant>
      <vt:variant>
        <vt:i4>0</vt:i4>
      </vt:variant>
      <vt:variant>
        <vt:i4>5</vt:i4>
      </vt:variant>
      <vt:variant>
        <vt:lpwstr/>
      </vt:variant>
      <vt:variant>
        <vt:lpwstr>_Toc160023616</vt:lpwstr>
      </vt:variant>
      <vt:variant>
        <vt:i4>1245237</vt:i4>
      </vt:variant>
      <vt:variant>
        <vt:i4>68</vt:i4>
      </vt:variant>
      <vt:variant>
        <vt:i4>0</vt:i4>
      </vt:variant>
      <vt:variant>
        <vt:i4>5</vt:i4>
      </vt:variant>
      <vt:variant>
        <vt:lpwstr/>
      </vt:variant>
      <vt:variant>
        <vt:lpwstr>_Toc160023615</vt:lpwstr>
      </vt:variant>
      <vt:variant>
        <vt:i4>1245237</vt:i4>
      </vt:variant>
      <vt:variant>
        <vt:i4>62</vt:i4>
      </vt:variant>
      <vt:variant>
        <vt:i4>0</vt:i4>
      </vt:variant>
      <vt:variant>
        <vt:i4>5</vt:i4>
      </vt:variant>
      <vt:variant>
        <vt:lpwstr/>
      </vt:variant>
      <vt:variant>
        <vt:lpwstr>_Toc160023614</vt:lpwstr>
      </vt:variant>
      <vt:variant>
        <vt:i4>1245237</vt:i4>
      </vt:variant>
      <vt:variant>
        <vt:i4>56</vt:i4>
      </vt:variant>
      <vt:variant>
        <vt:i4>0</vt:i4>
      </vt:variant>
      <vt:variant>
        <vt:i4>5</vt:i4>
      </vt:variant>
      <vt:variant>
        <vt:lpwstr/>
      </vt:variant>
      <vt:variant>
        <vt:lpwstr>_Toc160023613</vt:lpwstr>
      </vt:variant>
      <vt:variant>
        <vt:i4>1245237</vt:i4>
      </vt:variant>
      <vt:variant>
        <vt:i4>50</vt:i4>
      </vt:variant>
      <vt:variant>
        <vt:i4>0</vt:i4>
      </vt:variant>
      <vt:variant>
        <vt:i4>5</vt:i4>
      </vt:variant>
      <vt:variant>
        <vt:lpwstr/>
      </vt:variant>
      <vt:variant>
        <vt:lpwstr>_Toc160023612</vt:lpwstr>
      </vt:variant>
      <vt:variant>
        <vt:i4>1245237</vt:i4>
      </vt:variant>
      <vt:variant>
        <vt:i4>44</vt:i4>
      </vt:variant>
      <vt:variant>
        <vt:i4>0</vt:i4>
      </vt:variant>
      <vt:variant>
        <vt:i4>5</vt:i4>
      </vt:variant>
      <vt:variant>
        <vt:lpwstr/>
      </vt:variant>
      <vt:variant>
        <vt:lpwstr>_Toc160023611</vt:lpwstr>
      </vt:variant>
      <vt:variant>
        <vt:i4>1245237</vt:i4>
      </vt:variant>
      <vt:variant>
        <vt:i4>38</vt:i4>
      </vt:variant>
      <vt:variant>
        <vt:i4>0</vt:i4>
      </vt:variant>
      <vt:variant>
        <vt:i4>5</vt:i4>
      </vt:variant>
      <vt:variant>
        <vt:lpwstr/>
      </vt:variant>
      <vt:variant>
        <vt:lpwstr>_Toc160023610</vt:lpwstr>
      </vt:variant>
      <vt:variant>
        <vt:i4>1179701</vt:i4>
      </vt:variant>
      <vt:variant>
        <vt:i4>32</vt:i4>
      </vt:variant>
      <vt:variant>
        <vt:i4>0</vt:i4>
      </vt:variant>
      <vt:variant>
        <vt:i4>5</vt:i4>
      </vt:variant>
      <vt:variant>
        <vt:lpwstr/>
      </vt:variant>
      <vt:variant>
        <vt:lpwstr>_Toc160023609</vt:lpwstr>
      </vt:variant>
      <vt:variant>
        <vt:i4>1179701</vt:i4>
      </vt:variant>
      <vt:variant>
        <vt:i4>26</vt:i4>
      </vt:variant>
      <vt:variant>
        <vt:i4>0</vt:i4>
      </vt:variant>
      <vt:variant>
        <vt:i4>5</vt:i4>
      </vt:variant>
      <vt:variant>
        <vt:lpwstr/>
      </vt:variant>
      <vt:variant>
        <vt:lpwstr>_Toc160023608</vt:lpwstr>
      </vt:variant>
      <vt:variant>
        <vt:i4>1179701</vt:i4>
      </vt:variant>
      <vt:variant>
        <vt:i4>20</vt:i4>
      </vt:variant>
      <vt:variant>
        <vt:i4>0</vt:i4>
      </vt:variant>
      <vt:variant>
        <vt:i4>5</vt:i4>
      </vt:variant>
      <vt:variant>
        <vt:lpwstr/>
      </vt:variant>
      <vt:variant>
        <vt:lpwstr>_Toc160023607</vt:lpwstr>
      </vt:variant>
      <vt:variant>
        <vt:i4>1179701</vt:i4>
      </vt:variant>
      <vt:variant>
        <vt:i4>14</vt:i4>
      </vt:variant>
      <vt:variant>
        <vt:i4>0</vt:i4>
      </vt:variant>
      <vt:variant>
        <vt:i4>5</vt:i4>
      </vt:variant>
      <vt:variant>
        <vt:lpwstr/>
      </vt:variant>
      <vt:variant>
        <vt:lpwstr>_Toc160023606</vt:lpwstr>
      </vt:variant>
      <vt:variant>
        <vt:i4>1179701</vt:i4>
      </vt:variant>
      <vt:variant>
        <vt:i4>8</vt:i4>
      </vt:variant>
      <vt:variant>
        <vt:i4>0</vt:i4>
      </vt:variant>
      <vt:variant>
        <vt:i4>5</vt:i4>
      </vt:variant>
      <vt:variant>
        <vt:lpwstr/>
      </vt:variant>
      <vt:variant>
        <vt:lpwstr>_Toc160023605</vt:lpwstr>
      </vt:variant>
      <vt:variant>
        <vt:i4>1179701</vt:i4>
      </vt:variant>
      <vt:variant>
        <vt:i4>2</vt:i4>
      </vt:variant>
      <vt:variant>
        <vt:i4>0</vt:i4>
      </vt:variant>
      <vt:variant>
        <vt:i4>5</vt:i4>
      </vt:variant>
      <vt:variant>
        <vt:lpwstr/>
      </vt:variant>
      <vt:variant>
        <vt:lpwstr>_Toc160023604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Consumer Engagement Process – Co-design project – March 2024</dc:title>
  <dc:subject>Consultation</dc:subject>
  <dc:creator>Australian Government Department of Health and Aged Care</dc:creator>
  <cp:keywords>Medicines; Co-design of an Enhanced Consumer Engagement Process</cp:keywords>
  <cp:revision>7</cp:revision>
  <cp:lastPrinted>2024-02-28T22:41:00Z</cp:lastPrinted>
  <dcterms:created xsi:type="dcterms:W3CDTF">2024-02-29T03:04:00Z</dcterms:created>
  <dcterms:modified xsi:type="dcterms:W3CDTF">2024-02-29T22:19:00Z</dcterms:modified>
  <cp:category/>
</cp:coreProperties>
</file>