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53DE" w14:textId="60A3613F" w:rsidR="00B53987" w:rsidRPr="00B53987" w:rsidRDefault="00061D64" w:rsidP="00B53987">
      <w:bookmarkStart w:id="0" w:name="_Hlk156991115"/>
      <w:r w:rsidRPr="00567820">
        <w:rPr>
          <w:rStyle w:val="TitleChar"/>
        </w:rPr>
        <w:t>Chair and Deputy Chair appointment</w:t>
      </w:r>
      <w:r w:rsidR="00587240">
        <w:rPr>
          <w:rStyle w:val="TitleChar"/>
        </w:rPr>
        <w:t xml:space="preserve">s for </w:t>
      </w:r>
      <w:r w:rsidR="00257454" w:rsidRPr="00257454">
        <w:rPr>
          <w:rStyle w:val="TitleChar"/>
        </w:rPr>
        <w:t>health technology assessment committees</w:t>
      </w:r>
      <w:r w:rsidRPr="002F49A2">
        <w:rPr>
          <w:rStyle w:val="TitleChar"/>
        </w:rPr>
        <w:t xml:space="preserve"> </w:t>
      </w:r>
      <w:bookmarkEnd w:id="0"/>
      <w:r w:rsidR="001867E6" w:rsidRPr="002F49A2">
        <w:rPr>
          <w:rStyle w:val="TitleChar"/>
        </w:rPr>
        <w:br/>
      </w:r>
      <w:r w:rsidR="00FA3B44">
        <w:t>21 March 2024</w:t>
      </w:r>
    </w:p>
    <w:p w14:paraId="60B70F59" w14:textId="77777777" w:rsidR="00B27F46" w:rsidRPr="002F49A2" w:rsidRDefault="00B27F46" w:rsidP="00B27F46">
      <w:pPr>
        <w:pStyle w:val="Heading1"/>
      </w:pPr>
      <w:bookmarkStart w:id="1" w:name="_Toc156831502"/>
      <w:bookmarkStart w:id="2" w:name="_Hlk85795649"/>
      <w:r>
        <w:t>About</w:t>
      </w:r>
      <w:r w:rsidRPr="002F49A2">
        <w:t xml:space="preserve"> </w:t>
      </w:r>
      <w:bookmarkStart w:id="3" w:name="_Hlk156990196"/>
      <w:r w:rsidRPr="008610C4">
        <w:t>health technology assessment</w:t>
      </w:r>
      <w:r>
        <w:t xml:space="preserve"> </w:t>
      </w:r>
      <w:r w:rsidRPr="002F49A2">
        <w:t>committees</w:t>
      </w:r>
      <w:bookmarkEnd w:id="1"/>
      <w:bookmarkEnd w:id="3"/>
    </w:p>
    <w:bookmarkEnd w:id="2"/>
    <w:p w14:paraId="69D4A7E4" w14:textId="4A6CC8A5" w:rsidR="00B27F46" w:rsidRPr="00567820" w:rsidRDefault="00B27F46" w:rsidP="00B27F46">
      <w:r w:rsidRPr="00567820">
        <w:t>In Australia, the</w:t>
      </w:r>
      <w:r w:rsidR="00C67E5A" w:rsidRPr="00C67E5A">
        <w:t xml:space="preserve"> </w:t>
      </w:r>
      <w:hyperlink r:id="rId11" w:history="1">
        <w:r w:rsidR="00C67E5A" w:rsidRPr="00F30660">
          <w:rPr>
            <w:rStyle w:val="Hyperlink"/>
          </w:rPr>
          <w:t>Pharmaceutical Benefits Advisory Committee (PBAC)</w:t>
        </w:r>
      </w:hyperlink>
      <w:r w:rsidR="00C67E5A" w:rsidRPr="00567820">
        <w:t>,</w:t>
      </w:r>
      <w:r w:rsidR="00C67E5A">
        <w:t xml:space="preserve"> the</w:t>
      </w:r>
      <w:r w:rsidRPr="00567820">
        <w:t xml:space="preserve"> </w:t>
      </w:r>
      <w:hyperlink r:id="rId12" w:history="1">
        <w:r w:rsidRPr="00DB32DB">
          <w:rPr>
            <w:rStyle w:val="Hyperlink"/>
          </w:rPr>
          <w:t>Medical Services Advisory Committee (MSAC)</w:t>
        </w:r>
      </w:hyperlink>
      <w:r w:rsidRPr="00567820">
        <w:t xml:space="preserve">, and the </w:t>
      </w:r>
      <w:r w:rsidR="00125A05">
        <w:t>Medical Devices and Human Tissue Advisory Committee (MDHTAC)</w:t>
      </w:r>
      <w:r w:rsidR="00DD03D1">
        <w:t xml:space="preserve"> </w:t>
      </w:r>
      <w:r w:rsidRPr="00567820">
        <w:t>perform health technology assessment</w:t>
      </w:r>
      <w:r w:rsidR="00DD03D1">
        <w:t>s</w:t>
      </w:r>
      <w:r w:rsidRPr="00567820">
        <w:t xml:space="preserve"> (HTA) processes</w:t>
      </w:r>
      <w:r w:rsidR="00EB4922">
        <w:t>. Each committee</w:t>
      </w:r>
      <w:r w:rsidRPr="00567820">
        <w:t xml:space="preserve"> provide</w:t>
      </w:r>
      <w:r w:rsidR="00DD03D1">
        <w:t>s</w:t>
      </w:r>
      <w:r w:rsidRPr="00567820">
        <w:t xml:space="preserve"> advice to the Australian Government</w:t>
      </w:r>
      <w:r w:rsidR="00C67E5A">
        <w:t>.</w:t>
      </w:r>
    </w:p>
    <w:p w14:paraId="1E39B883" w14:textId="77777777" w:rsidR="00B27F46" w:rsidRPr="00997465" w:rsidRDefault="00B27F46" w:rsidP="00D054E5">
      <w:pPr>
        <w:pStyle w:val="Heading2"/>
      </w:pPr>
      <w:r w:rsidRPr="001867E6">
        <w:t>Pharmaceutical Benefits Advisory Committee</w:t>
      </w:r>
      <w:r w:rsidRPr="00997465">
        <w:t xml:space="preserve"> (PBAC)</w:t>
      </w:r>
    </w:p>
    <w:p w14:paraId="27683589" w14:textId="2B68791F" w:rsidR="00B27F46" w:rsidRPr="00567820" w:rsidRDefault="00B27F46" w:rsidP="00B27F46">
      <w:r w:rsidRPr="00567820">
        <w:t>PBAC is an independent</w:t>
      </w:r>
      <w:r w:rsidR="00CC7F24">
        <w:t>, statutory,</w:t>
      </w:r>
      <w:r w:rsidRPr="00567820">
        <w:t xml:space="preserve"> expert body appointed by the Australian Government. Its </w:t>
      </w:r>
      <w:r w:rsidR="00312FED">
        <w:t>main</w:t>
      </w:r>
      <w:r w:rsidRPr="00567820">
        <w:t xml:space="preserve"> role is to </w:t>
      </w:r>
      <w:bookmarkStart w:id="4" w:name="_Hlk160013936"/>
      <w:r w:rsidRPr="00567820">
        <w:t xml:space="preserve">recommend new medicines for listing on the </w:t>
      </w:r>
      <w:r w:rsidR="00312FED" w:rsidRPr="00312FED">
        <w:t xml:space="preserve">Pharmaceutical Benefits </w:t>
      </w:r>
      <w:r w:rsidR="00312FED">
        <w:t>Scheme</w:t>
      </w:r>
      <w:r w:rsidR="00EB4922">
        <w:t xml:space="preserve"> </w:t>
      </w:r>
      <w:bookmarkEnd w:id="4"/>
      <w:r w:rsidR="00EB4922">
        <w:t>(PBS)</w:t>
      </w:r>
      <w:r w:rsidR="00312FED">
        <w:t xml:space="preserve">. </w:t>
      </w:r>
      <w:r w:rsidRPr="00567820">
        <w:t xml:space="preserve">No new medicine </w:t>
      </w:r>
      <w:r w:rsidR="00EB4922">
        <w:t>is listed on the PBS</w:t>
      </w:r>
      <w:r w:rsidRPr="00567820">
        <w:t xml:space="preserve"> unless the committee recommend</w:t>
      </w:r>
      <w:r w:rsidR="00DD03D1">
        <w:t>s it</w:t>
      </w:r>
      <w:r w:rsidRPr="00567820">
        <w:t xml:space="preserve">. </w:t>
      </w:r>
    </w:p>
    <w:p w14:paraId="63DA883B" w14:textId="77777777" w:rsidR="00B27F46" w:rsidRDefault="00B27F46" w:rsidP="00D054E5">
      <w:pPr>
        <w:pStyle w:val="Heading2"/>
      </w:pPr>
      <w:r w:rsidRPr="001867E6">
        <w:t>Medical Services Advisory Committee (MSAC)</w:t>
      </w:r>
    </w:p>
    <w:p w14:paraId="08000DFB" w14:textId="2B436DD0" w:rsidR="00DD03D1" w:rsidRDefault="00B27F46" w:rsidP="00B27F46">
      <w:r w:rsidRPr="00567820">
        <w:t xml:space="preserve">MSAC is an independent, </w:t>
      </w:r>
      <w:r w:rsidR="00C67E5A">
        <w:t xml:space="preserve">expert </w:t>
      </w:r>
      <w:r w:rsidRPr="00567820">
        <w:t>non-statutory committee. MSAC appraises medical services</w:t>
      </w:r>
      <w:r w:rsidR="00192E01">
        <w:t>, health technologies, and health programs</w:t>
      </w:r>
      <w:r w:rsidRPr="00567820">
        <w:t xml:space="preserve"> proposed for public funding and provides advice to the Australian Government on whether </w:t>
      </w:r>
      <w:bookmarkStart w:id="5" w:name="_Hlk160013974"/>
      <w:r w:rsidRPr="00567820">
        <w:t>a new medical service</w:t>
      </w:r>
      <w:r w:rsidR="00192E01">
        <w:t>,</w:t>
      </w:r>
      <w:r w:rsidR="00CB79A5">
        <w:t xml:space="preserve"> </w:t>
      </w:r>
      <w:r w:rsidR="00192E01">
        <w:t>health technology</w:t>
      </w:r>
      <w:r w:rsidRPr="00567820">
        <w:t xml:space="preserve"> </w:t>
      </w:r>
      <w:r w:rsidR="00C67E5A">
        <w:t xml:space="preserve">or </w:t>
      </w:r>
      <w:r w:rsidR="00192E01">
        <w:t>health program</w:t>
      </w:r>
      <w:r w:rsidR="00C67E5A">
        <w:t xml:space="preserve"> </w:t>
      </w:r>
      <w:r w:rsidRPr="00567820">
        <w:t>should be publicly funded</w:t>
      </w:r>
      <w:bookmarkEnd w:id="5"/>
      <w:r w:rsidR="00EB4922">
        <w:t>. U</w:t>
      </w:r>
      <w:r w:rsidR="00EB4922" w:rsidRPr="00567820">
        <w:t>sing the best available evidence</w:t>
      </w:r>
      <w:r w:rsidRPr="00567820">
        <w:t xml:space="preserve"> </w:t>
      </w:r>
      <w:r w:rsidR="00EB4922">
        <w:t>MSAC</w:t>
      </w:r>
      <w:r w:rsidRPr="00567820">
        <w:t xml:space="preserve"> assess</w:t>
      </w:r>
      <w:r w:rsidR="00EB4922">
        <w:t>es</w:t>
      </w:r>
      <w:r w:rsidR="00DD03D1">
        <w:t xml:space="preserve"> its:</w:t>
      </w:r>
    </w:p>
    <w:p w14:paraId="7244E035" w14:textId="3F5B55B1" w:rsidR="00DD03D1" w:rsidRDefault="00B27F46" w:rsidP="00DD03D1">
      <w:pPr>
        <w:pStyle w:val="ListParagraph"/>
        <w:numPr>
          <w:ilvl w:val="0"/>
          <w:numId w:val="28"/>
        </w:numPr>
      </w:pPr>
      <w:r w:rsidRPr="00567820">
        <w:t>comparative safety</w:t>
      </w:r>
    </w:p>
    <w:p w14:paraId="7FA0AB30" w14:textId="77777777" w:rsidR="00DD03D1" w:rsidRDefault="00B27F46" w:rsidP="00DD03D1">
      <w:pPr>
        <w:pStyle w:val="ListParagraph"/>
        <w:numPr>
          <w:ilvl w:val="0"/>
          <w:numId w:val="28"/>
        </w:numPr>
      </w:pPr>
      <w:r w:rsidRPr="00567820">
        <w:t>clinical effectiveness</w:t>
      </w:r>
    </w:p>
    <w:p w14:paraId="704DA706" w14:textId="77777777" w:rsidR="00DD03D1" w:rsidRDefault="00B27F46" w:rsidP="00DD03D1">
      <w:pPr>
        <w:pStyle w:val="ListParagraph"/>
        <w:numPr>
          <w:ilvl w:val="0"/>
          <w:numId w:val="28"/>
        </w:numPr>
      </w:pPr>
      <w:r w:rsidRPr="00567820">
        <w:t>cost-effectiveness</w:t>
      </w:r>
    </w:p>
    <w:p w14:paraId="51A939DE" w14:textId="10CD41DA" w:rsidR="00B27F46" w:rsidRDefault="00DD03D1" w:rsidP="00DD03D1">
      <w:pPr>
        <w:pStyle w:val="ListParagraph"/>
        <w:numPr>
          <w:ilvl w:val="0"/>
          <w:numId w:val="28"/>
        </w:numPr>
      </w:pPr>
      <w:r>
        <w:t>t</w:t>
      </w:r>
      <w:r w:rsidR="00B27F46" w:rsidRPr="00567820">
        <w:t xml:space="preserve">otal cost. </w:t>
      </w:r>
    </w:p>
    <w:p w14:paraId="2FAEB04B" w14:textId="5F00DF36" w:rsidR="00125A05" w:rsidRDefault="00125A05" w:rsidP="00D054E5">
      <w:pPr>
        <w:pStyle w:val="Heading2"/>
      </w:pPr>
      <w:r>
        <w:t>Medical Devices and Human Tissue Advisory Committee (MDHTAC)</w:t>
      </w:r>
    </w:p>
    <w:p w14:paraId="4CDE0267" w14:textId="4A5A43F3" w:rsidR="000273FD" w:rsidRDefault="00125A05" w:rsidP="00B27F46">
      <w:r>
        <w:t xml:space="preserve">MDHTAC’s </w:t>
      </w:r>
      <w:r w:rsidR="000273FD">
        <w:t>mai</w:t>
      </w:r>
      <w:r w:rsidR="00EB4922">
        <w:t>n</w:t>
      </w:r>
      <w:r w:rsidRPr="00CC7F24">
        <w:t xml:space="preserve"> role is to make recommendations about the suitability of medical devices and human tissues products (products) for listing on the Prescribed List of Benefits for Medical Devices and Human Tissue Products (Prescribed List)</w:t>
      </w:r>
      <w:r w:rsidR="000273FD">
        <w:t>. The MDHTAC considers</w:t>
      </w:r>
      <w:r w:rsidR="00EB4922">
        <w:t>:</w:t>
      </w:r>
    </w:p>
    <w:p w14:paraId="19716CA9" w14:textId="3111F8DC" w:rsidR="000273FD" w:rsidRDefault="00125A05" w:rsidP="000273FD">
      <w:pPr>
        <w:pStyle w:val="ListParagraph"/>
        <w:numPr>
          <w:ilvl w:val="0"/>
          <w:numId w:val="29"/>
        </w:numPr>
      </w:pPr>
      <w:r w:rsidRPr="00CC7F24">
        <w:t>associated benefits</w:t>
      </w:r>
    </w:p>
    <w:p w14:paraId="54000252" w14:textId="1984CC77" w:rsidR="000273FD" w:rsidRDefault="00125A05" w:rsidP="000273FD">
      <w:pPr>
        <w:pStyle w:val="ListParagraph"/>
        <w:numPr>
          <w:ilvl w:val="0"/>
          <w:numId w:val="29"/>
        </w:numPr>
      </w:pPr>
      <w:r w:rsidRPr="00CC7F24">
        <w:lastRenderedPageBreak/>
        <w:t>amending the details of the existing billing codes (for the products already listed)</w:t>
      </w:r>
    </w:p>
    <w:p w14:paraId="24DF998A" w14:textId="55FACC9B" w:rsidR="000273FD" w:rsidRDefault="00125A05" w:rsidP="000273FD">
      <w:pPr>
        <w:pStyle w:val="ListParagraph"/>
        <w:numPr>
          <w:ilvl w:val="0"/>
          <w:numId w:val="29"/>
        </w:numPr>
      </w:pPr>
      <w:r w:rsidRPr="00CC7F24">
        <w:t>any other post-listing activities</w:t>
      </w:r>
      <w:r w:rsidR="00EB4922">
        <w:t>,</w:t>
      </w:r>
      <w:r w:rsidRPr="00CC7F24">
        <w:t xml:space="preserve"> as required. </w:t>
      </w:r>
    </w:p>
    <w:p w14:paraId="07EF5F1D" w14:textId="1F65F11D" w:rsidR="00125A05" w:rsidRPr="00567820" w:rsidRDefault="00125A05" w:rsidP="00B27F46">
      <w:r w:rsidRPr="00CC7F24">
        <w:t xml:space="preserve">The Prescribed List identifies the </w:t>
      </w:r>
      <w:r w:rsidRPr="00125A05">
        <w:t>minimum</w:t>
      </w:r>
      <w:r w:rsidRPr="00CC7F24">
        <w:t xml:space="preserve"> amount payable by private health insurers for medical devices and products.</w:t>
      </w:r>
    </w:p>
    <w:p w14:paraId="6D1BF713" w14:textId="77777777" w:rsidR="001867E6" w:rsidRDefault="001867E6" w:rsidP="002F49A2">
      <w:pPr>
        <w:pStyle w:val="Heading1"/>
      </w:pPr>
      <w:r w:rsidRPr="002F49A2">
        <w:t>About the new appointments</w:t>
      </w:r>
    </w:p>
    <w:p w14:paraId="610873C3" w14:textId="066EC66D" w:rsidR="001F4A18" w:rsidRPr="00997465" w:rsidRDefault="001F4A18" w:rsidP="001F4A18">
      <w:pPr>
        <w:pStyle w:val="Heading3"/>
      </w:pPr>
      <w:r w:rsidRPr="00997465">
        <w:t>PBA</w:t>
      </w:r>
      <w:r>
        <w:t>C appointments</w:t>
      </w:r>
    </w:p>
    <w:p w14:paraId="169ABBC9" w14:textId="77777777" w:rsidR="001F4A18" w:rsidRPr="001F4A18" w:rsidRDefault="001F4A18" w:rsidP="00076B04">
      <w:pPr>
        <w:pStyle w:val="Heading4"/>
      </w:pPr>
      <w:r w:rsidRPr="001F4A18">
        <w:t xml:space="preserve">Professor Robyn Ward AM </w:t>
      </w:r>
    </w:p>
    <w:p w14:paraId="3FB1870B" w14:textId="62D4BE70" w:rsidR="001F4A18" w:rsidRDefault="001867E6" w:rsidP="001F4A18">
      <w:r w:rsidRPr="00567820">
        <w:t xml:space="preserve">From 5 May 2024, </w:t>
      </w:r>
      <w:r w:rsidR="00C14154">
        <w:t xml:space="preserve">Professor Robyn Ward AM </w:t>
      </w:r>
      <w:r w:rsidRPr="00567820">
        <w:t xml:space="preserve">will be appointed as the Chair of </w:t>
      </w:r>
      <w:r w:rsidR="00B27F46">
        <w:t>PBAC</w:t>
      </w:r>
      <w:r w:rsidRPr="00567820">
        <w:t>.</w:t>
      </w:r>
    </w:p>
    <w:p w14:paraId="177A78D9" w14:textId="77777777" w:rsidR="001F4A18" w:rsidRDefault="00C14154" w:rsidP="001F4A18">
      <w:r>
        <w:t xml:space="preserve">Professor Ward </w:t>
      </w:r>
      <w:r w:rsidR="00CF694F">
        <w:t xml:space="preserve">is currently the Executive Dean of the Faculty of Medicine and Health, University of Sydney. </w:t>
      </w:r>
    </w:p>
    <w:p w14:paraId="1498C13A" w14:textId="09883B78" w:rsidR="001F4A18" w:rsidRDefault="00CF694F" w:rsidP="001F4A18">
      <w:r>
        <w:t xml:space="preserve">Professor Ward graduated from the University </w:t>
      </w:r>
      <w:r w:rsidR="003E33A4" w:rsidRPr="003E33A4">
        <w:t>New South Wales</w:t>
      </w:r>
      <w:r w:rsidR="00C205D7">
        <w:t xml:space="preserve"> (</w:t>
      </w:r>
      <w:r w:rsidR="00C205D7" w:rsidRPr="003E33A4">
        <w:t>UNSW</w:t>
      </w:r>
      <w:r w:rsidR="00C205D7">
        <w:t>)</w:t>
      </w:r>
      <w:r w:rsidR="003E33A4" w:rsidRPr="003E33A4">
        <w:t xml:space="preserve"> with a </w:t>
      </w:r>
      <w:r w:rsidR="001F4A18" w:rsidRPr="001F4A18">
        <w:t>Bachelor of Medicine and Bachelor of Surgery</w:t>
      </w:r>
      <w:r w:rsidR="003E33A4" w:rsidRPr="003E33A4">
        <w:t xml:space="preserve"> (Hons 1) in 1984</w:t>
      </w:r>
      <w:r w:rsidR="00C205D7">
        <w:t>. She t</w:t>
      </w:r>
      <w:r w:rsidR="003E33A4" w:rsidRPr="003E33A4">
        <w:t xml:space="preserve">hen trained as a physician and a scientist, gaining fellowship of the Royal Australian College of Physicians in 1991 and a PhD in Medicine at UNSW in 1994. </w:t>
      </w:r>
    </w:p>
    <w:p w14:paraId="103860D5" w14:textId="0D169A7A" w:rsidR="001F4A18" w:rsidRDefault="001F4A18" w:rsidP="009C192B">
      <w:r>
        <w:t>Professor Ward</w:t>
      </w:r>
      <w:r w:rsidR="00CB0559">
        <w:t xml:space="preserve"> has also been</w:t>
      </w:r>
      <w:r>
        <w:t>:</w:t>
      </w:r>
    </w:p>
    <w:p w14:paraId="15FFFD77" w14:textId="46E50682" w:rsidR="001F4A18" w:rsidRDefault="001F4A18" w:rsidP="001F4A18">
      <w:pPr>
        <w:pStyle w:val="ListParagraph"/>
        <w:numPr>
          <w:ilvl w:val="0"/>
          <w:numId w:val="33"/>
        </w:numPr>
      </w:pPr>
      <w:r w:rsidRPr="003E33A4">
        <w:t>Professor of Medicine</w:t>
      </w:r>
      <w:r>
        <w:t xml:space="preserve"> at </w:t>
      </w:r>
      <w:r w:rsidR="003E33A4" w:rsidRPr="003E33A4">
        <w:t>the University of New South Wales</w:t>
      </w:r>
    </w:p>
    <w:p w14:paraId="056F5055" w14:textId="2DFC1B1B" w:rsidR="001F4A18" w:rsidRDefault="003E33A4" w:rsidP="001F4A18">
      <w:pPr>
        <w:pStyle w:val="ListParagraph"/>
        <w:numPr>
          <w:ilvl w:val="0"/>
          <w:numId w:val="33"/>
        </w:numPr>
      </w:pPr>
      <w:r w:rsidRPr="003E33A4">
        <w:t>Clinical Associate Dean at the Prince of Wales Clinical School (UNSW)</w:t>
      </w:r>
    </w:p>
    <w:p w14:paraId="0ECA1971" w14:textId="442AF22A" w:rsidR="001F4A18" w:rsidRDefault="003E33A4" w:rsidP="001F4A18">
      <w:pPr>
        <w:pStyle w:val="ListParagraph"/>
        <w:numPr>
          <w:ilvl w:val="0"/>
          <w:numId w:val="33"/>
        </w:numPr>
      </w:pPr>
      <w:r w:rsidRPr="003E33A4">
        <w:t>Head of the Adult Cancer Program at the Lowy Cancer Research Centre</w:t>
      </w:r>
    </w:p>
    <w:p w14:paraId="60A4C9BA" w14:textId="241CCA75" w:rsidR="001F4A18" w:rsidRDefault="003E33A4" w:rsidP="001F4A18">
      <w:pPr>
        <w:pStyle w:val="ListParagraph"/>
        <w:numPr>
          <w:ilvl w:val="0"/>
          <w:numId w:val="33"/>
        </w:numPr>
      </w:pPr>
      <w:r w:rsidRPr="003E33A4">
        <w:t>Director of the Comprehensive Cancer Centre at the Prince of Wales Hospital</w:t>
      </w:r>
      <w:r w:rsidR="001F4A18">
        <w:t xml:space="preserve"> in </w:t>
      </w:r>
      <w:r w:rsidRPr="003E33A4">
        <w:t>Sydney</w:t>
      </w:r>
    </w:p>
    <w:p w14:paraId="708D8E9F" w14:textId="7AD03E5A" w:rsidR="001F4A18" w:rsidRDefault="003E33A4" w:rsidP="001F4A18">
      <w:pPr>
        <w:pStyle w:val="ListParagraph"/>
        <w:numPr>
          <w:ilvl w:val="0"/>
          <w:numId w:val="33"/>
        </w:numPr>
      </w:pPr>
      <w:r w:rsidRPr="003E33A4">
        <w:t xml:space="preserve">Deputy Vice-Chancellor (Research) at </w:t>
      </w:r>
      <w:r w:rsidR="001F4A18">
        <w:t>the University of Queensland</w:t>
      </w:r>
    </w:p>
    <w:p w14:paraId="09F0313C" w14:textId="02845067" w:rsidR="009954F8" w:rsidRDefault="003E33A4" w:rsidP="001F4A18">
      <w:pPr>
        <w:pStyle w:val="ListParagraph"/>
        <w:numPr>
          <w:ilvl w:val="0"/>
          <w:numId w:val="33"/>
        </w:numPr>
      </w:pPr>
      <w:r w:rsidRPr="003E33A4">
        <w:t>Executive Dean (Acting) of the Faculty of Medicine at</w:t>
      </w:r>
      <w:r w:rsidR="001F4A18" w:rsidRPr="001F4A18">
        <w:t xml:space="preserve"> </w:t>
      </w:r>
      <w:r w:rsidR="001F4A18">
        <w:t>University of Queensland.</w:t>
      </w:r>
    </w:p>
    <w:p w14:paraId="1B45114C" w14:textId="0B82316F" w:rsidR="001F4A18" w:rsidRDefault="003E33A4" w:rsidP="00D82A75">
      <w:pPr>
        <w:spacing w:after="0" w:line="240" w:lineRule="auto"/>
      </w:pPr>
      <w:r>
        <w:t xml:space="preserve">Professor Ward </w:t>
      </w:r>
      <w:r w:rsidRPr="003E33A4">
        <w:t xml:space="preserve">has published over 260 articles, </w:t>
      </w:r>
      <w:r w:rsidR="00DB113A" w:rsidRPr="003E33A4">
        <w:t>books,</w:t>
      </w:r>
      <w:r w:rsidRPr="003E33A4">
        <w:t xml:space="preserve"> and chapters</w:t>
      </w:r>
      <w:r w:rsidR="001F4A18">
        <w:t xml:space="preserve"> in </w:t>
      </w:r>
      <w:r w:rsidR="00DB113A">
        <w:t>several</w:t>
      </w:r>
      <w:r w:rsidR="001F4A18">
        <w:t xml:space="preserve"> publications,</w:t>
      </w:r>
      <w:r w:rsidRPr="003E33A4">
        <w:t xml:space="preserve"> including</w:t>
      </w:r>
      <w:r w:rsidR="001F4A18">
        <w:t>:</w:t>
      </w:r>
    </w:p>
    <w:p w14:paraId="175FD1EA" w14:textId="0D02010A" w:rsidR="001F4A18" w:rsidRDefault="003E33A4" w:rsidP="001F4A18">
      <w:pPr>
        <w:pStyle w:val="ListParagraph"/>
        <w:numPr>
          <w:ilvl w:val="0"/>
          <w:numId w:val="34"/>
        </w:numPr>
        <w:spacing w:after="0" w:line="240" w:lineRule="auto"/>
      </w:pPr>
      <w:r w:rsidRPr="003E33A4">
        <w:t>British Medical Journal</w:t>
      </w:r>
    </w:p>
    <w:p w14:paraId="09E1B84C" w14:textId="77777777" w:rsidR="001F4A18" w:rsidRDefault="003E33A4" w:rsidP="001F4A18">
      <w:pPr>
        <w:pStyle w:val="ListParagraph"/>
        <w:numPr>
          <w:ilvl w:val="0"/>
          <w:numId w:val="34"/>
        </w:numPr>
        <w:spacing w:after="0" w:line="240" w:lineRule="auto"/>
      </w:pPr>
      <w:r w:rsidRPr="003E33A4">
        <w:t>Journal of the National Cancer Institute</w:t>
      </w:r>
    </w:p>
    <w:p w14:paraId="7BAB0D60" w14:textId="62621CF2" w:rsidR="00A1011F" w:rsidRDefault="003E33A4" w:rsidP="001F4A18">
      <w:pPr>
        <w:pStyle w:val="ListParagraph"/>
        <w:numPr>
          <w:ilvl w:val="0"/>
          <w:numId w:val="34"/>
        </w:numPr>
        <w:spacing w:after="0" w:line="240" w:lineRule="auto"/>
      </w:pPr>
      <w:r w:rsidRPr="003E33A4">
        <w:t>Nature Genetics</w:t>
      </w:r>
    </w:p>
    <w:p w14:paraId="36B6205F" w14:textId="20EE93DB" w:rsidR="001F4A18" w:rsidRDefault="003E33A4" w:rsidP="001F4A18">
      <w:pPr>
        <w:pStyle w:val="ListParagraph"/>
        <w:numPr>
          <w:ilvl w:val="0"/>
          <w:numId w:val="34"/>
        </w:numPr>
        <w:spacing w:after="0" w:line="240" w:lineRule="auto"/>
      </w:pPr>
      <w:r w:rsidRPr="003E33A4">
        <w:t xml:space="preserve">The New England Journal of Medicine. </w:t>
      </w:r>
    </w:p>
    <w:p w14:paraId="18B0180E" w14:textId="783ADCEA" w:rsidR="001F4A18" w:rsidRDefault="003E33A4" w:rsidP="00D82A75">
      <w:pPr>
        <w:spacing w:after="0" w:line="240" w:lineRule="auto"/>
      </w:pPr>
      <w:r w:rsidRPr="003E33A4">
        <w:t xml:space="preserve">Professor Ward’s contributions to medical research </w:t>
      </w:r>
      <w:r w:rsidR="00822042">
        <w:t>were</w:t>
      </w:r>
      <w:r w:rsidRPr="003E33A4">
        <w:t xml:space="preserve"> acknowledged through</w:t>
      </w:r>
      <w:r w:rsidR="0025287C">
        <w:t xml:space="preserve"> the</w:t>
      </w:r>
      <w:r w:rsidR="00DB113A">
        <w:t>:</w:t>
      </w:r>
    </w:p>
    <w:p w14:paraId="0EE668B5" w14:textId="77777777" w:rsidR="0025287C" w:rsidRDefault="003E33A4" w:rsidP="0025287C">
      <w:pPr>
        <w:pStyle w:val="ListParagraph"/>
        <w:numPr>
          <w:ilvl w:val="0"/>
          <w:numId w:val="35"/>
        </w:numPr>
        <w:spacing w:after="0" w:line="240" w:lineRule="auto"/>
      </w:pPr>
      <w:r w:rsidRPr="003E33A4">
        <w:t>Commonwealth Health Minister’s Award for Excellence in Health and Medical Research in 2004</w:t>
      </w:r>
    </w:p>
    <w:p w14:paraId="7E40562F" w14:textId="2D1B645F" w:rsidR="001F4A18" w:rsidRDefault="003E33A4" w:rsidP="0025287C">
      <w:pPr>
        <w:pStyle w:val="ListParagraph"/>
        <w:numPr>
          <w:ilvl w:val="0"/>
          <w:numId w:val="35"/>
        </w:numPr>
        <w:spacing w:after="0" w:line="240" w:lineRule="auto"/>
      </w:pPr>
      <w:r w:rsidRPr="003E33A4">
        <w:t>NSW Premier’s Award for Outstanding Cancer Researcher of the Year in 2007</w:t>
      </w:r>
    </w:p>
    <w:p w14:paraId="4DCF0BFD" w14:textId="7DFDD778" w:rsidR="009954F8" w:rsidRDefault="0025287C" w:rsidP="001F4A18">
      <w:pPr>
        <w:pStyle w:val="ListParagraph"/>
        <w:numPr>
          <w:ilvl w:val="0"/>
          <w:numId w:val="35"/>
        </w:numPr>
        <w:spacing w:after="0" w:line="240" w:lineRule="auto"/>
      </w:pPr>
      <w:r>
        <w:t>M</w:t>
      </w:r>
      <w:r w:rsidR="008831C3" w:rsidRPr="003E33A4">
        <w:t>embe</w:t>
      </w:r>
      <w:r w:rsidR="008831C3">
        <w:t>r</w:t>
      </w:r>
      <w:r w:rsidR="003E33A4" w:rsidRPr="003E33A4">
        <w:t xml:space="preserve"> of the Order of Australia</w:t>
      </w:r>
      <w:r>
        <w:t xml:space="preserve"> </w:t>
      </w:r>
      <w:r w:rsidR="003E33A4" w:rsidRPr="003E33A4">
        <w:t>in 2013.</w:t>
      </w:r>
    </w:p>
    <w:p w14:paraId="3163C28A" w14:textId="68FD512B" w:rsidR="003E33A4" w:rsidRDefault="003E33A4" w:rsidP="00D82A75">
      <w:pPr>
        <w:spacing w:after="0" w:line="240" w:lineRule="auto"/>
      </w:pPr>
      <w:r w:rsidRPr="003E33A4">
        <w:t xml:space="preserve">Until 2019, Professor Ward was co-Chair for Global Genomics Medicine Collaborative, hosted by the Institute of Medicine of the National Academies in Washington. She has been a member of the Australian Academy of Health and Medical Sciences since its inception in </w:t>
      </w:r>
      <w:r w:rsidR="001F4A18" w:rsidRPr="003E33A4">
        <w:t>2013</w:t>
      </w:r>
      <w:r w:rsidR="00C53061">
        <w:t>,</w:t>
      </w:r>
      <w:r w:rsidR="001F4A18" w:rsidRPr="003E33A4">
        <w:t xml:space="preserve"> </w:t>
      </w:r>
      <w:r w:rsidR="00C53061">
        <w:t>serving</w:t>
      </w:r>
      <w:r w:rsidRPr="003E33A4">
        <w:t xml:space="preserve"> on its Board and Council. Professor Ward has extensive experience in health technology assessment through her role as Chair of MSAC since 2009.</w:t>
      </w:r>
    </w:p>
    <w:p w14:paraId="5DC58A73" w14:textId="66365C0D" w:rsidR="00DB113A" w:rsidRPr="00997465" w:rsidRDefault="00DB113A" w:rsidP="00DB113A">
      <w:pPr>
        <w:pStyle w:val="Heading3"/>
      </w:pPr>
      <w:r>
        <w:lastRenderedPageBreak/>
        <w:t>MSAC appointments</w:t>
      </w:r>
    </w:p>
    <w:p w14:paraId="06106190" w14:textId="7F010670" w:rsidR="00DB113A" w:rsidRPr="00DB113A" w:rsidRDefault="00DB113A" w:rsidP="00076B04">
      <w:pPr>
        <w:pStyle w:val="Heading4"/>
      </w:pPr>
      <w:r w:rsidRPr="00DB113A">
        <w:t>Professor Jonathan Craig</w:t>
      </w:r>
    </w:p>
    <w:p w14:paraId="666202EA" w14:textId="79C6B107" w:rsidR="003E33A4" w:rsidRDefault="001867E6" w:rsidP="00D82A75">
      <w:r w:rsidRPr="00567820">
        <w:t xml:space="preserve">From 1 April 2024, </w:t>
      </w:r>
      <w:r w:rsidR="00C14154">
        <w:t>Professor Jonathan Craig</w:t>
      </w:r>
      <w:r w:rsidRPr="00567820">
        <w:t xml:space="preserve"> will be appointed as the Chair of </w:t>
      </w:r>
      <w:r w:rsidR="009356FB" w:rsidRPr="009356FB">
        <w:t>MSAC</w:t>
      </w:r>
      <w:r w:rsidR="00DB113A">
        <w:t>.</w:t>
      </w:r>
      <w:r w:rsidR="00C14154">
        <w:t xml:space="preserve"> </w:t>
      </w:r>
    </w:p>
    <w:p w14:paraId="6E2D8D88" w14:textId="77777777" w:rsidR="00091139" w:rsidRDefault="005B0D41" w:rsidP="00D82A75">
      <w:pPr>
        <w:spacing w:line="240" w:lineRule="auto"/>
      </w:pPr>
      <w:r w:rsidRPr="005B0D41">
        <w:t xml:space="preserve">Professor Craig </w:t>
      </w:r>
      <w:r w:rsidR="003E33A4" w:rsidRPr="005B0D41">
        <w:t xml:space="preserve">is Vice-President and Executive Dean of the College of Medicine and Public Health at Flinders University. </w:t>
      </w:r>
    </w:p>
    <w:p w14:paraId="7076E869" w14:textId="47B19576" w:rsidR="00DB113A" w:rsidRDefault="00091139" w:rsidP="00D82A75">
      <w:pPr>
        <w:spacing w:line="240" w:lineRule="auto"/>
      </w:pPr>
      <w:r w:rsidRPr="005B0D41">
        <w:t>Professor Craig</w:t>
      </w:r>
      <w:r w:rsidR="003E33A4" w:rsidRPr="005B0D41">
        <w:t xml:space="preserve"> is a paediatric nephrologist</w:t>
      </w:r>
      <w:r w:rsidR="00DB113A">
        <w:t xml:space="preserve"> and </w:t>
      </w:r>
      <w:r w:rsidR="003E33A4" w:rsidRPr="005B0D41">
        <w:t>clinical epidemiologist</w:t>
      </w:r>
      <w:r>
        <w:t>. His research</w:t>
      </w:r>
      <w:r w:rsidR="003E33A4" w:rsidRPr="005B0D41">
        <w:t xml:space="preserve"> </w:t>
      </w:r>
      <w:r w:rsidR="00D87054">
        <w:t xml:space="preserve">has </w:t>
      </w:r>
      <w:r w:rsidR="003E33A4" w:rsidRPr="005B0D41">
        <w:t>focus</w:t>
      </w:r>
      <w:r w:rsidR="00E50144">
        <w:t>ed</w:t>
      </w:r>
      <w:r w:rsidR="003E33A4" w:rsidRPr="005B0D41">
        <w:t xml:space="preserve"> on improving the health of people with chronic kidney disease, children, and the health and well-being of Indigenous people. </w:t>
      </w:r>
    </w:p>
    <w:p w14:paraId="440B27B9" w14:textId="02BFAE6E" w:rsidR="009954F8" w:rsidRDefault="003E33A4" w:rsidP="00D82A75">
      <w:pPr>
        <w:spacing w:line="240" w:lineRule="auto"/>
      </w:pPr>
      <w:r w:rsidRPr="005B0D41">
        <w:t>He has published more than 750 papers, has an h-index of 83, with more than 35,000 citations (Scopus).</w:t>
      </w:r>
      <w:r w:rsidR="005B6EC1" w:rsidRPr="005B6EC1">
        <w:t xml:space="preserve"> </w:t>
      </w:r>
      <w:r w:rsidR="005B6EC1">
        <w:t xml:space="preserve">Professor Craig is also the </w:t>
      </w:r>
      <w:r w:rsidR="005B6EC1" w:rsidRPr="005B0D41">
        <w:t>Coordinating Editor of the Cochrane Kidney and Transplant Group</w:t>
      </w:r>
      <w:r w:rsidR="00D87054">
        <w:t>.</w:t>
      </w:r>
    </w:p>
    <w:p w14:paraId="0EF49475" w14:textId="1EA6270B" w:rsidR="00DB113A" w:rsidRDefault="003E33A4" w:rsidP="00D82A75">
      <w:pPr>
        <w:spacing w:line="240" w:lineRule="auto"/>
      </w:pPr>
      <w:r w:rsidRPr="005B0D41">
        <w:t>Professor Craig’s awards include</w:t>
      </w:r>
      <w:r w:rsidR="005B6EC1">
        <w:t>:</w:t>
      </w:r>
    </w:p>
    <w:p w14:paraId="664BBEB5" w14:textId="77777777" w:rsidR="00DB113A" w:rsidRDefault="003E33A4" w:rsidP="005B6EC1">
      <w:pPr>
        <w:pStyle w:val="ListParagraph"/>
        <w:numPr>
          <w:ilvl w:val="0"/>
          <w:numId w:val="37"/>
        </w:numPr>
        <w:spacing w:line="240" w:lineRule="auto"/>
      </w:pPr>
      <w:r w:rsidRPr="005B0D41">
        <w:t>International Distinguished Medal of the National (US) Kidney Foundation</w:t>
      </w:r>
    </w:p>
    <w:p w14:paraId="001C9644" w14:textId="77777777" w:rsidR="005B6EC1" w:rsidRDefault="003E33A4" w:rsidP="005B6EC1">
      <w:pPr>
        <w:pStyle w:val="ListParagraph"/>
        <w:numPr>
          <w:ilvl w:val="0"/>
          <w:numId w:val="37"/>
        </w:numPr>
        <w:spacing w:line="240" w:lineRule="auto"/>
      </w:pPr>
      <w:r w:rsidRPr="005B0D41">
        <w:t xml:space="preserve">TJ Neale Award for Outstanding Contribution to Nephrological Science. </w:t>
      </w:r>
    </w:p>
    <w:p w14:paraId="3FB872FD" w14:textId="77777777" w:rsidR="005B6EC1" w:rsidRDefault="003E33A4" w:rsidP="005B6EC1">
      <w:pPr>
        <w:spacing w:after="0" w:line="240" w:lineRule="auto"/>
        <w:jc w:val="both"/>
      </w:pPr>
      <w:r w:rsidRPr="005B0D41">
        <w:t>Professor Craig is a member of the</w:t>
      </w:r>
      <w:r w:rsidR="005B6EC1">
        <w:t>:</w:t>
      </w:r>
    </w:p>
    <w:p w14:paraId="6B2D88DC" w14:textId="04655D49" w:rsidR="005B6EC1" w:rsidRDefault="005B6EC1" w:rsidP="005B6EC1">
      <w:pPr>
        <w:pStyle w:val="ListParagraph"/>
        <w:numPr>
          <w:ilvl w:val="0"/>
          <w:numId w:val="38"/>
        </w:numPr>
        <w:spacing w:after="0" w:line="240" w:lineRule="auto"/>
        <w:jc w:val="both"/>
      </w:pPr>
      <w:r w:rsidRPr="005B0D41">
        <w:t>Australian Academy of Health and Medical Science</w:t>
      </w:r>
    </w:p>
    <w:p w14:paraId="57BF94C2" w14:textId="3AD72830" w:rsidR="005B6EC1" w:rsidRDefault="003E33A4" w:rsidP="005B6EC1">
      <w:pPr>
        <w:pStyle w:val="ListParagraph"/>
        <w:numPr>
          <w:ilvl w:val="0"/>
          <w:numId w:val="36"/>
        </w:numPr>
        <w:spacing w:after="0" w:line="240" w:lineRule="auto"/>
        <w:jc w:val="both"/>
      </w:pPr>
      <w:r w:rsidRPr="005B0D41">
        <w:t>National Health and Medical Research Council (NHMRC) Advisory Group on the Synthesis and Translation of Research Evidence</w:t>
      </w:r>
    </w:p>
    <w:p w14:paraId="4BCC2D65" w14:textId="42600184" w:rsidR="005B6EC1" w:rsidRDefault="003E33A4" w:rsidP="005B6EC1">
      <w:pPr>
        <w:pStyle w:val="ListParagraph"/>
        <w:numPr>
          <w:ilvl w:val="0"/>
          <w:numId w:val="36"/>
        </w:numPr>
        <w:spacing w:after="0" w:line="240" w:lineRule="auto"/>
        <w:jc w:val="both"/>
      </w:pPr>
      <w:r w:rsidRPr="005B0D41">
        <w:t>NHMRC Health Translation Advisory Committee</w:t>
      </w:r>
    </w:p>
    <w:p w14:paraId="0C577E85" w14:textId="4C29DFFF" w:rsidR="005B6EC1" w:rsidRDefault="003E33A4" w:rsidP="005B6EC1">
      <w:pPr>
        <w:pStyle w:val="ListParagraph"/>
        <w:numPr>
          <w:ilvl w:val="0"/>
          <w:numId w:val="36"/>
        </w:numPr>
        <w:spacing w:after="0" w:line="240" w:lineRule="auto"/>
        <w:jc w:val="both"/>
      </w:pPr>
      <w:r w:rsidRPr="005B0D41">
        <w:t>PBAC</w:t>
      </w:r>
    </w:p>
    <w:p w14:paraId="305ED8FB" w14:textId="28D11E05" w:rsidR="005B6EC1" w:rsidRDefault="003E33A4" w:rsidP="005B6EC1">
      <w:pPr>
        <w:pStyle w:val="ListParagraph"/>
        <w:numPr>
          <w:ilvl w:val="0"/>
          <w:numId w:val="36"/>
        </w:numPr>
        <w:spacing w:after="0" w:line="240" w:lineRule="auto"/>
        <w:jc w:val="both"/>
      </w:pPr>
      <w:r w:rsidRPr="005B0D41">
        <w:t>MSAC</w:t>
      </w:r>
    </w:p>
    <w:p w14:paraId="213913A6" w14:textId="77777777" w:rsidR="005B6EC1" w:rsidRDefault="003E33A4" w:rsidP="005B6EC1">
      <w:pPr>
        <w:pStyle w:val="ListParagraph"/>
        <w:numPr>
          <w:ilvl w:val="0"/>
          <w:numId w:val="36"/>
        </w:numPr>
        <w:spacing w:after="0" w:line="240" w:lineRule="auto"/>
        <w:jc w:val="both"/>
      </w:pPr>
      <w:r w:rsidRPr="005B0D41">
        <w:t xml:space="preserve">Life Saving Drugs Program Expert Panel. </w:t>
      </w:r>
    </w:p>
    <w:p w14:paraId="22A28A61" w14:textId="75DBF73D" w:rsidR="005B6EC1" w:rsidRDefault="005B6EC1" w:rsidP="005B6EC1">
      <w:pPr>
        <w:spacing w:after="0" w:line="240" w:lineRule="auto"/>
      </w:pPr>
      <w:r>
        <w:t>Professor Craig has also been:</w:t>
      </w:r>
    </w:p>
    <w:p w14:paraId="162037E1" w14:textId="6D7AFF56" w:rsidR="005B6EC1" w:rsidRDefault="005B6EC1" w:rsidP="005B6EC1">
      <w:pPr>
        <w:pStyle w:val="ListParagraph"/>
        <w:numPr>
          <w:ilvl w:val="0"/>
          <w:numId w:val="38"/>
        </w:numPr>
        <w:spacing w:after="0" w:line="240" w:lineRule="auto"/>
        <w:jc w:val="both"/>
      </w:pPr>
      <w:r w:rsidRPr="005B0D41">
        <w:t>President of the Australia-New Zealand Society of Nephrology.</w:t>
      </w:r>
    </w:p>
    <w:p w14:paraId="5A43286D" w14:textId="77777777" w:rsidR="005B6EC1" w:rsidRDefault="003E33A4" w:rsidP="005B6EC1">
      <w:pPr>
        <w:pStyle w:val="ListParagraph"/>
        <w:numPr>
          <w:ilvl w:val="0"/>
          <w:numId w:val="38"/>
        </w:numPr>
        <w:spacing w:after="0" w:line="240" w:lineRule="auto"/>
        <w:jc w:val="both"/>
      </w:pPr>
      <w:r w:rsidRPr="005B0D41">
        <w:t>Chair of the Steering Group of Cochrane</w:t>
      </w:r>
    </w:p>
    <w:p w14:paraId="7610EC0A" w14:textId="77777777" w:rsidR="005B6EC1" w:rsidRDefault="003E33A4" w:rsidP="005B6EC1">
      <w:pPr>
        <w:pStyle w:val="ListParagraph"/>
        <w:numPr>
          <w:ilvl w:val="0"/>
          <w:numId w:val="38"/>
        </w:numPr>
        <w:spacing w:after="0" w:line="240" w:lineRule="auto"/>
        <w:jc w:val="both"/>
      </w:pPr>
      <w:r w:rsidRPr="005B0D41">
        <w:t>member of the Expert Advisory Group for the Structural Review of NHMRC’s Grant Program</w:t>
      </w:r>
    </w:p>
    <w:p w14:paraId="55852EBD" w14:textId="77777777" w:rsidR="005B6EC1" w:rsidRDefault="003E33A4" w:rsidP="005B6EC1">
      <w:pPr>
        <w:pStyle w:val="ListParagraph"/>
        <w:numPr>
          <w:ilvl w:val="0"/>
          <w:numId w:val="38"/>
        </w:numPr>
        <w:spacing w:after="0" w:line="240" w:lineRule="auto"/>
        <w:jc w:val="both"/>
      </w:pPr>
      <w:r w:rsidRPr="005B0D41">
        <w:t>non</w:t>
      </w:r>
      <w:r w:rsidRPr="005B0D41">
        <w:noBreakHyphen/>
        <w:t xml:space="preserve">executive board member of Kidney Health Australia </w:t>
      </w:r>
    </w:p>
    <w:p w14:paraId="0F78F73F" w14:textId="7CD69FBB" w:rsidR="005B6EC1" w:rsidRDefault="005B6EC1" w:rsidP="005B6EC1">
      <w:pPr>
        <w:pStyle w:val="ListParagraph"/>
        <w:numPr>
          <w:ilvl w:val="0"/>
          <w:numId w:val="38"/>
        </w:numPr>
        <w:spacing w:after="0" w:line="240" w:lineRule="auto"/>
        <w:jc w:val="both"/>
      </w:pPr>
      <w:r>
        <w:t>m</w:t>
      </w:r>
      <w:r w:rsidR="003E33A4" w:rsidRPr="005B0D41">
        <w:t>ember of the World Health Organi</w:t>
      </w:r>
      <w:r>
        <w:t>s</w:t>
      </w:r>
      <w:r w:rsidR="003E33A4" w:rsidRPr="005B0D41">
        <w:t xml:space="preserve">ation expert review panel for global strategy and plan of action on public health, </w:t>
      </w:r>
      <w:r w:rsidR="005B0D41" w:rsidRPr="005B0D41">
        <w:t>innovation,</w:t>
      </w:r>
      <w:r w:rsidR="003E33A4" w:rsidRPr="005B0D41">
        <w:t xml:space="preserve"> and intellectual property. </w:t>
      </w:r>
    </w:p>
    <w:p w14:paraId="7470E8CD" w14:textId="77777777" w:rsidR="005B6EC1" w:rsidRPr="005B6EC1" w:rsidRDefault="005B6EC1" w:rsidP="00076B04">
      <w:pPr>
        <w:pStyle w:val="Heading4"/>
      </w:pPr>
      <w:r w:rsidRPr="005B6EC1">
        <w:t xml:space="preserve">Professor Kwun Fong </w:t>
      </w:r>
    </w:p>
    <w:p w14:paraId="27723658" w14:textId="23FB22C0" w:rsidR="00DB113A" w:rsidRPr="005B6EC1" w:rsidRDefault="00DB113A" w:rsidP="00D82A75">
      <w:pPr>
        <w:pStyle w:val="NormalWeb"/>
        <w:spacing w:before="120" w:beforeAutospacing="0" w:after="0" w:afterAutospacing="0"/>
        <w:rPr>
          <w:rFonts w:ascii="Arial" w:hAnsi="Arial"/>
          <w:sz w:val="22"/>
          <w:lang w:eastAsia="en-US"/>
        </w:rPr>
      </w:pPr>
      <w:r w:rsidRPr="005B6EC1">
        <w:rPr>
          <w:rFonts w:ascii="Arial" w:hAnsi="Arial"/>
          <w:sz w:val="22"/>
          <w:lang w:eastAsia="en-US"/>
        </w:rPr>
        <w:t xml:space="preserve">From 1 April 2024, Professor Kwun Fong will be appointed as the Co-Deputy Chair of MSAC. </w:t>
      </w:r>
    </w:p>
    <w:p w14:paraId="157E374C" w14:textId="3F8641F5" w:rsidR="005B0D41" w:rsidRPr="005B0D41" w:rsidRDefault="005B0D41" w:rsidP="00D82A75">
      <w:pPr>
        <w:pStyle w:val="NormalWeb"/>
        <w:spacing w:before="120" w:beforeAutospacing="0" w:after="0" w:afterAutospacing="0"/>
        <w:rPr>
          <w:rFonts w:ascii="Arial" w:hAnsi="Arial"/>
          <w:sz w:val="22"/>
          <w:lang w:eastAsia="en-US"/>
        </w:rPr>
      </w:pPr>
      <w:r w:rsidRPr="005B0D41">
        <w:rPr>
          <w:rFonts w:ascii="Arial" w:hAnsi="Arial"/>
          <w:sz w:val="22"/>
          <w:lang w:eastAsia="en-US"/>
        </w:rPr>
        <w:t xml:space="preserve">Professor Kwun Fong is a </w:t>
      </w:r>
      <w:r w:rsidR="00D87054">
        <w:rPr>
          <w:rFonts w:ascii="Arial" w:hAnsi="Arial"/>
          <w:sz w:val="22"/>
          <w:lang w:eastAsia="en-US"/>
        </w:rPr>
        <w:t>t</w:t>
      </w:r>
      <w:r w:rsidRPr="005B0D41">
        <w:rPr>
          <w:rFonts w:ascii="Arial" w:hAnsi="Arial"/>
          <w:sz w:val="22"/>
          <w:lang w:eastAsia="en-US"/>
        </w:rPr>
        <w:t xml:space="preserve">horacic and </w:t>
      </w:r>
      <w:r w:rsidR="00D87054">
        <w:rPr>
          <w:rFonts w:ascii="Arial" w:hAnsi="Arial"/>
          <w:sz w:val="22"/>
          <w:lang w:eastAsia="en-US"/>
        </w:rPr>
        <w:t>s</w:t>
      </w:r>
      <w:r w:rsidRPr="005B0D41">
        <w:rPr>
          <w:rFonts w:ascii="Arial" w:hAnsi="Arial"/>
          <w:sz w:val="22"/>
          <w:lang w:eastAsia="en-US"/>
        </w:rPr>
        <w:t xml:space="preserve">leep </w:t>
      </w:r>
      <w:r w:rsidR="00D87054">
        <w:rPr>
          <w:rFonts w:ascii="Arial" w:hAnsi="Arial"/>
          <w:sz w:val="22"/>
          <w:lang w:eastAsia="en-US"/>
        </w:rPr>
        <w:t>p</w:t>
      </w:r>
      <w:r w:rsidRPr="005B0D41">
        <w:rPr>
          <w:rFonts w:ascii="Arial" w:hAnsi="Arial"/>
          <w:sz w:val="22"/>
          <w:lang w:eastAsia="en-US"/>
        </w:rPr>
        <w:t>hysician at The Prince Charles Hospital (TPCH)</w:t>
      </w:r>
      <w:r w:rsidR="00DC6DCC">
        <w:rPr>
          <w:rFonts w:ascii="Arial" w:hAnsi="Arial"/>
          <w:sz w:val="22"/>
          <w:lang w:eastAsia="en-US"/>
        </w:rPr>
        <w:t>,</w:t>
      </w:r>
      <w:r w:rsidRPr="005B0D41">
        <w:rPr>
          <w:rFonts w:ascii="Arial" w:hAnsi="Arial"/>
          <w:sz w:val="22"/>
          <w:lang w:eastAsia="en-US"/>
        </w:rPr>
        <w:t xml:space="preserve"> and </w:t>
      </w:r>
      <w:r w:rsidR="008C4B40">
        <w:rPr>
          <w:rFonts w:ascii="Arial" w:hAnsi="Arial"/>
          <w:sz w:val="22"/>
          <w:lang w:eastAsia="en-US"/>
        </w:rPr>
        <w:t>p</w:t>
      </w:r>
      <w:r w:rsidRPr="005B0D41">
        <w:rPr>
          <w:rFonts w:ascii="Arial" w:hAnsi="Arial"/>
          <w:sz w:val="22"/>
          <w:lang w:eastAsia="en-US"/>
        </w:rPr>
        <w:t>rofessor with the University of Queensland (UQ) School of Medicine. He is the Clinical Manager of the Pulmonary Malignancy Unit at TPCH</w:t>
      </w:r>
      <w:r w:rsidR="009A1364">
        <w:rPr>
          <w:rFonts w:ascii="Arial" w:hAnsi="Arial"/>
          <w:sz w:val="22"/>
          <w:lang w:eastAsia="en-US"/>
        </w:rPr>
        <w:t>. Professor Fong is also the</w:t>
      </w:r>
      <w:r w:rsidRPr="005B0D41">
        <w:rPr>
          <w:rFonts w:ascii="Arial" w:hAnsi="Arial"/>
          <w:sz w:val="22"/>
          <w:lang w:eastAsia="en-US"/>
        </w:rPr>
        <w:t xml:space="preserve"> Director of the UQ Thoracic Research Centre</w:t>
      </w:r>
      <w:r w:rsidR="008C4B40">
        <w:rPr>
          <w:rFonts w:ascii="Arial" w:hAnsi="Arial"/>
          <w:sz w:val="22"/>
          <w:lang w:eastAsia="en-US"/>
        </w:rPr>
        <w:t>,</w:t>
      </w:r>
      <w:r w:rsidRPr="005B0D41">
        <w:rPr>
          <w:rFonts w:ascii="Arial" w:hAnsi="Arial"/>
          <w:sz w:val="22"/>
          <w:lang w:eastAsia="en-US"/>
        </w:rPr>
        <w:t xml:space="preserve"> which undertakes molecular, </w:t>
      </w:r>
      <w:r w:rsidR="00140665" w:rsidRPr="005B0D41">
        <w:rPr>
          <w:rFonts w:ascii="Arial" w:hAnsi="Arial"/>
          <w:sz w:val="22"/>
          <w:lang w:eastAsia="en-US"/>
        </w:rPr>
        <w:t>genomic,</w:t>
      </w:r>
      <w:r w:rsidRPr="005B0D41">
        <w:rPr>
          <w:rFonts w:ascii="Arial" w:hAnsi="Arial"/>
          <w:sz w:val="22"/>
          <w:lang w:eastAsia="en-US"/>
        </w:rPr>
        <w:t xml:space="preserve"> and translational research in lung diseases.</w:t>
      </w:r>
    </w:p>
    <w:p w14:paraId="1D78CCF8" w14:textId="1C9D296D" w:rsidR="005B0D41" w:rsidRDefault="005B0D41" w:rsidP="00D82A75">
      <w:pPr>
        <w:pStyle w:val="NormalWeb"/>
        <w:spacing w:before="120" w:beforeAutospacing="0" w:after="0" w:afterAutospacing="0"/>
      </w:pPr>
      <w:r w:rsidRPr="005B0D41">
        <w:rPr>
          <w:rFonts w:ascii="Arial" w:hAnsi="Arial"/>
          <w:sz w:val="22"/>
        </w:rPr>
        <w:t>He was inaugural Chair of the Australasian Lung Cancer Trials Group and serves as Chair of the Australian Lung Foundation's Lung Cancer Consultative Group, Co-Editor of the Cochrane Lung Cancer Review Group and is a Co-Deputy Editor for the Journal of Thoracic Diseases.</w:t>
      </w:r>
    </w:p>
    <w:p w14:paraId="56836E87" w14:textId="1A070146" w:rsidR="005B0D41" w:rsidRDefault="005B0D41" w:rsidP="00D82A75">
      <w:pPr>
        <w:spacing w:after="0" w:line="240" w:lineRule="auto"/>
      </w:pPr>
      <w:r w:rsidRPr="005B0D41">
        <w:lastRenderedPageBreak/>
        <w:t>Prof</w:t>
      </w:r>
      <w:r w:rsidR="009954F8">
        <w:t>e</w:t>
      </w:r>
      <w:r w:rsidRPr="005B0D41">
        <w:t>ssor Fong is an internationally respected clinician and researcher in thoracic and sleep medicine</w:t>
      </w:r>
      <w:r w:rsidR="00E50194">
        <w:t>. Hi</w:t>
      </w:r>
      <w:r w:rsidRPr="005B0D41">
        <w:t xml:space="preserve">s skills in lung disease </w:t>
      </w:r>
      <w:r w:rsidR="005314AE" w:rsidRPr="005B0D41">
        <w:t>are</w:t>
      </w:r>
      <w:r w:rsidRPr="005B0D41">
        <w:t xml:space="preserve"> important given the number of co-dependent applications to MSAC and PBAC, particularly for non</w:t>
      </w:r>
      <w:r w:rsidRPr="005B0D41">
        <w:noBreakHyphen/>
        <w:t xml:space="preserve">small cell lung cancer. </w:t>
      </w:r>
    </w:p>
    <w:p w14:paraId="0B34245C" w14:textId="35B941E2" w:rsidR="005B0D41" w:rsidRDefault="005B0D41" w:rsidP="00D82A75">
      <w:pPr>
        <w:pStyle w:val="NormalWeb"/>
        <w:shd w:val="clear" w:color="auto" w:fill="FFFFFF"/>
        <w:spacing w:before="120" w:beforeAutospacing="0" w:after="150" w:afterAutospacing="0"/>
        <w:rPr>
          <w:rFonts w:ascii="Arial" w:hAnsi="Arial"/>
          <w:sz w:val="22"/>
          <w:lang w:eastAsia="en-US"/>
        </w:rPr>
      </w:pPr>
      <w:r w:rsidRPr="005B0D41">
        <w:rPr>
          <w:rFonts w:ascii="Arial" w:hAnsi="Arial"/>
          <w:sz w:val="22"/>
          <w:lang w:eastAsia="en-US"/>
        </w:rPr>
        <w:t>Professor Fong is the Chair of the MSAC’s Evaluation Sub-Committee (ESC</w:t>
      </w:r>
      <w:r w:rsidR="005B6EC1">
        <w:rPr>
          <w:rFonts w:ascii="Arial" w:hAnsi="Arial"/>
          <w:sz w:val="22"/>
          <w:lang w:eastAsia="en-US"/>
        </w:rPr>
        <w:t>) and</w:t>
      </w:r>
      <w:r w:rsidR="002C6F2C">
        <w:rPr>
          <w:rFonts w:ascii="Arial" w:hAnsi="Arial"/>
          <w:sz w:val="22"/>
          <w:lang w:eastAsia="en-US"/>
        </w:rPr>
        <w:t xml:space="preserve"> has served on the </w:t>
      </w:r>
      <w:r w:rsidRPr="005B0D41">
        <w:rPr>
          <w:rFonts w:ascii="Arial" w:hAnsi="Arial"/>
          <w:sz w:val="22"/>
          <w:lang w:eastAsia="en-US"/>
        </w:rPr>
        <w:t xml:space="preserve">MSAC ESC since 2015. </w:t>
      </w:r>
    </w:p>
    <w:p w14:paraId="5926DCDD" w14:textId="4C08B9A2" w:rsidR="005B6EC1" w:rsidRPr="005B6EC1" w:rsidRDefault="005B6EC1" w:rsidP="00076B04">
      <w:pPr>
        <w:pStyle w:val="Heading4"/>
      </w:pPr>
      <w:r w:rsidRPr="005B6EC1">
        <w:t>Associate Professor Sarah Norris</w:t>
      </w:r>
    </w:p>
    <w:p w14:paraId="68656F53" w14:textId="77777777" w:rsidR="005B6EC1" w:rsidRDefault="00CC7F24" w:rsidP="00D82A75">
      <w:pPr>
        <w:pStyle w:val="NormalWeb"/>
        <w:shd w:val="clear" w:color="auto" w:fill="FFFFFF"/>
        <w:spacing w:before="120" w:beforeAutospacing="0" w:after="150" w:afterAutospacing="0"/>
        <w:rPr>
          <w:rFonts w:ascii="Arial" w:hAnsi="Arial"/>
          <w:sz w:val="22"/>
          <w:lang w:eastAsia="en-US"/>
        </w:rPr>
      </w:pPr>
      <w:r w:rsidRPr="005B0D41">
        <w:rPr>
          <w:rFonts w:ascii="Arial" w:hAnsi="Arial"/>
          <w:sz w:val="22"/>
          <w:lang w:eastAsia="en-US"/>
        </w:rPr>
        <w:t>From 1 July 2024,</w:t>
      </w:r>
      <w:r w:rsidR="005B0D41" w:rsidRPr="005B0D41">
        <w:rPr>
          <w:rFonts w:ascii="Arial" w:hAnsi="Arial"/>
          <w:sz w:val="22"/>
          <w:lang w:eastAsia="en-US"/>
        </w:rPr>
        <w:t xml:space="preserve"> Associate Professor Sarah Norris will be </w:t>
      </w:r>
      <w:r w:rsidRPr="005B0D41">
        <w:rPr>
          <w:rFonts w:ascii="Arial" w:hAnsi="Arial"/>
          <w:sz w:val="22"/>
          <w:lang w:eastAsia="en-US"/>
        </w:rPr>
        <w:t>appointed as the Co-Deputy Chair of MSAC.</w:t>
      </w:r>
      <w:r w:rsidR="005B0D41" w:rsidRPr="005B0D41">
        <w:rPr>
          <w:rFonts w:ascii="Arial" w:hAnsi="Arial"/>
          <w:sz w:val="22"/>
          <w:lang w:eastAsia="en-US"/>
        </w:rPr>
        <w:t xml:space="preserve"> </w:t>
      </w:r>
    </w:p>
    <w:p w14:paraId="6CBD6D78" w14:textId="13830E3A" w:rsidR="005B0D41" w:rsidRPr="005B0D41" w:rsidRDefault="005B0D41" w:rsidP="00D82A75">
      <w:pPr>
        <w:pStyle w:val="NormalWeb"/>
        <w:shd w:val="clear" w:color="auto" w:fill="FFFFFF"/>
        <w:spacing w:before="120" w:beforeAutospacing="0" w:after="150" w:afterAutospacing="0"/>
        <w:rPr>
          <w:rFonts w:ascii="Arial" w:hAnsi="Arial"/>
          <w:sz w:val="22"/>
          <w:lang w:eastAsia="en-US"/>
        </w:rPr>
      </w:pPr>
      <w:r w:rsidRPr="005B0D41">
        <w:rPr>
          <w:rFonts w:ascii="Arial" w:hAnsi="Arial"/>
          <w:sz w:val="22"/>
          <w:lang w:eastAsia="en-US"/>
        </w:rPr>
        <w:t>Associate Professor Sarah Norris is a graduate of the Australian Institute of Company Directors</w:t>
      </w:r>
      <w:r w:rsidR="00852A36">
        <w:rPr>
          <w:rFonts w:ascii="Arial" w:hAnsi="Arial"/>
          <w:sz w:val="22"/>
          <w:lang w:eastAsia="en-US"/>
        </w:rPr>
        <w:t>. She ha</w:t>
      </w:r>
      <w:r w:rsidRPr="005B0D41">
        <w:rPr>
          <w:rFonts w:ascii="Arial" w:hAnsi="Arial"/>
          <w:sz w:val="22"/>
          <w:lang w:eastAsia="en-US"/>
        </w:rPr>
        <w:t xml:space="preserve">s more than 23 years’ experience in medical research and </w:t>
      </w:r>
      <w:r w:rsidR="006F3B9C">
        <w:rPr>
          <w:rFonts w:ascii="Arial" w:hAnsi="Arial"/>
          <w:sz w:val="22"/>
          <w:lang w:eastAsia="en-US"/>
        </w:rPr>
        <w:t>health technology assessments</w:t>
      </w:r>
      <w:r w:rsidRPr="005B0D41">
        <w:rPr>
          <w:rFonts w:ascii="Arial" w:hAnsi="Arial"/>
          <w:sz w:val="22"/>
          <w:lang w:eastAsia="en-US"/>
        </w:rPr>
        <w:t xml:space="preserve">. </w:t>
      </w:r>
    </w:p>
    <w:p w14:paraId="7A3A802F" w14:textId="0445DDAB" w:rsidR="005B6EC1" w:rsidRDefault="005B0D41" w:rsidP="006F3B9C">
      <w:pPr>
        <w:spacing w:after="0" w:line="240" w:lineRule="auto"/>
        <w:jc w:val="both"/>
      </w:pPr>
      <w:r w:rsidRPr="005B0D41">
        <w:t>Associate Professor Norris holds</w:t>
      </w:r>
      <w:r w:rsidR="00A67AD3">
        <w:t xml:space="preserve"> a:</w:t>
      </w:r>
    </w:p>
    <w:p w14:paraId="78EA6459" w14:textId="0ECA9D54" w:rsidR="005B6EC1" w:rsidRDefault="005B0D41" w:rsidP="006F3B9C">
      <w:pPr>
        <w:pStyle w:val="ListParagraph"/>
        <w:numPr>
          <w:ilvl w:val="0"/>
          <w:numId w:val="38"/>
        </w:numPr>
        <w:spacing w:after="0" w:line="240" w:lineRule="auto"/>
        <w:jc w:val="both"/>
      </w:pPr>
      <w:r w:rsidRPr="005B0D41">
        <w:t>B</w:t>
      </w:r>
      <w:r w:rsidR="005B6EC1">
        <w:t xml:space="preserve">achelor of Science </w:t>
      </w:r>
      <w:r w:rsidRPr="005B0D41">
        <w:t>(Hon</w:t>
      </w:r>
      <w:r w:rsidR="005B6EC1">
        <w:t>ours</w:t>
      </w:r>
      <w:r w:rsidRPr="005B0D41">
        <w:t>) in physiology from Victoria University, New Zealand</w:t>
      </w:r>
    </w:p>
    <w:p w14:paraId="7E0797DF" w14:textId="6F30D0B4" w:rsidR="005B6EC1" w:rsidRDefault="004C52AF" w:rsidP="006F3B9C">
      <w:pPr>
        <w:pStyle w:val="ListParagraph"/>
        <w:numPr>
          <w:ilvl w:val="0"/>
          <w:numId w:val="38"/>
        </w:numPr>
        <w:spacing w:after="0" w:line="240" w:lineRule="auto"/>
        <w:jc w:val="both"/>
      </w:pPr>
      <w:r w:rsidRPr="004C52AF">
        <w:t xml:space="preserve">PhD </w:t>
      </w:r>
      <w:r w:rsidR="00A67AD3" w:rsidRPr="00A67AD3">
        <w:t xml:space="preserve">in Pharmacology </w:t>
      </w:r>
      <w:r w:rsidR="005B0D41" w:rsidRPr="005B0D41">
        <w:t>from Cambridge University, UK</w:t>
      </w:r>
    </w:p>
    <w:p w14:paraId="67AFB6CA" w14:textId="6E7BF5F2" w:rsidR="006F3B9C" w:rsidRDefault="005B0D41" w:rsidP="006F3B9C">
      <w:pPr>
        <w:pStyle w:val="ListParagraph"/>
        <w:numPr>
          <w:ilvl w:val="0"/>
          <w:numId w:val="38"/>
        </w:numPr>
        <w:shd w:val="clear" w:color="auto" w:fill="FFFFFF"/>
        <w:spacing w:after="150" w:line="240" w:lineRule="auto"/>
        <w:jc w:val="both"/>
      </w:pPr>
      <w:r w:rsidRPr="006F3B9C">
        <w:t xml:space="preserve">Certificate in Health Economics from Monash University, Australia. </w:t>
      </w:r>
    </w:p>
    <w:p w14:paraId="3A74C5E7" w14:textId="31536753" w:rsidR="00A67AD3" w:rsidRPr="006F3B9C" w:rsidRDefault="00A67AD3" w:rsidP="006F3B9C">
      <w:pPr>
        <w:shd w:val="clear" w:color="auto" w:fill="FFFFFF"/>
        <w:spacing w:after="150" w:line="240" w:lineRule="auto"/>
        <w:jc w:val="both"/>
      </w:pPr>
      <w:r w:rsidRPr="006F3B9C">
        <w:t xml:space="preserve">Associate Professor Sarah Norris </w:t>
      </w:r>
      <w:r w:rsidR="005B0D41" w:rsidRPr="006F3B9C">
        <w:t xml:space="preserve">was the founding Director of Health Technology Analysts Pty Ltd and a Director of the Health Services Assessment Collaboration. </w:t>
      </w:r>
    </w:p>
    <w:p w14:paraId="3A1D8942" w14:textId="0BE8BEF4" w:rsidR="005B0D41" w:rsidRPr="00A67AD3" w:rsidRDefault="005B0D41" w:rsidP="00A67AD3">
      <w:pPr>
        <w:pStyle w:val="NormalWeb"/>
        <w:shd w:val="clear" w:color="auto" w:fill="FFFFFF"/>
        <w:spacing w:before="120" w:beforeAutospacing="0" w:after="150" w:afterAutospacing="0"/>
        <w:rPr>
          <w:rFonts w:ascii="Arial" w:hAnsi="Arial"/>
          <w:sz w:val="22"/>
          <w:lang w:eastAsia="en-US"/>
        </w:rPr>
      </w:pPr>
      <w:r w:rsidRPr="00A67AD3">
        <w:rPr>
          <w:rFonts w:ascii="Arial" w:hAnsi="Arial"/>
          <w:sz w:val="22"/>
          <w:lang w:eastAsia="en-US"/>
        </w:rPr>
        <w:t>She has been involved with more than 200 assessments in Australia and New Zealand</w:t>
      </w:r>
      <w:r w:rsidR="00076B04">
        <w:rPr>
          <w:rFonts w:ascii="Arial" w:hAnsi="Arial"/>
          <w:sz w:val="22"/>
          <w:lang w:eastAsia="en-US"/>
        </w:rPr>
        <w:t xml:space="preserve">, </w:t>
      </w:r>
      <w:r w:rsidRPr="00A67AD3">
        <w:rPr>
          <w:rFonts w:ascii="Arial" w:hAnsi="Arial"/>
          <w:sz w:val="22"/>
          <w:lang w:eastAsia="en-US"/>
        </w:rPr>
        <w:t xml:space="preserve">across a range pharmaceuticals, vaccines, medical devices, diagnostic </w:t>
      </w:r>
      <w:r w:rsidR="005B6EC1" w:rsidRPr="00A67AD3">
        <w:rPr>
          <w:rFonts w:ascii="Arial" w:hAnsi="Arial"/>
          <w:sz w:val="22"/>
          <w:lang w:eastAsia="en-US"/>
        </w:rPr>
        <w:t>tests,</w:t>
      </w:r>
      <w:r w:rsidRPr="00A67AD3">
        <w:rPr>
          <w:rFonts w:ascii="Arial" w:hAnsi="Arial"/>
          <w:sz w:val="22"/>
          <w:lang w:eastAsia="en-US"/>
        </w:rPr>
        <w:t xml:space="preserve"> and public health programs. </w:t>
      </w:r>
    </w:p>
    <w:p w14:paraId="1A277BC6" w14:textId="2CD8F32E" w:rsidR="005B0D41" w:rsidRPr="005B0D41" w:rsidRDefault="005B0D41" w:rsidP="00D82A75">
      <w:pPr>
        <w:pStyle w:val="NormalWeb"/>
        <w:shd w:val="clear" w:color="auto" w:fill="FFFFFF"/>
        <w:spacing w:before="120" w:beforeAutospacing="0" w:after="150" w:afterAutospacing="0"/>
        <w:rPr>
          <w:rFonts w:ascii="Arial" w:hAnsi="Arial"/>
          <w:sz w:val="22"/>
          <w:lang w:eastAsia="en-US"/>
        </w:rPr>
      </w:pPr>
      <w:r w:rsidRPr="005B0D41">
        <w:rPr>
          <w:rFonts w:ascii="Arial" w:hAnsi="Arial"/>
          <w:sz w:val="22"/>
          <w:lang w:eastAsia="en-US"/>
        </w:rPr>
        <w:t xml:space="preserve">Associate Professor Norris is experienced in the development of NHMRC evidence-based treatment guidelines for </w:t>
      </w:r>
      <w:r w:rsidR="005B6EC1" w:rsidRPr="005B0D41">
        <w:rPr>
          <w:rFonts w:ascii="Arial" w:hAnsi="Arial"/>
          <w:sz w:val="22"/>
          <w:lang w:eastAsia="en-US"/>
        </w:rPr>
        <w:t>several</w:t>
      </w:r>
      <w:r w:rsidRPr="005B0D41">
        <w:rPr>
          <w:rFonts w:ascii="Arial" w:hAnsi="Arial"/>
          <w:sz w:val="22"/>
          <w:lang w:eastAsia="en-US"/>
        </w:rPr>
        <w:t xml:space="preserve"> peak health organisations.</w:t>
      </w:r>
    </w:p>
    <w:p w14:paraId="77C429C0" w14:textId="3977E485" w:rsidR="005B0D41" w:rsidRDefault="005B0D41" w:rsidP="00D82A75">
      <w:pPr>
        <w:pStyle w:val="NormalWeb"/>
        <w:shd w:val="clear" w:color="auto" w:fill="FFFFFF"/>
        <w:spacing w:before="120" w:beforeAutospacing="0" w:after="150" w:afterAutospacing="0"/>
        <w:rPr>
          <w:rFonts w:ascii="Arial" w:hAnsi="Arial"/>
          <w:sz w:val="22"/>
          <w:lang w:eastAsia="en-US"/>
        </w:rPr>
      </w:pPr>
      <w:r w:rsidRPr="005B0D41">
        <w:rPr>
          <w:rFonts w:ascii="Arial" w:hAnsi="Arial"/>
          <w:sz w:val="22"/>
          <w:lang w:eastAsia="en-US"/>
        </w:rPr>
        <w:t xml:space="preserve">Associate Professor Norris is a current member of </w:t>
      </w:r>
      <w:r w:rsidR="00140665" w:rsidRPr="005B0D41">
        <w:rPr>
          <w:rFonts w:ascii="Arial" w:hAnsi="Arial"/>
          <w:sz w:val="22"/>
          <w:lang w:eastAsia="en-US"/>
        </w:rPr>
        <w:t>MSAC,</w:t>
      </w:r>
      <w:r w:rsidRPr="005B0D41">
        <w:rPr>
          <w:rFonts w:ascii="Arial" w:hAnsi="Arial"/>
          <w:sz w:val="22"/>
          <w:lang w:eastAsia="en-US"/>
        </w:rPr>
        <w:t xml:space="preserve"> and she is also the current Deputy Chair of MSAC </w:t>
      </w:r>
      <w:r w:rsidR="00140665" w:rsidRPr="005B0D41">
        <w:rPr>
          <w:rFonts w:ascii="Arial" w:hAnsi="Arial"/>
          <w:sz w:val="22"/>
          <w:lang w:eastAsia="en-US"/>
        </w:rPr>
        <w:t>Evaluation Sub-Committee</w:t>
      </w:r>
      <w:r w:rsidR="00140665">
        <w:rPr>
          <w:rFonts w:ascii="Arial" w:hAnsi="Arial"/>
          <w:sz w:val="22"/>
          <w:lang w:eastAsia="en-US"/>
        </w:rPr>
        <w:t xml:space="preserve"> (ESC)</w:t>
      </w:r>
      <w:r w:rsidR="00A67AD3">
        <w:rPr>
          <w:rFonts w:ascii="Arial" w:hAnsi="Arial"/>
          <w:sz w:val="22"/>
          <w:lang w:eastAsia="en-US"/>
        </w:rPr>
        <w:t>,</w:t>
      </w:r>
      <w:r w:rsidRPr="005B0D41">
        <w:rPr>
          <w:rFonts w:ascii="Arial" w:hAnsi="Arial"/>
          <w:sz w:val="22"/>
          <w:lang w:eastAsia="en-US"/>
        </w:rPr>
        <w:t xml:space="preserve"> with membership due to expire 31 March 2024. Associate Professor Norris has served on MSAC since 2018 and MSAC ESC since 2013.</w:t>
      </w:r>
    </w:p>
    <w:p w14:paraId="119456B6" w14:textId="7F2DFAC2" w:rsidR="00A67AD3" w:rsidRPr="00997465" w:rsidRDefault="00AF5106" w:rsidP="009F32BF">
      <w:pPr>
        <w:pStyle w:val="Heading1"/>
      </w:pPr>
      <w:r>
        <w:t>Outgoing c</w:t>
      </w:r>
      <w:r w:rsidR="00A67AD3">
        <w:t>ommittee</w:t>
      </w:r>
      <w:r>
        <w:t xml:space="preserve"> members</w:t>
      </w:r>
      <w:r w:rsidR="00A67AD3">
        <w:t xml:space="preserve"> </w:t>
      </w:r>
    </w:p>
    <w:p w14:paraId="37293765" w14:textId="2925814F" w:rsidR="001867E6" w:rsidRPr="00567820" w:rsidRDefault="001867E6" w:rsidP="00567820">
      <w:r w:rsidRPr="00567820">
        <w:t>Thank you to outgoing PBAC and MSAC committee members for their leadership, including:</w:t>
      </w:r>
    </w:p>
    <w:p w14:paraId="4B74A8EB" w14:textId="07FE2BFB" w:rsidR="002F49A2" w:rsidRDefault="00B27F46" w:rsidP="002F49A2">
      <w:pPr>
        <w:pStyle w:val="ListNumber2"/>
      </w:pPr>
      <w:r w:rsidRPr="002F49A2">
        <w:t xml:space="preserve">PBAC </w:t>
      </w:r>
      <w:r>
        <w:t>C</w:t>
      </w:r>
      <w:r w:rsidRPr="002F49A2">
        <w:t xml:space="preserve">hair </w:t>
      </w:r>
      <w:r w:rsidR="001867E6" w:rsidRPr="002F49A2">
        <w:t>Professor Andrew Wilson</w:t>
      </w:r>
      <w:r w:rsidR="008D5CAE">
        <w:t xml:space="preserve"> (</w:t>
      </w:r>
      <w:r>
        <w:t>retir</w:t>
      </w:r>
      <w:r w:rsidR="00364156">
        <w:t>ing</w:t>
      </w:r>
      <w:r>
        <w:t xml:space="preserve"> </w:t>
      </w:r>
      <w:r w:rsidR="003E547E">
        <w:t xml:space="preserve">from the role </w:t>
      </w:r>
      <w:r w:rsidR="001867E6" w:rsidRPr="002F49A2">
        <w:t>in May 202</w:t>
      </w:r>
      <w:r w:rsidR="002F49A2">
        <w:t>4</w:t>
      </w:r>
      <w:r w:rsidR="008D5CAE">
        <w:t>)</w:t>
      </w:r>
    </w:p>
    <w:p w14:paraId="6165F12E" w14:textId="58C60AA5" w:rsidR="001867E6" w:rsidRPr="002F49A2" w:rsidRDefault="00B27F46" w:rsidP="002F49A2">
      <w:pPr>
        <w:pStyle w:val="ListNumber2"/>
      </w:pPr>
      <w:r>
        <w:rPr>
          <w:rFonts w:cs="Arial"/>
        </w:rPr>
        <w:t xml:space="preserve">MSAC Chair </w:t>
      </w:r>
      <w:r w:rsidR="001867E6" w:rsidRPr="002F49A2">
        <w:rPr>
          <w:rFonts w:cs="Arial"/>
        </w:rPr>
        <w:t>Professor Robyn Ward</w:t>
      </w:r>
      <w:r w:rsidR="008D5CAE">
        <w:rPr>
          <w:rFonts w:cs="Arial"/>
        </w:rPr>
        <w:t xml:space="preserve"> (</w:t>
      </w:r>
      <w:r w:rsidR="008D3344">
        <w:t>outgoing</w:t>
      </w:r>
      <w:r w:rsidR="00364156">
        <w:t xml:space="preserve"> </w:t>
      </w:r>
      <w:r w:rsidR="003E547E">
        <w:t xml:space="preserve">from the role </w:t>
      </w:r>
      <w:r w:rsidR="003E547E" w:rsidRPr="002F49A2">
        <w:t xml:space="preserve">in </w:t>
      </w:r>
      <w:r w:rsidR="001867E6" w:rsidRPr="002F49A2">
        <w:rPr>
          <w:rFonts w:cs="Arial"/>
        </w:rPr>
        <w:t>in March 2024</w:t>
      </w:r>
      <w:r w:rsidR="008D5CAE">
        <w:rPr>
          <w:rFonts w:cs="Arial"/>
        </w:rPr>
        <w:t>)</w:t>
      </w:r>
    </w:p>
    <w:p w14:paraId="6EDE4940" w14:textId="33C45AC0" w:rsidR="001867E6" w:rsidRPr="002F49A2" w:rsidRDefault="003E547E" w:rsidP="002F49A2">
      <w:pPr>
        <w:pStyle w:val="ListNumber2"/>
        <w:rPr>
          <w:rFonts w:cs="Arial"/>
        </w:rPr>
      </w:pPr>
      <w:r>
        <w:rPr>
          <w:rFonts w:cs="Arial"/>
        </w:rPr>
        <w:t xml:space="preserve">MSAC Deputy Chair </w:t>
      </w:r>
      <w:r w:rsidR="001867E6" w:rsidRPr="002F49A2">
        <w:rPr>
          <w:rFonts w:cs="Arial"/>
        </w:rPr>
        <w:t>Professor Timothy Davis</w:t>
      </w:r>
      <w:r w:rsidR="008D5CAE">
        <w:t xml:space="preserve"> (</w:t>
      </w:r>
      <w:r w:rsidR="008D3344">
        <w:t>outgoing</w:t>
      </w:r>
      <w:r w:rsidR="00364156">
        <w:t xml:space="preserve"> </w:t>
      </w:r>
      <w:r>
        <w:t xml:space="preserve">from the role </w:t>
      </w:r>
      <w:r w:rsidR="001867E6" w:rsidRPr="002F49A2">
        <w:rPr>
          <w:rFonts w:cs="Arial"/>
        </w:rPr>
        <w:t>in June 2024</w:t>
      </w:r>
      <w:r w:rsidR="008D5CAE">
        <w:rPr>
          <w:rFonts w:cs="Arial"/>
        </w:rPr>
        <w:t>)</w:t>
      </w:r>
      <w:r w:rsidR="001867E6" w:rsidRPr="002F49A2">
        <w:rPr>
          <w:rFonts w:cs="Arial"/>
        </w:rPr>
        <w:t xml:space="preserve">. </w:t>
      </w:r>
    </w:p>
    <w:p w14:paraId="14228A1C" w14:textId="5DB4EDC2" w:rsidR="001867E6" w:rsidRPr="002F49A2" w:rsidRDefault="00B32615" w:rsidP="002F49A2">
      <w:pPr>
        <w:pStyle w:val="Heading1"/>
      </w:pPr>
      <w:r>
        <w:t>More</w:t>
      </w:r>
      <w:r w:rsidR="002F49A2" w:rsidRPr="002F49A2">
        <w:t xml:space="preserve"> information </w:t>
      </w:r>
    </w:p>
    <w:p w14:paraId="328BAF7B" w14:textId="1B74A5DD" w:rsidR="002F49A2" w:rsidRPr="009F32BF" w:rsidRDefault="00B32615" w:rsidP="00567820">
      <w:pPr>
        <w:pStyle w:val="Tablelistbullet"/>
        <w:rPr>
          <w:sz w:val="22"/>
          <w:szCs w:val="22"/>
        </w:rPr>
      </w:pPr>
      <w:r w:rsidRPr="009F32BF">
        <w:rPr>
          <w:sz w:val="22"/>
          <w:szCs w:val="22"/>
        </w:rPr>
        <w:t>More</w:t>
      </w:r>
      <w:r w:rsidR="000273FD" w:rsidRPr="009F32BF">
        <w:rPr>
          <w:sz w:val="22"/>
          <w:szCs w:val="22"/>
        </w:rPr>
        <w:t xml:space="preserve"> information about the</w:t>
      </w:r>
      <w:r w:rsidR="002F49A2" w:rsidRPr="009F32BF">
        <w:rPr>
          <w:sz w:val="22"/>
          <w:szCs w:val="22"/>
        </w:rPr>
        <w:t xml:space="preserve"> Pharmaceutical Benefits Advisory Committee (PBAC)</w:t>
      </w:r>
      <w:r w:rsidR="000273FD" w:rsidRPr="009F32BF">
        <w:rPr>
          <w:sz w:val="22"/>
          <w:szCs w:val="22"/>
        </w:rPr>
        <w:t xml:space="preserve"> is available on the </w:t>
      </w:r>
      <w:hyperlink r:id="rId13" w:history="1">
        <w:r w:rsidR="002F49A2" w:rsidRPr="009F32BF">
          <w:rPr>
            <w:rStyle w:val="Hyperlink"/>
            <w:sz w:val="22"/>
            <w:szCs w:val="22"/>
          </w:rPr>
          <w:t>Pharmaceutical Benefits Scheme website</w:t>
        </w:r>
      </w:hyperlink>
      <w:r w:rsidR="002F49A2" w:rsidRPr="009F32BF">
        <w:rPr>
          <w:sz w:val="22"/>
          <w:szCs w:val="22"/>
        </w:rPr>
        <w:t>.</w:t>
      </w:r>
    </w:p>
    <w:p w14:paraId="33D7C412" w14:textId="3699B1B1" w:rsidR="002F49A2" w:rsidRPr="009F32BF" w:rsidRDefault="00B32615" w:rsidP="00567820">
      <w:pPr>
        <w:pStyle w:val="Tablelistbullet"/>
        <w:rPr>
          <w:sz w:val="22"/>
          <w:szCs w:val="22"/>
        </w:rPr>
      </w:pPr>
      <w:r w:rsidRPr="009F32BF">
        <w:rPr>
          <w:sz w:val="22"/>
          <w:szCs w:val="22"/>
        </w:rPr>
        <w:t>More</w:t>
      </w:r>
      <w:r w:rsidR="002F49A2" w:rsidRPr="009F32BF">
        <w:rPr>
          <w:sz w:val="22"/>
          <w:szCs w:val="22"/>
        </w:rPr>
        <w:t xml:space="preserve"> information </w:t>
      </w:r>
      <w:r w:rsidR="000273FD" w:rsidRPr="009F32BF">
        <w:rPr>
          <w:sz w:val="22"/>
          <w:szCs w:val="22"/>
        </w:rPr>
        <w:t>about</w:t>
      </w:r>
      <w:r w:rsidR="002F49A2" w:rsidRPr="009F32BF">
        <w:rPr>
          <w:sz w:val="22"/>
          <w:szCs w:val="22"/>
        </w:rPr>
        <w:t xml:space="preserve"> the Medical Services Advisory Committee (MSAC), </w:t>
      </w:r>
      <w:r w:rsidR="000273FD" w:rsidRPr="009F32BF">
        <w:rPr>
          <w:sz w:val="22"/>
          <w:szCs w:val="22"/>
        </w:rPr>
        <w:t>is available on the</w:t>
      </w:r>
      <w:r w:rsidR="002F49A2" w:rsidRPr="009F32BF">
        <w:rPr>
          <w:sz w:val="22"/>
          <w:szCs w:val="22"/>
        </w:rPr>
        <w:t xml:space="preserve"> </w:t>
      </w:r>
      <w:hyperlink r:id="rId14" w:history="1">
        <w:r w:rsidR="002F49A2" w:rsidRPr="009F32BF">
          <w:rPr>
            <w:rStyle w:val="Hyperlink"/>
            <w:sz w:val="22"/>
            <w:szCs w:val="22"/>
          </w:rPr>
          <w:t>MSAC website</w:t>
        </w:r>
      </w:hyperlink>
      <w:r w:rsidR="002F49A2" w:rsidRPr="009F32BF">
        <w:rPr>
          <w:sz w:val="22"/>
          <w:szCs w:val="22"/>
        </w:rPr>
        <w:t>.</w:t>
      </w:r>
    </w:p>
    <w:p w14:paraId="2C0925C1" w14:textId="1AF696C8" w:rsidR="002F49A2" w:rsidRPr="00544EAC" w:rsidRDefault="002F49A2" w:rsidP="00544EAC">
      <w:pPr>
        <w:pStyle w:val="Tablelistbullet"/>
        <w:rPr>
          <w:sz w:val="22"/>
          <w:szCs w:val="22"/>
        </w:rPr>
      </w:pPr>
      <w:r w:rsidRPr="009F32BF">
        <w:rPr>
          <w:sz w:val="22"/>
          <w:szCs w:val="22"/>
        </w:rPr>
        <w:t xml:space="preserve">Learn </w:t>
      </w:r>
      <w:hyperlink r:id="rId15" w:history="1">
        <w:r w:rsidRPr="009F32BF">
          <w:rPr>
            <w:rStyle w:val="Hyperlink"/>
            <w:sz w:val="22"/>
            <w:szCs w:val="22"/>
          </w:rPr>
          <w:t>how we use health technology assessments (HTAs)</w:t>
        </w:r>
      </w:hyperlink>
      <w:r w:rsidRPr="009F32BF">
        <w:rPr>
          <w:sz w:val="22"/>
          <w:szCs w:val="22"/>
        </w:rPr>
        <w:t xml:space="preserve"> to assess the value of medicines, vaccines, medical devices and medical services.</w:t>
      </w:r>
    </w:p>
    <w:sectPr w:rsidR="002F49A2" w:rsidRPr="00544EAC" w:rsidSect="00B5398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FDB8" w14:textId="77777777" w:rsidR="009E5EAF" w:rsidRDefault="009E5EAF" w:rsidP="006B56BB">
      <w:r>
        <w:separator/>
      </w:r>
    </w:p>
    <w:p w14:paraId="7BD05DC6" w14:textId="77777777" w:rsidR="009E5EAF" w:rsidRDefault="009E5EAF"/>
  </w:endnote>
  <w:endnote w:type="continuationSeparator" w:id="0">
    <w:p w14:paraId="39EFB29E" w14:textId="77777777" w:rsidR="009E5EAF" w:rsidRDefault="009E5EAF" w:rsidP="006B56BB">
      <w:r>
        <w:continuationSeparator/>
      </w:r>
    </w:p>
    <w:p w14:paraId="3BA435A9" w14:textId="77777777" w:rsidR="009E5EAF" w:rsidRDefault="009E5EAF"/>
  </w:endnote>
  <w:endnote w:type="continuationNotice" w:id="1">
    <w:p w14:paraId="39D6A651" w14:textId="77777777" w:rsidR="009E5EAF" w:rsidRDefault="009E5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77D4" w14:textId="77777777" w:rsidR="002E7BB3" w:rsidRDefault="002E7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0E00" w14:textId="556EAE2B" w:rsidR="00B53987" w:rsidRDefault="002E7BB3" w:rsidP="002E7BB3">
    <w:pPr>
      <w:pStyle w:val="Footer"/>
      <w:jc w:val="left"/>
    </w:pPr>
    <w:r>
      <w:t xml:space="preserve">Department of Health and Aged Care – </w:t>
    </w:r>
    <w:r>
      <w:br/>
    </w:r>
    <w:r w:rsidRPr="001F581C">
      <w:t xml:space="preserve">Chair and Deputy Chair appointments for health technology assessment committees </w:t>
    </w:r>
    <w:sdt>
      <w:sdtPr>
        <w:id w:val="-52764998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FA13" w14:textId="0F1731E4" w:rsidR="00B53987" w:rsidRDefault="00B53987" w:rsidP="001F581C">
    <w:pPr>
      <w:pStyle w:val="Footer"/>
      <w:jc w:val="left"/>
    </w:pPr>
    <w:r>
      <w:t xml:space="preserve">Department of Health </w:t>
    </w:r>
    <w:r w:rsidR="004C1BCD">
      <w:t xml:space="preserve">and Aged Care </w:t>
    </w:r>
    <w:r>
      <w:t xml:space="preserve">– </w:t>
    </w:r>
    <w:r w:rsidR="001F581C">
      <w:br/>
    </w:r>
    <w:r w:rsidR="001F581C" w:rsidRPr="001F581C">
      <w:t xml:space="preserve">Chair and Deputy Chair appointments for health technology assessment committees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4EDB" w14:textId="77777777" w:rsidR="009E5EAF" w:rsidRDefault="009E5EAF" w:rsidP="006B56BB">
      <w:r>
        <w:separator/>
      </w:r>
    </w:p>
    <w:p w14:paraId="456CFBC7" w14:textId="77777777" w:rsidR="009E5EAF" w:rsidRDefault="009E5EAF"/>
  </w:footnote>
  <w:footnote w:type="continuationSeparator" w:id="0">
    <w:p w14:paraId="0CEBEE2A" w14:textId="77777777" w:rsidR="009E5EAF" w:rsidRDefault="009E5EAF" w:rsidP="006B56BB">
      <w:r>
        <w:continuationSeparator/>
      </w:r>
    </w:p>
    <w:p w14:paraId="521C7363" w14:textId="77777777" w:rsidR="009E5EAF" w:rsidRDefault="009E5EAF"/>
  </w:footnote>
  <w:footnote w:type="continuationNotice" w:id="1">
    <w:p w14:paraId="5564CA90" w14:textId="77777777" w:rsidR="009E5EAF" w:rsidRDefault="009E5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45E8" w14:textId="77777777" w:rsidR="002E7BB3" w:rsidRDefault="002E7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436673"/>
      <w:docPartObj>
        <w:docPartGallery w:val="Page Numbers (Top of Page)"/>
        <w:docPartUnique/>
      </w:docPartObj>
    </w:sdtPr>
    <w:sdtEndPr>
      <w:rPr>
        <w:noProof/>
      </w:rPr>
    </w:sdtEndPr>
    <w:sdtContent>
      <w:p w14:paraId="10F64723" w14:textId="068FF4A2" w:rsidR="00245CFB" w:rsidRDefault="00245CFB">
        <w:pPr>
          <w:pStyle w:val="Header"/>
        </w:pPr>
        <w:r>
          <w:fldChar w:fldCharType="begin"/>
        </w:r>
        <w:r>
          <w:instrText xml:space="preserve"> PAGE   \* MERGEFORMAT </w:instrText>
        </w:r>
        <w:r>
          <w:fldChar w:fldCharType="separate"/>
        </w:r>
        <w:r>
          <w:rPr>
            <w:noProof/>
          </w:rPr>
          <w:t>2</w:t>
        </w:r>
        <w:r>
          <w:rPr>
            <w:noProof/>
          </w:rPr>
          <w:fldChar w:fldCharType="end"/>
        </w:r>
      </w:p>
    </w:sdtContent>
  </w:sdt>
  <w:p w14:paraId="632719BB"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9450" w14:textId="77777777" w:rsidR="00B53987" w:rsidRDefault="00B53987">
    <w:pPr>
      <w:pStyle w:val="Header"/>
    </w:pPr>
    <w:r>
      <w:rPr>
        <w:noProof/>
        <w:lang w:eastAsia="en-AU"/>
      </w:rPr>
      <w:drawing>
        <wp:inline distT="0" distB="0" distL="0" distR="0" wp14:anchorId="63DF5B3B" wp14:editId="0ABBD85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6E4973"/>
    <w:multiLevelType w:val="hybridMultilevel"/>
    <w:tmpl w:val="EB0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E289F"/>
    <w:multiLevelType w:val="hybridMultilevel"/>
    <w:tmpl w:val="34A2A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6614E3"/>
    <w:multiLevelType w:val="hybridMultilevel"/>
    <w:tmpl w:val="F4367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E75659"/>
    <w:multiLevelType w:val="hybridMultilevel"/>
    <w:tmpl w:val="9F143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504A12"/>
    <w:multiLevelType w:val="hybridMultilevel"/>
    <w:tmpl w:val="BD04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425E7"/>
    <w:multiLevelType w:val="hybridMultilevel"/>
    <w:tmpl w:val="AC78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49B41ED"/>
    <w:multiLevelType w:val="hybridMultilevel"/>
    <w:tmpl w:val="C4EE9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35E2F"/>
    <w:multiLevelType w:val="hybridMultilevel"/>
    <w:tmpl w:val="DD44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37FD4"/>
    <w:multiLevelType w:val="hybridMultilevel"/>
    <w:tmpl w:val="6AB2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36DB3"/>
    <w:multiLevelType w:val="hybridMultilevel"/>
    <w:tmpl w:val="7F70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F77A35"/>
    <w:multiLevelType w:val="hybridMultilevel"/>
    <w:tmpl w:val="2D603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0200E0"/>
    <w:multiLevelType w:val="hybridMultilevel"/>
    <w:tmpl w:val="9E4A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5F6A04"/>
    <w:multiLevelType w:val="hybridMultilevel"/>
    <w:tmpl w:val="F096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6"/>
  </w:num>
  <w:num w:numId="3" w16cid:durableId="671226532">
    <w:abstractNumId w:val="29"/>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20"/>
  </w:num>
  <w:num w:numId="8" w16cid:durableId="407311294">
    <w:abstractNumId w:val="28"/>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32"/>
  </w:num>
  <w:num w:numId="17" w16cid:durableId="803278780">
    <w:abstractNumId w:val="13"/>
  </w:num>
  <w:num w:numId="18" w16cid:durableId="364212072">
    <w:abstractNumId w:val="16"/>
  </w:num>
  <w:num w:numId="19" w16cid:durableId="808983311">
    <w:abstractNumId w:val="19"/>
  </w:num>
  <w:num w:numId="20" w16cid:durableId="1108499705">
    <w:abstractNumId w:val="13"/>
  </w:num>
  <w:num w:numId="21" w16cid:durableId="2135168833">
    <w:abstractNumId w:val="19"/>
  </w:num>
  <w:num w:numId="22" w16cid:durableId="1331519124">
    <w:abstractNumId w:val="32"/>
  </w:num>
  <w:num w:numId="23" w16cid:durableId="768160667">
    <w:abstractNumId w:val="26"/>
  </w:num>
  <w:num w:numId="24" w16cid:durableId="501624301">
    <w:abstractNumId w:val="29"/>
  </w:num>
  <w:num w:numId="25" w16cid:durableId="1331903733">
    <w:abstractNumId w:val="8"/>
  </w:num>
  <w:num w:numId="26" w16cid:durableId="350230098">
    <w:abstractNumId w:val="25"/>
  </w:num>
  <w:num w:numId="27" w16cid:durableId="4748097">
    <w:abstractNumId w:val="24"/>
  </w:num>
  <w:num w:numId="28" w16cid:durableId="1488209169">
    <w:abstractNumId w:val="30"/>
  </w:num>
  <w:num w:numId="29" w16cid:durableId="1372803728">
    <w:abstractNumId w:val="12"/>
  </w:num>
  <w:num w:numId="30" w16cid:durableId="1440177876">
    <w:abstractNumId w:val="23"/>
  </w:num>
  <w:num w:numId="31" w16cid:durableId="276185419">
    <w:abstractNumId w:val="14"/>
  </w:num>
  <w:num w:numId="32" w16cid:durableId="1060054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3612505">
    <w:abstractNumId w:val="11"/>
  </w:num>
  <w:num w:numId="34" w16cid:durableId="247925358">
    <w:abstractNumId w:val="22"/>
  </w:num>
  <w:num w:numId="35" w16cid:durableId="1769883671">
    <w:abstractNumId w:val="27"/>
  </w:num>
  <w:num w:numId="36" w16cid:durableId="2020697054">
    <w:abstractNumId w:val="10"/>
  </w:num>
  <w:num w:numId="37" w16cid:durableId="335964204">
    <w:abstractNumId w:val="17"/>
  </w:num>
  <w:num w:numId="38" w16cid:durableId="852720022">
    <w:abstractNumId w:val="21"/>
  </w:num>
  <w:num w:numId="39" w16cid:durableId="142435715">
    <w:abstractNumId w:val="15"/>
  </w:num>
  <w:num w:numId="40" w16cid:durableId="17825283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E6"/>
    <w:rsid w:val="00003743"/>
    <w:rsid w:val="000047B4"/>
    <w:rsid w:val="00005712"/>
    <w:rsid w:val="00007FD8"/>
    <w:rsid w:val="000117F8"/>
    <w:rsid w:val="0001460F"/>
    <w:rsid w:val="00022629"/>
    <w:rsid w:val="00026139"/>
    <w:rsid w:val="000273FD"/>
    <w:rsid w:val="00027601"/>
    <w:rsid w:val="00033321"/>
    <w:rsid w:val="000338E5"/>
    <w:rsid w:val="00033ECC"/>
    <w:rsid w:val="0003422F"/>
    <w:rsid w:val="00046FF0"/>
    <w:rsid w:val="00050176"/>
    <w:rsid w:val="00050342"/>
    <w:rsid w:val="00061D64"/>
    <w:rsid w:val="00067456"/>
    <w:rsid w:val="00071506"/>
    <w:rsid w:val="0007154F"/>
    <w:rsid w:val="00076B04"/>
    <w:rsid w:val="00081AB1"/>
    <w:rsid w:val="00090316"/>
    <w:rsid w:val="00091139"/>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5A05"/>
    <w:rsid w:val="00130F59"/>
    <w:rsid w:val="00133EC0"/>
    <w:rsid w:val="001365C2"/>
    <w:rsid w:val="00140665"/>
    <w:rsid w:val="00141CE5"/>
    <w:rsid w:val="00144908"/>
    <w:rsid w:val="00155509"/>
    <w:rsid w:val="00156D96"/>
    <w:rsid w:val="001571C7"/>
    <w:rsid w:val="00161094"/>
    <w:rsid w:val="00174A42"/>
    <w:rsid w:val="0017665C"/>
    <w:rsid w:val="00177AD2"/>
    <w:rsid w:val="001815A8"/>
    <w:rsid w:val="001840FA"/>
    <w:rsid w:val="001867E6"/>
    <w:rsid w:val="00190079"/>
    <w:rsid w:val="00192E01"/>
    <w:rsid w:val="0019622E"/>
    <w:rsid w:val="001966A7"/>
    <w:rsid w:val="001A4627"/>
    <w:rsid w:val="001A4979"/>
    <w:rsid w:val="001B15D3"/>
    <w:rsid w:val="001B3443"/>
    <w:rsid w:val="001C0326"/>
    <w:rsid w:val="001C192F"/>
    <w:rsid w:val="001C3C42"/>
    <w:rsid w:val="001D7869"/>
    <w:rsid w:val="001F4A18"/>
    <w:rsid w:val="001F581C"/>
    <w:rsid w:val="002026CD"/>
    <w:rsid w:val="002033FC"/>
    <w:rsid w:val="002044BB"/>
    <w:rsid w:val="00210B09"/>
    <w:rsid w:val="00210C9E"/>
    <w:rsid w:val="00211840"/>
    <w:rsid w:val="00220E5F"/>
    <w:rsid w:val="002212B5"/>
    <w:rsid w:val="00226668"/>
    <w:rsid w:val="00233809"/>
    <w:rsid w:val="00240046"/>
    <w:rsid w:val="00245CFB"/>
    <w:rsid w:val="0024797F"/>
    <w:rsid w:val="0025119E"/>
    <w:rsid w:val="00251269"/>
    <w:rsid w:val="0025287C"/>
    <w:rsid w:val="002535C0"/>
    <w:rsid w:val="00257454"/>
    <w:rsid w:val="002579FE"/>
    <w:rsid w:val="00260552"/>
    <w:rsid w:val="00262C27"/>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441C"/>
    <w:rsid w:val="002B20E6"/>
    <w:rsid w:val="002B23BB"/>
    <w:rsid w:val="002B42A3"/>
    <w:rsid w:val="002C0CDD"/>
    <w:rsid w:val="002C38C4"/>
    <w:rsid w:val="002C6F2C"/>
    <w:rsid w:val="002E1A1D"/>
    <w:rsid w:val="002E4081"/>
    <w:rsid w:val="002E5B78"/>
    <w:rsid w:val="002E7BB3"/>
    <w:rsid w:val="002F3AE3"/>
    <w:rsid w:val="002F49A2"/>
    <w:rsid w:val="0030464B"/>
    <w:rsid w:val="0030786C"/>
    <w:rsid w:val="00312FED"/>
    <w:rsid w:val="003233DE"/>
    <w:rsid w:val="0032466B"/>
    <w:rsid w:val="003330EB"/>
    <w:rsid w:val="003415FD"/>
    <w:rsid w:val="003429F0"/>
    <w:rsid w:val="00345A82"/>
    <w:rsid w:val="0035097A"/>
    <w:rsid w:val="003540A4"/>
    <w:rsid w:val="00357AB4"/>
    <w:rsid w:val="00357BCC"/>
    <w:rsid w:val="00360E4E"/>
    <w:rsid w:val="00364156"/>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3A4"/>
    <w:rsid w:val="003E5265"/>
    <w:rsid w:val="003E547E"/>
    <w:rsid w:val="003F0955"/>
    <w:rsid w:val="003F5F4D"/>
    <w:rsid w:val="003F646F"/>
    <w:rsid w:val="00400F00"/>
    <w:rsid w:val="00404F8B"/>
    <w:rsid w:val="00405256"/>
    <w:rsid w:val="00410031"/>
    <w:rsid w:val="00415C81"/>
    <w:rsid w:val="00432378"/>
    <w:rsid w:val="00440D65"/>
    <w:rsid w:val="004435E6"/>
    <w:rsid w:val="00444371"/>
    <w:rsid w:val="00447E31"/>
    <w:rsid w:val="00453923"/>
    <w:rsid w:val="00454B9B"/>
    <w:rsid w:val="00457858"/>
    <w:rsid w:val="00460B0B"/>
    <w:rsid w:val="00461023"/>
    <w:rsid w:val="00462FAC"/>
    <w:rsid w:val="00464631"/>
    <w:rsid w:val="00464B79"/>
    <w:rsid w:val="00465976"/>
    <w:rsid w:val="00467BBF"/>
    <w:rsid w:val="0048593C"/>
    <w:rsid w:val="004867E2"/>
    <w:rsid w:val="004929A9"/>
    <w:rsid w:val="004A78D9"/>
    <w:rsid w:val="004C1BCD"/>
    <w:rsid w:val="004C52AF"/>
    <w:rsid w:val="004C6BCF"/>
    <w:rsid w:val="004D25B3"/>
    <w:rsid w:val="004D58BF"/>
    <w:rsid w:val="004E4335"/>
    <w:rsid w:val="004F13EE"/>
    <w:rsid w:val="004F2022"/>
    <w:rsid w:val="004F7C05"/>
    <w:rsid w:val="00501C94"/>
    <w:rsid w:val="00506432"/>
    <w:rsid w:val="00506E82"/>
    <w:rsid w:val="0052051D"/>
    <w:rsid w:val="005314AE"/>
    <w:rsid w:val="00544EAC"/>
    <w:rsid w:val="00545EE6"/>
    <w:rsid w:val="005550E7"/>
    <w:rsid w:val="005564FB"/>
    <w:rsid w:val="005572C7"/>
    <w:rsid w:val="005650ED"/>
    <w:rsid w:val="00567820"/>
    <w:rsid w:val="00575754"/>
    <w:rsid w:val="00581FBA"/>
    <w:rsid w:val="00587240"/>
    <w:rsid w:val="00591E20"/>
    <w:rsid w:val="00595408"/>
    <w:rsid w:val="00595E84"/>
    <w:rsid w:val="005A0C59"/>
    <w:rsid w:val="005A48EB"/>
    <w:rsid w:val="005A6CFB"/>
    <w:rsid w:val="005B0D41"/>
    <w:rsid w:val="005B6EC1"/>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3B9C"/>
    <w:rsid w:val="00701275"/>
    <w:rsid w:val="00707F56"/>
    <w:rsid w:val="00713558"/>
    <w:rsid w:val="00720D08"/>
    <w:rsid w:val="007263B9"/>
    <w:rsid w:val="00732FF4"/>
    <w:rsid w:val="007334F8"/>
    <w:rsid w:val="007339CD"/>
    <w:rsid w:val="007359D8"/>
    <w:rsid w:val="007362D4"/>
    <w:rsid w:val="007370A6"/>
    <w:rsid w:val="0076672A"/>
    <w:rsid w:val="00775E45"/>
    <w:rsid w:val="00776E74"/>
    <w:rsid w:val="00785169"/>
    <w:rsid w:val="007954AB"/>
    <w:rsid w:val="007A14C5"/>
    <w:rsid w:val="007A4A10"/>
    <w:rsid w:val="007B1760"/>
    <w:rsid w:val="007C1FDC"/>
    <w:rsid w:val="007C54D2"/>
    <w:rsid w:val="007C6D9C"/>
    <w:rsid w:val="007C7DDB"/>
    <w:rsid w:val="007D2CC7"/>
    <w:rsid w:val="007D673D"/>
    <w:rsid w:val="007E0FB8"/>
    <w:rsid w:val="007E4D09"/>
    <w:rsid w:val="007F2220"/>
    <w:rsid w:val="007F4B3E"/>
    <w:rsid w:val="0080623B"/>
    <w:rsid w:val="008127AF"/>
    <w:rsid w:val="00812B46"/>
    <w:rsid w:val="00814D77"/>
    <w:rsid w:val="00815700"/>
    <w:rsid w:val="00822042"/>
    <w:rsid w:val="0082246B"/>
    <w:rsid w:val="008264EB"/>
    <w:rsid w:val="00826B8F"/>
    <w:rsid w:val="00831E8A"/>
    <w:rsid w:val="00835C76"/>
    <w:rsid w:val="008376E2"/>
    <w:rsid w:val="008412CE"/>
    <w:rsid w:val="00843049"/>
    <w:rsid w:val="0085209B"/>
    <w:rsid w:val="00852A36"/>
    <w:rsid w:val="00856B66"/>
    <w:rsid w:val="008601AC"/>
    <w:rsid w:val="008610C4"/>
    <w:rsid w:val="00861A5F"/>
    <w:rsid w:val="008644AD"/>
    <w:rsid w:val="00865735"/>
    <w:rsid w:val="00865DDB"/>
    <w:rsid w:val="00867538"/>
    <w:rsid w:val="00873D90"/>
    <w:rsid w:val="00873FC8"/>
    <w:rsid w:val="008831C3"/>
    <w:rsid w:val="00884C63"/>
    <w:rsid w:val="00885908"/>
    <w:rsid w:val="008864B7"/>
    <w:rsid w:val="0089677E"/>
    <w:rsid w:val="008A7438"/>
    <w:rsid w:val="008B0FFB"/>
    <w:rsid w:val="008B1334"/>
    <w:rsid w:val="008B25C7"/>
    <w:rsid w:val="008B45A5"/>
    <w:rsid w:val="008C0278"/>
    <w:rsid w:val="008C24E9"/>
    <w:rsid w:val="008C4B40"/>
    <w:rsid w:val="008D0533"/>
    <w:rsid w:val="008D3344"/>
    <w:rsid w:val="008D42CB"/>
    <w:rsid w:val="008D48C9"/>
    <w:rsid w:val="008D5CAE"/>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56FB"/>
    <w:rsid w:val="00945E7F"/>
    <w:rsid w:val="00954BFC"/>
    <w:rsid w:val="009557C1"/>
    <w:rsid w:val="00960D6E"/>
    <w:rsid w:val="00974B59"/>
    <w:rsid w:val="0098340B"/>
    <w:rsid w:val="00986830"/>
    <w:rsid w:val="009924C3"/>
    <w:rsid w:val="00993102"/>
    <w:rsid w:val="009954F8"/>
    <w:rsid w:val="00997465"/>
    <w:rsid w:val="009A1364"/>
    <w:rsid w:val="009A1A5C"/>
    <w:rsid w:val="009A76CB"/>
    <w:rsid w:val="009B1570"/>
    <w:rsid w:val="009C192B"/>
    <w:rsid w:val="009C6F10"/>
    <w:rsid w:val="009D148F"/>
    <w:rsid w:val="009D3D70"/>
    <w:rsid w:val="009E5EAF"/>
    <w:rsid w:val="009E6F7E"/>
    <w:rsid w:val="009E7A57"/>
    <w:rsid w:val="009F32BF"/>
    <w:rsid w:val="009F4803"/>
    <w:rsid w:val="009F4F6A"/>
    <w:rsid w:val="00A029C2"/>
    <w:rsid w:val="00A1011F"/>
    <w:rsid w:val="00A13EB5"/>
    <w:rsid w:val="00A16E36"/>
    <w:rsid w:val="00A24961"/>
    <w:rsid w:val="00A24B10"/>
    <w:rsid w:val="00A277EF"/>
    <w:rsid w:val="00A30E9B"/>
    <w:rsid w:val="00A4512D"/>
    <w:rsid w:val="00A50244"/>
    <w:rsid w:val="00A627D7"/>
    <w:rsid w:val="00A656C7"/>
    <w:rsid w:val="00A67AD3"/>
    <w:rsid w:val="00A705AF"/>
    <w:rsid w:val="00A719F6"/>
    <w:rsid w:val="00A72454"/>
    <w:rsid w:val="00A77696"/>
    <w:rsid w:val="00A80557"/>
    <w:rsid w:val="00A81D33"/>
    <w:rsid w:val="00A8341C"/>
    <w:rsid w:val="00A930AE"/>
    <w:rsid w:val="00A9685F"/>
    <w:rsid w:val="00AA1A95"/>
    <w:rsid w:val="00AA260F"/>
    <w:rsid w:val="00AB1EE7"/>
    <w:rsid w:val="00AB4B37"/>
    <w:rsid w:val="00AB5762"/>
    <w:rsid w:val="00AC2679"/>
    <w:rsid w:val="00AC4BE4"/>
    <w:rsid w:val="00AD05E6"/>
    <w:rsid w:val="00AD0D3F"/>
    <w:rsid w:val="00AE0B7F"/>
    <w:rsid w:val="00AE1D7D"/>
    <w:rsid w:val="00AE2A8B"/>
    <w:rsid w:val="00AE3F64"/>
    <w:rsid w:val="00AF32C2"/>
    <w:rsid w:val="00AF5106"/>
    <w:rsid w:val="00AF7386"/>
    <w:rsid w:val="00AF7934"/>
    <w:rsid w:val="00B00B81"/>
    <w:rsid w:val="00B04580"/>
    <w:rsid w:val="00B04B09"/>
    <w:rsid w:val="00B16A51"/>
    <w:rsid w:val="00B27F46"/>
    <w:rsid w:val="00B32222"/>
    <w:rsid w:val="00B32615"/>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3F25"/>
    <w:rsid w:val="00C14154"/>
    <w:rsid w:val="00C205D7"/>
    <w:rsid w:val="00C2176E"/>
    <w:rsid w:val="00C23430"/>
    <w:rsid w:val="00C27D67"/>
    <w:rsid w:val="00C40F94"/>
    <w:rsid w:val="00C4631F"/>
    <w:rsid w:val="00C47CDE"/>
    <w:rsid w:val="00C50E16"/>
    <w:rsid w:val="00C53061"/>
    <w:rsid w:val="00C55258"/>
    <w:rsid w:val="00C67E5A"/>
    <w:rsid w:val="00C82EEB"/>
    <w:rsid w:val="00C971DC"/>
    <w:rsid w:val="00CA16B7"/>
    <w:rsid w:val="00CA62AE"/>
    <w:rsid w:val="00CB0559"/>
    <w:rsid w:val="00CB5B1A"/>
    <w:rsid w:val="00CB79A5"/>
    <w:rsid w:val="00CC220B"/>
    <w:rsid w:val="00CC5C43"/>
    <w:rsid w:val="00CC7F24"/>
    <w:rsid w:val="00CD02AE"/>
    <w:rsid w:val="00CD2A4F"/>
    <w:rsid w:val="00CE03CA"/>
    <w:rsid w:val="00CE22F1"/>
    <w:rsid w:val="00CE50F2"/>
    <w:rsid w:val="00CE6502"/>
    <w:rsid w:val="00CF694F"/>
    <w:rsid w:val="00CF7D3C"/>
    <w:rsid w:val="00CF7F77"/>
    <w:rsid w:val="00D01F09"/>
    <w:rsid w:val="00D054E5"/>
    <w:rsid w:val="00D147EB"/>
    <w:rsid w:val="00D34667"/>
    <w:rsid w:val="00D401E1"/>
    <w:rsid w:val="00D408B4"/>
    <w:rsid w:val="00D44330"/>
    <w:rsid w:val="00D524C8"/>
    <w:rsid w:val="00D70E24"/>
    <w:rsid w:val="00D72B61"/>
    <w:rsid w:val="00D82A75"/>
    <w:rsid w:val="00D87054"/>
    <w:rsid w:val="00DA3D1D"/>
    <w:rsid w:val="00DB113A"/>
    <w:rsid w:val="00DB32DB"/>
    <w:rsid w:val="00DB6286"/>
    <w:rsid w:val="00DB645F"/>
    <w:rsid w:val="00DB76E9"/>
    <w:rsid w:val="00DC0A67"/>
    <w:rsid w:val="00DC1D5E"/>
    <w:rsid w:val="00DC4DE5"/>
    <w:rsid w:val="00DC5220"/>
    <w:rsid w:val="00DC6DCC"/>
    <w:rsid w:val="00DD03D1"/>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44"/>
    <w:rsid w:val="00E50188"/>
    <w:rsid w:val="00E50194"/>
    <w:rsid w:val="00E50BB3"/>
    <w:rsid w:val="00E515CB"/>
    <w:rsid w:val="00E52260"/>
    <w:rsid w:val="00E639B6"/>
    <w:rsid w:val="00E6434B"/>
    <w:rsid w:val="00E6463D"/>
    <w:rsid w:val="00E72E9B"/>
    <w:rsid w:val="00E850C3"/>
    <w:rsid w:val="00E87DF2"/>
    <w:rsid w:val="00E911B9"/>
    <w:rsid w:val="00E9462E"/>
    <w:rsid w:val="00EA470E"/>
    <w:rsid w:val="00EA47A7"/>
    <w:rsid w:val="00EA57EB"/>
    <w:rsid w:val="00EB3226"/>
    <w:rsid w:val="00EB4922"/>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0660"/>
    <w:rsid w:val="00F321DE"/>
    <w:rsid w:val="00F33777"/>
    <w:rsid w:val="00F364D6"/>
    <w:rsid w:val="00F40648"/>
    <w:rsid w:val="00F47DA2"/>
    <w:rsid w:val="00F519FC"/>
    <w:rsid w:val="00F6239D"/>
    <w:rsid w:val="00F715D2"/>
    <w:rsid w:val="00F7274F"/>
    <w:rsid w:val="00F74E84"/>
    <w:rsid w:val="00F76FA8"/>
    <w:rsid w:val="00F8383D"/>
    <w:rsid w:val="00F93F08"/>
    <w:rsid w:val="00F94CED"/>
    <w:rsid w:val="00FA02BB"/>
    <w:rsid w:val="00FA2CEE"/>
    <w:rsid w:val="00FA318C"/>
    <w:rsid w:val="00FA3B44"/>
    <w:rsid w:val="00FB246D"/>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67F5E"/>
  <w15:docId w15:val="{40C1B30C-32FB-4D0E-BF95-54DD289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1867E6"/>
  </w:style>
  <w:style w:type="character" w:styleId="UnresolvedMention">
    <w:name w:val="Unresolved Mention"/>
    <w:basedOn w:val="DefaultParagraphFont"/>
    <w:uiPriority w:val="99"/>
    <w:semiHidden/>
    <w:unhideWhenUsed/>
    <w:rsid w:val="009A76CB"/>
    <w:rPr>
      <w:color w:val="605E5C"/>
      <w:shd w:val="clear" w:color="auto" w:fill="E1DFDD"/>
    </w:rPr>
  </w:style>
  <w:style w:type="paragraph" w:styleId="Revision">
    <w:name w:val="Revision"/>
    <w:hidden/>
    <w:uiPriority w:val="99"/>
    <w:semiHidden/>
    <w:rsid w:val="00125A05"/>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125A05"/>
    <w:rPr>
      <w:sz w:val="16"/>
      <w:szCs w:val="16"/>
    </w:rPr>
  </w:style>
  <w:style w:type="paragraph" w:styleId="CommentText">
    <w:name w:val="annotation text"/>
    <w:basedOn w:val="Normal"/>
    <w:link w:val="CommentTextChar"/>
    <w:unhideWhenUsed/>
    <w:rsid w:val="00125A05"/>
    <w:pPr>
      <w:spacing w:line="240" w:lineRule="auto"/>
    </w:pPr>
    <w:rPr>
      <w:sz w:val="20"/>
      <w:szCs w:val="20"/>
    </w:rPr>
  </w:style>
  <w:style w:type="character" w:customStyle="1" w:styleId="CommentTextChar">
    <w:name w:val="Comment Text Char"/>
    <w:basedOn w:val="DefaultParagraphFont"/>
    <w:link w:val="CommentText"/>
    <w:rsid w:val="00125A0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25A05"/>
    <w:rPr>
      <w:b/>
      <w:bCs/>
    </w:rPr>
  </w:style>
  <w:style w:type="character" w:customStyle="1" w:styleId="CommentSubjectChar">
    <w:name w:val="Comment Subject Char"/>
    <w:basedOn w:val="CommentTextChar"/>
    <w:link w:val="CommentSubject"/>
    <w:semiHidden/>
    <w:rsid w:val="00125A0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66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463288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23334447">
      <w:bodyDiv w:val="1"/>
      <w:marLeft w:val="0"/>
      <w:marRight w:val="0"/>
      <w:marTop w:val="0"/>
      <w:marBottom w:val="0"/>
      <w:divBdr>
        <w:top w:val="none" w:sz="0" w:space="0" w:color="auto"/>
        <w:left w:val="none" w:sz="0" w:space="0" w:color="auto"/>
        <w:bottom w:val="none" w:sz="0" w:space="0" w:color="auto"/>
        <w:right w:val="none" w:sz="0" w:space="0" w:color="auto"/>
      </w:divBdr>
    </w:div>
    <w:div w:id="1484157544">
      <w:bodyDiv w:val="1"/>
      <w:marLeft w:val="0"/>
      <w:marRight w:val="0"/>
      <w:marTop w:val="0"/>
      <w:marBottom w:val="0"/>
      <w:divBdr>
        <w:top w:val="none" w:sz="0" w:space="0" w:color="auto"/>
        <w:left w:val="none" w:sz="0" w:space="0" w:color="auto"/>
        <w:bottom w:val="none" w:sz="0" w:space="0" w:color="auto"/>
        <w:right w:val="none" w:sz="0" w:space="0" w:color="auto"/>
      </w:divBdr>
    </w:div>
    <w:div w:id="15783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participants/pbac" TargetMode="External"/><Relationship Id="rId5" Type="http://schemas.openxmlformats.org/officeDocument/2006/relationships/numbering" Target="numbering.xml"/><Relationship Id="rId15" Type="http://schemas.openxmlformats.org/officeDocument/2006/relationships/hyperlink" Target="https://www.health.gov.au/topics/health-technologies-and-digital-healt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ac.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CRM\Downloads\Department-of-Health-and-Aged-Care_Fact-sheet-template-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Value>89</Value>
      <Value>4</Value>
      <Value>45</Value>
      <Value>42</Value>
    </TaxCatchAll>
    <lcf76f155ced4ddcb4097134ff3c332f xmlns="88065963-e31c-436c-8d71-ad9300615a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23085d7de8a159406667aa7d2af3fb1c">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85dc5986b16f6cc6723bb2f9adb8963c"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fdbc7174-e12c-49db-8b88-a3d6850e88b7"/>
    <ds:schemaRef ds:uri="http://purl.org/dc/elements/1.1/"/>
    <ds:schemaRef ds:uri="http://schemas.microsoft.com/office/2006/metadata/properties"/>
    <ds:schemaRef ds:uri="88065963-e31c-436c-8d71-ad9300615aa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CC35FF9F-39D3-4EEF-8D0E-B19A3717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Department-of-Health-and-Aged-Care_Fact-sheet-template-Teal.dotx</Template>
  <TotalTime>1</TotalTime>
  <Pages>4</Pages>
  <Words>1266</Words>
  <Characters>7579</Characters>
  <Application>Microsoft Office Word</Application>
  <DocSecurity>0</DocSecurity>
  <Lines>154</Lines>
  <Paragraphs>105</Paragraphs>
  <ScaleCrop>false</ScaleCrop>
  <HeadingPairs>
    <vt:vector size="2" baseType="variant">
      <vt:variant>
        <vt:lpstr>Title</vt:lpstr>
      </vt:variant>
      <vt:variant>
        <vt:i4>1</vt:i4>
      </vt:variant>
    </vt:vector>
  </HeadingPairs>
  <TitlesOfParts>
    <vt:vector size="1" baseType="lpstr">
      <vt:lpstr>Chair and Deputy Chair appointments for health technology assessment committees</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 and Deputy Chair appointments for health technology assessment committees</dc:title>
  <dc:subject>Health technology assessment (HTA)</dc:subject>
  <dc:creator>Australian Government Department of Health and Aged Care</dc:creator>
  <cp:keywords>Health technologies and digital health</cp:keywords>
  <cp:revision>3</cp:revision>
  <dcterms:created xsi:type="dcterms:W3CDTF">2024-03-20T23:27:00Z</dcterms:created>
  <dcterms:modified xsi:type="dcterms:W3CDTF">2024-03-20T23:27:00Z</dcterms:modified>
</cp:coreProperties>
</file>