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553FA" w14:textId="77777777" w:rsidR="00C602D4" w:rsidRDefault="002D4E92" w:rsidP="00C602D4">
      <w:pPr>
        <w:pStyle w:val="Default"/>
        <w:spacing w:before="240"/>
        <w:jc w:val="center"/>
        <w:rPr>
          <w:rFonts w:asciiTheme="minorHAnsi" w:hAnsiTheme="minorHAnsi" w:cstheme="minorHAnsi"/>
          <w:color w:val="993366"/>
          <w:sz w:val="28"/>
          <w:szCs w:val="28"/>
        </w:rPr>
      </w:pPr>
      <w:r w:rsidRPr="002D4E92">
        <w:rPr>
          <w:rFonts w:asciiTheme="minorHAnsi" w:hAnsiTheme="minorHAnsi" w:cstheme="minorHAnsi"/>
          <w:b/>
          <w:bCs/>
          <w:color w:val="993366"/>
          <w:sz w:val="28"/>
          <w:szCs w:val="28"/>
        </w:rPr>
        <w:t>Meeting Communique</w:t>
      </w:r>
    </w:p>
    <w:p w14:paraId="155A805A" w14:textId="77777777" w:rsidR="00C602D4" w:rsidRDefault="00383AAE" w:rsidP="00C602D4">
      <w:pPr>
        <w:pStyle w:val="Default"/>
        <w:jc w:val="center"/>
        <w:rPr>
          <w:rFonts w:asciiTheme="minorHAnsi" w:hAnsiTheme="minorHAnsi" w:cstheme="minorHAnsi"/>
          <w:color w:val="993366"/>
          <w:sz w:val="28"/>
          <w:szCs w:val="28"/>
        </w:rPr>
      </w:pPr>
      <w:r>
        <w:rPr>
          <w:rFonts w:asciiTheme="minorHAnsi" w:hAnsiTheme="minorHAnsi" w:cstheme="minorHAnsi"/>
          <w:b/>
          <w:bCs/>
          <w:color w:val="993366"/>
          <w:sz w:val="28"/>
          <w:szCs w:val="28"/>
        </w:rPr>
        <w:t>23 - 24</w:t>
      </w:r>
      <w:r w:rsidR="002D4E92" w:rsidRPr="002D4E92">
        <w:rPr>
          <w:rFonts w:asciiTheme="minorHAnsi" w:hAnsiTheme="minorHAnsi" w:cstheme="minorHAnsi"/>
          <w:b/>
          <w:bCs/>
          <w:color w:val="993366"/>
          <w:sz w:val="28"/>
          <w:szCs w:val="28"/>
        </w:rPr>
        <w:t xml:space="preserve"> </w:t>
      </w:r>
      <w:r w:rsidR="00963A71">
        <w:rPr>
          <w:rFonts w:asciiTheme="minorHAnsi" w:hAnsiTheme="minorHAnsi" w:cstheme="minorHAnsi"/>
          <w:b/>
          <w:bCs/>
          <w:color w:val="993366"/>
          <w:sz w:val="28"/>
          <w:szCs w:val="28"/>
        </w:rPr>
        <w:t>November</w:t>
      </w:r>
      <w:r w:rsidR="002D4E92" w:rsidRPr="002D4E92">
        <w:rPr>
          <w:rFonts w:asciiTheme="minorHAnsi" w:hAnsiTheme="minorHAnsi" w:cstheme="minorHAnsi"/>
          <w:b/>
          <w:bCs/>
          <w:color w:val="993366"/>
          <w:sz w:val="28"/>
          <w:szCs w:val="28"/>
        </w:rPr>
        <w:t xml:space="preserve"> 2023</w:t>
      </w:r>
    </w:p>
    <w:p w14:paraId="1C91406F" w14:textId="77777777" w:rsidR="00C602D4" w:rsidRDefault="002D4E92" w:rsidP="00C602D4">
      <w:pPr>
        <w:pStyle w:val="Default"/>
        <w:spacing w:before="240"/>
        <w:rPr>
          <w:rFonts w:asciiTheme="minorHAnsi" w:hAnsiTheme="minorHAnsi" w:cstheme="minorHAnsi"/>
        </w:rPr>
      </w:pPr>
      <w:r w:rsidRPr="00D01376">
        <w:rPr>
          <w:rFonts w:asciiTheme="minorHAnsi" w:hAnsiTheme="minorHAnsi" w:cstheme="minorHAnsi"/>
        </w:rPr>
        <w:t xml:space="preserve">The Australian National Advisory Council on Alcohol and Other Drugs (ANACAD) is </w:t>
      </w:r>
      <w:r w:rsidR="001D1DA5" w:rsidRPr="00D01376">
        <w:rPr>
          <w:rFonts w:asciiTheme="minorHAnsi" w:hAnsiTheme="minorHAnsi" w:cstheme="minorHAnsi"/>
        </w:rPr>
        <w:t>pleased</w:t>
      </w:r>
      <w:r w:rsidRPr="00D01376">
        <w:rPr>
          <w:rFonts w:asciiTheme="minorHAnsi" w:hAnsiTheme="minorHAnsi" w:cstheme="minorHAnsi"/>
        </w:rPr>
        <w:t xml:space="preserve"> to publish this communique following the </w:t>
      </w:r>
      <w:r w:rsidR="001A0AA7" w:rsidRPr="00D01376">
        <w:rPr>
          <w:rFonts w:asciiTheme="minorHAnsi" w:hAnsiTheme="minorHAnsi" w:cstheme="minorHAnsi"/>
        </w:rPr>
        <w:t xml:space="preserve">most </w:t>
      </w:r>
      <w:r w:rsidRPr="00D01376">
        <w:rPr>
          <w:rFonts w:asciiTheme="minorHAnsi" w:hAnsiTheme="minorHAnsi" w:cstheme="minorHAnsi"/>
        </w:rPr>
        <w:t>recent ANACAD meeting</w:t>
      </w:r>
      <w:r w:rsidR="007A40D5" w:rsidRPr="00D01376">
        <w:rPr>
          <w:rFonts w:asciiTheme="minorHAnsi" w:hAnsiTheme="minorHAnsi" w:cstheme="minorHAnsi"/>
        </w:rPr>
        <w:t>,</w:t>
      </w:r>
      <w:r w:rsidRPr="00D01376">
        <w:rPr>
          <w:rFonts w:asciiTheme="minorHAnsi" w:hAnsiTheme="minorHAnsi" w:cstheme="minorHAnsi"/>
        </w:rPr>
        <w:t xml:space="preserve"> held </w:t>
      </w:r>
      <w:r w:rsidR="00AD5C0A" w:rsidRPr="00D01376">
        <w:rPr>
          <w:rFonts w:asciiTheme="minorHAnsi" w:hAnsiTheme="minorHAnsi" w:cstheme="minorHAnsi"/>
        </w:rPr>
        <w:t xml:space="preserve">on </w:t>
      </w:r>
      <w:r w:rsidR="00DF3A11" w:rsidRPr="00D01376">
        <w:rPr>
          <w:rFonts w:asciiTheme="minorHAnsi" w:hAnsiTheme="minorHAnsi" w:cstheme="minorHAnsi"/>
        </w:rPr>
        <w:t xml:space="preserve">Kaurna land </w:t>
      </w:r>
      <w:r w:rsidR="0039217D" w:rsidRPr="00D01376">
        <w:rPr>
          <w:rFonts w:asciiTheme="minorHAnsi" w:hAnsiTheme="minorHAnsi" w:cstheme="minorHAnsi"/>
        </w:rPr>
        <w:t>in Adelaide</w:t>
      </w:r>
      <w:r w:rsidRPr="00D01376">
        <w:rPr>
          <w:rFonts w:asciiTheme="minorHAnsi" w:hAnsiTheme="minorHAnsi" w:cstheme="minorHAnsi"/>
        </w:rPr>
        <w:t xml:space="preserve"> on </w:t>
      </w:r>
      <w:r w:rsidR="00B24FA2" w:rsidRPr="00D01376">
        <w:rPr>
          <w:rFonts w:asciiTheme="minorHAnsi" w:hAnsiTheme="minorHAnsi" w:cstheme="minorHAnsi"/>
        </w:rPr>
        <w:t>23-24 November</w:t>
      </w:r>
      <w:r w:rsidRPr="00D01376">
        <w:rPr>
          <w:rFonts w:asciiTheme="minorHAnsi" w:hAnsiTheme="minorHAnsi" w:cstheme="minorHAnsi"/>
        </w:rPr>
        <w:t xml:space="preserve"> 2023.</w:t>
      </w:r>
    </w:p>
    <w:p w14:paraId="14B686DE" w14:textId="3A118DE2" w:rsidR="002D4E92" w:rsidRPr="00C602D4" w:rsidRDefault="00866438" w:rsidP="00C602D4">
      <w:pPr>
        <w:pStyle w:val="Default"/>
        <w:spacing w:before="240"/>
        <w:rPr>
          <w:rFonts w:asciiTheme="minorHAnsi" w:hAnsiTheme="minorHAnsi" w:cstheme="minorHAnsi"/>
          <w:color w:val="993366"/>
          <w:sz w:val="28"/>
          <w:szCs w:val="28"/>
        </w:rPr>
      </w:pPr>
      <w:r>
        <w:rPr>
          <w:rFonts w:asciiTheme="minorHAnsi" w:hAnsiTheme="minorHAnsi" w:cstheme="minorHAnsi"/>
        </w:rPr>
        <w:t>At the November meeting, ANACAD discussed</w:t>
      </w:r>
      <w:r w:rsidR="00D01376">
        <w:rPr>
          <w:rFonts w:asciiTheme="minorHAnsi" w:hAnsiTheme="minorHAnsi" w:cstheme="minorHAnsi"/>
        </w:rPr>
        <w:t xml:space="preserve"> </w:t>
      </w:r>
      <w:proofErr w:type="gramStart"/>
      <w:r w:rsidR="00D01376">
        <w:rPr>
          <w:rFonts w:asciiTheme="minorHAnsi" w:hAnsiTheme="minorHAnsi" w:cstheme="minorHAnsi"/>
        </w:rPr>
        <w:t>a number of</w:t>
      </w:r>
      <w:proofErr w:type="gramEnd"/>
      <w:r w:rsidR="00D01376">
        <w:rPr>
          <w:rFonts w:asciiTheme="minorHAnsi" w:hAnsiTheme="minorHAnsi" w:cstheme="minorHAnsi"/>
        </w:rPr>
        <w:t xml:space="preserve"> </w:t>
      </w:r>
      <w:r w:rsidR="00842EC2">
        <w:rPr>
          <w:rFonts w:asciiTheme="minorHAnsi" w:hAnsiTheme="minorHAnsi" w:cstheme="minorHAnsi"/>
        </w:rPr>
        <w:t>national</w:t>
      </w:r>
      <w:r w:rsidR="00D13408">
        <w:rPr>
          <w:rFonts w:asciiTheme="minorHAnsi" w:hAnsiTheme="minorHAnsi" w:cstheme="minorHAnsi"/>
        </w:rPr>
        <w:t xml:space="preserve"> alcohol and other drug</w:t>
      </w:r>
      <w:r w:rsidR="00842EC2">
        <w:rPr>
          <w:rFonts w:asciiTheme="minorHAnsi" w:hAnsiTheme="minorHAnsi" w:cstheme="minorHAnsi"/>
        </w:rPr>
        <w:t xml:space="preserve"> </w:t>
      </w:r>
      <w:r w:rsidR="00D13408">
        <w:rPr>
          <w:rFonts w:asciiTheme="minorHAnsi" w:hAnsiTheme="minorHAnsi" w:cstheme="minorHAnsi"/>
        </w:rPr>
        <w:t>(</w:t>
      </w:r>
      <w:r>
        <w:rPr>
          <w:rFonts w:asciiTheme="minorHAnsi" w:hAnsiTheme="minorHAnsi" w:cstheme="minorHAnsi"/>
        </w:rPr>
        <w:t>AOD</w:t>
      </w:r>
      <w:r w:rsidR="00D13408">
        <w:rPr>
          <w:rFonts w:asciiTheme="minorHAnsi" w:hAnsiTheme="minorHAnsi" w:cstheme="minorHAnsi"/>
        </w:rPr>
        <w:t>)</w:t>
      </w:r>
      <w:r>
        <w:rPr>
          <w:rFonts w:asciiTheme="minorHAnsi" w:hAnsiTheme="minorHAnsi" w:cstheme="minorHAnsi"/>
        </w:rPr>
        <w:t xml:space="preserve"> policy priorities </w:t>
      </w:r>
      <w:r w:rsidR="00D30204" w:rsidRPr="00D01376">
        <w:rPr>
          <w:rFonts w:asciiTheme="minorHAnsi" w:hAnsiTheme="minorHAnsi" w:cstheme="minorHAnsi"/>
        </w:rPr>
        <w:t>including</w:t>
      </w:r>
      <w:r w:rsidR="002A4BC6" w:rsidRPr="00D01376">
        <w:rPr>
          <w:rFonts w:asciiTheme="minorHAnsi" w:hAnsiTheme="minorHAnsi" w:cstheme="minorHAnsi"/>
        </w:rPr>
        <w:t>:</w:t>
      </w:r>
    </w:p>
    <w:p w14:paraId="75037154" w14:textId="662FF1F4" w:rsidR="00782479" w:rsidRDefault="00866438" w:rsidP="0088722C">
      <w:pPr>
        <w:pStyle w:val="Default"/>
        <w:numPr>
          <w:ilvl w:val="0"/>
          <w:numId w:val="2"/>
        </w:numPr>
        <w:ind w:left="714" w:hanging="357"/>
        <w:rPr>
          <w:rFonts w:asciiTheme="minorHAnsi" w:hAnsiTheme="minorHAnsi" w:cstheme="minorHAnsi"/>
        </w:rPr>
      </w:pPr>
      <w:r>
        <w:rPr>
          <w:rFonts w:asciiTheme="minorHAnsi" w:hAnsiTheme="minorHAnsi" w:cstheme="minorHAnsi"/>
        </w:rPr>
        <w:t>AOD national</w:t>
      </w:r>
      <w:r w:rsidR="00782479">
        <w:rPr>
          <w:rFonts w:asciiTheme="minorHAnsi" w:hAnsiTheme="minorHAnsi" w:cstheme="minorHAnsi"/>
        </w:rPr>
        <w:t xml:space="preserve"> governance </w:t>
      </w:r>
      <w:r>
        <w:rPr>
          <w:rFonts w:asciiTheme="minorHAnsi" w:hAnsiTheme="minorHAnsi" w:cstheme="minorHAnsi"/>
        </w:rPr>
        <w:t>options</w:t>
      </w:r>
    </w:p>
    <w:p w14:paraId="58F10919" w14:textId="5862081D" w:rsidR="002D4E92" w:rsidRPr="00D01376" w:rsidRDefault="00866438" w:rsidP="0088722C">
      <w:pPr>
        <w:pStyle w:val="Default"/>
        <w:numPr>
          <w:ilvl w:val="0"/>
          <w:numId w:val="2"/>
        </w:numPr>
        <w:ind w:left="714" w:hanging="357"/>
        <w:rPr>
          <w:rFonts w:asciiTheme="minorHAnsi" w:hAnsiTheme="minorHAnsi" w:cstheme="minorHAnsi"/>
        </w:rPr>
      </w:pPr>
      <w:r>
        <w:rPr>
          <w:rFonts w:asciiTheme="minorHAnsi" w:hAnsiTheme="minorHAnsi" w:cstheme="minorHAnsi"/>
        </w:rPr>
        <w:t xml:space="preserve">National level </w:t>
      </w:r>
      <w:r w:rsidR="00722F37" w:rsidRPr="00D01376">
        <w:rPr>
          <w:rFonts w:asciiTheme="minorHAnsi" w:hAnsiTheme="minorHAnsi" w:cstheme="minorHAnsi"/>
        </w:rPr>
        <w:t xml:space="preserve">AOD </w:t>
      </w:r>
      <w:r w:rsidR="002B076F" w:rsidRPr="00D01376">
        <w:rPr>
          <w:rFonts w:asciiTheme="minorHAnsi" w:hAnsiTheme="minorHAnsi" w:cstheme="minorHAnsi"/>
        </w:rPr>
        <w:t>w</w:t>
      </w:r>
      <w:r w:rsidR="004834D7" w:rsidRPr="00D01376">
        <w:rPr>
          <w:rFonts w:asciiTheme="minorHAnsi" w:hAnsiTheme="minorHAnsi" w:cstheme="minorHAnsi"/>
        </w:rPr>
        <w:t>orkforce</w:t>
      </w:r>
      <w:r w:rsidR="002B076F" w:rsidRPr="00D01376">
        <w:rPr>
          <w:rFonts w:asciiTheme="minorHAnsi" w:hAnsiTheme="minorHAnsi" w:cstheme="minorHAnsi"/>
        </w:rPr>
        <w:t xml:space="preserve"> </w:t>
      </w:r>
      <w:r w:rsidR="00782479">
        <w:rPr>
          <w:rFonts w:asciiTheme="minorHAnsi" w:hAnsiTheme="minorHAnsi" w:cstheme="minorHAnsi"/>
        </w:rPr>
        <w:t>development priorities</w:t>
      </w:r>
    </w:p>
    <w:p w14:paraId="441D523E" w14:textId="43DE1EA5" w:rsidR="004834D7" w:rsidRPr="00D01376" w:rsidRDefault="00866438" w:rsidP="0088722C">
      <w:pPr>
        <w:pStyle w:val="Default"/>
        <w:numPr>
          <w:ilvl w:val="0"/>
          <w:numId w:val="2"/>
        </w:numPr>
        <w:ind w:left="714" w:hanging="357"/>
        <w:rPr>
          <w:rFonts w:asciiTheme="minorHAnsi" w:hAnsiTheme="minorHAnsi" w:cstheme="minorHAnsi"/>
        </w:rPr>
      </w:pPr>
      <w:r>
        <w:rPr>
          <w:rFonts w:asciiTheme="minorHAnsi" w:hAnsiTheme="minorHAnsi" w:cstheme="minorHAnsi"/>
        </w:rPr>
        <w:t>Integration of AOD and primary care</w:t>
      </w:r>
      <w:r w:rsidR="00B84B3A" w:rsidRPr="00D01376">
        <w:rPr>
          <w:rFonts w:asciiTheme="minorHAnsi" w:hAnsiTheme="minorHAnsi" w:cstheme="minorHAnsi"/>
        </w:rPr>
        <w:t xml:space="preserve"> </w:t>
      </w:r>
      <w:r>
        <w:rPr>
          <w:rFonts w:asciiTheme="minorHAnsi" w:hAnsiTheme="minorHAnsi" w:cstheme="minorHAnsi"/>
        </w:rPr>
        <w:t>(in the context of primary care reform opportunities)</w:t>
      </w:r>
    </w:p>
    <w:p w14:paraId="5B003543" w14:textId="5B146B1B" w:rsidR="00A761B0" w:rsidRPr="00D01376" w:rsidRDefault="00866438" w:rsidP="0088722C">
      <w:pPr>
        <w:pStyle w:val="Default"/>
        <w:numPr>
          <w:ilvl w:val="0"/>
          <w:numId w:val="2"/>
        </w:numPr>
        <w:ind w:left="714" w:hanging="357"/>
        <w:rPr>
          <w:rFonts w:asciiTheme="minorHAnsi" w:hAnsiTheme="minorHAnsi" w:cstheme="minorHAnsi"/>
        </w:rPr>
      </w:pPr>
      <w:r>
        <w:rPr>
          <w:rFonts w:asciiTheme="minorHAnsi" w:hAnsiTheme="minorHAnsi" w:cstheme="minorHAnsi"/>
        </w:rPr>
        <w:t>Reducing alcohol related health harms, and</w:t>
      </w:r>
    </w:p>
    <w:p w14:paraId="4E8B1074" w14:textId="77777777" w:rsidR="00C602D4" w:rsidRDefault="00171101" w:rsidP="002A456F">
      <w:pPr>
        <w:pStyle w:val="Default"/>
        <w:numPr>
          <w:ilvl w:val="0"/>
          <w:numId w:val="2"/>
        </w:numPr>
        <w:ind w:left="714" w:hanging="357"/>
        <w:rPr>
          <w:rFonts w:asciiTheme="minorHAnsi" w:hAnsiTheme="minorHAnsi" w:cstheme="minorHAnsi"/>
        </w:rPr>
      </w:pPr>
      <w:r w:rsidRPr="00D01376">
        <w:rPr>
          <w:rFonts w:asciiTheme="minorHAnsi" w:hAnsiTheme="minorHAnsi" w:cstheme="minorHAnsi"/>
        </w:rPr>
        <w:t xml:space="preserve">The </w:t>
      </w:r>
      <w:r w:rsidR="004834D7" w:rsidRPr="00D01376">
        <w:rPr>
          <w:rFonts w:asciiTheme="minorHAnsi" w:hAnsiTheme="minorHAnsi" w:cstheme="minorHAnsi"/>
        </w:rPr>
        <w:t>O</w:t>
      </w:r>
      <w:r w:rsidR="00D71253" w:rsidRPr="00D01376">
        <w:rPr>
          <w:rFonts w:asciiTheme="minorHAnsi" w:hAnsiTheme="minorHAnsi" w:cstheme="minorHAnsi"/>
        </w:rPr>
        <w:t xml:space="preserve">pioid </w:t>
      </w:r>
      <w:r w:rsidR="004834D7" w:rsidRPr="00D01376">
        <w:rPr>
          <w:rFonts w:asciiTheme="minorHAnsi" w:hAnsiTheme="minorHAnsi" w:cstheme="minorHAnsi"/>
        </w:rPr>
        <w:t>D</w:t>
      </w:r>
      <w:r w:rsidR="00D71253" w:rsidRPr="00D01376">
        <w:rPr>
          <w:rFonts w:asciiTheme="minorHAnsi" w:hAnsiTheme="minorHAnsi" w:cstheme="minorHAnsi"/>
        </w:rPr>
        <w:t xml:space="preserve">ependent </w:t>
      </w:r>
      <w:r w:rsidR="004834D7" w:rsidRPr="00D01376">
        <w:rPr>
          <w:rFonts w:asciiTheme="minorHAnsi" w:hAnsiTheme="minorHAnsi" w:cstheme="minorHAnsi"/>
        </w:rPr>
        <w:t>T</w:t>
      </w:r>
      <w:r w:rsidR="00D71253" w:rsidRPr="00D01376">
        <w:rPr>
          <w:rFonts w:asciiTheme="minorHAnsi" w:hAnsiTheme="minorHAnsi" w:cstheme="minorHAnsi"/>
        </w:rPr>
        <w:t xml:space="preserve">reatment </w:t>
      </w:r>
      <w:r w:rsidR="00866438">
        <w:rPr>
          <w:rFonts w:asciiTheme="minorHAnsi" w:hAnsiTheme="minorHAnsi" w:cstheme="minorHAnsi"/>
        </w:rPr>
        <w:t xml:space="preserve">(ODT) </w:t>
      </w:r>
      <w:r w:rsidR="00266DD9" w:rsidRPr="00D01376">
        <w:rPr>
          <w:rFonts w:asciiTheme="minorHAnsi" w:hAnsiTheme="minorHAnsi" w:cstheme="minorHAnsi"/>
        </w:rPr>
        <w:t xml:space="preserve">Program </w:t>
      </w:r>
      <w:r w:rsidR="00AA32E3" w:rsidRPr="00D01376">
        <w:rPr>
          <w:rFonts w:asciiTheme="minorHAnsi" w:hAnsiTheme="minorHAnsi" w:cstheme="minorHAnsi"/>
        </w:rPr>
        <w:t>transition process</w:t>
      </w:r>
      <w:r w:rsidR="00343706" w:rsidRPr="00D01376">
        <w:rPr>
          <w:rFonts w:asciiTheme="minorHAnsi" w:hAnsiTheme="minorHAnsi" w:cstheme="minorHAnsi"/>
        </w:rPr>
        <w:t>.</w:t>
      </w:r>
    </w:p>
    <w:p w14:paraId="244B8C12" w14:textId="77777777" w:rsidR="00C602D4" w:rsidRDefault="009B2783" w:rsidP="00C602D4">
      <w:pPr>
        <w:pStyle w:val="Default"/>
        <w:spacing w:before="240"/>
        <w:rPr>
          <w:rFonts w:asciiTheme="minorHAnsi" w:hAnsiTheme="minorHAnsi" w:cstheme="minorHAnsi"/>
        </w:rPr>
      </w:pPr>
      <w:r w:rsidRPr="00C602D4">
        <w:rPr>
          <w:rFonts w:asciiTheme="minorHAnsi" w:hAnsiTheme="minorHAnsi" w:cstheme="minorHAnsi"/>
        </w:rPr>
        <w:t>Representatives from the Australian Institute of Health and Welfare (AIHW) attended the November meeting and provided an update on the 2022-</w:t>
      </w:r>
      <w:r w:rsidR="004E2731" w:rsidRPr="00C602D4">
        <w:rPr>
          <w:rFonts w:asciiTheme="minorHAnsi" w:hAnsiTheme="minorHAnsi" w:cstheme="minorHAnsi"/>
        </w:rPr>
        <w:t>20</w:t>
      </w:r>
      <w:r w:rsidRPr="00C602D4">
        <w:rPr>
          <w:rFonts w:asciiTheme="minorHAnsi" w:hAnsiTheme="minorHAnsi" w:cstheme="minorHAnsi"/>
        </w:rPr>
        <w:t>23 National Drug Strategy Household Survey (NDSHS), which included a focus on the methodology and overview of the history of the survey</w:t>
      </w:r>
      <w:r w:rsidR="004E2731" w:rsidRPr="00C602D4">
        <w:rPr>
          <w:rFonts w:asciiTheme="minorHAnsi" w:hAnsiTheme="minorHAnsi" w:cstheme="minorHAnsi"/>
        </w:rPr>
        <w:t>, and a description of new content included in the 2022-2023 survey</w:t>
      </w:r>
      <w:r w:rsidRPr="00C602D4">
        <w:rPr>
          <w:rFonts w:asciiTheme="minorHAnsi" w:hAnsiTheme="minorHAnsi" w:cstheme="minorHAnsi"/>
        </w:rPr>
        <w:t>. ANACAD noted that this will be the 14</w:t>
      </w:r>
      <w:r w:rsidRPr="00C602D4">
        <w:rPr>
          <w:rFonts w:asciiTheme="minorHAnsi" w:hAnsiTheme="minorHAnsi" w:cstheme="minorHAnsi"/>
          <w:vertAlign w:val="superscript"/>
        </w:rPr>
        <w:t>th</w:t>
      </w:r>
      <w:r w:rsidRPr="00C602D4">
        <w:rPr>
          <w:rFonts w:asciiTheme="minorHAnsi" w:hAnsiTheme="minorHAnsi" w:cstheme="minorHAnsi"/>
        </w:rPr>
        <w:t xml:space="preserve"> survey in the series, which commenced in 1985, and the 9</w:t>
      </w:r>
      <w:r w:rsidRPr="00C602D4">
        <w:rPr>
          <w:rFonts w:asciiTheme="minorHAnsi" w:hAnsiTheme="minorHAnsi" w:cstheme="minorHAnsi"/>
          <w:vertAlign w:val="superscript"/>
        </w:rPr>
        <w:t>th</w:t>
      </w:r>
      <w:r w:rsidRPr="00C602D4">
        <w:rPr>
          <w:rFonts w:asciiTheme="minorHAnsi" w:hAnsiTheme="minorHAnsi" w:cstheme="minorHAnsi"/>
        </w:rPr>
        <w:t xml:space="preserve"> to be managed by the AIHW on behalf of the Department of Health and Aged Care. ANACAD is looking forward to the release of the 2022-</w:t>
      </w:r>
      <w:r w:rsidR="004E2731" w:rsidRPr="00C602D4">
        <w:rPr>
          <w:rFonts w:asciiTheme="minorHAnsi" w:hAnsiTheme="minorHAnsi" w:cstheme="minorHAnsi"/>
        </w:rPr>
        <w:t>20</w:t>
      </w:r>
      <w:r w:rsidRPr="00C602D4">
        <w:rPr>
          <w:rFonts w:asciiTheme="minorHAnsi" w:hAnsiTheme="minorHAnsi" w:cstheme="minorHAnsi"/>
        </w:rPr>
        <w:t>23 NDSHS</w:t>
      </w:r>
      <w:r w:rsidR="00842EC2" w:rsidRPr="00C602D4">
        <w:rPr>
          <w:rFonts w:asciiTheme="minorHAnsi" w:hAnsiTheme="minorHAnsi" w:cstheme="minorHAnsi"/>
        </w:rPr>
        <w:t xml:space="preserve"> survey results, which will provide the most up-to-date information on licit and illicit drug use behaviours across Australia. The survey</w:t>
      </w:r>
      <w:r w:rsidRPr="00C602D4">
        <w:rPr>
          <w:rFonts w:asciiTheme="minorHAnsi" w:hAnsiTheme="minorHAnsi" w:cstheme="minorHAnsi"/>
        </w:rPr>
        <w:t xml:space="preserve"> </w:t>
      </w:r>
      <w:r w:rsidR="00842EC2" w:rsidRPr="00C602D4">
        <w:rPr>
          <w:rFonts w:asciiTheme="minorHAnsi" w:hAnsiTheme="minorHAnsi" w:cstheme="minorHAnsi"/>
        </w:rPr>
        <w:t xml:space="preserve">results are </w:t>
      </w:r>
      <w:r w:rsidRPr="00C602D4">
        <w:rPr>
          <w:rFonts w:asciiTheme="minorHAnsi" w:hAnsiTheme="minorHAnsi" w:cstheme="minorHAnsi"/>
        </w:rPr>
        <w:t>anticipated to be</w:t>
      </w:r>
      <w:r w:rsidR="00842EC2" w:rsidRPr="00C602D4">
        <w:rPr>
          <w:rFonts w:asciiTheme="minorHAnsi" w:hAnsiTheme="minorHAnsi" w:cstheme="minorHAnsi"/>
        </w:rPr>
        <w:t xml:space="preserve"> released</w:t>
      </w:r>
      <w:r w:rsidRPr="00C602D4">
        <w:rPr>
          <w:rFonts w:asciiTheme="minorHAnsi" w:hAnsiTheme="minorHAnsi" w:cstheme="minorHAnsi"/>
        </w:rPr>
        <w:t xml:space="preserve"> in the first quarter of 2024.</w:t>
      </w:r>
    </w:p>
    <w:p w14:paraId="2B65D981" w14:textId="77777777" w:rsidR="00C602D4" w:rsidRDefault="00842EC2" w:rsidP="00C602D4">
      <w:pPr>
        <w:pStyle w:val="Default"/>
        <w:spacing w:before="240"/>
        <w:rPr>
          <w:rFonts w:asciiTheme="minorHAnsi" w:hAnsiTheme="minorHAnsi" w:cstheme="minorHAnsi"/>
        </w:rPr>
      </w:pPr>
      <w:r>
        <w:rPr>
          <w:rFonts w:asciiTheme="minorHAnsi" w:hAnsiTheme="minorHAnsi" w:cstheme="minorHAnsi"/>
        </w:rPr>
        <w:t xml:space="preserve">ANACAD was also provided with the opportunity to engage with departmental officials from the Therapeutic Goods Administration (TGA), of the Department of Health and Aged Care, to discuss progress of the Australian Government’s vaping reform package. ANACAD welcomed the open and constructive engagement with the TGA on the proposed technical aspects of the reforms and </w:t>
      </w:r>
      <w:r w:rsidRPr="00D01376">
        <w:rPr>
          <w:rFonts w:asciiTheme="minorHAnsi" w:hAnsiTheme="minorHAnsi" w:cstheme="minorHAnsi"/>
        </w:rPr>
        <w:t xml:space="preserve">will provide </w:t>
      </w:r>
      <w:r>
        <w:rPr>
          <w:rFonts w:asciiTheme="minorHAnsi" w:hAnsiTheme="minorHAnsi" w:cstheme="minorHAnsi"/>
        </w:rPr>
        <w:t xml:space="preserve">formal </w:t>
      </w:r>
      <w:r w:rsidRPr="00D01376">
        <w:rPr>
          <w:rFonts w:asciiTheme="minorHAnsi" w:hAnsiTheme="minorHAnsi" w:cstheme="minorHAnsi"/>
        </w:rPr>
        <w:t>advice to the TGA on these matters through the Minister for Health and Aged Care, the Hon Mark Butler MP.</w:t>
      </w:r>
    </w:p>
    <w:p w14:paraId="58773D6A" w14:textId="77777777" w:rsidR="00C602D4" w:rsidRDefault="00842EC2" w:rsidP="00C602D4">
      <w:pPr>
        <w:pStyle w:val="Default"/>
        <w:spacing w:before="240"/>
        <w:rPr>
          <w:rFonts w:asciiTheme="minorHAnsi" w:hAnsiTheme="minorHAnsi" w:cstheme="minorHAnsi"/>
        </w:rPr>
      </w:pPr>
      <w:r>
        <w:rPr>
          <w:rFonts w:asciiTheme="minorHAnsi" w:hAnsiTheme="minorHAnsi" w:cstheme="minorHAnsi"/>
        </w:rPr>
        <w:t>Finally, ANACAD</w:t>
      </w:r>
      <w:r w:rsidR="001A1D3D">
        <w:rPr>
          <w:rFonts w:asciiTheme="minorHAnsi" w:hAnsiTheme="minorHAnsi" w:cstheme="minorHAnsi"/>
        </w:rPr>
        <w:t xml:space="preserve"> discussed</w:t>
      </w:r>
      <w:r w:rsidR="00866438">
        <w:rPr>
          <w:rFonts w:asciiTheme="minorHAnsi" w:hAnsiTheme="minorHAnsi" w:cstheme="minorHAnsi"/>
        </w:rPr>
        <w:t xml:space="preserve"> its </w:t>
      </w:r>
      <w:r w:rsidR="0020450F" w:rsidRPr="00D01376">
        <w:rPr>
          <w:rFonts w:asciiTheme="minorHAnsi" w:hAnsiTheme="minorHAnsi" w:cstheme="minorHAnsi"/>
        </w:rPr>
        <w:t>work</w:t>
      </w:r>
      <w:r w:rsidR="00416DAD" w:rsidRPr="00D01376">
        <w:rPr>
          <w:rFonts w:asciiTheme="minorHAnsi" w:hAnsiTheme="minorHAnsi" w:cstheme="minorHAnsi"/>
        </w:rPr>
        <w:t xml:space="preserve"> </w:t>
      </w:r>
      <w:r w:rsidR="0020450F" w:rsidRPr="00D01376">
        <w:rPr>
          <w:rFonts w:asciiTheme="minorHAnsi" w:hAnsiTheme="minorHAnsi" w:cstheme="minorHAnsi"/>
        </w:rPr>
        <w:t>plan for 2024</w:t>
      </w:r>
      <w:r w:rsidR="00416DAD" w:rsidRPr="00D01376">
        <w:rPr>
          <w:rFonts w:asciiTheme="minorHAnsi" w:hAnsiTheme="minorHAnsi" w:cstheme="minorHAnsi"/>
        </w:rPr>
        <w:t xml:space="preserve"> and </w:t>
      </w:r>
      <w:r w:rsidR="00866438">
        <w:rPr>
          <w:rFonts w:asciiTheme="minorHAnsi" w:hAnsiTheme="minorHAnsi" w:cstheme="minorHAnsi"/>
        </w:rPr>
        <w:t>agreed</w:t>
      </w:r>
      <w:r w:rsidR="00416DAD" w:rsidRPr="00D01376">
        <w:rPr>
          <w:rFonts w:asciiTheme="minorHAnsi" w:hAnsiTheme="minorHAnsi" w:cstheme="minorHAnsi"/>
        </w:rPr>
        <w:t xml:space="preserve"> </w:t>
      </w:r>
      <w:r w:rsidR="001A1D3D">
        <w:rPr>
          <w:rFonts w:asciiTheme="minorHAnsi" w:hAnsiTheme="minorHAnsi" w:cstheme="minorHAnsi"/>
        </w:rPr>
        <w:t xml:space="preserve">on </w:t>
      </w:r>
      <w:r w:rsidR="00416DAD" w:rsidRPr="00D01376">
        <w:rPr>
          <w:rFonts w:asciiTheme="minorHAnsi" w:hAnsiTheme="minorHAnsi" w:cstheme="minorHAnsi"/>
        </w:rPr>
        <w:t xml:space="preserve">key </w:t>
      </w:r>
      <w:r w:rsidR="0020450F" w:rsidRPr="00D01376">
        <w:rPr>
          <w:rFonts w:asciiTheme="minorHAnsi" w:hAnsiTheme="minorHAnsi" w:cstheme="minorHAnsi"/>
        </w:rPr>
        <w:t xml:space="preserve">topics </w:t>
      </w:r>
      <w:r w:rsidR="00EA4477" w:rsidRPr="00D01376">
        <w:rPr>
          <w:rFonts w:asciiTheme="minorHAnsi" w:hAnsiTheme="minorHAnsi" w:cstheme="minorHAnsi"/>
        </w:rPr>
        <w:t>for</w:t>
      </w:r>
      <w:r w:rsidR="00DA495F" w:rsidRPr="00D01376">
        <w:rPr>
          <w:rFonts w:asciiTheme="minorHAnsi" w:hAnsiTheme="minorHAnsi" w:cstheme="minorHAnsi"/>
        </w:rPr>
        <w:t xml:space="preserve"> </w:t>
      </w:r>
      <w:r w:rsidR="00416DAD" w:rsidRPr="00D01376">
        <w:rPr>
          <w:rFonts w:asciiTheme="minorHAnsi" w:hAnsiTheme="minorHAnsi" w:cstheme="minorHAnsi"/>
        </w:rPr>
        <w:t>action</w:t>
      </w:r>
      <w:r w:rsidR="006622A6" w:rsidRPr="00D01376">
        <w:rPr>
          <w:rFonts w:asciiTheme="minorHAnsi" w:hAnsiTheme="minorHAnsi" w:cstheme="minorHAnsi"/>
        </w:rPr>
        <w:t xml:space="preserve"> </w:t>
      </w:r>
      <w:r w:rsidR="009877C1" w:rsidRPr="00D01376">
        <w:rPr>
          <w:rFonts w:asciiTheme="minorHAnsi" w:hAnsiTheme="minorHAnsi" w:cstheme="minorHAnsi"/>
        </w:rPr>
        <w:t>over the next 12 months</w:t>
      </w:r>
      <w:r w:rsidR="00416DAD" w:rsidRPr="00D01376">
        <w:rPr>
          <w:rFonts w:asciiTheme="minorHAnsi" w:hAnsiTheme="minorHAnsi" w:cstheme="minorHAnsi"/>
        </w:rPr>
        <w:t>.</w:t>
      </w:r>
    </w:p>
    <w:p w14:paraId="5535BE84" w14:textId="14ECB8B9" w:rsidR="00D01376" w:rsidRPr="00C602D4" w:rsidRDefault="00D01376" w:rsidP="00C602D4">
      <w:pPr>
        <w:pStyle w:val="Default"/>
        <w:spacing w:before="240"/>
        <w:rPr>
          <w:rFonts w:asciiTheme="minorHAnsi" w:hAnsiTheme="minorHAnsi" w:cstheme="minorHAnsi"/>
        </w:rPr>
      </w:pPr>
      <w:r w:rsidRPr="00D01376">
        <w:rPr>
          <w:rFonts w:asciiTheme="minorHAnsi" w:hAnsiTheme="minorHAnsi" w:cstheme="minorHAnsi"/>
          <w:i/>
          <w:iCs/>
        </w:rPr>
        <w:t>Next meeting</w:t>
      </w:r>
    </w:p>
    <w:p w14:paraId="2E74763B" w14:textId="5DC71756" w:rsidR="00003743" w:rsidRPr="00D01376" w:rsidRDefault="002D4E92" w:rsidP="002D4E92">
      <w:pPr>
        <w:rPr>
          <w:rFonts w:asciiTheme="minorHAnsi" w:hAnsiTheme="minorHAnsi" w:cstheme="minorHAnsi"/>
        </w:rPr>
      </w:pPr>
      <w:r w:rsidRPr="00D01376">
        <w:rPr>
          <w:rFonts w:asciiTheme="minorHAnsi" w:hAnsiTheme="minorHAnsi" w:cstheme="minorHAnsi"/>
        </w:rPr>
        <w:t xml:space="preserve">The next ANACAD meeting will be held </w:t>
      </w:r>
      <w:r w:rsidR="00416DAD" w:rsidRPr="00D01376">
        <w:rPr>
          <w:rFonts w:asciiTheme="minorHAnsi" w:hAnsiTheme="minorHAnsi" w:cstheme="minorHAnsi"/>
        </w:rPr>
        <w:t xml:space="preserve">in </w:t>
      </w:r>
      <w:r w:rsidR="00D01376">
        <w:rPr>
          <w:rFonts w:asciiTheme="minorHAnsi" w:hAnsiTheme="minorHAnsi" w:cstheme="minorHAnsi"/>
        </w:rPr>
        <w:t>late February 2024</w:t>
      </w:r>
      <w:r w:rsidR="00C739CE" w:rsidRPr="00D01376">
        <w:rPr>
          <w:rFonts w:asciiTheme="minorHAnsi" w:hAnsiTheme="minorHAnsi" w:cstheme="minorHAnsi"/>
        </w:rPr>
        <w:t xml:space="preserve">. </w:t>
      </w:r>
      <w:r w:rsidR="00866438">
        <w:rPr>
          <w:rFonts w:asciiTheme="minorHAnsi" w:hAnsiTheme="minorHAnsi" w:cstheme="minorHAnsi"/>
        </w:rPr>
        <w:t>The</w:t>
      </w:r>
      <w:r w:rsidR="00782479">
        <w:rPr>
          <w:rFonts w:asciiTheme="minorHAnsi" w:hAnsiTheme="minorHAnsi" w:cstheme="minorHAnsi"/>
        </w:rPr>
        <w:t xml:space="preserve"> next meeting will include </w:t>
      </w:r>
      <w:r w:rsidR="00866438">
        <w:rPr>
          <w:rFonts w:asciiTheme="minorHAnsi" w:hAnsiTheme="minorHAnsi" w:cstheme="minorHAnsi"/>
        </w:rPr>
        <w:t>a focus on th</w:t>
      </w:r>
      <w:r w:rsidR="00782479">
        <w:rPr>
          <w:rFonts w:asciiTheme="minorHAnsi" w:hAnsiTheme="minorHAnsi" w:cstheme="minorHAnsi"/>
        </w:rPr>
        <w:t>e impact</w:t>
      </w:r>
      <w:r w:rsidR="00866438">
        <w:rPr>
          <w:rFonts w:asciiTheme="minorHAnsi" w:hAnsiTheme="minorHAnsi" w:cstheme="minorHAnsi"/>
        </w:rPr>
        <w:t>s</w:t>
      </w:r>
      <w:r w:rsidR="00782479">
        <w:rPr>
          <w:rFonts w:asciiTheme="minorHAnsi" w:hAnsiTheme="minorHAnsi" w:cstheme="minorHAnsi"/>
        </w:rPr>
        <w:t xml:space="preserve"> of stigma and discrimination in the AOD context.</w:t>
      </w:r>
    </w:p>
    <w:sectPr w:rsidR="00003743" w:rsidRPr="00D01376" w:rsidSect="00E56778">
      <w:headerReference w:type="default" r:id="rId8"/>
      <w:footerReference w:type="default" r:id="rId9"/>
      <w:pgSz w:w="11906" w:h="16838"/>
      <w:pgMar w:top="2269" w:right="127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1E0E9" w14:textId="77777777" w:rsidR="00E56778" w:rsidRDefault="00E56778" w:rsidP="004678C3">
      <w:r>
        <w:separator/>
      </w:r>
    </w:p>
  </w:endnote>
  <w:endnote w:type="continuationSeparator" w:id="0">
    <w:p w14:paraId="08A71A39" w14:textId="77777777" w:rsidR="00E56778" w:rsidRDefault="00E56778" w:rsidP="00467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E7136" w14:textId="77777777" w:rsidR="004678C3" w:rsidRPr="003D474A" w:rsidRDefault="004678C3" w:rsidP="004678C3">
    <w:pPr>
      <w:pStyle w:val="Footer"/>
      <w:ind w:left="-567" w:right="43"/>
      <w:rPr>
        <w:rFonts w:asciiTheme="minorHAnsi" w:hAnsiTheme="minorHAnsi" w:cstheme="minorHAnsi"/>
        <w:sz w:val="22"/>
        <w:szCs w:val="22"/>
      </w:rPr>
    </w:pPr>
    <w:r w:rsidRPr="003D474A">
      <w:rPr>
        <w:rFonts w:asciiTheme="minorHAnsi" w:hAnsiTheme="minorHAnsi" w:cstheme="minorHAnsi"/>
        <w:sz w:val="22"/>
        <w:szCs w:val="22"/>
      </w:rPr>
      <w:t xml:space="preserve">Email: </w:t>
    </w:r>
    <w:hyperlink r:id="rId1" w:history="1">
      <w:r w:rsidRPr="003D474A">
        <w:rPr>
          <w:rStyle w:val="Hyperlink"/>
          <w:rFonts w:asciiTheme="minorHAnsi" w:hAnsiTheme="minorHAnsi" w:cstheme="minorHAnsi"/>
          <w:sz w:val="22"/>
          <w:szCs w:val="22"/>
        </w:rPr>
        <w:t>ANACAD@health.gov.au</w:t>
      </w:r>
    </w:hyperlink>
  </w:p>
  <w:p w14:paraId="7F4FBC6A" w14:textId="77777777" w:rsidR="002E1051" w:rsidRDefault="004678C3" w:rsidP="002E1051">
    <w:pPr>
      <w:pStyle w:val="Footer"/>
      <w:ind w:left="-567" w:right="43"/>
      <w:rPr>
        <w:rFonts w:asciiTheme="minorHAnsi" w:hAnsiTheme="minorHAnsi" w:cstheme="minorHAnsi"/>
        <w:sz w:val="22"/>
        <w:szCs w:val="22"/>
      </w:rPr>
    </w:pPr>
    <w:r w:rsidRPr="003D474A">
      <w:rPr>
        <w:rFonts w:asciiTheme="minorHAnsi" w:hAnsiTheme="minorHAnsi" w:cstheme="minorHAnsi"/>
        <w:sz w:val="22"/>
        <w:szCs w:val="22"/>
      </w:rPr>
      <w:t>ANACAD Secretariat – Alcohol</w:t>
    </w:r>
    <w:r w:rsidR="002E1051">
      <w:rPr>
        <w:rFonts w:asciiTheme="minorHAnsi" w:hAnsiTheme="minorHAnsi" w:cstheme="minorHAnsi"/>
        <w:sz w:val="22"/>
        <w:szCs w:val="22"/>
      </w:rPr>
      <w:t xml:space="preserve"> </w:t>
    </w:r>
    <w:r w:rsidRPr="003D474A">
      <w:rPr>
        <w:rFonts w:asciiTheme="minorHAnsi" w:hAnsiTheme="minorHAnsi" w:cstheme="minorHAnsi"/>
        <w:sz w:val="22"/>
        <w:szCs w:val="22"/>
      </w:rPr>
      <w:t xml:space="preserve">and Other Drugs Branch, Department of Health </w:t>
    </w:r>
    <w:r w:rsidR="003D474A" w:rsidRPr="003D474A">
      <w:rPr>
        <w:rFonts w:asciiTheme="minorHAnsi" w:hAnsiTheme="minorHAnsi" w:cstheme="minorHAnsi"/>
        <w:sz w:val="22"/>
        <w:szCs w:val="22"/>
      </w:rPr>
      <w:t xml:space="preserve">and Aged Care </w:t>
    </w:r>
  </w:p>
  <w:p w14:paraId="11FA21E7" w14:textId="64055BB4" w:rsidR="004678C3" w:rsidRPr="003D474A" w:rsidRDefault="004678C3" w:rsidP="002E1051">
    <w:pPr>
      <w:pStyle w:val="Footer"/>
      <w:ind w:left="-567" w:right="43"/>
      <w:rPr>
        <w:rFonts w:asciiTheme="minorHAnsi" w:hAnsiTheme="minorHAnsi" w:cstheme="minorHAnsi"/>
        <w:sz w:val="22"/>
        <w:szCs w:val="22"/>
      </w:rPr>
    </w:pPr>
    <w:r w:rsidRPr="003D474A">
      <w:rPr>
        <w:rFonts w:asciiTheme="minorHAnsi" w:hAnsiTheme="minorHAnsi" w:cstheme="minorHAnsi"/>
        <w:sz w:val="22"/>
        <w:szCs w:val="22"/>
      </w:rPr>
      <w:t xml:space="preserve">(MDP </w:t>
    </w:r>
    <w:r w:rsidR="003D474A" w:rsidRPr="003D474A">
      <w:rPr>
        <w:rFonts w:asciiTheme="minorHAnsi" w:hAnsiTheme="minorHAnsi" w:cstheme="minorHAnsi"/>
        <w:sz w:val="22"/>
        <w:szCs w:val="22"/>
      </w:rPr>
      <w:t>570</w:t>
    </w:r>
    <w:r w:rsidRPr="003D474A">
      <w:rPr>
        <w:rFonts w:asciiTheme="minorHAnsi" w:hAnsiTheme="minorHAnsi" w:cstheme="minorHAnsi"/>
        <w:sz w:val="22"/>
        <w:szCs w:val="22"/>
      </w:rPr>
      <w:t>), GPO Box 9848, Canberra, ACT, 2601.  Ph (02) 6289 8555.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316D0" w14:textId="77777777" w:rsidR="00E56778" w:rsidRDefault="00E56778" w:rsidP="004678C3">
      <w:r>
        <w:separator/>
      </w:r>
    </w:p>
  </w:footnote>
  <w:footnote w:type="continuationSeparator" w:id="0">
    <w:p w14:paraId="69E55911" w14:textId="77777777" w:rsidR="00E56778" w:rsidRDefault="00E56778" w:rsidP="00467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F3AB2" w14:textId="77777777" w:rsidR="004678C3" w:rsidRDefault="001A02A7">
    <w:pPr>
      <w:pStyle w:val="Header"/>
    </w:pPr>
    <w:r>
      <w:rPr>
        <w:noProof/>
        <w:lang w:val="en-US"/>
      </w:rPr>
      <w:drawing>
        <wp:anchor distT="0" distB="0" distL="114300" distR="114300" simplePos="0" relativeHeight="251658240" behindDoc="0" locked="0" layoutInCell="1" allowOverlap="1" wp14:anchorId="4D49CBCB" wp14:editId="717BEBCA">
          <wp:simplePos x="0" y="0"/>
          <wp:positionH relativeFrom="column">
            <wp:posOffset>-1828800</wp:posOffset>
          </wp:positionH>
          <wp:positionV relativeFrom="paragraph">
            <wp:posOffset>-494665</wp:posOffset>
          </wp:positionV>
          <wp:extent cx="8291830" cy="1326515"/>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291830" cy="13265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9363A"/>
    <w:multiLevelType w:val="hybridMultilevel"/>
    <w:tmpl w:val="2CC637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622C6AF3"/>
    <w:multiLevelType w:val="hybridMultilevel"/>
    <w:tmpl w:val="613A7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7F3652C"/>
    <w:multiLevelType w:val="hybridMultilevel"/>
    <w:tmpl w:val="33082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F00C79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36480170">
    <w:abstractNumId w:val="3"/>
  </w:num>
  <w:num w:numId="2" w16cid:durableId="485366297">
    <w:abstractNumId w:val="1"/>
  </w:num>
  <w:num w:numId="3" w16cid:durableId="1883592936">
    <w:abstractNumId w:val="2"/>
  </w:num>
  <w:num w:numId="4" w16cid:durableId="1652825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8C3"/>
    <w:rsid w:val="00003743"/>
    <w:rsid w:val="00014992"/>
    <w:rsid w:val="00043458"/>
    <w:rsid w:val="00064A2B"/>
    <w:rsid w:val="00067456"/>
    <w:rsid w:val="000B1645"/>
    <w:rsid w:val="000C0A3C"/>
    <w:rsid w:val="0011558F"/>
    <w:rsid w:val="00141821"/>
    <w:rsid w:val="0014368D"/>
    <w:rsid w:val="00144046"/>
    <w:rsid w:val="00171101"/>
    <w:rsid w:val="00171B6B"/>
    <w:rsid w:val="00176657"/>
    <w:rsid w:val="00187ECC"/>
    <w:rsid w:val="001A02A7"/>
    <w:rsid w:val="001A0AA7"/>
    <w:rsid w:val="001A1D3D"/>
    <w:rsid w:val="001A6F5A"/>
    <w:rsid w:val="001B3443"/>
    <w:rsid w:val="001B78D0"/>
    <w:rsid w:val="001B7D82"/>
    <w:rsid w:val="001D1DA5"/>
    <w:rsid w:val="001E65F3"/>
    <w:rsid w:val="001F1228"/>
    <w:rsid w:val="001F532C"/>
    <w:rsid w:val="0020450F"/>
    <w:rsid w:val="002073FA"/>
    <w:rsid w:val="002611B1"/>
    <w:rsid w:val="00266DD9"/>
    <w:rsid w:val="00273C28"/>
    <w:rsid w:val="002769B2"/>
    <w:rsid w:val="00277BAC"/>
    <w:rsid w:val="00277C49"/>
    <w:rsid w:val="00280514"/>
    <w:rsid w:val="002923F4"/>
    <w:rsid w:val="002A456F"/>
    <w:rsid w:val="002A4BC6"/>
    <w:rsid w:val="002A643F"/>
    <w:rsid w:val="002B076F"/>
    <w:rsid w:val="002B465F"/>
    <w:rsid w:val="002C5414"/>
    <w:rsid w:val="002D4E92"/>
    <w:rsid w:val="002E1051"/>
    <w:rsid w:val="002F3AE3"/>
    <w:rsid w:val="0030786C"/>
    <w:rsid w:val="00321B27"/>
    <w:rsid w:val="003224C7"/>
    <w:rsid w:val="00335D2D"/>
    <w:rsid w:val="00335F6A"/>
    <w:rsid w:val="00343706"/>
    <w:rsid w:val="0037706C"/>
    <w:rsid w:val="00383AAE"/>
    <w:rsid w:val="0039217D"/>
    <w:rsid w:val="00395555"/>
    <w:rsid w:val="003B250E"/>
    <w:rsid w:val="003B684C"/>
    <w:rsid w:val="003D09F5"/>
    <w:rsid w:val="003D17F9"/>
    <w:rsid w:val="003D474A"/>
    <w:rsid w:val="003E23A2"/>
    <w:rsid w:val="003E6BBE"/>
    <w:rsid w:val="003F21E3"/>
    <w:rsid w:val="00412E42"/>
    <w:rsid w:val="00416DAD"/>
    <w:rsid w:val="00432189"/>
    <w:rsid w:val="004678C3"/>
    <w:rsid w:val="004834D7"/>
    <w:rsid w:val="00485DF5"/>
    <w:rsid w:val="004867E2"/>
    <w:rsid w:val="004B13C9"/>
    <w:rsid w:val="004C2FAD"/>
    <w:rsid w:val="004D3873"/>
    <w:rsid w:val="004E2731"/>
    <w:rsid w:val="004F28FA"/>
    <w:rsid w:val="00501EF4"/>
    <w:rsid w:val="005025E3"/>
    <w:rsid w:val="00513060"/>
    <w:rsid w:val="00520373"/>
    <w:rsid w:val="00520B8A"/>
    <w:rsid w:val="00566CDD"/>
    <w:rsid w:val="005707FE"/>
    <w:rsid w:val="0059235A"/>
    <w:rsid w:val="0059576F"/>
    <w:rsid w:val="005E1314"/>
    <w:rsid w:val="005F0F33"/>
    <w:rsid w:val="005F40CE"/>
    <w:rsid w:val="005F6674"/>
    <w:rsid w:val="006622A6"/>
    <w:rsid w:val="00667453"/>
    <w:rsid w:val="006B3E37"/>
    <w:rsid w:val="006C3913"/>
    <w:rsid w:val="00711DA2"/>
    <w:rsid w:val="00722F37"/>
    <w:rsid w:val="007327CA"/>
    <w:rsid w:val="007778FA"/>
    <w:rsid w:val="00782479"/>
    <w:rsid w:val="007A0D26"/>
    <w:rsid w:val="007A40D5"/>
    <w:rsid w:val="007A7076"/>
    <w:rsid w:val="007C0B5A"/>
    <w:rsid w:val="007D7790"/>
    <w:rsid w:val="007E14EB"/>
    <w:rsid w:val="007E2D3A"/>
    <w:rsid w:val="007E7BF0"/>
    <w:rsid w:val="00813C0B"/>
    <w:rsid w:val="008264EB"/>
    <w:rsid w:val="00842EC2"/>
    <w:rsid w:val="0085503B"/>
    <w:rsid w:val="00866438"/>
    <w:rsid w:val="00870879"/>
    <w:rsid w:val="008814AF"/>
    <w:rsid w:val="0088722C"/>
    <w:rsid w:val="00893E91"/>
    <w:rsid w:val="008D37A2"/>
    <w:rsid w:val="008F7930"/>
    <w:rsid w:val="009417BD"/>
    <w:rsid w:val="00963A71"/>
    <w:rsid w:val="009877C1"/>
    <w:rsid w:val="0099334B"/>
    <w:rsid w:val="009B2783"/>
    <w:rsid w:val="00A112B0"/>
    <w:rsid w:val="00A212A9"/>
    <w:rsid w:val="00A23435"/>
    <w:rsid w:val="00A23CFE"/>
    <w:rsid w:val="00A36632"/>
    <w:rsid w:val="00A4512D"/>
    <w:rsid w:val="00A511E1"/>
    <w:rsid w:val="00A613E9"/>
    <w:rsid w:val="00A705AF"/>
    <w:rsid w:val="00A71B9E"/>
    <w:rsid w:val="00A761B0"/>
    <w:rsid w:val="00AA2E18"/>
    <w:rsid w:val="00AA32E3"/>
    <w:rsid w:val="00AA40CA"/>
    <w:rsid w:val="00AD5C0A"/>
    <w:rsid w:val="00AE1F31"/>
    <w:rsid w:val="00AE6FFE"/>
    <w:rsid w:val="00AF04AE"/>
    <w:rsid w:val="00B00CF9"/>
    <w:rsid w:val="00B070C6"/>
    <w:rsid w:val="00B24FA2"/>
    <w:rsid w:val="00B42851"/>
    <w:rsid w:val="00B44897"/>
    <w:rsid w:val="00B46DE0"/>
    <w:rsid w:val="00B841FD"/>
    <w:rsid w:val="00B84B3A"/>
    <w:rsid w:val="00B877E0"/>
    <w:rsid w:val="00B8782B"/>
    <w:rsid w:val="00B908B0"/>
    <w:rsid w:val="00B96038"/>
    <w:rsid w:val="00BD231A"/>
    <w:rsid w:val="00BE436F"/>
    <w:rsid w:val="00C335FF"/>
    <w:rsid w:val="00C36068"/>
    <w:rsid w:val="00C5482B"/>
    <w:rsid w:val="00C602D4"/>
    <w:rsid w:val="00C739CE"/>
    <w:rsid w:val="00C7571F"/>
    <w:rsid w:val="00C872E5"/>
    <w:rsid w:val="00CB3BD7"/>
    <w:rsid w:val="00CB463B"/>
    <w:rsid w:val="00CB5B1A"/>
    <w:rsid w:val="00CE12E6"/>
    <w:rsid w:val="00CE1E91"/>
    <w:rsid w:val="00CF6A08"/>
    <w:rsid w:val="00D01376"/>
    <w:rsid w:val="00D13408"/>
    <w:rsid w:val="00D30204"/>
    <w:rsid w:val="00D325A2"/>
    <w:rsid w:val="00D40C0A"/>
    <w:rsid w:val="00D50160"/>
    <w:rsid w:val="00D64D1D"/>
    <w:rsid w:val="00D71253"/>
    <w:rsid w:val="00D745D6"/>
    <w:rsid w:val="00DA01C7"/>
    <w:rsid w:val="00DA48FC"/>
    <w:rsid w:val="00DA495F"/>
    <w:rsid w:val="00DA759E"/>
    <w:rsid w:val="00DB2A17"/>
    <w:rsid w:val="00DD032C"/>
    <w:rsid w:val="00DD0D31"/>
    <w:rsid w:val="00DD624C"/>
    <w:rsid w:val="00DE3ED1"/>
    <w:rsid w:val="00DE5D01"/>
    <w:rsid w:val="00DF3A11"/>
    <w:rsid w:val="00DF4618"/>
    <w:rsid w:val="00E22868"/>
    <w:rsid w:val="00E2309D"/>
    <w:rsid w:val="00E26A10"/>
    <w:rsid w:val="00E2719C"/>
    <w:rsid w:val="00E56778"/>
    <w:rsid w:val="00E6783D"/>
    <w:rsid w:val="00E82DC7"/>
    <w:rsid w:val="00E84E28"/>
    <w:rsid w:val="00EA2AF2"/>
    <w:rsid w:val="00EA2C9E"/>
    <w:rsid w:val="00EA4477"/>
    <w:rsid w:val="00ED0F99"/>
    <w:rsid w:val="00F364D6"/>
    <w:rsid w:val="00F828DD"/>
    <w:rsid w:val="00F845DA"/>
    <w:rsid w:val="00F84DFD"/>
    <w:rsid w:val="00F877F1"/>
    <w:rsid w:val="00F966E6"/>
    <w:rsid w:val="00FA33F1"/>
    <w:rsid w:val="00FB23FA"/>
    <w:rsid w:val="00FB3034"/>
    <w:rsid w:val="00FB68C8"/>
    <w:rsid w:val="00FB6993"/>
    <w:rsid w:val="00FC1693"/>
    <w:rsid w:val="00FC2E4E"/>
    <w:rsid w:val="00FF0FCD"/>
    <w:rsid w:val="00FF6CD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1BFABA"/>
  <w15:docId w15:val="{90AC4023-8D50-4E24-89F7-B69750363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rsid w:val="004678C3"/>
    <w:pPr>
      <w:tabs>
        <w:tab w:val="center" w:pos="4513"/>
        <w:tab w:val="right" w:pos="9026"/>
      </w:tabs>
    </w:pPr>
  </w:style>
  <w:style w:type="character" w:customStyle="1" w:styleId="HeaderChar">
    <w:name w:val="Header Char"/>
    <w:basedOn w:val="DefaultParagraphFont"/>
    <w:link w:val="Header"/>
    <w:rsid w:val="004678C3"/>
    <w:rPr>
      <w:sz w:val="24"/>
      <w:szCs w:val="24"/>
      <w:lang w:eastAsia="en-US"/>
    </w:rPr>
  </w:style>
  <w:style w:type="paragraph" w:styleId="Footer">
    <w:name w:val="footer"/>
    <w:basedOn w:val="Normal"/>
    <w:link w:val="FooterChar"/>
    <w:rsid w:val="004678C3"/>
    <w:pPr>
      <w:tabs>
        <w:tab w:val="center" w:pos="4513"/>
        <w:tab w:val="right" w:pos="9026"/>
      </w:tabs>
    </w:pPr>
  </w:style>
  <w:style w:type="character" w:customStyle="1" w:styleId="FooterChar">
    <w:name w:val="Footer Char"/>
    <w:basedOn w:val="DefaultParagraphFont"/>
    <w:link w:val="Footer"/>
    <w:rsid w:val="004678C3"/>
    <w:rPr>
      <w:sz w:val="24"/>
      <w:szCs w:val="24"/>
      <w:lang w:eastAsia="en-US"/>
    </w:rPr>
  </w:style>
  <w:style w:type="paragraph" w:styleId="BalloonText">
    <w:name w:val="Balloon Text"/>
    <w:basedOn w:val="Normal"/>
    <w:link w:val="BalloonTextChar"/>
    <w:rsid w:val="004678C3"/>
    <w:rPr>
      <w:rFonts w:ascii="Tahoma" w:hAnsi="Tahoma" w:cs="Tahoma"/>
      <w:sz w:val="16"/>
      <w:szCs w:val="16"/>
    </w:rPr>
  </w:style>
  <w:style w:type="character" w:customStyle="1" w:styleId="BalloonTextChar">
    <w:name w:val="Balloon Text Char"/>
    <w:basedOn w:val="DefaultParagraphFont"/>
    <w:link w:val="BalloonText"/>
    <w:rsid w:val="004678C3"/>
    <w:rPr>
      <w:rFonts w:ascii="Tahoma" w:hAnsi="Tahoma" w:cs="Tahoma"/>
      <w:sz w:val="16"/>
      <w:szCs w:val="16"/>
      <w:lang w:eastAsia="en-US"/>
    </w:rPr>
  </w:style>
  <w:style w:type="character" w:styleId="Hyperlink">
    <w:name w:val="Hyperlink"/>
    <w:basedOn w:val="DefaultParagraphFont"/>
    <w:rsid w:val="004678C3"/>
    <w:rPr>
      <w:color w:val="0000FF" w:themeColor="hyperlink"/>
      <w:u w:val="single"/>
    </w:rPr>
  </w:style>
  <w:style w:type="paragraph" w:customStyle="1" w:styleId="Default">
    <w:name w:val="Default"/>
    <w:rsid w:val="002D4E92"/>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1D1DA5"/>
    <w:rPr>
      <w:sz w:val="24"/>
      <w:szCs w:val="24"/>
      <w:lang w:eastAsia="en-US"/>
    </w:rPr>
  </w:style>
  <w:style w:type="character" w:styleId="CommentReference">
    <w:name w:val="annotation reference"/>
    <w:basedOn w:val="DefaultParagraphFont"/>
    <w:semiHidden/>
    <w:unhideWhenUsed/>
    <w:rsid w:val="00D50160"/>
    <w:rPr>
      <w:sz w:val="16"/>
      <w:szCs w:val="16"/>
    </w:rPr>
  </w:style>
  <w:style w:type="paragraph" w:styleId="CommentText">
    <w:name w:val="annotation text"/>
    <w:basedOn w:val="Normal"/>
    <w:link w:val="CommentTextChar"/>
    <w:unhideWhenUsed/>
    <w:rsid w:val="00D50160"/>
    <w:rPr>
      <w:sz w:val="20"/>
      <w:szCs w:val="20"/>
    </w:rPr>
  </w:style>
  <w:style w:type="character" w:customStyle="1" w:styleId="CommentTextChar">
    <w:name w:val="Comment Text Char"/>
    <w:basedOn w:val="DefaultParagraphFont"/>
    <w:link w:val="CommentText"/>
    <w:rsid w:val="00D50160"/>
    <w:rPr>
      <w:lang w:eastAsia="en-US"/>
    </w:rPr>
  </w:style>
  <w:style w:type="paragraph" w:styleId="CommentSubject">
    <w:name w:val="annotation subject"/>
    <w:basedOn w:val="CommentText"/>
    <w:next w:val="CommentText"/>
    <w:link w:val="CommentSubjectChar"/>
    <w:semiHidden/>
    <w:unhideWhenUsed/>
    <w:rsid w:val="00D50160"/>
    <w:rPr>
      <w:b/>
      <w:bCs/>
    </w:rPr>
  </w:style>
  <w:style w:type="character" w:customStyle="1" w:styleId="CommentSubjectChar">
    <w:name w:val="Comment Subject Char"/>
    <w:basedOn w:val="CommentTextChar"/>
    <w:link w:val="CommentSubject"/>
    <w:semiHidden/>
    <w:rsid w:val="00D5016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980508">
      <w:bodyDiv w:val="1"/>
      <w:marLeft w:val="0"/>
      <w:marRight w:val="0"/>
      <w:marTop w:val="0"/>
      <w:marBottom w:val="0"/>
      <w:divBdr>
        <w:top w:val="none" w:sz="0" w:space="0" w:color="auto"/>
        <w:left w:val="none" w:sz="0" w:space="0" w:color="auto"/>
        <w:bottom w:val="none" w:sz="0" w:space="0" w:color="auto"/>
        <w:right w:val="none" w:sz="0" w:space="0" w:color="auto"/>
      </w:divBdr>
    </w:div>
    <w:div w:id="799494486">
      <w:bodyDiv w:val="1"/>
      <w:marLeft w:val="0"/>
      <w:marRight w:val="0"/>
      <w:marTop w:val="0"/>
      <w:marBottom w:val="0"/>
      <w:divBdr>
        <w:top w:val="none" w:sz="0" w:space="0" w:color="auto"/>
        <w:left w:val="none" w:sz="0" w:space="0" w:color="auto"/>
        <w:bottom w:val="none" w:sz="0" w:space="0" w:color="auto"/>
        <w:right w:val="none" w:sz="0" w:space="0" w:color="auto"/>
      </w:divBdr>
      <w:divsChild>
        <w:div w:id="1054238868">
          <w:marLeft w:val="446"/>
          <w:marRight w:val="0"/>
          <w:marTop w:val="200"/>
          <w:marBottom w:val="0"/>
          <w:divBdr>
            <w:top w:val="none" w:sz="0" w:space="0" w:color="auto"/>
            <w:left w:val="none" w:sz="0" w:space="0" w:color="auto"/>
            <w:bottom w:val="none" w:sz="0" w:space="0" w:color="auto"/>
            <w:right w:val="none" w:sz="0" w:space="0" w:color="auto"/>
          </w:divBdr>
        </w:div>
      </w:divsChild>
    </w:div>
    <w:div w:id="1441102545">
      <w:bodyDiv w:val="1"/>
      <w:marLeft w:val="0"/>
      <w:marRight w:val="0"/>
      <w:marTop w:val="0"/>
      <w:marBottom w:val="0"/>
      <w:divBdr>
        <w:top w:val="none" w:sz="0" w:space="0" w:color="auto"/>
        <w:left w:val="none" w:sz="0" w:space="0" w:color="auto"/>
        <w:bottom w:val="none" w:sz="0" w:space="0" w:color="auto"/>
        <w:right w:val="none" w:sz="0" w:space="0" w:color="auto"/>
      </w:divBdr>
    </w:div>
    <w:div w:id="1879119127">
      <w:bodyDiv w:val="1"/>
      <w:marLeft w:val="0"/>
      <w:marRight w:val="0"/>
      <w:marTop w:val="0"/>
      <w:marBottom w:val="0"/>
      <w:divBdr>
        <w:top w:val="none" w:sz="0" w:space="0" w:color="auto"/>
        <w:left w:val="none" w:sz="0" w:space="0" w:color="auto"/>
        <w:bottom w:val="none" w:sz="0" w:space="0" w:color="auto"/>
        <w:right w:val="none" w:sz="0" w:space="0" w:color="auto"/>
      </w:divBdr>
    </w:div>
    <w:div w:id="211316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NACAD@health.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680BE-006D-4341-B683-183038D04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355</Words>
  <Characters>1876</Characters>
  <Application>Microsoft Office Word</Application>
  <DocSecurity>0</DocSecurity>
  <Lines>34</Lines>
  <Paragraphs>16</Paragraphs>
  <ScaleCrop>false</ScaleCrop>
  <HeadingPairs>
    <vt:vector size="2" baseType="variant">
      <vt:variant>
        <vt:lpstr>Title</vt:lpstr>
      </vt:variant>
      <vt:variant>
        <vt:i4>1</vt:i4>
      </vt:variant>
    </vt:vector>
  </HeadingPairs>
  <TitlesOfParts>
    <vt:vector size="1" baseType="lpstr">
      <vt:lpstr>ANACAD communique – 23 and 24 November 2023</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ANACAD communique – 23 and 24 November 2023</dc:title>
  <dc:subject>Australian National Advisory Council on Alcohol and Other Drugs (ANACAD)</dc:subject>
  <dc:creator>Australian Government Department of Health and Aged Care</dc:creator>
  <cp:keywords>Alcohol; Drugs; Smoking, vaping and tobacco</cp:keywords>
  <dc:description/>
  <cp:revision>2</cp:revision>
  <cp:lastPrinted>2018-04-03T00:44:00Z</cp:lastPrinted>
  <dcterms:created xsi:type="dcterms:W3CDTF">2024-03-08T03:12:00Z</dcterms:created>
  <dcterms:modified xsi:type="dcterms:W3CDTF">2024-03-08T03:12:00Z</dcterms:modified>
</cp:coreProperties>
</file>